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6BF4453A" w14:textId="77777777" w:rsidTr="00553F66">
        <w:trPr>
          <w:cantSplit/>
          <w:trHeight w:val="20"/>
        </w:trPr>
        <w:tc>
          <w:tcPr>
            <w:tcW w:w="6619" w:type="dxa"/>
          </w:tcPr>
          <w:p w14:paraId="182F8BD6" w14:textId="77777777" w:rsidR="00280E04" w:rsidRPr="00136B82" w:rsidRDefault="0057610B" w:rsidP="00827482">
            <w:pPr>
              <w:pStyle w:val="LOGO"/>
              <w:framePr w:hSpace="0" w:wrap="auto" w:xAlign="left" w:yAlign="inline"/>
              <w:spacing w:before="480"/>
              <w:rPr>
                <w:rtl/>
              </w:rPr>
            </w:pPr>
            <w:r>
              <w:rPr>
                <w:rFonts w:hint="cs"/>
                <w:rtl/>
              </w:rPr>
              <w:t>الفريق الاستشاري للاتصالات الراديوية</w:t>
            </w:r>
          </w:p>
        </w:tc>
        <w:tc>
          <w:tcPr>
            <w:tcW w:w="3053" w:type="dxa"/>
          </w:tcPr>
          <w:p w14:paraId="731446FD" w14:textId="77777777" w:rsidR="00280E04" w:rsidRDefault="00553F66" w:rsidP="00F52E75">
            <w:pPr>
              <w:spacing w:before="0"/>
              <w:jc w:val="left"/>
              <w:rPr>
                <w:rtl/>
                <w:lang w:bidi="ar-EG"/>
              </w:rPr>
            </w:pPr>
            <w:bookmarkStart w:id="0" w:name="ditulogo"/>
            <w:bookmarkEnd w:id="0"/>
            <w:r w:rsidRPr="00C126C1">
              <w:rPr>
                <w:noProof/>
                <w:lang w:eastAsia="zh-CN"/>
              </w:rPr>
              <w:drawing>
                <wp:inline distT="0" distB="0" distL="0" distR="0" wp14:anchorId="5F9D3D50" wp14:editId="2E460D3D">
                  <wp:extent cx="844492" cy="844492"/>
                  <wp:effectExtent l="0" t="0" r="0" b="0"/>
                  <wp:docPr id="4" name="Picture 4"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80E04" w14:paraId="01DAF2D6" w14:textId="77777777" w:rsidTr="00553F66">
        <w:trPr>
          <w:cantSplit/>
          <w:trHeight w:val="20"/>
        </w:trPr>
        <w:tc>
          <w:tcPr>
            <w:tcW w:w="6619" w:type="dxa"/>
            <w:tcBorders>
              <w:bottom w:val="single" w:sz="12" w:space="0" w:color="auto"/>
            </w:tcBorders>
          </w:tcPr>
          <w:p w14:paraId="1510C2E0" w14:textId="77777777" w:rsidR="00280E04" w:rsidRPr="00960962" w:rsidRDefault="00280E04" w:rsidP="002F3031">
            <w:pPr>
              <w:spacing w:before="0" w:line="120" w:lineRule="auto"/>
              <w:rPr>
                <w:rtl/>
                <w:lang w:bidi="ar-EG"/>
              </w:rPr>
            </w:pPr>
          </w:p>
        </w:tc>
        <w:tc>
          <w:tcPr>
            <w:tcW w:w="3053" w:type="dxa"/>
            <w:tcBorders>
              <w:bottom w:val="single" w:sz="12" w:space="0" w:color="auto"/>
            </w:tcBorders>
          </w:tcPr>
          <w:p w14:paraId="3F10C824" w14:textId="77777777" w:rsidR="00280E04" w:rsidRPr="00A9645C" w:rsidRDefault="00280E04" w:rsidP="002F3031">
            <w:pPr>
              <w:spacing w:before="0" w:line="120" w:lineRule="auto"/>
              <w:rPr>
                <w:lang w:bidi="ar-EG"/>
              </w:rPr>
            </w:pPr>
          </w:p>
        </w:tc>
      </w:tr>
      <w:tr w:rsidR="00280E04" w14:paraId="47F23D6F" w14:textId="77777777" w:rsidTr="00553F66">
        <w:trPr>
          <w:cantSplit/>
          <w:trHeight w:val="20"/>
        </w:trPr>
        <w:tc>
          <w:tcPr>
            <w:tcW w:w="6619" w:type="dxa"/>
            <w:tcBorders>
              <w:top w:val="single" w:sz="12" w:space="0" w:color="auto"/>
            </w:tcBorders>
          </w:tcPr>
          <w:p w14:paraId="47A2A27B" w14:textId="77777777" w:rsidR="00280E04" w:rsidRPr="00BD6EF3" w:rsidRDefault="00280E04" w:rsidP="00D44350">
            <w:pPr>
              <w:pStyle w:val="Adress"/>
              <w:framePr w:hSpace="0" w:wrap="auto" w:xAlign="left" w:yAlign="inline"/>
              <w:rPr>
                <w:rtl/>
              </w:rPr>
            </w:pPr>
          </w:p>
        </w:tc>
        <w:tc>
          <w:tcPr>
            <w:tcW w:w="3053" w:type="dxa"/>
            <w:tcBorders>
              <w:top w:val="single" w:sz="12" w:space="0" w:color="auto"/>
            </w:tcBorders>
          </w:tcPr>
          <w:p w14:paraId="45401F01" w14:textId="77777777" w:rsidR="00280E04" w:rsidRPr="00BD6EF3" w:rsidRDefault="00280E04" w:rsidP="00D44350">
            <w:pPr>
              <w:pStyle w:val="Adress"/>
              <w:framePr w:hSpace="0" w:wrap="auto" w:xAlign="left" w:yAlign="inline"/>
            </w:pPr>
          </w:p>
        </w:tc>
      </w:tr>
      <w:tr w:rsidR="0030601A" w14:paraId="58510C00" w14:textId="77777777" w:rsidTr="00553F66">
        <w:trPr>
          <w:cantSplit/>
        </w:trPr>
        <w:tc>
          <w:tcPr>
            <w:tcW w:w="6619" w:type="dxa"/>
            <w:vMerge w:val="restart"/>
          </w:tcPr>
          <w:p w14:paraId="332B9D86" w14:textId="77777777" w:rsidR="0030601A" w:rsidRPr="0012545F" w:rsidRDefault="0030601A" w:rsidP="0030601A">
            <w:pPr>
              <w:pStyle w:val="Committee"/>
              <w:framePr w:hSpace="0" w:wrap="auto" w:hAnchor="text" w:yAlign="inline"/>
              <w:bidi/>
              <w:spacing w:before="20" w:after="20"/>
              <w:rPr>
                <w:rtl/>
              </w:rPr>
            </w:pPr>
          </w:p>
        </w:tc>
        <w:tc>
          <w:tcPr>
            <w:tcW w:w="3053" w:type="dxa"/>
            <w:vAlign w:val="center"/>
          </w:tcPr>
          <w:p w14:paraId="2B46DB1F" w14:textId="271425E8" w:rsidR="0030601A" w:rsidRPr="0012545F" w:rsidRDefault="0030601A" w:rsidP="0030601A">
            <w:pPr>
              <w:pStyle w:val="Adress"/>
              <w:framePr w:hSpace="0" w:wrap="auto" w:xAlign="left" w:yAlign="inline"/>
              <w:spacing w:before="20" w:after="20"/>
              <w:rPr>
                <w:rtl/>
              </w:rPr>
            </w:pPr>
            <w:r w:rsidRPr="0012545F">
              <w:rPr>
                <w:rtl/>
              </w:rPr>
              <w:t>ا</w:t>
            </w:r>
            <w:r w:rsidRPr="0012545F">
              <w:rPr>
                <w:rFonts w:hint="cs"/>
                <w:rtl/>
              </w:rPr>
              <w:t>ل</w:t>
            </w:r>
            <w:r w:rsidRPr="0012545F">
              <w:rPr>
                <w:rtl/>
              </w:rPr>
              <w:t>و</w:t>
            </w:r>
            <w:r w:rsidRPr="0012545F">
              <w:rPr>
                <w:rFonts w:hint="cs"/>
                <w:rtl/>
              </w:rPr>
              <w:t xml:space="preserve">ثيقة </w:t>
            </w:r>
            <w:r>
              <w:t>RAG/</w:t>
            </w:r>
            <w:r w:rsidR="00D27398">
              <w:t>71</w:t>
            </w:r>
            <w:r w:rsidRPr="0012545F">
              <w:t>-A</w:t>
            </w:r>
          </w:p>
        </w:tc>
      </w:tr>
      <w:tr w:rsidR="0030601A" w14:paraId="5DDC0C6E" w14:textId="77777777" w:rsidTr="00553F66">
        <w:trPr>
          <w:cantSplit/>
        </w:trPr>
        <w:tc>
          <w:tcPr>
            <w:tcW w:w="6619" w:type="dxa"/>
            <w:vMerge/>
          </w:tcPr>
          <w:p w14:paraId="384650BD" w14:textId="77777777" w:rsidR="0030601A" w:rsidRPr="0012545F" w:rsidRDefault="0030601A" w:rsidP="0030601A">
            <w:pPr>
              <w:pStyle w:val="Adress"/>
              <w:framePr w:hSpace="0" w:wrap="auto" w:xAlign="left" w:yAlign="inline"/>
              <w:spacing w:before="20" w:after="20"/>
              <w:rPr>
                <w:rtl/>
              </w:rPr>
            </w:pPr>
          </w:p>
        </w:tc>
        <w:tc>
          <w:tcPr>
            <w:tcW w:w="3053" w:type="dxa"/>
            <w:vAlign w:val="center"/>
          </w:tcPr>
          <w:p w14:paraId="7C943C59" w14:textId="5E75E40C" w:rsidR="0030601A" w:rsidRPr="0012545F" w:rsidRDefault="00D27398" w:rsidP="0030601A">
            <w:pPr>
              <w:pStyle w:val="Adress"/>
              <w:framePr w:hSpace="0" w:wrap="auto" w:xAlign="left" w:yAlign="inline"/>
              <w:spacing w:before="20" w:after="20"/>
              <w:rPr>
                <w:rtl/>
              </w:rPr>
            </w:pPr>
            <w:r>
              <w:t>16</w:t>
            </w:r>
            <w:r w:rsidR="0030601A" w:rsidRPr="0012545F">
              <w:rPr>
                <w:rFonts w:hint="cs"/>
                <w:rtl/>
              </w:rPr>
              <w:t xml:space="preserve"> </w:t>
            </w:r>
            <w:r>
              <w:rPr>
                <w:rFonts w:hint="cs"/>
                <w:rtl/>
              </w:rPr>
              <w:t>مارس</w:t>
            </w:r>
            <w:r w:rsidR="0030601A" w:rsidRPr="0012545F">
              <w:rPr>
                <w:rFonts w:hint="cs"/>
                <w:rtl/>
              </w:rPr>
              <w:t xml:space="preserve"> </w:t>
            </w:r>
            <w:r w:rsidR="000441FF">
              <w:rPr>
                <w:rFonts w:hint="cs"/>
                <w:rtl/>
              </w:rPr>
              <w:t>2026</w:t>
            </w:r>
          </w:p>
        </w:tc>
      </w:tr>
      <w:tr w:rsidR="0030601A" w14:paraId="3C6F8476" w14:textId="77777777" w:rsidTr="00553F66">
        <w:trPr>
          <w:cantSplit/>
        </w:trPr>
        <w:tc>
          <w:tcPr>
            <w:tcW w:w="6619" w:type="dxa"/>
            <w:vMerge/>
          </w:tcPr>
          <w:p w14:paraId="5DD5B997" w14:textId="77777777" w:rsidR="0030601A" w:rsidRPr="0012545F" w:rsidRDefault="0030601A" w:rsidP="0030601A">
            <w:pPr>
              <w:pStyle w:val="Adress"/>
              <w:framePr w:hSpace="0" w:wrap="auto" w:xAlign="left" w:yAlign="inline"/>
              <w:spacing w:before="20" w:after="20"/>
              <w:rPr>
                <w:rFonts w:eastAsia="SimSun"/>
                <w:rtl/>
              </w:rPr>
            </w:pPr>
          </w:p>
        </w:tc>
        <w:tc>
          <w:tcPr>
            <w:tcW w:w="3053" w:type="dxa"/>
            <w:vAlign w:val="center"/>
          </w:tcPr>
          <w:p w14:paraId="6B3DC9B1" w14:textId="77777777" w:rsidR="0030601A" w:rsidRPr="0012545F" w:rsidRDefault="0030601A" w:rsidP="0030601A">
            <w:pPr>
              <w:pStyle w:val="Adress"/>
              <w:framePr w:hSpace="0" w:wrap="auto" w:xAlign="left" w:yAlign="inline"/>
              <w:spacing w:before="20" w:after="20"/>
              <w:rPr>
                <w:rFonts w:eastAsia="SimSun"/>
              </w:rPr>
            </w:pPr>
            <w:r w:rsidRPr="0012545F">
              <w:rPr>
                <w:rFonts w:hint="cs"/>
                <w:rtl/>
              </w:rPr>
              <w:t>الأصل: بالإنكليزية</w:t>
            </w:r>
          </w:p>
        </w:tc>
      </w:tr>
      <w:tr w:rsidR="00764079" w14:paraId="3FCE504F" w14:textId="77777777" w:rsidTr="00553F66">
        <w:trPr>
          <w:cantSplit/>
        </w:trPr>
        <w:tc>
          <w:tcPr>
            <w:tcW w:w="9672" w:type="dxa"/>
            <w:gridSpan w:val="2"/>
          </w:tcPr>
          <w:p w14:paraId="1D3971C5" w14:textId="51262B4C" w:rsidR="00764079" w:rsidRPr="00D27398" w:rsidRDefault="00D27398" w:rsidP="00D27398">
            <w:pPr>
              <w:pStyle w:val="Source"/>
              <w:rPr>
                <w:rtl/>
              </w:rPr>
            </w:pPr>
            <w:r w:rsidRPr="00D27398">
              <w:rPr>
                <w:rtl/>
              </w:rPr>
              <w:t>المملكة العربية السعودية</w:t>
            </w:r>
          </w:p>
        </w:tc>
      </w:tr>
      <w:tr w:rsidR="00764079" w14:paraId="35635588" w14:textId="77777777" w:rsidTr="00553F66">
        <w:trPr>
          <w:cantSplit/>
        </w:trPr>
        <w:tc>
          <w:tcPr>
            <w:tcW w:w="9672" w:type="dxa"/>
            <w:gridSpan w:val="2"/>
          </w:tcPr>
          <w:p w14:paraId="68EBB3F3" w14:textId="676822B1" w:rsidR="00764079" w:rsidRPr="00D27398" w:rsidRDefault="00D27398" w:rsidP="00D27398">
            <w:pPr>
              <w:pStyle w:val="Title1"/>
              <w:rPr>
                <w:rtl/>
              </w:rPr>
            </w:pPr>
            <w:r w:rsidRPr="00D27398">
              <w:rPr>
                <w:rtl/>
              </w:rPr>
              <w:t xml:space="preserve">تحسينات يمكن إدخالها على تنظيم ونسق الجلسات الإعلامية الأقاليمية </w:t>
            </w:r>
            <w:r w:rsidRPr="00D27398">
              <w:t>(IRIS)</w:t>
            </w:r>
            <w:r>
              <w:rPr>
                <w:rtl/>
              </w:rPr>
              <w:br/>
            </w:r>
            <w:r w:rsidRPr="00D27398">
              <w:rPr>
                <w:rtl/>
              </w:rPr>
              <w:t>بشأن العملية التحضيرية للمؤتمر العالمي للاتصالات الراديوية</w:t>
            </w:r>
          </w:p>
        </w:tc>
      </w:tr>
      <w:tr w:rsidR="0012545F" w14:paraId="10DD2C3C" w14:textId="77777777" w:rsidTr="00553F66">
        <w:trPr>
          <w:cantSplit/>
        </w:trPr>
        <w:tc>
          <w:tcPr>
            <w:tcW w:w="9672" w:type="dxa"/>
            <w:gridSpan w:val="2"/>
          </w:tcPr>
          <w:p w14:paraId="3ED51D98" w14:textId="77777777" w:rsidR="0012545F" w:rsidRDefault="0012545F" w:rsidP="0012545F">
            <w:pPr>
              <w:rPr>
                <w:rtl/>
              </w:rPr>
            </w:pPr>
          </w:p>
        </w:tc>
      </w:tr>
    </w:tbl>
    <w:p w14:paraId="61687F32" w14:textId="77777777" w:rsidR="00D27398" w:rsidRDefault="00D27398" w:rsidP="00D27398">
      <w:pPr>
        <w:pStyle w:val="Heading1"/>
        <w:rPr>
          <w:rtl/>
        </w:rPr>
      </w:pPr>
      <w:r>
        <w:rPr>
          <w:rtl/>
        </w:rPr>
        <w:t>1</w:t>
      </w:r>
      <w:r>
        <w:rPr>
          <w:rtl/>
        </w:rPr>
        <w:tab/>
        <w:t>معلومات أساسية ومناقشة</w:t>
      </w:r>
    </w:p>
    <w:p w14:paraId="00E47F6E" w14:textId="77777777" w:rsidR="00D27398" w:rsidRDefault="00D27398" w:rsidP="00D27398">
      <w:pPr>
        <w:rPr>
          <w:rtl/>
          <w:lang w:bidi="ar-EG"/>
        </w:rPr>
      </w:pPr>
      <w:r>
        <w:rPr>
          <w:rtl/>
          <w:lang w:bidi="ar-EG"/>
        </w:rPr>
        <w:t>ينظر الفريق الاستشاري للاتصالات الراديوية (</w:t>
      </w:r>
      <w:r>
        <w:rPr>
          <w:lang w:bidi="ar-EG"/>
        </w:rPr>
        <w:t>RAG</w:t>
      </w:r>
      <w:r>
        <w:rPr>
          <w:rtl/>
          <w:lang w:bidi="ar-EG"/>
        </w:rPr>
        <w:t>) في آليات ترمي إلى تحسين كفاءة وشفافية العملية التحضيرية للمؤتمر العالمي للاتصالات الراديوية (</w:t>
      </w:r>
      <w:r>
        <w:rPr>
          <w:lang w:bidi="ar-EG"/>
        </w:rPr>
        <w:t>WRC</w:t>
      </w:r>
      <w:r>
        <w:rPr>
          <w:rtl/>
          <w:lang w:bidi="ar-EG"/>
        </w:rPr>
        <w:t>) في إطار قطاع الاتصالات الراديوية بالاتحاد الدولي للاتصالات (</w:t>
      </w:r>
      <w:r>
        <w:rPr>
          <w:lang w:bidi="ar-EG"/>
        </w:rPr>
        <w:t>ITU-R</w:t>
      </w:r>
      <w:r>
        <w:rPr>
          <w:rtl/>
          <w:lang w:bidi="ar-EG"/>
        </w:rPr>
        <w:t>). وناقش الفريق الاستشاري، خلال اجتماعه الثاني والثلاثين، تنظيم وأهداف التبادلات الأقاليمية الرامية إلى دعم العملية التحضيرية للمؤتمر العالمي للاتصالات الراديوية، وقدم إلى مدير مكتب الاتصالات الراديوية توجيهات بشأن كيفية تنظيم هذه التبادلات لتعزيز فائدتها بالنسبة للإدارات والمجموعات الإقليمية. وعلى وجه الخصوص، رأى الفريق الاستشاري أن نسق الجلسات الإعلامية الأقاليمية ينبغي أن ينظَّم بحيث يركز على عدد محدود من المسائل التقنية والتشغيلية، بما في ذلك المساهمات المقدمة من رؤساء فرق العمل المعنية، الذين يقدمون تقارير عن التقدم المحرز في الدراسات المتعلقة بالمؤتمر العالمي للاتصالات الراديوية ويسلطون الضوء على أي صعوبات واجهوها أثناء عملهم.</w:t>
      </w:r>
    </w:p>
    <w:p w14:paraId="58F93F67" w14:textId="1C0A6400" w:rsidR="00D27398" w:rsidRDefault="00D27398" w:rsidP="00D27398">
      <w:pPr>
        <w:rPr>
          <w:rtl/>
          <w:lang w:bidi="ar-EG"/>
        </w:rPr>
      </w:pPr>
      <w:r>
        <w:rPr>
          <w:rtl/>
          <w:lang w:bidi="ar-EG"/>
        </w:rPr>
        <w:t xml:space="preserve">ويتبين من الخبرة المكتسبة خلال الاجتماع الأول لهذه الجلسات في دورة الدراسات التحضيرية للمؤتمر </w:t>
      </w:r>
      <w:r>
        <w:rPr>
          <w:lang w:bidi="ar-EG"/>
        </w:rPr>
        <w:t>WRC-27</w:t>
      </w:r>
      <w:r>
        <w:rPr>
          <w:rtl/>
          <w:lang w:bidi="ar-EG"/>
        </w:rPr>
        <w:t xml:space="preserve"> أن العملية التحضيرية لا تزال في مرحلة مبكرة نسبياً بالنسبة للعديد من بنود جدول الأعمال. وفي العديد من الحالات، لم تسفر دراسات التوافق والتشارك بعد عن نتائج تقنية أولية من شأنها أن تمكّن الإدارات أو المنظمات الإقليمية من بلورة مواقف واضحة. ونتيجة</w:t>
      </w:r>
      <w:r w:rsidR="00011A3A">
        <w:rPr>
          <w:rFonts w:hint="cs"/>
          <w:rtl/>
          <w:lang w:bidi="ar-EG"/>
        </w:rPr>
        <w:t>ً</w:t>
      </w:r>
      <w:r>
        <w:rPr>
          <w:rtl/>
          <w:lang w:bidi="ar-EG"/>
        </w:rPr>
        <w:t xml:space="preserve"> لذلك، فإن المواقف الإقليمية بشأن عدد من بنود جدول الأعمال لم تحدَّد بعد أو ظلت ذات طابع أولي إلى حد كبير. وفي</w:t>
      </w:r>
      <w:r w:rsidR="00011A3A">
        <w:rPr>
          <w:rFonts w:hint="cs"/>
          <w:rtl/>
          <w:lang w:bidi="ar-EG"/>
        </w:rPr>
        <w:t> </w:t>
      </w:r>
      <w:r>
        <w:rPr>
          <w:rtl/>
          <w:lang w:bidi="ar-EG"/>
        </w:rPr>
        <w:t>ظل هذه الظروف، اقتصرت التبادلات خلال الاجتماع إلى حد كبير على عرض الآراء الإقليمية، ولم تتَح سوى فرص محدودة لإجراء مناقشات تفاعلية بشأن الجوانب التقنية أو التنظيمية لبنود جدول الأعمال.</w:t>
      </w:r>
    </w:p>
    <w:p w14:paraId="6D024535" w14:textId="449DE261" w:rsidR="00D27398" w:rsidRDefault="00D27398" w:rsidP="00D27398">
      <w:pPr>
        <w:rPr>
          <w:rtl/>
          <w:lang w:bidi="ar-EG"/>
        </w:rPr>
      </w:pPr>
      <w:r>
        <w:rPr>
          <w:rtl/>
          <w:lang w:bidi="ar-EG"/>
        </w:rPr>
        <w:t xml:space="preserve">وترى المملكة العربية السعودية أنه، من أجل تعظيم فعالية الجلسات الإعلامية الأقاليمية بوصفها منتدى للحوار الأقاليمي، </w:t>
      </w:r>
      <w:r w:rsidR="000D0335">
        <w:rPr>
          <w:rtl/>
          <w:lang w:bidi="ar-EG"/>
        </w:rPr>
        <w:t>قد</w:t>
      </w:r>
      <w:r w:rsidR="000D0335">
        <w:rPr>
          <w:rFonts w:hint="cs"/>
          <w:rtl/>
          <w:lang w:bidi="ar-EG"/>
        </w:rPr>
        <w:t> </w:t>
      </w:r>
      <w:r>
        <w:rPr>
          <w:rtl/>
          <w:lang w:bidi="ar-EG"/>
        </w:rPr>
        <w:t>يكون من المفيد مواصلة التفكير في التعديلات الممكن إدخالها على تنظيم هذه الاجتماعات ونسقها وتوقيتها. ومن شأن هذه التعديلات أن تساعد على ضمان مواءمة المناقشات التي تجرى خلال هذه الجلسات بشكل أفضل مع مدى اكتمال الدراسات داخل لجان الدراسات وفرق العمل، وأن تيسر المزيد من التبادلات الجوهرية بين المناطق، وتعزز المساهمة الشاملة لهذه الجلسات في العملية التحضيرية.</w:t>
      </w:r>
    </w:p>
    <w:p w14:paraId="0B25F20D" w14:textId="77777777" w:rsidR="00D27398" w:rsidRDefault="00D27398" w:rsidP="00D27398">
      <w:pPr>
        <w:pStyle w:val="Heading1"/>
        <w:rPr>
          <w:rtl/>
        </w:rPr>
      </w:pPr>
      <w:r>
        <w:rPr>
          <w:rtl/>
        </w:rPr>
        <w:t>2</w:t>
      </w:r>
      <w:r>
        <w:rPr>
          <w:rtl/>
        </w:rPr>
        <w:tab/>
        <w:t>المقترح</w:t>
      </w:r>
    </w:p>
    <w:p w14:paraId="49C3907F" w14:textId="77777777" w:rsidR="00D27398" w:rsidRDefault="00D27398" w:rsidP="00D27398">
      <w:pPr>
        <w:rPr>
          <w:rtl/>
          <w:lang w:bidi="ar-EG"/>
        </w:rPr>
      </w:pPr>
      <w:r>
        <w:rPr>
          <w:rtl/>
          <w:lang w:bidi="ar-EG"/>
        </w:rPr>
        <w:t>تقترح المملكة العربية السعودية أن يواصل الفريق الاستشاري للاتصالات الراديوية في اجتماعه الثالث والثلاثين المناقشات بشأن القضايا المتعلقة بتنفيذ التدابير الرامية إلى زيادة فعالية تنظيم اجتماعات الجلسات الإعلامية الأقاليمية، وبالتالي المساهمة زيادة كفاءة الأعمال التحضيرية للمؤتمرات العالمية للاتصالات الراديوية.</w:t>
      </w:r>
    </w:p>
    <w:p w14:paraId="6E8B45AE" w14:textId="77777777" w:rsidR="00D27398" w:rsidRDefault="00D27398" w:rsidP="00D27398">
      <w:pPr>
        <w:rPr>
          <w:rtl/>
          <w:lang w:bidi="ar-EG"/>
        </w:rPr>
      </w:pPr>
      <w:r>
        <w:rPr>
          <w:rtl/>
          <w:lang w:bidi="ar-EG"/>
        </w:rPr>
        <w:lastRenderedPageBreak/>
        <w:t>وفي هذا الصدد، تقترح المملكة العربية السعودية النظر في التحسينات الممكنة التالية المتعلقة بتنظيم الجلسات الإعلامية الأقاليمية ونسقها وتوقيتها.</w:t>
      </w:r>
    </w:p>
    <w:p w14:paraId="6FFD137A" w14:textId="516C6B56" w:rsidR="00D27398" w:rsidRDefault="00D27398" w:rsidP="00D27398">
      <w:pPr>
        <w:pStyle w:val="Heading2"/>
        <w:rPr>
          <w:rtl/>
        </w:rPr>
      </w:pPr>
      <w:r>
        <w:t>1.2</w:t>
      </w:r>
      <w:r>
        <w:rPr>
          <w:rtl/>
        </w:rPr>
        <w:tab/>
        <w:t>الجوانب التنظيمية</w:t>
      </w:r>
    </w:p>
    <w:p w14:paraId="5AE1257B" w14:textId="39BAC2E0" w:rsidR="00D27398" w:rsidRDefault="00D27398" w:rsidP="00D27398">
      <w:pPr>
        <w:pStyle w:val="Heading3"/>
        <w:rPr>
          <w:rtl/>
        </w:rPr>
      </w:pPr>
      <w:r>
        <w:t>1.1.2</w:t>
      </w:r>
      <w:r>
        <w:rPr>
          <w:rtl/>
        </w:rPr>
        <w:tab/>
        <w:t>لمحة عامة عن مدى اكتمال الدراسات قبل الاجتماع</w:t>
      </w:r>
    </w:p>
    <w:p w14:paraId="0A67CAC2" w14:textId="77777777" w:rsidR="00D27398" w:rsidRDefault="00D27398" w:rsidP="00D27398">
      <w:pPr>
        <w:rPr>
          <w:rtl/>
          <w:lang w:bidi="ar-EG"/>
        </w:rPr>
      </w:pPr>
      <w:r>
        <w:rPr>
          <w:rtl/>
          <w:lang w:bidi="ar-EG"/>
        </w:rPr>
        <w:t>قبل انعقاد كل اجتماع من اجتماعات الجلسات الإعلامية الأقالمية، يمكن لمكتب الاتصالات الراديوية أن يعمم لمحة عامة وقائعية قصيرة عن حالة الدراسات المتعلقة بكل بند من بنود جدول الأعمال. وستبين هذه الوثيقة ما إذا كانت الدراسات جارية، وما إذا أُحرزت نتائج أولية، وما هي المراحل الرئيسية المتوقعة. ومن شأن هذه الشفافية أن تساعد المشاركين على ضبط توقعاتهم، وترتيب أولويات بنود المناقشة، وتركيز الجهود على المجالات التي يتسنى فيها التفاعل على نحو هادف.</w:t>
      </w:r>
    </w:p>
    <w:p w14:paraId="76B3047F" w14:textId="211717F0" w:rsidR="00D27398" w:rsidRPr="00D27398" w:rsidRDefault="00D27398" w:rsidP="00D27398">
      <w:pPr>
        <w:pStyle w:val="Heading3"/>
        <w:rPr>
          <w:rtl/>
        </w:rPr>
      </w:pPr>
      <w:r w:rsidRPr="00D27398">
        <w:t>2.1.2</w:t>
      </w:r>
      <w:r w:rsidRPr="00D27398">
        <w:rPr>
          <w:rtl/>
        </w:rPr>
        <w:tab/>
        <w:t>مصفوفة</w:t>
      </w:r>
      <w:r w:rsidRPr="00D27398">
        <w:rPr>
          <w:rFonts w:hint="cs"/>
          <w:rtl/>
        </w:rPr>
        <w:t xml:space="preserve"> </w:t>
      </w:r>
      <w:r w:rsidRPr="00D27398">
        <w:rPr>
          <w:rtl/>
        </w:rPr>
        <w:t>تتبع التقارب</w:t>
      </w:r>
    </w:p>
    <w:p w14:paraId="4ADA3D9B" w14:textId="310F14D1" w:rsidR="00D27398" w:rsidRDefault="00D27398" w:rsidP="00D27398">
      <w:pPr>
        <w:rPr>
          <w:rtl/>
          <w:lang w:bidi="ar-EG"/>
        </w:rPr>
      </w:pPr>
      <w:r>
        <w:rPr>
          <w:rtl/>
          <w:lang w:bidi="ar-EG"/>
        </w:rPr>
        <w:t>ويمكن للمكتب أن يحتفظ بمصفوفة تقابل رفيعة المستوى لتتبع التقارب تُبيِّن، بالنسبة لكل بند من بنود جدول الأعمال، مجالات المواءمة والتباعد وغياب المواقف بين المناطق، وأن يحدِّث هذه المصفو</w:t>
      </w:r>
      <w:r>
        <w:rPr>
          <w:rFonts w:hint="cs"/>
          <w:rtl/>
          <w:lang w:bidi="ar-EG"/>
        </w:rPr>
        <w:t>ف</w:t>
      </w:r>
      <w:r>
        <w:rPr>
          <w:rtl/>
          <w:lang w:bidi="ar-EG"/>
        </w:rPr>
        <w:t>ة دورياً. ولن تشكل هذه اللمحة العامة الاستراتيجية تكراراً للتفاصيل التقنية المقدمة من لجان الدراسات، لكنها ستعطي صورة واضحة للمشهد الأقاليمي المتطور، فتدعم بذلك إجراء مناقشات أكثر تركيزاً.</w:t>
      </w:r>
    </w:p>
    <w:p w14:paraId="317A47F0" w14:textId="3328231B" w:rsidR="00D27398" w:rsidRDefault="00D27398" w:rsidP="00D27398">
      <w:pPr>
        <w:pStyle w:val="Heading3"/>
        <w:rPr>
          <w:rtl/>
        </w:rPr>
      </w:pPr>
      <w:r>
        <w:t>3.1.2</w:t>
      </w:r>
      <w:r>
        <w:rPr>
          <w:rtl/>
        </w:rPr>
        <w:tab/>
        <w:t>تقرير المكتب بشأن النتائج بعد الاجتماع</w:t>
      </w:r>
    </w:p>
    <w:p w14:paraId="3B2699DB" w14:textId="77777777" w:rsidR="00D27398" w:rsidRDefault="00D27398" w:rsidP="00D27398">
      <w:pPr>
        <w:rPr>
          <w:rtl/>
          <w:lang w:bidi="ar-EG"/>
        </w:rPr>
      </w:pPr>
      <w:r>
        <w:rPr>
          <w:rtl/>
          <w:lang w:bidi="ar-EG"/>
        </w:rPr>
        <w:t>بعد كل اجتماع من اجتماعات الجلسات الإعلامية الأقاليمية، يمكن أن يصدر مكتب الاتصالات الراديوية تقريراً موجزاً موجهاً نحو النتائج يسلط الضوء على الإنجازات الرئيسية ومجالات التقارب الناشئة ومجالات التباعد المستمرة وبنود جدول الأعمال التي لم تُصَغ بعد مواقف بشأنها. ومن شأن هذا التقرير أن يوفر الاستمرارية بين الاجتماعات، ويؤكد التقدم المحرز، ويسلط مزيداً من الضوء على المواءمة المتطورة بين المناطق. ومن شأنه أيضاً أن يعزز الجلسات الإعلامية الأقاليمية بوصفها منصة تنسيق موجهة نحو النتائج وليس مجرد منتدى للإعراب عن المواقف.</w:t>
      </w:r>
    </w:p>
    <w:p w14:paraId="52E92DF7" w14:textId="55AB2080" w:rsidR="00D27398" w:rsidRDefault="00D27398" w:rsidP="00D27398">
      <w:pPr>
        <w:pStyle w:val="Heading3"/>
        <w:rPr>
          <w:rtl/>
        </w:rPr>
      </w:pPr>
      <w:r>
        <w:t>4.1.2</w:t>
      </w:r>
      <w:r>
        <w:rPr>
          <w:rtl/>
        </w:rPr>
        <w:tab/>
        <w:t>جلسة مخصصة لمشاركة دوائر الصناعة</w:t>
      </w:r>
    </w:p>
    <w:p w14:paraId="56953A8A" w14:textId="77777777" w:rsidR="00D27398" w:rsidRDefault="00D27398" w:rsidP="00D27398">
      <w:pPr>
        <w:rPr>
          <w:rtl/>
          <w:lang w:bidi="ar-EG"/>
        </w:rPr>
      </w:pPr>
      <w:r>
        <w:rPr>
          <w:rtl/>
          <w:lang w:bidi="ar-EG"/>
        </w:rPr>
        <w:t xml:space="preserve">يمكن لمكتب الاتصالات الراديوية أن ينظر في تنظيم جلسة في إطار الجلسات الإعلامية الأقاليمية مخصصة لمشاركة دوائر الصناعة من أعضاء قطاع الاتصالات الراديوية. وستتيح هذه الجلسة لمشغلي السواتل ومصنّعي المعدات ومقدمي الخدمات وغيرهم من أصحاب المصلحة من دوائر الصناعة الفرصة لتقديم رؤى وآراء بشأن بنود محددة من جدول أعمال المؤتمر </w:t>
      </w:r>
      <w:r>
        <w:rPr>
          <w:lang w:bidi="ar-EG"/>
        </w:rPr>
        <w:t>WRC-27</w:t>
      </w:r>
      <w:r>
        <w:rPr>
          <w:rtl/>
          <w:lang w:bidi="ar-EG"/>
        </w:rPr>
        <w:t xml:space="preserve"> وبشأن التطورات التكنولوجية الناشئة. ونظراً للدور الهام الذي تؤديه الأطراف الفاعلة في السوق في تطوير تكنولوجيات الاتصالات الراديوية وخدماتها، يمكن أن تساعد هذه التبادلات في تزويد الإدارات بوجهات نظر إضافية عند صياغة مواقفها. ويمكن أن يساهم هذا النهج أيضاً في تحسين الشفافية فيما يتعلق بتوقعات دوائر الصناعة وتسهيل فهم أوسع للاتجاهات التكنولوجية والتشغيلية ذات الصلة بالعملية التحضيرية للمؤتمر </w:t>
      </w:r>
      <w:r>
        <w:rPr>
          <w:lang w:bidi="ar-EG"/>
        </w:rPr>
        <w:t>WRC-27</w:t>
      </w:r>
      <w:r>
        <w:rPr>
          <w:rtl/>
          <w:lang w:bidi="ar-EG"/>
        </w:rPr>
        <w:t>.</w:t>
      </w:r>
    </w:p>
    <w:p w14:paraId="35F3A9DC" w14:textId="34005BFC" w:rsidR="00D27398" w:rsidRDefault="00D27398" w:rsidP="00D27398">
      <w:pPr>
        <w:pStyle w:val="Heading2"/>
        <w:rPr>
          <w:rtl/>
        </w:rPr>
      </w:pPr>
      <w:r>
        <w:t>2.2</w:t>
      </w:r>
      <w:r>
        <w:rPr>
          <w:rtl/>
        </w:rPr>
        <w:tab/>
        <w:t>نسق الاجتماعات</w:t>
      </w:r>
    </w:p>
    <w:p w14:paraId="5FC81BB6" w14:textId="5DBA0CBB" w:rsidR="00D27398" w:rsidRDefault="00D27398" w:rsidP="00D27398">
      <w:pPr>
        <w:pStyle w:val="Heading3"/>
        <w:rPr>
          <w:rtl/>
        </w:rPr>
      </w:pPr>
      <w:r>
        <w:t>1.2.2</w:t>
      </w:r>
      <w:r w:rsidR="00011A3A">
        <w:rPr>
          <w:rtl/>
        </w:rPr>
        <w:tab/>
      </w:r>
      <w:r>
        <w:rPr>
          <w:rtl/>
        </w:rPr>
        <w:t>نُسخ أولية مقيَّسة للمدخلات المكتوبة</w:t>
      </w:r>
    </w:p>
    <w:p w14:paraId="1ADBF733" w14:textId="4F7A54B5" w:rsidR="00D27398" w:rsidRDefault="00D27398" w:rsidP="00D27398">
      <w:pPr>
        <w:rPr>
          <w:rtl/>
          <w:lang w:bidi="ar-EG"/>
        </w:rPr>
      </w:pPr>
      <w:r>
        <w:rPr>
          <w:rtl/>
          <w:lang w:bidi="ar-EG"/>
        </w:rPr>
        <w:t>يمكن لمكتب الاتصالات الراديوية أن يعتمد نموذجاً معيارياً موجزاً للنسخ الأولية من المساهمات الإقليمية المكتوبة. ومن شأن هذا النموذج المعياري أن يميز بوضوح بين المواقف الثابتة، والآراء الأولية أو المشروطة، وبنود جدول الأعمال التي لم يتم بعد تكوين أي موقف بشأنها. ومن شأن ذلك أن يحسن الشفافية</w:t>
      </w:r>
      <w:r w:rsidR="00011A3A">
        <w:rPr>
          <w:rtl/>
          <w:lang w:bidi="ar-EG"/>
        </w:rPr>
        <w:t xml:space="preserve"> </w:t>
      </w:r>
      <w:r>
        <w:rPr>
          <w:rtl/>
          <w:lang w:bidi="ar-EG"/>
        </w:rPr>
        <w:t>فيما يتعلق بمدى نضج المواقف، وأن يتيح استخدام وقت الجلسة العامة بمزيد من الكفاءة من أجل المناقشات.</w:t>
      </w:r>
    </w:p>
    <w:p w14:paraId="03A73074" w14:textId="0BF9F530" w:rsidR="00D27398" w:rsidRDefault="00D27398" w:rsidP="00D27398">
      <w:pPr>
        <w:pStyle w:val="Heading3"/>
        <w:rPr>
          <w:rtl/>
        </w:rPr>
      </w:pPr>
      <w:r>
        <w:t>2.2.2</w:t>
      </w:r>
      <w:r>
        <w:tab/>
      </w:r>
      <w:r>
        <w:rPr>
          <w:rtl/>
        </w:rPr>
        <w:t>توزيع منظم للوقت من أجل المناقشات التفاعلية</w:t>
      </w:r>
    </w:p>
    <w:p w14:paraId="3FFA8C36" w14:textId="77777777" w:rsidR="00D27398" w:rsidRDefault="00D27398" w:rsidP="00D27398">
      <w:pPr>
        <w:rPr>
          <w:rtl/>
          <w:lang w:bidi="ar-EG"/>
        </w:rPr>
      </w:pPr>
      <w:r>
        <w:rPr>
          <w:rtl/>
          <w:lang w:bidi="ar-EG"/>
        </w:rPr>
        <w:t>يمكن إعادة موازنة جداول أعمال الاجتماعات للحد رسمياً من مدة البيانات الشفوية للإعراب عن الموافق، وضمان تخصيص حيز مناقشة محدد لكل بند من بنود جدول الأعمال. ومن شأن تبادل الآراء الميسَّر الذي يركز على المسائل التنظيمية الرئيسية والافتراضات ومجالات التقارب أو التباعد المحتملة أن يصبح مكوناً هيكلياً لكل جلسة. ومن شأن ذلك أن يحوِّل النسق من الإبلاغ التسلسلي إلى الحوار.</w:t>
      </w:r>
    </w:p>
    <w:p w14:paraId="09E1C4B1" w14:textId="370E1D5E" w:rsidR="00D27398" w:rsidRDefault="00D27398" w:rsidP="00D27398">
      <w:pPr>
        <w:pStyle w:val="Heading2"/>
        <w:rPr>
          <w:rtl/>
        </w:rPr>
      </w:pPr>
      <w:r>
        <w:lastRenderedPageBreak/>
        <w:t>3.2</w:t>
      </w:r>
      <w:r>
        <w:tab/>
      </w:r>
      <w:r>
        <w:rPr>
          <w:rtl/>
        </w:rPr>
        <w:t>توقيت الاجتماعات</w:t>
      </w:r>
    </w:p>
    <w:p w14:paraId="3543824F" w14:textId="43BCA454" w:rsidR="00D27398" w:rsidRDefault="00D27398" w:rsidP="00D27398">
      <w:pPr>
        <w:pStyle w:val="Heading3"/>
        <w:rPr>
          <w:rtl/>
        </w:rPr>
      </w:pPr>
      <w:r>
        <w:t>1.3.2</w:t>
      </w:r>
      <w:r>
        <w:tab/>
      </w:r>
      <w:r>
        <w:rPr>
          <w:rtl/>
        </w:rPr>
        <w:t>التزامن مع المراحل الرئيسية لأنشطة لجان الدراسات</w:t>
      </w:r>
    </w:p>
    <w:p w14:paraId="79EAD987" w14:textId="78028577" w:rsidR="00D27398" w:rsidRDefault="00D27398" w:rsidP="00D27398">
      <w:pPr>
        <w:rPr>
          <w:rtl/>
          <w:lang w:bidi="ar-EG"/>
        </w:rPr>
      </w:pPr>
      <w:r>
        <w:rPr>
          <w:rtl/>
          <w:lang w:bidi="ar-EG"/>
        </w:rPr>
        <w:t>يمكن أن يكون توقيت اجتماعات الجلسات الإعلامية الأقاليمية متوافقاً بشكل أوثق مع المراحل الرئيسية لأنشطة فرق العمل ولجان الدراسات ذات الصلة، خاصة</w:t>
      </w:r>
      <w:r w:rsidR="00011A3A">
        <w:rPr>
          <w:rFonts w:hint="cs"/>
          <w:rtl/>
          <w:lang w:bidi="ar-EG"/>
        </w:rPr>
        <w:t>ً</w:t>
      </w:r>
      <w:r>
        <w:rPr>
          <w:rtl/>
          <w:lang w:bidi="ar-EG"/>
        </w:rPr>
        <w:t xml:space="preserve"> عندما تكون النتائج الأولية لدراسات التوافق أو التشارك متوقعة. فعقد اجتماعات بعد توافر المخرجات التقنية الأولية من شأنه أن يضمن استناد المناقشات إلى حد أدنى من الأسس التحليلية، وأن يتجنب حالات من قبيل تلك التي لوحظت أثناء الاجتماع الأول من اجتماعات الجلسات الإعلامية الأقاليمية، حيث لم تكن الدراسات قد اكتملت بعد </w:t>
      </w:r>
      <w:r w:rsidR="00D40DC9">
        <w:rPr>
          <w:rtl/>
          <w:lang w:bidi="ar-EG"/>
        </w:rPr>
        <w:t>بما</w:t>
      </w:r>
      <w:r w:rsidR="00D40DC9">
        <w:rPr>
          <w:rFonts w:hint="cs"/>
          <w:rtl/>
          <w:lang w:bidi="ar-EG"/>
        </w:rPr>
        <w:t> </w:t>
      </w:r>
      <w:r>
        <w:rPr>
          <w:rtl/>
          <w:lang w:bidi="ar-EG"/>
        </w:rPr>
        <w:t>فيه الكفاية لدعم إجراء تبادلات جوهرية.</w:t>
      </w:r>
    </w:p>
    <w:p w14:paraId="41A7FF29" w14:textId="4C7234D1" w:rsidR="00D27398" w:rsidRDefault="00D27398" w:rsidP="00D27398">
      <w:pPr>
        <w:pStyle w:val="Heading3"/>
        <w:rPr>
          <w:rtl/>
        </w:rPr>
      </w:pPr>
      <w:r>
        <w:t>2.3.2</w:t>
      </w:r>
      <w:r>
        <w:tab/>
      </w:r>
      <w:r>
        <w:rPr>
          <w:rtl/>
        </w:rPr>
        <w:t>مرونة مدد الاجتماعات وتواترها</w:t>
      </w:r>
    </w:p>
    <w:p w14:paraId="64F4B01E" w14:textId="77777777" w:rsidR="00D27398" w:rsidRDefault="00D27398" w:rsidP="00D27398">
      <w:pPr>
        <w:rPr>
          <w:rtl/>
          <w:lang w:bidi="ar-EG"/>
        </w:rPr>
      </w:pPr>
      <w:r>
        <w:rPr>
          <w:rtl/>
          <w:lang w:bidi="ar-EG"/>
        </w:rPr>
        <w:t>يمكن إضفاء قدر أكبر من المرونة على تواتر اجتماعات الجلسات الإعلامية الأقاليمية أو مددها خلال المراحل الأولى واللاحقة من دورة الدراسات التحضيرية للمؤتمر العالمي للاتصالات الراديوية. فعندما تكون دراسات التوافق لم تبدأ بعد أو لم تسفر عن نواتج أولية، يمكن تقصير مدد الاجتماعات. ويمكن عندئذ جدولة مشاركة أكثر كثافة بمجرد أن تبدأ الخيارات التقنية والبدائل التنظيمية تتبلور، ما يضمن استخداماً أكثر كفاءة للوقت والموارد.</w:t>
      </w:r>
    </w:p>
    <w:p w14:paraId="1A156224" w14:textId="71B16DE5" w:rsidR="00D27398" w:rsidRDefault="00D27398" w:rsidP="00D27398">
      <w:pPr>
        <w:pStyle w:val="Heading1"/>
        <w:rPr>
          <w:rtl/>
        </w:rPr>
      </w:pPr>
      <w:r>
        <w:t>3</w:t>
      </w:r>
      <w:r>
        <w:rPr>
          <w:rtl/>
        </w:rPr>
        <w:tab/>
        <w:t>الاستنتاجات</w:t>
      </w:r>
    </w:p>
    <w:p w14:paraId="5761A7BC" w14:textId="59735052" w:rsidR="00A17E61" w:rsidRDefault="00D27398" w:rsidP="00D27398">
      <w:pPr>
        <w:rPr>
          <w:rtl/>
        </w:rPr>
      </w:pPr>
      <w:r>
        <w:rPr>
          <w:rtl/>
          <w:lang w:bidi="ar-EG"/>
        </w:rPr>
        <w:t>تتسم المقترحات الموضحة أعلاه، مجتمعةً، بطابع إجرائي ويمكن تنفيذها ضمن الإطار القائم للجلسات الإعلامية الأقاليمية تحت سلطة مدير مكتب الاتصالات الراديوية، بهدف تعزيز فعالية اجتماعات هذه الجلسات وتنظيمها، وتحسين الشفافية فيما يتعلق بحالة الدراسات والمواقف الإقليمية، وتيسير مزيد من التبادلات الهادفة بين المناطق،</w:t>
      </w:r>
      <w:r w:rsidR="00011A3A">
        <w:rPr>
          <w:rtl/>
          <w:lang w:bidi="ar-EG"/>
        </w:rPr>
        <w:t xml:space="preserve"> </w:t>
      </w:r>
      <w:r>
        <w:rPr>
          <w:rtl/>
          <w:lang w:bidi="ar-EG"/>
        </w:rPr>
        <w:t>وبالتالي تعزيز القيمة الاستراتيجية لهذه الجلسات تدريجياً بوصفها منصة تدعم الأعمال التحضيرية للمؤتمر العالمي للاتصالات الراديوية.</w:t>
      </w:r>
    </w:p>
    <w:p w14:paraId="586CC3B8" w14:textId="77777777" w:rsidR="0039465C" w:rsidRPr="0039465C" w:rsidRDefault="0039465C" w:rsidP="0039465C">
      <w:pPr>
        <w:spacing w:before="600"/>
        <w:jc w:val="center"/>
      </w:pPr>
      <w:r w:rsidRPr="0039465C">
        <w:rPr>
          <w:rFonts w:hint="cs"/>
          <w:rtl/>
          <w:lang w:bidi="ar-EG"/>
        </w:rPr>
        <w:t>ــــــــــــــــــــــــــــــــــــــــــــــــــــــــــــــــــــــــــــــــــــــــــــــــ</w:t>
      </w:r>
    </w:p>
    <w:sectPr w:rsidR="0039465C" w:rsidRPr="0039465C" w:rsidSect="004D4AE6">
      <w:headerReference w:type="even" r:id="rId13"/>
      <w:headerReference w:type="default" r:id="rId14"/>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A4950" w14:textId="77777777" w:rsidR="000404BE" w:rsidRDefault="000404BE" w:rsidP="002919E1">
      <w:r>
        <w:separator/>
      </w:r>
    </w:p>
    <w:p w14:paraId="358B2FB2" w14:textId="77777777" w:rsidR="000404BE" w:rsidRDefault="000404BE" w:rsidP="002919E1"/>
    <w:p w14:paraId="37B18AE5" w14:textId="77777777" w:rsidR="000404BE" w:rsidRDefault="000404BE" w:rsidP="002919E1"/>
    <w:p w14:paraId="312A34C1" w14:textId="77777777" w:rsidR="000404BE" w:rsidRDefault="000404BE"/>
  </w:endnote>
  <w:endnote w:type="continuationSeparator" w:id="0">
    <w:p w14:paraId="3AC3EB95" w14:textId="77777777" w:rsidR="000404BE" w:rsidRDefault="000404BE" w:rsidP="002919E1">
      <w:r>
        <w:continuationSeparator/>
      </w:r>
    </w:p>
    <w:p w14:paraId="09317B10" w14:textId="77777777" w:rsidR="000404BE" w:rsidRDefault="000404BE" w:rsidP="002919E1"/>
    <w:p w14:paraId="4A4AD6AD" w14:textId="77777777" w:rsidR="000404BE" w:rsidRDefault="000404BE" w:rsidP="002919E1"/>
    <w:p w14:paraId="341A77BA" w14:textId="77777777" w:rsidR="000404BE" w:rsidRDefault="00040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BE0ED" w14:textId="77777777" w:rsidR="000404BE" w:rsidRDefault="000404BE" w:rsidP="002919E1">
      <w:r>
        <w:separator/>
      </w:r>
    </w:p>
  </w:footnote>
  <w:footnote w:type="continuationSeparator" w:id="0">
    <w:p w14:paraId="1158B0F9" w14:textId="77777777" w:rsidR="000404BE" w:rsidRDefault="000404BE" w:rsidP="002919E1">
      <w:r>
        <w:continuationSeparator/>
      </w:r>
    </w:p>
    <w:p w14:paraId="128A03AC" w14:textId="77777777" w:rsidR="000404BE" w:rsidRDefault="000404BE" w:rsidP="002919E1"/>
    <w:p w14:paraId="53BB8E56" w14:textId="77777777" w:rsidR="000404BE" w:rsidRDefault="000404BE" w:rsidP="002919E1"/>
    <w:p w14:paraId="5D506390" w14:textId="77777777" w:rsidR="000404BE" w:rsidRDefault="00040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6802" w14:textId="77777777" w:rsidR="00281F5F" w:rsidRDefault="00281F5F" w:rsidP="002919E1"/>
  <w:p w14:paraId="04D2E25B" w14:textId="77777777" w:rsidR="00281F5F" w:rsidRDefault="00281F5F" w:rsidP="002919E1"/>
  <w:p w14:paraId="2942776E"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1B62" w14:textId="304C575F" w:rsidR="00281F5F" w:rsidRPr="0088384B" w:rsidRDefault="00281F5F" w:rsidP="005730DF">
    <w:pPr>
      <w:bidi w:val="0"/>
      <w:spacing w:after="240"/>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2B12C5">
      <w:rPr>
        <w:rStyle w:val="PageNumber"/>
        <w:noProof/>
      </w:rPr>
      <w:t>2</w:t>
    </w:r>
    <w:r w:rsidRPr="0088384B">
      <w:rPr>
        <w:rStyle w:val="PageNumber"/>
      </w:rPr>
      <w:fldChar w:fldCharType="end"/>
    </w:r>
    <w:r>
      <w:rPr>
        <w:rStyle w:val="PageNumber"/>
        <w:rtl/>
      </w:rPr>
      <w:br/>
    </w:r>
    <w:r w:rsidR="002F3031">
      <w:rPr>
        <w:rStyle w:val="PageNumber"/>
      </w:rPr>
      <w:t>R</w:t>
    </w:r>
    <w:r w:rsidR="0057610B">
      <w:rPr>
        <w:rStyle w:val="PageNumber"/>
      </w:rPr>
      <w:t>AG</w:t>
    </w:r>
    <w:r w:rsidR="00A809E8">
      <w:rPr>
        <w:rStyle w:val="PageNumber"/>
      </w:rPr>
      <w:t>/</w:t>
    </w:r>
    <w:r w:rsidR="00D27398">
      <w:rPr>
        <w:rStyle w:val="PageNumber"/>
      </w:rPr>
      <w:t>71</w:t>
    </w:r>
    <w:r w:rsidR="00A809E8">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4C5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BB8A3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642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1AC1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1E4A8A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384571255">
    <w:abstractNumId w:val="9"/>
  </w:num>
  <w:num w:numId="2" w16cid:durableId="683098453">
    <w:abstractNumId w:val="11"/>
  </w:num>
  <w:num w:numId="3" w16cid:durableId="676006606">
    <w:abstractNumId w:val="10"/>
  </w:num>
  <w:num w:numId="4" w16cid:durableId="903955018">
    <w:abstractNumId w:val="12"/>
  </w:num>
  <w:num w:numId="5" w16cid:durableId="68579812">
    <w:abstractNumId w:val="7"/>
  </w:num>
  <w:num w:numId="6" w16cid:durableId="1204824598">
    <w:abstractNumId w:val="6"/>
  </w:num>
  <w:num w:numId="7" w16cid:durableId="490020946">
    <w:abstractNumId w:val="5"/>
  </w:num>
  <w:num w:numId="8" w16cid:durableId="711460756">
    <w:abstractNumId w:val="4"/>
  </w:num>
  <w:num w:numId="9" w16cid:durableId="560992524">
    <w:abstractNumId w:val="8"/>
  </w:num>
  <w:num w:numId="10" w16cid:durableId="1750736950">
    <w:abstractNumId w:val="3"/>
  </w:num>
  <w:num w:numId="11" w16cid:durableId="1770004678">
    <w:abstractNumId w:val="2"/>
  </w:num>
  <w:num w:numId="12" w16cid:durableId="244727552">
    <w:abstractNumId w:val="1"/>
  </w:num>
  <w:num w:numId="13" w16cid:durableId="206918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ar-SA" w:vendorID="4" w:dllVersion="512" w:checkStyle="0"/>
  <w:activeWritingStyle w:appName="MSWord" w:lang="ar-EG" w:vendorID="4" w:dllVersion="512" w:checkStyle="1"/>
  <w:activeWritingStyle w:appName="MSWord" w:lang="ar-SY" w:vendorID="4" w:dllVersion="512" w:checkStyle="1"/>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DDA"/>
    <w:rsid w:val="00011021"/>
    <w:rsid w:val="000114EC"/>
    <w:rsid w:val="00011A3A"/>
    <w:rsid w:val="00011F8C"/>
    <w:rsid w:val="00022B74"/>
    <w:rsid w:val="0002327C"/>
    <w:rsid w:val="00034B65"/>
    <w:rsid w:val="000404BE"/>
    <w:rsid w:val="00040C94"/>
    <w:rsid w:val="000425FC"/>
    <w:rsid w:val="000441FF"/>
    <w:rsid w:val="00044D43"/>
    <w:rsid w:val="00051907"/>
    <w:rsid w:val="00075A3F"/>
    <w:rsid w:val="000A1B16"/>
    <w:rsid w:val="000B3896"/>
    <w:rsid w:val="000B5404"/>
    <w:rsid w:val="000D0335"/>
    <w:rsid w:val="000D1708"/>
    <w:rsid w:val="000E2AFC"/>
    <w:rsid w:val="000E6D30"/>
    <w:rsid w:val="000F05F5"/>
    <w:rsid w:val="000F518F"/>
    <w:rsid w:val="0010081C"/>
    <w:rsid w:val="001013E3"/>
    <w:rsid w:val="0010363F"/>
    <w:rsid w:val="00123AA6"/>
    <w:rsid w:val="0012545F"/>
    <w:rsid w:val="00136B82"/>
    <w:rsid w:val="001464F2"/>
    <w:rsid w:val="00167364"/>
    <w:rsid w:val="001903B2"/>
    <w:rsid w:val="001B5953"/>
    <w:rsid w:val="001D746E"/>
    <w:rsid w:val="001E190C"/>
    <w:rsid w:val="001E51EE"/>
    <w:rsid w:val="001E54F6"/>
    <w:rsid w:val="001E5A8C"/>
    <w:rsid w:val="001E6923"/>
    <w:rsid w:val="00201A0A"/>
    <w:rsid w:val="002075D4"/>
    <w:rsid w:val="00211B2A"/>
    <w:rsid w:val="00222DDA"/>
    <w:rsid w:val="00223C6C"/>
    <w:rsid w:val="002333A0"/>
    <w:rsid w:val="002543CF"/>
    <w:rsid w:val="0026062E"/>
    <w:rsid w:val="00260F50"/>
    <w:rsid w:val="00261EF7"/>
    <w:rsid w:val="0027069F"/>
    <w:rsid w:val="00280E04"/>
    <w:rsid w:val="00281F5F"/>
    <w:rsid w:val="002843E4"/>
    <w:rsid w:val="002917AB"/>
    <w:rsid w:val="002919E1"/>
    <w:rsid w:val="00295917"/>
    <w:rsid w:val="00296071"/>
    <w:rsid w:val="002A4572"/>
    <w:rsid w:val="002A7E2E"/>
    <w:rsid w:val="002B12C5"/>
    <w:rsid w:val="002B16D8"/>
    <w:rsid w:val="002D5F64"/>
    <w:rsid w:val="002D6BB4"/>
    <w:rsid w:val="002D6FBF"/>
    <w:rsid w:val="002E48BF"/>
    <w:rsid w:val="002E61C2"/>
    <w:rsid w:val="002F3031"/>
    <w:rsid w:val="002F3E46"/>
    <w:rsid w:val="00305EDC"/>
    <w:rsid w:val="0030601A"/>
    <w:rsid w:val="00311E3F"/>
    <w:rsid w:val="00314B1E"/>
    <w:rsid w:val="0033737F"/>
    <w:rsid w:val="00353652"/>
    <w:rsid w:val="003569E1"/>
    <w:rsid w:val="003815E2"/>
    <w:rsid w:val="00381FAD"/>
    <w:rsid w:val="00382A66"/>
    <w:rsid w:val="003923B1"/>
    <w:rsid w:val="0039465C"/>
    <w:rsid w:val="003965FE"/>
    <w:rsid w:val="003B27AD"/>
    <w:rsid w:val="003B4F23"/>
    <w:rsid w:val="003C12F6"/>
    <w:rsid w:val="003C3A13"/>
    <w:rsid w:val="003C568C"/>
    <w:rsid w:val="003E02EF"/>
    <w:rsid w:val="003E1D90"/>
    <w:rsid w:val="00400CD4"/>
    <w:rsid w:val="004147B9"/>
    <w:rsid w:val="00422C04"/>
    <w:rsid w:val="004231F4"/>
    <w:rsid w:val="00423A40"/>
    <w:rsid w:val="00426144"/>
    <w:rsid w:val="004636E2"/>
    <w:rsid w:val="00464B03"/>
    <w:rsid w:val="00470CBD"/>
    <w:rsid w:val="0047407D"/>
    <w:rsid w:val="004909DD"/>
    <w:rsid w:val="004A05E6"/>
    <w:rsid w:val="004A6230"/>
    <w:rsid w:val="004A6C66"/>
    <w:rsid w:val="004A7AA0"/>
    <w:rsid w:val="004C11BC"/>
    <w:rsid w:val="004C5C04"/>
    <w:rsid w:val="004D0448"/>
    <w:rsid w:val="004D4AE6"/>
    <w:rsid w:val="004F0BED"/>
    <w:rsid w:val="00505FCA"/>
    <w:rsid w:val="00510C2D"/>
    <w:rsid w:val="00516042"/>
    <w:rsid w:val="005166A4"/>
    <w:rsid w:val="005169F4"/>
    <w:rsid w:val="005210D1"/>
    <w:rsid w:val="00523146"/>
    <w:rsid w:val="00523275"/>
    <w:rsid w:val="00531DC7"/>
    <w:rsid w:val="005350B0"/>
    <w:rsid w:val="005431B5"/>
    <w:rsid w:val="00546A99"/>
    <w:rsid w:val="00553411"/>
    <w:rsid w:val="00553F66"/>
    <w:rsid w:val="00554AE7"/>
    <w:rsid w:val="00564746"/>
    <w:rsid w:val="0056512C"/>
    <w:rsid w:val="00567F38"/>
    <w:rsid w:val="005730DF"/>
    <w:rsid w:val="0057610B"/>
    <w:rsid w:val="00576D0A"/>
    <w:rsid w:val="00576FCC"/>
    <w:rsid w:val="00584333"/>
    <w:rsid w:val="005953EC"/>
    <w:rsid w:val="005B00A1"/>
    <w:rsid w:val="005C29C8"/>
    <w:rsid w:val="005C5D25"/>
    <w:rsid w:val="005D2606"/>
    <w:rsid w:val="005D6D48"/>
    <w:rsid w:val="005D72A4"/>
    <w:rsid w:val="005F05CC"/>
    <w:rsid w:val="005F65DE"/>
    <w:rsid w:val="00613492"/>
    <w:rsid w:val="00630905"/>
    <w:rsid w:val="006315B5"/>
    <w:rsid w:val="006507E6"/>
    <w:rsid w:val="0065562F"/>
    <w:rsid w:val="006577C0"/>
    <w:rsid w:val="006779A4"/>
    <w:rsid w:val="00680A66"/>
    <w:rsid w:val="00681391"/>
    <w:rsid w:val="00694690"/>
    <w:rsid w:val="0069526C"/>
    <w:rsid w:val="006A093D"/>
    <w:rsid w:val="006A12AC"/>
    <w:rsid w:val="006A2162"/>
    <w:rsid w:val="006B4B90"/>
    <w:rsid w:val="006B658C"/>
    <w:rsid w:val="006D2674"/>
    <w:rsid w:val="006E38D0"/>
    <w:rsid w:val="006E465B"/>
    <w:rsid w:val="006F218D"/>
    <w:rsid w:val="006F70BF"/>
    <w:rsid w:val="00714810"/>
    <w:rsid w:val="00716B1D"/>
    <w:rsid w:val="00723B6A"/>
    <w:rsid w:val="007248EC"/>
    <w:rsid w:val="00726744"/>
    <w:rsid w:val="00731150"/>
    <w:rsid w:val="00731749"/>
    <w:rsid w:val="00734E41"/>
    <w:rsid w:val="007351CE"/>
    <w:rsid w:val="00736DCC"/>
    <w:rsid w:val="00741855"/>
    <w:rsid w:val="00742B73"/>
    <w:rsid w:val="00751251"/>
    <w:rsid w:val="00754431"/>
    <w:rsid w:val="007610E7"/>
    <w:rsid w:val="00764079"/>
    <w:rsid w:val="00770AA0"/>
    <w:rsid w:val="00771F7E"/>
    <w:rsid w:val="00773E9C"/>
    <w:rsid w:val="00776F6B"/>
    <w:rsid w:val="00777694"/>
    <w:rsid w:val="00786A7E"/>
    <w:rsid w:val="007A0802"/>
    <w:rsid w:val="007A48C9"/>
    <w:rsid w:val="007B1FCA"/>
    <w:rsid w:val="007C2C12"/>
    <w:rsid w:val="007C3CFA"/>
    <w:rsid w:val="007E0E8B"/>
    <w:rsid w:val="007E6847"/>
    <w:rsid w:val="007E6B0A"/>
    <w:rsid w:val="007F08CA"/>
    <w:rsid w:val="007F7FC3"/>
    <w:rsid w:val="00801238"/>
    <w:rsid w:val="00810482"/>
    <w:rsid w:val="00817568"/>
    <w:rsid w:val="008204AC"/>
    <w:rsid w:val="008261C2"/>
    <w:rsid w:val="00827482"/>
    <w:rsid w:val="00830D96"/>
    <w:rsid w:val="0085569D"/>
    <w:rsid w:val="00855B59"/>
    <w:rsid w:val="0085774F"/>
    <w:rsid w:val="008579A5"/>
    <w:rsid w:val="008614B8"/>
    <w:rsid w:val="008657CB"/>
    <w:rsid w:val="00873A6F"/>
    <w:rsid w:val="0088384B"/>
    <w:rsid w:val="00893E53"/>
    <w:rsid w:val="008A1137"/>
    <w:rsid w:val="008A1788"/>
    <w:rsid w:val="008A3E57"/>
    <w:rsid w:val="008A4185"/>
    <w:rsid w:val="008A6552"/>
    <w:rsid w:val="008B4E93"/>
    <w:rsid w:val="008B52B7"/>
    <w:rsid w:val="008C3818"/>
    <w:rsid w:val="008D6ACC"/>
    <w:rsid w:val="008D7AF0"/>
    <w:rsid w:val="008E2CBE"/>
    <w:rsid w:val="008E32DD"/>
    <w:rsid w:val="008F4626"/>
    <w:rsid w:val="009004DF"/>
    <w:rsid w:val="00904AA5"/>
    <w:rsid w:val="00951718"/>
    <w:rsid w:val="00960962"/>
    <w:rsid w:val="00972CE0"/>
    <w:rsid w:val="009A3D30"/>
    <w:rsid w:val="009C036B"/>
    <w:rsid w:val="009D6348"/>
    <w:rsid w:val="009E5007"/>
    <w:rsid w:val="009E613F"/>
    <w:rsid w:val="009F042B"/>
    <w:rsid w:val="00A03F63"/>
    <w:rsid w:val="00A03FD6"/>
    <w:rsid w:val="00A04CF4"/>
    <w:rsid w:val="00A116A8"/>
    <w:rsid w:val="00A17E61"/>
    <w:rsid w:val="00A22AE9"/>
    <w:rsid w:val="00A26758"/>
    <w:rsid w:val="00A26D0E"/>
    <w:rsid w:val="00A27205"/>
    <w:rsid w:val="00A278E9"/>
    <w:rsid w:val="00A3451F"/>
    <w:rsid w:val="00A3584A"/>
    <w:rsid w:val="00A35E1F"/>
    <w:rsid w:val="00A36268"/>
    <w:rsid w:val="00A375BD"/>
    <w:rsid w:val="00A40B2C"/>
    <w:rsid w:val="00A42ADC"/>
    <w:rsid w:val="00A66D2B"/>
    <w:rsid w:val="00A809E8"/>
    <w:rsid w:val="00A85B65"/>
    <w:rsid w:val="00A870AD"/>
    <w:rsid w:val="00A90843"/>
    <w:rsid w:val="00A9645C"/>
    <w:rsid w:val="00AB2A33"/>
    <w:rsid w:val="00AC1275"/>
    <w:rsid w:val="00AC7395"/>
    <w:rsid w:val="00AD162B"/>
    <w:rsid w:val="00AD690F"/>
    <w:rsid w:val="00AD69DD"/>
    <w:rsid w:val="00AE6B26"/>
    <w:rsid w:val="00AF22C1"/>
    <w:rsid w:val="00AF3EFA"/>
    <w:rsid w:val="00AF41D1"/>
    <w:rsid w:val="00B01623"/>
    <w:rsid w:val="00B033DF"/>
    <w:rsid w:val="00B039AD"/>
    <w:rsid w:val="00B07CEE"/>
    <w:rsid w:val="00B12661"/>
    <w:rsid w:val="00B16045"/>
    <w:rsid w:val="00B1667D"/>
    <w:rsid w:val="00B1714C"/>
    <w:rsid w:val="00B357E9"/>
    <w:rsid w:val="00B4164D"/>
    <w:rsid w:val="00B425C1"/>
    <w:rsid w:val="00B606BA"/>
    <w:rsid w:val="00B66817"/>
    <w:rsid w:val="00B71E3B"/>
    <w:rsid w:val="00B721D5"/>
    <w:rsid w:val="00B81CB5"/>
    <w:rsid w:val="00B8351F"/>
    <w:rsid w:val="00B86C44"/>
    <w:rsid w:val="00B9727C"/>
    <w:rsid w:val="00BA7D44"/>
    <w:rsid w:val="00BD2DFA"/>
    <w:rsid w:val="00BD6291"/>
    <w:rsid w:val="00BD6EF3"/>
    <w:rsid w:val="00BE69C3"/>
    <w:rsid w:val="00C1165E"/>
    <w:rsid w:val="00C22074"/>
    <w:rsid w:val="00C2377B"/>
    <w:rsid w:val="00C34E09"/>
    <w:rsid w:val="00C3693C"/>
    <w:rsid w:val="00C449F7"/>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D1574"/>
    <w:rsid w:val="00CE0E68"/>
    <w:rsid w:val="00CE5BA4"/>
    <w:rsid w:val="00D25120"/>
    <w:rsid w:val="00D27398"/>
    <w:rsid w:val="00D36C5E"/>
    <w:rsid w:val="00D40DC9"/>
    <w:rsid w:val="00D419CB"/>
    <w:rsid w:val="00D44350"/>
    <w:rsid w:val="00D44E3F"/>
    <w:rsid w:val="00D51BB8"/>
    <w:rsid w:val="00D525F5"/>
    <w:rsid w:val="00D535D0"/>
    <w:rsid w:val="00D56A19"/>
    <w:rsid w:val="00D577D8"/>
    <w:rsid w:val="00D62C78"/>
    <w:rsid w:val="00D81703"/>
    <w:rsid w:val="00D82929"/>
    <w:rsid w:val="00D84214"/>
    <w:rsid w:val="00D943E5"/>
    <w:rsid w:val="00DA1AE0"/>
    <w:rsid w:val="00DC29DD"/>
    <w:rsid w:val="00DC7C0E"/>
    <w:rsid w:val="00DE7387"/>
    <w:rsid w:val="00DF2A6A"/>
    <w:rsid w:val="00DF3B72"/>
    <w:rsid w:val="00E10821"/>
    <w:rsid w:val="00E2489D"/>
    <w:rsid w:val="00E26520"/>
    <w:rsid w:val="00E26732"/>
    <w:rsid w:val="00E343A3"/>
    <w:rsid w:val="00E47277"/>
    <w:rsid w:val="00E51BFA"/>
    <w:rsid w:val="00E6129E"/>
    <w:rsid w:val="00E621A3"/>
    <w:rsid w:val="00E833BC"/>
    <w:rsid w:val="00E8580E"/>
    <w:rsid w:val="00E97E21"/>
    <w:rsid w:val="00EA1B76"/>
    <w:rsid w:val="00EA77D7"/>
    <w:rsid w:val="00EC09B9"/>
    <w:rsid w:val="00EC3958"/>
    <w:rsid w:val="00ED048C"/>
    <w:rsid w:val="00EE60E9"/>
    <w:rsid w:val="00EF38AF"/>
    <w:rsid w:val="00F00143"/>
    <w:rsid w:val="00F055F8"/>
    <w:rsid w:val="00F10CB4"/>
    <w:rsid w:val="00F11B3D"/>
    <w:rsid w:val="00F146AC"/>
    <w:rsid w:val="00F14763"/>
    <w:rsid w:val="00F16212"/>
    <w:rsid w:val="00F16602"/>
    <w:rsid w:val="00F25B80"/>
    <w:rsid w:val="00F2685F"/>
    <w:rsid w:val="00F33A34"/>
    <w:rsid w:val="00F350C8"/>
    <w:rsid w:val="00F52E75"/>
    <w:rsid w:val="00F84613"/>
    <w:rsid w:val="00F8654D"/>
    <w:rsid w:val="00F900C9"/>
    <w:rsid w:val="00F92C96"/>
    <w:rsid w:val="00F97D1C"/>
    <w:rsid w:val="00FA0D4E"/>
    <w:rsid w:val="00FB0753"/>
    <w:rsid w:val="00FB5CC8"/>
    <w:rsid w:val="00FC2CD0"/>
    <w:rsid w:val="00FD0594"/>
    <w:rsid w:val="00FE14D7"/>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ADB40A"/>
  <w15:docId w15:val="{5B7B73AE-7A1D-49C7-B2F9-D1132F973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431"/>
    <w:pPr>
      <w:tabs>
        <w:tab w:val="left" w:pos="794"/>
      </w:tabs>
      <w:bidi/>
      <w:spacing w:before="120" w:after="120" w:line="192" w:lineRule="auto"/>
      <w:jc w:val="both"/>
    </w:pPr>
    <w:rPr>
      <w:rFonts w:ascii="Dubai" w:hAnsi="Dubai" w:cs="Dubai"/>
      <w:sz w:val="22"/>
      <w:szCs w:val="22"/>
      <w:lang w:eastAsia="en-US"/>
    </w:rPr>
  </w:style>
  <w:style w:type="paragraph" w:styleId="Heading1">
    <w:name w:val="heading 1"/>
    <w:basedOn w:val="Normal"/>
    <w:next w:val="Normal"/>
    <w:qFormat/>
    <w:rsid w:val="00731749"/>
    <w:pPr>
      <w:keepNext/>
      <w:spacing w:before="280"/>
      <w:ind w:left="794" w:hanging="79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styleId="FootnoteText">
    <w:name w:val="footnote text"/>
    <w:basedOn w:val="Normal"/>
    <w:link w:val="FootnoteTextChar"/>
    <w:rsid w:val="006577C0"/>
    <w:pPr>
      <w:keepLines/>
      <w:tabs>
        <w:tab w:val="left" w:pos="372"/>
      </w:tabs>
      <w:spacing w:before="60"/>
    </w:pPr>
    <w:rPr>
      <w:sz w:val="18"/>
      <w:szCs w:val="18"/>
      <w:lang w:bidi="ar-EG"/>
    </w:rPr>
  </w:style>
  <w:style w:type="character" w:customStyle="1" w:styleId="FootnoteTextChar">
    <w:name w:val="Footnote Text Char"/>
    <w:basedOn w:val="DefaultParagraphFont"/>
    <w:link w:val="FootnoteText"/>
    <w:rsid w:val="006577C0"/>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basedOn w:val="Normal"/>
    <w:link w:val="HeaderChar"/>
    <w:rsid w:val="002F3E46"/>
    <w:pPr>
      <w:tabs>
        <w:tab w:val="center" w:pos="4680"/>
        <w:tab w:val="right" w:pos="9360"/>
      </w:tabs>
    </w:pPr>
  </w:style>
  <w:style w:type="character" w:customStyle="1" w:styleId="HeaderChar">
    <w:name w:val="Header Char"/>
    <w:basedOn w:val="DefaultParagraphFont"/>
    <w:link w:val="Header"/>
    <w:rsid w:val="002F3E46"/>
    <w:rPr>
      <w:rFonts w:ascii="Dubai" w:hAnsi="Dubai" w:cs="Dubai"/>
      <w:sz w:val="22"/>
      <w:szCs w:val="22"/>
      <w:lang w:eastAsia="en-US"/>
    </w:rPr>
  </w:style>
  <w:style w:type="paragraph" w:customStyle="1" w:styleId="Note">
    <w:name w:val="Note"/>
    <w:basedOn w:val="Normal"/>
    <w:qFormat/>
    <w:rsid w:val="00D51BB8"/>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A27205"/>
    <w:pPr>
      <w:keepNext/>
      <w:keepLines/>
      <w:spacing w:before="180"/>
      <w:ind w:firstLine="1134"/>
    </w:pPr>
    <w:rPr>
      <w:i/>
      <w:iCs/>
    </w:rPr>
  </w:style>
  <w:style w:type="character" w:customStyle="1" w:styleId="CallChar">
    <w:name w:val="Call Char"/>
    <w:basedOn w:val="DefaultParagraphFont"/>
    <w:link w:val="Call"/>
    <w:locked/>
    <w:rsid w:val="00A27205"/>
    <w:rPr>
      <w:rFonts w:ascii="Dubai" w:hAnsi="Dubai" w:cs="Dubai"/>
      <w:i/>
      <w:iCs/>
      <w:sz w:val="22"/>
      <w:szCs w:val="22"/>
      <w:lang w:eastAsia="en-US"/>
    </w:rPr>
  </w:style>
  <w:style w:type="paragraph" w:customStyle="1" w:styleId="enumlev1">
    <w:name w:val="enumlev1"/>
    <w:basedOn w:val="Normal"/>
    <w:next w:val="Normal"/>
    <w:link w:val="enumlev1Char"/>
    <w:qFormat/>
    <w:rsid w:val="00A85B65"/>
    <w:pPr>
      <w:tabs>
        <w:tab w:val="clear" w:pos="794"/>
      </w:tabs>
      <w:spacing w:before="80"/>
      <w:ind w:left="794" w:hanging="794"/>
    </w:pPr>
  </w:style>
  <w:style w:type="character" w:customStyle="1" w:styleId="enumlev1Char">
    <w:name w:val="enumlev1 Char"/>
    <w:basedOn w:val="DefaultParagraphFont"/>
    <w:link w:val="enumlev1"/>
    <w:rsid w:val="00A85B65"/>
    <w:rPr>
      <w:rFonts w:ascii="Dubai" w:hAnsi="Dubai" w:cs="Dubai"/>
      <w:sz w:val="22"/>
      <w:szCs w:val="22"/>
      <w:lang w:eastAsia="en-US"/>
    </w:rPr>
  </w:style>
  <w:style w:type="paragraph" w:customStyle="1" w:styleId="enumlev2">
    <w:name w:val="enumlev2"/>
    <w:basedOn w:val="enumlev1"/>
    <w:next w:val="Normal"/>
    <w:link w:val="enumlev2Char"/>
    <w:qFormat/>
    <w:rsid w:val="00A85B65"/>
    <w:pPr>
      <w:ind w:left="1588"/>
    </w:pPr>
  </w:style>
  <w:style w:type="character" w:customStyle="1" w:styleId="enumlev2Char">
    <w:name w:val="enumlev2 Char"/>
    <w:basedOn w:val="enumlev1Char"/>
    <w:link w:val="enumlev2"/>
    <w:rsid w:val="00A85B65"/>
    <w:rPr>
      <w:rFonts w:ascii="Dubai" w:hAnsi="Dubai" w:cs="Dubai"/>
      <w:sz w:val="22"/>
      <w:szCs w:val="22"/>
      <w:lang w:eastAsia="en-US"/>
    </w:rPr>
  </w:style>
  <w:style w:type="paragraph" w:customStyle="1" w:styleId="enumlev3">
    <w:name w:val="enumlev3"/>
    <w:basedOn w:val="enumlev2"/>
    <w:next w:val="Normal"/>
    <w:link w:val="enumlev3Char"/>
    <w:qFormat/>
    <w:rsid w:val="00A85B65"/>
    <w:pPr>
      <w:ind w:left="2382"/>
    </w:pPr>
  </w:style>
  <w:style w:type="character" w:customStyle="1" w:styleId="enumlev3Char">
    <w:name w:val="enumlev3 Char"/>
    <w:basedOn w:val="enumlev2Char"/>
    <w:link w:val="enumlev3"/>
    <w:rsid w:val="00A85B65"/>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F97D1C"/>
    <w:pPr>
      <w:keepNext/>
      <w:keepLines/>
      <w:spacing w:before="240"/>
      <w:outlineLvl w:val="0"/>
    </w:pPr>
    <w:rPr>
      <w:b/>
      <w:bCs/>
      <w:lang w:bidi="ar-EG"/>
    </w:rPr>
  </w:style>
  <w:style w:type="paragraph" w:customStyle="1" w:styleId="ResNo">
    <w:name w:val="Res_No"/>
    <w:basedOn w:val="Normal"/>
    <w:next w:val="Normal"/>
    <w:link w:val="ResNoChar"/>
    <w:rsid w:val="00B039AD"/>
    <w:pPr>
      <w:keepNext/>
      <w:spacing w:before="360"/>
      <w:jc w:val="center"/>
    </w:pPr>
    <w:rPr>
      <w:sz w:val="28"/>
      <w:szCs w:val="28"/>
      <w:lang w:bidi="ar-EG"/>
    </w:rPr>
  </w:style>
  <w:style w:type="character" w:customStyle="1" w:styleId="ResNoChar">
    <w:name w:val="Res_No Char"/>
    <w:basedOn w:val="DefaultParagraphFont"/>
    <w:link w:val="ResNo"/>
    <w:rsid w:val="00B039AD"/>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4A6230"/>
    <w:pPr>
      <w:keepNext/>
      <w:spacing w:before="360"/>
      <w:jc w:val="center"/>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jc w:val="center"/>
    </w:pPr>
    <w:rPr>
      <w:sz w:val="28"/>
      <w:szCs w:val="28"/>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12545F"/>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69469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Annextitle">
    <w:name w:val="Annex_title"/>
    <w:basedOn w:val="Normal"/>
    <w:next w:val="Normal"/>
    <w:link w:val="AnnextitleChar"/>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694690"/>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B039AD"/>
  </w:style>
  <w:style w:type="character" w:customStyle="1" w:styleId="RestitleChar">
    <w:name w:val="Res_title Char"/>
    <w:basedOn w:val="AnnextitleChar"/>
    <w:link w:val="Restitle"/>
    <w:rsid w:val="00B039AD"/>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tabs>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tabs>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8614B8"/>
    <w:pPr>
      <w:spacing w:after="360"/>
    </w:pPr>
  </w:style>
  <w:style w:type="paragraph" w:customStyle="1" w:styleId="Equationlegend">
    <w:name w:val="Equation_legend"/>
    <w:basedOn w:val="NormalIndent"/>
    <w:rsid w:val="002D6BB4"/>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1985"/>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223C6C"/>
  </w:style>
  <w:style w:type="character" w:customStyle="1" w:styleId="BodyTextChar">
    <w:name w:val="Body Text Char"/>
    <w:basedOn w:val="DefaultParagraphFont"/>
    <w:link w:val="BodyText"/>
    <w:rsid w:val="00223C6C"/>
    <w:rPr>
      <w:rFonts w:ascii="Dubai" w:hAnsi="Dubai" w:cs="Dubai"/>
      <w:sz w:val="22"/>
      <w:szCs w:val="22"/>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5431B5"/>
    <w:rPr>
      <w:szCs w:val="20"/>
    </w:r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styleId="Hashtag">
    <w:name w:val="Hashtag"/>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styleId="Mention">
    <w:name w:val="Mention"/>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styleId="SmartHyperlink">
    <w:name w:val="Smart Hyperlink"/>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styleId="UnresolvedMention">
    <w:name w:val="Unresolved Mention"/>
    <w:basedOn w:val="DefaultParagraphFont"/>
    <w:uiPriority w:val="99"/>
    <w:semiHidden/>
    <w:unhideWhenUsed/>
    <w:rsid w:val="00873A6F"/>
    <w:rPr>
      <w:rFonts w:ascii="Dubai" w:hAnsi="Dubai" w:cs="Dubai"/>
      <w:color w:val="605E5C"/>
      <w:shd w:val="clear" w:color="auto" w:fill="E1DFDD"/>
    </w:rPr>
  </w:style>
  <w:style w:type="paragraph" w:styleId="Revision">
    <w:name w:val="Revision"/>
    <w:hidden/>
    <w:uiPriority w:val="99"/>
    <w:semiHidden/>
    <w:rsid w:val="00BD2DFA"/>
    <w:rPr>
      <w:rFonts w:ascii="Dubai" w:hAnsi="Dubai" w:cs="Duba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000%20ITU\00%20Template\Arabic%20Templates%202025\ITU-R%20(BR)\PA_RAG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2.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FC4C3-DC4A-4907-A9BB-98121FAC99D6}">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5.xml><?xml version="1.0" encoding="utf-8"?>
<ds:datastoreItem xmlns:ds="http://schemas.openxmlformats.org/officeDocument/2006/customXml" ds:itemID="{2893A09B-EEE6-4C53-B7B9-57B7D6E66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PA_RAG25.dotx</Template>
  <TotalTime>11</TotalTime>
  <Pages>3</Pages>
  <Words>1109</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Arabic_AK</dc:creator>
  <cp:keywords>WRC-12</cp:keywords>
  <cp:lastModifiedBy>Arabic_I.R</cp:lastModifiedBy>
  <cp:revision>6</cp:revision>
  <cp:lastPrinted>2019-06-26T10:10:00Z</cp:lastPrinted>
  <dcterms:created xsi:type="dcterms:W3CDTF">2026-03-20T08:41:00Z</dcterms:created>
  <dcterms:modified xsi:type="dcterms:W3CDTF">2026-03-20T08:52:00Z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