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4D2061AB" w14:textId="77777777" w:rsidTr="0057336B">
        <w:trPr>
          <w:cantSplit/>
        </w:trPr>
        <w:tc>
          <w:tcPr>
            <w:tcW w:w="6775" w:type="dxa"/>
            <w:vAlign w:val="center"/>
          </w:tcPr>
          <w:p w14:paraId="0B12149D"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4" w:type="dxa"/>
            <w:vAlign w:val="center"/>
          </w:tcPr>
          <w:p w14:paraId="4FAD79A4" w14:textId="77777777" w:rsidR="0057336B" w:rsidRDefault="00AB4BAD" w:rsidP="00A7663C">
            <w:pPr>
              <w:shd w:val="solid" w:color="FFFFFF" w:fill="FFFFFF"/>
              <w:spacing w:before="0"/>
            </w:pPr>
            <w:r w:rsidRPr="00C126C1">
              <w:rPr>
                <w:noProof/>
                <w:lang w:val="en-US" w:eastAsia="zh-CN"/>
              </w:rPr>
              <w:drawing>
                <wp:inline distT="0" distB="0" distL="0" distR="0" wp14:anchorId="6A35171C" wp14:editId="11C48AFB">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25E89DBD" w14:textId="77777777" w:rsidTr="008F0106">
        <w:trPr>
          <w:cantSplit/>
        </w:trPr>
        <w:tc>
          <w:tcPr>
            <w:tcW w:w="6771" w:type="dxa"/>
            <w:tcBorders>
              <w:bottom w:val="single" w:sz="12" w:space="0" w:color="auto"/>
            </w:tcBorders>
          </w:tcPr>
          <w:p w14:paraId="6E4FB5D5"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2FFAEFC"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2179DBA7" w14:textId="77777777" w:rsidTr="008F0106">
        <w:trPr>
          <w:cantSplit/>
        </w:trPr>
        <w:tc>
          <w:tcPr>
            <w:tcW w:w="6771" w:type="dxa"/>
            <w:tcBorders>
              <w:top w:val="single" w:sz="12" w:space="0" w:color="auto"/>
            </w:tcBorders>
          </w:tcPr>
          <w:p w14:paraId="67F82B3C"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69F89E5"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7697F49A" w14:textId="77777777" w:rsidTr="008F0106">
        <w:trPr>
          <w:cantSplit/>
        </w:trPr>
        <w:tc>
          <w:tcPr>
            <w:tcW w:w="6771" w:type="dxa"/>
            <w:vMerge w:val="restart"/>
          </w:tcPr>
          <w:p w14:paraId="5AEC57C1" w14:textId="77777777" w:rsidR="006E291F" w:rsidRDefault="006E291F" w:rsidP="00CB7A43">
            <w:pPr>
              <w:shd w:val="solid" w:color="FFFFFF" w:fill="FFFFFF"/>
              <w:spacing w:after="240"/>
              <w:rPr>
                <w:sz w:val="20"/>
              </w:rPr>
            </w:pPr>
            <w:bookmarkStart w:id="0" w:name="dnum" w:colFirst="1" w:colLast="1"/>
          </w:p>
        </w:tc>
        <w:tc>
          <w:tcPr>
            <w:tcW w:w="3118" w:type="dxa"/>
          </w:tcPr>
          <w:p w14:paraId="37EF68E5" w14:textId="172116A6" w:rsidR="006E291F" w:rsidRPr="009962B7" w:rsidRDefault="009962B7" w:rsidP="009962B7">
            <w:pPr>
              <w:shd w:val="solid" w:color="FFFFFF" w:fill="FFFFFF"/>
              <w:spacing w:before="0" w:line="240" w:lineRule="atLeast"/>
              <w:rPr>
                <w:rFonts w:ascii="Verdana" w:hAnsi="Verdana"/>
                <w:sz w:val="20"/>
              </w:rPr>
            </w:pPr>
            <w:r>
              <w:rPr>
                <w:rFonts w:ascii="Verdana" w:hAnsi="Verdana"/>
                <w:b/>
                <w:sz w:val="20"/>
              </w:rPr>
              <w:t>Documento RAG/70-S</w:t>
            </w:r>
          </w:p>
        </w:tc>
      </w:tr>
      <w:tr w:rsidR="006E291F" w:rsidRPr="002A127E" w14:paraId="51E0AEE2" w14:textId="77777777" w:rsidTr="008F0106">
        <w:trPr>
          <w:cantSplit/>
        </w:trPr>
        <w:tc>
          <w:tcPr>
            <w:tcW w:w="6771" w:type="dxa"/>
            <w:vMerge/>
          </w:tcPr>
          <w:p w14:paraId="3E8FA8DD" w14:textId="77777777" w:rsidR="006E291F" w:rsidRDefault="006E291F" w:rsidP="00CB7A43">
            <w:pPr>
              <w:spacing w:before="60"/>
              <w:jc w:val="center"/>
              <w:rPr>
                <w:b/>
                <w:smallCaps/>
                <w:sz w:val="32"/>
              </w:rPr>
            </w:pPr>
            <w:bookmarkStart w:id="1" w:name="ddate" w:colFirst="1" w:colLast="1"/>
            <w:bookmarkEnd w:id="0"/>
          </w:p>
        </w:tc>
        <w:tc>
          <w:tcPr>
            <w:tcW w:w="3118" w:type="dxa"/>
          </w:tcPr>
          <w:p w14:paraId="284DF5F0" w14:textId="6B6E9872" w:rsidR="006E291F" w:rsidRPr="009962B7" w:rsidRDefault="009962B7" w:rsidP="009962B7">
            <w:pPr>
              <w:shd w:val="solid" w:color="FFFFFF" w:fill="FFFFFF"/>
              <w:spacing w:before="0" w:line="240" w:lineRule="atLeast"/>
              <w:rPr>
                <w:rFonts w:ascii="Verdana" w:hAnsi="Verdana"/>
                <w:sz w:val="20"/>
              </w:rPr>
            </w:pPr>
            <w:r>
              <w:rPr>
                <w:rFonts w:ascii="Verdana" w:hAnsi="Verdana"/>
                <w:b/>
                <w:sz w:val="20"/>
              </w:rPr>
              <w:t>16 de marzo de 2026</w:t>
            </w:r>
          </w:p>
        </w:tc>
      </w:tr>
      <w:tr w:rsidR="006E291F" w:rsidRPr="002A127E" w14:paraId="789CDEA3" w14:textId="77777777" w:rsidTr="008F0106">
        <w:trPr>
          <w:cantSplit/>
        </w:trPr>
        <w:tc>
          <w:tcPr>
            <w:tcW w:w="6771" w:type="dxa"/>
            <w:vMerge/>
          </w:tcPr>
          <w:p w14:paraId="33A204DF" w14:textId="77777777" w:rsidR="006E291F" w:rsidRDefault="006E291F" w:rsidP="00CB7A43">
            <w:pPr>
              <w:spacing w:before="60"/>
              <w:jc w:val="center"/>
              <w:rPr>
                <w:b/>
                <w:smallCaps/>
                <w:sz w:val="32"/>
              </w:rPr>
            </w:pPr>
            <w:bookmarkStart w:id="2" w:name="dorlang" w:colFirst="1" w:colLast="1"/>
            <w:bookmarkEnd w:id="1"/>
          </w:p>
        </w:tc>
        <w:tc>
          <w:tcPr>
            <w:tcW w:w="3118" w:type="dxa"/>
          </w:tcPr>
          <w:p w14:paraId="69A1A0A6" w14:textId="0CDB4BD2" w:rsidR="006E291F" w:rsidRPr="009962B7" w:rsidRDefault="009962B7" w:rsidP="009962B7">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2924F684" w14:textId="77777777" w:rsidTr="008F0106">
        <w:trPr>
          <w:cantSplit/>
        </w:trPr>
        <w:tc>
          <w:tcPr>
            <w:tcW w:w="9889" w:type="dxa"/>
            <w:gridSpan w:val="2"/>
          </w:tcPr>
          <w:p w14:paraId="3516075B" w14:textId="7CCA8A5C" w:rsidR="006E291F" w:rsidRDefault="009962B7" w:rsidP="00CB7A43">
            <w:pPr>
              <w:pStyle w:val="Source"/>
            </w:pPr>
            <w:bookmarkStart w:id="3" w:name="dsource" w:colFirst="0" w:colLast="0"/>
            <w:bookmarkEnd w:id="2"/>
            <w:r>
              <w:t>Arabia Saudita (Reino de)</w:t>
            </w:r>
          </w:p>
        </w:tc>
      </w:tr>
      <w:tr w:rsidR="006E291F" w14:paraId="6D8697D3" w14:textId="77777777" w:rsidTr="008F0106">
        <w:trPr>
          <w:cantSplit/>
        </w:trPr>
        <w:tc>
          <w:tcPr>
            <w:tcW w:w="9889" w:type="dxa"/>
            <w:gridSpan w:val="2"/>
          </w:tcPr>
          <w:p w14:paraId="0A11F23C" w14:textId="31242F1B" w:rsidR="006E291F" w:rsidRDefault="009962B7" w:rsidP="009962B7">
            <w:pPr>
              <w:pStyle w:val="Title1"/>
            </w:pPr>
            <w:bookmarkStart w:id="4" w:name="_Hlk160577334"/>
            <w:bookmarkStart w:id="5" w:name="dtitle1" w:colFirst="0" w:colLast="0"/>
            <w:bookmarkEnd w:id="3"/>
            <w:r w:rsidRPr="009962B7">
              <w:rPr>
                <w:lang w:val="es-ES"/>
              </w:rPr>
              <w:t xml:space="preserve">ASISTENCIA A LAS AUTORIDADES NACIONALES DE REGLAMENTACIÓN </w:t>
            </w:r>
            <w:r w:rsidR="00C33D57">
              <w:rPr>
                <w:lang w:val="es-ES"/>
              </w:rPr>
              <w:br/>
            </w:r>
            <w:r w:rsidRPr="009962B7">
              <w:rPr>
                <w:lang w:val="es-ES"/>
              </w:rPr>
              <w:t xml:space="preserve">DE LAS TELECOMUNICACIONES PARA LA APLICACIÓN COHERENTE </w:t>
            </w:r>
            <w:r w:rsidR="00C33D57">
              <w:rPr>
                <w:lang w:val="es-ES"/>
              </w:rPr>
              <w:br/>
            </w:r>
            <w:r w:rsidRPr="009962B7">
              <w:rPr>
                <w:lang w:val="es-ES"/>
              </w:rPr>
              <w:t xml:space="preserve">DE LOS MARCOS DE LA uit, LA omi Y LA oaci EN MATERIA </w:t>
            </w:r>
            <w:r w:rsidR="00C33D57">
              <w:rPr>
                <w:lang w:val="es-ES"/>
              </w:rPr>
              <w:br/>
            </w:r>
            <w:r w:rsidRPr="009962B7">
              <w:rPr>
                <w:lang w:val="es-ES"/>
              </w:rPr>
              <w:t xml:space="preserve">DE RADIOCOMUNICACIONES MARÍTIMAS, AERONÁUTICAS </w:t>
            </w:r>
            <w:r w:rsidR="00C33D57">
              <w:rPr>
                <w:lang w:val="es-ES"/>
              </w:rPr>
              <w:br/>
            </w:r>
            <w:r w:rsidRPr="009962B7">
              <w:rPr>
                <w:lang w:val="es-ES"/>
              </w:rPr>
              <w:t>Y OTROS SISTEMAS DE RADIOCOMUNICACIONES PERTINENTES</w:t>
            </w:r>
            <w:bookmarkEnd w:id="4"/>
          </w:p>
        </w:tc>
      </w:tr>
    </w:tbl>
    <w:bookmarkEnd w:id="5"/>
    <w:p w14:paraId="25B26BF7" w14:textId="5E6C0E50" w:rsidR="009962B7" w:rsidRPr="009962B7" w:rsidRDefault="009962B7" w:rsidP="00D53C98">
      <w:pPr>
        <w:pStyle w:val="Heading1"/>
        <w:rPr>
          <w:lang w:val="es-ES"/>
        </w:rPr>
      </w:pPr>
      <w:r w:rsidRPr="009962B7">
        <w:rPr>
          <w:lang w:val="es-ES"/>
        </w:rPr>
        <w:t>1</w:t>
      </w:r>
      <w:r w:rsidR="00D53C98">
        <w:rPr>
          <w:lang w:val="es-ES"/>
        </w:rPr>
        <w:tab/>
      </w:r>
      <w:r w:rsidRPr="009962B7">
        <w:rPr>
          <w:lang w:val="es-ES"/>
        </w:rPr>
        <w:t>Antecedentes</w:t>
      </w:r>
    </w:p>
    <w:p w14:paraId="48E4AF4F" w14:textId="0CAAB752" w:rsidR="009962B7" w:rsidRPr="009962B7" w:rsidRDefault="009962B7" w:rsidP="009962B7">
      <w:pPr>
        <w:rPr>
          <w:lang w:val="es-ES"/>
        </w:rPr>
      </w:pPr>
      <w:r w:rsidRPr="009962B7">
        <w:rPr>
          <w:lang w:val="es-ES"/>
        </w:rPr>
        <w:t>La seguridad de la vida humana en el mar, la seguridad de la navegación marítima, la seguridad de la navegación aérea y la regularidad de los vuelos siguen siendo temas de importancia capital. El Reglamento de Radiocomunicaciones contiene un gran número de disposiciones aplicables a los servicios marítimo y aeronáutico, mientras que la</w:t>
      </w:r>
      <w:r w:rsidR="00D53C98">
        <w:rPr>
          <w:lang w:val="es-ES"/>
        </w:rPr>
        <w:t xml:space="preserve"> </w:t>
      </w:r>
      <w:r w:rsidR="00D53C98" w:rsidRPr="00D53C98">
        <w:rPr>
          <w:lang w:val="es-ES"/>
        </w:rPr>
        <w:t xml:space="preserve">Organización Marítima Internacional </w:t>
      </w:r>
      <w:r w:rsidR="00D53C98">
        <w:rPr>
          <w:lang w:val="es-ES"/>
        </w:rPr>
        <w:t>(</w:t>
      </w:r>
      <w:r w:rsidRPr="009962B7">
        <w:rPr>
          <w:lang w:val="es-ES"/>
        </w:rPr>
        <w:t>OMI</w:t>
      </w:r>
      <w:r w:rsidR="00D53C98">
        <w:rPr>
          <w:lang w:val="es-ES"/>
        </w:rPr>
        <w:t>)</w:t>
      </w:r>
      <w:r w:rsidRPr="009962B7">
        <w:rPr>
          <w:lang w:val="es-ES"/>
        </w:rPr>
        <w:t xml:space="preserve"> y la</w:t>
      </w:r>
      <w:r w:rsidR="00D53C98">
        <w:rPr>
          <w:lang w:val="es-ES"/>
        </w:rPr>
        <w:t xml:space="preserve"> </w:t>
      </w:r>
      <w:r w:rsidR="00D53C98" w:rsidRPr="00D53C98">
        <w:rPr>
          <w:lang w:val="es-ES"/>
        </w:rPr>
        <w:t xml:space="preserve">Organización de Aviación Civil Internacional </w:t>
      </w:r>
      <w:r w:rsidR="00D53C98">
        <w:rPr>
          <w:lang w:val="es-ES"/>
        </w:rPr>
        <w:t>(</w:t>
      </w:r>
      <w:r w:rsidRPr="009962B7">
        <w:rPr>
          <w:lang w:val="es-ES"/>
        </w:rPr>
        <w:t>OACI</w:t>
      </w:r>
      <w:r w:rsidR="00D53C98">
        <w:rPr>
          <w:lang w:val="es-ES"/>
        </w:rPr>
        <w:t>)</w:t>
      </w:r>
      <w:r w:rsidRPr="009962B7">
        <w:rPr>
          <w:lang w:val="es-ES"/>
        </w:rPr>
        <w:t xml:space="preserve"> mantienen convenios, normas, procedimientos, manuales y marcos pertinentes específicamente para esos sectores. Por consiguiente, en la práctica se exige a las administraciones que se ajusten a distintos marcos internacionales a la hora de definir o aplicar autorizaciones y disposiciones reglamentarias a las radiocomunicaciones marítimas, aeronáuticas y otros sistemas de radiocomunicaciones pertinentes.</w:t>
      </w:r>
    </w:p>
    <w:p w14:paraId="0826359B" w14:textId="05305D2E" w:rsidR="009962B7" w:rsidRPr="009962B7" w:rsidRDefault="009962B7" w:rsidP="009962B7">
      <w:pPr>
        <w:rPr>
          <w:lang w:val="es-ES"/>
        </w:rPr>
      </w:pPr>
      <w:r w:rsidRPr="009962B7">
        <w:rPr>
          <w:lang w:val="es-ES"/>
        </w:rPr>
        <w:t>Arabia Saudita ya ha señalado al</w:t>
      </w:r>
      <w:r w:rsidR="00C33D57">
        <w:rPr>
          <w:lang w:val="es-ES"/>
        </w:rPr>
        <w:t xml:space="preserve"> </w:t>
      </w:r>
      <w:r w:rsidR="00C33D57" w:rsidRPr="00C33D57">
        <w:rPr>
          <w:lang w:val="es-ES"/>
        </w:rPr>
        <w:t xml:space="preserve">Grupo Asesor de Radiocomunicaciones </w:t>
      </w:r>
      <w:r w:rsidR="00C33D57">
        <w:rPr>
          <w:lang w:val="es-ES"/>
        </w:rPr>
        <w:t>(</w:t>
      </w:r>
      <w:r w:rsidRPr="009962B7">
        <w:rPr>
          <w:lang w:val="es-ES"/>
        </w:rPr>
        <w:t>GAR</w:t>
      </w:r>
      <w:r w:rsidR="00C33D57">
        <w:rPr>
          <w:lang w:val="es-ES"/>
        </w:rPr>
        <w:t>)</w:t>
      </w:r>
      <w:r w:rsidRPr="009962B7">
        <w:rPr>
          <w:lang w:val="es-ES"/>
        </w:rPr>
        <w:t xml:space="preserve"> (véase el Documento</w:t>
      </w:r>
      <w:r w:rsidR="00D53C98">
        <w:rPr>
          <w:lang w:val="es-ES"/>
        </w:rPr>
        <w:t> </w:t>
      </w:r>
      <w:hyperlink r:id="rId8" w:history="1">
        <w:r w:rsidRPr="009962B7">
          <w:rPr>
            <w:rStyle w:val="Hyperlink"/>
            <w:lang w:val="es-ES"/>
          </w:rPr>
          <w:t>RAG/14</w:t>
        </w:r>
      </w:hyperlink>
      <w:r w:rsidRPr="009962B7">
        <w:rPr>
          <w:lang w:val="es-ES"/>
        </w:rPr>
        <w:t>) que las administraciones se enfrentan a importantes retos a la hora de autorizar efectivamente frecuencias/canales a estaciones de los servicios marítimo y aeronáutico y otros servicios auxiliares, como el de radionavegación, el de radiodeterminación y el de meteorología, garantizando al mismo tiempo el cumplimiento de los tratados, reglamentos, procedimientos y normas internacionales establecidos por la</w:t>
      </w:r>
      <w:r w:rsidR="00D53C98">
        <w:rPr>
          <w:lang w:val="es-ES"/>
        </w:rPr>
        <w:t> </w:t>
      </w:r>
      <w:r w:rsidRPr="009962B7">
        <w:rPr>
          <w:lang w:val="es-ES"/>
        </w:rPr>
        <w:t>UIT, la</w:t>
      </w:r>
      <w:r w:rsidR="00D53C98">
        <w:rPr>
          <w:lang w:val="es-ES"/>
        </w:rPr>
        <w:t> </w:t>
      </w:r>
      <w:r w:rsidRPr="009962B7">
        <w:rPr>
          <w:lang w:val="es-ES"/>
        </w:rPr>
        <w:t>OMI, la</w:t>
      </w:r>
      <w:r w:rsidR="00D53C98">
        <w:rPr>
          <w:lang w:val="es-ES"/>
        </w:rPr>
        <w:t> </w:t>
      </w:r>
      <w:r w:rsidRPr="009962B7">
        <w:rPr>
          <w:lang w:val="es-ES"/>
        </w:rPr>
        <w:t>OACI y otros organismos competentes.</w:t>
      </w:r>
    </w:p>
    <w:p w14:paraId="3CE32EDC" w14:textId="4FCA4552" w:rsidR="009962B7" w:rsidRPr="009962B7" w:rsidRDefault="009962B7" w:rsidP="009962B7">
      <w:pPr>
        <w:rPr>
          <w:lang w:val="es-ES"/>
        </w:rPr>
      </w:pPr>
      <w:r w:rsidRPr="009962B7">
        <w:rPr>
          <w:lang w:val="es-ES"/>
        </w:rPr>
        <w:t>En su 32</w:t>
      </w:r>
      <w:r w:rsidR="00D53C98">
        <w:rPr>
          <w:lang w:val="es-ES"/>
        </w:rPr>
        <w:t>.</w:t>
      </w:r>
      <w:r w:rsidRPr="009962B7">
        <w:rPr>
          <w:lang w:val="es-ES"/>
        </w:rPr>
        <w:t>ª</w:t>
      </w:r>
      <w:r w:rsidR="00D53C98">
        <w:rPr>
          <w:lang w:val="es-ES"/>
        </w:rPr>
        <w:t> </w:t>
      </w:r>
      <w:r w:rsidRPr="009962B7">
        <w:rPr>
          <w:lang w:val="es-ES"/>
        </w:rPr>
        <w:t>reunión el</w:t>
      </w:r>
      <w:r w:rsidR="00C33D57">
        <w:rPr>
          <w:lang w:val="es-ES"/>
        </w:rPr>
        <w:t> </w:t>
      </w:r>
      <w:r w:rsidRPr="009962B7">
        <w:rPr>
          <w:lang w:val="es-ES"/>
        </w:rPr>
        <w:t>GAR recordó anteriores debates sobre la cooperación entre el</w:t>
      </w:r>
      <w:r w:rsidR="00D53C98">
        <w:rPr>
          <w:lang w:val="es-ES"/>
        </w:rPr>
        <w:t> </w:t>
      </w:r>
      <w:r w:rsidRPr="009962B7">
        <w:rPr>
          <w:lang w:val="es-ES"/>
        </w:rPr>
        <w:t>UIT-R, la</w:t>
      </w:r>
      <w:r w:rsidR="00D53C98">
        <w:rPr>
          <w:lang w:val="es-ES"/>
        </w:rPr>
        <w:t> </w:t>
      </w:r>
      <w:r w:rsidRPr="009962B7">
        <w:rPr>
          <w:lang w:val="es-ES"/>
        </w:rPr>
        <w:t>OMI y la</w:t>
      </w:r>
      <w:r w:rsidR="00C33D57">
        <w:rPr>
          <w:lang w:val="es-ES"/>
        </w:rPr>
        <w:t> </w:t>
      </w:r>
      <w:r w:rsidRPr="009962B7">
        <w:rPr>
          <w:lang w:val="es-ES"/>
        </w:rPr>
        <w:t>OACI y señaló que la Comisión de Estudio</w:t>
      </w:r>
      <w:r w:rsidR="00D53C98">
        <w:rPr>
          <w:lang w:val="es-ES"/>
        </w:rPr>
        <w:t> </w:t>
      </w:r>
      <w:r w:rsidRPr="009962B7">
        <w:rPr>
          <w:lang w:val="es-ES"/>
        </w:rPr>
        <w:t>5 y el Grupo de Trabajo</w:t>
      </w:r>
      <w:r w:rsidR="00D53C98">
        <w:rPr>
          <w:lang w:val="es-ES"/>
        </w:rPr>
        <w:t> </w:t>
      </w:r>
      <w:r w:rsidRPr="009962B7">
        <w:rPr>
          <w:lang w:val="es-ES"/>
        </w:rPr>
        <w:t>5B no habían recibido aún contribuciones sobre ese asunto. El</w:t>
      </w:r>
      <w:r w:rsidR="00C33D57">
        <w:rPr>
          <w:lang w:val="es-ES"/>
        </w:rPr>
        <w:t> </w:t>
      </w:r>
      <w:r w:rsidRPr="009962B7">
        <w:rPr>
          <w:lang w:val="es-ES"/>
        </w:rPr>
        <w:t>GAR recomendó a la</w:t>
      </w:r>
      <w:r w:rsidR="00C33D57">
        <w:rPr>
          <w:lang w:val="es-ES"/>
        </w:rPr>
        <w:t xml:space="preserve"> </w:t>
      </w:r>
      <w:r w:rsidR="00C33D57" w:rsidRPr="00C33D57">
        <w:rPr>
          <w:lang w:val="es-ES"/>
        </w:rPr>
        <w:t xml:space="preserve">Oficina de Radiocomunicaciones </w:t>
      </w:r>
      <w:r w:rsidR="00C33D57">
        <w:rPr>
          <w:lang w:val="es-ES"/>
        </w:rPr>
        <w:t>(</w:t>
      </w:r>
      <w:r w:rsidRPr="009962B7">
        <w:rPr>
          <w:lang w:val="es-ES"/>
        </w:rPr>
        <w:t>BR</w:t>
      </w:r>
      <w:r w:rsidR="00C33D57">
        <w:rPr>
          <w:lang w:val="es-ES"/>
        </w:rPr>
        <w:t>)</w:t>
      </w:r>
      <w:r w:rsidRPr="009962B7">
        <w:rPr>
          <w:lang w:val="es-ES"/>
        </w:rPr>
        <w:t xml:space="preserve"> que siguiera estudiando diversas formas y mecanismos para promover una mayor colaboración con la</w:t>
      </w:r>
      <w:r w:rsidR="00C33D57">
        <w:rPr>
          <w:lang w:val="es-ES"/>
        </w:rPr>
        <w:t> </w:t>
      </w:r>
      <w:r w:rsidRPr="009962B7">
        <w:rPr>
          <w:lang w:val="es-ES"/>
        </w:rPr>
        <w:t>OACI y la</w:t>
      </w:r>
      <w:r w:rsidR="00C33D57">
        <w:rPr>
          <w:lang w:val="es-ES"/>
        </w:rPr>
        <w:t> </w:t>
      </w:r>
      <w:r w:rsidRPr="009962B7">
        <w:rPr>
          <w:lang w:val="es-ES"/>
        </w:rPr>
        <w:t>OMI con el fin de abordar eficazmente las preocupaciones expresadas en el Documento</w:t>
      </w:r>
      <w:r w:rsidR="00D53C98">
        <w:rPr>
          <w:lang w:val="es-ES"/>
        </w:rPr>
        <w:t> </w:t>
      </w:r>
      <w:hyperlink r:id="rId9" w:history="1">
        <w:r w:rsidRPr="009962B7">
          <w:rPr>
            <w:rStyle w:val="Hyperlink"/>
            <w:lang w:val="es-ES"/>
          </w:rPr>
          <w:t>RAG/14</w:t>
        </w:r>
      </w:hyperlink>
      <w:r w:rsidRPr="009962B7">
        <w:rPr>
          <w:lang w:val="es-ES"/>
        </w:rPr>
        <w:t>. Además, el</w:t>
      </w:r>
      <w:r w:rsidR="00D53C98">
        <w:rPr>
          <w:lang w:val="es-ES"/>
        </w:rPr>
        <w:t> </w:t>
      </w:r>
      <w:r w:rsidRPr="009962B7">
        <w:rPr>
          <w:lang w:val="es-ES"/>
        </w:rPr>
        <w:t>GAR señaló que podría prepararse un producto consolidado, por ejemplo, unas directrices o un manual, por distintos medios, incluidos los trabajos de la Comisión de Estudio</w:t>
      </w:r>
      <w:r w:rsidR="00D53C98">
        <w:rPr>
          <w:lang w:val="es-ES"/>
        </w:rPr>
        <w:t> </w:t>
      </w:r>
      <w:r w:rsidRPr="009962B7">
        <w:rPr>
          <w:lang w:val="es-ES"/>
        </w:rPr>
        <w:t>5 y el Grupo de Trabajo</w:t>
      </w:r>
      <w:r w:rsidR="00D53C98">
        <w:rPr>
          <w:lang w:val="es-ES"/>
        </w:rPr>
        <w:t> </w:t>
      </w:r>
      <w:r w:rsidRPr="009962B7">
        <w:rPr>
          <w:lang w:val="es-ES"/>
        </w:rPr>
        <w:t xml:space="preserve">5B, y animó a los </w:t>
      </w:r>
      <w:r w:rsidR="00C33D57">
        <w:rPr>
          <w:lang w:val="es-ES"/>
        </w:rPr>
        <w:t>m</w:t>
      </w:r>
      <w:r w:rsidRPr="009962B7">
        <w:rPr>
          <w:lang w:val="es-ES"/>
        </w:rPr>
        <w:t>iembros concernidos a presentar sus contribuciones al respecto directamente al GT</w:t>
      </w:r>
      <w:r w:rsidR="00D53C98">
        <w:rPr>
          <w:lang w:val="es-ES"/>
        </w:rPr>
        <w:t> </w:t>
      </w:r>
      <w:r w:rsidRPr="009962B7">
        <w:rPr>
          <w:lang w:val="es-ES"/>
        </w:rPr>
        <w:t>5B (véase el Documento</w:t>
      </w:r>
      <w:r w:rsidR="00D53C98">
        <w:rPr>
          <w:lang w:val="es-ES"/>
        </w:rPr>
        <w:t> </w:t>
      </w:r>
      <w:hyperlink r:id="rId10" w:history="1">
        <w:r w:rsidRPr="009962B7">
          <w:rPr>
            <w:rStyle w:val="Hyperlink"/>
            <w:lang w:val="es-ES"/>
          </w:rPr>
          <w:t>CA/277</w:t>
        </w:r>
      </w:hyperlink>
      <w:r w:rsidRPr="009962B7">
        <w:rPr>
          <w:lang w:val="es-ES"/>
        </w:rPr>
        <w:t>).</w:t>
      </w:r>
    </w:p>
    <w:p w14:paraId="7289868F" w14:textId="1AA18075" w:rsidR="009962B7" w:rsidRPr="009962B7" w:rsidRDefault="009962B7" w:rsidP="00C33D57">
      <w:pPr>
        <w:keepNext/>
        <w:keepLines/>
        <w:rPr>
          <w:lang w:val="es-ES"/>
        </w:rPr>
      </w:pPr>
      <w:r w:rsidRPr="009962B7">
        <w:rPr>
          <w:lang w:val="es-ES"/>
        </w:rPr>
        <w:lastRenderedPageBreak/>
        <w:t>Tras la reunión Arabia Saudita presentó una contribución al Grupo de Trabajo</w:t>
      </w:r>
      <w:r w:rsidR="00D53C98">
        <w:rPr>
          <w:lang w:val="es-ES"/>
        </w:rPr>
        <w:t> </w:t>
      </w:r>
      <w:r w:rsidRPr="009962B7">
        <w:rPr>
          <w:lang w:val="es-ES"/>
        </w:rPr>
        <w:t>5B (véase el Documento</w:t>
      </w:r>
      <w:r w:rsidR="00D53C98">
        <w:rPr>
          <w:lang w:val="es-ES"/>
        </w:rPr>
        <w:t> </w:t>
      </w:r>
      <w:hyperlink r:id="rId11" w:history="1">
        <w:r w:rsidRPr="009962B7">
          <w:rPr>
            <w:rStyle w:val="Hyperlink"/>
            <w:lang w:val="es-ES"/>
          </w:rPr>
          <w:t>5B/354</w:t>
        </w:r>
      </w:hyperlink>
      <w:r w:rsidRPr="009962B7">
        <w:rPr>
          <w:lang w:val="es-ES"/>
        </w:rPr>
        <w:t>) proponiendo establecer una coordinación con la</w:t>
      </w:r>
      <w:r w:rsidR="00D53C98">
        <w:rPr>
          <w:lang w:val="es-ES"/>
        </w:rPr>
        <w:t> </w:t>
      </w:r>
      <w:r w:rsidRPr="009962B7">
        <w:rPr>
          <w:lang w:val="es-ES"/>
        </w:rPr>
        <w:t>OMI y la</w:t>
      </w:r>
      <w:r w:rsidR="00D53C98">
        <w:rPr>
          <w:lang w:val="es-ES"/>
        </w:rPr>
        <w:t> </w:t>
      </w:r>
      <w:r w:rsidRPr="009962B7">
        <w:rPr>
          <w:lang w:val="es-ES"/>
        </w:rPr>
        <w:t>OACI para la posible elaboración conjunta de unas directrices o un manual. Esa contribución se consideró en los Grupos Monográficos</w:t>
      </w:r>
      <w:r w:rsidR="00D53C98">
        <w:rPr>
          <w:lang w:val="es-ES"/>
        </w:rPr>
        <w:t> </w:t>
      </w:r>
      <w:r w:rsidRPr="009962B7">
        <w:rPr>
          <w:lang w:val="es-ES"/>
        </w:rPr>
        <w:t>5B-2 y 5B-3. Aunque se reconoció la importancia de una continua coordinación entre la</w:t>
      </w:r>
      <w:r w:rsidR="00D53C98">
        <w:rPr>
          <w:lang w:val="es-ES"/>
        </w:rPr>
        <w:t> </w:t>
      </w:r>
      <w:r w:rsidRPr="009962B7">
        <w:rPr>
          <w:lang w:val="es-ES"/>
        </w:rPr>
        <w:t>UIT, la</w:t>
      </w:r>
      <w:r w:rsidR="00D53C98">
        <w:rPr>
          <w:lang w:val="es-ES"/>
        </w:rPr>
        <w:t> </w:t>
      </w:r>
      <w:r w:rsidRPr="009962B7">
        <w:rPr>
          <w:lang w:val="es-ES"/>
        </w:rPr>
        <w:t>OMI y la</w:t>
      </w:r>
      <w:r w:rsidR="00D53C98">
        <w:rPr>
          <w:lang w:val="es-ES"/>
        </w:rPr>
        <w:t> </w:t>
      </w:r>
      <w:r w:rsidRPr="009962B7">
        <w:rPr>
          <w:lang w:val="es-ES"/>
        </w:rPr>
        <w:t>OACI, se expresaron inquietudes acerca del alcance de los trabajos propuestos, los objetivos prácticos, los sistemas y bandas concernidos, la carga de trabajo prevista, los elementos clave por incluir y la identificación de los grupos rectores y contribuyentes. También se recordó que ya existen mecanismos de coordinación, entre los que se cuentan las declaraciones enviadas a la</w:t>
      </w:r>
      <w:r w:rsidR="00D53C98">
        <w:rPr>
          <w:lang w:val="es-ES"/>
        </w:rPr>
        <w:t> </w:t>
      </w:r>
      <w:r w:rsidRPr="009962B7">
        <w:rPr>
          <w:lang w:val="es-ES"/>
        </w:rPr>
        <w:t>OACI en caso necesario y el grupo Mixto de Expertos OMI/UIT sobre asuntos de radiocomunicaciones marítimas. Por consiguiente, ambos grupos decidieron tomar nota de la contribución sin adoptar medidas al respecto.</w:t>
      </w:r>
    </w:p>
    <w:p w14:paraId="20FC1795" w14:textId="7E120C7E" w:rsidR="009962B7" w:rsidRPr="009962B7" w:rsidRDefault="009962B7" w:rsidP="00D53C98">
      <w:pPr>
        <w:pStyle w:val="Heading1"/>
        <w:rPr>
          <w:lang w:val="es-ES"/>
        </w:rPr>
      </w:pPr>
      <w:r w:rsidRPr="009962B7">
        <w:rPr>
          <w:lang w:val="es-ES"/>
        </w:rPr>
        <w:t>2</w:t>
      </w:r>
      <w:r w:rsidR="00D53C98">
        <w:rPr>
          <w:lang w:val="es-ES"/>
        </w:rPr>
        <w:tab/>
      </w:r>
      <w:r w:rsidRPr="009962B7">
        <w:rPr>
          <w:lang w:val="es-ES"/>
        </w:rPr>
        <w:t>Retos para las administraciones</w:t>
      </w:r>
    </w:p>
    <w:p w14:paraId="02217DE2" w14:textId="41B71221" w:rsidR="009962B7" w:rsidRPr="009962B7" w:rsidRDefault="009962B7" w:rsidP="009962B7">
      <w:pPr>
        <w:rPr>
          <w:lang w:val="es-ES"/>
        </w:rPr>
      </w:pPr>
      <w:r w:rsidRPr="009962B7">
        <w:rPr>
          <w:lang w:val="es-ES"/>
        </w:rPr>
        <w:t>Las autoridades nacionales de reglamentación de las telecomunicaciones siguen afrontando retos prácticos a la hora de aplicar coherentemente los marcos de la</w:t>
      </w:r>
      <w:r w:rsidR="00D53C98">
        <w:rPr>
          <w:lang w:val="es-ES"/>
        </w:rPr>
        <w:t> </w:t>
      </w:r>
      <w:r w:rsidRPr="009962B7">
        <w:rPr>
          <w:lang w:val="es-ES"/>
        </w:rPr>
        <w:t>UIT, la</w:t>
      </w:r>
      <w:r w:rsidR="00D53C98">
        <w:rPr>
          <w:lang w:val="es-ES"/>
        </w:rPr>
        <w:t> </w:t>
      </w:r>
      <w:r w:rsidRPr="009962B7">
        <w:rPr>
          <w:lang w:val="es-ES"/>
        </w:rPr>
        <w:t>OMI y la</w:t>
      </w:r>
      <w:r w:rsidR="00D53C98">
        <w:rPr>
          <w:lang w:val="es-ES"/>
        </w:rPr>
        <w:t> </w:t>
      </w:r>
      <w:r w:rsidRPr="009962B7">
        <w:rPr>
          <w:lang w:val="es-ES"/>
        </w:rPr>
        <w:t>OACI, sobre todo en lo que respecta a los sistemas de radiocomunicaciones marítimas, aeronáuticas y otros sistemas auxiliares, como los de radionavegación, radiodeterminación, meteorología, etc.</w:t>
      </w:r>
    </w:p>
    <w:p w14:paraId="59E6F6E8" w14:textId="77777777" w:rsidR="009962B7" w:rsidRPr="009962B7" w:rsidRDefault="009962B7" w:rsidP="009962B7">
      <w:pPr>
        <w:rPr>
          <w:lang w:val="es-ES"/>
        </w:rPr>
      </w:pPr>
      <w:r w:rsidRPr="009962B7">
        <w:rPr>
          <w:lang w:val="es-ES"/>
        </w:rPr>
        <w:t>En primer lugar, las responsabilidades a nivel nacional suelen estar dispersas entre distintas autoridades, incluidos los reguladores de telecomunicaciones, las autoridades de aviación civil, las autoridades marítimas, los ministerios de transporte, las agencias de meteorología, los cuerpos de defensa y demás instituciones competentes. Esa fragmentación institucional puede dificultar el diseño y aplicación coherentes de los procesos de autorización de extremo a extremo.</w:t>
      </w:r>
    </w:p>
    <w:p w14:paraId="0C9AF7C8" w14:textId="19C6277D" w:rsidR="009962B7" w:rsidRPr="009962B7" w:rsidRDefault="009962B7" w:rsidP="009962B7">
      <w:pPr>
        <w:rPr>
          <w:lang w:val="es-ES"/>
        </w:rPr>
      </w:pPr>
      <w:r w:rsidRPr="009962B7">
        <w:rPr>
          <w:lang w:val="es-ES"/>
        </w:rPr>
        <w:t>En segundo lugar, es posible que las autoridades de reglamentación de las telecomunicaciones no siempre conozcan o tengan visibilidad suficiente de los marcos operativos, procesales y documentales pertinentes de la</w:t>
      </w:r>
      <w:r w:rsidR="00D53C98">
        <w:rPr>
          <w:lang w:val="es-ES"/>
        </w:rPr>
        <w:t> </w:t>
      </w:r>
      <w:r w:rsidRPr="009962B7">
        <w:rPr>
          <w:lang w:val="es-ES"/>
        </w:rPr>
        <w:t>OMI y la</w:t>
      </w:r>
      <w:r w:rsidR="00D53C98">
        <w:rPr>
          <w:lang w:val="es-ES"/>
        </w:rPr>
        <w:t> </w:t>
      </w:r>
      <w:r w:rsidRPr="009962B7">
        <w:rPr>
          <w:lang w:val="es-ES"/>
        </w:rPr>
        <w:t>OACI, mientras que las autoridades sectoriales no siempre son plenamente conscientes de las consecuencias reglamentarias para las radiocomunicaciones y la gestión del espectro del Reglamento de Radiocomunicaciones y otros textos del</w:t>
      </w:r>
      <w:r w:rsidR="00D53C98">
        <w:rPr>
          <w:lang w:val="es-ES"/>
        </w:rPr>
        <w:t> </w:t>
      </w:r>
      <w:r w:rsidRPr="009962B7">
        <w:rPr>
          <w:lang w:val="es-ES"/>
        </w:rPr>
        <w:t>UIT</w:t>
      </w:r>
      <w:r w:rsidR="00C33D57">
        <w:rPr>
          <w:lang w:val="es-ES"/>
        </w:rPr>
        <w:noBreakHyphen/>
      </w:r>
      <w:r w:rsidRPr="009962B7">
        <w:rPr>
          <w:lang w:val="es-ES"/>
        </w:rPr>
        <w:t>R afines. Esta brecha de conocimiento entre dominios puede dar pie en la definición y aplicación de procesos de autorización nacionales a una incertidumbre que podría evitarse.</w:t>
      </w:r>
    </w:p>
    <w:p w14:paraId="30206170" w14:textId="03D5EE69" w:rsidR="009962B7" w:rsidRPr="009962B7" w:rsidRDefault="009962B7" w:rsidP="009962B7">
      <w:pPr>
        <w:rPr>
          <w:lang w:val="es-ES"/>
        </w:rPr>
      </w:pPr>
      <w:r w:rsidRPr="009962B7">
        <w:rPr>
          <w:lang w:val="es-ES"/>
        </w:rPr>
        <w:t>En tercer lugar, las administraciones pueden encontrar dificultades a la hora de determinar, para una estación, sistema, instalación</w:t>
      </w:r>
      <w:r w:rsidR="001745A1">
        <w:rPr>
          <w:lang w:val="es-ES"/>
        </w:rPr>
        <w:t>,</w:t>
      </w:r>
      <w:r w:rsidRPr="009962B7">
        <w:rPr>
          <w:lang w:val="es-ES"/>
        </w:rPr>
        <w:t xml:space="preserve"> servicio o caso de uso particular, qué instrumentos internacionales son aplicables, a qué autoridad se debe consultar y cómo han de funcionar en la práctica las interfaces entre la regulación de las telecomunicaciones y los requisitos de los sectores marítimo o aéreo.</w:t>
      </w:r>
    </w:p>
    <w:p w14:paraId="6546DEDA" w14:textId="77777777" w:rsidR="009962B7" w:rsidRPr="009962B7" w:rsidRDefault="009962B7" w:rsidP="009962B7">
      <w:pPr>
        <w:rPr>
          <w:lang w:val="es-ES"/>
        </w:rPr>
      </w:pPr>
      <w:r w:rsidRPr="009962B7">
        <w:rPr>
          <w:lang w:val="es-ES"/>
        </w:rPr>
        <w:t>En cuarto lugar, aun cuando una autorización nacional es técnicamente coherente con las disposiciones aplicables al espectro del Reglamento de Radiocomunicaciones, es posible que no sea un reflejo perfecto de los marcos operativos marítimos o aeronáuticos, lo que podría dar lugar a condiciones de autorización incompletas, prácticas nacionales incoherentes, complejidades de aplicación evitables para operadores y fabricantes u oportunidades perdidas para evitar la interferencia perjudicial y facilitar una coordinación eficiente.</w:t>
      </w:r>
    </w:p>
    <w:p w14:paraId="6AE030E0" w14:textId="77777777" w:rsidR="009962B7" w:rsidRPr="009962B7" w:rsidRDefault="009962B7" w:rsidP="009962B7">
      <w:pPr>
        <w:rPr>
          <w:lang w:val="es-ES"/>
        </w:rPr>
      </w:pPr>
      <w:r w:rsidRPr="009962B7">
        <w:rPr>
          <w:lang w:val="es-ES"/>
        </w:rPr>
        <w:t>En quinto lugar, las dificultades van más allá de las comunicaciones meramente marítimas y aeronáuticas y se extienden a sus servicios auxiliares, entre ellos los de radionavegación, radiodeterminación y aplicaciones meteorológicas y de supervisión, para los que las administraciones han de tener en cuenta un conjunto más amplio de requisitos y prácticas.</w:t>
      </w:r>
    </w:p>
    <w:p w14:paraId="35BFFFDB" w14:textId="0BE7E10B" w:rsidR="009962B7" w:rsidRPr="009962B7" w:rsidRDefault="009962B7" w:rsidP="001745A1">
      <w:pPr>
        <w:keepNext/>
        <w:keepLines/>
        <w:rPr>
          <w:lang w:val="es-ES"/>
        </w:rPr>
      </w:pPr>
      <w:r w:rsidRPr="009962B7">
        <w:rPr>
          <w:lang w:val="es-ES"/>
        </w:rPr>
        <w:lastRenderedPageBreak/>
        <w:t>Por último, aunque las tres organizaciones ya cuentan con material de utilidad, incluidos manuales sectoriales, aún no hay disponible un único documento práctico con referencias cruzadas específicamente diseñado para ayudar a las autoridades nacionales de reglamentación de las telecomunicaciones a entender las interfaces entre los marcos de la</w:t>
      </w:r>
      <w:r w:rsidR="00D53C98">
        <w:rPr>
          <w:lang w:val="es-ES"/>
        </w:rPr>
        <w:t> </w:t>
      </w:r>
      <w:r w:rsidRPr="009962B7">
        <w:rPr>
          <w:lang w:val="es-ES"/>
        </w:rPr>
        <w:t>UIT, la</w:t>
      </w:r>
      <w:r w:rsidR="00D53C98">
        <w:rPr>
          <w:lang w:val="es-ES"/>
        </w:rPr>
        <w:t> </w:t>
      </w:r>
      <w:r w:rsidRPr="009962B7">
        <w:rPr>
          <w:lang w:val="es-ES"/>
        </w:rPr>
        <w:t>OMI y la</w:t>
      </w:r>
      <w:r w:rsidR="00D53C98">
        <w:rPr>
          <w:lang w:val="es-ES"/>
        </w:rPr>
        <w:t> </w:t>
      </w:r>
      <w:r w:rsidRPr="009962B7">
        <w:rPr>
          <w:lang w:val="es-ES"/>
        </w:rPr>
        <w:t>OACI en el ámbito práctico de las autorizaciones nacionales. Sigue habiendo una carencia de implementación práctica para las administraciones.</w:t>
      </w:r>
    </w:p>
    <w:p w14:paraId="21C73F6A" w14:textId="72B902A3" w:rsidR="009962B7" w:rsidRPr="009962B7" w:rsidRDefault="009962B7" w:rsidP="00D53C98">
      <w:pPr>
        <w:pStyle w:val="Heading1"/>
        <w:rPr>
          <w:lang w:val="es-ES"/>
        </w:rPr>
      </w:pPr>
      <w:r w:rsidRPr="009962B7">
        <w:rPr>
          <w:lang w:val="es-ES"/>
        </w:rPr>
        <w:t>3</w:t>
      </w:r>
      <w:r w:rsidR="00D53C98">
        <w:rPr>
          <w:lang w:val="es-ES"/>
        </w:rPr>
        <w:tab/>
      </w:r>
      <w:r w:rsidRPr="009962B7">
        <w:rPr>
          <w:lang w:val="es-ES"/>
        </w:rPr>
        <w:t>Propuesta</w:t>
      </w:r>
    </w:p>
    <w:p w14:paraId="73D88A97" w14:textId="5EC41CAB" w:rsidR="009962B7" w:rsidRPr="009962B7" w:rsidRDefault="009962B7" w:rsidP="009962B7">
      <w:pPr>
        <w:rPr>
          <w:lang w:val="es-ES"/>
        </w:rPr>
      </w:pPr>
      <w:r w:rsidRPr="009962B7">
        <w:rPr>
          <w:lang w:val="es-ES"/>
        </w:rPr>
        <w:t>Recordando lo dispuesto en el número</w:t>
      </w:r>
      <w:r w:rsidR="00D53C98">
        <w:rPr>
          <w:lang w:val="es-ES"/>
        </w:rPr>
        <w:t> </w:t>
      </w:r>
      <w:r w:rsidRPr="009962B7">
        <w:rPr>
          <w:lang w:val="es-ES"/>
        </w:rPr>
        <w:t>160F (PP-98) del Artículo</w:t>
      </w:r>
      <w:r w:rsidR="00D53C98">
        <w:rPr>
          <w:lang w:val="es-ES"/>
        </w:rPr>
        <w:t> </w:t>
      </w:r>
      <w:r w:rsidRPr="009962B7">
        <w:rPr>
          <w:lang w:val="es-ES"/>
        </w:rPr>
        <w:t>11A del Convenio de la Unión Internacional de Tel</w:t>
      </w:r>
      <w:r w:rsidR="00D53C98">
        <w:rPr>
          <w:lang w:val="es-ES"/>
        </w:rPr>
        <w:t>e</w:t>
      </w:r>
      <w:r w:rsidRPr="009962B7">
        <w:rPr>
          <w:lang w:val="es-ES"/>
        </w:rPr>
        <w:t>comunicaciones, que destaca el papel del</w:t>
      </w:r>
      <w:r w:rsidR="00C33D57">
        <w:rPr>
          <w:lang w:val="es-ES"/>
        </w:rPr>
        <w:t> </w:t>
      </w:r>
      <w:r w:rsidRPr="009962B7">
        <w:rPr>
          <w:lang w:val="es-ES"/>
        </w:rPr>
        <w:t>GAR para facilitar la cooperación entre las organizaciones internacionales pertinentes, y habida cuenta de los debates sostenidos en el</w:t>
      </w:r>
      <w:r w:rsidR="00D53C98">
        <w:rPr>
          <w:lang w:val="es-ES"/>
        </w:rPr>
        <w:t> </w:t>
      </w:r>
      <w:r w:rsidRPr="009962B7">
        <w:rPr>
          <w:lang w:val="es-ES"/>
        </w:rPr>
        <w:t>GAR y el Grupo de Trabajo</w:t>
      </w:r>
      <w:r w:rsidR="00D53C98">
        <w:rPr>
          <w:lang w:val="es-ES"/>
        </w:rPr>
        <w:t> </w:t>
      </w:r>
      <w:r w:rsidRPr="009962B7">
        <w:rPr>
          <w:lang w:val="es-ES"/>
        </w:rPr>
        <w:t>5B, Arabia Saudita destaca la importancia que reviste garantizar la aplicación coherente de los marcos operativos y reglamentarios que rigen el funcionamiento seguro y eficiente de los sistemas de radiocomunicaciones marítimas y aeronáuticas.</w:t>
      </w:r>
    </w:p>
    <w:p w14:paraId="5549AED3" w14:textId="342A5E2F" w:rsidR="009962B7" w:rsidRPr="009962B7" w:rsidRDefault="009962B7" w:rsidP="009962B7">
      <w:pPr>
        <w:rPr>
          <w:lang w:val="es-ES"/>
        </w:rPr>
      </w:pPr>
      <w:r w:rsidRPr="009962B7">
        <w:rPr>
          <w:lang w:val="es-ES"/>
        </w:rPr>
        <w:t>Reconociendo que las administraciones pueden afrontar retos prácticos a la hora de aplicar los instrumentos y documentos pertinentes elaborados por la</w:t>
      </w:r>
      <w:r w:rsidR="00D53C98">
        <w:rPr>
          <w:lang w:val="es-ES"/>
        </w:rPr>
        <w:t> </w:t>
      </w:r>
      <w:r w:rsidRPr="009962B7">
        <w:rPr>
          <w:lang w:val="es-ES"/>
        </w:rPr>
        <w:t>UIT, la</w:t>
      </w:r>
      <w:r w:rsidR="00D53C98">
        <w:rPr>
          <w:lang w:val="es-ES"/>
        </w:rPr>
        <w:t> </w:t>
      </w:r>
      <w:r w:rsidRPr="009962B7">
        <w:rPr>
          <w:lang w:val="es-ES"/>
        </w:rPr>
        <w:t>OMI y la</w:t>
      </w:r>
      <w:r w:rsidR="00D53C98">
        <w:rPr>
          <w:lang w:val="es-ES"/>
        </w:rPr>
        <w:t> </w:t>
      </w:r>
      <w:r w:rsidRPr="009962B7">
        <w:rPr>
          <w:lang w:val="es-ES"/>
        </w:rPr>
        <w:t>OACI, Arabia Saudita considera que la adopción de un enfoque práctico y coordinado podría ayudar a las autoridades nacionales de reglamentación de las telecomunicaciones a manejar esos marcos más eficazmente.</w:t>
      </w:r>
    </w:p>
    <w:p w14:paraId="06C4CB1E" w14:textId="31672BA4" w:rsidR="009962B7" w:rsidRPr="009962B7" w:rsidRDefault="009962B7" w:rsidP="009962B7">
      <w:pPr>
        <w:rPr>
          <w:lang w:val="es-ES"/>
        </w:rPr>
      </w:pPr>
      <w:r w:rsidRPr="009962B7">
        <w:rPr>
          <w:lang w:val="es-ES"/>
        </w:rPr>
        <w:t>En este contexto, Arabia Saudita propone que el</w:t>
      </w:r>
      <w:r w:rsidR="001745A1">
        <w:rPr>
          <w:lang w:val="es-ES"/>
        </w:rPr>
        <w:t> GAR</w:t>
      </w:r>
      <w:r w:rsidRPr="009962B7">
        <w:rPr>
          <w:lang w:val="es-ES"/>
        </w:rPr>
        <w:t xml:space="preserve"> recomiende al Director de la</w:t>
      </w:r>
      <w:r w:rsidR="00C33D57">
        <w:rPr>
          <w:lang w:val="es-ES"/>
        </w:rPr>
        <w:t> </w:t>
      </w:r>
      <w:r w:rsidRPr="009962B7">
        <w:rPr>
          <w:lang w:val="es-ES"/>
        </w:rPr>
        <w:t>BR que se coordine con la</w:t>
      </w:r>
      <w:r w:rsidR="00D53C98">
        <w:rPr>
          <w:lang w:val="es-ES"/>
        </w:rPr>
        <w:t> </w:t>
      </w:r>
      <w:r w:rsidRPr="009962B7">
        <w:rPr>
          <w:lang w:val="es-ES"/>
        </w:rPr>
        <w:t>OMI y la</w:t>
      </w:r>
      <w:r w:rsidR="00D53C98">
        <w:rPr>
          <w:lang w:val="es-ES"/>
        </w:rPr>
        <w:t> </w:t>
      </w:r>
      <w:r w:rsidRPr="009962B7">
        <w:rPr>
          <w:lang w:val="es-ES"/>
        </w:rPr>
        <w:t>OACI, empleando los mecanismos de cooperación existentes, según proceda, con el objetivo de identificar qué medidas prácticas podrían ayudar a las administraciones a aplicar de manera coherente los correspondientes marcos de la</w:t>
      </w:r>
      <w:r w:rsidR="00D53C98">
        <w:rPr>
          <w:lang w:val="es-ES"/>
        </w:rPr>
        <w:t> </w:t>
      </w:r>
      <w:r w:rsidRPr="009962B7">
        <w:rPr>
          <w:lang w:val="es-ES"/>
        </w:rPr>
        <w:t>UIT, la</w:t>
      </w:r>
      <w:r w:rsidR="00D53C98">
        <w:rPr>
          <w:lang w:val="es-ES"/>
        </w:rPr>
        <w:t> </w:t>
      </w:r>
      <w:r w:rsidRPr="009962B7">
        <w:rPr>
          <w:lang w:val="es-ES"/>
        </w:rPr>
        <w:t>OMI y la</w:t>
      </w:r>
      <w:r w:rsidR="00D53C98">
        <w:rPr>
          <w:lang w:val="es-ES"/>
        </w:rPr>
        <w:t> </w:t>
      </w:r>
      <w:r w:rsidRPr="009962B7">
        <w:rPr>
          <w:lang w:val="es-ES"/>
        </w:rPr>
        <w:t>OACI relativos a las radiocomunicaciones marítimas y aeronáuticas y los sistemas de radiocomunicaciones auxiliares, incluidas las aplicaciones de radionavegación, radiodeterminación, supervisión y meteorología.</w:t>
      </w:r>
    </w:p>
    <w:p w14:paraId="46B0F80B" w14:textId="0F49BDED" w:rsidR="009962B7" w:rsidRPr="009962B7" w:rsidRDefault="009962B7" w:rsidP="009962B7">
      <w:pPr>
        <w:rPr>
          <w:lang w:val="es-ES"/>
        </w:rPr>
      </w:pPr>
      <w:r w:rsidRPr="009962B7">
        <w:rPr>
          <w:lang w:val="es-ES"/>
        </w:rPr>
        <w:t>Esa labor, emprendida por la</w:t>
      </w:r>
      <w:r w:rsidR="00D53C98">
        <w:rPr>
          <w:lang w:val="es-ES"/>
        </w:rPr>
        <w:t> </w:t>
      </w:r>
      <w:r w:rsidRPr="009962B7">
        <w:rPr>
          <w:lang w:val="es-ES"/>
        </w:rPr>
        <w:t>BR orientada por el</w:t>
      </w:r>
      <w:r w:rsidR="00D53C98">
        <w:rPr>
          <w:lang w:val="es-ES"/>
        </w:rPr>
        <w:t> </w:t>
      </w:r>
      <w:r w:rsidRPr="009962B7">
        <w:rPr>
          <w:lang w:val="es-ES"/>
        </w:rPr>
        <w:t>GAR y en consulta con las Comisiones de Estudio del</w:t>
      </w:r>
      <w:r w:rsidR="00D53C98">
        <w:rPr>
          <w:lang w:val="es-ES"/>
        </w:rPr>
        <w:t> </w:t>
      </w:r>
      <w:r w:rsidRPr="009962B7">
        <w:rPr>
          <w:lang w:val="es-ES"/>
        </w:rPr>
        <w:t>UIT</w:t>
      </w:r>
      <w:r w:rsidR="00C33D57">
        <w:rPr>
          <w:lang w:val="es-ES"/>
        </w:rPr>
        <w:noBreakHyphen/>
      </w:r>
      <w:r w:rsidRPr="009962B7">
        <w:rPr>
          <w:lang w:val="es-ES"/>
        </w:rPr>
        <w:t>R pertinentes, podría incluir la identificación de los principales retos prácticos a que se enfrentan las administraciones y la exploración de eventuales formas de asistencia, entre ellas, por ejemplo:</w:t>
      </w:r>
    </w:p>
    <w:p w14:paraId="0E28960A" w14:textId="0A91650C" w:rsidR="009962B7" w:rsidRPr="009962B7" w:rsidRDefault="00D53C98" w:rsidP="00D53C98">
      <w:pPr>
        <w:pStyle w:val="enumlev1"/>
        <w:rPr>
          <w:lang w:val="es-ES"/>
        </w:rPr>
      </w:pPr>
      <w:r w:rsidRPr="00D53C98">
        <w:rPr>
          <w:lang w:val="es-ES"/>
        </w:rPr>
        <w:t>–</w:t>
      </w:r>
      <w:r w:rsidR="009962B7" w:rsidRPr="009962B7">
        <w:rPr>
          <w:lang w:val="es-ES"/>
        </w:rPr>
        <w:tab/>
      </w:r>
      <w:r w:rsidR="00C33D57" w:rsidRPr="009962B7">
        <w:rPr>
          <w:lang w:val="es-ES"/>
        </w:rPr>
        <w:t>c</w:t>
      </w:r>
      <w:r w:rsidR="009962B7" w:rsidRPr="009962B7">
        <w:rPr>
          <w:lang w:val="es-ES"/>
        </w:rPr>
        <w:t>orrespondencias entre los instrumentos y materiales de la</w:t>
      </w:r>
      <w:r>
        <w:rPr>
          <w:lang w:val="es-ES"/>
        </w:rPr>
        <w:t> </w:t>
      </w:r>
      <w:r w:rsidR="009962B7" w:rsidRPr="009962B7">
        <w:rPr>
          <w:lang w:val="es-ES"/>
        </w:rPr>
        <w:t>UIT, la</w:t>
      </w:r>
      <w:r>
        <w:rPr>
          <w:lang w:val="es-ES"/>
        </w:rPr>
        <w:t> </w:t>
      </w:r>
      <w:r w:rsidR="009962B7" w:rsidRPr="009962B7">
        <w:rPr>
          <w:lang w:val="es-ES"/>
        </w:rPr>
        <w:t>OMI y la</w:t>
      </w:r>
      <w:r>
        <w:rPr>
          <w:lang w:val="es-ES"/>
        </w:rPr>
        <w:t> </w:t>
      </w:r>
      <w:r w:rsidR="009962B7" w:rsidRPr="009962B7">
        <w:rPr>
          <w:lang w:val="es-ES"/>
        </w:rPr>
        <w:t>OACI de referencia;</w:t>
      </w:r>
    </w:p>
    <w:p w14:paraId="4610C185" w14:textId="53061FAD" w:rsidR="009962B7" w:rsidRPr="009962B7" w:rsidRDefault="00D53C98" w:rsidP="00D53C98">
      <w:pPr>
        <w:pStyle w:val="enumlev1"/>
        <w:rPr>
          <w:lang w:val="es-ES"/>
        </w:rPr>
      </w:pPr>
      <w:r w:rsidRPr="00D53C98">
        <w:rPr>
          <w:lang w:val="es-ES"/>
        </w:rPr>
        <w:t>–</w:t>
      </w:r>
      <w:r w:rsidR="009962B7" w:rsidRPr="009962B7">
        <w:rPr>
          <w:lang w:val="es-ES"/>
        </w:rPr>
        <w:tab/>
      </w:r>
      <w:r w:rsidR="00C33D57" w:rsidRPr="009962B7">
        <w:rPr>
          <w:lang w:val="es-ES"/>
        </w:rPr>
        <w:t>i</w:t>
      </w:r>
      <w:r w:rsidR="009962B7" w:rsidRPr="009962B7">
        <w:rPr>
          <w:lang w:val="es-ES"/>
        </w:rPr>
        <w:t xml:space="preserve">nformación práctica sobre las funciones </w:t>
      </w:r>
      <w:r w:rsidR="00824F85">
        <w:rPr>
          <w:lang w:val="es-ES"/>
        </w:rPr>
        <w:t xml:space="preserve">de </w:t>
      </w:r>
      <w:r w:rsidR="009962B7" w:rsidRPr="009962B7">
        <w:rPr>
          <w:lang w:val="es-ES"/>
        </w:rPr>
        <w:t>los reguladores de telecomunicaciones y las autoridades marítimas y aeronáuticas, y las interfaces entre ellos;</w:t>
      </w:r>
    </w:p>
    <w:p w14:paraId="0BDCD486" w14:textId="3C8B2D74" w:rsidR="009962B7" w:rsidRPr="009962B7" w:rsidRDefault="00D53C98" w:rsidP="00D53C98">
      <w:pPr>
        <w:pStyle w:val="enumlev1"/>
        <w:rPr>
          <w:lang w:val="es-ES"/>
        </w:rPr>
      </w:pPr>
      <w:r w:rsidRPr="00D53C98">
        <w:rPr>
          <w:lang w:val="es-ES"/>
        </w:rPr>
        <w:t>–</w:t>
      </w:r>
      <w:r w:rsidR="009962B7" w:rsidRPr="009962B7">
        <w:rPr>
          <w:lang w:val="es-ES"/>
        </w:rPr>
        <w:tab/>
      </w:r>
      <w:r w:rsidR="00C33D57" w:rsidRPr="009962B7">
        <w:rPr>
          <w:lang w:val="es-ES"/>
        </w:rPr>
        <w:t>p</w:t>
      </w:r>
      <w:r w:rsidR="009962B7" w:rsidRPr="009962B7">
        <w:rPr>
          <w:lang w:val="es-ES"/>
        </w:rPr>
        <w:t>reparación de recursos orientativos, listas de verificación o actividades de capacitación;</w:t>
      </w:r>
    </w:p>
    <w:p w14:paraId="31D1DDEA" w14:textId="7D2CD8EE" w:rsidR="009962B7" w:rsidRPr="009962B7" w:rsidRDefault="00D53C98" w:rsidP="00D53C98">
      <w:pPr>
        <w:pStyle w:val="enumlev1"/>
        <w:rPr>
          <w:lang w:val="es-ES"/>
        </w:rPr>
      </w:pPr>
      <w:r w:rsidRPr="00D53C98">
        <w:rPr>
          <w:lang w:val="es-ES"/>
        </w:rPr>
        <w:t>–</w:t>
      </w:r>
      <w:r w:rsidR="009962B7" w:rsidRPr="009962B7">
        <w:rPr>
          <w:lang w:val="es-ES"/>
        </w:rPr>
        <w:tab/>
      </w:r>
      <w:r w:rsidR="00C33D57" w:rsidRPr="009962B7">
        <w:rPr>
          <w:lang w:val="es-ES"/>
        </w:rPr>
        <w:t>c</w:t>
      </w:r>
      <w:r w:rsidR="009962B7" w:rsidRPr="009962B7">
        <w:rPr>
          <w:lang w:val="es-ES"/>
        </w:rPr>
        <w:t>reación de un portal web de información, mantenido por la</w:t>
      </w:r>
      <w:r>
        <w:rPr>
          <w:lang w:val="es-ES"/>
        </w:rPr>
        <w:t> </w:t>
      </w:r>
      <w:r w:rsidR="009962B7" w:rsidRPr="009962B7">
        <w:rPr>
          <w:lang w:val="es-ES"/>
        </w:rPr>
        <w:t>BR, que reúna todos los materiales de referencia y recursos de implementación prácticos.</w:t>
      </w:r>
    </w:p>
    <w:p w14:paraId="5B3B2D8D" w14:textId="42920460" w:rsidR="009962B7" w:rsidRPr="009962B7" w:rsidRDefault="009962B7" w:rsidP="009962B7">
      <w:pPr>
        <w:rPr>
          <w:lang w:val="es-ES"/>
        </w:rPr>
      </w:pPr>
      <w:r w:rsidRPr="009962B7">
        <w:rPr>
          <w:lang w:val="es-ES"/>
        </w:rPr>
        <w:t>De este modo se preservaría la flexibilidad en cuanto a cualquier tipo de producto final, sin imponer que ésta haya de ser un manual, y se permitiría a la</w:t>
      </w:r>
      <w:r w:rsidR="00C33D57">
        <w:rPr>
          <w:lang w:val="es-ES"/>
        </w:rPr>
        <w:t> </w:t>
      </w:r>
      <w:r w:rsidRPr="009962B7">
        <w:rPr>
          <w:lang w:val="es-ES"/>
        </w:rPr>
        <w:t>BR tener en cuenta las inquietudes ya manifestadas en cuanto al alcance, los acuerdos, la duplicación y la carga de trabajo.</w:t>
      </w:r>
    </w:p>
    <w:p w14:paraId="084F685F" w14:textId="4C09F367" w:rsidR="009962B7" w:rsidRPr="009962B7" w:rsidRDefault="009962B7" w:rsidP="009962B7">
      <w:pPr>
        <w:rPr>
          <w:lang w:val="es-ES"/>
        </w:rPr>
      </w:pPr>
      <w:r w:rsidRPr="009962B7">
        <w:rPr>
          <w:lang w:val="es-ES"/>
        </w:rPr>
        <w:t>Por consiguiente, Arabia Saudita propone que el</w:t>
      </w:r>
      <w:r w:rsidR="00824F85">
        <w:rPr>
          <w:lang w:val="es-ES"/>
        </w:rPr>
        <w:t> GAR</w:t>
      </w:r>
      <w:r w:rsidRPr="009962B7">
        <w:rPr>
          <w:lang w:val="es-ES"/>
        </w:rPr>
        <w:t>:</w:t>
      </w:r>
    </w:p>
    <w:p w14:paraId="6963B86F" w14:textId="530AA4C1" w:rsidR="009962B7" w:rsidRPr="009962B7" w:rsidRDefault="009962B7" w:rsidP="00D53C98">
      <w:pPr>
        <w:pStyle w:val="enumlev1"/>
        <w:rPr>
          <w:lang w:val="es-ES"/>
        </w:rPr>
      </w:pPr>
      <w:r w:rsidRPr="009962B7">
        <w:rPr>
          <w:lang w:val="es-ES"/>
        </w:rPr>
        <w:t>1)</w:t>
      </w:r>
      <w:r w:rsidRPr="009962B7">
        <w:rPr>
          <w:lang w:val="es-ES"/>
        </w:rPr>
        <w:tab/>
      </w:r>
      <w:r w:rsidR="00C33D57" w:rsidRPr="009962B7">
        <w:rPr>
          <w:lang w:val="es-ES"/>
        </w:rPr>
        <w:t>r</w:t>
      </w:r>
      <w:r w:rsidRPr="009962B7">
        <w:rPr>
          <w:lang w:val="es-ES"/>
        </w:rPr>
        <w:t>ecomiende al Director de la</w:t>
      </w:r>
      <w:r w:rsidR="00824F85">
        <w:rPr>
          <w:lang w:val="es-ES"/>
        </w:rPr>
        <w:t> BR</w:t>
      </w:r>
      <w:r w:rsidRPr="009962B7">
        <w:rPr>
          <w:lang w:val="es-ES"/>
        </w:rPr>
        <w:t xml:space="preserve"> que se coordine con la</w:t>
      </w:r>
      <w:r w:rsidR="00D53C98">
        <w:rPr>
          <w:lang w:val="es-ES"/>
        </w:rPr>
        <w:t> </w:t>
      </w:r>
      <w:r w:rsidRPr="009962B7">
        <w:rPr>
          <w:lang w:val="es-ES"/>
        </w:rPr>
        <w:t>OMI y la</w:t>
      </w:r>
      <w:r w:rsidR="00D53C98">
        <w:rPr>
          <w:lang w:val="es-ES"/>
        </w:rPr>
        <w:t> </w:t>
      </w:r>
      <w:r w:rsidRPr="009962B7">
        <w:rPr>
          <w:lang w:val="es-ES"/>
        </w:rPr>
        <w:t>OACI, empleando los mecanismos de cooperación existentes, según proceda, qué medidas prácticas podrían ayudar a las administraciones a aplicar de manera coherente los correspondientes marcos de la</w:t>
      </w:r>
      <w:r w:rsidR="00D53C98">
        <w:rPr>
          <w:lang w:val="es-ES"/>
        </w:rPr>
        <w:t> </w:t>
      </w:r>
      <w:r w:rsidRPr="009962B7">
        <w:rPr>
          <w:lang w:val="es-ES"/>
        </w:rPr>
        <w:t>UIT, la</w:t>
      </w:r>
      <w:r w:rsidR="00D53C98">
        <w:rPr>
          <w:lang w:val="es-ES"/>
        </w:rPr>
        <w:t> </w:t>
      </w:r>
      <w:r w:rsidRPr="009962B7">
        <w:rPr>
          <w:lang w:val="es-ES"/>
        </w:rPr>
        <w:t>OMI y la</w:t>
      </w:r>
      <w:r w:rsidR="00D53C98">
        <w:rPr>
          <w:lang w:val="es-ES"/>
        </w:rPr>
        <w:t> </w:t>
      </w:r>
      <w:r w:rsidRPr="009962B7">
        <w:rPr>
          <w:lang w:val="es-ES"/>
        </w:rPr>
        <w:t>OACI;</w:t>
      </w:r>
    </w:p>
    <w:p w14:paraId="31A775CF" w14:textId="5F0C5816" w:rsidR="009962B7" w:rsidRPr="009962B7" w:rsidRDefault="009962B7" w:rsidP="00D53C98">
      <w:pPr>
        <w:pStyle w:val="enumlev1"/>
        <w:rPr>
          <w:lang w:val="es-ES"/>
        </w:rPr>
      </w:pPr>
      <w:r w:rsidRPr="009962B7">
        <w:rPr>
          <w:lang w:val="es-ES"/>
        </w:rPr>
        <w:lastRenderedPageBreak/>
        <w:t>2)</w:t>
      </w:r>
      <w:r w:rsidRPr="009962B7">
        <w:rPr>
          <w:lang w:val="es-ES"/>
        </w:rPr>
        <w:tab/>
      </w:r>
      <w:r w:rsidR="00C33D57" w:rsidRPr="009962B7">
        <w:rPr>
          <w:lang w:val="es-ES"/>
        </w:rPr>
        <w:t>i</w:t>
      </w:r>
      <w:r w:rsidRPr="009962B7">
        <w:rPr>
          <w:lang w:val="es-ES"/>
        </w:rPr>
        <w:t>nvite al Director de la</w:t>
      </w:r>
      <w:r w:rsidR="00824F85">
        <w:rPr>
          <w:lang w:val="es-ES"/>
        </w:rPr>
        <w:t> BR</w:t>
      </w:r>
      <w:r w:rsidRPr="009962B7">
        <w:rPr>
          <w:lang w:val="es-ES"/>
        </w:rPr>
        <w:t>, en consulta con las Comisiones de Estudio del</w:t>
      </w:r>
      <w:r w:rsidR="00D53C98">
        <w:rPr>
          <w:lang w:val="es-ES"/>
        </w:rPr>
        <w:t> </w:t>
      </w:r>
      <w:r w:rsidRPr="009962B7">
        <w:rPr>
          <w:lang w:val="es-ES"/>
        </w:rPr>
        <w:t>UIT-R pertinentes, a identificar los principales retos de aplicación afrontados por las administraciones y las posibles modalidades de asistencia para superarlos</w:t>
      </w:r>
      <w:r w:rsidR="00C33D57">
        <w:rPr>
          <w:lang w:val="es-ES"/>
        </w:rPr>
        <w:t>;</w:t>
      </w:r>
      <w:r w:rsidRPr="009962B7">
        <w:rPr>
          <w:lang w:val="es-ES"/>
        </w:rPr>
        <w:t xml:space="preserve"> y</w:t>
      </w:r>
    </w:p>
    <w:p w14:paraId="005F46DE" w14:textId="1D39FFB8" w:rsidR="009962B7" w:rsidRPr="009962B7" w:rsidRDefault="009962B7" w:rsidP="00D53C98">
      <w:pPr>
        <w:pStyle w:val="enumlev1"/>
        <w:rPr>
          <w:lang w:val="es-ES"/>
        </w:rPr>
      </w:pPr>
      <w:r w:rsidRPr="009962B7">
        <w:rPr>
          <w:lang w:val="es-ES"/>
        </w:rPr>
        <w:t>3)</w:t>
      </w:r>
      <w:r w:rsidRPr="009962B7">
        <w:rPr>
          <w:lang w:val="es-ES"/>
        </w:rPr>
        <w:tab/>
      </w:r>
      <w:r w:rsidR="00C33D57" w:rsidRPr="009962B7">
        <w:rPr>
          <w:lang w:val="es-ES"/>
        </w:rPr>
        <w:t>i</w:t>
      </w:r>
      <w:r w:rsidRPr="009962B7">
        <w:rPr>
          <w:lang w:val="es-ES"/>
        </w:rPr>
        <w:t>nvite al Director de la</w:t>
      </w:r>
      <w:r w:rsidR="00824F85">
        <w:rPr>
          <w:lang w:val="es-ES"/>
        </w:rPr>
        <w:t> BR</w:t>
      </w:r>
      <w:r w:rsidRPr="009962B7">
        <w:rPr>
          <w:lang w:val="es-ES"/>
        </w:rPr>
        <w:t xml:space="preserve"> a informar a la próxima reunión del</w:t>
      </w:r>
      <w:r w:rsidR="00824F85">
        <w:rPr>
          <w:lang w:val="es-ES"/>
        </w:rPr>
        <w:t> GAR</w:t>
      </w:r>
      <w:r w:rsidRPr="009962B7">
        <w:rPr>
          <w:lang w:val="es-ES"/>
        </w:rPr>
        <w:t xml:space="preserve"> acerca de los resultados de la coordinación y las consultas mencionadas, incluidas eventuales herramientas de asistencia y recomendaciones de cara al futuro.</w:t>
      </w:r>
    </w:p>
    <w:p w14:paraId="05793053" w14:textId="77777777" w:rsidR="009962B7" w:rsidRPr="00C33D57" w:rsidRDefault="009962B7" w:rsidP="00411C49">
      <w:pPr>
        <w:pStyle w:val="Reasons"/>
        <w:rPr>
          <w:lang w:val="es-ES"/>
        </w:rPr>
      </w:pPr>
    </w:p>
    <w:p w14:paraId="153F84A5" w14:textId="77777777" w:rsidR="009962B7" w:rsidRDefault="009962B7" w:rsidP="00C33D57">
      <w:pPr>
        <w:spacing w:before="0"/>
        <w:jc w:val="center"/>
      </w:pPr>
      <w:r>
        <w:t>______________</w:t>
      </w:r>
    </w:p>
    <w:sectPr w:rsidR="009962B7" w:rsidSect="004D6C09">
      <w:headerReference w:type="defaul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D1AE" w14:textId="77777777" w:rsidR="009962B7" w:rsidRDefault="009962B7">
      <w:r>
        <w:separator/>
      </w:r>
    </w:p>
  </w:endnote>
  <w:endnote w:type="continuationSeparator" w:id="0">
    <w:p w14:paraId="2CB3F445" w14:textId="77777777" w:rsidR="009962B7" w:rsidRDefault="0099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0BF" w14:textId="77777777" w:rsidR="009962B7" w:rsidRDefault="009962B7">
      <w:r>
        <w:t>____________________</w:t>
      </w:r>
    </w:p>
  </w:footnote>
  <w:footnote w:type="continuationSeparator" w:id="0">
    <w:p w14:paraId="3E926E44" w14:textId="77777777" w:rsidR="009962B7" w:rsidRDefault="0099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4703"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4F993813" w14:textId="3925C03A" w:rsidR="00616601" w:rsidRDefault="0034043B" w:rsidP="00AB4BAD">
    <w:pPr>
      <w:pStyle w:val="Header"/>
      <w:rPr>
        <w:lang w:val="es-ES"/>
      </w:rPr>
    </w:pPr>
    <w:r>
      <w:rPr>
        <w:lang w:val="es-ES"/>
      </w:rPr>
      <w:t>RAG</w:t>
    </w:r>
    <w:r w:rsidR="00616601">
      <w:rPr>
        <w:lang w:val="es-ES"/>
      </w:rPr>
      <w:t>/</w:t>
    </w:r>
    <w:r w:rsidR="00D53C98">
      <w:rPr>
        <w:lang w:val="es-ES"/>
      </w:rPr>
      <w:t>70</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B7"/>
    <w:rsid w:val="000C62BA"/>
    <w:rsid w:val="000D756D"/>
    <w:rsid w:val="0012592F"/>
    <w:rsid w:val="001745A1"/>
    <w:rsid w:val="001F2F50"/>
    <w:rsid w:val="0031432E"/>
    <w:rsid w:val="0034043B"/>
    <w:rsid w:val="00414D8B"/>
    <w:rsid w:val="00482905"/>
    <w:rsid w:val="00494752"/>
    <w:rsid w:val="004D6C09"/>
    <w:rsid w:val="0057336B"/>
    <w:rsid w:val="00595EEF"/>
    <w:rsid w:val="005A2195"/>
    <w:rsid w:val="005D3E02"/>
    <w:rsid w:val="00610642"/>
    <w:rsid w:val="00616601"/>
    <w:rsid w:val="0062011C"/>
    <w:rsid w:val="00646EEF"/>
    <w:rsid w:val="00663829"/>
    <w:rsid w:val="006A42AB"/>
    <w:rsid w:val="006B5313"/>
    <w:rsid w:val="006E291F"/>
    <w:rsid w:val="00824F85"/>
    <w:rsid w:val="00847D0B"/>
    <w:rsid w:val="008506C9"/>
    <w:rsid w:val="008F0106"/>
    <w:rsid w:val="00924B63"/>
    <w:rsid w:val="00982618"/>
    <w:rsid w:val="009962B7"/>
    <w:rsid w:val="009C205E"/>
    <w:rsid w:val="00A0579C"/>
    <w:rsid w:val="00A7663C"/>
    <w:rsid w:val="00AB4BAD"/>
    <w:rsid w:val="00B32E51"/>
    <w:rsid w:val="00C33D57"/>
    <w:rsid w:val="00C837F0"/>
    <w:rsid w:val="00CB7A43"/>
    <w:rsid w:val="00CF4CAC"/>
    <w:rsid w:val="00D51E1E"/>
    <w:rsid w:val="00D53C98"/>
    <w:rsid w:val="00DE77E6"/>
    <w:rsid w:val="00E72EA7"/>
    <w:rsid w:val="00EA4101"/>
    <w:rsid w:val="00EB4F12"/>
    <w:rsid w:val="00F23715"/>
    <w:rsid w:val="00F7010F"/>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C3E0"/>
  <w15:docId w15:val="{785EF76B-B49B-4F6B-9573-74C6DF5E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basedOn w:val="DefaultParagraphFont"/>
    <w:unhideWhenUsed/>
    <w:rsid w:val="009962B7"/>
    <w:rPr>
      <w:color w:val="0000FF" w:themeColor="hyperlink"/>
      <w:u w:val="single"/>
    </w:rPr>
  </w:style>
  <w:style w:type="character" w:styleId="UnresolvedMention">
    <w:name w:val="Unresolved Mention"/>
    <w:basedOn w:val="DefaultParagraphFont"/>
    <w:uiPriority w:val="99"/>
    <w:semiHidden/>
    <w:unhideWhenUsed/>
    <w:rsid w:val="009962B7"/>
    <w:rPr>
      <w:color w:val="605E5C"/>
      <w:shd w:val="clear" w:color="auto" w:fill="E1DFDD"/>
    </w:rPr>
  </w:style>
  <w:style w:type="paragraph" w:customStyle="1" w:styleId="Reasons">
    <w:name w:val="Reasons"/>
    <w:basedOn w:val="Normal"/>
    <w:qFormat/>
    <w:rsid w:val="009962B7"/>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D53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RAG-C-0014/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R23-WP5B-C-0354/es" TargetMode="External"/><Relationship Id="rId5" Type="http://schemas.openxmlformats.org/officeDocument/2006/relationships/footnotes" Target="footnotes.xml"/><Relationship Id="rId10" Type="http://schemas.openxmlformats.org/officeDocument/2006/relationships/hyperlink" Target="https://www.itu.int/md/R00-CA-CIR-0277/es" TargetMode="External"/><Relationship Id="rId4" Type="http://schemas.openxmlformats.org/officeDocument/2006/relationships/webSettings" Target="webSettings.xml"/><Relationship Id="rId9" Type="http://schemas.openxmlformats.org/officeDocument/2006/relationships/hyperlink" Target="https://www.itu.int/md/R23-RAG-C-0014/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B4BB-B10F-4DE2-B405-B374EF8F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42</TotalTime>
  <Pages>4</Pages>
  <Words>1528</Words>
  <Characters>8839</Characters>
  <Application>Microsoft Office Word</Application>
  <DocSecurity>0</DocSecurity>
  <Lines>139</Lines>
  <Paragraphs>34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ASISTENCIA A LAS AUTORIDADES NACIONALES DE REGLAMENTACIÓN DE LAS TELECOMUNICACIONES PARA LA APLICACIÓN COHERENTE DE LOS MARCOS DE LA UIT, LA OMI Y LA OACI EN MATERIA DE RADIOCOMUNICACIONES MARÍTIMAS, AERONÁUTICAS Y OTROS SISTEMAS DE RADIOCOMUNICACIONES PERTINENTES</dc:title>
  <dc:subject>GRUPO ASESOR DE RADIOCOMUNICACIONES</dc:subject>
  <dc:creator>Arabia Saudita (Reino de)</dc:creator>
  <cp:keywords>RAG03-1</cp:keywords>
  <dc:description>Documento RAG/70-S  For: _x000d_Document date: 16 de marzo de 2026_x000d_Saved by ITU51018124 at 4:18:52 PM on 3/17/2026</dc:description>
  <cp:lastModifiedBy>Arnould, Carine</cp:lastModifiedBy>
  <cp:revision>6</cp:revision>
  <cp:lastPrinted>1993-02-18T11:12:00Z</cp:lastPrinted>
  <dcterms:created xsi:type="dcterms:W3CDTF">2026-03-17T10:45:00Z</dcterms:created>
  <dcterms:modified xsi:type="dcterms:W3CDTF">2026-03-17T15:18:00Z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RAG/70-S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Arabia Saudita (Reino de)</vt:lpwstr>
  </property>
</Properties>
</file>