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967A2D" w14:paraId="0B1910AD" w14:textId="77777777" w:rsidTr="0020275A">
        <w:trPr>
          <w:cantSplit/>
        </w:trPr>
        <w:tc>
          <w:tcPr>
            <w:tcW w:w="6771" w:type="dxa"/>
            <w:vAlign w:val="center"/>
          </w:tcPr>
          <w:p w14:paraId="447CC29F" w14:textId="77777777" w:rsidR="0020275A" w:rsidRPr="00967A2D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967A2D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 w:rsidRPr="00967A2D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118" w:type="dxa"/>
            <w:vAlign w:val="center"/>
          </w:tcPr>
          <w:p w14:paraId="01433A1D" w14:textId="77777777" w:rsidR="0020275A" w:rsidRPr="00967A2D" w:rsidRDefault="00B239A0" w:rsidP="00083244">
            <w:pPr>
              <w:shd w:val="solid" w:color="FFFFFF" w:fill="FFFFFF"/>
              <w:spacing w:before="0"/>
              <w:jc w:val="right"/>
            </w:pPr>
            <w:r w:rsidRPr="00967A2D">
              <w:rPr>
                <w:noProof/>
                <w:lang w:eastAsia="zh-CN"/>
              </w:rPr>
              <w:drawing>
                <wp:inline distT="0" distB="0" distL="0" distR="0" wp14:anchorId="4C2CA8F1" wp14:editId="685A0C0D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967A2D" w14:paraId="443FA1C1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5BA181C8" w14:textId="77777777" w:rsidR="0051782D" w:rsidRPr="00967A2D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5DFCBF31" w14:textId="77777777" w:rsidR="0051782D" w:rsidRPr="00967A2D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967A2D" w14:paraId="4BE21649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582D329E" w14:textId="77777777" w:rsidR="0051782D" w:rsidRPr="00967A2D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58FBB881" w14:textId="77777777" w:rsidR="0051782D" w:rsidRPr="00967A2D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967A2D" w14:paraId="0B31274B" w14:textId="77777777" w:rsidTr="00675D35">
        <w:trPr>
          <w:cantSplit/>
        </w:trPr>
        <w:tc>
          <w:tcPr>
            <w:tcW w:w="6771" w:type="dxa"/>
            <w:vMerge w:val="restart"/>
          </w:tcPr>
          <w:p w14:paraId="3B7DDE2A" w14:textId="77777777" w:rsidR="0051782D" w:rsidRPr="00967A2D" w:rsidRDefault="0051782D" w:rsidP="00675D35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66C0BD75" w14:textId="21F07249" w:rsidR="0051782D" w:rsidRPr="00967A2D" w:rsidRDefault="006262A3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967A2D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967A2D">
              <w:rPr>
                <w:rFonts w:ascii="Verdana" w:hAnsi="Verdana"/>
                <w:b/>
                <w:sz w:val="18"/>
                <w:szCs w:val="18"/>
              </w:rPr>
              <w:t xml:space="preserve"> RAG/</w:t>
            </w:r>
            <w:r w:rsidR="004376E8" w:rsidRPr="00967A2D">
              <w:rPr>
                <w:rFonts w:ascii="Verdana" w:hAnsi="Verdana"/>
                <w:b/>
                <w:sz w:val="18"/>
                <w:szCs w:val="18"/>
              </w:rPr>
              <w:t>70</w:t>
            </w:r>
            <w:r w:rsidR="00BD7223" w:rsidRPr="00967A2D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967A2D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967A2D" w14:paraId="26B8101A" w14:textId="77777777" w:rsidTr="00675D35">
        <w:trPr>
          <w:cantSplit/>
        </w:trPr>
        <w:tc>
          <w:tcPr>
            <w:tcW w:w="6771" w:type="dxa"/>
            <w:vMerge/>
          </w:tcPr>
          <w:p w14:paraId="77BD3066" w14:textId="77777777" w:rsidR="0051782D" w:rsidRPr="00967A2D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2FF6B630" w14:textId="736A0C61" w:rsidR="0051782D" w:rsidRPr="00967A2D" w:rsidRDefault="004376E8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967A2D">
              <w:rPr>
                <w:rFonts w:ascii="Verdana" w:hAnsi="Verdana"/>
                <w:b/>
                <w:sz w:val="18"/>
                <w:szCs w:val="18"/>
              </w:rPr>
              <w:t>16 марта 2026 года</w:t>
            </w:r>
          </w:p>
        </w:tc>
      </w:tr>
      <w:tr w:rsidR="0051782D" w:rsidRPr="00967A2D" w14:paraId="7D613DEE" w14:textId="77777777" w:rsidTr="00675D35">
        <w:trPr>
          <w:cantSplit/>
        </w:trPr>
        <w:tc>
          <w:tcPr>
            <w:tcW w:w="6771" w:type="dxa"/>
            <w:vMerge/>
          </w:tcPr>
          <w:p w14:paraId="7E4E85EA" w14:textId="77777777" w:rsidR="0051782D" w:rsidRPr="00967A2D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2574655C" w14:textId="3EC48670" w:rsidR="0051782D" w:rsidRPr="00967A2D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967A2D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4376E8" w:rsidRPr="00967A2D">
              <w:rPr>
                <w:rFonts w:ascii="Verdana" w:hAnsi="Verdana"/>
                <w:b/>
                <w:sz w:val="18"/>
                <w:szCs w:val="18"/>
              </w:rPr>
              <w:t>английский</w:t>
            </w:r>
          </w:p>
        </w:tc>
      </w:tr>
      <w:tr w:rsidR="00093C73" w:rsidRPr="00967A2D" w14:paraId="717AE90F" w14:textId="77777777" w:rsidTr="00675D35">
        <w:trPr>
          <w:cantSplit/>
        </w:trPr>
        <w:tc>
          <w:tcPr>
            <w:tcW w:w="9889" w:type="dxa"/>
            <w:gridSpan w:val="2"/>
          </w:tcPr>
          <w:p w14:paraId="1691C68E" w14:textId="4B5895F7" w:rsidR="00093C73" w:rsidRPr="00967A2D" w:rsidRDefault="004376E8" w:rsidP="000252AA">
            <w:pPr>
              <w:pStyle w:val="Source"/>
            </w:pPr>
            <w:bookmarkStart w:id="3" w:name="dsource" w:colFirst="0" w:colLast="0"/>
            <w:bookmarkEnd w:id="2"/>
            <w:r w:rsidRPr="00967A2D">
              <w:t>Саудовская Аравия (Королевство)</w:t>
            </w:r>
          </w:p>
        </w:tc>
      </w:tr>
      <w:tr w:rsidR="00093C73" w:rsidRPr="00967A2D" w14:paraId="60565A96" w14:textId="77777777" w:rsidTr="00675D35">
        <w:trPr>
          <w:cantSplit/>
        </w:trPr>
        <w:tc>
          <w:tcPr>
            <w:tcW w:w="9889" w:type="dxa"/>
            <w:gridSpan w:val="2"/>
          </w:tcPr>
          <w:p w14:paraId="134BDC7D" w14:textId="7442B986" w:rsidR="00093C73" w:rsidRPr="00967A2D" w:rsidRDefault="004376E8" w:rsidP="000252AA">
            <w:pPr>
              <w:pStyle w:val="Title1"/>
            </w:pPr>
            <w:bookmarkStart w:id="4" w:name="dtitle1" w:colFirst="0" w:colLast="0"/>
            <w:bookmarkEnd w:id="3"/>
            <w:r w:rsidRPr="00967A2D">
              <w:t xml:space="preserve">ОКАЗАНИЕ ПОМОЩИ НАЦИОНАЛЬНЫМ РЕГУЛЯТОРНЫМ ОРГАНАМ ЭЛЕКТРОСВЯЗИ В ПОСЛЕДОВАТЕЛЬНОМ ПРИМЕНЕНИИ НОРМ </w:t>
            </w:r>
            <w:r w:rsidR="00967A2D">
              <w:br/>
            </w:r>
            <w:r w:rsidRPr="00967A2D">
              <w:t>МСЭ, ИМО И</w:t>
            </w:r>
            <w:r w:rsidRPr="00967A2D">
              <w:t> </w:t>
            </w:r>
            <w:r w:rsidRPr="00967A2D">
              <w:t>ИКАО ДЛЯ МОРСКОЙ, ВОЗДУШНОЙ И ДРУГИХ СООТВЕТСТВУЮЩИХ СИСТЕМ РАДИОСВЯЗИ</w:t>
            </w:r>
          </w:p>
        </w:tc>
      </w:tr>
    </w:tbl>
    <w:bookmarkEnd w:id="4"/>
    <w:p w14:paraId="73EC62B1" w14:textId="512F3908" w:rsidR="004376E8" w:rsidRPr="00967A2D" w:rsidRDefault="004376E8" w:rsidP="004376E8">
      <w:pPr>
        <w:pStyle w:val="Heading1"/>
        <w:spacing w:before="720"/>
      </w:pPr>
      <w:r w:rsidRPr="00967A2D">
        <w:rPr>
          <w:bCs/>
        </w:rPr>
        <w:t>1</w:t>
      </w:r>
      <w:r w:rsidRPr="00967A2D">
        <w:rPr>
          <w:bCs/>
        </w:rPr>
        <w:tab/>
      </w:r>
      <w:r w:rsidRPr="00967A2D">
        <w:rPr>
          <w:bCs/>
        </w:rPr>
        <w:t>Базовая информация</w:t>
      </w:r>
    </w:p>
    <w:p w14:paraId="4E9325BF" w14:textId="77777777" w:rsidR="004376E8" w:rsidRPr="00967A2D" w:rsidRDefault="004376E8" w:rsidP="004376E8">
      <w:r w:rsidRPr="00967A2D">
        <w:t>Охрана человеческой жизни на море, безопасность морской навигации, безопасность воздушной навигации и регулярность полетов остаются вопросами первостепенной важности. Регламент радиосвязи содержит обширные положения, применимые к морским и воздушным службам, в то время как ИМО и ИКАО отвечают за относящиеся к их областям отраслевые конвенции, стандарты, процедуры, руководства и профильную нормативно-правовую базу. Поэтому на практике при введении или применении национальных разрешений и механизмов регулирования, касающихся морских, воздушных и иных соответствующих систем радиосвязи, администрациям приходится действовать в рамках нескольких международных систем.</w:t>
      </w:r>
    </w:p>
    <w:p w14:paraId="7E1BFD8E" w14:textId="6E9F51D1" w:rsidR="004376E8" w:rsidRPr="00967A2D" w:rsidRDefault="004376E8" w:rsidP="004376E8">
      <w:r w:rsidRPr="00967A2D">
        <w:t xml:space="preserve">Ранее в ходе собраний КГР Саудовская Аравия уже обращала внимание (см. Документ </w:t>
      </w:r>
      <w:hyperlink r:id="rId8" w:history="1">
        <w:r w:rsidRPr="00967A2D">
          <w:rPr>
            <w:rStyle w:val="Hyperlink"/>
          </w:rPr>
          <w:t>RAG/14</w:t>
        </w:r>
      </w:hyperlink>
      <w:r w:rsidRPr="00967A2D">
        <w:t>), что администрации сталкиваются со значительными проблемами при обеспечении эффективной выдачи разрешений на частоты/каналы станциям морских и воздушных служб и связанных с ними вспомогательных служб (например, радионавигационной службы, службы радиоопределения, метеорологической службы) в связи с необходимостью гарантировать соблюдение применимых международных договоров, правил, процедур и стандартов, установленных МСЭ, ИМО, ИКАО и</w:t>
      </w:r>
      <w:r w:rsidR="00967A2D">
        <w:t> </w:t>
      </w:r>
      <w:r w:rsidRPr="00967A2D">
        <w:t>другими соответствующими компетентными учреждениями.</w:t>
      </w:r>
      <w:hyperlink r:id="rId9" w:history="1"/>
    </w:p>
    <w:p w14:paraId="12DB2361" w14:textId="77777777" w:rsidR="004376E8" w:rsidRPr="00967A2D" w:rsidRDefault="004376E8" w:rsidP="004376E8">
      <w:r w:rsidRPr="00967A2D">
        <w:t xml:space="preserve">На своем 32-м собрании КГР напомнила о состоявшихся ранее обсуждениях вопроса сотрудничества между МСЭ-R, ИМО и ИКАО и отметила, что 5-я Исследовательская комиссия и Рабочая группа 5B еще не получили вкладов по этому вопросу. Тогда КГР рекомендовала БР продолжить изучение различных способов и средств содействия дальнейшему сотрудничеству с ИКАО и ИМО в целях эффективного решения проблем, определенных в Документе </w:t>
      </w:r>
      <w:hyperlink r:id="rId10" w:history="1">
        <w:r w:rsidRPr="00967A2D">
          <w:rPr>
            <w:rStyle w:val="Hyperlink"/>
          </w:rPr>
          <w:t>RAG/14</w:t>
        </w:r>
      </w:hyperlink>
      <w:r w:rsidRPr="00967A2D">
        <w:t xml:space="preserve">. КГР далее отметила, что с помощью различных средств, включая работу, проводимую 5-й Исследовательской комиссией и Рабочей группой 5B, можно было бы подготовить общий порядок действий, например руководящие указания или справочник, и призвала заинтересованных членов направлять вклады по этому вопросу непосредственно в адрес РГ 5B (см. Документ </w:t>
      </w:r>
      <w:hyperlink r:id="rId11" w:history="1">
        <w:r w:rsidRPr="00967A2D">
          <w:rPr>
            <w:rStyle w:val="Hyperlink"/>
          </w:rPr>
          <w:t>CA/277</w:t>
        </w:r>
      </w:hyperlink>
      <w:r w:rsidRPr="00967A2D">
        <w:t>).</w:t>
      </w:r>
      <w:hyperlink r:id="rId12" w:history="1"/>
      <w:hyperlink r:id="rId13" w:history="1"/>
    </w:p>
    <w:p w14:paraId="7BE8FE33" w14:textId="77777777" w:rsidR="004376E8" w:rsidRPr="00967A2D" w:rsidRDefault="004376E8" w:rsidP="004376E8">
      <w:r w:rsidRPr="00967A2D">
        <w:t xml:space="preserve">После этого Саудовская Аравия представила вклад Рабочей группе 5B (см. Документ </w:t>
      </w:r>
      <w:hyperlink r:id="rId14" w:history="1">
        <w:r w:rsidRPr="00967A2D">
          <w:rPr>
            <w:rStyle w:val="Hyperlink"/>
          </w:rPr>
          <w:t>5B/354</w:t>
        </w:r>
      </w:hyperlink>
      <w:r w:rsidRPr="00967A2D">
        <w:t xml:space="preserve">), в котором предложила осуществлять взаимодействие с ИМО и ИКАО по вопросу о возможной разработке совместных руководящих указаний или справочника. Этот вклад был рассмотрен Рабочими группами 5B-2 и 5B-3. Была отмечена важность постоянной координации между МСЭ, ИМО и ИКАО, но при этом была высказана общая обеспокоенность по поводу масштаба предлагаемой работы, практических задач, соответствующих систем и полос, ожидаемого объема работы, нагрузки, основных элементов, которые должны быть включены, и определения ведущих и </w:t>
      </w:r>
      <w:r w:rsidRPr="00967A2D">
        <w:lastRenderedPageBreak/>
        <w:t>вносящих вклад сторон. Было также отмечено, что механизмы координации уже существуют, в том числе координация в рабочем формате с ИКАО в случае необходимости и с Объединенной группой экспертов ИМО/МСЭ по вопросам морской радиосвязи. Вследствие этого обе группы решили принять к сведению вклад без дальнейших действий.</w:t>
      </w:r>
      <w:hyperlink r:id="rId15" w:history="1"/>
    </w:p>
    <w:p w14:paraId="346CF30C" w14:textId="4E927FFC" w:rsidR="004376E8" w:rsidRPr="00967A2D" w:rsidRDefault="004376E8" w:rsidP="004376E8">
      <w:pPr>
        <w:pStyle w:val="Heading1"/>
      </w:pPr>
      <w:r w:rsidRPr="00967A2D">
        <w:rPr>
          <w:bCs/>
        </w:rPr>
        <w:t>2</w:t>
      </w:r>
      <w:r w:rsidRPr="00967A2D">
        <w:rPr>
          <w:bCs/>
        </w:rPr>
        <w:tab/>
      </w:r>
      <w:r w:rsidRPr="00967A2D">
        <w:rPr>
          <w:bCs/>
        </w:rPr>
        <w:t>Проблемы, с которыми сталкиваются администрации</w:t>
      </w:r>
    </w:p>
    <w:p w14:paraId="52B4EB66" w14:textId="77777777" w:rsidR="004376E8" w:rsidRPr="00967A2D" w:rsidRDefault="004376E8" w:rsidP="004376E8">
      <w:r w:rsidRPr="00967A2D">
        <w:t>Национальные регуляторные органы электросвязи по-прежнему сталкиваются с практическими проблемами в связи с необходимостью согласованного применения соответствующих норм МСЭ, ИМО и ИКАО, в частности в отношении морских, воздушных и вспомогательных систем радиосвязи, включая применения в области радионавигации, радиоопределения, метеорологии, и т. д.</w:t>
      </w:r>
    </w:p>
    <w:p w14:paraId="01B7924F" w14:textId="77777777" w:rsidR="004376E8" w:rsidRPr="00967A2D" w:rsidRDefault="004376E8" w:rsidP="004376E8">
      <w:r w:rsidRPr="00967A2D">
        <w:t>Во-первых, на национальном уровне функции часто распределены между несколькими органами, включая регуляторные органы электросвязи, органы гражданской авиации, морские ведомства, министерства транспорта, метеорологические органы, оборонные структуры и другие специализированные учреждения. Такая институциональная фрагментация может затруднить разработку и применение согласованных сквозных процессов выдачи разрешений.</w:t>
      </w:r>
    </w:p>
    <w:p w14:paraId="7A74838A" w14:textId="77777777" w:rsidR="004376E8" w:rsidRPr="00967A2D" w:rsidRDefault="004376E8" w:rsidP="004376E8">
      <w:r w:rsidRPr="00967A2D">
        <w:t>Во-вторых, регуляторные органы электросвязи могут не всегда обладать достаточной осведомленностью о соответствующих эксплуатационных и процедурных нормах и стандартах документационного обслуживания, принятых ИМО и ИКАО, или их пониманием, а отраслевые ведомства не всегда имеют полное представление о нормативных последствиях Регламента радиосвязи и соответствующих текстов МСЭ-R для управления использованием спектра и радиосвязи. Этот межотраслевой разрыв в знаниях может привести к неопределенности в разработке и применении процесса выдачи национальных разрешений, которой можно было бы избежать.</w:t>
      </w:r>
    </w:p>
    <w:p w14:paraId="62E730BB" w14:textId="77777777" w:rsidR="004376E8" w:rsidRPr="00967A2D" w:rsidRDefault="004376E8" w:rsidP="004376E8">
      <w:r w:rsidRPr="00967A2D">
        <w:t>В-третьих, администрации могут столкнуться с трудностями в определении того, какие международные документы применимы к конкретным станциям, системам, установкам, службам или сценариям использования, в какое ведомство следует обращаться и каков на практике должен порядок сопряжения норм электросвязи и требований морского или авиационного сектора.</w:t>
      </w:r>
    </w:p>
    <w:p w14:paraId="5A45608E" w14:textId="77777777" w:rsidR="004376E8" w:rsidRPr="00967A2D" w:rsidRDefault="004376E8" w:rsidP="004376E8">
      <w:r w:rsidRPr="00967A2D">
        <w:t>В-четвертых, даже в тех случаях, когда национальное разрешение по техническим характеристикам соответствует положениям Регламента радиосвязи, касающимся спектра, оно все равно может не в полной мере отражать эксплуатационные нормы для морских или авиационных служб, что может привести к несоблюдению отдельных условий выдачи разрешений, рассогласованности национальной практики, сложностям при выполнении норм для операторов и производителей, которых можно избежать, или к упущенным возможностям предотвращения вредных помех и содействия эффективной координации.</w:t>
      </w:r>
    </w:p>
    <w:p w14:paraId="329613A2" w14:textId="77777777" w:rsidR="004376E8" w:rsidRPr="00967A2D" w:rsidRDefault="004376E8" w:rsidP="004376E8">
      <w:r w:rsidRPr="00967A2D">
        <w:t>В-пятых, проблема выходит за рамки строго морской и воздушной связи и охватывает вспомогательные виды использования, включая применения в области радионавигации, радиоопределения, наблюдения и метеорологии, когда администрациям может быть необходимо иметь в виду более широкий набор взаимосвязанных требований и практик.</w:t>
      </w:r>
    </w:p>
    <w:p w14:paraId="427C04D8" w14:textId="77777777" w:rsidR="004376E8" w:rsidRPr="00967A2D" w:rsidRDefault="004376E8" w:rsidP="004376E8">
      <w:r w:rsidRPr="00967A2D">
        <w:t>В-шестых, хотя полезные материалы, включая руководства и справочники для конкретных секторов, уже существуют во всех трех организациях, до сих пор нет единого практического вспомогательного средства с перекрестными ссылками, специально предназначенного для того, чтобы помочь национальным регуляторным органам электросвязи понять порядок сопряжения соответствующих норм МСЭ, ИМО и ИКАО в национальной практике выдачи разрешений. Это по-прежнему остается для администраций практической проблемой, связанной с выполнением.</w:t>
      </w:r>
    </w:p>
    <w:p w14:paraId="2AD2A7E3" w14:textId="13BC7D72" w:rsidR="004376E8" w:rsidRPr="00967A2D" w:rsidRDefault="004376E8" w:rsidP="004376E8">
      <w:pPr>
        <w:pStyle w:val="Heading1"/>
      </w:pPr>
      <w:r w:rsidRPr="00967A2D">
        <w:rPr>
          <w:bCs/>
        </w:rPr>
        <w:t>3</w:t>
      </w:r>
      <w:r w:rsidRPr="00967A2D">
        <w:rPr>
          <w:bCs/>
        </w:rPr>
        <w:tab/>
      </w:r>
      <w:r w:rsidRPr="00967A2D">
        <w:rPr>
          <w:bCs/>
        </w:rPr>
        <w:t>Предложение</w:t>
      </w:r>
    </w:p>
    <w:p w14:paraId="6E7F8C00" w14:textId="77777777" w:rsidR="004376E8" w:rsidRPr="00967A2D" w:rsidRDefault="004376E8" w:rsidP="004376E8">
      <w:r w:rsidRPr="00967A2D">
        <w:t>Саудовская Аравия ссылается на пункт 160F (ПК-98) Статьи 11A Конвенции Международного союза электросвязи, в котором подчеркивается роль Консультативной группы по радиосвязи (КГР) в содействии сотрудничеству между соответствующими международными организациями, и с учетом обсуждений, состоявшихся в рамках КГР и Рабочей группы 5В, отмечает важность обеспечения согласованного применения регламентарных и эксплуатационных норм, обеспечивающих безопасную и эффективную работу морских и авиационных систем радиосвязи.</w:t>
      </w:r>
    </w:p>
    <w:p w14:paraId="2E2AC25A" w14:textId="77777777" w:rsidR="004376E8" w:rsidRPr="00967A2D" w:rsidRDefault="004376E8" w:rsidP="004376E8">
      <w:r w:rsidRPr="00967A2D">
        <w:lastRenderedPageBreak/>
        <w:t>Признавая, что администрации могут сталкиваться с практическими трудностями при применении соответствующих документов и материалов, разработанных МСЭ, Международной морской организацией (ИМО) и Международной организацией гражданской авиации (ИКАО), Саудовская Аравия считает, что практический и скоординированный подход мог бы помочь национальным регуляторным органам электросвязи более эффективно ориентироваться в этих нормах.</w:t>
      </w:r>
    </w:p>
    <w:p w14:paraId="396ED555" w14:textId="77777777" w:rsidR="004376E8" w:rsidRPr="00967A2D" w:rsidRDefault="004376E8" w:rsidP="004376E8">
      <w:r w:rsidRPr="00967A2D">
        <w:t>В связи с этим Саудовская Аравия предлагает Консультативной группе по радиосвязи рекомендовать Директору Бюро радиосвязи (БР) осуществлять взаимодействие с ИМО и ИКАО, используя в установленном порядке существующие механизмы сотрудничества, с целью определения практических мер, которые могли бы помочь администрациям в последовательном выполнении соответствующих норм МСЭ, ИМО и ИКАО, касающихся морских, воздушных и вспомогательных систем радиосвязи, включая применения в области радионавигации, радиоопределения, наблюдения и метеорологии.</w:t>
      </w:r>
    </w:p>
    <w:p w14:paraId="6BFAE12A" w14:textId="72D179A2" w:rsidR="004376E8" w:rsidRPr="00967A2D" w:rsidRDefault="004376E8" w:rsidP="004376E8">
      <w:r w:rsidRPr="00967A2D">
        <w:t>Такая работа, проводимая БР под руководством КГР и в рамках консультаций с соответствующими исследовательскими комиссиями МСЭ-R, могла бы включать определение основных проблем выполнения норм, с которыми сталкиваются администрации, и изучение возможных мер помощи. В</w:t>
      </w:r>
      <w:r w:rsidR="00967A2D">
        <w:t> </w:t>
      </w:r>
      <w:r w:rsidRPr="00967A2D">
        <w:t>соответствующих случаях эти меры могут включать:</w:t>
      </w:r>
    </w:p>
    <w:p w14:paraId="129CE672" w14:textId="77777777" w:rsidR="004376E8" w:rsidRPr="00967A2D" w:rsidRDefault="004376E8" w:rsidP="004376E8">
      <w:pPr>
        <w:pStyle w:val="enumlev1"/>
      </w:pPr>
      <w:r w:rsidRPr="00967A2D">
        <w:t>–</w:t>
      </w:r>
      <w:r w:rsidRPr="00967A2D">
        <w:tab/>
        <w:t>сравнительно-аналитическое сопоставление соответствующих документов и материалов МСЭ, ИМО и ИКАО;</w:t>
      </w:r>
    </w:p>
    <w:p w14:paraId="28416354" w14:textId="77777777" w:rsidR="004376E8" w:rsidRPr="00967A2D" w:rsidRDefault="004376E8" w:rsidP="004376E8">
      <w:pPr>
        <w:pStyle w:val="enumlev1"/>
      </w:pPr>
      <w:r w:rsidRPr="00967A2D">
        <w:t>–</w:t>
      </w:r>
      <w:r w:rsidRPr="00967A2D">
        <w:tab/>
        <w:t>практическую информацию о функциях регуляторных органов электросвязи и морского и авиационного ведомств, а также о механизмах взаимодействия между ними;</w:t>
      </w:r>
    </w:p>
    <w:p w14:paraId="6F8C6507" w14:textId="69342B91" w:rsidR="004376E8" w:rsidRPr="00967A2D" w:rsidRDefault="004376E8" w:rsidP="004376E8">
      <w:pPr>
        <w:pStyle w:val="enumlev1"/>
      </w:pPr>
      <w:r w:rsidRPr="00967A2D">
        <w:t>–</w:t>
      </w:r>
      <w:r w:rsidRPr="00967A2D">
        <w:tab/>
        <w:t>разработку директивных ресурсов, контрольных списков или мероприятий по созданию потенциала;</w:t>
      </w:r>
    </w:p>
    <w:p w14:paraId="780CC3BD" w14:textId="77777777" w:rsidR="004376E8" w:rsidRPr="00967A2D" w:rsidRDefault="004376E8" w:rsidP="004376E8">
      <w:pPr>
        <w:pStyle w:val="enumlev1"/>
      </w:pPr>
      <w:r w:rsidRPr="00967A2D">
        <w:t>–</w:t>
      </w:r>
      <w:r w:rsidRPr="00967A2D">
        <w:tab/>
        <w:t>создание поддерживаемого БР информационного интернет-портала, объединяющего соответствующие справочные материалы и ресурсы по практическому выполнению.</w:t>
      </w:r>
    </w:p>
    <w:p w14:paraId="1CBE0FCA" w14:textId="77777777" w:rsidR="004376E8" w:rsidRPr="00967A2D" w:rsidRDefault="004376E8" w:rsidP="004376E8">
      <w:r w:rsidRPr="00967A2D">
        <w:t>Такой подход сохранил бы гибкость в отношении формы любого возможного конечного результата работы, позволил бы избежать предварительного принятия решения о том, потребуется ли определенный итоговый документ, такой как справочник, и позволил бы БР учесть ранее высказанные опасения в отношении сферы охвата, механизмов, дублирования и рабочей нагрузки.</w:t>
      </w:r>
    </w:p>
    <w:p w14:paraId="4270820A" w14:textId="77777777" w:rsidR="004376E8" w:rsidRPr="00967A2D" w:rsidRDefault="004376E8" w:rsidP="004376E8">
      <w:r w:rsidRPr="00967A2D">
        <w:t>В связи с этим Саудовская Аравия предлагает, чтобы Консультативная группа по радиосвязи:</w:t>
      </w:r>
    </w:p>
    <w:p w14:paraId="71398250" w14:textId="77777777" w:rsidR="004376E8" w:rsidRPr="00967A2D" w:rsidRDefault="004376E8" w:rsidP="004376E8">
      <w:pPr>
        <w:pStyle w:val="enumlev1"/>
      </w:pPr>
      <w:r w:rsidRPr="00967A2D">
        <w:t>1)</w:t>
      </w:r>
      <w:r w:rsidRPr="00967A2D">
        <w:tab/>
        <w:t>рекомендовала Директору Бюро радиосвязи осуществлять взаимодействие с Международной морской организацией (ИМО) и Международной организацией гражданской авиации (ИКАО), используя в установленном порядке существующие механизмы сотрудничества, чтобы определить практические меры, которые могли бы помочь национальным регуляторным органам электросвязи последовательно применять соответствующие нормы МСЭ, ИМО и ИКАО;</w:t>
      </w:r>
    </w:p>
    <w:p w14:paraId="4649183F" w14:textId="77777777" w:rsidR="004376E8" w:rsidRPr="00967A2D" w:rsidRDefault="004376E8" w:rsidP="004376E8">
      <w:pPr>
        <w:pStyle w:val="enumlev1"/>
      </w:pPr>
      <w:r w:rsidRPr="00967A2D">
        <w:t>2)</w:t>
      </w:r>
      <w:r w:rsidRPr="00967A2D">
        <w:tab/>
        <w:t>предложила Директору Бюро радиосвязи на основе консультаций с соответствующими исследовательскими комиссиями МСЭ-R определить основные проблемы выполнения, с которыми сталкиваются администрации, и возможные меры содействия их решению; и</w:t>
      </w:r>
    </w:p>
    <w:p w14:paraId="7D33F2FD" w14:textId="77777777" w:rsidR="004376E8" w:rsidRPr="00967A2D" w:rsidRDefault="004376E8" w:rsidP="004376E8">
      <w:pPr>
        <w:pStyle w:val="enumlev1"/>
      </w:pPr>
      <w:r w:rsidRPr="00967A2D">
        <w:t>3)</w:t>
      </w:r>
      <w:r w:rsidRPr="00967A2D">
        <w:tab/>
        <w:t>предложила Директору Бюро радиосвязи представить следующему собранию Консультативной группы по радиосвязи отчет о результатах такого взаимодействия и консультаций, в том числе о возможных мерах помощи и любых рекомендуемых дальнейших шагах.</w:t>
      </w:r>
    </w:p>
    <w:p w14:paraId="6BDE08A7" w14:textId="6DEADF14" w:rsidR="00585978" w:rsidRPr="00967A2D" w:rsidRDefault="004376E8" w:rsidP="004376E8">
      <w:pPr>
        <w:spacing w:before="480"/>
        <w:jc w:val="center"/>
      </w:pPr>
      <w:r w:rsidRPr="00967A2D">
        <w:t>______________</w:t>
      </w:r>
    </w:p>
    <w:sectPr w:rsidR="00585978" w:rsidRPr="00967A2D" w:rsidSect="005409F7">
      <w:headerReference w:type="default" r:id="rId16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3DE35" w14:textId="77777777" w:rsidR="004376E8" w:rsidRDefault="004376E8">
      <w:r>
        <w:separator/>
      </w:r>
    </w:p>
  </w:endnote>
  <w:endnote w:type="continuationSeparator" w:id="0">
    <w:p w14:paraId="2622D9CB" w14:textId="77777777" w:rsidR="004376E8" w:rsidRDefault="0043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194D" w14:textId="77777777" w:rsidR="004376E8" w:rsidRDefault="004376E8">
      <w:r>
        <w:t>____________________</w:t>
      </w:r>
    </w:p>
  </w:footnote>
  <w:footnote w:type="continuationSeparator" w:id="0">
    <w:p w14:paraId="2E042B6C" w14:textId="77777777" w:rsidR="004376E8" w:rsidRDefault="00437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C32F" w14:textId="76492E6D" w:rsidR="00633D6D" w:rsidRDefault="00633D6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B239A0">
      <w:rPr>
        <w:noProof/>
      </w:rPr>
      <w:t>2</w:t>
    </w:r>
    <w:r>
      <w:fldChar w:fldCharType="end"/>
    </w:r>
    <w:r>
      <w:rPr>
        <w:lang w:val="es-ES"/>
      </w:rPr>
      <w:br/>
      <w:t>RAG/</w:t>
    </w:r>
    <w:r w:rsidR="004376E8">
      <w:rPr>
        <w:lang w:val="ru-RU"/>
      </w:rPr>
      <w:t>70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9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13224650">
    <w:abstractNumId w:val="9"/>
  </w:num>
  <w:num w:numId="2" w16cid:durableId="1121803339">
    <w:abstractNumId w:val="7"/>
  </w:num>
  <w:num w:numId="3" w16cid:durableId="321933627">
    <w:abstractNumId w:val="6"/>
  </w:num>
  <w:num w:numId="4" w16cid:durableId="1590429618">
    <w:abstractNumId w:val="5"/>
  </w:num>
  <w:num w:numId="5" w16cid:durableId="1251305909">
    <w:abstractNumId w:val="4"/>
  </w:num>
  <w:num w:numId="6" w16cid:durableId="2082480950">
    <w:abstractNumId w:val="8"/>
  </w:num>
  <w:num w:numId="7" w16cid:durableId="1571690619">
    <w:abstractNumId w:val="3"/>
  </w:num>
  <w:num w:numId="8" w16cid:durableId="1956595050">
    <w:abstractNumId w:val="2"/>
  </w:num>
  <w:num w:numId="9" w16cid:durableId="521747090">
    <w:abstractNumId w:val="1"/>
  </w:num>
  <w:num w:numId="10" w16cid:durableId="881600706">
    <w:abstractNumId w:val="0"/>
  </w:num>
  <w:num w:numId="11" w16cid:durableId="120541077">
    <w:abstractNumId w:val="17"/>
  </w:num>
  <w:num w:numId="12" w16cid:durableId="2115830899">
    <w:abstractNumId w:val="33"/>
  </w:num>
  <w:num w:numId="13" w16cid:durableId="396436643">
    <w:abstractNumId w:val="35"/>
  </w:num>
  <w:num w:numId="14" w16cid:durableId="272829963">
    <w:abstractNumId w:val="28"/>
  </w:num>
  <w:num w:numId="15" w16cid:durableId="1310861893">
    <w:abstractNumId w:val="25"/>
  </w:num>
  <w:num w:numId="16" w16cid:durableId="1115247157">
    <w:abstractNumId w:val="34"/>
  </w:num>
  <w:num w:numId="17" w16cid:durableId="101732321">
    <w:abstractNumId w:val="24"/>
  </w:num>
  <w:num w:numId="18" w16cid:durableId="855316063">
    <w:abstractNumId w:val="10"/>
  </w:num>
  <w:num w:numId="19" w16cid:durableId="1942060846">
    <w:abstractNumId w:val="15"/>
  </w:num>
  <w:num w:numId="20" w16cid:durableId="1391684753">
    <w:abstractNumId w:val="16"/>
  </w:num>
  <w:num w:numId="21" w16cid:durableId="543448349">
    <w:abstractNumId w:val="22"/>
  </w:num>
  <w:num w:numId="22" w16cid:durableId="713700857">
    <w:abstractNumId w:val="37"/>
  </w:num>
  <w:num w:numId="23" w16cid:durableId="2069919051">
    <w:abstractNumId w:val="26"/>
  </w:num>
  <w:num w:numId="24" w16cid:durableId="602954042">
    <w:abstractNumId w:val="27"/>
  </w:num>
  <w:num w:numId="25" w16cid:durableId="1514370680">
    <w:abstractNumId w:val="12"/>
  </w:num>
  <w:num w:numId="26" w16cid:durableId="1814177621">
    <w:abstractNumId w:val="23"/>
  </w:num>
  <w:num w:numId="27" w16cid:durableId="480463956">
    <w:abstractNumId w:val="14"/>
  </w:num>
  <w:num w:numId="28" w16cid:durableId="1816026120">
    <w:abstractNumId w:val="40"/>
  </w:num>
  <w:num w:numId="29" w16cid:durableId="1934703603">
    <w:abstractNumId w:val="20"/>
  </w:num>
  <w:num w:numId="30" w16cid:durableId="1993755717">
    <w:abstractNumId w:val="31"/>
  </w:num>
  <w:num w:numId="31" w16cid:durableId="1462655493">
    <w:abstractNumId w:val="36"/>
  </w:num>
  <w:num w:numId="32" w16cid:durableId="1813214897">
    <w:abstractNumId w:val="21"/>
  </w:num>
  <w:num w:numId="33" w16cid:durableId="1957446803">
    <w:abstractNumId w:val="19"/>
  </w:num>
  <w:num w:numId="34" w16cid:durableId="972296296">
    <w:abstractNumId w:val="39"/>
  </w:num>
  <w:num w:numId="35" w16cid:durableId="1950162323">
    <w:abstractNumId w:val="32"/>
  </w:num>
  <w:num w:numId="36" w16cid:durableId="19765206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06943670">
    <w:abstractNumId w:val="18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1266184">
    <w:abstractNumId w:val="13"/>
  </w:num>
  <w:num w:numId="39" w16cid:durableId="2085518997">
    <w:abstractNumId w:val="38"/>
  </w:num>
  <w:num w:numId="40" w16cid:durableId="77556318">
    <w:abstractNumId w:val="11"/>
  </w:num>
  <w:num w:numId="41" w16cid:durableId="115410488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E8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2498"/>
    <w:rsid w:val="000365C9"/>
    <w:rsid w:val="00047081"/>
    <w:rsid w:val="00050979"/>
    <w:rsid w:val="00055FEE"/>
    <w:rsid w:val="00060A29"/>
    <w:rsid w:val="000653E0"/>
    <w:rsid w:val="0006614B"/>
    <w:rsid w:val="00066577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6A5C"/>
    <w:rsid w:val="00097E01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738C"/>
    <w:rsid w:val="000E036E"/>
    <w:rsid w:val="000E2292"/>
    <w:rsid w:val="000E2C05"/>
    <w:rsid w:val="000F275A"/>
    <w:rsid w:val="000F438F"/>
    <w:rsid w:val="000F47E9"/>
    <w:rsid w:val="000F5F8B"/>
    <w:rsid w:val="00101C48"/>
    <w:rsid w:val="00107E5A"/>
    <w:rsid w:val="00110829"/>
    <w:rsid w:val="00113164"/>
    <w:rsid w:val="00114B08"/>
    <w:rsid w:val="00116077"/>
    <w:rsid w:val="001225EE"/>
    <w:rsid w:val="00126441"/>
    <w:rsid w:val="0012724F"/>
    <w:rsid w:val="00130A81"/>
    <w:rsid w:val="00130BE2"/>
    <w:rsid w:val="0013473D"/>
    <w:rsid w:val="00134F13"/>
    <w:rsid w:val="00135FF1"/>
    <w:rsid w:val="00140B2F"/>
    <w:rsid w:val="00147382"/>
    <w:rsid w:val="00147B5C"/>
    <w:rsid w:val="00150712"/>
    <w:rsid w:val="00152B3F"/>
    <w:rsid w:val="00152C2B"/>
    <w:rsid w:val="001539C7"/>
    <w:rsid w:val="001575F8"/>
    <w:rsid w:val="00163B42"/>
    <w:rsid w:val="00164043"/>
    <w:rsid w:val="00165EAA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6CBE"/>
    <w:rsid w:val="00200E65"/>
    <w:rsid w:val="0020275A"/>
    <w:rsid w:val="00203844"/>
    <w:rsid w:val="002052B1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2B41"/>
    <w:rsid w:val="00274F95"/>
    <w:rsid w:val="00276ED4"/>
    <w:rsid w:val="0028191B"/>
    <w:rsid w:val="002864D7"/>
    <w:rsid w:val="002963EF"/>
    <w:rsid w:val="002A0B6D"/>
    <w:rsid w:val="002A42BA"/>
    <w:rsid w:val="002A6FC3"/>
    <w:rsid w:val="002A7323"/>
    <w:rsid w:val="002A78EC"/>
    <w:rsid w:val="002B09B0"/>
    <w:rsid w:val="002B224F"/>
    <w:rsid w:val="002C7355"/>
    <w:rsid w:val="002D53B7"/>
    <w:rsid w:val="002D5588"/>
    <w:rsid w:val="002D7FEB"/>
    <w:rsid w:val="002E0179"/>
    <w:rsid w:val="002E25C5"/>
    <w:rsid w:val="002E2FAB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40E9"/>
    <w:rsid w:val="00314CF7"/>
    <w:rsid w:val="00314DB3"/>
    <w:rsid w:val="00315AF9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42659"/>
    <w:rsid w:val="0034529C"/>
    <w:rsid w:val="003459B1"/>
    <w:rsid w:val="003522D4"/>
    <w:rsid w:val="00355F7A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55F3"/>
    <w:rsid w:val="003B6621"/>
    <w:rsid w:val="003C5141"/>
    <w:rsid w:val="003D0AB2"/>
    <w:rsid w:val="003D2EFD"/>
    <w:rsid w:val="003E056B"/>
    <w:rsid w:val="003E4819"/>
    <w:rsid w:val="003E4E3F"/>
    <w:rsid w:val="003E578C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376E8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B358C"/>
    <w:rsid w:val="004B468C"/>
    <w:rsid w:val="004B5692"/>
    <w:rsid w:val="004C01AA"/>
    <w:rsid w:val="004C1CE6"/>
    <w:rsid w:val="004C6851"/>
    <w:rsid w:val="004C6B2A"/>
    <w:rsid w:val="004D1784"/>
    <w:rsid w:val="004D5597"/>
    <w:rsid w:val="004D5B60"/>
    <w:rsid w:val="004D5FED"/>
    <w:rsid w:val="004D6A72"/>
    <w:rsid w:val="004E209D"/>
    <w:rsid w:val="004E2B28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782D"/>
    <w:rsid w:val="00521064"/>
    <w:rsid w:val="00526B4A"/>
    <w:rsid w:val="0053462E"/>
    <w:rsid w:val="00536070"/>
    <w:rsid w:val="005407A6"/>
    <w:rsid w:val="005409F7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D68"/>
    <w:rsid w:val="005916ED"/>
    <w:rsid w:val="00591E9F"/>
    <w:rsid w:val="00595966"/>
    <w:rsid w:val="00597414"/>
    <w:rsid w:val="005A2C08"/>
    <w:rsid w:val="005C08C0"/>
    <w:rsid w:val="005C1745"/>
    <w:rsid w:val="005C190E"/>
    <w:rsid w:val="005C1B2D"/>
    <w:rsid w:val="005C6338"/>
    <w:rsid w:val="005C6906"/>
    <w:rsid w:val="005D0F3F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604016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D6D"/>
    <w:rsid w:val="006427A8"/>
    <w:rsid w:val="00645289"/>
    <w:rsid w:val="006476FF"/>
    <w:rsid w:val="0065517E"/>
    <w:rsid w:val="00662CAA"/>
    <w:rsid w:val="00666A4C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3088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C1EBA"/>
    <w:rsid w:val="007C3994"/>
    <w:rsid w:val="007C4F8B"/>
    <w:rsid w:val="007D1EFB"/>
    <w:rsid w:val="007E206B"/>
    <w:rsid w:val="007E730A"/>
    <w:rsid w:val="007F087F"/>
    <w:rsid w:val="007F28FE"/>
    <w:rsid w:val="007F42B2"/>
    <w:rsid w:val="007F4426"/>
    <w:rsid w:val="008024F9"/>
    <w:rsid w:val="00804750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4565A"/>
    <w:rsid w:val="0084602B"/>
    <w:rsid w:val="00846404"/>
    <w:rsid w:val="00846490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8755C"/>
    <w:rsid w:val="00891006"/>
    <w:rsid w:val="0089511D"/>
    <w:rsid w:val="008954AA"/>
    <w:rsid w:val="008960A0"/>
    <w:rsid w:val="008A0906"/>
    <w:rsid w:val="008A29F6"/>
    <w:rsid w:val="008A56A5"/>
    <w:rsid w:val="008B06FC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722A"/>
    <w:rsid w:val="009650D7"/>
    <w:rsid w:val="009670B0"/>
    <w:rsid w:val="00967A2D"/>
    <w:rsid w:val="0098015B"/>
    <w:rsid w:val="00981E62"/>
    <w:rsid w:val="00982915"/>
    <w:rsid w:val="0098698E"/>
    <w:rsid w:val="00990B31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79B4"/>
    <w:rsid w:val="009E3FB0"/>
    <w:rsid w:val="009E763E"/>
    <w:rsid w:val="009F2C16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16CB2"/>
    <w:rsid w:val="00A202CB"/>
    <w:rsid w:val="00A21ECC"/>
    <w:rsid w:val="00A23258"/>
    <w:rsid w:val="00A23E26"/>
    <w:rsid w:val="00A27ECF"/>
    <w:rsid w:val="00A31978"/>
    <w:rsid w:val="00A326CD"/>
    <w:rsid w:val="00A3455E"/>
    <w:rsid w:val="00A34BB7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6E4C"/>
    <w:rsid w:val="00A71784"/>
    <w:rsid w:val="00A7469A"/>
    <w:rsid w:val="00A84AEC"/>
    <w:rsid w:val="00A9373B"/>
    <w:rsid w:val="00A93DC8"/>
    <w:rsid w:val="00A941E2"/>
    <w:rsid w:val="00A9776C"/>
    <w:rsid w:val="00AA0C11"/>
    <w:rsid w:val="00AA38D3"/>
    <w:rsid w:val="00AA4079"/>
    <w:rsid w:val="00AA456A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5D1A"/>
    <w:rsid w:val="00AD6EBC"/>
    <w:rsid w:val="00AE40E0"/>
    <w:rsid w:val="00AF0307"/>
    <w:rsid w:val="00AF35CB"/>
    <w:rsid w:val="00AF575D"/>
    <w:rsid w:val="00AF6B02"/>
    <w:rsid w:val="00AF7953"/>
    <w:rsid w:val="00B11BA5"/>
    <w:rsid w:val="00B13131"/>
    <w:rsid w:val="00B14F67"/>
    <w:rsid w:val="00B1508A"/>
    <w:rsid w:val="00B16424"/>
    <w:rsid w:val="00B207FF"/>
    <w:rsid w:val="00B239A0"/>
    <w:rsid w:val="00B25A3A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820B1"/>
    <w:rsid w:val="00B82BEC"/>
    <w:rsid w:val="00B8548B"/>
    <w:rsid w:val="00B87B3E"/>
    <w:rsid w:val="00B912A0"/>
    <w:rsid w:val="00B958A7"/>
    <w:rsid w:val="00BB4ADA"/>
    <w:rsid w:val="00BC2E16"/>
    <w:rsid w:val="00BC3C0F"/>
    <w:rsid w:val="00BC72C9"/>
    <w:rsid w:val="00BD4758"/>
    <w:rsid w:val="00BD7223"/>
    <w:rsid w:val="00BD7C73"/>
    <w:rsid w:val="00BE1F57"/>
    <w:rsid w:val="00BE3942"/>
    <w:rsid w:val="00BE5431"/>
    <w:rsid w:val="00BF3DC8"/>
    <w:rsid w:val="00BF4ECD"/>
    <w:rsid w:val="00BF5D79"/>
    <w:rsid w:val="00C06656"/>
    <w:rsid w:val="00C07CB6"/>
    <w:rsid w:val="00C102CC"/>
    <w:rsid w:val="00C226F4"/>
    <w:rsid w:val="00C23957"/>
    <w:rsid w:val="00C25047"/>
    <w:rsid w:val="00C251DA"/>
    <w:rsid w:val="00C30A3C"/>
    <w:rsid w:val="00C3184E"/>
    <w:rsid w:val="00C53997"/>
    <w:rsid w:val="00C60F9F"/>
    <w:rsid w:val="00C6189E"/>
    <w:rsid w:val="00C630C3"/>
    <w:rsid w:val="00C659E9"/>
    <w:rsid w:val="00C7040D"/>
    <w:rsid w:val="00C736BD"/>
    <w:rsid w:val="00C73D9E"/>
    <w:rsid w:val="00C753AE"/>
    <w:rsid w:val="00C75D7A"/>
    <w:rsid w:val="00C82617"/>
    <w:rsid w:val="00C83B40"/>
    <w:rsid w:val="00C841B9"/>
    <w:rsid w:val="00C93772"/>
    <w:rsid w:val="00C96AC3"/>
    <w:rsid w:val="00CA784A"/>
    <w:rsid w:val="00CB007C"/>
    <w:rsid w:val="00CB2312"/>
    <w:rsid w:val="00CB5A5C"/>
    <w:rsid w:val="00CB7F4E"/>
    <w:rsid w:val="00CC0991"/>
    <w:rsid w:val="00CC0F47"/>
    <w:rsid w:val="00CC3661"/>
    <w:rsid w:val="00CD107B"/>
    <w:rsid w:val="00CD7876"/>
    <w:rsid w:val="00CE1DEC"/>
    <w:rsid w:val="00CE20C1"/>
    <w:rsid w:val="00CE6FDB"/>
    <w:rsid w:val="00CF6EFF"/>
    <w:rsid w:val="00D0037A"/>
    <w:rsid w:val="00D00939"/>
    <w:rsid w:val="00D01572"/>
    <w:rsid w:val="00D02852"/>
    <w:rsid w:val="00D030CF"/>
    <w:rsid w:val="00D03E6D"/>
    <w:rsid w:val="00D04DD1"/>
    <w:rsid w:val="00D105D6"/>
    <w:rsid w:val="00D12C28"/>
    <w:rsid w:val="00D14247"/>
    <w:rsid w:val="00D16119"/>
    <w:rsid w:val="00D20CD4"/>
    <w:rsid w:val="00D22D5C"/>
    <w:rsid w:val="00D2593D"/>
    <w:rsid w:val="00D26E22"/>
    <w:rsid w:val="00D27D74"/>
    <w:rsid w:val="00D33717"/>
    <w:rsid w:val="00D33A41"/>
    <w:rsid w:val="00D42892"/>
    <w:rsid w:val="00D42BEE"/>
    <w:rsid w:val="00D45252"/>
    <w:rsid w:val="00D45618"/>
    <w:rsid w:val="00D476FB"/>
    <w:rsid w:val="00D510CA"/>
    <w:rsid w:val="00D57D8C"/>
    <w:rsid w:val="00D63CD7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666E"/>
    <w:rsid w:val="00D97BAD"/>
    <w:rsid w:val="00DA1982"/>
    <w:rsid w:val="00DA1DC0"/>
    <w:rsid w:val="00DA593F"/>
    <w:rsid w:val="00DA6EFE"/>
    <w:rsid w:val="00DB489B"/>
    <w:rsid w:val="00DC5051"/>
    <w:rsid w:val="00DE27E2"/>
    <w:rsid w:val="00DE6419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28E0"/>
    <w:rsid w:val="00E5332A"/>
    <w:rsid w:val="00E54DCD"/>
    <w:rsid w:val="00E57B2A"/>
    <w:rsid w:val="00E742EE"/>
    <w:rsid w:val="00E75D79"/>
    <w:rsid w:val="00E91301"/>
    <w:rsid w:val="00E916B2"/>
    <w:rsid w:val="00E91B49"/>
    <w:rsid w:val="00E91B8F"/>
    <w:rsid w:val="00E935D6"/>
    <w:rsid w:val="00E96988"/>
    <w:rsid w:val="00EA3A88"/>
    <w:rsid w:val="00EA45CD"/>
    <w:rsid w:val="00EA7EA7"/>
    <w:rsid w:val="00EB27F8"/>
    <w:rsid w:val="00EB6F34"/>
    <w:rsid w:val="00EC0ADA"/>
    <w:rsid w:val="00EC2739"/>
    <w:rsid w:val="00EC48CC"/>
    <w:rsid w:val="00EC5C8A"/>
    <w:rsid w:val="00EC70AC"/>
    <w:rsid w:val="00EC79F5"/>
    <w:rsid w:val="00ED021D"/>
    <w:rsid w:val="00ED13A2"/>
    <w:rsid w:val="00EE06FF"/>
    <w:rsid w:val="00EE44D4"/>
    <w:rsid w:val="00EF5D90"/>
    <w:rsid w:val="00EF6791"/>
    <w:rsid w:val="00EF6E54"/>
    <w:rsid w:val="00F07E56"/>
    <w:rsid w:val="00F10CEC"/>
    <w:rsid w:val="00F12444"/>
    <w:rsid w:val="00F13BA3"/>
    <w:rsid w:val="00F15FFB"/>
    <w:rsid w:val="00F17801"/>
    <w:rsid w:val="00F179DC"/>
    <w:rsid w:val="00F17AA1"/>
    <w:rsid w:val="00F25FF5"/>
    <w:rsid w:val="00F30153"/>
    <w:rsid w:val="00F30F45"/>
    <w:rsid w:val="00F349E0"/>
    <w:rsid w:val="00F34F9C"/>
    <w:rsid w:val="00F36FFF"/>
    <w:rsid w:val="00F50FD6"/>
    <w:rsid w:val="00F517D3"/>
    <w:rsid w:val="00F52782"/>
    <w:rsid w:val="00F529DA"/>
    <w:rsid w:val="00F53331"/>
    <w:rsid w:val="00F55E16"/>
    <w:rsid w:val="00F56BE0"/>
    <w:rsid w:val="00F5795F"/>
    <w:rsid w:val="00F6788A"/>
    <w:rsid w:val="00F818E8"/>
    <w:rsid w:val="00F84FB7"/>
    <w:rsid w:val="00F85331"/>
    <w:rsid w:val="00F90561"/>
    <w:rsid w:val="00F9582A"/>
    <w:rsid w:val="00F95A2A"/>
    <w:rsid w:val="00F97513"/>
    <w:rsid w:val="00FA433B"/>
    <w:rsid w:val="00FB0B89"/>
    <w:rsid w:val="00FB1E59"/>
    <w:rsid w:val="00FB62A3"/>
    <w:rsid w:val="00FB6D5F"/>
    <w:rsid w:val="00FC3D94"/>
    <w:rsid w:val="00FC42B3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098AF"/>
  <w15:docId w15:val="{6A7DB892-FF52-490E-8A2C-09D89034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uiPriority w:val="99"/>
    <w:qFormat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uiPriority w:val="99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qFormat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"/>
    <w:basedOn w:val="DefaultParagraphFont"/>
    <w:uiPriority w:val="99"/>
    <w:qFormat/>
    <w:rsid w:val="004376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23-RAG-C-0014/en" TargetMode="External"/><Relationship Id="rId13" Type="http://schemas.openxmlformats.org/officeDocument/2006/relationships/hyperlink" Target="https://www.itu.int/md/R00-CA-CIR-0277/e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tu.int/md/R23-RAG-C-0014/e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R00-CA-CIR-0277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R23-WP5B-C-0354/en" TargetMode="External"/><Relationship Id="rId10" Type="http://schemas.openxmlformats.org/officeDocument/2006/relationships/hyperlink" Target="https://www.itu.int/md/R23-RAG-C-0014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R23-RAG-C-0014/en" TargetMode="External"/><Relationship Id="rId14" Type="http://schemas.openxmlformats.org/officeDocument/2006/relationships/hyperlink" Target="https://www.itu.int/md/R23-WP5B-C-0354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BR\PR_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PR_RAG.dotx</Template>
  <TotalTime>9</TotalTime>
  <Pages>3</Pages>
  <Words>1219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10583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NA</dc:creator>
  <cp:keywords>RAG03-1</cp:keywords>
  <dc:description>Document RAG08-1/1-E  For: _x000d_Document date: 12 December 2007_x000d_Saved by JJF44233 at 15:38:46 on 18/12/2007</dc:description>
  <cp:lastModifiedBy>NA</cp:lastModifiedBy>
  <cp:revision>2</cp:revision>
  <cp:lastPrinted>2011-05-23T08:58:00Z</cp:lastPrinted>
  <dcterms:created xsi:type="dcterms:W3CDTF">2026-03-23T08:55:00Z</dcterms:created>
  <dcterms:modified xsi:type="dcterms:W3CDTF">2026-03-23T09:04:00Z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