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766"/>
        <w:tblW w:w="9889" w:type="dxa"/>
        <w:tblLayout w:type="fixed"/>
        <w:tblLook w:val="0000" w:firstRow="0" w:lastRow="0" w:firstColumn="0" w:lastColumn="0" w:noHBand="0" w:noVBand="0"/>
      </w:tblPr>
      <w:tblGrid>
        <w:gridCol w:w="6771"/>
        <w:gridCol w:w="3118"/>
      </w:tblGrid>
      <w:tr w:rsidR="00443261" w14:paraId="0E0983FD" w14:textId="77777777" w:rsidTr="00443261">
        <w:trPr>
          <w:cantSplit/>
        </w:trPr>
        <w:tc>
          <w:tcPr>
            <w:tcW w:w="6771" w:type="dxa"/>
            <w:vAlign w:val="center"/>
          </w:tcPr>
          <w:p w14:paraId="243C7247" w14:textId="77777777" w:rsidR="00443261" w:rsidRPr="002D238A" w:rsidRDefault="00443261" w:rsidP="007711EA">
            <w:pPr>
              <w:shd w:val="solid" w:color="FFFFFF" w:fill="FFFFFF"/>
              <w:spacing w:before="360" w:after="240"/>
              <w:rPr>
                <w:rFonts w:ascii="Verdana" w:hAnsi="Verdana"/>
                <w:b/>
                <w:bCs/>
              </w:rPr>
            </w:pPr>
            <w:r w:rsidRPr="002D238A">
              <w:rPr>
                <w:rFonts w:ascii="Verdana" w:hAnsi="Verdana" w:cs="Times New Roman Bold"/>
                <w:b/>
                <w:sz w:val="25"/>
                <w:szCs w:val="25"/>
              </w:rPr>
              <w:t>Groupe Consultatif des Radiocommunications</w:t>
            </w:r>
            <w:r w:rsidRPr="002D238A">
              <w:rPr>
                <w:rFonts w:ascii="Verdana" w:hAnsi="Verdana"/>
                <w:b/>
                <w:sz w:val="25"/>
                <w:szCs w:val="25"/>
              </w:rPr>
              <w:br/>
            </w:r>
          </w:p>
        </w:tc>
        <w:tc>
          <w:tcPr>
            <w:tcW w:w="3118" w:type="dxa"/>
          </w:tcPr>
          <w:p w14:paraId="3DF8D4D3" w14:textId="77777777" w:rsidR="00443261" w:rsidRDefault="007711EA" w:rsidP="004E76DF">
            <w:pPr>
              <w:shd w:val="solid" w:color="FFFFFF" w:fill="FFFFFF"/>
              <w:spacing w:before="0" w:line="240" w:lineRule="atLeast"/>
            </w:pPr>
            <w:r w:rsidRPr="00C126C1">
              <w:rPr>
                <w:noProof/>
                <w:lang w:val="en-US" w:eastAsia="zh-CN"/>
              </w:rPr>
              <w:drawing>
                <wp:inline distT="0" distB="0" distL="0" distR="0" wp14:anchorId="3A471AC3" wp14:editId="54DA8BB9">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D238A" w:rsidRPr="0051782D" w14:paraId="53486E56" w14:textId="77777777">
        <w:trPr>
          <w:cantSplit/>
        </w:trPr>
        <w:tc>
          <w:tcPr>
            <w:tcW w:w="6771" w:type="dxa"/>
            <w:tcBorders>
              <w:bottom w:val="single" w:sz="12" w:space="0" w:color="auto"/>
            </w:tcBorders>
          </w:tcPr>
          <w:p w14:paraId="1E193284" w14:textId="77777777" w:rsidR="002D238A" w:rsidRPr="0051782D" w:rsidRDefault="002D238A" w:rsidP="00773E5E">
            <w:pPr>
              <w:shd w:val="solid" w:color="FFFFFF" w:fill="FFFFFF"/>
              <w:spacing w:before="0" w:after="48"/>
              <w:rPr>
                <w:rFonts w:ascii="Verdana" w:hAnsi="Verdana" w:cs="Times New Roman Bold"/>
                <w:b/>
                <w:sz w:val="22"/>
                <w:szCs w:val="22"/>
              </w:rPr>
            </w:pPr>
          </w:p>
        </w:tc>
        <w:tc>
          <w:tcPr>
            <w:tcW w:w="3118" w:type="dxa"/>
            <w:tcBorders>
              <w:bottom w:val="single" w:sz="12" w:space="0" w:color="auto"/>
            </w:tcBorders>
          </w:tcPr>
          <w:p w14:paraId="47B3AEDF" w14:textId="77777777" w:rsidR="002D238A" w:rsidRPr="0051782D" w:rsidRDefault="002D238A" w:rsidP="00773E5E">
            <w:pPr>
              <w:shd w:val="solid" w:color="FFFFFF" w:fill="FFFFFF"/>
              <w:spacing w:before="0" w:after="48" w:line="240" w:lineRule="atLeast"/>
              <w:rPr>
                <w:sz w:val="22"/>
                <w:szCs w:val="22"/>
                <w:lang w:val="en-US"/>
              </w:rPr>
            </w:pPr>
          </w:p>
        </w:tc>
      </w:tr>
      <w:tr w:rsidR="002D238A" w:rsidRPr="00710D66" w14:paraId="69779FFE" w14:textId="77777777">
        <w:trPr>
          <w:cantSplit/>
        </w:trPr>
        <w:tc>
          <w:tcPr>
            <w:tcW w:w="6771" w:type="dxa"/>
            <w:tcBorders>
              <w:top w:val="single" w:sz="12" w:space="0" w:color="auto"/>
            </w:tcBorders>
          </w:tcPr>
          <w:p w14:paraId="1CBDC478" w14:textId="77777777" w:rsidR="002D238A" w:rsidRPr="0051782D" w:rsidRDefault="002D238A" w:rsidP="00773E5E">
            <w:pPr>
              <w:shd w:val="solid" w:color="FFFFFF" w:fill="FFFFFF"/>
              <w:spacing w:before="0" w:after="48"/>
              <w:rPr>
                <w:rFonts w:ascii="Verdana" w:hAnsi="Verdana" w:cs="Times New Roman Bold"/>
                <w:bCs/>
                <w:sz w:val="22"/>
                <w:szCs w:val="22"/>
              </w:rPr>
            </w:pPr>
          </w:p>
        </w:tc>
        <w:tc>
          <w:tcPr>
            <w:tcW w:w="3118" w:type="dxa"/>
            <w:tcBorders>
              <w:top w:val="single" w:sz="12" w:space="0" w:color="auto"/>
            </w:tcBorders>
          </w:tcPr>
          <w:p w14:paraId="3726E04C" w14:textId="3C4103AA" w:rsidR="002D238A" w:rsidRPr="002D238A" w:rsidRDefault="002D238A" w:rsidP="00773E5E">
            <w:pPr>
              <w:shd w:val="solid" w:color="FFFFFF" w:fill="FFFFFF"/>
              <w:spacing w:before="0" w:after="48" w:line="240" w:lineRule="atLeast"/>
              <w:rPr>
                <w:rFonts w:ascii="Verdana" w:hAnsi="Verdana"/>
                <w:sz w:val="22"/>
                <w:szCs w:val="22"/>
                <w:lang w:val="en-US"/>
              </w:rPr>
            </w:pPr>
          </w:p>
        </w:tc>
      </w:tr>
      <w:tr w:rsidR="002D238A" w:rsidRPr="002A127E" w14:paraId="7270CDBD" w14:textId="77777777">
        <w:trPr>
          <w:cantSplit/>
        </w:trPr>
        <w:tc>
          <w:tcPr>
            <w:tcW w:w="6771" w:type="dxa"/>
            <w:vMerge w:val="restart"/>
          </w:tcPr>
          <w:p w14:paraId="2D41D20E" w14:textId="77777777" w:rsidR="002D238A" w:rsidRPr="005031C8" w:rsidRDefault="002D238A" w:rsidP="005031C8">
            <w:pPr>
              <w:shd w:val="solid" w:color="FFFFFF" w:fill="FFFFFF"/>
              <w:spacing w:before="0" w:line="240" w:lineRule="atLeast"/>
              <w:rPr>
                <w:rFonts w:ascii="Verdana" w:hAnsi="Verdana"/>
                <w:sz w:val="20"/>
              </w:rPr>
            </w:pPr>
            <w:bookmarkStart w:id="0" w:name="dnum" w:colFirst="1" w:colLast="1"/>
          </w:p>
        </w:tc>
        <w:tc>
          <w:tcPr>
            <w:tcW w:w="3118" w:type="dxa"/>
          </w:tcPr>
          <w:p w14:paraId="51242373" w14:textId="5F1F6547" w:rsidR="002D238A" w:rsidRPr="002A127E" w:rsidRDefault="00B55EE2" w:rsidP="00773E5E">
            <w:pPr>
              <w:shd w:val="solid" w:color="FFFFFF" w:fill="FFFFFF"/>
              <w:spacing w:before="0" w:line="240" w:lineRule="atLeast"/>
              <w:rPr>
                <w:rFonts w:ascii="Verdana" w:hAnsi="Verdana"/>
                <w:sz w:val="20"/>
              </w:rPr>
            </w:pPr>
            <w:r w:rsidRPr="002725BA">
              <w:rPr>
                <w:rFonts w:ascii="Verdana" w:hAnsi="Verdana"/>
                <w:b/>
                <w:bCs/>
                <w:sz w:val="20"/>
              </w:rPr>
              <w:t>Document RAG/</w:t>
            </w:r>
            <w:r w:rsidR="004047DE">
              <w:rPr>
                <w:rFonts w:ascii="Verdana" w:hAnsi="Verdana"/>
                <w:b/>
                <w:bCs/>
                <w:sz w:val="20"/>
              </w:rPr>
              <w:t>70</w:t>
            </w:r>
            <w:r w:rsidRPr="002725BA">
              <w:rPr>
                <w:rFonts w:ascii="Verdana" w:hAnsi="Verdana"/>
                <w:b/>
                <w:bCs/>
                <w:sz w:val="20"/>
              </w:rPr>
              <w:t>-F</w:t>
            </w:r>
          </w:p>
        </w:tc>
      </w:tr>
      <w:tr w:rsidR="00B55EE2" w:rsidRPr="002A127E" w14:paraId="71F23DAC" w14:textId="77777777">
        <w:trPr>
          <w:cantSplit/>
        </w:trPr>
        <w:tc>
          <w:tcPr>
            <w:tcW w:w="6771" w:type="dxa"/>
            <w:vMerge/>
          </w:tcPr>
          <w:p w14:paraId="6C91B921" w14:textId="77777777" w:rsidR="00B55EE2" w:rsidRDefault="00B55EE2" w:rsidP="00B55EE2">
            <w:pPr>
              <w:spacing w:before="60"/>
              <w:jc w:val="center"/>
              <w:rPr>
                <w:b/>
                <w:smallCaps/>
                <w:sz w:val="32"/>
              </w:rPr>
            </w:pPr>
            <w:bookmarkStart w:id="1" w:name="ddate" w:colFirst="1" w:colLast="1"/>
            <w:bookmarkEnd w:id="0"/>
          </w:p>
        </w:tc>
        <w:tc>
          <w:tcPr>
            <w:tcW w:w="3118" w:type="dxa"/>
          </w:tcPr>
          <w:p w14:paraId="2D780F5D" w14:textId="78B8BE9C" w:rsidR="00B55EE2" w:rsidRPr="002A127E" w:rsidRDefault="004047DE" w:rsidP="00B55EE2">
            <w:pPr>
              <w:shd w:val="solid" w:color="FFFFFF" w:fill="FFFFFF"/>
              <w:spacing w:before="0" w:line="240" w:lineRule="atLeast"/>
              <w:rPr>
                <w:rFonts w:ascii="Verdana" w:hAnsi="Verdana"/>
                <w:sz w:val="20"/>
              </w:rPr>
            </w:pPr>
            <w:r>
              <w:rPr>
                <w:rFonts w:ascii="Verdana" w:hAnsi="Verdana"/>
                <w:b/>
                <w:bCs/>
                <w:sz w:val="20"/>
              </w:rPr>
              <w:t>16 mars</w:t>
            </w:r>
            <w:r w:rsidR="00B55EE2">
              <w:rPr>
                <w:rFonts w:ascii="Verdana" w:hAnsi="Verdana"/>
                <w:b/>
                <w:bCs/>
                <w:sz w:val="20"/>
              </w:rPr>
              <w:t xml:space="preserve"> 2026</w:t>
            </w:r>
          </w:p>
        </w:tc>
      </w:tr>
      <w:tr w:rsidR="00B55EE2" w:rsidRPr="002A127E" w14:paraId="7551CDA3" w14:textId="77777777">
        <w:trPr>
          <w:cantSplit/>
        </w:trPr>
        <w:tc>
          <w:tcPr>
            <w:tcW w:w="6771" w:type="dxa"/>
            <w:vMerge/>
          </w:tcPr>
          <w:p w14:paraId="7534D5FC" w14:textId="77777777" w:rsidR="00B55EE2" w:rsidRDefault="00B55EE2" w:rsidP="00B55EE2">
            <w:pPr>
              <w:spacing w:before="60"/>
              <w:jc w:val="center"/>
              <w:rPr>
                <w:b/>
                <w:smallCaps/>
                <w:sz w:val="32"/>
              </w:rPr>
            </w:pPr>
            <w:bookmarkStart w:id="2" w:name="dorlang" w:colFirst="1" w:colLast="1"/>
            <w:bookmarkEnd w:id="1"/>
          </w:p>
        </w:tc>
        <w:tc>
          <w:tcPr>
            <w:tcW w:w="3118" w:type="dxa"/>
          </w:tcPr>
          <w:p w14:paraId="070210F9" w14:textId="4A6FE36E" w:rsidR="00B55EE2" w:rsidRPr="002A127E" w:rsidRDefault="00B55EE2" w:rsidP="00B55EE2">
            <w:pPr>
              <w:shd w:val="solid" w:color="FFFFFF" w:fill="FFFFFF"/>
              <w:spacing w:before="0" w:after="120" w:line="240" w:lineRule="atLeast"/>
              <w:rPr>
                <w:rFonts w:ascii="Verdana" w:hAnsi="Verdana"/>
                <w:sz w:val="20"/>
              </w:rPr>
            </w:pPr>
            <w:r w:rsidRPr="002725BA">
              <w:rPr>
                <w:rFonts w:ascii="Verdana" w:hAnsi="Verdana"/>
                <w:b/>
                <w:bCs/>
                <w:sz w:val="20"/>
              </w:rPr>
              <w:t>Original: anglais</w:t>
            </w:r>
          </w:p>
        </w:tc>
      </w:tr>
      <w:tr w:rsidR="00B55EE2" w14:paraId="77C1A7DB" w14:textId="77777777">
        <w:trPr>
          <w:cantSplit/>
        </w:trPr>
        <w:tc>
          <w:tcPr>
            <w:tcW w:w="9889" w:type="dxa"/>
            <w:gridSpan w:val="2"/>
          </w:tcPr>
          <w:p w14:paraId="5E4AD45C" w14:textId="4AC994CA" w:rsidR="00B55EE2" w:rsidRDefault="004047DE" w:rsidP="00B55EE2">
            <w:pPr>
              <w:pStyle w:val="Source"/>
            </w:pPr>
            <w:bookmarkStart w:id="3" w:name="dsource" w:colFirst="0" w:colLast="0"/>
            <w:bookmarkEnd w:id="2"/>
            <w:r w:rsidRPr="004047DE">
              <w:t>Arabie saoudite (Royaume d')</w:t>
            </w:r>
          </w:p>
        </w:tc>
      </w:tr>
      <w:tr w:rsidR="00B55EE2" w14:paraId="618DA6C1" w14:textId="77777777">
        <w:trPr>
          <w:cantSplit/>
        </w:trPr>
        <w:tc>
          <w:tcPr>
            <w:tcW w:w="9889" w:type="dxa"/>
            <w:gridSpan w:val="2"/>
          </w:tcPr>
          <w:p w14:paraId="5B5185FA" w14:textId="4CEE3BD2" w:rsidR="00B55EE2" w:rsidRDefault="004047DE" w:rsidP="00B55EE2">
            <w:pPr>
              <w:pStyle w:val="Title1"/>
            </w:pPr>
            <w:bookmarkStart w:id="4" w:name="dtitle1" w:colFirst="0" w:colLast="0"/>
            <w:bookmarkEnd w:id="3"/>
            <w:r w:rsidRPr="004047DE">
              <w:t>Aider les autorités nationales de régulation des</w:t>
            </w:r>
            <w:r>
              <w:br/>
            </w:r>
            <w:r w:rsidRPr="004047DE">
              <w:t>télécommunications à appliquer de manière cohérente</w:t>
            </w:r>
            <w:r>
              <w:br/>
            </w:r>
            <w:r w:rsidRPr="004047DE">
              <w:t>les cadres de l'UIT, de l'OMI et de l'OACI pour les</w:t>
            </w:r>
            <w:r>
              <w:br/>
            </w:r>
            <w:r w:rsidRPr="004047DE">
              <w:t>systèmes de radiocommunication maritimes</w:t>
            </w:r>
            <w:r>
              <w:br/>
            </w:r>
            <w:r w:rsidRPr="004047DE">
              <w:t>et aéronautiques et d'autres systèmes</w:t>
            </w:r>
            <w:r>
              <w:br/>
            </w:r>
            <w:r w:rsidRPr="004047DE">
              <w:t>de radiocommunication pertinents</w:t>
            </w:r>
          </w:p>
        </w:tc>
      </w:tr>
    </w:tbl>
    <w:bookmarkEnd w:id="4"/>
    <w:p w14:paraId="0A218553" w14:textId="485DDD07" w:rsidR="004047DE" w:rsidRDefault="004047DE" w:rsidP="004047DE">
      <w:pPr>
        <w:pStyle w:val="Heading1"/>
        <w:spacing w:before="600"/>
      </w:pPr>
      <w:r>
        <w:t>1</w:t>
      </w:r>
      <w:r>
        <w:tab/>
      </w:r>
      <w:r>
        <w:t>Considérations générales</w:t>
      </w:r>
    </w:p>
    <w:p w14:paraId="43047BF9" w14:textId="77777777" w:rsidR="004047DE" w:rsidRDefault="004047DE" w:rsidP="004047DE">
      <w:r>
        <w:t>La sécurité de la vie humaine en mer, la sécurité de la navigation maritime, la sécurité de la navigation aérienne et la régularité des vols restent des questions d'une importance capitale. Le Règlement des radiocommunications contient de nombreuses dispositions applicables aux services maritimes et aéronautiques, tandis que l'Organisation maritime internationale (OMI) et l'Organisation de l'aviation civile internationale (OACI) tiennent à jour des conventions, des normes, des procédures, des manuels et des cadres connexes ayant trait à ces domaines. Les administrations sont donc tenues, dans la pratique, d'opérer conformément à plusieurs cadres internationaux lorsqu'elles établissent ou appliquent des autorisations nationales et des dispositions réglementaires pour les systèmes de radiocommunication maritimes et aéronautiques et les systèmes de radiocommunication pertinents.</w:t>
      </w:r>
    </w:p>
    <w:p w14:paraId="1E14C97D" w14:textId="5F52638D" w:rsidR="004047DE" w:rsidRDefault="004047DE" w:rsidP="004047DE">
      <w:r>
        <w:t xml:space="preserve">L'Arabie saoudite avait précédemment souligné lors de la réunion du Groupe consultatif des radiocommunications (GCR) (voir le Document </w:t>
      </w:r>
      <w:hyperlink r:id="rId9" w:history="1">
        <w:r w:rsidRPr="004047DE">
          <w:rPr>
            <w:rStyle w:val="Hyperlink"/>
          </w:rPr>
          <w:t>RAG/14</w:t>
        </w:r>
      </w:hyperlink>
      <w:r>
        <w:t>) que les administrations font face à de grandes difficultés pour ce qui est d'octroyer les droits d'utilisation des fréquences/canaux destinés à des stations faisant partie des services maritimes et aéronautiques et des services auxiliaires, tels que les services de radionavigation, de radiorepérage et les applications météorologiques, tout en respectant les traités, les réglementations, les procédures et les normes internationaux applicables établis par l'Union internationale des télécommunications (UIT), l'OMI, l'OACI et d'autres entités compétentes concernées.</w:t>
      </w:r>
    </w:p>
    <w:p w14:paraId="1E828592" w14:textId="293E7A31" w:rsidR="004047DE" w:rsidRDefault="004047DE" w:rsidP="004047DE">
      <w:r>
        <w:t xml:space="preserve">À sa trente-deuxième réunion, le GCR a rappelé les discussions antérieures sur la coopération entre le Secteur des radiocommunications de l'UIT (UIT-R), l'OMI et l'OACI et a noté que la Commission d'études 5 et le Groupe de travail 5B n'avaient pas encore reçu de contributions sur cette question. Le GCR a par conséquent conseillé au Bureau des radiocommunications (BR) de continuer d'étudier différents moyens de promouvoir une collaboration plus poussée avec l'OACI et l'OMI, afin de répondre efficacement aux préoccupations exprimées dans le Document </w:t>
      </w:r>
      <w:hyperlink r:id="rId10" w:history="1">
        <w:r w:rsidRPr="004047DE">
          <w:rPr>
            <w:rStyle w:val="Hyperlink"/>
          </w:rPr>
          <w:t>RAG/14</w:t>
        </w:r>
      </w:hyperlink>
      <w:r>
        <w:t>. Le</w:t>
      </w:r>
      <w:r>
        <w:t> </w:t>
      </w:r>
      <w:r>
        <w:t xml:space="preserve">GCR a en outre fait remarquer qu'une marche à suivre cohérente, par exemple sous la forme de </w:t>
      </w:r>
      <w:r>
        <w:lastRenderedPageBreak/>
        <w:t>lignes directrices ou d'un manuel, pourrait être définie par divers moyens, y compris les travaux menés par la Commission d'études 5 et le Groupe de travail 5B, et a encouragé les membres concernés à contribuer directement aux travaux du GT 5B sur cette question (voir le Document</w:t>
      </w:r>
      <w:r>
        <w:t> </w:t>
      </w:r>
      <w:hyperlink r:id="rId11" w:history="1">
        <w:r w:rsidRPr="004047DE">
          <w:rPr>
            <w:rStyle w:val="Hyperlink"/>
          </w:rPr>
          <w:t>CA/277</w:t>
        </w:r>
      </w:hyperlink>
      <w:r>
        <w:t>).</w:t>
      </w:r>
    </w:p>
    <w:p w14:paraId="104AFE9E" w14:textId="5B99CA0B" w:rsidR="004047DE" w:rsidRDefault="004047DE" w:rsidP="004047DE">
      <w:r>
        <w:t xml:space="preserve">À la suite de cette proposition, l'Arabie saoudite a soumis une contribution au Groupe de travail 5B (voir le Document </w:t>
      </w:r>
      <w:hyperlink r:id="rId12" w:history="1">
        <w:r w:rsidRPr="004047DE">
          <w:rPr>
            <w:rStyle w:val="Hyperlink"/>
          </w:rPr>
          <w:t>5B/354</w:t>
        </w:r>
      </w:hyperlink>
      <w:r>
        <w:t>) contenant une note de liaison à l'intention de l'OMI et de l'OACI sur l'élaboration éventuelle de lignes directrices communes ou d'un manuel. Cette contribution a été examinée par les Groupes de travail 5B-2 et 5B-3. Si l'importance d'une coordination continue entre l'UIT, l'OMI et l'OACI a été reconnue, des préoccupations ont été exprimées concernant la portée des travaux proposés, les objectifs concrets, les systèmes et bandes de fréquences concernés, la charge de travail prévue, les éléments essentiels à inclure, ainsi que la désignation des parties responsables et des parties contributrices. Il a également été rappelé que des mécanismes de coordination existent déjà, y compris une coordination fondée sur l'échange de notes de liaison avec l'OACI, lorsque cela est nécessaire, et le Groupe mixte d'experts OMI/UIT sur les questions de radiocommunication maritime. En conséquence, les deux groupes ont décidé de prendre note de la contribution sans autre mesure.</w:t>
      </w:r>
    </w:p>
    <w:p w14:paraId="2816BF4D" w14:textId="458AF99E" w:rsidR="004047DE" w:rsidRDefault="004047DE" w:rsidP="004047DE">
      <w:pPr>
        <w:pStyle w:val="Heading1"/>
      </w:pPr>
      <w:r>
        <w:t>2</w:t>
      </w:r>
      <w:r>
        <w:tab/>
      </w:r>
      <w:r>
        <w:t>Problèmes rencontrés par les administrations</w:t>
      </w:r>
    </w:p>
    <w:p w14:paraId="0BB5C6E4" w14:textId="5CF8D19C" w:rsidR="004047DE" w:rsidRDefault="004047DE" w:rsidP="004047DE">
      <w:r>
        <w:t>Les autorités nationales de régulation des télécommunications continuent de se heurter à des problèmes pratiques dans l'application cohérente des cadres pertinents de l'UIT, de l'OMI et de</w:t>
      </w:r>
      <w:r>
        <w:t> </w:t>
      </w:r>
      <w:r>
        <w:t>l'OACI, en particulier en ce qui concerne les systèmes de radiocommunication maritimes, aéronautiques et les systèmes auxiliaires, tels que les systèmes de radionavigation, de radiorepérage, les applications météorologiques, etc.</w:t>
      </w:r>
    </w:p>
    <w:p w14:paraId="579BCB1B" w14:textId="77777777" w:rsidR="004047DE" w:rsidRDefault="004047DE" w:rsidP="004047DE">
      <w:r>
        <w:t>Premièrement, les responsabilités au niveau national sont souvent réparties entre plusieurs autorités, notamment les régulateurs des télécommunications, les autorités de l'aviation civile, les autorités maritimes, les ministères des transports, les organismes météorologiques, les entités de défense et d'autres institutions compétentes. Cette fragmentation institutionnelle peut rendre difficile la conception et l'application de processus d'autorisation de bout en bout cohérents.</w:t>
      </w:r>
    </w:p>
    <w:p w14:paraId="0ECBA015" w14:textId="77777777" w:rsidR="004047DE" w:rsidRDefault="004047DE" w:rsidP="004047DE">
      <w:r>
        <w:t>Deuxièmement, les autorités de régulation des télécommunications ne disposent pas toujours d'une connaissance ou d'une visibilité suffisantes sur les cadres opérationnels, de procédure et de documentation pertinents mis en place au sein de l'OMI et de l'OACI, tandis que les autorités sectorielles ne sont pas toujours pleinement conscientes des incidences réglementaires du Règlement des radiocommunications et des textes connexes de l'UIT-R en matière de gestion du spectre et de radiocommunications. Cette lacune de connaissances intersectorielles peut conduire à une incertitude évitable dans l'élaboration et l'application des processus d'autorisation nationaux.</w:t>
      </w:r>
    </w:p>
    <w:p w14:paraId="34C8EDDE" w14:textId="77777777" w:rsidR="004047DE" w:rsidRDefault="004047DE" w:rsidP="004047DE">
      <w:r>
        <w:t>Troisièmement, les administrations peuvent rencontrer des difficultés lorsqu'il s'agit de déterminer, pour une station, un système, une installation, un service ou un cas d'utilisation donnés, quels instruments internationaux sont applicables, quelle autorité il convient de consulter et comment traiter concrètement les interfaces entre la réglementation des télécommunications et les exigences du secteur maritime ou de l'aviation.</w:t>
      </w:r>
    </w:p>
    <w:p w14:paraId="1B5A25E2" w14:textId="77777777" w:rsidR="004047DE" w:rsidRDefault="004047DE" w:rsidP="004047DE">
      <w:r>
        <w:t>Quatrièmement, même lorsqu'une autorisation nationale est techniquement conforme aux dispositions du Règlement des radiocommunications relatives au spectre, elle peut ne pas refléter pleinement les cadres opérationnels maritimes ou aéronautiques correspondants, ce qui peut se traduire par des conditions d'autorisation incomplètes, des pratiques nationales incohérentes, des difficultés de mise en œuvre évitables pour les opérateurs et les fabricants, ou encore des occasions manquées de prévenir les brouillages préjudiciables et de faciliter une coordination efficace.</w:t>
      </w:r>
    </w:p>
    <w:p w14:paraId="6C6C0679" w14:textId="77777777" w:rsidR="004047DE" w:rsidRDefault="004047DE" w:rsidP="004047DE">
      <w:r>
        <w:lastRenderedPageBreak/>
        <w:t>Cinquièmement, le défi dépasse le cadre des communications maritimes et aéronautiques à proprement parler, pour s'étendre aux utilisations auxiliaires, notamment les applications de radionavigation, de radiorepérage, de surveillance et de météorologie, pour lesquelles les administrations devront peut-être examiner un ensemble plus large de prescriptions et de pratiques interdépendantes.</w:t>
      </w:r>
    </w:p>
    <w:p w14:paraId="074132B7" w14:textId="77777777" w:rsidR="004047DE" w:rsidRDefault="004047DE" w:rsidP="004047DE">
      <w:r>
        <w:t>Sixièmement, s'il existe déjà des documents utiles dans les trois organisations, notamment des manuels et des guides particuliers aux secteurs, il n'existe toujours pas d'outil pratique, faisant l'objet de références croisées, destiné spécifiquement à aider les autorités nationales de régulation des télécommunications à comprendre les liens entre les cadres pertinents de l'UIT, de l'OMI et de l'OACI dans la pratique nationale en matière d'autorisation, ce qui demeure une lacune sur le plan de la mise en œuvre pour les administrations.</w:t>
      </w:r>
    </w:p>
    <w:p w14:paraId="6B43598A" w14:textId="7918980D" w:rsidR="004047DE" w:rsidRDefault="004047DE" w:rsidP="004047DE">
      <w:pPr>
        <w:pStyle w:val="Heading1"/>
      </w:pPr>
      <w:r>
        <w:t>3</w:t>
      </w:r>
      <w:r>
        <w:tab/>
      </w:r>
      <w:r>
        <w:t>Proposition</w:t>
      </w:r>
    </w:p>
    <w:p w14:paraId="11CEF2C7" w14:textId="77777777" w:rsidR="004047DE" w:rsidRDefault="004047DE" w:rsidP="004047DE">
      <w:r>
        <w:t>Rappelant le numéro 160F (PP-98) de l'article 11A de la Convention de l'UIT, qui souligne le rôle du GCR pour faciliter la coopération entre les organisations internationales compétentes, et compte tenu des discussions tenues au sein du GCR et du Groupe de travail 5B, l'Arabie saoudite fait observer qu'il est important de garantir l'application cohérente des cadres réglementaires et opérationnels qui favorisent l'exploitation sûre et efficace des systèmes de radiocommunication maritimes et aéronautiques.</w:t>
      </w:r>
    </w:p>
    <w:p w14:paraId="4B4488A5" w14:textId="77777777" w:rsidR="004047DE" w:rsidRDefault="004047DE" w:rsidP="004047DE">
      <w:r>
        <w:t>Reconnaissant que les administrations puissent se heurter à des difficultés pratiques dans l'application des instruments et des documents pertinents élaborés par l'UIT, l'OMI et l'OACI, l'Arabie saoudite estime qu'une approche concrète et coordonnée pourrait aider les autorités nationales de régulation des télécommunications à mieux maîtriser ces cadres.</w:t>
      </w:r>
    </w:p>
    <w:p w14:paraId="1F3AFF4E" w14:textId="77777777" w:rsidR="004047DE" w:rsidRDefault="004047DE" w:rsidP="004047DE">
      <w:r>
        <w:t>Dans ce contexte, l'Arabie saoudite propose que le GCR conseille au Directeur du BR d'assurer la liaison avec l'OMI et l'OACI, en utilisant les mécanismes de coopération existants, le cas échéant, afin de recenser des mesures pratiques susceptibles d'aider les administrations à mettre en œuvre de manière cohérente les cadres pertinents de l'UIT, de l'OMI et de l'OACI relatifs aux systèmes de radiocommunication maritimes, aéronautiques et aux systèmes auxiliaires, y compris les applications de radionavigation, de radiorepérage, de surveillance et de météorologie.</w:t>
      </w:r>
    </w:p>
    <w:p w14:paraId="35611340" w14:textId="77777777" w:rsidR="004047DE" w:rsidRDefault="004047DE" w:rsidP="004047DE">
      <w:r>
        <w:t>Ces travaux, entrepris par le BR sous la direction du GCR et en consultation avec les commissions d'études compétentes de l'UIT-R, pourraient notamment consister à recenser les principaux défis liés à la mise en œuvre rencontrés par les administrations et à étudier les formes d'assistance envisageables. Il peut s'agir, selon le cas, des éléments suivants:</w:t>
      </w:r>
    </w:p>
    <w:p w14:paraId="682C55C4" w14:textId="4B1A62F7" w:rsidR="004047DE" w:rsidRDefault="004047DE" w:rsidP="004047DE">
      <w:pPr>
        <w:pStyle w:val="enumlev1"/>
      </w:pPr>
      <w:r>
        <w:t>–</w:t>
      </w:r>
      <w:r>
        <w:tab/>
        <w:t>Mise en correspondance des instruments et matériels pertinents de l'UIT, de l'OMI et de l'OACI à des fins de référence.</w:t>
      </w:r>
    </w:p>
    <w:p w14:paraId="07E3200A" w14:textId="0C0EABA9" w:rsidR="004047DE" w:rsidRDefault="004047DE" w:rsidP="004047DE">
      <w:pPr>
        <w:pStyle w:val="enumlev1"/>
      </w:pPr>
      <w:r>
        <w:t>–</w:t>
      </w:r>
      <w:r>
        <w:tab/>
        <w:t>Informations pratiques sur les rôles et les interfaces entre les régulateurs des télécommunications et les autorités maritimes et aéronautiques.</w:t>
      </w:r>
    </w:p>
    <w:p w14:paraId="2F50DF53" w14:textId="08BFC600" w:rsidR="004047DE" w:rsidRDefault="004047DE" w:rsidP="004047DE">
      <w:pPr>
        <w:pStyle w:val="enumlev1"/>
      </w:pPr>
      <w:r>
        <w:t>–</w:t>
      </w:r>
      <w:r>
        <w:tab/>
        <w:t>Élaboration de ressources d'orientation, de listes de contrôle ou d'activités de renforcement des capacités.</w:t>
      </w:r>
    </w:p>
    <w:p w14:paraId="4C9435C3" w14:textId="1C83D645" w:rsidR="004047DE" w:rsidRDefault="004047DE" w:rsidP="004047DE">
      <w:pPr>
        <w:pStyle w:val="enumlev1"/>
      </w:pPr>
      <w:r>
        <w:t>–</w:t>
      </w:r>
      <w:r>
        <w:tab/>
        <w:t>Création d'un portail d'information sur le web, géré par le BR, rassemblant les documents de référence pertinents et les ressources pratiques de mise en œuvre.</w:t>
      </w:r>
    </w:p>
    <w:p w14:paraId="6CDF6609" w14:textId="77777777" w:rsidR="004047DE" w:rsidRDefault="004047DE" w:rsidP="004047DE">
      <w:r>
        <w:t>Cette approche permettrait de conserver une certaine souplesse quant à la forme que prendraient les produits qui pourraient être élaborés, d'éviter de préjuger de la nécessité d'un produit précis tel qu'un manuel, et permettrait au BR de tenir compte des préoccupations exprimées précédemment concernant la portée, les modalités, les doubles emplois et la charge de travail.</w:t>
      </w:r>
    </w:p>
    <w:p w14:paraId="515A4C32" w14:textId="77777777" w:rsidR="004047DE" w:rsidRDefault="004047DE" w:rsidP="004047DE">
      <w:pPr>
        <w:keepNext/>
        <w:keepLines/>
      </w:pPr>
      <w:r>
        <w:lastRenderedPageBreak/>
        <w:t>En conséquence, l'Arabie saoudite propose que le GCR:</w:t>
      </w:r>
    </w:p>
    <w:p w14:paraId="102A0DC8" w14:textId="77777777" w:rsidR="004047DE" w:rsidRDefault="004047DE" w:rsidP="004047DE">
      <w:pPr>
        <w:pStyle w:val="enumlev1"/>
      </w:pPr>
      <w:r>
        <w:t>1)</w:t>
      </w:r>
      <w:r>
        <w:tab/>
        <w:t>recommande au Directeur du BR d'assurer la liaison avec l'OMI et l'OACI, en mettant à profit les mécanismes de coopération existants, le cas échéant, afin de déterminer des mesures pratiques susceptibles d'aider les autorités nationales de régulation des télécommunications à appliquer de manière cohérente les cadres pertinents de l'UIT, de l'OMI et de l'OACI;</w:t>
      </w:r>
    </w:p>
    <w:p w14:paraId="385F6F8C" w14:textId="77777777" w:rsidR="004047DE" w:rsidRDefault="004047DE" w:rsidP="004047DE">
      <w:pPr>
        <w:pStyle w:val="enumlev1"/>
      </w:pPr>
      <w:r>
        <w:t>2)</w:t>
      </w:r>
      <w:r>
        <w:tab/>
        <w:t>invite le Directeur du BR, en consultation avec les commissions d'études compétentes de l'UIT-R, à recenser les principaux problèmes de mise en œuvre rencontrés par les administrations et les formes d'assistance possibles pour les résoudre;</w:t>
      </w:r>
    </w:p>
    <w:p w14:paraId="4047290C" w14:textId="77777777" w:rsidR="004047DE" w:rsidRDefault="004047DE" w:rsidP="004047DE">
      <w:pPr>
        <w:pStyle w:val="enumlev1"/>
      </w:pPr>
      <w:r>
        <w:t>3)</w:t>
      </w:r>
      <w:r>
        <w:tab/>
        <w:t>invite le Directeur du BR à rendre compte, lors de la prochaine réunion du GCR, des résultats de ces échanges et consultations, y compris des outils d'assistance envisageables et des mesures recommandées pour la suite, le cas échéant.</w:t>
      </w:r>
    </w:p>
    <w:p w14:paraId="5F7443CD" w14:textId="34825173" w:rsidR="009D7B58" w:rsidRDefault="004047DE" w:rsidP="004047DE">
      <w:pPr>
        <w:jc w:val="center"/>
      </w:pPr>
      <w:r>
        <w:t>______________</w:t>
      </w:r>
    </w:p>
    <w:sectPr w:rsidR="009D7B58" w:rsidSect="004047DE">
      <w:headerReference w:type="even" r:id="rId13"/>
      <w:headerReference w:type="default" r:id="rId14"/>
      <w:footerReference w:type="even" r:id="rId15"/>
      <w:pgSz w:w="11907" w:h="16834"/>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C6561" w14:textId="77777777" w:rsidR="001D4A4F" w:rsidRDefault="001D4A4F">
      <w:r>
        <w:separator/>
      </w:r>
    </w:p>
  </w:endnote>
  <w:endnote w:type="continuationSeparator" w:id="0">
    <w:p w14:paraId="0ABD88EE" w14:textId="77777777" w:rsidR="001D4A4F" w:rsidRDefault="001D4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B043D" w14:textId="5ADB8D0B" w:rsidR="00847AAC" w:rsidRDefault="00A9055C">
    <w:pPr>
      <w:pStyle w:val="Footer"/>
      <w:rPr>
        <w:lang w:val="en-US"/>
      </w:rPr>
    </w:pPr>
    <w:r>
      <w:fldChar w:fldCharType="begin"/>
    </w:r>
    <w:r w:rsidRPr="00A9055C">
      <w:rPr>
        <w:lang w:val="en-US"/>
      </w:rPr>
      <w:instrText xml:space="preserve"> FILENAME \p \* MERGEFORMAT </w:instrText>
    </w:r>
    <w:r>
      <w:fldChar w:fldCharType="separate"/>
    </w:r>
    <w:r w:rsidR="002E10B9">
      <w:rPr>
        <w:lang w:val="en-US"/>
      </w:rPr>
      <w:t>P:\FRA\gDoc\BR\RAG\2600400F.docx</w:t>
    </w:r>
    <w:r>
      <w:rPr>
        <w:lang w:val="en-US"/>
      </w:rPr>
      <w:fldChar w:fldCharType="end"/>
    </w:r>
    <w:r w:rsidR="00847AAC">
      <w:rPr>
        <w:lang w:val="en-US"/>
      </w:rPr>
      <w:tab/>
    </w:r>
    <w:r w:rsidR="00847AAC">
      <w:fldChar w:fldCharType="begin"/>
    </w:r>
    <w:r w:rsidR="00847AAC">
      <w:instrText xml:space="preserve"> savedate \@ dd.MM.yy </w:instrText>
    </w:r>
    <w:r w:rsidR="00847AAC">
      <w:fldChar w:fldCharType="separate"/>
    </w:r>
    <w:r w:rsidR="00703B86">
      <w:t>13.03.26</w:t>
    </w:r>
    <w:r w:rsidR="00847AAC">
      <w:fldChar w:fldCharType="end"/>
    </w:r>
    <w:r w:rsidR="00847AAC">
      <w:rPr>
        <w:lang w:val="en-US"/>
      </w:rPr>
      <w:tab/>
    </w:r>
    <w:r w:rsidR="00847AAC">
      <w:fldChar w:fldCharType="begin"/>
    </w:r>
    <w:r w:rsidR="00847AAC">
      <w:instrText xml:space="preserve"> printdate \@ dd.MM.yy </w:instrText>
    </w:r>
    <w:r w:rsidR="00847AAC">
      <w:fldChar w:fldCharType="separate"/>
    </w:r>
    <w:r w:rsidR="002E10B9">
      <w:t>11.10.99</w:t>
    </w:r>
    <w:r w:rsidR="00847AA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1EFEE" w14:textId="77777777" w:rsidR="001D4A4F" w:rsidRDefault="001D4A4F">
      <w:r>
        <w:t>____________________</w:t>
      </w:r>
    </w:p>
  </w:footnote>
  <w:footnote w:type="continuationSeparator" w:id="0">
    <w:p w14:paraId="4748C3E4" w14:textId="77777777" w:rsidR="001D4A4F" w:rsidRDefault="001D4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54E7A" w14:textId="77777777" w:rsidR="00847AAC" w:rsidRDefault="00847AAC">
    <w:pPr>
      <w:pStyle w:val="Header"/>
    </w:pPr>
    <w:r>
      <w:rPr>
        <w:lang w:val="es-ES"/>
      </w:rPr>
      <w:t xml:space="preserve">- </w:t>
    </w:r>
    <w:r w:rsidR="00A9055C">
      <w:fldChar w:fldCharType="begin"/>
    </w:r>
    <w:r w:rsidR="00A9055C">
      <w:instrText xml:space="preserve"> PAGE </w:instrText>
    </w:r>
    <w:r w:rsidR="00A9055C">
      <w:fldChar w:fldCharType="separate"/>
    </w:r>
    <w:r>
      <w:rPr>
        <w:noProof/>
      </w:rPr>
      <w:t>2</w:t>
    </w:r>
    <w:r w:rsidR="00A9055C">
      <w:rPr>
        <w:noProof/>
      </w:rPr>
      <w:fldChar w:fldCharType="end"/>
    </w:r>
    <w:r>
      <w:rPr>
        <w:lang w:val="es-E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22B34" w14:textId="77777777" w:rsidR="00847AAC" w:rsidRDefault="00A9055C" w:rsidP="00925627">
    <w:pPr>
      <w:pStyle w:val="Header"/>
      <w:rPr>
        <w:lang w:val="es-ES"/>
      </w:rPr>
    </w:pPr>
    <w:r>
      <w:fldChar w:fldCharType="begin"/>
    </w:r>
    <w:r>
      <w:instrText xml:space="preserve"> PAGE </w:instrText>
    </w:r>
    <w:r>
      <w:fldChar w:fldCharType="separate"/>
    </w:r>
    <w:r w:rsidR="007711EA">
      <w:rPr>
        <w:noProof/>
      </w:rPr>
      <w:t>2</w:t>
    </w:r>
    <w:r>
      <w:rPr>
        <w:noProof/>
      </w:rPr>
      <w:fldChar w:fldCharType="end"/>
    </w:r>
  </w:p>
  <w:p w14:paraId="5740600D" w14:textId="5AB941E5" w:rsidR="00847AAC" w:rsidRDefault="0097156E" w:rsidP="0094697C">
    <w:pPr>
      <w:pStyle w:val="Header"/>
      <w:spacing w:after="80"/>
      <w:rPr>
        <w:lang w:val="es-ES"/>
      </w:rPr>
    </w:pPr>
    <w:r>
      <w:rPr>
        <w:lang w:val="es-ES"/>
      </w:rPr>
      <w:t>RAG</w:t>
    </w:r>
    <w:r w:rsidR="00847AAC">
      <w:rPr>
        <w:lang w:val="es-ES"/>
      </w:rPr>
      <w:t>/</w:t>
    </w:r>
    <w:r w:rsidR="002B3912">
      <w:rPr>
        <w:lang w:val="es-ES"/>
      </w:rPr>
      <w:t>7</w:t>
    </w:r>
    <w:r w:rsidR="00811FED">
      <w:rPr>
        <w:lang w:val="es-ES"/>
      </w:rPr>
      <w:t>0</w:t>
    </w:r>
    <w:r w:rsidR="00AF2EDC">
      <w:rPr>
        <w:lang w:val="es-ES"/>
      </w:rPr>
      <w:t>-</w:t>
    </w:r>
    <w:r w:rsidR="00847AAC">
      <w:rPr>
        <w:lang w:val="es-ES"/>
      </w:rPr>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4683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004E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2043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47231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CA82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D6ED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163A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3052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9C429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84670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F8635D0"/>
    <w:multiLevelType w:val="hybridMultilevel"/>
    <w:tmpl w:val="4FD61AF8"/>
    <w:lvl w:ilvl="0" w:tplc="7490220A">
      <w:start w:val="2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BB017D"/>
    <w:multiLevelType w:val="hybridMultilevel"/>
    <w:tmpl w:val="1A9642E4"/>
    <w:lvl w:ilvl="0" w:tplc="40067D36">
      <w:start w:val="29"/>
      <w:numFmt w:val="bullet"/>
      <w:lvlText w:val="–"/>
      <w:lvlJc w:val="left"/>
      <w:pPr>
        <w:ind w:left="720" w:hanging="360"/>
      </w:pPr>
      <w:rPr>
        <w:rFonts w:ascii="Times New Roman" w:eastAsia="Times New Roma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1023888">
    <w:abstractNumId w:val="10"/>
  </w:num>
  <w:num w:numId="2" w16cid:durableId="963199471">
    <w:abstractNumId w:val="11"/>
  </w:num>
  <w:num w:numId="3" w16cid:durableId="1703432419">
    <w:abstractNumId w:val="9"/>
  </w:num>
  <w:num w:numId="4" w16cid:durableId="71974485">
    <w:abstractNumId w:val="7"/>
  </w:num>
  <w:num w:numId="5" w16cid:durableId="311954440">
    <w:abstractNumId w:val="6"/>
  </w:num>
  <w:num w:numId="6" w16cid:durableId="47265524">
    <w:abstractNumId w:val="5"/>
  </w:num>
  <w:num w:numId="7" w16cid:durableId="738637">
    <w:abstractNumId w:val="4"/>
  </w:num>
  <w:num w:numId="8" w16cid:durableId="486408770">
    <w:abstractNumId w:val="8"/>
  </w:num>
  <w:num w:numId="9" w16cid:durableId="1208182850">
    <w:abstractNumId w:val="3"/>
  </w:num>
  <w:num w:numId="10" w16cid:durableId="504438562">
    <w:abstractNumId w:val="2"/>
  </w:num>
  <w:num w:numId="11" w16cid:durableId="940837494">
    <w:abstractNumId w:val="1"/>
  </w:num>
  <w:num w:numId="12" w16cid:durableId="587806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A4F"/>
    <w:rsid w:val="000329FA"/>
    <w:rsid w:val="00074710"/>
    <w:rsid w:val="000A759D"/>
    <w:rsid w:val="000C06D8"/>
    <w:rsid w:val="00112F91"/>
    <w:rsid w:val="00124F76"/>
    <w:rsid w:val="00140AE6"/>
    <w:rsid w:val="00145E61"/>
    <w:rsid w:val="001473B4"/>
    <w:rsid w:val="00153ABD"/>
    <w:rsid w:val="001B12A3"/>
    <w:rsid w:val="001D4A4F"/>
    <w:rsid w:val="001E1954"/>
    <w:rsid w:val="002110BD"/>
    <w:rsid w:val="002141E7"/>
    <w:rsid w:val="00222A1C"/>
    <w:rsid w:val="00244E67"/>
    <w:rsid w:val="00253EF1"/>
    <w:rsid w:val="00254B33"/>
    <w:rsid w:val="002571E0"/>
    <w:rsid w:val="002A19F4"/>
    <w:rsid w:val="002A3ED8"/>
    <w:rsid w:val="002B3912"/>
    <w:rsid w:val="002D238A"/>
    <w:rsid w:val="002E10B9"/>
    <w:rsid w:val="003052DE"/>
    <w:rsid w:val="00313D36"/>
    <w:rsid w:val="00370527"/>
    <w:rsid w:val="003A317F"/>
    <w:rsid w:val="003A6CEE"/>
    <w:rsid w:val="003D6645"/>
    <w:rsid w:val="004047DE"/>
    <w:rsid w:val="00405C6C"/>
    <w:rsid w:val="00405FBE"/>
    <w:rsid w:val="00443261"/>
    <w:rsid w:val="00467EF6"/>
    <w:rsid w:val="004C119E"/>
    <w:rsid w:val="004C6414"/>
    <w:rsid w:val="004E1CCF"/>
    <w:rsid w:val="004E76DF"/>
    <w:rsid w:val="005031C8"/>
    <w:rsid w:val="005207F5"/>
    <w:rsid w:val="005430E4"/>
    <w:rsid w:val="00552B75"/>
    <w:rsid w:val="0059416C"/>
    <w:rsid w:val="005F017A"/>
    <w:rsid w:val="00614AB8"/>
    <w:rsid w:val="00657047"/>
    <w:rsid w:val="0067019B"/>
    <w:rsid w:val="00677EE5"/>
    <w:rsid w:val="00694DEF"/>
    <w:rsid w:val="006F02C5"/>
    <w:rsid w:val="00703B86"/>
    <w:rsid w:val="007333D2"/>
    <w:rsid w:val="00757976"/>
    <w:rsid w:val="007711EA"/>
    <w:rsid w:val="00773E5E"/>
    <w:rsid w:val="008069E9"/>
    <w:rsid w:val="00811FED"/>
    <w:rsid w:val="00815042"/>
    <w:rsid w:val="00832C78"/>
    <w:rsid w:val="00835250"/>
    <w:rsid w:val="00840E94"/>
    <w:rsid w:val="00847AAC"/>
    <w:rsid w:val="00881441"/>
    <w:rsid w:val="00883E20"/>
    <w:rsid w:val="00884510"/>
    <w:rsid w:val="00886571"/>
    <w:rsid w:val="00896E20"/>
    <w:rsid w:val="008D4C2F"/>
    <w:rsid w:val="009015C8"/>
    <w:rsid w:val="00902253"/>
    <w:rsid w:val="00906EA4"/>
    <w:rsid w:val="00925627"/>
    <w:rsid w:val="0093101F"/>
    <w:rsid w:val="0094697C"/>
    <w:rsid w:val="0097156E"/>
    <w:rsid w:val="009B3082"/>
    <w:rsid w:val="009D7B58"/>
    <w:rsid w:val="009E554B"/>
    <w:rsid w:val="009F126D"/>
    <w:rsid w:val="00A24361"/>
    <w:rsid w:val="00A24F73"/>
    <w:rsid w:val="00A9055C"/>
    <w:rsid w:val="00AB2104"/>
    <w:rsid w:val="00AB7F92"/>
    <w:rsid w:val="00AC1BC7"/>
    <w:rsid w:val="00AC35BE"/>
    <w:rsid w:val="00AC39EE"/>
    <w:rsid w:val="00AD0DF7"/>
    <w:rsid w:val="00AF2EDC"/>
    <w:rsid w:val="00B41D84"/>
    <w:rsid w:val="00B55EE2"/>
    <w:rsid w:val="00B75884"/>
    <w:rsid w:val="00BA0C7B"/>
    <w:rsid w:val="00BC4591"/>
    <w:rsid w:val="00BD0AC4"/>
    <w:rsid w:val="00BD0AEB"/>
    <w:rsid w:val="00BD274A"/>
    <w:rsid w:val="00C340D0"/>
    <w:rsid w:val="00C72A86"/>
    <w:rsid w:val="00CB69AE"/>
    <w:rsid w:val="00CC2202"/>
    <w:rsid w:val="00CC595F"/>
    <w:rsid w:val="00CC5B9E"/>
    <w:rsid w:val="00CC7208"/>
    <w:rsid w:val="00CE6184"/>
    <w:rsid w:val="00D228F7"/>
    <w:rsid w:val="00D31BD5"/>
    <w:rsid w:val="00D34E1C"/>
    <w:rsid w:val="00D50F8E"/>
    <w:rsid w:val="00D95965"/>
    <w:rsid w:val="00DB7A08"/>
    <w:rsid w:val="00DD271F"/>
    <w:rsid w:val="00DD55EB"/>
    <w:rsid w:val="00E001A1"/>
    <w:rsid w:val="00E2659D"/>
    <w:rsid w:val="00E31290"/>
    <w:rsid w:val="00E36C38"/>
    <w:rsid w:val="00E474F4"/>
    <w:rsid w:val="00E6242C"/>
    <w:rsid w:val="00EA6972"/>
    <w:rsid w:val="00EC0F12"/>
    <w:rsid w:val="00ED59FA"/>
    <w:rsid w:val="00F1742D"/>
    <w:rsid w:val="00F33DC7"/>
    <w:rsid w:val="00F707C2"/>
    <w:rsid w:val="00F775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3E0D6F"/>
  <w15:docId w15:val="{DF8CA68F-9C49-404B-A760-4A88FD1FE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link w:val="Heading1Char"/>
    <w:qFormat/>
    <w:pPr>
      <w:keepNext/>
      <w:keepLines/>
      <w:spacing w:before="360"/>
      <w:ind w:left="794" w:hanging="794"/>
      <w:outlineLvl w:val="0"/>
    </w:pPr>
    <w:rPr>
      <w:b/>
    </w:rPr>
  </w:style>
  <w:style w:type="paragraph" w:styleId="Heading2">
    <w:name w:val="heading 2"/>
    <w:basedOn w:val="Heading1"/>
    <w:next w:val="Normal"/>
    <w:link w:val="Heading2Char"/>
    <w:qFormat/>
    <w:pPr>
      <w:spacing w:before="240"/>
      <w:outlineLvl w:val="1"/>
    </w:pPr>
  </w:style>
  <w:style w:type="paragraph" w:styleId="Heading3">
    <w:name w:val="heading 3"/>
    <w:basedOn w:val="Heading1"/>
    <w:next w:val="Normal"/>
    <w:link w:val="Heading3Char"/>
    <w:qFormat/>
    <w:pPr>
      <w:spacing w:before="160"/>
      <w:outlineLvl w:val="2"/>
    </w:pPr>
  </w:style>
  <w:style w:type="paragraph" w:styleId="Heading4">
    <w:name w:val="heading 4"/>
    <w:basedOn w:val="Heading3"/>
    <w:next w:val="Normal"/>
    <w:link w:val="Heading4Char"/>
    <w:qFormat/>
    <w:pPr>
      <w:tabs>
        <w:tab w:val="clear" w:pos="794"/>
        <w:tab w:val="left" w:pos="1021"/>
      </w:tabs>
      <w:ind w:left="1021" w:hanging="1021"/>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tabs>
        <w:tab w:val="clear" w:pos="1021"/>
        <w:tab w:val="clear" w:pos="1191"/>
      </w:tabs>
      <w:ind w:left="1588" w:hanging="1588"/>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pPr>
      <w:keepLines/>
      <w:spacing w:before="240" w:after="120"/>
      <w:jc w:val="center"/>
    </w:pPr>
    <w:rPr>
      <w:b/>
    </w:rPr>
  </w:style>
  <w:style w:type="paragraph" w:customStyle="1" w:styleId="Normalaftertitle">
    <w:name w:val="Normal_after_title"/>
    <w:basedOn w:val="Normal"/>
    <w:next w:val="Normal"/>
    <w:pPr>
      <w:spacing w:before="360"/>
    </w:pPr>
  </w:style>
  <w:style w:type="paragraph" w:customStyle="1" w:styleId="TabletitleBR">
    <w:name w:val="Table_title_BR"/>
    <w:basedOn w:val="Normal"/>
    <w:next w:val="Tablehead"/>
    <w:pPr>
      <w:keepNext/>
      <w:keepLines/>
      <w:spacing w:before="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semiHidden/>
    <w:rPr>
      <w:position w:val="6"/>
      <w:sz w:val="18"/>
    </w:rPr>
  </w:style>
  <w:style w:type="paragraph" w:styleId="FootnoteText">
    <w:name w:val="footnote text"/>
    <w:basedOn w:val="Note"/>
    <w:link w:val="FootnoteTextChar"/>
    <w:semiHidden/>
    <w:pPr>
      <w:keepLines/>
      <w:tabs>
        <w:tab w:val="left" w:pos="255"/>
      </w:tabs>
      <w:ind w:left="255" w:hanging="255"/>
    </w:pPr>
  </w:style>
  <w:style w:type="paragraph" w:customStyle="1" w:styleId="Note">
    <w:name w:val="Note"/>
    <w:basedOn w:val="Normal"/>
    <w:pPr>
      <w:spacing w:before="80"/>
    </w:pPr>
  </w:style>
  <w:style w:type="paragraph" w:styleId="Header">
    <w:name w:val="header"/>
    <w:basedOn w:val="Normal"/>
    <w:link w:val="HeaderChar"/>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paragraph" w:customStyle="1" w:styleId="Reasons">
    <w:name w:val="Reasons"/>
    <w:basedOn w:val="Normal"/>
    <w:qFormat/>
    <w:rsid w:val="00B55EE2"/>
    <w:pPr>
      <w:tabs>
        <w:tab w:val="clear" w:pos="794"/>
        <w:tab w:val="clear" w:pos="1191"/>
        <w:tab w:val="clear" w:pos="1588"/>
        <w:tab w:val="clear" w:pos="1985"/>
      </w:tabs>
      <w:overflowPunct/>
      <w:autoSpaceDE/>
      <w:autoSpaceDN/>
      <w:adjustRightInd/>
      <w:spacing w:before="0"/>
      <w:textAlignment w:val="auto"/>
    </w:pPr>
    <w:rPr>
      <w:lang w:val="en-US"/>
    </w:rPr>
  </w:style>
  <w:style w:type="character" w:styleId="CommentReference">
    <w:name w:val="annotation reference"/>
    <w:basedOn w:val="DefaultParagraphFont"/>
    <w:semiHidden/>
    <w:unhideWhenUsed/>
    <w:rsid w:val="00B55EE2"/>
    <w:rPr>
      <w:sz w:val="16"/>
      <w:szCs w:val="16"/>
    </w:rPr>
  </w:style>
  <w:style w:type="paragraph" w:styleId="CommentText">
    <w:name w:val="annotation text"/>
    <w:basedOn w:val="Normal"/>
    <w:link w:val="CommentTextChar"/>
    <w:unhideWhenUsed/>
    <w:rsid w:val="00B55EE2"/>
    <w:rPr>
      <w:sz w:val="20"/>
    </w:rPr>
  </w:style>
  <w:style w:type="character" w:customStyle="1" w:styleId="CommentTextChar">
    <w:name w:val="Comment Text Char"/>
    <w:basedOn w:val="DefaultParagraphFont"/>
    <w:link w:val="CommentText"/>
    <w:rsid w:val="00B55EE2"/>
    <w:rPr>
      <w:rFonts w:ascii="Times New Roman" w:hAnsi="Times New Roman"/>
      <w:lang w:val="fr-FR" w:eastAsia="en-US"/>
    </w:rPr>
  </w:style>
  <w:style w:type="paragraph" w:styleId="CommentSubject">
    <w:name w:val="annotation subject"/>
    <w:basedOn w:val="CommentText"/>
    <w:next w:val="CommentText"/>
    <w:link w:val="CommentSubjectChar"/>
    <w:semiHidden/>
    <w:unhideWhenUsed/>
    <w:rsid w:val="00B55EE2"/>
    <w:rPr>
      <w:b/>
      <w:bCs/>
    </w:rPr>
  </w:style>
  <w:style w:type="character" w:customStyle="1" w:styleId="CommentSubjectChar">
    <w:name w:val="Comment Subject Char"/>
    <w:basedOn w:val="CommentTextChar"/>
    <w:link w:val="CommentSubject"/>
    <w:semiHidden/>
    <w:rsid w:val="00B55EE2"/>
    <w:rPr>
      <w:rFonts w:ascii="Times New Roman" w:hAnsi="Times New Roman"/>
      <w:b/>
      <w:bCs/>
      <w:lang w:val="fr-FR" w:eastAsia="en-US"/>
    </w:rPr>
  </w:style>
  <w:style w:type="paragraph" w:styleId="ListParagraph">
    <w:name w:val="List Paragraph"/>
    <w:basedOn w:val="Normal"/>
    <w:uiPriority w:val="34"/>
    <w:qFormat/>
    <w:rsid w:val="00B55EE2"/>
    <w:pPr>
      <w:ind w:left="720"/>
      <w:contextualSpacing/>
    </w:pPr>
  </w:style>
  <w:style w:type="paragraph" w:styleId="Revision">
    <w:name w:val="Revision"/>
    <w:hidden/>
    <w:uiPriority w:val="99"/>
    <w:semiHidden/>
    <w:rsid w:val="00B55EE2"/>
    <w:rPr>
      <w:rFonts w:ascii="Times New Roman" w:hAnsi="Times New Roman"/>
      <w:sz w:val="24"/>
      <w:lang w:val="fr-FR" w:eastAsia="en-US"/>
    </w:rPr>
  </w:style>
  <w:style w:type="paragraph" w:customStyle="1" w:styleId="Table">
    <w:name w:val="Table"/>
    <w:basedOn w:val="Normal"/>
    <w:rsid w:val="00B55EE2"/>
    <w:pPr>
      <w:spacing w:before="0"/>
      <w:jc w:val="center"/>
    </w:pPr>
    <w:rPr>
      <w:b/>
      <w:bCs/>
      <w:color w:val="FFFFFF"/>
      <w:sz w:val="22"/>
      <w:szCs w:val="22"/>
    </w:rPr>
  </w:style>
  <w:style w:type="paragraph" w:customStyle="1" w:styleId="Talehead">
    <w:name w:val="Tale_head"/>
    <w:basedOn w:val="Normal"/>
    <w:rsid w:val="00B55EE2"/>
    <w:pPr>
      <w:spacing w:before="0"/>
      <w:jc w:val="center"/>
    </w:pPr>
    <w:rPr>
      <w:b/>
      <w:bCs/>
      <w:color w:val="FFFFFF"/>
      <w:sz w:val="22"/>
      <w:szCs w:val="22"/>
    </w:rPr>
  </w:style>
  <w:style w:type="character" w:customStyle="1" w:styleId="Heading1Char">
    <w:name w:val="Heading 1 Char"/>
    <w:basedOn w:val="DefaultParagraphFont"/>
    <w:link w:val="Heading1"/>
    <w:rsid w:val="00B55EE2"/>
    <w:rPr>
      <w:rFonts w:ascii="Times New Roman" w:hAnsi="Times New Roman"/>
      <w:b/>
      <w:sz w:val="24"/>
      <w:lang w:val="fr-FR" w:eastAsia="en-US"/>
    </w:rPr>
  </w:style>
  <w:style w:type="character" w:customStyle="1" w:styleId="Heading2Char">
    <w:name w:val="Heading 2 Char"/>
    <w:basedOn w:val="DefaultParagraphFont"/>
    <w:link w:val="Heading2"/>
    <w:rsid w:val="00B55EE2"/>
    <w:rPr>
      <w:rFonts w:ascii="Times New Roman" w:hAnsi="Times New Roman"/>
      <w:b/>
      <w:sz w:val="24"/>
      <w:lang w:val="fr-FR" w:eastAsia="en-US"/>
    </w:rPr>
  </w:style>
  <w:style w:type="character" w:customStyle="1" w:styleId="Heading3Char">
    <w:name w:val="Heading 3 Char"/>
    <w:basedOn w:val="DefaultParagraphFont"/>
    <w:link w:val="Heading3"/>
    <w:rsid w:val="00B55EE2"/>
    <w:rPr>
      <w:rFonts w:ascii="Times New Roman" w:hAnsi="Times New Roman"/>
      <w:b/>
      <w:sz w:val="24"/>
      <w:lang w:val="fr-FR" w:eastAsia="en-US"/>
    </w:rPr>
  </w:style>
  <w:style w:type="character" w:customStyle="1" w:styleId="Heading4Char">
    <w:name w:val="Heading 4 Char"/>
    <w:basedOn w:val="DefaultParagraphFont"/>
    <w:link w:val="Heading4"/>
    <w:rsid w:val="00B55EE2"/>
    <w:rPr>
      <w:rFonts w:ascii="Times New Roman" w:hAnsi="Times New Roman"/>
      <w:b/>
      <w:sz w:val="24"/>
      <w:lang w:val="fr-FR" w:eastAsia="en-US"/>
    </w:rPr>
  </w:style>
  <w:style w:type="character" w:customStyle="1" w:styleId="Heading5Char">
    <w:name w:val="Heading 5 Char"/>
    <w:basedOn w:val="DefaultParagraphFont"/>
    <w:link w:val="Heading5"/>
    <w:rsid w:val="00B55EE2"/>
    <w:rPr>
      <w:rFonts w:ascii="Times New Roman" w:hAnsi="Times New Roman"/>
      <w:b/>
      <w:sz w:val="24"/>
      <w:lang w:val="fr-FR" w:eastAsia="en-US"/>
    </w:rPr>
  </w:style>
  <w:style w:type="character" w:customStyle="1" w:styleId="Heading6Char">
    <w:name w:val="Heading 6 Char"/>
    <w:basedOn w:val="DefaultParagraphFont"/>
    <w:link w:val="Heading6"/>
    <w:rsid w:val="00B55EE2"/>
    <w:rPr>
      <w:rFonts w:ascii="Times New Roman" w:hAnsi="Times New Roman"/>
      <w:b/>
      <w:sz w:val="24"/>
      <w:lang w:val="fr-FR" w:eastAsia="en-US"/>
    </w:rPr>
  </w:style>
  <w:style w:type="character" w:customStyle="1" w:styleId="Heading7Char">
    <w:name w:val="Heading 7 Char"/>
    <w:basedOn w:val="DefaultParagraphFont"/>
    <w:link w:val="Heading7"/>
    <w:rsid w:val="00B55EE2"/>
    <w:rPr>
      <w:rFonts w:ascii="Times New Roman" w:hAnsi="Times New Roman"/>
      <w:b/>
      <w:sz w:val="24"/>
      <w:lang w:val="fr-FR" w:eastAsia="en-US"/>
    </w:rPr>
  </w:style>
  <w:style w:type="character" w:customStyle="1" w:styleId="Heading8Char">
    <w:name w:val="Heading 8 Char"/>
    <w:basedOn w:val="DefaultParagraphFont"/>
    <w:link w:val="Heading8"/>
    <w:rsid w:val="00B55EE2"/>
    <w:rPr>
      <w:rFonts w:ascii="Times New Roman" w:hAnsi="Times New Roman"/>
      <w:b/>
      <w:sz w:val="24"/>
      <w:lang w:val="fr-FR" w:eastAsia="en-US"/>
    </w:rPr>
  </w:style>
  <w:style w:type="character" w:customStyle="1" w:styleId="Heading9Char">
    <w:name w:val="Heading 9 Char"/>
    <w:basedOn w:val="DefaultParagraphFont"/>
    <w:link w:val="Heading9"/>
    <w:rsid w:val="00B55EE2"/>
    <w:rPr>
      <w:rFonts w:ascii="Times New Roman" w:hAnsi="Times New Roman"/>
      <w:b/>
      <w:sz w:val="24"/>
      <w:lang w:val="fr-FR" w:eastAsia="en-US"/>
    </w:rPr>
  </w:style>
  <w:style w:type="character" w:customStyle="1" w:styleId="FooterChar">
    <w:name w:val="Footer Char"/>
    <w:basedOn w:val="DefaultParagraphFont"/>
    <w:link w:val="Footer"/>
    <w:rsid w:val="00B55EE2"/>
    <w:rPr>
      <w:rFonts w:ascii="Times New Roman" w:hAnsi="Times New Roman"/>
      <w:caps/>
      <w:noProof/>
      <w:sz w:val="16"/>
      <w:lang w:val="fr-FR" w:eastAsia="en-US"/>
    </w:rPr>
  </w:style>
  <w:style w:type="character" w:customStyle="1" w:styleId="FootnoteTextChar">
    <w:name w:val="Footnote Text Char"/>
    <w:basedOn w:val="DefaultParagraphFont"/>
    <w:link w:val="FootnoteText"/>
    <w:semiHidden/>
    <w:rsid w:val="00B55EE2"/>
    <w:rPr>
      <w:rFonts w:ascii="Times New Roman" w:hAnsi="Times New Roman"/>
      <w:sz w:val="24"/>
      <w:lang w:val="fr-FR" w:eastAsia="en-US"/>
    </w:rPr>
  </w:style>
  <w:style w:type="character" w:customStyle="1" w:styleId="HeaderChar">
    <w:name w:val="Header Char"/>
    <w:basedOn w:val="DefaultParagraphFont"/>
    <w:link w:val="Header"/>
    <w:rsid w:val="00B55EE2"/>
    <w:rPr>
      <w:rFonts w:ascii="Times New Roman" w:hAnsi="Times New Roman"/>
      <w:sz w:val="18"/>
      <w:lang w:val="fr-FR" w:eastAsia="en-US"/>
    </w:rPr>
  </w:style>
  <w:style w:type="paragraph" w:styleId="ListBullet">
    <w:name w:val="List Bullet"/>
    <w:basedOn w:val="Normal"/>
    <w:unhideWhenUsed/>
    <w:rsid w:val="00B55EE2"/>
    <w:pPr>
      <w:tabs>
        <w:tab w:val="num" w:pos="360"/>
      </w:tabs>
      <w:ind w:left="360" w:hanging="360"/>
      <w:contextualSpacing/>
    </w:pPr>
  </w:style>
  <w:style w:type="character" w:styleId="Hyperlink">
    <w:name w:val="Hyperlink"/>
    <w:basedOn w:val="DefaultParagraphFont"/>
    <w:unhideWhenUsed/>
    <w:rsid w:val="00B55EE2"/>
    <w:rPr>
      <w:color w:val="0000FF" w:themeColor="hyperlink"/>
      <w:u w:val="single"/>
    </w:rPr>
  </w:style>
  <w:style w:type="character" w:styleId="UnresolvedMention">
    <w:name w:val="Unresolved Mention"/>
    <w:basedOn w:val="DefaultParagraphFont"/>
    <w:uiPriority w:val="99"/>
    <w:semiHidden/>
    <w:unhideWhenUsed/>
    <w:rsid w:val="00B55EE2"/>
    <w:rPr>
      <w:color w:val="605E5C"/>
      <w:shd w:val="clear" w:color="auto" w:fill="E1DFDD"/>
    </w:rPr>
  </w:style>
  <w:style w:type="character" w:styleId="FollowedHyperlink">
    <w:name w:val="FollowedHyperlink"/>
    <w:basedOn w:val="DefaultParagraphFont"/>
    <w:semiHidden/>
    <w:unhideWhenUsed/>
    <w:rsid w:val="00B55EE2"/>
    <w:rPr>
      <w:color w:val="800080" w:themeColor="followedHyperlink"/>
      <w:u w:val="single"/>
    </w:rPr>
  </w:style>
  <w:style w:type="table" w:styleId="TableGrid">
    <w:name w:val="Table Grid"/>
    <w:basedOn w:val="TableNormal"/>
    <w:rsid w:val="00896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R23-WP5B-C-0354/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R00-CA-CIR-0277/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tu.int/md/R23-RAG-C-0014/fr" TargetMode="External"/><Relationship Id="rId4" Type="http://schemas.openxmlformats.org/officeDocument/2006/relationships/settings" Target="settings.xml"/><Relationship Id="rId9" Type="http://schemas.openxmlformats.org/officeDocument/2006/relationships/hyperlink" Target="https://www.itu.int/md/R23-RAG-C-0014/fr"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BR\PF_RA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D6C5C-34B5-4F7E-AAFB-6CFD4CAE4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PF_RAG.dotm</Template>
  <TotalTime>14</TotalTime>
  <Pages>4</Pages>
  <Words>1581</Words>
  <Characters>9676</Characters>
  <Application>Microsoft Office Word</Application>
  <DocSecurity>0</DocSecurity>
  <Lines>148</Lines>
  <Paragraphs>34</Paragraphs>
  <ScaleCrop>false</ScaleCrop>
  <HeadingPairs>
    <vt:vector size="2" baseType="variant">
      <vt:variant>
        <vt:lpstr>Title</vt:lpstr>
      </vt:variant>
      <vt:variant>
        <vt:i4>1</vt:i4>
      </vt:variant>
    </vt:vector>
  </HeadingPairs>
  <TitlesOfParts>
    <vt:vector size="1" baseType="lpstr">
      <vt:lpstr>PROJET DE PLAN OPÉRATIONNEL DE L'UIT-R POUR LA PÉRIODE 2027-2030 ET RAPPORT D'ACTIVITÉ POUR 2025</vt:lpstr>
    </vt:vector>
  </TitlesOfParts>
  <Manager>General Secretariat - Pool</Manager>
  <Company>International Telecommunication Union (ITU)</Company>
  <LinksUpToDate>false</LinksUpToDate>
  <CharactersWithSpaces>11228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AIDER LES AUTORITÉS NATIONALES DE RÉGULATION DES TÉLÉCOMMUNICATIONS À APPLIQUER DE MANIÈRE COHÉRENTE LES CADRES DE L'UIT, DE L'OMI ET DE L'OACI POUR LES SYSTÈMES DE RADIOCOMMUNICATION MARITIMES ET AÉRONAUTIQUES ET D'AUTRES SYSTÈMES DE RADIOCOMMUNICATION PERTINENTS</dc:title>
  <dc:subject>GROUPE CONSULTATIF DES RADIOCOMMUNICATIONS</dc:subject>
  <dc:creator>Arabie saoudite (Royaume d')</dc:creator>
  <cp:keywords>RAG03-1</cp:keywords>
  <dc:description>Document RAG/70-F  For: _x000d_Document date: 16 mars 2026_x000d_Saved by ITU51014351 at 11:40:45 on 17/03/2026</dc:description>
  <cp:lastModifiedBy>French</cp:lastModifiedBy>
  <cp:revision>5</cp:revision>
  <cp:lastPrinted>1999-10-11T14:58:00Z</cp:lastPrinted>
  <dcterms:created xsi:type="dcterms:W3CDTF">2026-03-17T10:25:00Z</dcterms:created>
  <dcterms:modified xsi:type="dcterms:W3CDTF">2026-03-17T10:40:00Z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RAG/70-F</vt:lpwstr>
  </property>
  <property fmtid="{D5CDD505-2E9C-101B-9397-08002B2CF9AE}" pid="3" name="Docdate">
    <vt:lpwstr>16 mars 2026</vt:lpwstr>
  </property>
  <property fmtid="{D5CDD505-2E9C-101B-9397-08002B2CF9AE}" pid="4" name="Docorlang">
    <vt:lpwstr>Original: anglais</vt:lpwstr>
  </property>
  <property fmtid="{D5CDD505-2E9C-101B-9397-08002B2CF9AE}" pid="5" name="Docauthor">
    <vt:lpwstr>Arabie saoudite (Royaume d')</vt:lpwstr>
  </property>
</Properties>
</file>