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6BF4453A" w14:textId="77777777" w:rsidTr="00553F66">
        <w:trPr>
          <w:cantSplit/>
          <w:trHeight w:val="20"/>
        </w:trPr>
        <w:tc>
          <w:tcPr>
            <w:tcW w:w="6619" w:type="dxa"/>
          </w:tcPr>
          <w:p w14:paraId="182F8BD6"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731446FD"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5F9D3D50" wp14:editId="2E460D3D">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01DAF2D6" w14:textId="77777777" w:rsidTr="00553F66">
        <w:trPr>
          <w:cantSplit/>
          <w:trHeight w:val="20"/>
        </w:trPr>
        <w:tc>
          <w:tcPr>
            <w:tcW w:w="6619" w:type="dxa"/>
            <w:tcBorders>
              <w:bottom w:val="single" w:sz="12" w:space="0" w:color="auto"/>
            </w:tcBorders>
          </w:tcPr>
          <w:p w14:paraId="1510C2E0"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3F10C824" w14:textId="77777777" w:rsidR="00280E04" w:rsidRPr="00A9645C" w:rsidRDefault="00280E04" w:rsidP="002F3031">
            <w:pPr>
              <w:spacing w:before="0" w:line="120" w:lineRule="auto"/>
              <w:rPr>
                <w:lang w:bidi="ar-EG"/>
              </w:rPr>
            </w:pPr>
          </w:p>
        </w:tc>
      </w:tr>
      <w:tr w:rsidR="00280E04" w14:paraId="47F23D6F" w14:textId="77777777" w:rsidTr="00553F66">
        <w:trPr>
          <w:cantSplit/>
          <w:trHeight w:val="20"/>
        </w:trPr>
        <w:tc>
          <w:tcPr>
            <w:tcW w:w="6619" w:type="dxa"/>
            <w:tcBorders>
              <w:top w:val="single" w:sz="12" w:space="0" w:color="auto"/>
            </w:tcBorders>
          </w:tcPr>
          <w:p w14:paraId="47A2A27B"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45401F01" w14:textId="77777777" w:rsidR="00280E04" w:rsidRPr="00BD6EF3" w:rsidRDefault="00280E04" w:rsidP="00D44350">
            <w:pPr>
              <w:pStyle w:val="Adress"/>
              <w:framePr w:hSpace="0" w:wrap="auto" w:xAlign="left" w:yAlign="inline"/>
            </w:pPr>
          </w:p>
        </w:tc>
      </w:tr>
      <w:tr w:rsidR="0030601A" w14:paraId="58510C00" w14:textId="77777777" w:rsidTr="00553F66">
        <w:trPr>
          <w:cantSplit/>
        </w:trPr>
        <w:tc>
          <w:tcPr>
            <w:tcW w:w="6619" w:type="dxa"/>
            <w:vMerge w:val="restart"/>
          </w:tcPr>
          <w:p w14:paraId="332B9D86"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2B46DB1F" w14:textId="1579BE25"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D27398">
              <w:t>7</w:t>
            </w:r>
            <w:r w:rsidR="009453F5">
              <w:t>0</w:t>
            </w:r>
            <w:r w:rsidRPr="0012545F">
              <w:t>-A</w:t>
            </w:r>
          </w:p>
        </w:tc>
      </w:tr>
      <w:tr w:rsidR="0030601A" w14:paraId="5DDC0C6E" w14:textId="77777777" w:rsidTr="00553F66">
        <w:trPr>
          <w:cantSplit/>
        </w:trPr>
        <w:tc>
          <w:tcPr>
            <w:tcW w:w="6619" w:type="dxa"/>
            <w:vMerge/>
          </w:tcPr>
          <w:p w14:paraId="384650BD"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7C943C59" w14:textId="5E75E40C" w:rsidR="0030601A" w:rsidRPr="0012545F" w:rsidRDefault="00D27398" w:rsidP="0030601A">
            <w:pPr>
              <w:pStyle w:val="Adress"/>
              <w:framePr w:hSpace="0" w:wrap="auto" w:xAlign="left" w:yAlign="inline"/>
              <w:spacing w:before="20" w:after="20"/>
              <w:rPr>
                <w:rtl/>
              </w:rPr>
            </w:pPr>
            <w:r>
              <w:t>16</w:t>
            </w:r>
            <w:r w:rsidR="0030601A" w:rsidRPr="0012545F">
              <w:rPr>
                <w:rFonts w:hint="cs"/>
                <w:rtl/>
              </w:rPr>
              <w:t xml:space="preserve"> </w:t>
            </w:r>
            <w:r>
              <w:rPr>
                <w:rFonts w:hint="cs"/>
                <w:rtl/>
              </w:rPr>
              <w:t>مارس</w:t>
            </w:r>
            <w:r w:rsidR="0030601A" w:rsidRPr="0012545F">
              <w:rPr>
                <w:rFonts w:hint="cs"/>
                <w:rtl/>
              </w:rPr>
              <w:t xml:space="preserve"> </w:t>
            </w:r>
            <w:r w:rsidR="000441FF">
              <w:rPr>
                <w:rFonts w:hint="cs"/>
                <w:rtl/>
              </w:rPr>
              <w:t>2026</w:t>
            </w:r>
          </w:p>
        </w:tc>
      </w:tr>
      <w:tr w:rsidR="0030601A" w14:paraId="3C6F8476" w14:textId="77777777" w:rsidTr="00553F66">
        <w:trPr>
          <w:cantSplit/>
        </w:trPr>
        <w:tc>
          <w:tcPr>
            <w:tcW w:w="6619" w:type="dxa"/>
            <w:vMerge/>
          </w:tcPr>
          <w:p w14:paraId="5DD5B997"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6B3DC9B1"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3FCE504F" w14:textId="77777777" w:rsidTr="00553F66">
        <w:trPr>
          <w:cantSplit/>
        </w:trPr>
        <w:tc>
          <w:tcPr>
            <w:tcW w:w="9672" w:type="dxa"/>
            <w:gridSpan w:val="2"/>
          </w:tcPr>
          <w:p w14:paraId="1D3971C5" w14:textId="51262B4C" w:rsidR="00764079" w:rsidRPr="00D27398" w:rsidRDefault="00D27398" w:rsidP="00D27398">
            <w:pPr>
              <w:pStyle w:val="Source"/>
              <w:rPr>
                <w:rtl/>
              </w:rPr>
            </w:pPr>
            <w:r w:rsidRPr="00D27398">
              <w:rPr>
                <w:rtl/>
              </w:rPr>
              <w:t>المملكة العربية السعودية</w:t>
            </w:r>
          </w:p>
        </w:tc>
      </w:tr>
      <w:tr w:rsidR="00764079" w14:paraId="35635588" w14:textId="77777777" w:rsidTr="00553F66">
        <w:trPr>
          <w:cantSplit/>
        </w:trPr>
        <w:tc>
          <w:tcPr>
            <w:tcW w:w="9672" w:type="dxa"/>
            <w:gridSpan w:val="2"/>
          </w:tcPr>
          <w:p w14:paraId="68EBB3F3" w14:textId="2C2235DC" w:rsidR="00764079" w:rsidRPr="009453F5" w:rsidRDefault="009453F5" w:rsidP="009453F5">
            <w:pPr>
              <w:pStyle w:val="Title1"/>
              <w:rPr>
                <w:rtl/>
              </w:rPr>
            </w:pPr>
            <w:r w:rsidRPr="009453F5">
              <w:rPr>
                <w:rtl/>
              </w:rPr>
              <w:t xml:space="preserve">مساعدة الهيئات الوطنية لتنظيم الاتصالات في التطبيق المتسق </w:t>
            </w:r>
            <w:r w:rsidR="00854926">
              <w:rPr>
                <w:rtl/>
              </w:rPr>
              <w:br/>
            </w:r>
            <w:r w:rsidRPr="009453F5">
              <w:rPr>
                <w:rtl/>
              </w:rPr>
              <w:t>لأطر الاتحاد</w:t>
            </w:r>
            <w:r w:rsidRPr="009453F5">
              <w:rPr>
                <w:rFonts w:hint="eastAsia"/>
                <w:rtl/>
              </w:rPr>
              <w:t> </w:t>
            </w:r>
            <w:r w:rsidRPr="009453F5">
              <w:rPr>
                <w:rtl/>
              </w:rPr>
              <w:t xml:space="preserve">الدولي للاتصالات والمنظمة البحرية الدولية ومنظمة </w:t>
            </w:r>
            <w:r w:rsidR="00F15EA4">
              <w:rPr>
                <w:rtl/>
              </w:rPr>
              <w:br/>
            </w:r>
            <w:r w:rsidRPr="009453F5">
              <w:rPr>
                <w:rtl/>
              </w:rPr>
              <w:t xml:space="preserve">الطيران المدني الدولي لأنظمة الاتصالات الراديوية البحرية وللطيران </w:t>
            </w:r>
            <w:r w:rsidR="00F15EA4">
              <w:rPr>
                <w:rtl/>
              </w:rPr>
              <w:br/>
            </w:r>
            <w:r w:rsidRPr="009453F5">
              <w:rPr>
                <w:rtl/>
              </w:rPr>
              <w:t>وغيرها من أنظمة الاتصالات</w:t>
            </w:r>
            <w:r w:rsidRPr="009453F5">
              <w:rPr>
                <w:rFonts w:hint="cs"/>
                <w:rtl/>
              </w:rPr>
              <w:t> </w:t>
            </w:r>
            <w:r w:rsidRPr="009453F5">
              <w:rPr>
                <w:rtl/>
              </w:rPr>
              <w:t>الراديوية ذات الصلة</w:t>
            </w:r>
          </w:p>
        </w:tc>
      </w:tr>
      <w:tr w:rsidR="0012545F" w14:paraId="10DD2C3C" w14:textId="77777777" w:rsidTr="00553F66">
        <w:trPr>
          <w:cantSplit/>
        </w:trPr>
        <w:tc>
          <w:tcPr>
            <w:tcW w:w="9672" w:type="dxa"/>
            <w:gridSpan w:val="2"/>
          </w:tcPr>
          <w:p w14:paraId="3ED51D98" w14:textId="77777777" w:rsidR="0012545F" w:rsidRDefault="0012545F" w:rsidP="0012545F">
            <w:pPr>
              <w:rPr>
                <w:rtl/>
              </w:rPr>
            </w:pPr>
          </w:p>
        </w:tc>
      </w:tr>
    </w:tbl>
    <w:p w14:paraId="61687F32" w14:textId="4C6D6017" w:rsidR="00D27398" w:rsidRDefault="00D27398" w:rsidP="00D27398">
      <w:pPr>
        <w:pStyle w:val="Heading1"/>
        <w:rPr>
          <w:rtl/>
        </w:rPr>
      </w:pPr>
      <w:r>
        <w:rPr>
          <w:rtl/>
        </w:rPr>
        <w:t>1</w:t>
      </w:r>
      <w:r>
        <w:rPr>
          <w:rtl/>
        </w:rPr>
        <w:tab/>
        <w:t>معلومات أساسية</w:t>
      </w:r>
    </w:p>
    <w:p w14:paraId="2A628D4A" w14:textId="63E8C825" w:rsidR="009453F5" w:rsidRDefault="009453F5" w:rsidP="009453F5">
      <w:pPr>
        <w:rPr>
          <w:rtl/>
          <w:lang w:bidi="ar-EG"/>
        </w:rPr>
      </w:pPr>
      <w:r>
        <w:rPr>
          <w:rtl/>
          <w:lang w:bidi="ar-EG"/>
        </w:rPr>
        <w:t xml:space="preserve">تبقى سلامة </w:t>
      </w:r>
      <w:r w:rsidR="00903166">
        <w:rPr>
          <w:rFonts w:hint="cs"/>
          <w:rtl/>
          <w:lang w:bidi="ar-EG"/>
        </w:rPr>
        <w:t>الأرواح</w:t>
      </w:r>
      <w:r>
        <w:rPr>
          <w:rtl/>
          <w:lang w:bidi="ar-EG"/>
        </w:rPr>
        <w:t xml:space="preserve"> في البحر، وسلامة الملاحة البحرية، وسلامة الملاحة الجوية، وانتظام الرحلات الجوية، مسائل ذات أهمية قصوى. وتتضمن لوائح الراديو أحكاماً واسعة تنطبق على الخدمات البحرية وخدمات الطيران، فيما تحتفظ المنظمة البحرية الدولية ومنظمة الطيران المدني الدولي باتفاقيات ومعايير وإجراءات وأدلة وأطر خاصة بكل قطاع ذي صلة بهذه المجالات. ولذلك،</w:t>
      </w:r>
      <w:r w:rsidR="0071182E">
        <w:rPr>
          <w:rFonts w:hint="cs"/>
          <w:rtl/>
          <w:lang w:bidi="ar-EG"/>
        </w:rPr>
        <w:t> </w:t>
      </w:r>
      <w:r>
        <w:rPr>
          <w:rtl/>
          <w:lang w:bidi="ar-EG"/>
        </w:rPr>
        <w:t>يتعين على الإدارات أن تعمل عملياً عبر أطر دولية متعددة عند وضع أو تطبيق التراخيص الوطنية والترتيبات التنظيمية لأنظمة الاتصالات الراديوية البحرية وللطيران وغيرها من أنظمة الاتصالات الراديوية ذات الصلة.</w:t>
      </w:r>
    </w:p>
    <w:p w14:paraId="21D310B3" w14:textId="58129860" w:rsidR="009453F5" w:rsidRDefault="009453F5" w:rsidP="009453F5">
      <w:pPr>
        <w:rPr>
          <w:rtl/>
          <w:lang w:bidi="ar-EG"/>
        </w:rPr>
      </w:pPr>
      <w:r>
        <w:rPr>
          <w:rtl/>
          <w:lang w:bidi="ar-EG"/>
        </w:rPr>
        <w:t xml:space="preserve">وأشارت ‏المملكة العربية السعودية سابقاً في اجتماع الفريق الاستشاري للاتصالات الراديوية (انظر الوثيقة </w:t>
      </w:r>
      <w:hyperlink r:id="rId13" w:history="1">
        <w:r w:rsidRPr="009453F5">
          <w:rPr>
            <w:rStyle w:val="Hyperlink"/>
            <w:cs/>
            <w:lang w:bidi="ar-EG"/>
          </w:rPr>
          <w:t>‎</w:t>
        </w:r>
        <w:r w:rsidRPr="009453F5">
          <w:rPr>
            <w:rStyle w:val="Hyperlink"/>
            <w:lang w:bidi="ar-EG"/>
          </w:rPr>
          <w:t>RAG/14</w:t>
        </w:r>
      </w:hyperlink>
      <w:r>
        <w:rPr>
          <w:rtl/>
          <w:lang w:bidi="ar-EG"/>
        </w:rPr>
        <w:t>) إلى أن الإدارات تواجه تحدياتٍ كبيرة في الترخيص الفعّال للترددات/القنوات للمحطات ضمن الخدمات البحرية وخدمات الطيران وتلك المساعِدة لها مثل استخدامات الملاحة الراديوية، والتحديد الراديوي للموقع، والأرصاد الجوية، مع ضمان الامتثال لمجموعة من المعاهدات واللوائح والإجراءات والمعايير الدولية السارية التي وضعها الاتحاد الدولي للاتصالات والمنظمة البحرية الدولية ومنظمة الطيران المدني الدولي وغيرها من الكيانات المختصة ذات الصلة.</w:t>
      </w:r>
    </w:p>
    <w:p w14:paraId="39345B13" w14:textId="78B239FE" w:rsidR="009453F5" w:rsidRPr="009453F5" w:rsidRDefault="009453F5" w:rsidP="009453F5">
      <w:pPr>
        <w:rPr>
          <w:spacing w:val="-2"/>
          <w:rtl/>
          <w:lang w:bidi="ar-EG"/>
        </w:rPr>
      </w:pPr>
      <w:r w:rsidRPr="009453F5">
        <w:rPr>
          <w:spacing w:val="-2"/>
          <w:rtl/>
          <w:lang w:bidi="ar-EG"/>
        </w:rPr>
        <w:t xml:space="preserve">وذكر الفريق الاستشاري للاتصالات الراديوية في اجتماعه الثاني والثلاثين المناقشات السابقة بشأن التعاون بين قطاع الاتصالات الراديوية في الاتحاد والمنظمة البحرية الدولية ومنظمة الطيران المدني الدولي وأشار إلى أن لجنة الدراسات 5 وفرقة العمل </w:t>
      </w:r>
      <w:r w:rsidRPr="009453F5">
        <w:rPr>
          <w:spacing w:val="-2"/>
          <w:lang w:bidi="ar-EG"/>
        </w:rPr>
        <w:t>5B</w:t>
      </w:r>
      <w:r w:rsidRPr="009453F5">
        <w:rPr>
          <w:spacing w:val="-2"/>
          <w:rtl/>
          <w:lang w:bidi="ar-EG"/>
        </w:rPr>
        <w:t xml:space="preserve"> لم</w:t>
      </w:r>
      <w:r w:rsidR="0071182E">
        <w:rPr>
          <w:rFonts w:hint="cs"/>
          <w:spacing w:val="-2"/>
          <w:rtl/>
          <w:lang w:bidi="ar-EG"/>
        </w:rPr>
        <w:t> </w:t>
      </w:r>
      <w:r w:rsidRPr="009453F5">
        <w:rPr>
          <w:spacing w:val="-2"/>
          <w:rtl/>
          <w:lang w:bidi="ar-EG"/>
        </w:rPr>
        <w:t xml:space="preserve">تتلقيا بعد مساهمات بشأن هذه المسألة. ثم نصح الفريق الاستشاري للاتصالات الراديوية مكتب الاتصالات الراديوية بمواصلة دراسة شتى سبل ووسائل تعزيز التعاون مع منظمة الطيران المدني الدولي والمنظمة البحرية الدولية بهدف معالجة الشواغل المُعْرَب عنها في الوثيقة </w:t>
      </w:r>
      <w:hyperlink r:id="rId14" w:history="1">
        <w:r w:rsidRPr="009453F5">
          <w:rPr>
            <w:rStyle w:val="Hyperlink"/>
            <w:spacing w:val="-2"/>
            <w:cs/>
            <w:lang w:bidi="ar-EG"/>
          </w:rPr>
          <w:t>‎</w:t>
        </w:r>
        <w:r w:rsidRPr="009453F5">
          <w:rPr>
            <w:rStyle w:val="Hyperlink"/>
            <w:spacing w:val="-2"/>
            <w:lang w:bidi="ar-EG"/>
          </w:rPr>
          <w:t>RAG/14</w:t>
        </w:r>
      </w:hyperlink>
      <w:r w:rsidRPr="009453F5">
        <w:rPr>
          <w:spacing w:val="-2"/>
          <w:rtl/>
          <w:lang w:bidi="ar-EG"/>
        </w:rPr>
        <w:t xml:space="preserve"> معالجةً فعالة. وبالإضافة إلى ذلك، أحاط الفريق الاستشاري للاتصالات الراديوية علماً بإمكانية وضع إجراء موحَّد، مثل مبادئ توجيهية أو كُتيِّب، من خلال وسائل مختلفة، بما يشمل العمل الذي تضطلع به لجنة الدراسات 5 وفرقة العمل </w:t>
      </w:r>
      <w:r w:rsidRPr="009453F5">
        <w:rPr>
          <w:spacing w:val="-2"/>
          <w:lang w:bidi="ar-EG"/>
        </w:rPr>
        <w:t>5B</w:t>
      </w:r>
      <w:r w:rsidRPr="009453F5">
        <w:rPr>
          <w:spacing w:val="-2"/>
          <w:rtl/>
          <w:lang w:bidi="ar-EG"/>
        </w:rPr>
        <w:t xml:space="preserve">، وشجع الأعضاء المعنيين على المساهمة في فرقة العمل </w:t>
      </w:r>
      <w:r w:rsidRPr="009453F5">
        <w:rPr>
          <w:spacing w:val="-2"/>
          <w:lang w:bidi="ar-EG"/>
        </w:rPr>
        <w:t>5B</w:t>
      </w:r>
      <w:r w:rsidRPr="009453F5">
        <w:rPr>
          <w:spacing w:val="-2"/>
          <w:rtl/>
          <w:lang w:bidi="ar-EG"/>
        </w:rPr>
        <w:t xml:space="preserve"> مباشرة</w:t>
      </w:r>
      <w:r w:rsidR="00782026">
        <w:rPr>
          <w:rFonts w:hint="cs"/>
          <w:spacing w:val="-2"/>
          <w:rtl/>
          <w:lang w:bidi="ar-EG"/>
        </w:rPr>
        <w:t>ً</w:t>
      </w:r>
      <w:r w:rsidRPr="009453F5">
        <w:rPr>
          <w:spacing w:val="-2"/>
          <w:rtl/>
          <w:lang w:bidi="ar-EG"/>
        </w:rPr>
        <w:t xml:space="preserve"> في هذه المسألة (انظر الوثيقة </w:t>
      </w:r>
      <w:hyperlink r:id="rId15" w:history="1">
        <w:r w:rsidRPr="009453F5">
          <w:rPr>
            <w:rStyle w:val="Hyperlink"/>
            <w:spacing w:val="-2"/>
            <w:lang w:bidi="ar-EG"/>
          </w:rPr>
          <w:t>CA/277</w:t>
        </w:r>
      </w:hyperlink>
      <w:r w:rsidRPr="009453F5">
        <w:rPr>
          <w:spacing w:val="-2"/>
          <w:rtl/>
          <w:lang w:bidi="ar-EG"/>
        </w:rPr>
        <w:t>).</w:t>
      </w:r>
    </w:p>
    <w:p w14:paraId="6D024535" w14:textId="6227F22C" w:rsidR="00D27398" w:rsidRDefault="009453F5" w:rsidP="00CA230B">
      <w:pPr>
        <w:rPr>
          <w:rtl/>
          <w:lang w:bidi="ar-EG"/>
        </w:rPr>
      </w:pPr>
      <w:r>
        <w:rPr>
          <w:rtl/>
          <w:lang w:bidi="ar-EG"/>
        </w:rPr>
        <w:lastRenderedPageBreak/>
        <w:t>وبناء</w:t>
      </w:r>
      <w:r>
        <w:rPr>
          <w:rFonts w:hint="cs"/>
          <w:rtl/>
          <w:lang w:bidi="ar-EG"/>
        </w:rPr>
        <w:t>ً</w:t>
      </w:r>
      <w:r>
        <w:rPr>
          <w:rtl/>
          <w:lang w:bidi="ar-EG"/>
        </w:rPr>
        <w:t xml:space="preserve"> على هذه النتيجة، قدمت المملكة العربية السعودية مساهمة إلى فرقة العمل </w:t>
      </w:r>
      <w:r w:rsidRPr="009453F5">
        <w:rPr>
          <w:lang w:bidi="ar-EG"/>
        </w:rPr>
        <w:t>5B</w:t>
      </w:r>
      <w:r>
        <w:rPr>
          <w:rtl/>
          <w:lang w:bidi="ar-EG"/>
        </w:rPr>
        <w:t xml:space="preserve"> (انظر الوثيقة </w:t>
      </w:r>
      <w:hyperlink r:id="rId16" w:history="1">
        <w:r w:rsidRPr="009453F5">
          <w:rPr>
            <w:rStyle w:val="Hyperlink"/>
            <w:lang w:bidi="ar-EG"/>
          </w:rPr>
          <w:t>5B/354</w:t>
        </w:r>
      </w:hyperlink>
      <w:r>
        <w:rPr>
          <w:rtl/>
          <w:lang w:bidi="ar-EG"/>
        </w:rPr>
        <w:t xml:space="preserve">) تقترح فيها بيان اتصال إلى المنظمة البحرية الدولية ومنظمة الطيران المدني الدولي بشأن إمكانية وضع مبادئ توجيهية مشتركة أو كُتيِّب. </w:t>
      </w:r>
      <w:r w:rsidRPr="00CA230B">
        <w:rPr>
          <w:rtl/>
          <w:lang w:bidi="ar-EG"/>
        </w:rPr>
        <w:t>ونظر</w:t>
      </w:r>
      <w:r w:rsidR="0071182E" w:rsidRPr="00CA230B">
        <w:rPr>
          <w:rFonts w:hint="cs"/>
          <w:rtl/>
          <w:lang w:bidi="ar-EG"/>
        </w:rPr>
        <w:t> </w:t>
      </w:r>
      <w:r w:rsidRPr="00CA230B">
        <w:rPr>
          <w:rtl/>
          <w:lang w:bidi="ar-EG"/>
        </w:rPr>
        <w:t xml:space="preserve">فريقا العمل </w:t>
      </w:r>
      <w:r w:rsidRPr="00CA230B">
        <w:rPr>
          <w:lang w:bidi="ar-EG"/>
        </w:rPr>
        <w:t>5B</w:t>
      </w:r>
      <w:r w:rsidR="00CA230B" w:rsidRPr="00CA230B">
        <w:rPr>
          <w:lang w:bidi="ar-EG"/>
        </w:rPr>
        <w:t>-2</w:t>
      </w:r>
      <w:r w:rsidRPr="00CA230B">
        <w:rPr>
          <w:rtl/>
          <w:lang w:bidi="ar-EG"/>
        </w:rPr>
        <w:t xml:space="preserve"> و</w:t>
      </w:r>
      <w:r w:rsidRPr="00CA230B">
        <w:rPr>
          <w:lang w:bidi="ar-EG"/>
        </w:rPr>
        <w:t>5B</w:t>
      </w:r>
      <w:r w:rsidR="00CA230B" w:rsidRPr="00CA230B">
        <w:rPr>
          <w:lang w:bidi="ar-EG"/>
        </w:rPr>
        <w:t>-3</w:t>
      </w:r>
      <w:r w:rsidRPr="00CA230B">
        <w:rPr>
          <w:rtl/>
          <w:lang w:bidi="ar-EG"/>
        </w:rPr>
        <w:t xml:space="preserve"> في هذه المساهمة. وبينما أُقر بأهمية التنسيق المستمر بين الاتحاد الدولي للاتصالات والمنظمة</w:t>
      </w:r>
      <w:r>
        <w:rPr>
          <w:rtl/>
          <w:lang w:bidi="ar-EG"/>
        </w:rPr>
        <w:t xml:space="preserve"> البحرية الدولية ومنظمة الطيران المدني الدولي، أُبديَ قلق بشأن نطاق العمل المقترح، والأهداف العَملية، والأنظمة والنطاقات المعنية ذات الصلة، وعبء العمل المتوقع، والعناصر الرئيسية الواجب إدراجها، وتحديد الأطراف الرئيسية والمساهِمة. وبالإضافة</w:t>
      </w:r>
      <w:r w:rsidR="0071182E">
        <w:rPr>
          <w:rFonts w:hint="cs"/>
          <w:rtl/>
          <w:lang w:bidi="ar-EG"/>
        </w:rPr>
        <w:t> </w:t>
      </w:r>
      <w:r>
        <w:rPr>
          <w:rtl/>
          <w:lang w:bidi="ar-EG"/>
        </w:rPr>
        <w:t>إلى ذلك، أُشير إلى وجود آليات تنسيق، بما في ذلك التنسيق القائم على الاتصال مع منظمة الطيران المدني الدولي عند</w:t>
      </w:r>
      <w:r w:rsidR="0071182E">
        <w:rPr>
          <w:rFonts w:hint="cs"/>
          <w:rtl/>
          <w:lang w:bidi="ar-EG"/>
        </w:rPr>
        <w:t> </w:t>
      </w:r>
      <w:r>
        <w:rPr>
          <w:rtl/>
          <w:lang w:bidi="ar-EG"/>
        </w:rPr>
        <w:t>الاقتضاء وفريق الخبراء المشترك بين المنظمة البحرية الدولية والاتحاد الدولي للاتصالات المعني بمسائل الاتصالات الراديوية البحرية. وبناء</w:t>
      </w:r>
      <w:r w:rsidR="00782026">
        <w:rPr>
          <w:rFonts w:hint="cs"/>
          <w:rtl/>
          <w:lang w:bidi="ar-EG"/>
        </w:rPr>
        <w:t>ً</w:t>
      </w:r>
      <w:r>
        <w:rPr>
          <w:rtl/>
          <w:lang w:bidi="ar-EG"/>
        </w:rPr>
        <w:t xml:space="preserve"> على ذلك، قرر الفريقان الإحاطة علماً بالمساهمة دون اتخاذ أي إجراء آخر.</w:t>
      </w:r>
    </w:p>
    <w:p w14:paraId="0B25F20D" w14:textId="60CB7450" w:rsidR="00D27398" w:rsidRDefault="00D27398" w:rsidP="00D27398">
      <w:pPr>
        <w:pStyle w:val="Heading1"/>
        <w:rPr>
          <w:rtl/>
        </w:rPr>
      </w:pPr>
      <w:r>
        <w:rPr>
          <w:rtl/>
        </w:rPr>
        <w:t>2</w:t>
      </w:r>
      <w:r>
        <w:rPr>
          <w:rtl/>
        </w:rPr>
        <w:tab/>
      </w:r>
      <w:r w:rsidR="009453F5" w:rsidRPr="009453F5">
        <w:rPr>
          <w:rtl/>
        </w:rPr>
        <w:t>التحديات التي تواجهها الإدارات</w:t>
      </w:r>
    </w:p>
    <w:p w14:paraId="2D83A7F6" w14:textId="77777777" w:rsidR="009453F5" w:rsidRDefault="009453F5" w:rsidP="009453F5">
      <w:pPr>
        <w:rPr>
          <w:rtl/>
          <w:lang w:bidi="ar-EG"/>
        </w:rPr>
      </w:pPr>
      <w:r>
        <w:rPr>
          <w:rtl/>
          <w:lang w:bidi="ar-EG"/>
        </w:rPr>
        <w:t>لا تزال السلطات الوطنية لتنظيم الاتصالات تواجه تحديات عَملية في التطبيق المتسق للأطر ذات الصلة بالاتحاد الدولي للاتصالات والمنظمة البحرية الدولية ومنظمة الطيران المدني الدولي، ولا سيما فيما يتعلق بأنظمة الاتصالات الراديوية البحرية وللطيران والمساعِدة مثل استخدامات الملاحة الراديوية، والتحديد الراديوي للموقع، والأرصاد الجوية وما إلى ذلك.</w:t>
      </w:r>
    </w:p>
    <w:p w14:paraId="2ECF5BFD" w14:textId="77777777" w:rsidR="009453F5" w:rsidRDefault="009453F5" w:rsidP="009453F5">
      <w:pPr>
        <w:rPr>
          <w:rtl/>
          <w:lang w:bidi="ar-EG"/>
        </w:rPr>
      </w:pPr>
      <w:r>
        <w:rPr>
          <w:rtl/>
          <w:lang w:bidi="ar-EG"/>
        </w:rPr>
        <w:t>أولاً، غالباً ما توزع المسؤوليات على المستوى الوطني بين سلطات عدة، بما في ذلك هيئات تنظيم الاتصالات وسلطات الطيران المدني والسلطات البحرية ووزارات النقل وهيئات الأرصاد الجوية وكيانات الدفاع وغيرها من المؤسسات المختصة. وقد يجعل هذا التجزؤ المؤسسي من الصعب تصميم وتطبيق عمليات ترخيص متماسكة من طرف إلى طرف.</w:t>
      </w:r>
    </w:p>
    <w:p w14:paraId="6408C7A8" w14:textId="199AE78F" w:rsidR="009453F5" w:rsidRDefault="009453F5" w:rsidP="009453F5">
      <w:pPr>
        <w:rPr>
          <w:rtl/>
          <w:lang w:bidi="ar-EG"/>
        </w:rPr>
      </w:pPr>
      <w:r>
        <w:rPr>
          <w:rtl/>
          <w:lang w:bidi="ar-EG"/>
        </w:rPr>
        <w:t>ثانياً، قد لا تتمتع هيئات تنظيم الاتصالات دائماً بما يكفي من الوعي أو الرؤية بشأن الأطر التشغيلية والإجرائية والتوثيقية المعمول بها في المنظمة البحرية الدولية ومنظمة الطيران المدني الدولي، في حين قد لا تتمتع السلطات القطاعية دائماً بإدراك كامل بإدارة الطيف والآثار التنظيمية للاتصالات الراديوية للوائح الراديو ونصوص قطاع الاتصالات الراديوية ذات الصلة. ويمكن</w:t>
      </w:r>
      <w:r w:rsidR="0071182E">
        <w:rPr>
          <w:rFonts w:hint="cs"/>
          <w:rtl/>
          <w:lang w:bidi="ar-EG"/>
        </w:rPr>
        <w:t> </w:t>
      </w:r>
      <w:r>
        <w:rPr>
          <w:rtl/>
          <w:lang w:bidi="ar-EG"/>
        </w:rPr>
        <w:t>أن</w:t>
      </w:r>
      <w:r w:rsidR="0071182E">
        <w:rPr>
          <w:rFonts w:hint="cs"/>
          <w:rtl/>
          <w:lang w:bidi="ar-EG"/>
        </w:rPr>
        <w:t> </w:t>
      </w:r>
      <w:r>
        <w:rPr>
          <w:rtl/>
          <w:lang w:bidi="ar-EG"/>
        </w:rPr>
        <w:t>تؤدي هذه الفجوة المعرفية عبر المجالات إلى عدم يقين يمكن تفاديه في تطوير وتطبيق عمليات الترخيص الوطنية.</w:t>
      </w:r>
    </w:p>
    <w:p w14:paraId="3FE07490" w14:textId="77777777" w:rsidR="009453F5" w:rsidRDefault="009453F5" w:rsidP="009453F5">
      <w:pPr>
        <w:rPr>
          <w:rtl/>
          <w:lang w:bidi="ar-EG"/>
        </w:rPr>
      </w:pPr>
      <w:r>
        <w:rPr>
          <w:rtl/>
          <w:lang w:bidi="ar-EG"/>
        </w:rPr>
        <w:t>ثالثاً، قد تواجه الإدارات صعوبة في تحديد الصكوك الدولية المطبقة بالنسبة لمحطة أو نظام أو منشأة أو خدمة أو حالة استعمال معينة، والهيئة التي ينبغي التشاور معها، وكيفية التعامل العَملي مع السطوح البينية بين ‏متطلبات تنظيم الاتصالات وقطاع البحرية أو قطاع الطيران</w:t>
      </w:r>
      <w:r>
        <w:rPr>
          <w:rtl/>
          <w:cs/>
          <w:lang w:bidi="ar-EG"/>
        </w:rPr>
        <w:t>‎</w:t>
      </w:r>
      <w:r>
        <w:rPr>
          <w:rtl/>
          <w:lang w:bidi="ar-EG"/>
        </w:rPr>
        <w:t>.</w:t>
      </w:r>
    </w:p>
    <w:p w14:paraId="20E48DCF" w14:textId="4746035F" w:rsidR="009453F5" w:rsidRDefault="009453F5" w:rsidP="009453F5">
      <w:pPr>
        <w:rPr>
          <w:rtl/>
          <w:lang w:bidi="ar-EG"/>
        </w:rPr>
      </w:pPr>
      <w:r>
        <w:rPr>
          <w:rtl/>
          <w:lang w:bidi="ar-EG"/>
        </w:rPr>
        <w:t xml:space="preserve">رابعاً، حتى عندما يكون </w:t>
      </w:r>
      <w:r>
        <w:rPr>
          <w:rFonts w:hint="cs"/>
          <w:rtl/>
          <w:lang w:bidi="ar-EG"/>
        </w:rPr>
        <w:t>الترخيص</w:t>
      </w:r>
      <w:r>
        <w:rPr>
          <w:rtl/>
          <w:lang w:bidi="ar-EG"/>
        </w:rPr>
        <w:t xml:space="preserve"> الوطني متسقاً من الناحية التقنية مع أحكام لوائح الراديو المتعلقة بالطيف، فقد لا </w:t>
      </w:r>
      <w:r w:rsidR="00782026">
        <w:rPr>
          <w:rFonts w:hint="cs"/>
          <w:rtl/>
          <w:lang w:bidi="ar-EG"/>
        </w:rPr>
        <w:t>ي</w:t>
      </w:r>
      <w:r>
        <w:rPr>
          <w:rtl/>
          <w:lang w:bidi="ar-EG"/>
        </w:rPr>
        <w:t>جسد تماماً الأطر التشغيلية البحرية أو الأطر التشغيلية البحرية للطيران ذات الصلة، مما قد يؤدي إلى عدم اكتمال شروط الترخيص أو عدم اتساق الممارسات الوطنية أو تعقيد التنفيذ الذي يمكن تفاديه بالنسبة للمشغلين والمصنعين أو ضياع الفرص لمنع التداخل الضار وتسهيل التنسيق بكفاءة.</w:t>
      </w:r>
    </w:p>
    <w:p w14:paraId="7B20FB56" w14:textId="77777777" w:rsidR="009453F5" w:rsidRDefault="009453F5" w:rsidP="009453F5">
      <w:pPr>
        <w:rPr>
          <w:rtl/>
          <w:lang w:bidi="ar-EG"/>
        </w:rPr>
      </w:pPr>
      <w:r>
        <w:rPr>
          <w:rtl/>
          <w:lang w:bidi="ar-EG"/>
        </w:rPr>
        <w:t>خامساً، يمتد نطاق التحدي إلى ما هو أبعد من الاتصالات البحرية واتصالات الطيران الأساسية ليشمل الاستخدامات المساعِدة لها، بما في ذلك تطبيقات الملاحة الراديوية والتحديد الراديوي للموقع والمراقبة والأرصاد الجوية، قد تحتاج فيها الإدارات إلى النظر في مجموعة أشمل من المتطلبات والممارسات المترابطة.</w:t>
      </w:r>
    </w:p>
    <w:p w14:paraId="64F4B01E" w14:textId="71AF6601" w:rsidR="00D27398" w:rsidRDefault="009453F5" w:rsidP="009453F5">
      <w:pPr>
        <w:rPr>
          <w:rtl/>
          <w:lang w:bidi="ar-EG"/>
        </w:rPr>
      </w:pPr>
      <w:r>
        <w:rPr>
          <w:rtl/>
          <w:lang w:bidi="ar-EG"/>
        </w:rPr>
        <w:t>سادساً، على الرغم من وجود مواد مفيدة في المنظمات الثلاث، بما في ذلك أدلة وكُتيِّبات خاصة بالقطاعات، لا توجد حتى الآن أي مساعدة عملية ذات إحالات مرجعية مخصصة خصيصاً لمساعدة الهيئات الوطنية لتنظيم الاتصالات على فهم السطوح البينية بين أطر الاتحاد الدولي للاتصالات والمنظمة البحرية الدولية ومنظمة الطيران المدني الدولي ذات الصلة في ممارسات الترخيص الوطنية. ولا يزال هذا الأمر يشكل ثغرة عملية في التنفيذ بالنسبة للإدارات.</w:t>
      </w:r>
    </w:p>
    <w:p w14:paraId="1A156224" w14:textId="412BC8BF" w:rsidR="00D27398" w:rsidRDefault="00D27398" w:rsidP="00D27398">
      <w:pPr>
        <w:pStyle w:val="Heading1"/>
        <w:rPr>
          <w:rtl/>
        </w:rPr>
      </w:pPr>
      <w:r>
        <w:t>3</w:t>
      </w:r>
      <w:r>
        <w:rPr>
          <w:rtl/>
        </w:rPr>
        <w:tab/>
      </w:r>
      <w:r w:rsidR="00CA230B">
        <w:rPr>
          <w:rFonts w:hint="cs"/>
          <w:rtl/>
        </w:rPr>
        <w:t>المقترح</w:t>
      </w:r>
    </w:p>
    <w:p w14:paraId="0064C29B" w14:textId="3D8CB8AF" w:rsidR="009453F5" w:rsidRPr="009453F5" w:rsidRDefault="009453F5" w:rsidP="009453F5">
      <w:pPr>
        <w:rPr>
          <w:spacing w:val="-2"/>
          <w:rtl/>
          <w:lang w:bidi="ar-EG"/>
        </w:rPr>
      </w:pPr>
      <w:r w:rsidRPr="009453F5">
        <w:rPr>
          <w:spacing w:val="-2"/>
          <w:rtl/>
          <w:lang w:bidi="ar-EG"/>
        </w:rPr>
        <w:t xml:space="preserve">إذ تذكر المملكة العربية السعودية بالحكم </w:t>
      </w:r>
      <w:r w:rsidRPr="009453F5">
        <w:rPr>
          <w:spacing w:val="-2"/>
          <w:lang w:bidi="ar-EG"/>
        </w:rPr>
        <w:t>160F</w:t>
      </w:r>
      <w:r w:rsidRPr="009453F5">
        <w:rPr>
          <w:spacing w:val="-2"/>
          <w:rtl/>
          <w:lang w:bidi="ar-EG"/>
        </w:rPr>
        <w:t xml:space="preserve"> من المادة </w:t>
      </w:r>
      <w:r w:rsidRPr="009453F5">
        <w:rPr>
          <w:spacing w:val="-2"/>
          <w:lang w:bidi="ar-EG"/>
        </w:rPr>
        <w:t>11A</w:t>
      </w:r>
      <w:r w:rsidRPr="009453F5">
        <w:rPr>
          <w:spacing w:val="-2"/>
          <w:rtl/>
          <w:lang w:bidi="ar-EG"/>
        </w:rPr>
        <w:t xml:space="preserve"> من اتفاقية الاتحاد الدولي للاتصالات، التي تبرز دور الفريق الاستشاري للاتصالات الراديوية</w:t>
      </w:r>
      <w:r w:rsidR="00980217">
        <w:rPr>
          <w:rFonts w:hint="cs"/>
          <w:spacing w:val="-2"/>
          <w:rtl/>
        </w:rPr>
        <w:t xml:space="preserve"> </w:t>
      </w:r>
      <w:r w:rsidR="00980217">
        <w:rPr>
          <w:spacing w:val="-2"/>
        </w:rPr>
        <w:t>(RAG)</w:t>
      </w:r>
      <w:r w:rsidRPr="009453F5">
        <w:rPr>
          <w:spacing w:val="-2"/>
          <w:rtl/>
          <w:lang w:bidi="ar-EG"/>
        </w:rPr>
        <w:t xml:space="preserve"> في تيسير التعاون بين المنظمات الدولية المعنية، ومع مراعاة المناقشات التي دارت داخل الفريق الاستشاري للاتصالات الراديوية وفرقة العمل </w:t>
      </w:r>
      <w:r w:rsidRPr="009453F5">
        <w:rPr>
          <w:spacing w:val="-2"/>
          <w:lang w:bidi="ar-EG"/>
        </w:rPr>
        <w:t>5B</w:t>
      </w:r>
      <w:r w:rsidRPr="009453F5">
        <w:rPr>
          <w:spacing w:val="-2"/>
          <w:rtl/>
          <w:lang w:bidi="ar-EG"/>
        </w:rPr>
        <w:t>، تحيط المملكة العربية السعودية علماً بأهمية ضمان التطبيق المتسق للأطر التنظيمية والتشغيلية التي تدعم تشغيل أنظمة الاتصالات الراديوية البحرية وأنظمة الاتصالات الراديوية للطيران بأمان وكفاءة.</w:t>
      </w:r>
    </w:p>
    <w:p w14:paraId="348A5474" w14:textId="11E9FD1C" w:rsidR="009453F5" w:rsidRDefault="009453F5" w:rsidP="009453F5">
      <w:pPr>
        <w:rPr>
          <w:rtl/>
          <w:lang w:bidi="ar-EG"/>
        </w:rPr>
      </w:pPr>
      <w:r>
        <w:rPr>
          <w:rtl/>
          <w:lang w:bidi="ar-EG"/>
        </w:rPr>
        <w:t>وإذ تقرّ المملكة العربية السعودية بأن الإدارات قد تواجه تحديات عَملية عند تطبيق الصكوك والمواد ذات الصلة التي وضعها الاتحاد الدولي للاتصالات</w:t>
      </w:r>
      <w:r w:rsidR="00782026">
        <w:rPr>
          <w:rFonts w:hint="cs"/>
          <w:rtl/>
          <w:lang w:bidi="ar-EG"/>
        </w:rPr>
        <w:t xml:space="preserve"> </w:t>
      </w:r>
      <w:r w:rsidR="00782026">
        <w:rPr>
          <w:lang w:bidi="ar-EG"/>
        </w:rPr>
        <w:t>(ITU)</w:t>
      </w:r>
      <w:r>
        <w:rPr>
          <w:rtl/>
          <w:lang w:bidi="ar-EG"/>
        </w:rPr>
        <w:t xml:space="preserve"> والمنظمة البحرية الدولية</w:t>
      </w:r>
      <w:r>
        <w:rPr>
          <w:rFonts w:hint="cs"/>
          <w:rtl/>
          <w:lang w:bidi="ar-EG"/>
        </w:rPr>
        <w:t xml:space="preserve"> </w:t>
      </w:r>
      <w:r>
        <w:rPr>
          <w:lang w:bidi="ar-EG"/>
        </w:rPr>
        <w:t>(IMO)</w:t>
      </w:r>
      <w:r>
        <w:rPr>
          <w:rtl/>
          <w:lang w:bidi="ar-EG"/>
        </w:rPr>
        <w:t xml:space="preserve"> ومنظمة الطيران المدني الدولي</w:t>
      </w:r>
      <w:r>
        <w:rPr>
          <w:rFonts w:hint="cs"/>
          <w:rtl/>
        </w:rPr>
        <w:t xml:space="preserve"> </w:t>
      </w:r>
      <w:r>
        <w:t>(ICAO)</w:t>
      </w:r>
      <w:r>
        <w:rPr>
          <w:rtl/>
          <w:lang w:bidi="ar-EG"/>
        </w:rPr>
        <w:t>، تعتبر أن اتباع نهج عملي ومنسق يمكن أن يساعد الهيئات الوطنية لتنظيم الاتصالات على اجتياز هذه الأطر بفعالية أكبر.</w:t>
      </w:r>
    </w:p>
    <w:p w14:paraId="39D6BD0F" w14:textId="7999B2E1" w:rsidR="009453F5" w:rsidRDefault="009453F5" w:rsidP="009453F5">
      <w:pPr>
        <w:rPr>
          <w:rtl/>
          <w:lang w:bidi="ar-EG"/>
        </w:rPr>
      </w:pPr>
      <w:r>
        <w:rPr>
          <w:rtl/>
          <w:lang w:bidi="ar-EG"/>
        </w:rPr>
        <w:lastRenderedPageBreak/>
        <w:t>وفي هذا السياق، تقترح المملكة العربية السعودية أن يسديَ الفريق الاستشاري للاتصالات الراديوية المشورة إلى مدير مكتب الاتصالات الراديوية</w:t>
      </w:r>
      <w:r w:rsidR="00BC7E75">
        <w:rPr>
          <w:rFonts w:hint="cs"/>
          <w:rtl/>
          <w:lang w:bidi="ar-EG"/>
        </w:rPr>
        <w:t xml:space="preserve"> </w:t>
      </w:r>
      <w:r w:rsidR="00BC7E75">
        <w:rPr>
          <w:lang w:bidi="ar-EG"/>
        </w:rPr>
        <w:t>(BR)</w:t>
      </w:r>
      <w:r>
        <w:rPr>
          <w:rtl/>
          <w:lang w:bidi="ar-EG"/>
        </w:rPr>
        <w:t xml:space="preserve"> من أجل التواصل مع المنظمة البحرية الدولية ومنظمة الطيران المدني الدولي، وذلك باستخدام آليات التعاون القائمة حسب الاقتضاء، وبهدف تحديد التدابير العَملية التي يمكن أن تؤازر الإدارات في التنفيذ المتسق لأطر الاتحاد الدولي للاتصالات والمنظمة البحرية الدولية ومنظمة الطيران المدني الدولي ذات الصلة بأنظمة الاتصالات الراديوية البحرية وللطيران والمساعِدة لها، بما في ذلك تطبيقات الملاحة الراديوية والتحديد الراديوي للموقع والمراقبة والأرصاد الجوية.</w:t>
      </w:r>
    </w:p>
    <w:p w14:paraId="7E1FC548" w14:textId="77777777" w:rsidR="009453F5" w:rsidRDefault="009453F5" w:rsidP="009453F5">
      <w:pPr>
        <w:rPr>
          <w:rtl/>
          <w:lang w:bidi="ar-EG"/>
        </w:rPr>
      </w:pPr>
      <w:r>
        <w:rPr>
          <w:rtl/>
          <w:lang w:bidi="ar-EG"/>
        </w:rPr>
        <w:t>ويمكن أن يشمل هذا العمل الذي يضطلع به مكتب الاتصالات الراديوية بتوجيه من الفريق الاستشاري للاتصالات الراديوية وبالتشاور مع لجان الدراسات المعنية في قطاع الاتصالات الراديوية، تحديد التحديات الرئيسية التي تواجهها الإدارات في التنفيذ واستكشاف الأشكال الممكنة للمساعدة. ويمكن أن تشمل هذه الإجراءات، حسب الاقتضاء:</w:t>
      </w:r>
    </w:p>
    <w:p w14:paraId="23E05D62" w14:textId="2878B545" w:rsidR="009453F5" w:rsidRDefault="009453F5" w:rsidP="009453F5">
      <w:pPr>
        <w:pStyle w:val="enumlev1"/>
        <w:rPr>
          <w:rtl/>
          <w:lang w:bidi="ar-EG"/>
        </w:rPr>
      </w:pPr>
      <w:r>
        <w:rPr>
          <w:rtl/>
          <w:lang w:bidi="ar-EG"/>
        </w:rPr>
        <w:t>‒</w:t>
      </w:r>
      <w:r>
        <w:rPr>
          <w:lang w:bidi="ar-EG"/>
        </w:rPr>
        <w:tab/>
      </w:r>
      <w:r>
        <w:rPr>
          <w:rtl/>
          <w:lang w:bidi="ar-EG"/>
        </w:rPr>
        <w:t>تحديد المراجع لصكوك ومواد الاتحاد الدولي للاتصالات والمنظمة البحرية الدولية ومنظمة الطيران المدني الدولي؛</w:t>
      </w:r>
    </w:p>
    <w:p w14:paraId="716B46C0" w14:textId="4DC0E837" w:rsidR="009453F5" w:rsidRDefault="009453F5" w:rsidP="009453F5">
      <w:pPr>
        <w:pStyle w:val="enumlev1"/>
        <w:rPr>
          <w:rtl/>
          <w:lang w:bidi="ar-EG"/>
        </w:rPr>
      </w:pPr>
      <w:r>
        <w:rPr>
          <w:rtl/>
          <w:lang w:bidi="ar-EG"/>
        </w:rPr>
        <w:t>‒</w:t>
      </w:r>
      <w:r>
        <w:rPr>
          <w:lang w:bidi="ar-EG"/>
        </w:rPr>
        <w:tab/>
      </w:r>
      <w:r>
        <w:rPr>
          <w:rtl/>
          <w:lang w:bidi="ar-EG"/>
        </w:rPr>
        <w:t>معلومات عملية عن الأدوار والسطوح البينية بين هيئات تنظيم الاتصالات والسلطات البحرية وسلطات الطيران؛</w:t>
      </w:r>
    </w:p>
    <w:p w14:paraId="3B861EE6" w14:textId="7C99680F" w:rsidR="009453F5" w:rsidRDefault="009453F5" w:rsidP="009453F5">
      <w:pPr>
        <w:pStyle w:val="enumlev1"/>
        <w:rPr>
          <w:rtl/>
          <w:lang w:bidi="ar-EG"/>
        </w:rPr>
      </w:pPr>
      <w:r>
        <w:rPr>
          <w:rtl/>
          <w:lang w:bidi="ar-EG"/>
        </w:rPr>
        <w:t>‒</w:t>
      </w:r>
      <w:r>
        <w:rPr>
          <w:lang w:bidi="ar-EG"/>
        </w:rPr>
        <w:tab/>
      </w:r>
      <w:r>
        <w:rPr>
          <w:rtl/>
          <w:lang w:bidi="ar-EG"/>
        </w:rPr>
        <w:t>وضع موارد توجيهية أو قوائم مرجعية أو أنشطة لبناء القدرات؛</w:t>
      </w:r>
    </w:p>
    <w:p w14:paraId="235C2DCE" w14:textId="2439FEBD" w:rsidR="009453F5" w:rsidRDefault="009453F5" w:rsidP="009453F5">
      <w:pPr>
        <w:pStyle w:val="enumlev1"/>
        <w:rPr>
          <w:rtl/>
          <w:lang w:bidi="ar-EG"/>
        </w:rPr>
      </w:pPr>
      <w:r>
        <w:rPr>
          <w:rtl/>
          <w:lang w:bidi="ar-EG"/>
        </w:rPr>
        <w:t>‒</w:t>
      </w:r>
      <w:r>
        <w:rPr>
          <w:lang w:bidi="ar-EG"/>
        </w:rPr>
        <w:tab/>
      </w:r>
      <w:r>
        <w:rPr>
          <w:rtl/>
          <w:lang w:bidi="ar-EG"/>
        </w:rPr>
        <w:t>إنشاء بوابة معلومات على شبكة الويب يديرها مكتب الاتصالات الراديوية تجمع بين المواد المرجعية ذات الصلة وموارد التنفيذ العملية.</w:t>
      </w:r>
    </w:p>
    <w:p w14:paraId="2255FFEB" w14:textId="77777777" w:rsidR="009453F5" w:rsidRPr="00782026" w:rsidRDefault="009453F5" w:rsidP="009453F5">
      <w:pPr>
        <w:rPr>
          <w:rtl/>
          <w:lang w:bidi="ar-EG"/>
        </w:rPr>
      </w:pPr>
      <w:r w:rsidRPr="00782026">
        <w:rPr>
          <w:rtl/>
          <w:lang w:bidi="ar-EG"/>
        </w:rPr>
        <w:t>وسيحافظ هذا النهج على المرونة فيما يتعلق بشكل أي ناتج محتمل، وسيتجنب الحكم مسبقاً على ما إذا كان من اللازم ناتج محدد مثل كتيب، وسيسمح للمكتب بمراعاة الشواغل التي سبق الإعراب عنها فيما يتعلق بالنطاق والترتيبات والازدواجية وعبء العمل.</w:t>
      </w:r>
    </w:p>
    <w:p w14:paraId="5847AA2B" w14:textId="77777777" w:rsidR="009453F5" w:rsidRDefault="009453F5" w:rsidP="009453F5">
      <w:pPr>
        <w:rPr>
          <w:rtl/>
          <w:lang w:bidi="ar-EG"/>
        </w:rPr>
      </w:pPr>
      <w:r>
        <w:rPr>
          <w:rtl/>
          <w:lang w:bidi="ar-EG"/>
        </w:rPr>
        <w:t>ولذلك تقترح المملكة العربية السعودية أن يضطلع الفريق الاستشاري للاتصالات الراديوية بما يلي:</w:t>
      </w:r>
    </w:p>
    <w:p w14:paraId="50581E9E" w14:textId="59E8B193" w:rsidR="009453F5" w:rsidRDefault="009453F5" w:rsidP="009453F5">
      <w:pPr>
        <w:pStyle w:val="enumlev1"/>
        <w:rPr>
          <w:rtl/>
          <w:lang w:bidi="ar-EG"/>
        </w:rPr>
      </w:pPr>
      <w:r>
        <w:rPr>
          <w:lang w:bidi="ar-EG"/>
        </w:rPr>
        <w:t>(1</w:t>
      </w:r>
      <w:r>
        <w:rPr>
          <w:rtl/>
          <w:lang w:bidi="ar-EG"/>
        </w:rPr>
        <w:tab/>
        <w:t>إسداء المشورة إلى مدير مكتب الاتصالات الراديوية من أجل التواصل مع المنظمة البحرية الدولية</w:t>
      </w:r>
      <w:r w:rsidR="00980217">
        <w:rPr>
          <w:rFonts w:hint="cs"/>
          <w:rtl/>
        </w:rPr>
        <w:t xml:space="preserve"> </w:t>
      </w:r>
      <w:r w:rsidR="00980217">
        <w:t>(IMO)</w:t>
      </w:r>
      <w:r>
        <w:rPr>
          <w:rtl/>
          <w:lang w:bidi="ar-EG"/>
        </w:rPr>
        <w:t xml:space="preserve"> ومنظمة الطيران المدني الدولي</w:t>
      </w:r>
      <w:r w:rsidR="00980217">
        <w:rPr>
          <w:rFonts w:hint="cs"/>
          <w:rtl/>
        </w:rPr>
        <w:t xml:space="preserve"> </w:t>
      </w:r>
      <w:r w:rsidR="00980217">
        <w:t>(ICAO)</w:t>
      </w:r>
      <w:r>
        <w:rPr>
          <w:rtl/>
          <w:lang w:bidi="ar-EG"/>
        </w:rPr>
        <w:t>، بغية الاستفادة من آليات التعاون القائمة، حسب الاقتضاء، بهدف تحديد التدابير العملية التي يمكن أن تساعد الهيئات الوطنية لتنظيم الاتصالات في التطبيق المتسق للأطر ذات الصلة للاتحاد الدولي للاتصالات والمنظمة البحرية الدولية ومنظمة الطيران المدني الدولي؛</w:t>
      </w:r>
    </w:p>
    <w:p w14:paraId="5F9B7BEC" w14:textId="67392F52" w:rsidR="009453F5" w:rsidRDefault="009453F5" w:rsidP="009453F5">
      <w:pPr>
        <w:pStyle w:val="enumlev1"/>
        <w:rPr>
          <w:rtl/>
          <w:lang w:bidi="ar-EG"/>
        </w:rPr>
      </w:pPr>
      <w:r>
        <w:rPr>
          <w:lang w:bidi="ar-EG"/>
        </w:rPr>
        <w:t>(2</w:t>
      </w:r>
      <w:r>
        <w:rPr>
          <w:rtl/>
          <w:lang w:bidi="ar-EG"/>
        </w:rPr>
        <w:tab/>
        <w:t>دعوة مدير مكتب الاتصالات الراديوية إلى أن يحدد، بالتشاور مع لجان الدراسات المعنية في قطاع الاتصالات الراديوية، التحديات الرئيسية التي تواجهها الإدارات في مجال التنفيذ وأشكال المساعدة الممكنة لمواجهتها؛</w:t>
      </w:r>
    </w:p>
    <w:p w14:paraId="5761A7BC" w14:textId="5F48825E" w:rsidR="00A17E61" w:rsidRDefault="009453F5" w:rsidP="009453F5">
      <w:pPr>
        <w:pStyle w:val="enumlev1"/>
        <w:rPr>
          <w:rtl/>
        </w:rPr>
      </w:pPr>
      <w:r>
        <w:rPr>
          <w:lang w:bidi="ar-EG"/>
        </w:rPr>
        <w:t>(3</w:t>
      </w:r>
      <w:r>
        <w:rPr>
          <w:rtl/>
          <w:lang w:bidi="ar-EG"/>
        </w:rPr>
        <w:tab/>
      </w:r>
      <w:r w:rsidR="00980217">
        <w:rPr>
          <w:rFonts w:hint="cs"/>
          <w:rtl/>
        </w:rPr>
        <w:t>و</w:t>
      </w:r>
      <w:r>
        <w:rPr>
          <w:rtl/>
          <w:lang w:bidi="ar-EG"/>
        </w:rPr>
        <w:t>دعوة مدير مكتب الاتصالات الراديوية إلى تقديم تقرير إلى الاجتماع المقبل للفريق الاستشاري للاتصالات الراديوية عن نتائج بيانات الاتصال والمشاورات هذه، بما في ذلك أدوات المساعدة الممكنة وأي خطوات مقبلة يُوصى بها.</w:t>
      </w:r>
    </w:p>
    <w:p w14:paraId="586CC3B8"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7"/>
      <w:headerReference w:type="default" r:id="rId18"/>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F551" w14:textId="77777777" w:rsidR="00DE324C" w:rsidRDefault="00DE324C" w:rsidP="002919E1">
      <w:r>
        <w:separator/>
      </w:r>
    </w:p>
    <w:p w14:paraId="6CEF1544" w14:textId="77777777" w:rsidR="00DE324C" w:rsidRDefault="00DE324C" w:rsidP="002919E1"/>
    <w:p w14:paraId="2B0FC0D3" w14:textId="77777777" w:rsidR="00DE324C" w:rsidRDefault="00DE324C" w:rsidP="002919E1"/>
    <w:p w14:paraId="16652084" w14:textId="77777777" w:rsidR="00DE324C" w:rsidRDefault="00DE324C"/>
  </w:endnote>
  <w:endnote w:type="continuationSeparator" w:id="0">
    <w:p w14:paraId="6A0090CA" w14:textId="77777777" w:rsidR="00DE324C" w:rsidRDefault="00DE324C" w:rsidP="002919E1">
      <w:r>
        <w:continuationSeparator/>
      </w:r>
    </w:p>
    <w:p w14:paraId="32BF852D" w14:textId="77777777" w:rsidR="00DE324C" w:rsidRDefault="00DE324C" w:rsidP="002919E1"/>
    <w:p w14:paraId="7864E97C" w14:textId="77777777" w:rsidR="00DE324C" w:rsidRDefault="00DE324C" w:rsidP="002919E1"/>
    <w:p w14:paraId="525E2797" w14:textId="77777777" w:rsidR="00DE324C" w:rsidRDefault="00DE3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CB190" w14:textId="77777777" w:rsidR="00DE324C" w:rsidRDefault="00DE324C" w:rsidP="002919E1">
      <w:r>
        <w:separator/>
      </w:r>
    </w:p>
  </w:footnote>
  <w:footnote w:type="continuationSeparator" w:id="0">
    <w:p w14:paraId="1814A11F" w14:textId="77777777" w:rsidR="00DE324C" w:rsidRDefault="00DE324C" w:rsidP="002919E1">
      <w:r>
        <w:continuationSeparator/>
      </w:r>
    </w:p>
    <w:p w14:paraId="6A75D07D" w14:textId="77777777" w:rsidR="00DE324C" w:rsidRDefault="00DE324C" w:rsidP="002919E1"/>
    <w:p w14:paraId="44CC4E63" w14:textId="77777777" w:rsidR="00DE324C" w:rsidRDefault="00DE324C" w:rsidP="002919E1"/>
    <w:p w14:paraId="6CE7F2EB" w14:textId="77777777" w:rsidR="00DE324C" w:rsidRDefault="00DE32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6802" w14:textId="77777777" w:rsidR="00281F5F" w:rsidRDefault="00281F5F" w:rsidP="002919E1"/>
  <w:p w14:paraId="04D2E25B" w14:textId="77777777" w:rsidR="00281F5F" w:rsidRDefault="00281F5F" w:rsidP="002919E1"/>
  <w:p w14:paraId="2942776E"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1B62" w14:textId="55286BD3"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D27398">
      <w:rPr>
        <w:rStyle w:val="PageNumber"/>
      </w:rPr>
      <w:t>7</w:t>
    </w:r>
    <w:r w:rsidR="00CD38E9">
      <w:rPr>
        <w:rStyle w:val="PageNumber"/>
      </w:rPr>
      <w:t>0</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9A1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CE55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76E6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AFC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7C6B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DA"/>
    <w:rsid w:val="00011021"/>
    <w:rsid w:val="000114EC"/>
    <w:rsid w:val="00011A3A"/>
    <w:rsid w:val="00011F8C"/>
    <w:rsid w:val="00022B74"/>
    <w:rsid w:val="0002327C"/>
    <w:rsid w:val="00034B65"/>
    <w:rsid w:val="00040C94"/>
    <w:rsid w:val="000425FC"/>
    <w:rsid w:val="000441FF"/>
    <w:rsid w:val="00044D43"/>
    <w:rsid w:val="00051907"/>
    <w:rsid w:val="00075A3F"/>
    <w:rsid w:val="000A1B16"/>
    <w:rsid w:val="000B3896"/>
    <w:rsid w:val="000B5404"/>
    <w:rsid w:val="000D1708"/>
    <w:rsid w:val="000E2AFC"/>
    <w:rsid w:val="000E6D30"/>
    <w:rsid w:val="000F05F5"/>
    <w:rsid w:val="000F518F"/>
    <w:rsid w:val="0010081C"/>
    <w:rsid w:val="001013E3"/>
    <w:rsid w:val="0010363F"/>
    <w:rsid w:val="00123AA6"/>
    <w:rsid w:val="0012545F"/>
    <w:rsid w:val="00136B82"/>
    <w:rsid w:val="001464F2"/>
    <w:rsid w:val="00150988"/>
    <w:rsid w:val="00167364"/>
    <w:rsid w:val="001903B2"/>
    <w:rsid w:val="001B5953"/>
    <w:rsid w:val="001D746E"/>
    <w:rsid w:val="001E190C"/>
    <w:rsid w:val="001E51EE"/>
    <w:rsid w:val="001E54F6"/>
    <w:rsid w:val="001E5A8C"/>
    <w:rsid w:val="001E6923"/>
    <w:rsid w:val="00201A0A"/>
    <w:rsid w:val="002075D4"/>
    <w:rsid w:val="00211B2A"/>
    <w:rsid w:val="00222DDA"/>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5EDC"/>
    <w:rsid w:val="0030601A"/>
    <w:rsid w:val="00311E3F"/>
    <w:rsid w:val="00314B1E"/>
    <w:rsid w:val="0033737F"/>
    <w:rsid w:val="00351C4E"/>
    <w:rsid w:val="00353652"/>
    <w:rsid w:val="003569E1"/>
    <w:rsid w:val="003815E2"/>
    <w:rsid w:val="00381FAD"/>
    <w:rsid w:val="00382A66"/>
    <w:rsid w:val="003923B1"/>
    <w:rsid w:val="0039465C"/>
    <w:rsid w:val="003965FE"/>
    <w:rsid w:val="003B27AD"/>
    <w:rsid w:val="003B4F23"/>
    <w:rsid w:val="003C12F6"/>
    <w:rsid w:val="003C3A13"/>
    <w:rsid w:val="003E02EF"/>
    <w:rsid w:val="003E1D90"/>
    <w:rsid w:val="00400CD4"/>
    <w:rsid w:val="004147B9"/>
    <w:rsid w:val="00422C04"/>
    <w:rsid w:val="004231F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3146"/>
    <w:rsid w:val="00523275"/>
    <w:rsid w:val="00531DC7"/>
    <w:rsid w:val="00534CEF"/>
    <w:rsid w:val="005350B0"/>
    <w:rsid w:val="005431B5"/>
    <w:rsid w:val="00546A99"/>
    <w:rsid w:val="00553411"/>
    <w:rsid w:val="00553F66"/>
    <w:rsid w:val="00554AE7"/>
    <w:rsid w:val="005601E8"/>
    <w:rsid w:val="00564746"/>
    <w:rsid w:val="0056512C"/>
    <w:rsid w:val="00567F38"/>
    <w:rsid w:val="005730DF"/>
    <w:rsid w:val="0057610B"/>
    <w:rsid w:val="00576D0A"/>
    <w:rsid w:val="00576FCC"/>
    <w:rsid w:val="00577A1B"/>
    <w:rsid w:val="00584333"/>
    <w:rsid w:val="005953EC"/>
    <w:rsid w:val="005B00A1"/>
    <w:rsid w:val="005C29C8"/>
    <w:rsid w:val="005C5D25"/>
    <w:rsid w:val="005D2606"/>
    <w:rsid w:val="005D6D48"/>
    <w:rsid w:val="005D72A4"/>
    <w:rsid w:val="005F05CC"/>
    <w:rsid w:val="005F65DE"/>
    <w:rsid w:val="00613492"/>
    <w:rsid w:val="00616D33"/>
    <w:rsid w:val="00630905"/>
    <w:rsid w:val="006315B5"/>
    <w:rsid w:val="006336D7"/>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F70BF"/>
    <w:rsid w:val="0071182E"/>
    <w:rsid w:val="00716B1D"/>
    <w:rsid w:val="007248EC"/>
    <w:rsid w:val="00726744"/>
    <w:rsid w:val="00731150"/>
    <w:rsid w:val="00731749"/>
    <w:rsid w:val="00734E41"/>
    <w:rsid w:val="007351CE"/>
    <w:rsid w:val="00736DCC"/>
    <w:rsid w:val="00741855"/>
    <w:rsid w:val="00742B73"/>
    <w:rsid w:val="00751251"/>
    <w:rsid w:val="00754431"/>
    <w:rsid w:val="007610E7"/>
    <w:rsid w:val="00764079"/>
    <w:rsid w:val="00770AA0"/>
    <w:rsid w:val="00771F7E"/>
    <w:rsid w:val="00773E9C"/>
    <w:rsid w:val="00776F6B"/>
    <w:rsid w:val="0077717F"/>
    <w:rsid w:val="00777694"/>
    <w:rsid w:val="00782026"/>
    <w:rsid w:val="00786A7E"/>
    <w:rsid w:val="007A0802"/>
    <w:rsid w:val="007A48C9"/>
    <w:rsid w:val="007B1FCA"/>
    <w:rsid w:val="007C2C12"/>
    <w:rsid w:val="007C3CFA"/>
    <w:rsid w:val="007E0E8B"/>
    <w:rsid w:val="007E6847"/>
    <w:rsid w:val="007E6B0A"/>
    <w:rsid w:val="007F08CA"/>
    <w:rsid w:val="007F7FC3"/>
    <w:rsid w:val="00801238"/>
    <w:rsid w:val="00810482"/>
    <w:rsid w:val="00817568"/>
    <w:rsid w:val="008204AC"/>
    <w:rsid w:val="008261C2"/>
    <w:rsid w:val="00827482"/>
    <w:rsid w:val="00830D96"/>
    <w:rsid w:val="00854926"/>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3166"/>
    <w:rsid w:val="00904AA5"/>
    <w:rsid w:val="009453F5"/>
    <w:rsid w:val="00951718"/>
    <w:rsid w:val="00960962"/>
    <w:rsid w:val="00972CE0"/>
    <w:rsid w:val="00975235"/>
    <w:rsid w:val="00980217"/>
    <w:rsid w:val="009A3D30"/>
    <w:rsid w:val="009C51FE"/>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5B65"/>
    <w:rsid w:val="00A870AD"/>
    <w:rsid w:val="00A90843"/>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632F"/>
    <w:rsid w:val="00BA7D44"/>
    <w:rsid w:val="00BC7E75"/>
    <w:rsid w:val="00BD6291"/>
    <w:rsid w:val="00BD6EF3"/>
    <w:rsid w:val="00BE69C3"/>
    <w:rsid w:val="00C1165E"/>
    <w:rsid w:val="00C22074"/>
    <w:rsid w:val="00C2377B"/>
    <w:rsid w:val="00C30456"/>
    <w:rsid w:val="00C34E09"/>
    <w:rsid w:val="00C3693C"/>
    <w:rsid w:val="00C449F7"/>
    <w:rsid w:val="00C53F6F"/>
    <w:rsid w:val="00C5489D"/>
    <w:rsid w:val="00C71759"/>
    <w:rsid w:val="00C8199C"/>
    <w:rsid w:val="00C84112"/>
    <w:rsid w:val="00C841EB"/>
    <w:rsid w:val="00C8665F"/>
    <w:rsid w:val="00C917B5"/>
    <w:rsid w:val="00C94DFA"/>
    <w:rsid w:val="00CA230B"/>
    <w:rsid w:val="00CA298C"/>
    <w:rsid w:val="00CB2BF9"/>
    <w:rsid w:val="00CB4300"/>
    <w:rsid w:val="00CB454E"/>
    <w:rsid w:val="00CC030E"/>
    <w:rsid w:val="00CC68C4"/>
    <w:rsid w:val="00CC79A4"/>
    <w:rsid w:val="00CD0FDE"/>
    <w:rsid w:val="00CD1574"/>
    <w:rsid w:val="00CD38E9"/>
    <w:rsid w:val="00CE0E68"/>
    <w:rsid w:val="00CE5BA4"/>
    <w:rsid w:val="00D25120"/>
    <w:rsid w:val="00D27398"/>
    <w:rsid w:val="00D36C5E"/>
    <w:rsid w:val="00D419CB"/>
    <w:rsid w:val="00D41C5A"/>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E324C"/>
    <w:rsid w:val="00DE7387"/>
    <w:rsid w:val="00DF2A6A"/>
    <w:rsid w:val="00DF3B72"/>
    <w:rsid w:val="00E10821"/>
    <w:rsid w:val="00E2489D"/>
    <w:rsid w:val="00E26520"/>
    <w:rsid w:val="00E26732"/>
    <w:rsid w:val="00E343A3"/>
    <w:rsid w:val="00E37047"/>
    <w:rsid w:val="00E47277"/>
    <w:rsid w:val="00E51BFA"/>
    <w:rsid w:val="00E6129E"/>
    <w:rsid w:val="00E621A3"/>
    <w:rsid w:val="00E833BC"/>
    <w:rsid w:val="00E8580E"/>
    <w:rsid w:val="00E97E21"/>
    <w:rsid w:val="00EA1B76"/>
    <w:rsid w:val="00EA77D7"/>
    <w:rsid w:val="00EC09B9"/>
    <w:rsid w:val="00ED048C"/>
    <w:rsid w:val="00EE60E9"/>
    <w:rsid w:val="00EF38AF"/>
    <w:rsid w:val="00F00143"/>
    <w:rsid w:val="00F055F8"/>
    <w:rsid w:val="00F10CB4"/>
    <w:rsid w:val="00F11B3D"/>
    <w:rsid w:val="00F146AC"/>
    <w:rsid w:val="00F14763"/>
    <w:rsid w:val="00F15EA4"/>
    <w:rsid w:val="00F16212"/>
    <w:rsid w:val="00F16602"/>
    <w:rsid w:val="00F25B80"/>
    <w:rsid w:val="00F25C56"/>
    <w:rsid w:val="00F2685F"/>
    <w:rsid w:val="00F33A34"/>
    <w:rsid w:val="00F350C8"/>
    <w:rsid w:val="00F52E75"/>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DB40A"/>
  <w15:docId w15:val="{5B7B73AE-7A1D-49C7-B2F9-D1132F97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6336D7"/>
    <w:pPr>
      <w:tabs>
        <w:tab w:val="clear" w:pos="794"/>
      </w:tabs>
      <w:spacing w:before="80" w:after="80"/>
      <w:ind w:left="794" w:hanging="794"/>
    </w:pPr>
  </w:style>
  <w:style w:type="character" w:customStyle="1" w:styleId="enumlev1Char">
    <w:name w:val="enumlev1 Char"/>
    <w:basedOn w:val="DefaultParagraphFont"/>
    <w:link w:val="enumlev1"/>
    <w:rsid w:val="006336D7"/>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styleId="Revision">
    <w:name w:val="Revision"/>
    <w:hidden/>
    <w:uiPriority w:val="99"/>
    <w:semiHidden/>
    <w:rsid w:val="00854926"/>
    <w:rPr>
      <w:rFonts w:ascii="Dubai"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23-RAG-C-0014/en"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R23-WP5B-C-0354/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md/R00-CA-CIR-0277/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R23-RAG-C-0014/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PA_RAG25.dotx</Template>
  <TotalTime>31</TotalTime>
  <Pages>3</Pages>
  <Words>1328</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Arabic_AK</dc:creator>
  <cp:keywords>WRC-12</cp:keywords>
  <cp:lastModifiedBy>GE</cp:lastModifiedBy>
  <cp:revision>3</cp:revision>
  <cp:lastPrinted>2019-06-26T10:10:00Z</cp:lastPrinted>
  <dcterms:created xsi:type="dcterms:W3CDTF">2026-03-20T06:24:00Z</dcterms:created>
  <dcterms:modified xsi:type="dcterms:W3CDTF">2026-03-20T07:00:00Z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