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858"/>
        <w:tblW w:w="9889" w:type="dxa"/>
        <w:tblLayout w:type="fixed"/>
        <w:tblLook w:val="0000" w:firstRow="0" w:lastRow="0" w:firstColumn="0" w:lastColumn="0" w:noHBand="0" w:noVBand="0"/>
      </w:tblPr>
      <w:tblGrid>
        <w:gridCol w:w="6772"/>
        <w:gridCol w:w="3117"/>
      </w:tblGrid>
      <w:tr w:rsidR="0057336B" w14:paraId="7A310648" w14:textId="77777777" w:rsidTr="007C0A01">
        <w:trPr>
          <w:cantSplit/>
        </w:trPr>
        <w:tc>
          <w:tcPr>
            <w:tcW w:w="6772" w:type="dxa"/>
            <w:vAlign w:val="center"/>
          </w:tcPr>
          <w:p w14:paraId="39E825FD" w14:textId="77777777" w:rsidR="0057336B" w:rsidRPr="008F0106" w:rsidRDefault="0057336B" w:rsidP="00AB4BAD">
            <w:pPr>
              <w:shd w:val="solid" w:color="FFFFFF" w:fill="FFFFFF"/>
              <w:tabs>
                <w:tab w:val="left" w:pos="568"/>
              </w:tabs>
              <w:spacing w:before="360" w:after="240"/>
              <w:rPr>
                <w:b/>
                <w:caps/>
                <w:sz w:val="32"/>
              </w:rPr>
            </w:pPr>
            <w:r w:rsidRPr="006E291F">
              <w:rPr>
                <w:rFonts w:ascii="Verdana" w:hAnsi="Verdana" w:cs="Times New Roman Bold"/>
                <w:b/>
                <w:sz w:val="26"/>
                <w:szCs w:val="26"/>
              </w:rPr>
              <w:t>Grupo Asesor de Radiocomunicaciones</w:t>
            </w:r>
            <w:r>
              <w:rPr>
                <w:b/>
                <w:caps/>
                <w:sz w:val="32"/>
              </w:rPr>
              <w:br/>
            </w:r>
          </w:p>
        </w:tc>
        <w:tc>
          <w:tcPr>
            <w:tcW w:w="3117" w:type="dxa"/>
            <w:vAlign w:val="center"/>
          </w:tcPr>
          <w:p w14:paraId="1A062E75" w14:textId="77777777" w:rsidR="0057336B" w:rsidRDefault="00AB4BAD" w:rsidP="00A7663C">
            <w:pPr>
              <w:shd w:val="solid" w:color="FFFFFF" w:fill="FFFFFF"/>
              <w:spacing w:before="0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0EE722E4" wp14:editId="54324770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91F" w:rsidRPr="0051782D" w14:paraId="29DAD453" w14:textId="77777777" w:rsidTr="007C0A01">
        <w:trPr>
          <w:cantSplit/>
        </w:trPr>
        <w:tc>
          <w:tcPr>
            <w:tcW w:w="6772" w:type="dxa"/>
            <w:tcBorders>
              <w:bottom w:val="single" w:sz="12" w:space="0" w:color="auto"/>
            </w:tcBorders>
          </w:tcPr>
          <w:p w14:paraId="45CAF8CF" w14:textId="77777777" w:rsidR="006E291F" w:rsidRPr="0051782D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</w:tcPr>
          <w:p w14:paraId="16B7F265" w14:textId="77777777" w:rsidR="006E291F" w:rsidRPr="0051782D" w:rsidRDefault="006E291F" w:rsidP="00CB7A43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E291F" w:rsidRPr="00710D66" w14:paraId="6C35DAFB" w14:textId="77777777" w:rsidTr="007C0A01">
        <w:trPr>
          <w:cantSplit/>
        </w:trPr>
        <w:tc>
          <w:tcPr>
            <w:tcW w:w="6772" w:type="dxa"/>
            <w:tcBorders>
              <w:top w:val="single" w:sz="12" w:space="0" w:color="auto"/>
            </w:tcBorders>
          </w:tcPr>
          <w:p w14:paraId="4B104081" w14:textId="77777777" w:rsidR="006E291F" w:rsidRPr="0051782D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</w:tcPr>
          <w:p w14:paraId="49877239" w14:textId="77777777" w:rsidR="006E291F" w:rsidRPr="002D238A" w:rsidRDefault="006E291F" w:rsidP="00CB7A43">
            <w:pPr>
              <w:shd w:val="solid" w:color="FFFFFF" w:fill="FFFFFF"/>
              <w:spacing w:before="0" w:after="48" w:line="240" w:lineRule="atLeast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7C0A01" w:rsidRPr="002A127E" w14:paraId="6D77A5FE" w14:textId="77777777" w:rsidTr="007C0A01">
        <w:trPr>
          <w:cantSplit/>
        </w:trPr>
        <w:tc>
          <w:tcPr>
            <w:tcW w:w="6772" w:type="dxa"/>
            <w:vMerge w:val="restart"/>
          </w:tcPr>
          <w:p w14:paraId="691ECD10" w14:textId="77777777" w:rsidR="007C0A01" w:rsidRDefault="007C0A01" w:rsidP="007C0A01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7" w:type="dxa"/>
          </w:tcPr>
          <w:p w14:paraId="5DADBEA5" w14:textId="16FE7E1C" w:rsidR="007C0A01" w:rsidRPr="00786266" w:rsidRDefault="007C0A01" w:rsidP="007C0A01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Documento RAG/</w:t>
            </w:r>
            <w:r>
              <w:rPr>
                <w:rFonts w:ascii="Verdana" w:eastAsiaTheme="minorEastAsia" w:hAnsi="Verdana" w:hint="eastAsia"/>
                <w:b/>
                <w:sz w:val="20"/>
                <w:lang w:eastAsia="zh-CN"/>
              </w:rPr>
              <w:t>69</w:t>
            </w:r>
            <w:r>
              <w:rPr>
                <w:rFonts w:ascii="Verdana" w:hAnsi="Verdana"/>
                <w:b/>
                <w:sz w:val="20"/>
              </w:rPr>
              <w:t>-S</w:t>
            </w:r>
          </w:p>
        </w:tc>
      </w:tr>
      <w:tr w:rsidR="007C0A01" w:rsidRPr="002A127E" w14:paraId="23196D6E" w14:textId="77777777" w:rsidTr="007C0A01">
        <w:trPr>
          <w:cantSplit/>
        </w:trPr>
        <w:tc>
          <w:tcPr>
            <w:tcW w:w="6772" w:type="dxa"/>
            <w:vMerge/>
          </w:tcPr>
          <w:p w14:paraId="2227EA40" w14:textId="77777777" w:rsidR="007C0A01" w:rsidRDefault="007C0A01" w:rsidP="007C0A01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7" w:type="dxa"/>
          </w:tcPr>
          <w:p w14:paraId="70525F28" w14:textId="3C38B46A" w:rsidR="007C0A01" w:rsidRPr="00786266" w:rsidRDefault="007C0A01" w:rsidP="007C0A01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Theme="minorEastAsia" w:hAnsi="Verdana" w:hint="eastAsia"/>
                <w:b/>
                <w:sz w:val="20"/>
                <w:lang w:eastAsia="zh-CN"/>
              </w:rPr>
              <w:t xml:space="preserve">12 </w:t>
            </w:r>
            <w:r>
              <w:rPr>
                <w:rFonts w:ascii="Verdana" w:eastAsiaTheme="minorEastAsia" w:hAnsi="Verdana"/>
                <w:b/>
                <w:sz w:val="20"/>
                <w:lang w:eastAsia="zh-CN"/>
              </w:rPr>
              <w:t>de marzo de</w:t>
            </w:r>
            <w:r>
              <w:rPr>
                <w:rFonts w:ascii="Verdana" w:hAnsi="Verdana"/>
                <w:b/>
                <w:sz w:val="20"/>
              </w:rPr>
              <w:t xml:space="preserve"> 202</w:t>
            </w:r>
            <w:r>
              <w:rPr>
                <w:rFonts w:ascii="Verdana" w:hAnsi="Verdana" w:hint="eastAsia"/>
                <w:b/>
                <w:sz w:val="20"/>
                <w:lang w:eastAsia="ja-JP"/>
              </w:rPr>
              <w:t>6</w:t>
            </w:r>
          </w:p>
        </w:tc>
      </w:tr>
      <w:tr w:rsidR="007C0A01" w:rsidRPr="002A127E" w14:paraId="3332BD53" w14:textId="77777777" w:rsidTr="007C0A01">
        <w:trPr>
          <w:cantSplit/>
        </w:trPr>
        <w:tc>
          <w:tcPr>
            <w:tcW w:w="6772" w:type="dxa"/>
            <w:vMerge/>
          </w:tcPr>
          <w:p w14:paraId="2187DE05" w14:textId="77777777" w:rsidR="007C0A01" w:rsidRDefault="007C0A01" w:rsidP="007C0A01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7" w:type="dxa"/>
          </w:tcPr>
          <w:p w14:paraId="745D1D1C" w14:textId="666E21D8" w:rsidR="007C0A01" w:rsidRPr="00786266" w:rsidRDefault="007C0A01" w:rsidP="007C0A01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6E291F" w14:paraId="5CC92C46" w14:textId="77777777" w:rsidTr="008F0106">
        <w:trPr>
          <w:cantSplit/>
        </w:trPr>
        <w:tc>
          <w:tcPr>
            <w:tcW w:w="9889" w:type="dxa"/>
            <w:gridSpan w:val="2"/>
          </w:tcPr>
          <w:p w14:paraId="3C95E043" w14:textId="053D4754" w:rsidR="006E291F" w:rsidRDefault="007C0A01" w:rsidP="00CB7A43">
            <w:pPr>
              <w:pStyle w:val="Source"/>
            </w:pPr>
            <w:bookmarkStart w:id="3" w:name="dsource" w:colFirst="0" w:colLast="0"/>
            <w:bookmarkEnd w:id="2"/>
            <w:r>
              <w:rPr>
                <w:lang w:val="en-US"/>
              </w:rPr>
              <w:t>JAPÓN</w:t>
            </w:r>
          </w:p>
        </w:tc>
      </w:tr>
      <w:tr w:rsidR="006E291F" w14:paraId="21C517DF" w14:textId="77777777" w:rsidTr="008F0106">
        <w:trPr>
          <w:cantSplit/>
        </w:trPr>
        <w:tc>
          <w:tcPr>
            <w:tcW w:w="9889" w:type="dxa"/>
            <w:gridSpan w:val="2"/>
          </w:tcPr>
          <w:p w14:paraId="2CB473A4" w14:textId="1AF8ECE6" w:rsidR="006E291F" w:rsidRPr="00B03233" w:rsidRDefault="007C0A01" w:rsidP="00B0323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240"/>
              <w:jc w:val="center"/>
              <w:rPr>
                <w:caps/>
                <w:sz w:val="28"/>
                <w:lang w:val="es-ES"/>
              </w:rPr>
            </w:pPr>
            <w:bookmarkStart w:id="4" w:name="dtitle1" w:colFirst="0" w:colLast="0"/>
            <w:bookmarkEnd w:id="3"/>
            <w:r w:rsidRPr="00616F8C">
              <w:rPr>
                <w:caps/>
                <w:sz w:val="28"/>
                <w:lang w:val="es-ES"/>
              </w:rPr>
              <w:t>AVANCES ULTERIORES EN EL MARCO DE LA RESOLUCIÓN</w:t>
            </w:r>
            <w:r w:rsidR="00057393">
              <w:rPr>
                <w:caps/>
                <w:sz w:val="28"/>
                <w:lang w:val="es-ES"/>
              </w:rPr>
              <w:br/>
            </w:r>
            <w:r w:rsidRPr="00616F8C">
              <w:rPr>
                <w:caps/>
                <w:sz w:val="28"/>
                <w:lang w:val="es-ES"/>
              </w:rPr>
              <w:t>55</w:t>
            </w:r>
            <w:r w:rsidR="00057393" w:rsidRPr="00616F8C">
              <w:rPr>
                <w:caps/>
                <w:sz w:val="28"/>
                <w:lang w:val="es-ES"/>
              </w:rPr>
              <w:t xml:space="preserve"> </w:t>
            </w:r>
            <w:r w:rsidRPr="00616F8C">
              <w:rPr>
                <w:caps/>
                <w:sz w:val="28"/>
                <w:lang w:val="es-ES"/>
              </w:rPr>
              <w:t>(REV.</w:t>
            </w:r>
            <w:r w:rsidR="00057393">
              <w:rPr>
                <w:caps/>
                <w:sz w:val="28"/>
                <w:lang w:val="es-ES"/>
              </w:rPr>
              <w:t xml:space="preserve"> </w:t>
            </w:r>
            <w:r w:rsidRPr="00616F8C">
              <w:rPr>
                <w:caps/>
                <w:sz w:val="28"/>
                <w:lang w:val="es-ES"/>
              </w:rPr>
              <w:t>CMR-23)</w:t>
            </w:r>
            <w:r w:rsidRPr="00616F8C">
              <w:rPr>
                <w:caps/>
                <w:sz w:val="28"/>
                <w:lang w:val="es-ES"/>
              </w:rPr>
              <w:br/>
            </w:r>
            <w:r w:rsidRPr="00616F8C">
              <w:rPr>
                <w:caps/>
                <w:sz w:val="28"/>
                <w:lang w:val="es-ES"/>
              </w:rPr>
              <w:br/>
              <w:t>PRESENTACIÓN Y PUBLICACIÓ</w:t>
            </w:r>
            <w:r>
              <w:rPr>
                <w:caps/>
                <w:sz w:val="28"/>
                <w:lang w:val="es-ES"/>
              </w:rPr>
              <w:t>N EN FORMATO ELECTRÓNICO DE LAS NOTIFICACIONES DE REDES DE SATÉLITES</w:t>
            </w:r>
          </w:p>
        </w:tc>
      </w:tr>
    </w:tbl>
    <w:bookmarkEnd w:id="4"/>
    <w:p w14:paraId="67E0B28D" w14:textId="77777777" w:rsidR="007C0A01" w:rsidRPr="009944C5" w:rsidRDefault="007C0A01" w:rsidP="007C0A01">
      <w:pPr>
        <w:pStyle w:val="Heading1"/>
        <w:rPr>
          <w:lang w:val="es-ES"/>
        </w:rPr>
      </w:pPr>
      <w:r w:rsidRPr="009944C5">
        <w:rPr>
          <w:rFonts w:hint="eastAsia"/>
          <w:lang w:val="es-ES" w:eastAsia="ja-JP"/>
        </w:rPr>
        <w:t>1</w:t>
      </w:r>
      <w:r w:rsidRPr="009944C5">
        <w:rPr>
          <w:lang w:val="es-ES"/>
        </w:rPr>
        <w:tab/>
        <w:t>Antecedentes</w:t>
      </w:r>
    </w:p>
    <w:p w14:paraId="322EB39A" w14:textId="7486D981" w:rsidR="007C0A01" w:rsidRPr="00616F8C" w:rsidRDefault="007C0A01" w:rsidP="007C0A01">
      <w:pPr>
        <w:rPr>
          <w:lang w:val="es-ES"/>
        </w:rPr>
      </w:pPr>
      <w:r w:rsidRPr="00616F8C">
        <w:rPr>
          <w:lang w:val="es-ES"/>
        </w:rPr>
        <w:t xml:space="preserve">En la Resolución </w:t>
      </w:r>
      <w:r w:rsidRPr="00616F8C">
        <w:rPr>
          <w:b/>
          <w:bCs/>
          <w:lang w:val="es-ES"/>
        </w:rPr>
        <w:t>908 (Rev.</w:t>
      </w:r>
      <w:r w:rsidR="00B03233">
        <w:rPr>
          <w:b/>
          <w:bCs/>
          <w:lang w:val="es-ES"/>
        </w:rPr>
        <w:t xml:space="preserve"> </w:t>
      </w:r>
      <w:r w:rsidRPr="00616F8C">
        <w:rPr>
          <w:b/>
          <w:bCs/>
          <w:lang w:val="es-ES"/>
        </w:rPr>
        <w:t>CMR-15)</w:t>
      </w:r>
      <w:r w:rsidRPr="00616F8C">
        <w:rPr>
          <w:lang w:val="es-ES"/>
        </w:rPr>
        <w:t xml:space="preserve"> se encarga al Director de la Oficina de Radiocomunicaciones (BR) que aplique un método electrónico seguro y sin papel para la presentación y publicación electrónicas de las notificaciones y observaciones de redes de satélites (denominada «e</w:t>
      </w:r>
      <w:r w:rsidR="00B03233">
        <w:rPr>
          <w:lang w:val="es-ES"/>
        </w:rPr>
        <w:noBreakHyphen/>
      </w:r>
      <w:r w:rsidRPr="00616F8C">
        <w:rPr>
          <w:lang w:val="es-ES"/>
        </w:rPr>
        <w:t xml:space="preserve">Submission»). </w:t>
      </w:r>
      <w:r w:rsidRPr="00616F8C">
        <w:rPr>
          <w:lang w:val="es-ES" w:eastAsia="ja-JP"/>
        </w:rPr>
        <w:t xml:space="preserve">Tras la CMR-23, la </w:t>
      </w:r>
      <w:r w:rsidRPr="00616F8C">
        <w:rPr>
          <w:b/>
          <w:bCs/>
          <w:lang w:val="es-ES" w:eastAsia="ja-JP"/>
        </w:rPr>
        <w:t>Resolución 908 (Rev.</w:t>
      </w:r>
      <w:r w:rsidR="00B03233">
        <w:rPr>
          <w:b/>
          <w:bCs/>
          <w:lang w:val="es-ES" w:eastAsia="ja-JP"/>
        </w:rPr>
        <w:t xml:space="preserve"> </w:t>
      </w:r>
      <w:r w:rsidRPr="00616F8C">
        <w:rPr>
          <w:b/>
          <w:bCs/>
          <w:lang w:val="es-ES" w:eastAsia="ja-JP"/>
        </w:rPr>
        <w:t>CMR-15)</w:t>
      </w:r>
      <w:r w:rsidRPr="00616F8C">
        <w:rPr>
          <w:lang w:val="es-ES" w:eastAsia="ja-JP"/>
        </w:rPr>
        <w:t xml:space="preserve"> se integró en la Resolución </w:t>
      </w:r>
      <w:r w:rsidRPr="00616F8C">
        <w:rPr>
          <w:b/>
          <w:bCs/>
          <w:lang w:val="es-ES" w:eastAsia="ja-JP"/>
        </w:rPr>
        <w:t>55 (Rev.</w:t>
      </w:r>
      <w:r w:rsidR="00B03233">
        <w:rPr>
          <w:b/>
          <w:bCs/>
          <w:lang w:val="es-ES" w:eastAsia="ja-JP"/>
        </w:rPr>
        <w:t xml:space="preserve"> </w:t>
      </w:r>
      <w:r w:rsidRPr="00616F8C">
        <w:rPr>
          <w:b/>
          <w:bCs/>
          <w:lang w:val="es-ES" w:eastAsia="ja-JP"/>
        </w:rPr>
        <w:t>CMR-23)</w:t>
      </w:r>
      <w:r w:rsidRPr="00616F8C">
        <w:rPr>
          <w:lang w:val="es-ES" w:eastAsia="ja-JP"/>
        </w:rPr>
        <w:t>, en la que se encarga a la BR que siga desarrollando y mejorando la presentación electrónica de notificaciones de redes de satélites, las comunicaciones electrónicas y las plataformas SIRRS para ajustarse a las necesidades del Reglamento de Radiocomunicaciones en lo que respecta a la presentación de notificaciones de redes de satélites y la formulación de observaciones al respecto, así como la correspondencia asociada.</w:t>
      </w:r>
    </w:p>
    <w:p w14:paraId="44ACDADC" w14:textId="74532F62" w:rsidR="007C0A01" w:rsidRPr="00616F8C" w:rsidRDefault="007C0A01" w:rsidP="007C0A01">
      <w:pPr>
        <w:rPr>
          <w:lang w:val="es-ES" w:eastAsia="ja-JP"/>
        </w:rPr>
      </w:pPr>
      <w:r w:rsidRPr="00616F8C">
        <w:rPr>
          <w:lang w:val="es-ES" w:eastAsia="ja-JP"/>
        </w:rPr>
        <w:t xml:space="preserve">Desde mayo de 2017, la Administración de Japón apoya las actividades de la BR mediante contribuciones voluntarias para apoyar la aplicación de la Resolución </w:t>
      </w:r>
      <w:r w:rsidRPr="00616F8C">
        <w:rPr>
          <w:b/>
          <w:bCs/>
          <w:lang w:val="es-ES" w:eastAsia="ja-JP"/>
        </w:rPr>
        <w:t>908 (Rev.</w:t>
      </w:r>
      <w:r w:rsidR="00B03233">
        <w:rPr>
          <w:b/>
          <w:bCs/>
          <w:lang w:val="es-ES" w:eastAsia="ja-JP"/>
        </w:rPr>
        <w:t xml:space="preserve"> </w:t>
      </w:r>
      <w:r w:rsidRPr="00616F8C">
        <w:rPr>
          <w:b/>
          <w:bCs/>
          <w:lang w:val="es-ES" w:eastAsia="ja-JP"/>
        </w:rPr>
        <w:t>CMR-15)</w:t>
      </w:r>
      <w:r w:rsidRPr="00616F8C">
        <w:rPr>
          <w:lang w:val="es-ES" w:eastAsia="ja-JP"/>
        </w:rPr>
        <w:t xml:space="preserve"> </w:t>
      </w:r>
      <w:r>
        <w:rPr>
          <w:lang w:val="es-ES" w:eastAsia="ja-JP"/>
        </w:rPr>
        <w:t>y desea seguir aportando su ayuda</w:t>
      </w:r>
      <w:r w:rsidRPr="00616F8C">
        <w:rPr>
          <w:lang w:val="es-ES" w:eastAsia="ja-JP"/>
        </w:rPr>
        <w:t xml:space="preserve">. </w:t>
      </w:r>
    </w:p>
    <w:p w14:paraId="36550170" w14:textId="58AD382C" w:rsidR="007C0A01" w:rsidRPr="00616F8C" w:rsidRDefault="007C0A01" w:rsidP="007C0A01">
      <w:pPr>
        <w:rPr>
          <w:lang w:val="es-ES" w:eastAsia="ja-JP"/>
        </w:rPr>
      </w:pPr>
      <w:r w:rsidRPr="00616F8C">
        <w:rPr>
          <w:lang w:val="es-ES" w:eastAsia="ja-JP"/>
        </w:rPr>
        <w:t>En la 32</w:t>
      </w:r>
      <w:r w:rsidR="00B03233">
        <w:rPr>
          <w:lang w:val="es-ES" w:eastAsia="ja-JP"/>
        </w:rPr>
        <w:t>.</w:t>
      </w:r>
      <w:r w:rsidRPr="00616F8C">
        <w:rPr>
          <w:lang w:val="es-ES" w:eastAsia="ja-JP"/>
        </w:rPr>
        <w:t>ª reunión del GAR, celebrada en 2025, se consideraron dos contribuciones</w:t>
      </w:r>
      <w:r w:rsidRPr="00616F8C">
        <w:rPr>
          <w:rFonts w:hint="eastAsia"/>
          <w:lang w:val="es-ES" w:eastAsia="ja-JP"/>
        </w:rPr>
        <w:t xml:space="preserve"> (</w:t>
      </w:r>
      <w:hyperlink r:id="rId8" w:history="1">
        <w:r w:rsidRPr="00616F8C">
          <w:rPr>
            <w:rStyle w:val="Hyperlink"/>
            <w:rFonts w:hint="eastAsia"/>
            <w:lang w:val="es-ES" w:eastAsia="ja-JP"/>
          </w:rPr>
          <w:t>RAG/40</w:t>
        </w:r>
      </w:hyperlink>
      <w:r w:rsidRPr="00616F8C">
        <w:rPr>
          <w:rFonts w:hint="eastAsia"/>
          <w:lang w:val="es-ES" w:eastAsia="ja-JP"/>
        </w:rPr>
        <w:t xml:space="preserve"> </w:t>
      </w:r>
      <w:r w:rsidRPr="00616F8C">
        <w:rPr>
          <w:lang w:val="es-ES" w:eastAsia="ja-JP"/>
        </w:rPr>
        <w:t>y</w:t>
      </w:r>
      <w:r w:rsidRPr="00616F8C">
        <w:rPr>
          <w:rFonts w:hint="eastAsia"/>
          <w:lang w:val="es-ES" w:eastAsia="ja-JP"/>
        </w:rPr>
        <w:t xml:space="preserve"> </w:t>
      </w:r>
      <w:hyperlink r:id="rId9" w:history="1">
        <w:r w:rsidRPr="00616F8C">
          <w:rPr>
            <w:rStyle w:val="Hyperlink"/>
            <w:rFonts w:hint="eastAsia"/>
            <w:lang w:val="es-ES" w:eastAsia="ja-JP"/>
          </w:rPr>
          <w:t>RAG/45</w:t>
        </w:r>
      </w:hyperlink>
      <w:r w:rsidRPr="00616F8C">
        <w:rPr>
          <w:rFonts w:hint="eastAsia"/>
          <w:lang w:val="es-ES" w:eastAsia="ja-JP"/>
        </w:rPr>
        <w:t>)</w:t>
      </w:r>
      <w:r w:rsidRPr="00616F8C">
        <w:rPr>
          <w:lang w:val="es-ES" w:eastAsia="ja-JP"/>
        </w:rPr>
        <w:t xml:space="preserve"> sobre los avances ulteriores en el marco de la Resolución </w:t>
      </w:r>
      <w:r w:rsidRPr="00616F8C">
        <w:rPr>
          <w:b/>
          <w:bCs/>
          <w:lang w:val="es-ES" w:eastAsia="ja-JP"/>
        </w:rPr>
        <w:t>55 (Rev.</w:t>
      </w:r>
      <w:r>
        <w:rPr>
          <w:b/>
          <w:bCs/>
          <w:lang w:val="es-ES" w:eastAsia="ja-JP"/>
        </w:rPr>
        <w:t xml:space="preserve"> </w:t>
      </w:r>
      <w:r w:rsidRPr="00616F8C">
        <w:rPr>
          <w:b/>
          <w:bCs/>
          <w:lang w:val="es-ES" w:eastAsia="ja-JP"/>
        </w:rPr>
        <w:t>CM</w:t>
      </w:r>
      <w:r>
        <w:rPr>
          <w:b/>
          <w:bCs/>
          <w:lang w:val="es-ES" w:eastAsia="ja-JP"/>
        </w:rPr>
        <w:t>R</w:t>
      </w:r>
      <w:r w:rsidRPr="00616F8C">
        <w:rPr>
          <w:b/>
          <w:bCs/>
          <w:lang w:val="es-ES" w:eastAsia="ja-JP"/>
        </w:rPr>
        <w:t>-23)</w:t>
      </w:r>
      <w:r w:rsidRPr="00616F8C">
        <w:rPr>
          <w:lang w:val="es-ES" w:eastAsia="ja-JP"/>
        </w:rPr>
        <w:t xml:space="preserve"> </w:t>
      </w:r>
      <w:r>
        <w:rPr>
          <w:lang w:val="es-ES" w:eastAsia="ja-JP"/>
        </w:rPr>
        <w:t>en relación con la presentación y publicación en formato electrónico de las notificaciones de redes de satélites, y se invitó a la BR a perseverar en su empeño dentro de los límites financieros</w:t>
      </w:r>
      <w:r w:rsidRPr="00616F8C">
        <w:rPr>
          <w:lang w:val="es-ES" w:eastAsia="ja-JP"/>
        </w:rPr>
        <w:t>.</w:t>
      </w:r>
      <w:r w:rsidRPr="00616F8C">
        <w:rPr>
          <w:rFonts w:hint="eastAsia"/>
          <w:lang w:val="es-ES" w:eastAsia="ja-JP"/>
        </w:rPr>
        <w:t xml:space="preserve"> </w:t>
      </w:r>
    </w:p>
    <w:p w14:paraId="76250585" w14:textId="77777777" w:rsidR="007C0A01" w:rsidRPr="009944C5" w:rsidRDefault="007C0A01" w:rsidP="007C0A01">
      <w:pPr>
        <w:pStyle w:val="Heading1"/>
        <w:rPr>
          <w:lang w:val="es-ES"/>
        </w:rPr>
      </w:pPr>
      <w:r w:rsidRPr="009944C5">
        <w:rPr>
          <w:lang w:val="es-ES"/>
        </w:rPr>
        <w:t>2</w:t>
      </w:r>
      <w:r w:rsidRPr="009944C5">
        <w:rPr>
          <w:lang w:val="es-ES"/>
        </w:rPr>
        <w:tab/>
        <w:t>Propuestas</w:t>
      </w:r>
    </w:p>
    <w:p w14:paraId="0551A55F" w14:textId="77777777" w:rsidR="007C0A01" w:rsidRPr="00616F8C" w:rsidRDefault="007C0A01" w:rsidP="007C0A01">
      <w:pPr>
        <w:rPr>
          <w:lang w:val="es-ES" w:eastAsia="ja-JP"/>
        </w:rPr>
      </w:pPr>
      <w:r w:rsidRPr="00616F8C">
        <w:rPr>
          <w:lang w:val="es-ES" w:eastAsia="ja-JP"/>
        </w:rPr>
        <w:t xml:space="preserve">Si bien Japón reconoce que los esfuerzos de la BR en este proyecto han logrado avances significativos, Japón desea reiterar la importancia de ampliar e-Submission y e-Communications, y continuar la mejora del </w:t>
      </w:r>
      <w:r w:rsidRPr="00B03233">
        <w:rPr>
          <w:i/>
          <w:iCs/>
          <w:lang w:val="es-ES" w:eastAsia="ja-JP"/>
        </w:rPr>
        <w:t>software</w:t>
      </w:r>
      <w:r w:rsidRPr="00616F8C">
        <w:rPr>
          <w:lang w:val="es-ES" w:eastAsia="ja-JP"/>
        </w:rPr>
        <w:t xml:space="preserve"> conexo a fin de aumentar la eficiencia y la rapidez de los procedimientos de coordinación de satélites, incluidos los procedimientos de examen y publicación llevados a cabo por la BR. </w:t>
      </w:r>
    </w:p>
    <w:p w14:paraId="2841F046" w14:textId="77777777" w:rsidR="007C0A01" w:rsidRPr="00616F8C" w:rsidRDefault="007C0A01" w:rsidP="007C0A01">
      <w:pPr>
        <w:rPr>
          <w:lang w:val="es-ES" w:eastAsia="ja-JP"/>
        </w:rPr>
      </w:pPr>
      <w:r w:rsidRPr="00616F8C">
        <w:rPr>
          <w:lang w:val="es-ES" w:eastAsia="ja-JP"/>
        </w:rPr>
        <w:t xml:space="preserve">Como continuación de los debates mantenidos en previas reuniones del GAR, Japón desea proponer las siguientes sugerencias </w:t>
      </w:r>
      <w:r>
        <w:rPr>
          <w:lang w:val="es-ES" w:eastAsia="ja-JP"/>
        </w:rPr>
        <w:t>para</w:t>
      </w:r>
      <w:r w:rsidRPr="00616F8C">
        <w:rPr>
          <w:lang w:val="es-ES" w:eastAsia="ja-JP"/>
        </w:rPr>
        <w:t xml:space="preserve"> los puntos 2.1 a 2.</w:t>
      </w:r>
      <w:r>
        <w:rPr>
          <w:lang w:val="es-ES" w:eastAsia="ja-JP"/>
        </w:rPr>
        <w:t>3</w:t>
      </w:r>
      <w:r w:rsidRPr="00616F8C">
        <w:rPr>
          <w:lang w:val="es-ES" w:eastAsia="ja-JP"/>
        </w:rPr>
        <w:t>.</w:t>
      </w:r>
    </w:p>
    <w:p w14:paraId="04AB8134" w14:textId="0F6CD26E" w:rsidR="007C0A01" w:rsidRPr="00616F8C" w:rsidRDefault="007C0A01" w:rsidP="007C0A01">
      <w:pPr>
        <w:pStyle w:val="Heading2"/>
        <w:rPr>
          <w:lang w:val="es-ES" w:eastAsia="ja-JP"/>
        </w:rPr>
      </w:pPr>
      <w:r w:rsidRPr="00616F8C">
        <w:rPr>
          <w:lang w:val="es-ES"/>
        </w:rPr>
        <w:lastRenderedPageBreak/>
        <w:t>2.</w:t>
      </w:r>
      <w:r w:rsidRPr="00616F8C">
        <w:rPr>
          <w:lang w:val="es-ES" w:eastAsia="ja-JP"/>
        </w:rPr>
        <w:t>1</w:t>
      </w:r>
      <w:r w:rsidRPr="00616F8C">
        <w:rPr>
          <w:lang w:val="es-ES"/>
        </w:rPr>
        <w:tab/>
        <w:t xml:space="preserve">Poner el sistema e-Communications a disposición de los operadores de satélites y alentar a las </w:t>
      </w:r>
      <w:r>
        <w:rPr>
          <w:lang w:val="es-ES"/>
        </w:rPr>
        <w:t>administraciones a utilizarlo</w:t>
      </w:r>
    </w:p>
    <w:p w14:paraId="42885E37" w14:textId="7DD80BB8" w:rsidR="007C0A01" w:rsidRPr="00616F8C" w:rsidRDefault="007C0A01" w:rsidP="007C0A01">
      <w:pPr>
        <w:rPr>
          <w:color w:val="000000" w:themeColor="text1"/>
          <w:lang w:val="es-ES" w:eastAsia="ja-JP"/>
        </w:rPr>
      </w:pPr>
      <w:r w:rsidRPr="00616F8C">
        <w:rPr>
          <w:lang w:val="es-ES" w:eastAsia="ja-JP"/>
        </w:rPr>
        <w:t>La comunicación entre las administraciones y los operadores de satélites se ha realizado principalmente por correo electrónico</w:t>
      </w:r>
      <w:r w:rsidRPr="00616F8C">
        <w:rPr>
          <w:rFonts w:hint="eastAsia"/>
          <w:lang w:val="es-ES" w:eastAsia="ja-JP"/>
        </w:rPr>
        <w:t xml:space="preserve">. </w:t>
      </w:r>
      <w:r w:rsidRPr="00616F8C">
        <w:rPr>
          <w:lang w:val="es-ES" w:eastAsia="ja-JP"/>
        </w:rPr>
        <w:t>Por otra parte, la comunicación entre la BR y las administraciones se efectúa cada vez más a través de e-Communications</w:t>
      </w:r>
      <w:r w:rsidRPr="00616F8C">
        <w:rPr>
          <w:rFonts w:hint="eastAsia"/>
          <w:lang w:val="es-ES" w:eastAsia="ja-JP"/>
        </w:rPr>
        <w:t xml:space="preserve">. </w:t>
      </w:r>
      <w:r w:rsidRPr="00616F8C">
        <w:rPr>
          <w:lang w:val="es-ES" w:eastAsia="ja-JP"/>
        </w:rPr>
        <w:t xml:space="preserve">En la Resolución </w:t>
      </w:r>
      <w:r w:rsidRPr="00CD17A7">
        <w:rPr>
          <w:b/>
          <w:bCs/>
          <w:lang w:val="es-ES" w:eastAsia="ja-JP"/>
        </w:rPr>
        <w:t>55</w:t>
      </w:r>
      <w:r w:rsidR="00B03233" w:rsidRPr="00CD17A7">
        <w:rPr>
          <w:b/>
          <w:bCs/>
          <w:lang w:val="es-ES" w:eastAsia="ja-JP"/>
        </w:rPr>
        <w:t> </w:t>
      </w:r>
      <w:r w:rsidRPr="00CD17A7">
        <w:rPr>
          <w:b/>
          <w:bCs/>
          <w:lang w:val="es-ES" w:eastAsia="ja-JP"/>
        </w:rPr>
        <w:t>(Rev.</w:t>
      </w:r>
      <w:r w:rsidR="00CD17A7" w:rsidRPr="00CD17A7">
        <w:rPr>
          <w:b/>
          <w:bCs/>
          <w:lang w:val="es-ES" w:eastAsia="ja-JP"/>
        </w:rPr>
        <w:t> </w:t>
      </w:r>
      <w:r w:rsidRPr="00CD17A7">
        <w:rPr>
          <w:b/>
          <w:bCs/>
          <w:lang w:val="es-ES" w:eastAsia="ja-JP"/>
        </w:rPr>
        <w:t>CMR-23)</w:t>
      </w:r>
      <w:r w:rsidRPr="00616F8C">
        <w:rPr>
          <w:lang w:val="es-ES" w:eastAsia="ja-JP"/>
        </w:rPr>
        <w:t>, se resuelve lo siguiente:</w:t>
      </w:r>
    </w:p>
    <w:p w14:paraId="1DEE6787" w14:textId="77777777" w:rsidR="007C0A01" w:rsidRPr="00616F8C" w:rsidRDefault="007C0A01" w:rsidP="007C0A01">
      <w:pPr>
        <w:pStyle w:val="Call"/>
        <w:rPr>
          <w:lang w:val="es-ES" w:eastAsia="ja-JP"/>
        </w:rPr>
      </w:pPr>
      <w:r w:rsidRPr="00616F8C">
        <w:rPr>
          <w:lang w:val="es-ES"/>
        </w:rPr>
        <w:t>resuelve</w:t>
      </w:r>
    </w:p>
    <w:p w14:paraId="5E065C24" w14:textId="77777777" w:rsidR="007C0A01" w:rsidRPr="00616F8C" w:rsidRDefault="007C0A01" w:rsidP="007C0A01">
      <w:pPr>
        <w:rPr>
          <w:color w:val="000000" w:themeColor="text1"/>
          <w:lang w:val="es-ES" w:eastAsia="ja-JP"/>
        </w:rPr>
      </w:pPr>
      <w:r w:rsidRPr="00616F8C">
        <w:rPr>
          <w:color w:val="000000" w:themeColor="text1"/>
          <w:lang w:val="es-ES" w:eastAsia="ja-JP"/>
        </w:rPr>
        <w:t>…</w:t>
      </w:r>
      <w:r w:rsidRPr="00616F8C">
        <w:rPr>
          <w:rFonts w:hint="eastAsia"/>
          <w:color w:val="000000" w:themeColor="text1"/>
          <w:lang w:val="es-ES" w:eastAsia="ja-JP"/>
        </w:rPr>
        <w:t>..</w:t>
      </w:r>
    </w:p>
    <w:p w14:paraId="3509B076" w14:textId="77777777" w:rsidR="007C0A01" w:rsidRPr="00616F8C" w:rsidRDefault="007C0A01" w:rsidP="007C0A01">
      <w:pPr>
        <w:rPr>
          <w:lang w:val="es-ES"/>
        </w:rPr>
      </w:pPr>
      <w:r w:rsidRPr="00616F8C">
        <w:rPr>
          <w:lang w:val="es-ES"/>
        </w:rPr>
        <w:t>8</w:t>
      </w:r>
      <w:r w:rsidRPr="00616F8C">
        <w:rPr>
          <w:lang w:val="es-ES"/>
        </w:rPr>
        <w:tab/>
        <w:t>que se utilice siempre que sea posible la plataforma web de comunicaciones electrónicas de la UIT para la correspondencia administrativa entre las administraciones y la BR en relación con la publicación anticipada, la coordinación, la notificación y la inscripción, en particular la relacionada con los Apéndices 30, 30A y 30B, para redes de satélites, estaciones terrenas y estaciones de radioastronomía;</w:t>
      </w:r>
    </w:p>
    <w:p w14:paraId="4FC38179" w14:textId="77777777" w:rsidR="007C0A01" w:rsidRPr="00616F8C" w:rsidRDefault="007C0A01" w:rsidP="007C0A01">
      <w:pPr>
        <w:rPr>
          <w:lang w:val="es-ES"/>
        </w:rPr>
      </w:pPr>
      <w:r w:rsidRPr="00616F8C">
        <w:rPr>
          <w:lang w:val="es-ES"/>
        </w:rPr>
        <w:t>10</w:t>
      </w:r>
      <w:r w:rsidRPr="00616F8C">
        <w:rPr>
          <w:lang w:val="es-ES"/>
        </w:rPr>
        <w:tab/>
        <w:t>que donde se mencionan los términos «telegrama», «télex» y «fax» en las disposiciones relativas a la publicación anticipada, la coordinación, la notificación y la inscripción de sistemas o redes de satélites, estaciones terrenas y estaciones de radioastronomía, incluidas las de los Apéndices 30, 30A y 30B y las Resoluciones conexas, se utilice en su lugar la plataforma de «comunicaciones electrónicas»;</w:t>
      </w:r>
    </w:p>
    <w:p w14:paraId="1A4ADA4C" w14:textId="77777777" w:rsidR="007C0A01" w:rsidRPr="009944C5" w:rsidRDefault="007C0A01" w:rsidP="007C0A01">
      <w:pPr>
        <w:rPr>
          <w:color w:val="000000" w:themeColor="text1"/>
          <w:lang w:val="es-ES" w:eastAsia="ja-JP"/>
        </w:rPr>
      </w:pPr>
      <w:r w:rsidRPr="009944C5">
        <w:rPr>
          <w:color w:val="000000" w:themeColor="text1"/>
          <w:lang w:val="es-ES" w:eastAsia="ja-JP"/>
        </w:rPr>
        <w:t>…</w:t>
      </w:r>
      <w:r w:rsidRPr="009944C5">
        <w:rPr>
          <w:rFonts w:hint="eastAsia"/>
          <w:color w:val="000000" w:themeColor="text1"/>
          <w:lang w:val="es-ES" w:eastAsia="ja-JP"/>
        </w:rPr>
        <w:t>..</w:t>
      </w:r>
    </w:p>
    <w:p w14:paraId="165BA6DD" w14:textId="20296C4F" w:rsidR="007C0A01" w:rsidRPr="006B06F2" w:rsidRDefault="007C0A01" w:rsidP="00B03233">
      <w:pPr>
        <w:rPr>
          <w:lang w:val="es-ES" w:eastAsia="ja-JP"/>
        </w:rPr>
      </w:pPr>
      <w:r w:rsidRPr="006B06F2">
        <w:rPr>
          <w:lang w:val="es-ES" w:eastAsia="ja-JP"/>
        </w:rPr>
        <w:t>Como se indica en el Documento</w:t>
      </w:r>
      <w:r w:rsidRPr="006B06F2">
        <w:rPr>
          <w:rFonts w:hint="eastAsia"/>
          <w:lang w:val="es-ES" w:eastAsia="ja-JP"/>
        </w:rPr>
        <w:t xml:space="preserve"> </w:t>
      </w:r>
      <w:hyperlink r:id="rId10" w:history="1">
        <w:r w:rsidRPr="006B06F2">
          <w:rPr>
            <w:rStyle w:val="Hyperlink"/>
            <w:rFonts w:hint="eastAsia"/>
            <w:lang w:val="es-ES" w:eastAsia="ja-JP"/>
          </w:rPr>
          <w:t>RAG/40</w:t>
        </w:r>
      </w:hyperlink>
      <w:r w:rsidRPr="006B06F2">
        <w:rPr>
          <w:rFonts w:hint="eastAsia"/>
          <w:u w:val="single"/>
          <w:lang w:val="es-ES" w:eastAsia="ja-JP"/>
        </w:rPr>
        <w:t>,</w:t>
      </w:r>
      <w:r w:rsidRPr="006B06F2">
        <w:rPr>
          <w:rFonts w:hint="eastAsia"/>
          <w:lang w:val="es-ES" w:eastAsia="ja-JP"/>
        </w:rPr>
        <w:t xml:space="preserve"> </w:t>
      </w:r>
      <w:r>
        <w:rPr>
          <w:lang w:val="es-ES"/>
        </w:rPr>
        <w:t>la tasa de utilización ha aumentado gradualmente desde su introducción y recientemente se ha situado en torno al 80</w:t>
      </w:r>
      <w:r w:rsidR="00B03233">
        <w:rPr>
          <w:lang w:val="es-ES"/>
        </w:rPr>
        <w:t> </w:t>
      </w:r>
      <w:r>
        <w:rPr>
          <w:lang w:val="es-ES"/>
        </w:rPr>
        <w:t>%</w:t>
      </w:r>
      <w:r w:rsidRPr="006B06F2">
        <w:rPr>
          <w:vertAlign w:val="superscript"/>
          <w:lang w:val="es-ES" w:eastAsia="ja-JP"/>
        </w:rPr>
        <w:t xml:space="preserve"> [1]</w:t>
      </w:r>
      <w:r w:rsidRPr="006B06F2">
        <w:rPr>
          <w:lang w:val="es-ES" w:eastAsia="ja-JP"/>
        </w:rPr>
        <w:t xml:space="preserve">. </w:t>
      </w:r>
      <w:r>
        <w:rPr>
          <w:lang w:val="es-ES"/>
        </w:rPr>
        <w:t xml:space="preserve">La plataforma de comunicaciones electrónicas se utilizará básicamente de conformidad con la Resolución </w:t>
      </w:r>
      <w:r w:rsidRPr="002F1C9E">
        <w:rPr>
          <w:b/>
          <w:bCs/>
          <w:lang w:val="es-ES"/>
        </w:rPr>
        <w:t>55 (Rev.</w:t>
      </w:r>
      <w:r w:rsidR="00B03233">
        <w:rPr>
          <w:b/>
          <w:bCs/>
          <w:lang w:val="es-ES"/>
        </w:rPr>
        <w:t xml:space="preserve"> </w:t>
      </w:r>
      <w:r w:rsidRPr="002F1C9E">
        <w:rPr>
          <w:b/>
          <w:bCs/>
          <w:lang w:val="es-ES"/>
        </w:rPr>
        <w:t>CMR</w:t>
      </w:r>
      <w:r>
        <w:rPr>
          <w:b/>
          <w:bCs/>
          <w:lang w:val="es-ES"/>
        </w:rPr>
        <w:t>-</w:t>
      </w:r>
      <w:r w:rsidRPr="002F1C9E">
        <w:rPr>
          <w:b/>
          <w:bCs/>
          <w:lang w:val="es-ES"/>
        </w:rPr>
        <w:t>23)</w:t>
      </w:r>
      <w:r>
        <w:rPr>
          <w:lang w:val="es-ES"/>
        </w:rPr>
        <w:t xml:space="preserve"> si no hay dificultades en su utilización</w:t>
      </w:r>
      <w:r w:rsidRPr="006B06F2">
        <w:rPr>
          <w:lang w:val="es-ES" w:eastAsia="ja-JP"/>
        </w:rPr>
        <w:t xml:space="preserve">. </w:t>
      </w:r>
    </w:p>
    <w:p w14:paraId="58BA34A0" w14:textId="29021DFF" w:rsidR="007C0A01" w:rsidRPr="006B06F2" w:rsidRDefault="007C0A01" w:rsidP="00B03233">
      <w:pPr>
        <w:rPr>
          <w:lang w:val="es-ES" w:eastAsia="ja-JP"/>
        </w:rPr>
      </w:pPr>
      <w:r w:rsidRPr="006B06F2">
        <w:rPr>
          <w:lang w:val="es-ES" w:eastAsia="ja-JP"/>
        </w:rPr>
        <w:t>La Oficina ha progresado en sus trabajos para permitir a los operadores de satélites utilizar el sistema</w:t>
      </w:r>
      <w:r w:rsidRPr="006B06F2">
        <w:rPr>
          <w:rFonts w:eastAsia="Calibri"/>
          <w:lang w:val="es-ES"/>
        </w:rPr>
        <w:t xml:space="preserve"> e-Communications e</w:t>
      </w:r>
      <w:r>
        <w:rPr>
          <w:rFonts w:eastAsia="Calibri"/>
          <w:lang w:val="es-ES"/>
        </w:rPr>
        <w:t>n respuesta a las solicitudes formuladas en anteriores reuniones d</w:t>
      </w:r>
      <w:r w:rsidR="00B03233">
        <w:rPr>
          <w:rFonts w:eastAsia="Calibri"/>
          <w:lang w:val="es-ES"/>
        </w:rPr>
        <w:t>el</w:t>
      </w:r>
      <w:r>
        <w:rPr>
          <w:rFonts w:eastAsia="Calibri"/>
          <w:lang w:val="es-ES"/>
        </w:rPr>
        <w:t xml:space="preserve"> GAR, como se indica en el Documento</w:t>
      </w:r>
      <w:r w:rsidRPr="006B06F2">
        <w:rPr>
          <w:lang w:val="es-ES" w:eastAsia="ja-JP"/>
        </w:rPr>
        <w:t xml:space="preserve"> </w:t>
      </w:r>
      <w:hyperlink r:id="rId11" w:history="1">
        <w:r w:rsidRPr="006B06F2">
          <w:rPr>
            <w:rStyle w:val="Hyperlink"/>
            <w:lang w:val="es-ES" w:eastAsia="ja-JP"/>
          </w:rPr>
          <w:t>RAG/58</w:t>
        </w:r>
      </w:hyperlink>
      <w:r w:rsidRPr="006B06F2">
        <w:rPr>
          <w:lang w:val="es-ES" w:eastAsia="ja-JP"/>
        </w:rPr>
        <w:t xml:space="preserve">. La utilización sistemática de las comunicaciones electrónicas por parte de las administraciones y los operadores racionalizará aún más las comunicaciones para la coordinación de satélites. </w:t>
      </w:r>
    </w:p>
    <w:p w14:paraId="5CE2F741" w14:textId="77777777" w:rsidR="007C0A01" w:rsidRPr="006B06F2" w:rsidRDefault="007C0A01" w:rsidP="007C0A01">
      <w:pPr>
        <w:keepNext/>
        <w:keepLines/>
        <w:rPr>
          <w:lang w:val="es-ES" w:eastAsia="ja-JP"/>
        </w:rPr>
      </w:pPr>
      <w:r w:rsidRPr="006B06F2">
        <w:rPr>
          <w:lang w:val="es-ES" w:eastAsia="ja-JP"/>
        </w:rPr>
        <w:t>Para seguir mejorando la capacidad del sistema, Japón des</w:t>
      </w:r>
      <w:r>
        <w:rPr>
          <w:lang w:val="es-ES" w:eastAsia="ja-JP"/>
        </w:rPr>
        <w:t>e</w:t>
      </w:r>
      <w:r w:rsidRPr="006B06F2">
        <w:rPr>
          <w:lang w:val="es-ES" w:eastAsia="ja-JP"/>
        </w:rPr>
        <w:t xml:space="preserve">aría solicitar que la </w:t>
      </w:r>
      <w:r>
        <w:rPr>
          <w:lang w:val="es-ES" w:eastAsia="ja-JP"/>
        </w:rPr>
        <w:t>BR</w:t>
      </w:r>
      <w:r w:rsidRPr="006B06F2">
        <w:rPr>
          <w:lang w:val="es-ES" w:eastAsia="ja-JP"/>
        </w:rPr>
        <w:t>:</w:t>
      </w:r>
    </w:p>
    <w:p w14:paraId="0A346CAE" w14:textId="090FB2C6" w:rsidR="007C0A01" w:rsidRPr="006B06F2" w:rsidRDefault="00B03233" w:rsidP="00B03233">
      <w:pPr>
        <w:pStyle w:val="enumlev1"/>
        <w:rPr>
          <w:color w:val="000000" w:themeColor="text1"/>
          <w:lang w:val="es-ES" w:eastAsia="ja-JP"/>
        </w:rPr>
      </w:pPr>
      <w:r>
        <w:rPr>
          <w:lang w:val="es-ES" w:eastAsia="ja-JP"/>
        </w:rPr>
        <w:t>1)</w:t>
      </w:r>
      <w:r>
        <w:rPr>
          <w:lang w:val="es-ES" w:eastAsia="ja-JP"/>
        </w:rPr>
        <w:tab/>
      </w:r>
      <w:r w:rsidR="007C0A01" w:rsidRPr="006B06F2">
        <w:rPr>
          <w:lang w:val="es-ES" w:eastAsia="ja-JP"/>
        </w:rPr>
        <w:t>Siga considerando la posibilidad de permitir a los operadores de satélites utilizar</w:t>
      </w:r>
      <w:r w:rsidR="007C0A01" w:rsidRPr="006B06F2">
        <w:rPr>
          <w:rFonts w:hint="eastAsia"/>
          <w:lang w:val="es-ES" w:eastAsia="ja-JP"/>
        </w:rPr>
        <w:t xml:space="preserve"> e-Communications </w:t>
      </w:r>
      <w:r w:rsidR="007C0A01" w:rsidRPr="006B06F2">
        <w:rPr>
          <w:lang w:val="es-ES" w:eastAsia="ja-JP"/>
        </w:rPr>
        <w:t>a</w:t>
      </w:r>
      <w:r w:rsidR="007C0A01">
        <w:rPr>
          <w:lang w:val="es-ES" w:eastAsia="ja-JP"/>
        </w:rPr>
        <w:t xml:space="preserve"> fin de que las administraciones puedan coordinarse eficazmente con sus operadores de satélites nacionales. </w:t>
      </w:r>
      <w:r w:rsidR="007C0A01" w:rsidRPr="006B06F2">
        <w:rPr>
          <w:lang w:val="es-ES" w:eastAsia="ja-JP"/>
        </w:rPr>
        <w:t xml:space="preserve">Como se habló en anteriores reuniones del GAR, el sistema </w:t>
      </w:r>
      <w:r w:rsidR="007C0A01">
        <w:rPr>
          <w:lang w:val="es-ES" w:eastAsia="ja-JP"/>
        </w:rPr>
        <w:t xml:space="preserve">debe estar diseñado de tal manera que los operadores no puedan acceder a la información de otros operadores (este concepto se ilustra en la Figura 1. </w:t>
      </w:r>
      <w:r w:rsidR="007C0A01" w:rsidRPr="006B06F2">
        <w:rPr>
          <w:lang w:val="es-ES" w:eastAsia="ja-JP"/>
        </w:rPr>
        <w:t>La imagen es idéntica a la presentada en el Documento</w:t>
      </w:r>
      <w:r w:rsidR="007C0A01" w:rsidRPr="006B06F2">
        <w:rPr>
          <w:rFonts w:hint="eastAsia"/>
          <w:lang w:val="es-ES" w:eastAsia="ja-JP"/>
        </w:rPr>
        <w:t xml:space="preserve"> </w:t>
      </w:r>
      <w:hyperlink r:id="rId12" w:history="1">
        <w:r w:rsidR="007C0A01" w:rsidRPr="006B06F2">
          <w:rPr>
            <w:rStyle w:val="Hyperlink"/>
            <w:rFonts w:hint="eastAsia"/>
            <w:lang w:val="es-ES" w:eastAsia="ja-JP"/>
          </w:rPr>
          <w:t>RAG/40</w:t>
        </w:r>
      </w:hyperlink>
      <w:r w:rsidR="007C0A01" w:rsidRPr="006B06F2">
        <w:rPr>
          <w:rFonts w:hint="eastAsia"/>
          <w:lang w:val="es-ES" w:eastAsia="ja-JP"/>
        </w:rPr>
        <w:t>)</w:t>
      </w:r>
      <w:r w:rsidR="007C0A01" w:rsidRPr="006B06F2">
        <w:rPr>
          <w:lang w:val="es-ES" w:eastAsia="ja-JP"/>
        </w:rPr>
        <w:t xml:space="preserve">, y debe dejarse a la discreción exclusiva de cada administración determinar caso por caso </w:t>
      </w:r>
      <w:r w:rsidR="007C0A01">
        <w:rPr>
          <w:lang w:val="es-ES" w:eastAsia="ja-JP"/>
        </w:rPr>
        <w:t>qué información compartir, en qué medida y con quién</w:t>
      </w:r>
      <w:r w:rsidR="007C0A01" w:rsidRPr="006B06F2">
        <w:rPr>
          <w:lang w:val="es-ES" w:eastAsia="ja-JP"/>
        </w:rPr>
        <w:t>.</w:t>
      </w:r>
    </w:p>
    <w:p w14:paraId="183A108D" w14:textId="069EB34A" w:rsidR="007C0A01" w:rsidRPr="005B0615" w:rsidRDefault="00B03233" w:rsidP="00B03233">
      <w:pPr>
        <w:pStyle w:val="enumlev1"/>
        <w:rPr>
          <w:color w:val="000000" w:themeColor="text1"/>
          <w:lang w:val="es-ES" w:eastAsia="ja-JP"/>
        </w:rPr>
      </w:pPr>
      <w:r>
        <w:rPr>
          <w:color w:val="000000" w:themeColor="text1"/>
          <w:lang w:val="es-ES" w:eastAsia="ja-JP"/>
        </w:rPr>
        <w:t>2)</w:t>
      </w:r>
      <w:r>
        <w:rPr>
          <w:color w:val="000000" w:themeColor="text1"/>
          <w:lang w:val="es-ES" w:eastAsia="ja-JP"/>
        </w:rPr>
        <w:tab/>
      </w:r>
      <w:r w:rsidR="007C0A01" w:rsidRPr="006B06F2">
        <w:rPr>
          <w:color w:val="000000" w:themeColor="text1"/>
          <w:lang w:val="es-ES" w:eastAsia="ja-JP"/>
        </w:rPr>
        <w:t xml:space="preserve">Añada en la configuración de e‑Communications una función que permita a los usuarios insertar automáticamente un texto predefinido en el cuerpo del mensaje, por ejemplo, la firma del emisor, como ofrecen </w:t>
      </w:r>
      <w:r w:rsidR="007C0A01">
        <w:rPr>
          <w:color w:val="000000" w:themeColor="text1"/>
          <w:lang w:val="es-ES" w:eastAsia="ja-JP"/>
        </w:rPr>
        <w:t xml:space="preserve">las aplicaciones cliente de correo electrónico habituales, pues el actual sistema no inserta texto automáticamente, por ejemplo, el nombre, el cargo, los datos de contacto alternativos, etc. del funcionario. </w:t>
      </w:r>
      <w:r w:rsidR="007C0A01" w:rsidRPr="005B0615">
        <w:rPr>
          <w:color w:val="000000" w:themeColor="text1"/>
          <w:lang w:val="es-ES" w:eastAsia="ja-JP"/>
        </w:rPr>
        <w:t>Habida cuenta de que algunas administraciones suelen recurrir a plantillas de texto, la inclusión de esa funcionalidad aumentaría notablemente la eficiencia</w:t>
      </w:r>
      <w:r w:rsidR="007C0A01" w:rsidRPr="005B0615">
        <w:rPr>
          <w:rFonts w:hint="eastAsia"/>
          <w:color w:val="000000" w:themeColor="text1"/>
          <w:lang w:val="es-ES" w:eastAsia="ja-JP"/>
        </w:rPr>
        <w:t>.</w:t>
      </w:r>
    </w:p>
    <w:p w14:paraId="0699B3B0" w14:textId="7B5AEB9D" w:rsidR="007C0A01" w:rsidRPr="005B0615" w:rsidRDefault="00B03233" w:rsidP="00B03233">
      <w:pPr>
        <w:pStyle w:val="enumlev1"/>
        <w:rPr>
          <w:color w:val="000000" w:themeColor="text1"/>
          <w:lang w:val="es-ES" w:eastAsia="ja-JP"/>
        </w:rPr>
      </w:pPr>
      <w:r>
        <w:rPr>
          <w:lang w:val="es-ES" w:eastAsia="ja-JP"/>
        </w:rPr>
        <w:lastRenderedPageBreak/>
        <w:t>3)</w:t>
      </w:r>
      <w:r>
        <w:rPr>
          <w:lang w:val="es-ES" w:eastAsia="ja-JP"/>
        </w:rPr>
        <w:tab/>
      </w:r>
      <w:r w:rsidR="007C0A01" w:rsidRPr="005B0615">
        <w:rPr>
          <w:lang w:val="es-ES" w:eastAsia="ja-JP"/>
        </w:rPr>
        <w:t>Aliente a las administraciones a utilizar</w:t>
      </w:r>
      <w:r w:rsidR="007C0A01" w:rsidRPr="005B0615">
        <w:rPr>
          <w:rFonts w:hint="eastAsia"/>
          <w:lang w:val="es-ES" w:eastAsia="ja-JP"/>
        </w:rPr>
        <w:t xml:space="preserve"> e-Communications </w:t>
      </w:r>
      <w:r w:rsidR="007C0A01" w:rsidRPr="005B0615">
        <w:rPr>
          <w:lang w:val="es-ES" w:eastAsia="ja-JP"/>
        </w:rPr>
        <w:t xml:space="preserve">y analice los motivos por los que algunas administraciones no utilizan el sistema y </w:t>
      </w:r>
      <w:r w:rsidR="007C0A01">
        <w:rPr>
          <w:lang w:val="es-ES" w:eastAsia="ja-JP"/>
        </w:rPr>
        <w:t>utilice las conclusiones para seguir desarrollando el sistema</w:t>
      </w:r>
      <w:r w:rsidR="007C0A01" w:rsidRPr="005B0615">
        <w:rPr>
          <w:rFonts w:hint="eastAsia"/>
          <w:lang w:val="es-ES" w:eastAsia="ja-JP"/>
        </w:rPr>
        <w:t>.</w:t>
      </w:r>
      <w:r w:rsidR="007C0A01" w:rsidRPr="005B0615">
        <w:rPr>
          <w:color w:val="000000" w:themeColor="text1"/>
          <w:lang w:val="es-ES" w:eastAsia="ja-JP"/>
        </w:rPr>
        <w:t xml:space="preserve"> </w:t>
      </w:r>
    </w:p>
    <w:p w14:paraId="518F1ED5" w14:textId="02A0F711" w:rsidR="007C0A01" w:rsidRPr="005B0615" w:rsidRDefault="00B03233" w:rsidP="00B03233">
      <w:pPr>
        <w:pStyle w:val="enumlev1"/>
        <w:rPr>
          <w:color w:val="000000" w:themeColor="text1"/>
          <w:lang w:val="es-ES" w:eastAsia="ja-JP"/>
        </w:rPr>
      </w:pPr>
      <w:r>
        <w:rPr>
          <w:color w:val="000000" w:themeColor="text1"/>
          <w:lang w:val="es-ES" w:eastAsia="ja-JP"/>
        </w:rPr>
        <w:t>4)</w:t>
      </w:r>
      <w:r>
        <w:rPr>
          <w:color w:val="000000" w:themeColor="text1"/>
          <w:lang w:val="es-ES" w:eastAsia="ja-JP"/>
        </w:rPr>
        <w:tab/>
      </w:r>
      <w:r w:rsidR="007C0A01" w:rsidRPr="005B0615">
        <w:rPr>
          <w:color w:val="000000" w:themeColor="text1"/>
          <w:lang w:val="es-ES" w:eastAsia="ja-JP"/>
        </w:rPr>
        <w:t>Podría ser conveniente incrementar el número de administraciones que utilizan</w:t>
      </w:r>
      <w:r w:rsidR="007C0A01" w:rsidRPr="005B0615">
        <w:rPr>
          <w:rFonts w:hint="eastAsia"/>
          <w:color w:val="000000" w:themeColor="text1"/>
          <w:lang w:val="es-ES" w:eastAsia="ja-JP"/>
        </w:rPr>
        <w:t xml:space="preserve"> </w:t>
      </w:r>
      <w:r w:rsidR="007C0A01" w:rsidRPr="005B0615">
        <w:rPr>
          <w:color w:val="000000" w:themeColor="text1"/>
          <w:lang w:val="es-ES" w:eastAsia="ja-JP"/>
        </w:rPr>
        <w:t>e</w:t>
      </w:r>
      <w:r w:rsidR="00375F49">
        <w:rPr>
          <w:color w:val="000000" w:themeColor="text1"/>
          <w:lang w:val="es-ES" w:eastAsia="ja-JP"/>
        </w:rPr>
        <w:noBreakHyphen/>
      </w:r>
      <w:r w:rsidR="007C0A01" w:rsidRPr="005B0615">
        <w:rPr>
          <w:color w:val="000000" w:themeColor="text1"/>
          <w:lang w:val="es-ES" w:eastAsia="ja-JP"/>
        </w:rPr>
        <w:t>Com</w:t>
      </w:r>
      <w:r w:rsidR="007C0A01" w:rsidRPr="005B0615">
        <w:rPr>
          <w:rFonts w:hint="eastAsia"/>
          <w:color w:val="000000" w:themeColor="text1"/>
          <w:lang w:val="es-ES" w:eastAsia="ja-JP"/>
        </w:rPr>
        <w:t>munications</w:t>
      </w:r>
      <w:r w:rsidR="007C0A01" w:rsidRPr="005B0615">
        <w:rPr>
          <w:color w:val="000000" w:themeColor="text1"/>
          <w:lang w:val="es-ES" w:eastAsia="ja-JP"/>
        </w:rPr>
        <w:t xml:space="preserve"> como único medi</w:t>
      </w:r>
      <w:r w:rsidR="007C0A01">
        <w:rPr>
          <w:color w:val="000000" w:themeColor="text1"/>
          <w:lang w:val="es-ES" w:eastAsia="ja-JP"/>
        </w:rPr>
        <w:t>o de comunicación a fin de racionalizar el proceso de comunicación entre las administraciones y la</w:t>
      </w:r>
      <w:r w:rsidR="007C0A01" w:rsidRPr="005B0615">
        <w:rPr>
          <w:rFonts w:hint="eastAsia"/>
          <w:color w:val="000000" w:themeColor="text1"/>
          <w:lang w:val="es-ES" w:eastAsia="ja-JP"/>
        </w:rPr>
        <w:t xml:space="preserve"> BR</w:t>
      </w:r>
      <w:r w:rsidR="007C0A01" w:rsidRPr="005B0615">
        <w:rPr>
          <w:color w:val="000000" w:themeColor="text1"/>
          <w:lang w:val="es-ES" w:eastAsia="ja-JP"/>
        </w:rPr>
        <w:t>. Por consiguiente, se solicita a la BR que siga actualizando la lista de administraciones</w:t>
      </w:r>
      <w:r w:rsidR="007C0A01">
        <w:rPr>
          <w:rStyle w:val="FootnoteReference"/>
          <w:color w:val="000000" w:themeColor="text1"/>
          <w:lang w:eastAsia="ja-JP"/>
        </w:rPr>
        <w:footnoteReference w:id="1"/>
      </w:r>
      <w:r w:rsidR="007C0A01" w:rsidRPr="005B0615">
        <w:rPr>
          <w:rFonts w:hint="eastAsia"/>
          <w:color w:val="000000" w:themeColor="text1"/>
          <w:lang w:val="es-ES" w:eastAsia="ja-JP"/>
        </w:rPr>
        <w:t xml:space="preserve"> </w:t>
      </w:r>
      <w:r w:rsidR="007C0A01" w:rsidRPr="005B0615">
        <w:rPr>
          <w:color w:val="000000" w:themeColor="text1"/>
          <w:lang w:val="es-ES" w:eastAsia="ja-JP"/>
        </w:rPr>
        <w:t>que han declarado estar dispuestas a utilizar</w:t>
      </w:r>
      <w:r w:rsidR="007C0A01" w:rsidRPr="005B0615">
        <w:rPr>
          <w:rFonts w:hint="eastAsia"/>
          <w:color w:val="000000" w:themeColor="text1"/>
          <w:lang w:val="es-ES" w:eastAsia="ja-JP"/>
        </w:rPr>
        <w:t xml:space="preserve"> e-Communications </w:t>
      </w:r>
      <w:r w:rsidR="007C0A01" w:rsidRPr="005B0615">
        <w:rPr>
          <w:color w:val="000000" w:themeColor="text1"/>
          <w:lang w:val="es-ES" w:eastAsia="ja-JP"/>
        </w:rPr>
        <w:t>c</w:t>
      </w:r>
      <w:r w:rsidR="007C0A01">
        <w:rPr>
          <w:color w:val="000000" w:themeColor="text1"/>
          <w:lang w:val="es-ES" w:eastAsia="ja-JP"/>
        </w:rPr>
        <w:t xml:space="preserve">omo único medio de comunicación, y que indique, además, claramente </w:t>
      </w:r>
      <w:r w:rsidR="00375F49">
        <w:rPr>
          <w:color w:val="000000" w:themeColor="text1"/>
          <w:lang w:val="es-ES" w:eastAsia="ja-JP"/>
        </w:rPr>
        <w:t>las distintas maneras</w:t>
      </w:r>
      <w:r w:rsidR="007C0A01">
        <w:rPr>
          <w:color w:val="000000" w:themeColor="text1"/>
          <w:lang w:val="es-ES" w:eastAsia="ja-JP"/>
        </w:rPr>
        <w:t xml:space="preserve"> en que las administraciones pueden informar a la BR de tal disposición</w:t>
      </w:r>
      <w:r w:rsidR="007C0A01" w:rsidRPr="005B0615">
        <w:rPr>
          <w:color w:val="000000" w:themeColor="text1"/>
          <w:lang w:val="es-ES" w:eastAsia="ja-JP"/>
        </w:rPr>
        <w:t>.</w:t>
      </w:r>
    </w:p>
    <w:p w14:paraId="7A9EBE8C" w14:textId="001BE820" w:rsidR="007C0A01" w:rsidRPr="005B0615" w:rsidRDefault="00B03233" w:rsidP="00B03233">
      <w:pPr>
        <w:pStyle w:val="enumlev1"/>
        <w:rPr>
          <w:color w:val="000000" w:themeColor="text1"/>
          <w:lang w:val="es-ES" w:eastAsia="ja-JP"/>
        </w:rPr>
      </w:pPr>
      <w:r>
        <w:rPr>
          <w:color w:val="000000" w:themeColor="text1"/>
          <w:lang w:val="es-ES" w:eastAsia="ja-JP"/>
        </w:rPr>
        <w:t>5)</w:t>
      </w:r>
      <w:r>
        <w:rPr>
          <w:color w:val="000000" w:themeColor="text1"/>
          <w:lang w:val="es-ES" w:eastAsia="ja-JP"/>
        </w:rPr>
        <w:tab/>
      </w:r>
      <w:r w:rsidR="007C0A01" w:rsidRPr="005B0615">
        <w:rPr>
          <w:color w:val="000000" w:themeColor="text1"/>
          <w:lang w:val="es-ES" w:eastAsia="ja-JP"/>
        </w:rPr>
        <w:t>Presente información actualizada sobre la utilización más reciente de</w:t>
      </w:r>
      <w:r w:rsidR="007C0A01" w:rsidRPr="005B0615">
        <w:rPr>
          <w:rFonts w:hint="eastAsia"/>
          <w:color w:val="000000" w:themeColor="text1"/>
          <w:lang w:val="es-ES" w:eastAsia="ja-JP"/>
        </w:rPr>
        <w:t xml:space="preserve"> e-</w:t>
      </w:r>
      <w:r w:rsidR="007C0A01" w:rsidRPr="005B0615">
        <w:rPr>
          <w:color w:val="000000" w:themeColor="text1"/>
          <w:lang w:val="es-ES" w:eastAsia="ja-JP"/>
        </w:rPr>
        <w:t>C</w:t>
      </w:r>
      <w:r w:rsidR="007C0A01" w:rsidRPr="005B0615">
        <w:rPr>
          <w:rFonts w:hint="eastAsia"/>
          <w:color w:val="000000" w:themeColor="text1"/>
          <w:lang w:val="es-ES" w:eastAsia="ja-JP"/>
        </w:rPr>
        <w:t xml:space="preserve">ommunications </w:t>
      </w:r>
      <w:r w:rsidR="007C0A01">
        <w:rPr>
          <w:color w:val="000000" w:themeColor="text1"/>
          <w:lang w:val="es-ES" w:eastAsia="ja-JP"/>
        </w:rPr>
        <w:t>y</w:t>
      </w:r>
      <w:r w:rsidR="007C0A01" w:rsidRPr="005B0615">
        <w:rPr>
          <w:rFonts w:hint="eastAsia"/>
          <w:color w:val="000000" w:themeColor="text1"/>
          <w:lang w:val="es-ES" w:eastAsia="ja-JP"/>
        </w:rPr>
        <w:t xml:space="preserve"> e-Submissions </w:t>
      </w:r>
      <w:r w:rsidR="007C0A01">
        <w:rPr>
          <w:color w:val="000000" w:themeColor="text1"/>
          <w:lang w:val="es-ES" w:eastAsia="ja-JP"/>
        </w:rPr>
        <w:t>en futuros Seminarios Mundiales de Radiocomunicaciones (SMR</w:t>
      </w:r>
      <w:r w:rsidR="007C0A01" w:rsidRPr="005B0615">
        <w:rPr>
          <w:rFonts w:hint="eastAsia"/>
          <w:color w:val="000000" w:themeColor="text1"/>
          <w:lang w:val="es-ES" w:eastAsia="ja-JP"/>
        </w:rPr>
        <w:t>).</w:t>
      </w:r>
    </w:p>
    <w:p w14:paraId="3700F3A6" w14:textId="77777777" w:rsidR="007C0A01" w:rsidRDefault="007C0A01" w:rsidP="007C0A01">
      <w:pPr>
        <w:pStyle w:val="Figure"/>
        <w:ind w:left="440"/>
        <w:jc w:val="left"/>
        <w:rPr>
          <w:lang w:val="en-US" w:eastAsia="ja-JP"/>
        </w:rPr>
      </w:pPr>
      <w:r>
        <w:rPr>
          <w:noProof/>
          <w:lang w:val="en-US" w:eastAsia="ja-JP"/>
        </w:rPr>
        <w:drawing>
          <wp:inline distT="0" distB="0" distL="0" distR="0" wp14:anchorId="2B96F228" wp14:editId="58D4C345">
            <wp:extent cx="5400000" cy="2865306"/>
            <wp:effectExtent l="0" t="0" r="0" b="0"/>
            <wp:docPr id="133119679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96792" name="図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86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00BA2" w14:textId="065A4684" w:rsidR="007C0A01" w:rsidRDefault="007C0A01" w:rsidP="00375F49">
      <w:pPr>
        <w:pStyle w:val="FiguretitleBR"/>
        <w:ind w:left="440"/>
        <w:rPr>
          <w:bCs/>
          <w:lang w:val="es-ES"/>
        </w:rPr>
      </w:pPr>
      <w:r>
        <w:rPr>
          <w:bCs/>
          <w:lang w:val="es-ES"/>
        </w:rPr>
        <w:t>Figura 1 – Imagen conceptual del sistema de comunicaciones</w:t>
      </w:r>
      <w:r w:rsidR="00375F49">
        <w:rPr>
          <w:bCs/>
          <w:lang w:val="es-ES"/>
        </w:rPr>
        <w:br/>
      </w:r>
      <w:r>
        <w:rPr>
          <w:bCs/>
          <w:lang w:val="es-ES"/>
        </w:rPr>
        <w:t>electrónicas actualizado</w:t>
      </w:r>
    </w:p>
    <w:p w14:paraId="431B2802" w14:textId="504FF69E" w:rsidR="007C0A01" w:rsidRPr="005B0615" w:rsidRDefault="007C0A01" w:rsidP="007C0A01">
      <w:pPr>
        <w:pStyle w:val="Heading2"/>
        <w:rPr>
          <w:lang w:val="es-ES" w:eastAsia="ja-JP"/>
        </w:rPr>
      </w:pPr>
      <w:r w:rsidRPr="005B0615">
        <w:rPr>
          <w:lang w:val="es-ES"/>
        </w:rPr>
        <w:t>2.</w:t>
      </w:r>
      <w:r w:rsidRPr="005B0615">
        <w:rPr>
          <w:rFonts w:hint="eastAsia"/>
          <w:lang w:val="es-ES" w:eastAsia="ja-JP"/>
        </w:rPr>
        <w:t>2</w:t>
      </w:r>
      <w:r w:rsidRPr="005B0615">
        <w:rPr>
          <w:lang w:val="es-ES"/>
        </w:rPr>
        <w:tab/>
      </w:r>
      <w:r w:rsidRPr="005B0615">
        <w:rPr>
          <w:rFonts w:hint="eastAsia"/>
          <w:lang w:val="es-ES" w:eastAsia="ja-JP"/>
        </w:rPr>
        <w:t>Migra</w:t>
      </w:r>
      <w:r w:rsidRPr="005B0615">
        <w:rPr>
          <w:lang w:val="es-ES" w:eastAsia="ja-JP"/>
        </w:rPr>
        <w:t>ción de sistemas heredados, en particular</w:t>
      </w:r>
      <w:r w:rsidRPr="005B0615">
        <w:rPr>
          <w:rFonts w:hint="eastAsia"/>
          <w:lang w:val="es-ES" w:eastAsia="ja-JP"/>
        </w:rPr>
        <w:t xml:space="preserve"> SpaceCom</w:t>
      </w:r>
      <w:r w:rsidRPr="005B0615">
        <w:rPr>
          <w:lang w:val="es-ES" w:eastAsia="ja-JP"/>
        </w:rPr>
        <w:t>,</w:t>
      </w:r>
      <w:r w:rsidRPr="005B0615">
        <w:rPr>
          <w:rFonts w:hint="eastAsia"/>
          <w:lang w:val="es-ES" w:eastAsia="ja-JP"/>
        </w:rPr>
        <w:t xml:space="preserve"> </w:t>
      </w:r>
      <w:r w:rsidRPr="005B0615">
        <w:rPr>
          <w:lang w:val="es-ES" w:eastAsia="ja-JP"/>
        </w:rPr>
        <w:t>a</w:t>
      </w:r>
      <w:r>
        <w:rPr>
          <w:lang w:val="es-ES" w:eastAsia="ja-JP"/>
        </w:rPr>
        <w:t>l software en línea</w:t>
      </w:r>
    </w:p>
    <w:p w14:paraId="03DAAC9F" w14:textId="283BDE70" w:rsidR="007C0A01" w:rsidRPr="005B0615" w:rsidRDefault="007C0A01" w:rsidP="007C0A01">
      <w:pPr>
        <w:rPr>
          <w:lang w:val="es-ES" w:eastAsia="ja-JP"/>
        </w:rPr>
      </w:pPr>
      <w:r w:rsidRPr="005B0615">
        <w:rPr>
          <w:lang w:val="es-ES" w:eastAsia="ja-JP"/>
        </w:rPr>
        <w:t xml:space="preserve">Es muy de agradecer que la BR haya proseguido sus esfuerzos por modernizar los sistemas informáticos heredados, por </w:t>
      </w:r>
      <w:r w:rsidR="00375F49" w:rsidRPr="005B0615">
        <w:rPr>
          <w:lang w:val="es-ES" w:eastAsia="ja-JP"/>
        </w:rPr>
        <w:t>ejemplo,</w:t>
      </w:r>
      <w:r w:rsidRPr="005B0615">
        <w:rPr>
          <w:lang w:val="es-ES" w:eastAsia="ja-JP"/>
        </w:rPr>
        <w:t xml:space="preserve"> con el lanzamiento de</w:t>
      </w:r>
      <w:r w:rsidRPr="005B0615">
        <w:rPr>
          <w:rFonts w:hint="eastAsia"/>
          <w:lang w:val="es-ES" w:eastAsia="ja-JP"/>
        </w:rPr>
        <w:t xml:space="preserve"> SpaceExplorer</w:t>
      </w:r>
      <w:r w:rsidRPr="005B0615">
        <w:rPr>
          <w:lang w:val="es-ES" w:eastAsia="ja-JP"/>
        </w:rPr>
        <w:t>,</w:t>
      </w:r>
      <w:r w:rsidRPr="005B0615">
        <w:rPr>
          <w:rFonts w:hint="eastAsia"/>
          <w:lang w:val="es-ES" w:eastAsia="ja-JP"/>
        </w:rPr>
        <w:t xml:space="preserve"> </w:t>
      </w:r>
      <w:r w:rsidRPr="005B0615">
        <w:rPr>
          <w:lang w:val="es-ES" w:eastAsia="ja-JP"/>
        </w:rPr>
        <w:t>y</w:t>
      </w:r>
      <w:r>
        <w:rPr>
          <w:lang w:val="es-ES" w:eastAsia="ja-JP"/>
        </w:rPr>
        <w:t xml:space="preserve"> que siga actualizando</w:t>
      </w:r>
      <w:r w:rsidRPr="005B0615">
        <w:rPr>
          <w:rFonts w:hint="eastAsia"/>
          <w:lang w:val="es-ES" w:eastAsia="ja-JP"/>
        </w:rPr>
        <w:t xml:space="preserve"> </w:t>
      </w:r>
      <w:r w:rsidRPr="005B0615">
        <w:rPr>
          <w:lang w:val="es-ES" w:eastAsia="ja-JP"/>
        </w:rPr>
        <w:t xml:space="preserve">SpaceCap, </w:t>
      </w:r>
      <w:r>
        <w:rPr>
          <w:lang w:val="es-ES" w:eastAsia="ja-JP"/>
        </w:rPr>
        <w:t>cuya versión original se escribió en</w:t>
      </w:r>
      <w:r w:rsidRPr="005B0615">
        <w:rPr>
          <w:lang w:val="es-ES" w:eastAsia="ja-JP"/>
        </w:rPr>
        <w:t xml:space="preserve"> Visual Basic 6</w:t>
      </w:r>
      <w:r w:rsidRPr="005B0615">
        <w:rPr>
          <w:rFonts w:hint="eastAsia"/>
          <w:lang w:val="es-ES" w:eastAsia="ja-JP"/>
        </w:rPr>
        <w:t xml:space="preserve">. </w:t>
      </w:r>
      <w:r w:rsidRPr="005B0615">
        <w:rPr>
          <w:lang w:val="es-ES" w:eastAsia="ja-JP"/>
        </w:rPr>
        <w:t xml:space="preserve">Se alienta a la BR a seguir actualizando las interfaces de usuario del </w:t>
      </w:r>
      <w:r w:rsidRPr="00375F49">
        <w:rPr>
          <w:i/>
          <w:iCs/>
          <w:lang w:val="es-ES" w:eastAsia="ja-JP"/>
        </w:rPr>
        <w:t>software</w:t>
      </w:r>
      <w:r w:rsidRPr="005B0615">
        <w:rPr>
          <w:lang w:val="es-ES" w:eastAsia="ja-JP"/>
        </w:rPr>
        <w:t xml:space="preserve"> fuera de línea, incluidas las interfaces heredada</w:t>
      </w:r>
      <w:r>
        <w:rPr>
          <w:lang w:val="es-ES" w:eastAsia="ja-JP"/>
        </w:rPr>
        <w:t>s, con diseños más fáciles de utilizar</w:t>
      </w:r>
      <w:r w:rsidRPr="005B0615">
        <w:rPr>
          <w:lang w:val="es-ES" w:eastAsia="ja-JP"/>
        </w:rPr>
        <w:t>.</w:t>
      </w:r>
    </w:p>
    <w:p w14:paraId="771D05B5" w14:textId="77777777" w:rsidR="007C0A01" w:rsidRPr="00A63F8E" w:rsidRDefault="007C0A01" w:rsidP="007C0A01">
      <w:pPr>
        <w:rPr>
          <w:lang w:val="es-ES" w:eastAsia="ja-JP"/>
        </w:rPr>
      </w:pPr>
      <w:r w:rsidRPr="005B0615">
        <w:rPr>
          <w:lang w:val="es-ES" w:eastAsia="ja-JP"/>
        </w:rPr>
        <w:t>Concretamente, se invita a la BR a considerar la posibilidad de mi</w:t>
      </w:r>
      <w:r>
        <w:rPr>
          <w:lang w:val="es-ES" w:eastAsia="ja-JP"/>
        </w:rPr>
        <w:t>grar</w:t>
      </w:r>
      <w:r w:rsidRPr="005B0615">
        <w:rPr>
          <w:lang w:val="es-ES" w:eastAsia="ja-JP"/>
        </w:rPr>
        <w:t xml:space="preserve"> SpaceCom </w:t>
      </w:r>
      <w:r>
        <w:rPr>
          <w:lang w:val="es-ES" w:eastAsia="ja-JP"/>
        </w:rPr>
        <w:t xml:space="preserve">a una plataforma en línea. </w:t>
      </w:r>
      <w:r w:rsidRPr="00A63F8E">
        <w:rPr>
          <w:lang w:val="es-ES" w:eastAsia="ja-JP"/>
        </w:rPr>
        <w:t xml:space="preserve">En la actualidad, </w:t>
      </w:r>
      <w:r w:rsidRPr="00A63F8E">
        <w:rPr>
          <w:rFonts w:hint="eastAsia"/>
          <w:lang w:val="es-ES" w:eastAsia="ja-JP"/>
        </w:rPr>
        <w:t>SpaceCom</w:t>
      </w:r>
      <w:r w:rsidRPr="00A63F8E">
        <w:rPr>
          <w:lang w:val="es-ES" w:eastAsia="ja-JP"/>
        </w:rPr>
        <w:t xml:space="preserve"> opera sólo en un entorno local para generar comentarios sobre las notificacione telecargadas</w:t>
      </w:r>
      <w:r>
        <w:rPr>
          <w:lang w:val="es-ES" w:eastAsia="ja-JP"/>
        </w:rPr>
        <w:t>, validadas y presentadas a la BR mediante</w:t>
      </w:r>
      <w:r w:rsidRPr="00A63F8E">
        <w:rPr>
          <w:rFonts w:hint="eastAsia"/>
          <w:lang w:val="es-ES" w:eastAsia="ja-JP"/>
        </w:rPr>
        <w:t xml:space="preserve"> e-Submission</w:t>
      </w:r>
      <w:r w:rsidRPr="00A63F8E">
        <w:rPr>
          <w:lang w:val="es-ES" w:eastAsia="ja-JP"/>
        </w:rPr>
        <w:t>.</w:t>
      </w:r>
    </w:p>
    <w:p w14:paraId="2F70E891" w14:textId="77777777" w:rsidR="007C0A01" w:rsidRPr="00A63F8E" w:rsidRDefault="007C0A01" w:rsidP="007C0A01">
      <w:pPr>
        <w:rPr>
          <w:lang w:val="es-ES" w:eastAsia="ja-JP"/>
        </w:rPr>
      </w:pPr>
      <w:r w:rsidRPr="00A63F8E">
        <w:rPr>
          <w:lang w:val="es-ES" w:eastAsia="ja-JP"/>
        </w:rPr>
        <w:t>Se espera que el traslado de SpaceCom en línea ofrezca las s</w:t>
      </w:r>
      <w:r>
        <w:rPr>
          <w:lang w:val="es-ES" w:eastAsia="ja-JP"/>
        </w:rPr>
        <w:t>iguientes ventajas</w:t>
      </w:r>
      <w:r w:rsidRPr="00A63F8E">
        <w:rPr>
          <w:lang w:val="es-ES" w:eastAsia="ja-JP"/>
        </w:rPr>
        <w:t>:</w:t>
      </w:r>
    </w:p>
    <w:p w14:paraId="1996C73D" w14:textId="1DA9D26C" w:rsidR="007C0A01" w:rsidRPr="00A63F8E" w:rsidRDefault="00375F49" w:rsidP="00375F49">
      <w:pPr>
        <w:pStyle w:val="enumlev1"/>
        <w:rPr>
          <w:lang w:val="es-ES" w:eastAsia="ja-JP"/>
        </w:rPr>
      </w:pPr>
      <w:r>
        <w:rPr>
          <w:lang w:val="es-ES" w:eastAsia="ja-JP"/>
        </w:rPr>
        <w:t>1)</w:t>
      </w:r>
      <w:r>
        <w:rPr>
          <w:lang w:val="es-ES" w:eastAsia="ja-JP"/>
        </w:rPr>
        <w:tab/>
      </w:r>
      <w:r w:rsidR="007C0A01" w:rsidRPr="00A63F8E">
        <w:rPr>
          <w:lang w:val="es-ES" w:eastAsia="ja-JP"/>
        </w:rPr>
        <w:t xml:space="preserve">Eliminación de la necesidad de instalar o actualizar </w:t>
      </w:r>
      <w:r w:rsidR="007C0A01">
        <w:rPr>
          <w:lang w:val="es-ES" w:eastAsia="ja-JP"/>
        </w:rPr>
        <w:t xml:space="preserve">el </w:t>
      </w:r>
      <w:r w:rsidR="007C0A01" w:rsidRPr="00DE6359">
        <w:rPr>
          <w:i/>
          <w:iCs/>
          <w:lang w:val="es-ES" w:eastAsia="ja-JP"/>
        </w:rPr>
        <w:t>software</w:t>
      </w:r>
      <w:r w:rsidR="007C0A01">
        <w:rPr>
          <w:lang w:val="es-ES" w:eastAsia="ja-JP"/>
        </w:rPr>
        <w:t xml:space="preserve"> en el entorno local.</w:t>
      </w:r>
    </w:p>
    <w:p w14:paraId="48662A5A" w14:textId="7F75388A" w:rsidR="007C0A01" w:rsidRPr="00A63F8E" w:rsidRDefault="00375F49" w:rsidP="00375F49">
      <w:pPr>
        <w:pStyle w:val="enumlev1"/>
        <w:rPr>
          <w:lang w:val="es-ES" w:eastAsia="ja-JP"/>
        </w:rPr>
      </w:pPr>
      <w:r>
        <w:rPr>
          <w:lang w:val="es-ES" w:eastAsia="ja-JP"/>
        </w:rPr>
        <w:lastRenderedPageBreak/>
        <w:t>2)</w:t>
      </w:r>
      <w:r>
        <w:rPr>
          <w:lang w:val="es-ES" w:eastAsia="ja-JP"/>
        </w:rPr>
        <w:tab/>
      </w:r>
      <w:r w:rsidR="007C0A01" w:rsidRPr="00A63F8E">
        <w:rPr>
          <w:lang w:val="es-ES" w:eastAsia="ja-JP"/>
        </w:rPr>
        <w:t xml:space="preserve">Eliminación de la telecarga </w:t>
      </w:r>
      <w:r w:rsidR="007C0A01">
        <w:rPr>
          <w:lang w:val="es-ES" w:eastAsia="ja-JP"/>
        </w:rPr>
        <w:t>en</w:t>
      </w:r>
      <w:r w:rsidR="007C0A01" w:rsidRPr="00A63F8E">
        <w:rPr>
          <w:lang w:val="es-ES" w:eastAsia="ja-JP"/>
        </w:rPr>
        <w:t xml:space="preserve"> e-Submission de archivos de comentario</w:t>
      </w:r>
      <w:r w:rsidR="007C0A01">
        <w:rPr>
          <w:lang w:val="es-ES" w:eastAsia="ja-JP"/>
        </w:rPr>
        <w:t>s creados en</w:t>
      </w:r>
      <w:r w:rsidR="007C0A01" w:rsidRPr="00A63F8E">
        <w:rPr>
          <w:lang w:val="es-ES" w:eastAsia="ja-JP"/>
        </w:rPr>
        <w:t xml:space="preserve"> SpaceCom.</w:t>
      </w:r>
    </w:p>
    <w:p w14:paraId="1273AB92" w14:textId="3D885A5D" w:rsidR="007C0A01" w:rsidRPr="00A63F8E" w:rsidRDefault="00375F49" w:rsidP="00375F49">
      <w:pPr>
        <w:pStyle w:val="enumlev1"/>
        <w:rPr>
          <w:lang w:val="es-ES" w:eastAsia="ja-JP"/>
        </w:rPr>
      </w:pPr>
      <w:r>
        <w:rPr>
          <w:lang w:val="es-ES" w:eastAsia="ja-JP"/>
        </w:rPr>
        <w:t>3)</w:t>
      </w:r>
      <w:r>
        <w:rPr>
          <w:lang w:val="es-ES" w:eastAsia="ja-JP"/>
        </w:rPr>
        <w:tab/>
      </w:r>
      <w:r w:rsidR="007C0A01" w:rsidRPr="00A63F8E">
        <w:rPr>
          <w:lang w:val="es-ES" w:eastAsia="ja-JP"/>
        </w:rPr>
        <w:t xml:space="preserve">Los usuarios podrán ver </w:t>
      </w:r>
      <w:r w:rsidR="007C0A01">
        <w:rPr>
          <w:lang w:val="es-ES" w:eastAsia="ja-JP"/>
        </w:rPr>
        <w:t xml:space="preserve">rápidamente </w:t>
      </w:r>
      <w:r w:rsidR="007C0A01" w:rsidRPr="00A63F8E">
        <w:rPr>
          <w:lang w:val="es-ES" w:eastAsia="ja-JP"/>
        </w:rPr>
        <w:t>los comentarios presentados por otras administraciones en sus propias notificaci</w:t>
      </w:r>
      <w:r w:rsidR="007C0A01">
        <w:rPr>
          <w:lang w:val="es-ES" w:eastAsia="ja-JP"/>
        </w:rPr>
        <w:t>ones y tomar las medidas convenientes</w:t>
      </w:r>
      <w:r w:rsidR="007C0A01" w:rsidRPr="00A63F8E">
        <w:rPr>
          <w:lang w:val="es-ES" w:eastAsia="ja-JP"/>
        </w:rPr>
        <w:t xml:space="preserve">. </w:t>
      </w:r>
    </w:p>
    <w:p w14:paraId="0F4885AC" w14:textId="264B6A80" w:rsidR="007C0A01" w:rsidRPr="00A63F8E" w:rsidRDefault="007C0A01" w:rsidP="007C0A01">
      <w:pPr>
        <w:pStyle w:val="Heading2"/>
        <w:rPr>
          <w:lang w:val="es-ES" w:eastAsia="ja-JP"/>
        </w:rPr>
      </w:pPr>
      <w:r w:rsidRPr="00A63F8E">
        <w:rPr>
          <w:rFonts w:hint="eastAsia"/>
          <w:lang w:val="es-ES" w:eastAsia="ja-JP"/>
        </w:rPr>
        <w:t>2.3</w:t>
      </w:r>
      <w:r w:rsidRPr="00A63F8E">
        <w:rPr>
          <w:lang w:val="es-ES"/>
        </w:rPr>
        <w:tab/>
        <w:t>Resolver incoherencias en la validaci</w:t>
      </w:r>
      <w:r>
        <w:rPr>
          <w:lang w:val="es-ES"/>
        </w:rPr>
        <w:t>ón del software</w:t>
      </w:r>
    </w:p>
    <w:p w14:paraId="6C3CD1DA" w14:textId="77777777" w:rsidR="007C0A01" w:rsidRPr="00A63F8E" w:rsidRDefault="007C0A01" w:rsidP="007C0A01">
      <w:pPr>
        <w:rPr>
          <w:lang w:val="es-ES" w:eastAsia="ja-JP"/>
        </w:rPr>
      </w:pPr>
      <w:r w:rsidRPr="00A63F8E">
        <w:rPr>
          <w:lang w:val="es-ES" w:eastAsia="ja-JP"/>
        </w:rPr>
        <w:t>Como se abordó en anteriores reuniones del GAR, en ocasiones hay incoherencias debidas al desfase horario en la</w:t>
      </w:r>
      <w:r>
        <w:rPr>
          <w:lang w:val="es-ES" w:eastAsia="ja-JP"/>
        </w:rPr>
        <w:t xml:space="preserve"> actualización del </w:t>
      </w:r>
      <w:r w:rsidRPr="00DE6359">
        <w:rPr>
          <w:i/>
          <w:iCs/>
          <w:lang w:val="es-ES" w:eastAsia="ja-JP"/>
        </w:rPr>
        <w:t>software</w:t>
      </w:r>
      <w:r>
        <w:rPr>
          <w:lang w:val="es-ES" w:eastAsia="ja-JP"/>
        </w:rPr>
        <w:t xml:space="preserve"> en línea y fuera de línea. </w:t>
      </w:r>
      <w:r w:rsidRPr="00A63F8E">
        <w:rPr>
          <w:lang w:val="es-ES" w:eastAsia="ja-JP"/>
        </w:rPr>
        <w:t xml:space="preserve">Concretamente, es necesario aportar mejoras, pues sigue habiendo errores de verificación en </w:t>
      </w:r>
      <w:r w:rsidRPr="00A63F8E">
        <w:rPr>
          <w:rFonts w:hint="eastAsia"/>
          <w:lang w:val="es-ES" w:eastAsia="ja-JP"/>
        </w:rPr>
        <w:t>e-Submission</w:t>
      </w:r>
      <w:r w:rsidRPr="00A63F8E">
        <w:rPr>
          <w:lang w:val="es-ES" w:eastAsia="ja-JP"/>
        </w:rPr>
        <w:t xml:space="preserve"> a</w:t>
      </w:r>
      <w:r>
        <w:rPr>
          <w:lang w:val="es-ES" w:eastAsia="ja-JP"/>
        </w:rPr>
        <w:t xml:space="preserve"> pesar de que </w:t>
      </w:r>
      <w:r w:rsidRPr="00A63F8E">
        <w:rPr>
          <w:rFonts w:hint="eastAsia"/>
          <w:lang w:val="es-ES" w:eastAsia="ja-JP"/>
        </w:rPr>
        <w:t>BR-SIS</w:t>
      </w:r>
      <w:r>
        <w:rPr>
          <w:lang w:val="es-ES" w:eastAsia="ja-JP"/>
        </w:rPr>
        <w:t xml:space="preserve"> no detecte errores</w:t>
      </w:r>
      <w:r w:rsidRPr="00A63F8E">
        <w:rPr>
          <w:rFonts w:hint="eastAsia"/>
          <w:lang w:val="es-ES" w:eastAsia="ja-JP"/>
        </w:rPr>
        <w:t>.</w:t>
      </w:r>
    </w:p>
    <w:p w14:paraId="744B8523" w14:textId="77777777" w:rsidR="007C0A01" w:rsidRPr="00A63F8E" w:rsidRDefault="007C0A01" w:rsidP="007C0A01">
      <w:pPr>
        <w:pStyle w:val="Heading1"/>
        <w:rPr>
          <w:lang w:val="es-ES"/>
        </w:rPr>
      </w:pPr>
      <w:r w:rsidRPr="00A63F8E">
        <w:rPr>
          <w:lang w:val="es-ES"/>
        </w:rPr>
        <w:t>3</w:t>
      </w:r>
      <w:r w:rsidRPr="00A63F8E">
        <w:rPr>
          <w:lang w:val="es-ES"/>
        </w:rPr>
        <w:tab/>
        <w:t>Conclusión</w:t>
      </w:r>
    </w:p>
    <w:p w14:paraId="103F941E" w14:textId="3C4E2D6D" w:rsidR="007C0A01" w:rsidRPr="00A63F8E" w:rsidRDefault="007C0A01" w:rsidP="007C0A01">
      <w:pPr>
        <w:rPr>
          <w:lang w:val="es-ES" w:eastAsia="ja-JP"/>
        </w:rPr>
      </w:pPr>
      <w:r w:rsidRPr="00A63F8E">
        <w:rPr>
          <w:lang w:val="es-ES" w:eastAsia="ja-JP"/>
        </w:rPr>
        <w:t xml:space="preserve">La Administración de Japón solicita cordialmente a la BR que continúe desarrollando y mejorando los sistemas como se ha mencionado anteriormente, de conformidad con la Resolución </w:t>
      </w:r>
      <w:r w:rsidRPr="00A63F8E">
        <w:rPr>
          <w:b/>
          <w:bCs/>
          <w:lang w:val="es-ES" w:eastAsia="ja-JP"/>
        </w:rPr>
        <w:t>55</w:t>
      </w:r>
      <w:r w:rsidR="004649B3">
        <w:rPr>
          <w:b/>
          <w:bCs/>
          <w:lang w:val="es-ES" w:eastAsia="ja-JP"/>
        </w:rPr>
        <w:t> </w:t>
      </w:r>
      <w:r w:rsidRPr="00A63F8E">
        <w:rPr>
          <w:b/>
          <w:bCs/>
          <w:lang w:val="es-ES" w:eastAsia="ja-JP"/>
        </w:rPr>
        <w:t>(Rev.CMR-23)</w:t>
      </w:r>
      <w:r w:rsidRPr="00A63F8E">
        <w:rPr>
          <w:lang w:val="es-ES" w:eastAsia="ja-JP"/>
        </w:rPr>
        <w:t>.</w:t>
      </w:r>
    </w:p>
    <w:p w14:paraId="7221F4DF" w14:textId="77777777" w:rsidR="007C0A01" w:rsidRPr="009944C5" w:rsidRDefault="007C0A01" w:rsidP="007C0A01">
      <w:pPr>
        <w:pStyle w:val="Heading1"/>
        <w:rPr>
          <w:lang w:val="es-ES"/>
        </w:rPr>
      </w:pPr>
      <w:r w:rsidRPr="009944C5">
        <w:rPr>
          <w:rFonts w:hint="eastAsia"/>
          <w:lang w:val="es-ES" w:eastAsia="ja-JP"/>
        </w:rPr>
        <w:t>4</w:t>
      </w:r>
      <w:r w:rsidRPr="009944C5">
        <w:rPr>
          <w:lang w:val="es-ES"/>
        </w:rPr>
        <w:tab/>
      </w:r>
      <w:r w:rsidRPr="009944C5">
        <w:rPr>
          <w:rFonts w:hint="eastAsia"/>
          <w:lang w:val="es-ES"/>
        </w:rPr>
        <w:t>Referenc</w:t>
      </w:r>
      <w:r w:rsidRPr="009944C5">
        <w:rPr>
          <w:lang w:val="es-ES"/>
        </w:rPr>
        <w:t>ia</w:t>
      </w:r>
    </w:p>
    <w:p w14:paraId="1BBC1523" w14:textId="77777777" w:rsidR="007C0A01" w:rsidRPr="005B0615" w:rsidRDefault="007C0A01" w:rsidP="002225C1">
      <w:pPr>
        <w:pStyle w:val="Reftext"/>
        <w:rPr>
          <w:rFonts w:eastAsiaTheme="minorEastAsia"/>
          <w:lang w:eastAsia="zh-CN"/>
        </w:rPr>
      </w:pPr>
      <w:r w:rsidRPr="005B0615">
        <w:rPr>
          <w:rFonts w:hint="eastAsia"/>
        </w:rPr>
        <w:t>[1]</w:t>
      </w:r>
      <w:r w:rsidRPr="005B0615">
        <w:tab/>
      </w:r>
      <w:r>
        <w:t xml:space="preserve">«Presentación electrónica de notificaciones de redes de satélites/comunicaciones electrónicas», </w:t>
      </w:r>
      <w:r w:rsidRPr="002225C1">
        <w:rPr>
          <w:i/>
          <w:iCs/>
        </w:rPr>
        <w:t>Seminario Mundial de Radiocomunicaciones de la UIT de 2024 (SMR-24)</w:t>
      </w:r>
      <w:r>
        <w:t>.</w:t>
      </w:r>
      <w:r w:rsidRPr="005B0615" w:rsidDel="00EB4E16">
        <w:rPr>
          <w:rFonts w:hint="eastAsia"/>
        </w:rPr>
        <w:t xml:space="preserve"> </w:t>
      </w:r>
    </w:p>
    <w:p w14:paraId="32FF66F2" w14:textId="77777777" w:rsidR="00375F49" w:rsidRPr="00224ADA" w:rsidRDefault="00375F49" w:rsidP="00411C49">
      <w:pPr>
        <w:pStyle w:val="Reasons"/>
        <w:rPr>
          <w:lang w:val="es-ES"/>
        </w:rPr>
      </w:pPr>
    </w:p>
    <w:p w14:paraId="0B1D1E7F" w14:textId="77777777" w:rsidR="00375F49" w:rsidRDefault="00375F49">
      <w:pPr>
        <w:jc w:val="center"/>
      </w:pPr>
      <w:r>
        <w:t>______________</w:t>
      </w:r>
    </w:p>
    <w:sectPr w:rsidR="00375F49" w:rsidSect="004D6C09">
      <w:headerReference w:type="default" r:id="rId14"/>
      <w:footerReference w:type="first" r:id="rId15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47C36" w14:textId="77777777" w:rsidR="007C0A01" w:rsidRDefault="007C0A01">
      <w:r>
        <w:separator/>
      </w:r>
    </w:p>
  </w:endnote>
  <w:endnote w:type="continuationSeparator" w:id="0">
    <w:p w14:paraId="25F3961E" w14:textId="77777777" w:rsidR="007C0A01" w:rsidRDefault="007C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038BE" w14:textId="77777777" w:rsidR="00616601" w:rsidRDefault="00E72EA7" w:rsidP="00AB4BAD">
    <w:pPr>
      <w:pStyle w:val="Footer"/>
      <w:rPr>
        <w:lang w:val="en-US"/>
      </w:rPr>
    </w:pPr>
    <w:r>
      <w:fldChar w:fldCharType="begin"/>
    </w:r>
    <w:r w:rsidRPr="00E72EA7">
      <w:rPr>
        <w:lang w:val="en-US"/>
      </w:rPr>
      <w:instrText xml:space="preserve"> FILENAME \p \* MERGEFORMAT </w:instrText>
    </w:r>
    <w:r>
      <w:fldChar w:fldCharType="separate"/>
    </w:r>
    <w:r w:rsidR="007C0A01">
      <w:rPr>
        <w:lang w:val="en-US"/>
      </w:rPr>
      <w:t>Document1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9036E" w14:textId="77777777" w:rsidR="007C0A01" w:rsidRDefault="007C0A01">
      <w:r>
        <w:t>____________________</w:t>
      </w:r>
    </w:p>
  </w:footnote>
  <w:footnote w:type="continuationSeparator" w:id="0">
    <w:p w14:paraId="39D4DDE2" w14:textId="77777777" w:rsidR="007C0A01" w:rsidRDefault="007C0A01">
      <w:r>
        <w:continuationSeparator/>
      </w:r>
    </w:p>
  </w:footnote>
  <w:footnote w:id="1">
    <w:p w14:paraId="755406A1" w14:textId="5425EFB5" w:rsidR="007C0A01" w:rsidRPr="00224ADA" w:rsidRDefault="007C0A01" w:rsidP="007C0A01">
      <w:pPr>
        <w:pStyle w:val="FootnoteText"/>
        <w:rPr>
          <w:sz w:val="20"/>
          <w:lang w:eastAsia="ja-JP"/>
        </w:rPr>
      </w:pPr>
      <w:r w:rsidRPr="00224ADA">
        <w:rPr>
          <w:rStyle w:val="FootnoteReference"/>
          <w:sz w:val="20"/>
        </w:rPr>
        <w:footnoteRef/>
      </w:r>
      <w:r w:rsidR="00375F49" w:rsidRPr="00224ADA">
        <w:rPr>
          <w:sz w:val="20"/>
        </w:rPr>
        <w:tab/>
      </w:r>
      <w:hyperlink r:id="rId1" w:history="1">
        <w:r w:rsidR="00375F49" w:rsidRPr="00224ADA">
          <w:rPr>
            <w:rStyle w:val="Hyperlink"/>
            <w:sz w:val="20"/>
          </w:rPr>
          <w:t>https://www.itu.int/en/ITU-R/space/e-communications/Pages/list_of_registered_administrations.aspx</w:t>
        </w:r>
      </w:hyperlink>
    </w:p>
    <w:p w14:paraId="338F4327" w14:textId="77777777" w:rsidR="007C0A01" w:rsidRDefault="007C0A01" w:rsidP="00375F49">
      <w:pPr>
        <w:pStyle w:val="FootnoteText"/>
        <w:ind w:left="0" w:firstLineChars="118" w:firstLine="283"/>
        <w:rPr>
          <w:lang w:eastAsia="ja-JP"/>
        </w:rPr>
      </w:pPr>
      <w:hyperlink r:id="rId2" w:history="1">
        <w:r w:rsidRPr="00224ADA">
          <w:rPr>
            <w:rStyle w:val="Hyperlink"/>
            <w:sz w:val="20"/>
          </w:rPr>
          <w:t>https://www.itu.int/online/mm/scripts/org_br_admin.list?_group=BR_SSD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3B5E" w14:textId="77777777" w:rsidR="00616601" w:rsidRDefault="004D6C09">
    <w:pPr>
      <w:pStyle w:val="Header"/>
      <w:rPr>
        <w:lang w:val="es-ES"/>
      </w:rPr>
    </w:pPr>
    <w:r>
      <w:rPr>
        <w:rStyle w:val="PageNumber"/>
      </w:rPr>
      <w:fldChar w:fldCharType="begin"/>
    </w:r>
    <w:r w:rsidR="0061660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B4BA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09F467D" w14:textId="17D2DCC9" w:rsidR="00616601" w:rsidRDefault="0034043B" w:rsidP="00AB4BAD">
    <w:pPr>
      <w:pStyle w:val="Header"/>
      <w:rPr>
        <w:lang w:val="es-ES"/>
      </w:rPr>
    </w:pPr>
    <w:r>
      <w:rPr>
        <w:lang w:val="es-ES"/>
      </w:rPr>
      <w:t>RAG</w:t>
    </w:r>
    <w:r w:rsidR="00616601">
      <w:rPr>
        <w:lang w:val="es-ES"/>
      </w:rPr>
      <w:t>/</w:t>
    </w:r>
    <w:r w:rsidR="00B03233">
      <w:rPr>
        <w:lang w:val="es-ES"/>
      </w:rPr>
      <w:t>69</w:t>
    </w:r>
    <w:r w:rsidR="00616601">
      <w:rPr>
        <w:lang w:val="es-ES"/>
      </w:rPr>
      <w:t>-S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C0163"/>
    <w:multiLevelType w:val="hybridMultilevel"/>
    <w:tmpl w:val="BECE739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44683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01"/>
    <w:rsid w:val="00057393"/>
    <w:rsid w:val="000C62BA"/>
    <w:rsid w:val="000D756D"/>
    <w:rsid w:val="000F4BB7"/>
    <w:rsid w:val="0012592F"/>
    <w:rsid w:val="0014238D"/>
    <w:rsid w:val="001F2F50"/>
    <w:rsid w:val="002225C1"/>
    <w:rsid w:val="00224ADA"/>
    <w:rsid w:val="0031432E"/>
    <w:rsid w:val="0034043B"/>
    <w:rsid w:val="00375F49"/>
    <w:rsid w:val="00414D8B"/>
    <w:rsid w:val="004649B3"/>
    <w:rsid w:val="00482905"/>
    <w:rsid w:val="00494752"/>
    <w:rsid w:val="004D6C09"/>
    <w:rsid w:val="0057336B"/>
    <w:rsid w:val="005A2195"/>
    <w:rsid w:val="005D3E02"/>
    <w:rsid w:val="00610642"/>
    <w:rsid w:val="00616601"/>
    <w:rsid w:val="00646EEF"/>
    <w:rsid w:val="00663829"/>
    <w:rsid w:val="006A42AB"/>
    <w:rsid w:val="006B5313"/>
    <w:rsid w:val="006E291F"/>
    <w:rsid w:val="00783103"/>
    <w:rsid w:val="007C0A01"/>
    <w:rsid w:val="008506C9"/>
    <w:rsid w:val="00897F7D"/>
    <w:rsid w:val="008F0106"/>
    <w:rsid w:val="00924B63"/>
    <w:rsid w:val="009812AC"/>
    <w:rsid w:val="00982618"/>
    <w:rsid w:val="009C205E"/>
    <w:rsid w:val="00A0579C"/>
    <w:rsid w:val="00A7663C"/>
    <w:rsid w:val="00A869B2"/>
    <w:rsid w:val="00A96B6F"/>
    <w:rsid w:val="00AB4BAD"/>
    <w:rsid w:val="00B03233"/>
    <w:rsid w:val="00B32E51"/>
    <w:rsid w:val="00C837F0"/>
    <w:rsid w:val="00CB7A43"/>
    <w:rsid w:val="00CD17A7"/>
    <w:rsid w:val="00CF4CAC"/>
    <w:rsid w:val="00D51E1E"/>
    <w:rsid w:val="00DE6359"/>
    <w:rsid w:val="00DE77E6"/>
    <w:rsid w:val="00E72EA7"/>
    <w:rsid w:val="00EA4101"/>
    <w:rsid w:val="00F23715"/>
    <w:rsid w:val="00F75558"/>
    <w:rsid w:val="00F7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F7CE9"/>
  <w15:docId w15:val="{BB6A2136-81F7-413D-811E-0EF3FFA4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C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4D6C0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D6C09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4D6C09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4D6C0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D6C09"/>
    <w:pPr>
      <w:outlineLvl w:val="4"/>
    </w:pPr>
  </w:style>
  <w:style w:type="paragraph" w:styleId="Heading6">
    <w:name w:val="heading 6"/>
    <w:basedOn w:val="Heading4"/>
    <w:next w:val="Normal"/>
    <w:qFormat/>
    <w:rsid w:val="004D6C0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D6C09"/>
    <w:pPr>
      <w:outlineLvl w:val="6"/>
    </w:pPr>
  </w:style>
  <w:style w:type="paragraph" w:styleId="Heading8">
    <w:name w:val="heading 8"/>
    <w:basedOn w:val="Heading6"/>
    <w:next w:val="Normal"/>
    <w:qFormat/>
    <w:rsid w:val="004D6C09"/>
    <w:pPr>
      <w:outlineLvl w:val="7"/>
    </w:pPr>
  </w:style>
  <w:style w:type="paragraph" w:styleId="Heading9">
    <w:name w:val="heading 9"/>
    <w:basedOn w:val="Heading6"/>
    <w:next w:val="Normal"/>
    <w:qFormat/>
    <w:rsid w:val="004D6C0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4D6C09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D6C09"/>
    <w:pPr>
      <w:spacing w:before="360"/>
    </w:pPr>
  </w:style>
  <w:style w:type="paragraph" w:customStyle="1" w:styleId="TabletitleBR">
    <w:name w:val="Table_title_BR"/>
    <w:basedOn w:val="Normal"/>
    <w:next w:val="Tablehead"/>
    <w:rsid w:val="004D6C09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4D6C0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rsid w:val="004D6C0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4D6C09"/>
  </w:style>
  <w:style w:type="paragraph" w:customStyle="1" w:styleId="Figure">
    <w:name w:val="Figure"/>
    <w:basedOn w:val="Normal"/>
    <w:next w:val="FigureNotitle"/>
    <w:rsid w:val="004D6C09"/>
    <w:pPr>
      <w:keepNext/>
      <w:keepLines/>
      <w:spacing w:before="240" w:after="120"/>
      <w:jc w:val="center"/>
    </w:pPr>
  </w:style>
  <w:style w:type="paragraph" w:customStyle="1" w:styleId="Artheading">
    <w:name w:val="Art_heading"/>
    <w:basedOn w:val="Normal"/>
    <w:next w:val="Normalaftertitle"/>
    <w:rsid w:val="004D6C0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D6C0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D6C0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4D6C09"/>
    <w:rPr>
      <w:vertAlign w:val="superscript"/>
    </w:rPr>
  </w:style>
  <w:style w:type="paragraph" w:customStyle="1" w:styleId="enumlev1">
    <w:name w:val="enumlev1"/>
    <w:basedOn w:val="Normal"/>
    <w:rsid w:val="004D6C09"/>
    <w:pPr>
      <w:spacing w:before="80"/>
      <w:ind w:left="794" w:hanging="794"/>
    </w:pPr>
  </w:style>
  <w:style w:type="paragraph" w:customStyle="1" w:styleId="enumlev2">
    <w:name w:val="enumlev2"/>
    <w:basedOn w:val="enumlev1"/>
    <w:rsid w:val="004D6C09"/>
    <w:pPr>
      <w:ind w:left="1191" w:hanging="397"/>
    </w:pPr>
  </w:style>
  <w:style w:type="paragraph" w:customStyle="1" w:styleId="enumlev3">
    <w:name w:val="enumlev3"/>
    <w:basedOn w:val="enumlev2"/>
    <w:rsid w:val="004D6C09"/>
    <w:pPr>
      <w:ind w:left="1588"/>
    </w:pPr>
  </w:style>
  <w:style w:type="paragraph" w:customStyle="1" w:styleId="Equation">
    <w:name w:val="Equation"/>
    <w:basedOn w:val="Normal"/>
    <w:rsid w:val="004D6C0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4D6C0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cNoBR">
    <w:name w:val="Rec_No_BR"/>
    <w:basedOn w:val="Normal"/>
    <w:next w:val="Rec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4D6C09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4D6C09"/>
  </w:style>
  <w:style w:type="paragraph" w:customStyle="1" w:styleId="Questiontitle">
    <w:name w:val="Question_title"/>
    <w:basedOn w:val="Rectitle"/>
    <w:next w:val="Questionref"/>
    <w:rsid w:val="004D6C09"/>
  </w:style>
  <w:style w:type="paragraph" w:customStyle="1" w:styleId="Questionref">
    <w:name w:val="Question_ref"/>
    <w:basedOn w:val="Recref"/>
    <w:next w:val="Questiondate"/>
    <w:rsid w:val="004D6C09"/>
  </w:style>
  <w:style w:type="paragraph" w:customStyle="1" w:styleId="Recref">
    <w:name w:val="Rec_ref"/>
    <w:basedOn w:val="Normal"/>
    <w:next w:val="Recdat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6C09"/>
  </w:style>
  <w:style w:type="paragraph" w:customStyle="1" w:styleId="RepNoBR">
    <w:name w:val="Rep_No_BR"/>
    <w:basedOn w:val="RecNoBR"/>
    <w:next w:val="Reptitle"/>
    <w:rsid w:val="004D6C09"/>
  </w:style>
  <w:style w:type="paragraph" w:customStyle="1" w:styleId="Reptitle">
    <w:name w:val="Rep_title"/>
    <w:basedOn w:val="Rectitle"/>
    <w:next w:val="Repref"/>
    <w:rsid w:val="004D6C09"/>
  </w:style>
  <w:style w:type="paragraph" w:customStyle="1" w:styleId="Repref">
    <w:name w:val="Rep_ref"/>
    <w:basedOn w:val="Recref"/>
    <w:next w:val="Repdate"/>
    <w:rsid w:val="004D6C09"/>
  </w:style>
  <w:style w:type="paragraph" w:customStyle="1" w:styleId="Repdate">
    <w:name w:val="Rep_date"/>
    <w:basedOn w:val="Recdate"/>
    <w:next w:val="Normalaftertitle"/>
    <w:rsid w:val="004D6C09"/>
  </w:style>
  <w:style w:type="paragraph" w:customStyle="1" w:styleId="ResNoBR">
    <w:name w:val="Res_No_BR"/>
    <w:basedOn w:val="RecNoBR"/>
    <w:next w:val="Restitle"/>
    <w:rsid w:val="004D6C09"/>
  </w:style>
  <w:style w:type="paragraph" w:customStyle="1" w:styleId="Restitle">
    <w:name w:val="Res_title"/>
    <w:basedOn w:val="Rectitle"/>
    <w:next w:val="Resref"/>
    <w:rsid w:val="004D6C09"/>
  </w:style>
  <w:style w:type="paragraph" w:customStyle="1" w:styleId="Resref">
    <w:name w:val="Res_ref"/>
    <w:basedOn w:val="Recref"/>
    <w:next w:val="Resdate"/>
    <w:rsid w:val="004D6C09"/>
  </w:style>
  <w:style w:type="paragraph" w:customStyle="1" w:styleId="Resdate">
    <w:name w:val="Res_date"/>
    <w:basedOn w:val="Recdate"/>
    <w:next w:val="Normalaftertitle"/>
    <w:rsid w:val="004D6C09"/>
  </w:style>
  <w:style w:type="paragraph" w:customStyle="1" w:styleId="Figurewithouttitle">
    <w:name w:val="Figure_without_title"/>
    <w:basedOn w:val="Normal"/>
    <w:next w:val="Normalaftertitle"/>
    <w:rsid w:val="004D6C09"/>
    <w:pPr>
      <w:keepLines/>
      <w:spacing w:before="240" w:after="120"/>
      <w:jc w:val="center"/>
    </w:pPr>
  </w:style>
  <w:style w:type="paragraph" w:styleId="Footer">
    <w:name w:val="footer"/>
    <w:basedOn w:val="Normal"/>
    <w:rsid w:val="004D6C0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basedOn w:val="DefaultParagraphFont"/>
    <w:rsid w:val="004D6C09"/>
    <w:rPr>
      <w:position w:val="6"/>
      <w:sz w:val="18"/>
    </w:rPr>
  </w:style>
  <w:style w:type="paragraph" w:styleId="FootnoteText">
    <w:name w:val="footnote text"/>
    <w:basedOn w:val="Note"/>
    <w:link w:val="FootnoteTextChar"/>
    <w:rsid w:val="004D6C0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D6C09"/>
    <w:pPr>
      <w:spacing w:before="80"/>
    </w:pPr>
  </w:style>
  <w:style w:type="paragraph" w:styleId="Header">
    <w:name w:val="header"/>
    <w:basedOn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4D6C09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4D6C09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4D6C09"/>
  </w:style>
  <w:style w:type="paragraph" w:styleId="Index2">
    <w:name w:val="index 2"/>
    <w:basedOn w:val="Normal"/>
    <w:next w:val="Normal"/>
    <w:semiHidden/>
    <w:rsid w:val="004D6C09"/>
    <w:pPr>
      <w:ind w:left="283"/>
    </w:pPr>
  </w:style>
  <w:style w:type="paragraph" w:styleId="Index3">
    <w:name w:val="index 3"/>
    <w:basedOn w:val="Normal"/>
    <w:next w:val="Normal"/>
    <w:semiHidden/>
    <w:rsid w:val="004D6C09"/>
    <w:pPr>
      <w:ind w:left="566"/>
    </w:pPr>
  </w:style>
  <w:style w:type="paragraph" w:customStyle="1" w:styleId="Section1">
    <w:name w:val="Section_1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4D6C09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4D6C09"/>
    <w:pPr>
      <w:keepNext/>
      <w:spacing w:before="560" w:after="120"/>
      <w:jc w:val="center"/>
    </w:pPr>
    <w:rPr>
      <w:caps/>
    </w:rPr>
  </w:style>
  <w:style w:type="paragraph" w:customStyle="1" w:styleId="FirstFooter">
    <w:name w:val="FirstFooter"/>
    <w:basedOn w:val="Footer"/>
    <w:rsid w:val="004D6C0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PartNo">
    <w:name w:val="Part_No"/>
    <w:basedOn w:val="Normal"/>
    <w:next w:val="Partref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4D6C0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D6C0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4D6C09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D6C09"/>
  </w:style>
  <w:style w:type="paragraph" w:customStyle="1" w:styleId="Reftext">
    <w:name w:val="Ref_text"/>
    <w:basedOn w:val="Normal"/>
    <w:rsid w:val="004D6C09"/>
    <w:pPr>
      <w:ind w:left="794" w:hanging="794"/>
    </w:pPr>
  </w:style>
  <w:style w:type="paragraph" w:customStyle="1" w:styleId="Reftitle">
    <w:name w:val="Ref_title"/>
    <w:basedOn w:val="Normal"/>
    <w:next w:val="Reftext"/>
    <w:rsid w:val="004D6C09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4D6C09"/>
  </w:style>
  <w:style w:type="paragraph" w:customStyle="1" w:styleId="ResNo">
    <w:name w:val="Res_No"/>
    <w:basedOn w:val="RecNo"/>
    <w:next w:val="Restitle"/>
    <w:rsid w:val="004D6C09"/>
  </w:style>
  <w:style w:type="paragraph" w:customStyle="1" w:styleId="SectionNo">
    <w:name w:val="Section_No"/>
    <w:basedOn w:val="Normal"/>
    <w:next w:val="Sectiontitle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D6C0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D6C0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4D6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4D6C0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4D6C0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D6C09"/>
  </w:style>
  <w:style w:type="paragraph" w:customStyle="1" w:styleId="Title3">
    <w:name w:val="Title 3"/>
    <w:basedOn w:val="Title2"/>
    <w:next w:val="Title4"/>
    <w:rsid w:val="004D6C09"/>
    <w:rPr>
      <w:caps w:val="0"/>
    </w:rPr>
  </w:style>
  <w:style w:type="paragraph" w:customStyle="1" w:styleId="Title4">
    <w:name w:val="Title 4"/>
    <w:basedOn w:val="Title3"/>
    <w:next w:val="Heading1"/>
    <w:rsid w:val="004D6C09"/>
    <w:rPr>
      <w:b/>
    </w:rPr>
  </w:style>
  <w:style w:type="paragraph" w:customStyle="1" w:styleId="toc0">
    <w:name w:val="toc 0"/>
    <w:basedOn w:val="Normal"/>
    <w:next w:val="TOC1"/>
    <w:rsid w:val="004D6C0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4D6C0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4D6C09"/>
    <w:pPr>
      <w:spacing w:before="80"/>
      <w:ind w:left="1531" w:hanging="851"/>
    </w:pPr>
  </w:style>
  <w:style w:type="paragraph" w:styleId="TOC3">
    <w:name w:val="toc 3"/>
    <w:basedOn w:val="TOC2"/>
    <w:semiHidden/>
    <w:rsid w:val="004D6C09"/>
  </w:style>
  <w:style w:type="paragraph" w:styleId="TOC4">
    <w:name w:val="toc 4"/>
    <w:basedOn w:val="TOC3"/>
    <w:semiHidden/>
    <w:rsid w:val="004D6C09"/>
  </w:style>
  <w:style w:type="paragraph" w:styleId="TOC5">
    <w:name w:val="toc 5"/>
    <w:basedOn w:val="TOC4"/>
    <w:semiHidden/>
    <w:rsid w:val="004D6C09"/>
  </w:style>
  <w:style w:type="paragraph" w:styleId="TOC6">
    <w:name w:val="toc 6"/>
    <w:basedOn w:val="TOC4"/>
    <w:semiHidden/>
    <w:rsid w:val="004D6C09"/>
  </w:style>
  <w:style w:type="paragraph" w:styleId="TOC7">
    <w:name w:val="toc 7"/>
    <w:basedOn w:val="TOC4"/>
    <w:semiHidden/>
    <w:rsid w:val="004D6C09"/>
  </w:style>
  <w:style w:type="paragraph" w:styleId="TOC8">
    <w:name w:val="toc 8"/>
    <w:basedOn w:val="TOC4"/>
    <w:semiHidden/>
    <w:rsid w:val="004D6C09"/>
  </w:style>
  <w:style w:type="character" w:styleId="PageNumber">
    <w:name w:val="page number"/>
    <w:basedOn w:val="DefaultParagraphFont"/>
    <w:rsid w:val="004D6C09"/>
  </w:style>
  <w:style w:type="character" w:customStyle="1" w:styleId="Appdef">
    <w:name w:val="App_def"/>
    <w:basedOn w:val="DefaultParagraphFont"/>
    <w:rsid w:val="004D6C0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4D6C09"/>
  </w:style>
  <w:style w:type="character" w:customStyle="1" w:styleId="Artdef">
    <w:name w:val="Art_def"/>
    <w:basedOn w:val="DefaultParagraphFont"/>
    <w:rsid w:val="004D6C0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4D6C09"/>
  </w:style>
  <w:style w:type="character" w:customStyle="1" w:styleId="Recdef">
    <w:name w:val="Rec_def"/>
    <w:basedOn w:val="DefaultParagraphFont"/>
    <w:rsid w:val="004D6C09"/>
    <w:rPr>
      <w:b/>
    </w:rPr>
  </w:style>
  <w:style w:type="character" w:customStyle="1" w:styleId="Resdef">
    <w:name w:val="Res_def"/>
    <w:basedOn w:val="DefaultParagraphFont"/>
    <w:rsid w:val="004D6C0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4D6C09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rsid w:val="004D6C09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4D6C09"/>
    <w:pPr>
      <w:keepNext/>
      <w:keepLines/>
      <w:spacing w:before="480" w:after="120"/>
      <w:jc w:val="center"/>
    </w:pPr>
    <w:rPr>
      <w:caps/>
    </w:rPr>
  </w:style>
  <w:style w:type="character" w:customStyle="1" w:styleId="FootnoteTextChar">
    <w:name w:val="Footnote Text Char"/>
    <w:basedOn w:val="DefaultParagraphFont"/>
    <w:link w:val="FootnoteText"/>
    <w:rsid w:val="007C0A01"/>
    <w:rPr>
      <w:rFonts w:ascii="Times New Roman" w:hAnsi="Times New Roman"/>
      <w:sz w:val="24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7C0A01"/>
    <w:pPr>
      <w:ind w:leftChars="400" w:left="840"/>
    </w:pPr>
    <w:rPr>
      <w:rFonts w:eastAsia="MS Mincho"/>
      <w:lang w:val="en-GB"/>
    </w:rPr>
  </w:style>
  <w:style w:type="character" w:styleId="Hyperlink">
    <w:name w:val="Hyperlink"/>
    <w:basedOn w:val="DefaultParagraphFont"/>
    <w:unhideWhenUsed/>
    <w:rsid w:val="007C0A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0323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F49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375F4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paragraph" w:customStyle="1" w:styleId="Reference">
    <w:name w:val="Reference"/>
    <w:basedOn w:val="Normal"/>
    <w:rsid w:val="00A96B6F"/>
    <w:pPr>
      <w:spacing w:after="120"/>
    </w:pPr>
    <w:rPr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23-RAG-C-0040/es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itu.int/md/R23-RAG-C-0040/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R23-RAG-C-0058/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itu.int/md/R23-RAG-C-0040/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R23-RAG-C-0045/es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online/mm/scripts/org_br_admin.list?_group=BR_SSD" TargetMode="External"/><Relationship Id="rId1" Type="http://schemas.openxmlformats.org/officeDocument/2006/relationships/hyperlink" Target="https://www.itu.int/en/ITU-R/space/e-communications/Pages/list_of_registered_administrations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eda\AppData\Roaming\Microsoft\Templates\POOL%20S%20-%20ITU\BR\PS_RA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PS_RAG.dotm</Template>
  <TotalTime>1</TotalTime>
  <Pages>4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AVANCES ULTERIORES EN EL MARCO DE LA RESOLUCIÓN 55 (REV. CMR-23) PRESENTACIÓN Y PUBLICACIÓN EN FORMATO ELECTRÓNICO DE LAS NOTIFICACIONES DE REDES DE SATÉLITES</vt:lpstr>
    </vt:vector>
  </TitlesOfParts>
  <Manager>General Secretariat - Pool</Manager>
  <Company>International Telecommunication Union (ITU)</Company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GRUPO ASESOR DE RADIOCOMUNICACIONES</dc:subject>
  <dc:creator>JAPÓN</dc:creator>
  <cp:keywords/>
  <dc:description/>
  <cp:lastModifiedBy>Xue, Kun</cp:lastModifiedBy>
  <cp:revision>2</cp:revision>
  <cp:lastPrinted>1993-02-18T11:12:00Z</cp:lastPrinted>
  <dcterms:created xsi:type="dcterms:W3CDTF">2026-03-13T09:12:00Z</dcterms:created>
  <dcterms:modified xsi:type="dcterms:W3CDTF">2026-03-13T09:12:00Z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RAG/69-S</vt:lpwstr>
  </property>
  <property fmtid="{D5CDD505-2E9C-101B-9397-08002B2CF9AE}" pid="3" name="Docdate">
    <vt:lpwstr>12 de marzo de 2026</vt:lpwstr>
  </property>
  <property fmtid="{D5CDD505-2E9C-101B-9397-08002B2CF9AE}" pid="4" name="Docorlang">
    <vt:lpwstr>Original: inglés</vt:lpwstr>
  </property>
  <property fmtid="{D5CDD505-2E9C-101B-9397-08002B2CF9AE}" pid="5" name="Docauthor">
    <vt:lpwstr>JAPÓN</vt:lpwstr>
  </property>
</Properties>
</file>