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4EF10570" w14:textId="77777777" w:rsidTr="00296752">
        <w:trPr>
          <w:cantSplit/>
        </w:trPr>
        <w:tc>
          <w:tcPr>
            <w:tcW w:w="6772" w:type="dxa"/>
            <w:vAlign w:val="center"/>
          </w:tcPr>
          <w:p w14:paraId="13AB93E7"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3855CEF3" w14:textId="77777777" w:rsidR="0057336B" w:rsidRDefault="00AB4BAD" w:rsidP="00A7663C">
            <w:pPr>
              <w:shd w:val="solid" w:color="FFFFFF" w:fill="FFFFFF"/>
              <w:spacing w:before="0"/>
            </w:pPr>
            <w:r w:rsidRPr="00C126C1">
              <w:rPr>
                <w:noProof/>
                <w:lang w:val="en-US" w:eastAsia="zh-CN"/>
              </w:rPr>
              <w:drawing>
                <wp:inline distT="0" distB="0" distL="0" distR="0" wp14:anchorId="552B906C" wp14:editId="035068D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1DBDB63A" w14:textId="77777777" w:rsidTr="00296752">
        <w:trPr>
          <w:cantSplit/>
        </w:trPr>
        <w:tc>
          <w:tcPr>
            <w:tcW w:w="6772" w:type="dxa"/>
            <w:tcBorders>
              <w:bottom w:val="single" w:sz="12" w:space="0" w:color="auto"/>
            </w:tcBorders>
          </w:tcPr>
          <w:p w14:paraId="0F6A6644"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7FE20A9A"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0DCDCA8C" w14:textId="77777777" w:rsidTr="00296752">
        <w:trPr>
          <w:cantSplit/>
        </w:trPr>
        <w:tc>
          <w:tcPr>
            <w:tcW w:w="6772" w:type="dxa"/>
            <w:tcBorders>
              <w:top w:val="single" w:sz="12" w:space="0" w:color="auto"/>
            </w:tcBorders>
          </w:tcPr>
          <w:p w14:paraId="1204815A"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51E3089A"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1C2B721D" w14:textId="77777777" w:rsidTr="00296752">
        <w:trPr>
          <w:cantSplit/>
        </w:trPr>
        <w:tc>
          <w:tcPr>
            <w:tcW w:w="6772" w:type="dxa"/>
            <w:vMerge w:val="restart"/>
          </w:tcPr>
          <w:p w14:paraId="2AE02518" w14:textId="77777777" w:rsidR="006E291F" w:rsidRDefault="006E291F" w:rsidP="00CB7A43">
            <w:pPr>
              <w:shd w:val="solid" w:color="FFFFFF" w:fill="FFFFFF"/>
              <w:spacing w:after="240"/>
              <w:rPr>
                <w:sz w:val="20"/>
              </w:rPr>
            </w:pPr>
            <w:bookmarkStart w:id="0" w:name="dnum" w:colFirst="1" w:colLast="1"/>
          </w:p>
        </w:tc>
        <w:tc>
          <w:tcPr>
            <w:tcW w:w="3117" w:type="dxa"/>
          </w:tcPr>
          <w:p w14:paraId="73FBC117" w14:textId="39A86016" w:rsidR="006E291F" w:rsidRPr="00296752" w:rsidRDefault="00296752" w:rsidP="00296752">
            <w:pPr>
              <w:shd w:val="solid" w:color="FFFFFF" w:fill="FFFFFF"/>
              <w:spacing w:before="0" w:line="240" w:lineRule="atLeast"/>
              <w:rPr>
                <w:rFonts w:ascii="Verdana" w:hAnsi="Verdana"/>
                <w:sz w:val="20"/>
              </w:rPr>
            </w:pPr>
            <w:r>
              <w:rPr>
                <w:rFonts w:ascii="Verdana" w:hAnsi="Verdana"/>
                <w:b/>
                <w:sz w:val="20"/>
              </w:rPr>
              <w:t>Documento RAG/67-S</w:t>
            </w:r>
          </w:p>
        </w:tc>
      </w:tr>
      <w:tr w:rsidR="006E291F" w:rsidRPr="002A127E" w14:paraId="3E71757D" w14:textId="77777777" w:rsidTr="00296752">
        <w:trPr>
          <w:cantSplit/>
        </w:trPr>
        <w:tc>
          <w:tcPr>
            <w:tcW w:w="6772" w:type="dxa"/>
            <w:vMerge/>
          </w:tcPr>
          <w:p w14:paraId="49C58599" w14:textId="77777777" w:rsidR="006E291F" w:rsidRDefault="006E291F" w:rsidP="00CB7A43">
            <w:pPr>
              <w:spacing w:before="60"/>
              <w:jc w:val="center"/>
              <w:rPr>
                <w:b/>
                <w:smallCaps/>
                <w:sz w:val="32"/>
              </w:rPr>
            </w:pPr>
            <w:bookmarkStart w:id="1" w:name="ddate" w:colFirst="1" w:colLast="1"/>
            <w:bookmarkEnd w:id="0"/>
          </w:p>
        </w:tc>
        <w:tc>
          <w:tcPr>
            <w:tcW w:w="3117" w:type="dxa"/>
          </w:tcPr>
          <w:p w14:paraId="39A307DD" w14:textId="0B7B0FBA" w:rsidR="006E291F" w:rsidRPr="00296752" w:rsidRDefault="00296752" w:rsidP="00296752">
            <w:pPr>
              <w:shd w:val="solid" w:color="FFFFFF" w:fill="FFFFFF"/>
              <w:spacing w:before="0" w:line="240" w:lineRule="atLeast"/>
              <w:rPr>
                <w:rFonts w:ascii="Verdana" w:hAnsi="Verdana"/>
                <w:sz w:val="20"/>
              </w:rPr>
            </w:pPr>
            <w:r>
              <w:rPr>
                <w:rFonts w:ascii="Verdana" w:hAnsi="Verdana"/>
                <w:b/>
                <w:sz w:val="20"/>
              </w:rPr>
              <w:t>27 de febrero de 2026</w:t>
            </w:r>
          </w:p>
        </w:tc>
      </w:tr>
      <w:tr w:rsidR="006E291F" w:rsidRPr="002A127E" w14:paraId="77F4C652" w14:textId="77777777" w:rsidTr="00296752">
        <w:trPr>
          <w:cantSplit/>
        </w:trPr>
        <w:tc>
          <w:tcPr>
            <w:tcW w:w="6772" w:type="dxa"/>
            <w:vMerge/>
          </w:tcPr>
          <w:p w14:paraId="21B50BD6" w14:textId="77777777" w:rsidR="006E291F" w:rsidRDefault="006E291F" w:rsidP="00CB7A43">
            <w:pPr>
              <w:spacing w:before="60"/>
              <w:jc w:val="center"/>
              <w:rPr>
                <w:b/>
                <w:smallCaps/>
                <w:sz w:val="32"/>
              </w:rPr>
            </w:pPr>
            <w:bookmarkStart w:id="2" w:name="dorlang" w:colFirst="1" w:colLast="1"/>
            <w:bookmarkEnd w:id="1"/>
          </w:p>
        </w:tc>
        <w:tc>
          <w:tcPr>
            <w:tcW w:w="3117" w:type="dxa"/>
          </w:tcPr>
          <w:p w14:paraId="3993D8E6" w14:textId="0B16FCFC" w:rsidR="006E291F" w:rsidRPr="00296752" w:rsidRDefault="00296752" w:rsidP="00296752">
            <w:pPr>
              <w:shd w:val="solid" w:color="FFFFFF" w:fill="FFFFFF"/>
              <w:spacing w:before="0" w:after="120" w:line="240" w:lineRule="atLeast"/>
              <w:rPr>
                <w:rFonts w:ascii="Verdana" w:hAnsi="Verdana"/>
                <w:sz w:val="20"/>
              </w:rPr>
            </w:pPr>
            <w:r>
              <w:rPr>
                <w:rFonts w:ascii="Verdana" w:hAnsi="Verdana"/>
                <w:b/>
                <w:sz w:val="20"/>
              </w:rPr>
              <w:t>Original: inglés</w:t>
            </w:r>
          </w:p>
        </w:tc>
      </w:tr>
      <w:tr w:rsidR="006E291F" w14:paraId="4FCA48BB" w14:textId="77777777" w:rsidTr="008F0106">
        <w:trPr>
          <w:cantSplit/>
        </w:trPr>
        <w:tc>
          <w:tcPr>
            <w:tcW w:w="9889" w:type="dxa"/>
            <w:gridSpan w:val="2"/>
          </w:tcPr>
          <w:p w14:paraId="04691EAB" w14:textId="40687A4A" w:rsidR="006E291F" w:rsidRDefault="00296752" w:rsidP="00CB7A43">
            <w:pPr>
              <w:pStyle w:val="Source"/>
            </w:pPr>
            <w:bookmarkStart w:id="3" w:name="dsource" w:colFirst="0" w:colLast="0"/>
            <w:bookmarkEnd w:id="2"/>
            <w:r>
              <w:rPr>
                <w:bCs/>
                <w:color w:val="000000"/>
                <w:lang w:val="es-ES"/>
              </w:rPr>
              <w:t>Presidente del Grupo de Coordinación Intersectorial (GCIS)</w:t>
            </w:r>
          </w:p>
        </w:tc>
      </w:tr>
      <w:tr w:rsidR="006E291F" w14:paraId="41D848EB" w14:textId="77777777" w:rsidTr="008F0106">
        <w:trPr>
          <w:cantSplit/>
        </w:trPr>
        <w:tc>
          <w:tcPr>
            <w:tcW w:w="9889" w:type="dxa"/>
            <w:gridSpan w:val="2"/>
          </w:tcPr>
          <w:p w14:paraId="1E551A22" w14:textId="0BF3FBAF" w:rsidR="006E291F" w:rsidRDefault="00296752" w:rsidP="00CB7A43">
            <w:pPr>
              <w:pStyle w:val="Title1"/>
            </w:pPr>
            <w:bookmarkStart w:id="4" w:name="dtitle1" w:colFirst="0" w:colLast="0"/>
            <w:bookmarkEnd w:id="3"/>
            <w:r>
              <w:t>INFORME SOBRE LA MARCHA DE LOS TRABAJOS</w:t>
            </w:r>
          </w:p>
        </w:tc>
      </w:tr>
    </w:tbl>
    <w:bookmarkEnd w:id="4"/>
    <w:p w14:paraId="21722C8D" w14:textId="49CEBE66" w:rsidR="00494752" w:rsidRDefault="00296752" w:rsidP="00296752">
      <w:pPr>
        <w:pStyle w:val="Headingb"/>
        <w:spacing w:before="240"/>
      </w:pPr>
      <w:r>
        <w:rPr>
          <w:lang w:val="es-ES"/>
        </w:rPr>
        <w:t>Introducción</w:t>
      </w:r>
    </w:p>
    <w:p w14:paraId="3C3B9763" w14:textId="5176371A" w:rsidR="00F77D5F" w:rsidRDefault="00296752" w:rsidP="00296752">
      <w:pPr>
        <w:pStyle w:val="Normalaftertitle"/>
        <w:spacing w:before="120"/>
      </w:pPr>
      <w:r>
        <w:rPr>
          <w:lang w:val="es-ES"/>
        </w:rPr>
        <w:t>El Presidente del Grupo de Coordinación Intersectorial (GCIS) sobre asuntos de interés mutuo, Sr. Fabio Bigi, desea presentar al Grupo Asesor de Radiocomunicaciones (GAR) información actualizada sobre la marcha de los trabajos del GCIS desde su última reunión en 2025.</w:t>
      </w:r>
    </w:p>
    <w:p w14:paraId="147EBF4B" w14:textId="3E92EDCF" w:rsidR="00296752" w:rsidRPr="006F3450" w:rsidRDefault="00296752" w:rsidP="00296752">
      <w:pPr>
        <w:rPr>
          <w:lang w:val="es-ES"/>
        </w:rPr>
      </w:pPr>
      <w:r>
        <w:rPr>
          <w:lang w:val="es-ES"/>
        </w:rPr>
        <w:t>El Presidente del GCIS también desea informar al GAR de que, a raíz de las solicitudes formuladas en el Grupo de Trabajo del Consejo sobre Recursos Humanos y Financieros (GTC</w:t>
      </w:r>
      <w:r w:rsidR="002C14DF">
        <w:rPr>
          <w:lang w:val="es-ES"/>
        </w:rPr>
        <w:noBreakHyphen/>
      </w:r>
      <w:r>
        <w:rPr>
          <w:lang w:val="es-ES"/>
        </w:rPr>
        <w:t>RHF) en septiembre de 2025, el sitio web del GCIS se ha actualizado para reflejar los cambios en el formato y los procedimientos de publicación de documentos, en consonancia con las solicitudes de los miembros y con las prácticas aplicadas a otras reuniones de la Secretaría General.</w:t>
      </w:r>
    </w:p>
    <w:p w14:paraId="5D7D5A64" w14:textId="66FDD0E0" w:rsidR="00296752" w:rsidRPr="00EB22CA" w:rsidRDefault="00296752" w:rsidP="00296752">
      <w:pPr>
        <w:rPr>
          <w:lang w:val="es-ES"/>
        </w:rPr>
      </w:pPr>
      <w:r>
        <w:rPr>
          <w:lang w:val="es-ES"/>
        </w:rPr>
        <w:t>Toda la información relacionada con el GCIS, incluido el informe de la última reunión celebrada el</w:t>
      </w:r>
      <w:r w:rsidR="002C14DF">
        <w:rPr>
          <w:lang w:val="es-ES"/>
        </w:rPr>
        <w:t> </w:t>
      </w:r>
      <w:r>
        <w:rPr>
          <w:lang w:val="es-ES"/>
        </w:rPr>
        <w:t xml:space="preserve">28 de enero de 2026, está disponible en la </w:t>
      </w:r>
      <w:hyperlink r:id="rId8" w:history="1">
        <w:r w:rsidRPr="00567EDD">
          <w:rPr>
            <w:rStyle w:val="Hyperlink"/>
            <w:lang w:val="es-ES"/>
          </w:rPr>
          <w:t>página web del GCIS</w:t>
        </w:r>
      </w:hyperlink>
      <w:r>
        <w:rPr>
          <w:lang w:val="es-ES"/>
        </w:rPr>
        <w:t>.</w:t>
      </w:r>
      <w:hyperlink r:id="rId9" w:history="1"/>
    </w:p>
    <w:p w14:paraId="2D01865F" w14:textId="77777777" w:rsidR="00296752" w:rsidRPr="006F3450" w:rsidRDefault="00296752" w:rsidP="00296752">
      <w:pPr>
        <w:pStyle w:val="Headingb"/>
        <w:rPr>
          <w:lang w:val="es-ES"/>
        </w:rPr>
      </w:pPr>
      <w:r>
        <w:rPr>
          <w:lang w:val="es-ES"/>
        </w:rPr>
        <w:t>Debates principales</w:t>
      </w:r>
    </w:p>
    <w:p w14:paraId="2E8CAE66" w14:textId="77777777" w:rsidR="00296752" w:rsidRPr="006F3450" w:rsidRDefault="00296752" w:rsidP="00296752">
      <w:pPr>
        <w:tabs>
          <w:tab w:val="clear" w:pos="794"/>
          <w:tab w:val="clear" w:pos="1191"/>
          <w:tab w:val="clear" w:pos="1588"/>
          <w:tab w:val="clear" w:pos="1985"/>
          <w:tab w:val="left" w:pos="567"/>
          <w:tab w:val="left" w:pos="1134"/>
          <w:tab w:val="left" w:pos="1701"/>
          <w:tab w:val="left" w:pos="2268"/>
          <w:tab w:val="left" w:pos="2835"/>
        </w:tabs>
        <w:rPr>
          <w:lang w:val="es-ES"/>
        </w:rPr>
      </w:pPr>
      <w:r>
        <w:rPr>
          <w:lang w:val="es-ES"/>
        </w:rPr>
        <w:t>El GCIS sigue abordando los siguientes temas:</w:t>
      </w:r>
    </w:p>
    <w:p w14:paraId="660B4842" w14:textId="539D05C0" w:rsidR="00296752" w:rsidRPr="006F3450" w:rsidRDefault="00296752" w:rsidP="00296752">
      <w:pPr>
        <w:pStyle w:val="enumlev1"/>
        <w:rPr>
          <w:rFonts w:eastAsia="SimSun"/>
          <w:lang w:val="es-ES"/>
        </w:rPr>
      </w:pPr>
      <w:r w:rsidRPr="00296752">
        <w:rPr>
          <w:lang w:val="es-ES"/>
        </w:rPr>
        <w:t>–</w:t>
      </w:r>
      <w:r w:rsidRPr="00296752">
        <w:rPr>
          <w:lang w:val="es-ES"/>
        </w:rPr>
        <w:tab/>
      </w:r>
      <w:r>
        <w:rPr>
          <w:b/>
          <w:bCs/>
          <w:lang w:val="es-ES"/>
        </w:rPr>
        <w:t xml:space="preserve">Accesibilidad: </w:t>
      </w:r>
      <w:r>
        <w:rPr>
          <w:lang w:val="es-ES"/>
        </w:rPr>
        <w:t>se nombró a una nueva coordinadora, la Sra. Lidia Best (Presidenta de la JCA</w:t>
      </w:r>
      <w:r w:rsidR="002C14DF">
        <w:rPr>
          <w:lang w:val="es-ES"/>
        </w:rPr>
        <w:noBreakHyphen/>
      </w:r>
      <w:r>
        <w:rPr>
          <w:lang w:val="es-ES"/>
        </w:rPr>
        <w:t>AHF), que informará sobre las actualizaciones relacionadas con la accesibilidad en la próxima reunión. Esto incluirá el desarrollo del nuevo sitio web de la UIT, para garantizar que siga siendo accesible para todos.</w:t>
      </w:r>
    </w:p>
    <w:p w14:paraId="59DFF793" w14:textId="6F3074F9" w:rsidR="00296752" w:rsidRPr="00EB22CA" w:rsidRDefault="00296752" w:rsidP="00296752">
      <w:pPr>
        <w:pStyle w:val="enumlev1"/>
        <w:rPr>
          <w:rFonts w:eastAsia="SimSun"/>
          <w:lang w:val="es-ES"/>
        </w:rPr>
      </w:pPr>
      <w:r w:rsidRPr="00296752">
        <w:rPr>
          <w:lang w:val="es-ES"/>
        </w:rPr>
        <w:t>–</w:t>
      </w:r>
      <w:r w:rsidRPr="00296752">
        <w:rPr>
          <w:lang w:val="es-ES"/>
        </w:rPr>
        <w:tab/>
      </w:r>
      <w:r>
        <w:rPr>
          <w:b/>
          <w:bCs/>
          <w:lang w:val="es-ES"/>
        </w:rPr>
        <w:t>Cambio climático</w:t>
      </w:r>
      <w:r>
        <w:rPr>
          <w:lang w:val="es-ES"/>
        </w:rPr>
        <w:t xml:space="preserve">: la colaboración entre los tres Sectores de la UIT sigue evolucionando. Esto se refleja en el sitio web bajo </w:t>
      </w:r>
      <w:hyperlink r:id="rId10" w:history="1">
        <w:r w:rsidRPr="00147340">
          <w:rPr>
            <w:rStyle w:val="Hyperlink"/>
            <w:lang w:val="es-ES"/>
          </w:rPr>
          <w:t>Medio ambiente y cambio climático</w:t>
        </w:r>
      </w:hyperlink>
      <w:r>
        <w:rPr>
          <w:lang w:val="es-ES"/>
        </w:rPr>
        <w:t>.</w:t>
      </w:r>
      <w:hyperlink r:id="rId11" w:history="1"/>
    </w:p>
    <w:p w14:paraId="002995F4" w14:textId="31047436" w:rsidR="00296752" w:rsidRPr="00EB22CA" w:rsidRDefault="00296752" w:rsidP="00296752">
      <w:pPr>
        <w:pStyle w:val="enumlev1"/>
        <w:rPr>
          <w:rFonts w:eastAsia="SimSun"/>
          <w:lang w:val="es-ES"/>
        </w:rPr>
      </w:pPr>
      <w:r w:rsidRPr="00296752">
        <w:rPr>
          <w:lang w:val="es-ES"/>
        </w:rPr>
        <w:t>–</w:t>
      </w:r>
      <w:r w:rsidRPr="00296752">
        <w:rPr>
          <w:lang w:val="es-ES"/>
        </w:rPr>
        <w:tab/>
      </w:r>
      <w:r w:rsidRPr="0046414D">
        <w:rPr>
          <w:b/>
          <w:bCs/>
          <w:lang w:val="es-ES"/>
        </w:rPr>
        <w:t>Sitio web de la UIT</w:t>
      </w:r>
      <w:r>
        <w:rPr>
          <w:lang w:val="es-ES"/>
        </w:rPr>
        <w:t xml:space="preserve">: la Secretaría de la UIT está trabajando en el proyecto de nuevo sitio web de la UIT, cuyo último informe figura en el Documento </w:t>
      </w:r>
      <w:hyperlink r:id="rId12" w:history="1">
        <w:r w:rsidRPr="00D128FD">
          <w:rPr>
            <w:rStyle w:val="Hyperlink"/>
            <w:lang w:val="es-ES"/>
          </w:rPr>
          <w:t>CWG-FHR-22/1</w:t>
        </w:r>
      </w:hyperlink>
      <w:r>
        <w:rPr>
          <w:lang w:val="es-ES"/>
        </w:rPr>
        <w:t>. Se encargó a la Secretaría que se coordinara con el coordinador de accesibilidad para garantizar que el proyecto tuviera en cuenta las necesidades de las personas con discapacidad durante el proceso de examen.</w:t>
      </w:r>
      <w:hyperlink r:id="rId13" w:history="1"/>
    </w:p>
    <w:p w14:paraId="566A530F" w14:textId="3BFCD702" w:rsidR="00296752" w:rsidRPr="00EB22CA" w:rsidRDefault="00296752" w:rsidP="00296752">
      <w:pPr>
        <w:pStyle w:val="enumlev1"/>
        <w:rPr>
          <w:rFonts w:eastAsia="SimSun"/>
          <w:lang w:val="es-ES"/>
        </w:rPr>
      </w:pPr>
      <w:r w:rsidRPr="00296752">
        <w:rPr>
          <w:lang w:val="es-ES"/>
        </w:rPr>
        <w:t>–</w:t>
      </w:r>
      <w:r w:rsidRPr="00296752">
        <w:rPr>
          <w:lang w:val="es-ES"/>
        </w:rPr>
        <w:tab/>
      </w:r>
      <w:r w:rsidRPr="00567EDD">
        <w:rPr>
          <w:b/>
          <w:bCs/>
          <w:lang w:val="es-ES"/>
        </w:rPr>
        <w:t>Participación a distancia</w:t>
      </w:r>
      <w:r>
        <w:rPr>
          <w:lang w:val="es-ES"/>
        </w:rPr>
        <w:t xml:space="preserve">: el Grupo de Relator sobre métodos de trabajo del Grupo Asesor de Normalización de las Telecomunicaciones (GANT) sigue trabajando sobre la participación a distancia (véase el Documento </w:t>
      </w:r>
      <w:hyperlink r:id="rId14" w:history="1">
        <w:r w:rsidRPr="00997919">
          <w:rPr>
            <w:rStyle w:val="Hyperlink"/>
            <w:lang w:val="es-ES"/>
          </w:rPr>
          <w:t>ISCG/26-1/4</w:t>
        </w:r>
      </w:hyperlink>
      <w:r>
        <w:rPr>
          <w:lang w:val="es-ES"/>
        </w:rPr>
        <w:t>). Se envió una declaración de coordinación al GCIS para informarle de la revisión del Suplemento</w:t>
      </w:r>
      <w:r w:rsidR="002C14DF">
        <w:rPr>
          <w:lang w:val="es-ES"/>
        </w:rPr>
        <w:t> </w:t>
      </w:r>
      <w:r>
        <w:rPr>
          <w:lang w:val="es-ES"/>
        </w:rPr>
        <w:t>4</w:t>
      </w:r>
      <w:r w:rsidR="002C14DF">
        <w:rPr>
          <w:lang w:val="es-ES"/>
        </w:rPr>
        <w:t xml:space="preserve"> </w:t>
      </w:r>
      <w:r>
        <w:rPr>
          <w:lang w:val="es-ES"/>
        </w:rPr>
        <w:t>de la serie</w:t>
      </w:r>
      <w:r w:rsidR="002C14DF">
        <w:rPr>
          <w:lang w:val="es-ES"/>
        </w:rPr>
        <w:t> </w:t>
      </w:r>
      <w:r>
        <w:rPr>
          <w:lang w:val="es-ES"/>
        </w:rPr>
        <w:t>A "</w:t>
      </w:r>
      <w:hyperlink r:id="rId15" w:history="1">
        <w:r w:rsidRPr="00DE31D8">
          <w:rPr>
            <w:rStyle w:val="Hyperlink"/>
            <w:lang w:val="es-ES"/>
          </w:rPr>
          <w:t>Directrices para la participación a distancia</w:t>
        </w:r>
      </w:hyperlink>
      <w:r>
        <w:rPr>
          <w:lang w:val="es-ES"/>
        </w:rPr>
        <w:t>", con la intención de alinearlo con las "</w:t>
      </w:r>
      <w:hyperlink r:id="rId16" w:history="1">
        <w:r w:rsidRPr="00C74FEC">
          <w:rPr>
            <w:rStyle w:val="Hyperlink"/>
            <w:lang w:val="es-ES"/>
          </w:rPr>
          <w:t>Directrices sobre la gestión de las reuniones totalmente virtuales y las reuniones presenciales con participación a distancia</w:t>
        </w:r>
      </w:hyperlink>
      <w:r>
        <w:rPr>
          <w:lang w:val="es-ES"/>
        </w:rPr>
        <w:t xml:space="preserve">", establecidas por el Consejo en su reunión </w:t>
      </w:r>
      <w:r>
        <w:rPr>
          <w:lang w:val="es-ES"/>
        </w:rPr>
        <w:lastRenderedPageBreak/>
        <w:t>de</w:t>
      </w:r>
      <w:r w:rsidR="002C14DF">
        <w:rPr>
          <w:lang w:val="es-ES"/>
        </w:rPr>
        <w:t> </w:t>
      </w:r>
      <w:r>
        <w:rPr>
          <w:lang w:val="es-ES"/>
        </w:rPr>
        <w:t xml:space="preserve">2025 en respuesta a la </w:t>
      </w:r>
      <w:hyperlink r:id="rId17" w:history="1">
        <w:r w:rsidRPr="00A16D54">
          <w:rPr>
            <w:rStyle w:val="Hyperlink"/>
            <w:lang w:val="es-ES"/>
          </w:rPr>
          <w:t>Resolución 167 (Rev. Bucarest, 2022)</w:t>
        </w:r>
      </w:hyperlink>
      <w:r>
        <w:rPr>
          <w:lang w:val="es-ES"/>
        </w:rPr>
        <w:t>. Esta cuestión se examinará en la próxima reunión del GCIS.</w:t>
      </w:r>
      <w:hyperlink r:id="rId18" w:history="1"/>
      <w:hyperlink r:id="rId19" w:history="1"/>
      <w:hyperlink r:id="rId20" w:history="1"/>
      <w:hyperlink r:id="rId21" w:history="1"/>
    </w:p>
    <w:p w14:paraId="480140BD" w14:textId="75AD6282" w:rsidR="00296752" w:rsidRPr="00EB22CA" w:rsidRDefault="00296752" w:rsidP="00296752">
      <w:pPr>
        <w:pStyle w:val="enumlev1"/>
        <w:rPr>
          <w:rFonts w:eastAsia="SimSun"/>
          <w:lang w:val="es-ES"/>
        </w:rPr>
      </w:pPr>
      <w:r w:rsidRPr="00296752">
        <w:rPr>
          <w:lang w:val="es-ES"/>
        </w:rPr>
        <w:t>–</w:t>
      </w:r>
      <w:r w:rsidRPr="00296752">
        <w:rPr>
          <w:lang w:val="es-ES"/>
        </w:rPr>
        <w:tab/>
      </w:r>
      <w:r w:rsidRPr="00567EDD">
        <w:rPr>
          <w:b/>
          <w:bCs/>
          <w:lang w:val="es-ES"/>
        </w:rPr>
        <w:t>Transformación digital sostenible</w:t>
      </w:r>
      <w:r>
        <w:rPr>
          <w:lang w:val="es-ES"/>
        </w:rPr>
        <w:t xml:space="preserve">: una de las coordinadoras, la Sra. Blanca González (España), se jubilará pronto, y la Sra. Shahad </w:t>
      </w:r>
      <w:proofErr w:type="spellStart"/>
      <w:r>
        <w:rPr>
          <w:lang w:val="es-ES"/>
        </w:rPr>
        <w:t>Albalawi</w:t>
      </w:r>
      <w:proofErr w:type="spellEnd"/>
      <w:r>
        <w:rPr>
          <w:lang w:val="es-ES"/>
        </w:rPr>
        <w:t xml:space="preserve"> (Arabia Saudita) seguirá ejerciendo la función de coordinadora e informará a la próxima reunión. El Presidente también desea llamar la atención sobre la necesidad de coordinar los trabajos sobre este tema e informar sobre las actividades de los tres Sectores. La Secretaría informó a la reunión de que se había aprobado la creación de un nuevo Grupo de Relator sobre transformación digital sostenible (GR</w:t>
      </w:r>
      <w:r w:rsidR="002C14DF">
        <w:rPr>
          <w:lang w:val="es-ES"/>
        </w:rPr>
        <w:noBreakHyphen/>
      </w:r>
      <w:r>
        <w:rPr>
          <w:lang w:val="es-ES"/>
        </w:rPr>
        <w:t>TDS) como parte de la estructura del GANT para el nuevo periodo de estudios (2025</w:t>
      </w:r>
      <w:r w:rsidR="002C14DF">
        <w:rPr>
          <w:lang w:val="es-ES"/>
        </w:rPr>
        <w:noBreakHyphen/>
      </w:r>
      <w:r>
        <w:rPr>
          <w:lang w:val="es-ES"/>
        </w:rPr>
        <w:t xml:space="preserve">2028). Este Grupo de Relator solicita contribuciones de los demás Sectores de la UIT (véase el Documento </w:t>
      </w:r>
      <w:hyperlink r:id="rId22" w:history="1">
        <w:r w:rsidRPr="00F82F47">
          <w:rPr>
            <w:rStyle w:val="Hyperlink"/>
            <w:lang w:val="es-ES"/>
          </w:rPr>
          <w:t>ISCG/26-1/8</w:t>
        </w:r>
      </w:hyperlink>
      <w:r>
        <w:rPr>
          <w:lang w:val="es-ES"/>
        </w:rPr>
        <w:t>).</w:t>
      </w:r>
      <w:hyperlink r:id="rId23" w:history="1"/>
    </w:p>
    <w:p w14:paraId="731D762A" w14:textId="77777777" w:rsidR="00296752" w:rsidRPr="006F3450" w:rsidRDefault="00296752" w:rsidP="00296752">
      <w:pPr>
        <w:tabs>
          <w:tab w:val="clear" w:pos="794"/>
          <w:tab w:val="clear" w:pos="1191"/>
          <w:tab w:val="clear" w:pos="1588"/>
          <w:tab w:val="clear" w:pos="1985"/>
          <w:tab w:val="left" w:pos="567"/>
          <w:tab w:val="left" w:pos="1134"/>
          <w:tab w:val="left" w:pos="1701"/>
          <w:tab w:val="left" w:pos="2268"/>
          <w:tab w:val="left" w:pos="2835"/>
        </w:tabs>
        <w:rPr>
          <w:lang w:val="es-ES"/>
        </w:rPr>
      </w:pPr>
      <w:r>
        <w:rPr>
          <w:lang w:val="es-ES"/>
        </w:rPr>
        <w:t>El GCIS ha comenzado a trabajar en el nuevo tema siguiente:</w:t>
      </w:r>
    </w:p>
    <w:p w14:paraId="4C4B0B7D" w14:textId="4BA53A59" w:rsidR="00296752" w:rsidRPr="006F3450" w:rsidRDefault="00296752" w:rsidP="00296752">
      <w:pPr>
        <w:pStyle w:val="enumlev1"/>
        <w:rPr>
          <w:lang w:val="es-ES"/>
        </w:rPr>
      </w:pPr>
      <w:r w:rsidRPr="00296752">
        <w:rPr>
          <w:lang w:val="es-ES"/>
        </w:rPr>
        <w:t>–</w:t>
      </w:r>
      <w:r w:rsidRPr="00296752">
        <w:rPr>
          <w:lang w:val="es-ES"/>
        </w:rPr>
        <w:tab/>
      </w:r>
      <w:r>
        <w:rPr>
          <w:b/>
          <w:bCs/>
          <w:lang w:val="es-ES"/>
        </w:rPr>
        <w:t>Implicación de la industria</w:t>
      </w:r>
      <w:r>
        <w:rPr>
          <w:lang w:val="es-ES"/>
        </w:rPr>
        <w:t>: los coordinadores nombrados para este tema son la Sra. Inga Rimkeviciene (Lituania) y el Sr. Scott Mansfield (Ericsson Canadá). En la última reunión del GCIS se presentó una breve actualización de los esfuerzos de participación de la industria del UIT</w:t>
      </w:r>
      <w:r w:rsidR="002C14DF">
        <w:rPr>
          <w:lang w:val="es-ES"/>
        </w:rPr>
        <w:noBreakHyphen/>
      </w:r>
      <w:r>
        <w:rPr>
          <w:lang w:val="es-ES"/>
        </w:rPr>
        <w:t>T, en la que se destacaba el trabajo en curso para aprovechar el éxito del taller de participación de la industria de 2024.</w:t>
      </w:r>
    </w:p>
    <w:p w14:paraId="76049957" w14:textId="542D72A8" w:rsidR="00296752" w:rsidRPr="00D128FD" w:rsidRDefault="00296752" w:rsidP="00296752">
      <w:pPr>
        <w:pStyle w:val="enumlev1"/>
        <w:rPr>
          <w:lang w:val="es-ES"/>
        </w:rPr>
      </w:pPr>
      <w:r w:rsidRPr="00296752">
        <w:rPr>
          <w:lang w:val="es-ES"/>
        </w:rPr>
        <w:t>–</w:t>
      </w:r>
      <w:r w:rsidRPr="00296752">
        <w:rPr>
          <w:lang w:val="es-ES"/>
        </w:rPr>
        <w:tab/>
      </w:r>
      <w:r>
        <w:rPr>
          <w:b/>
          <w:bCs/>
          <w:lang w:val="es-ES"/>
        </w:rPr>
        <w:t>Grupo de Relator sobre la racionalización de las Resoluciones</w:t>
      </w:r>
      <w:r>
        <w:rPr>
          <w:lang w:val="es-ES"/>
        </w:rPr>
        <w:t>: este nuevo Grupo de Relator se aprobó en la segunda reunión de 2025. El Relator, Sr. Vladimir Minkin (Federación de Rusia), presentó dos propuestas de racionalización de la Resolución 154 (Rev.</w:t>
      </w:r>
      <w:r w:rsidR="002C14DF">
        <w:rPr>
          <w:lang w:val="es-ES"/>
        </w:rPr>
        <w:t> </w:t>
      </w:r>
      <w:r>
        <w:rPr>
          <w:lang w:val="es-ES"/>
        </w:rPr>
        <w:t>Bucarest,</w:t>
      </w:r>
      <w:r w:rsidR="002C14DF">
        <w:rPr>
          <w:lang w:val="es-ES"/>
        </w:rPr>
        <w:t> </w:t>
      </w:r>
      <w:r>
        <w:rPr>
          <w:lang w:val="es-ES"/>
        </w:rPr>
        <w:t xml:space="preserve">2022), contenidas en el Documento </w:t>
      </w:r>
      <w:hyperlink r:id="rId24" w:history="1">
        <w:r w:rsidRPr="00E301B2">
          <w:rPr>
            <w:rStyle w:val="Hyperlink"/>
            <w:lang w:val="es-ES"/>
          </w:rPr>
          <w:t>ISCG/26</w:t>
        </w:r>
        <w:r w:rsidR="002C14DF">
          <w:rPr>
            <w:rStyle w:val="Hyperlink"/>
            <w:lang w:val="es-ES"/>
          </w:rPr>
          <w:noBreakHyphen/>
        </w:r>
        <w:r w:rsidRPr="00E301B2">
          <w:rPr>
            <w:rStyle w:val="Hyperlink"/>
            <w:lang w:val="es-ES"/>
          </w:rPr>
          <w:t>1/7</w:t>
        </w:r>
        <w:r w:rsidR="002C14DF">
          <w:rPr>
            <w:rStyle w:val="Hyperlink"/>
            <w:lang w:val="es-ES"/>
          </w:rPr>
          <w:t> </w:t>
        </w:r>
        <w:proofErr w:type="spellStart"/>
        <w:r w:rsidRPr="00E301B2">
          <w:rPr>
            <w:rStyle w:val="Hyperlink"/>
            <w:lang w:val="es-ES"/>
          </w:rPr>
          <w:t>Addéndum</w:t>
        </w:r>
        <w:proofErr w:type="spellEnd"/>
        <w:r w:rsidR="002C14DF">
          <w:rPr>
            <w:rStyle w:val="Hyperlink"/>
            <w:lang w:val="es-ES"/>
          </w:rPr>
          <w:t> </w:t>
        </w:r>
        <w:r w:rsidRPr="00E301B2">
          <w:rPr>
            <w:rStyle w:val="Hyperlink"/>
            <w:lang w:val="es-ES"/>
          </w:rPr>
          <w:t>1</w:t>
        </w:r>
      </w:hyperlink>
      <w:r>
        <w:rPr>
          <w:lang w:val="es-ES"/>
        </w:rPr>
        <w:t xml:space="preserve">, y la Resolución 191 (Rev. Bucarest, 2022), contenida en el </w:t>
      </w:r>
      <w:hyperlink r:id="rId25" w:history="1">
        <w:proofErr w:type="spellStart"/>
        <w:r w:rsidRPr="006376BD">
          <w:rPr>
            <w:rStyle w:val="Hyperlink"/>
            <w:lang w:val="es-ES"/>
          </w:rPr>
          <w:t>Addéndum</w:t>
        </w:r>
        <w:proofErr w:type="spellEnd"/>
        <w:r w:rsidR="002C14DF">
          <w:rPr>
            <w:rStyle w:val="Hyperlink"/>
            <w:lang w:val="es-ES"/>
          </w:rPr>
          <w:t> </w:t>
        </w:r>
        <w:r w:rsidRPr="006376BD">
          <w:rPr>
            <w:rStyle w:val="Hyperlink"/>
            <w:lang w:val="es-ES"/>
          </w:rPr>
          <w:t>2</w:t>
        </w:r>
      </w:hyperlink>
      <w:r>
        <w:rPr>
          <w:lang w:val="es-ES"/>
        </w:rPr>
        <w:t>. El GCIS examinó y apoyó ambas propuestas.</w:t>
      </w:r>
      <w:hyperlink r:id="rId26" w:history="1"/>
      <w:hyperlink r:id="rId27" w:history="1"/>
      <w:hyperlink r:id="rId28" w:history="1"/>
    </w:p>
    <w:p w14:paraId="297BA421" w14:textId="77777777" w:rsidR="00296752" w:rsidRPr="006F3450" w:rsidRDefault="00296752" w:rsidP="00296752">
      <w:pPr>
        <w:tabs>
          <w:tab w:val="clear" w:pos="794"/>
          <w:tab w:val="clear" w:pos="1191"/>
          <w:tab w:val="clear" w:pos="1588"/>
          <w:tab w:val="clear" w:pos="1985"/>
          <w:tab w:val="left" w:pos="567"/>
          <w:tab w:val="left" w:pos="1134"/>
          <w:tab w:val="left" w:pos="1701"/>
          <w:tab w:val="left" w:pos="2268"/>
          <w:tab w:val="left" w:pos="2835"/>
        </w:tabs>
        <w:rPr>
          <w:lang w:val="es-ES"/>
        </w:rPr>
      </w:pPr>
      <w:r>
        <w:rPr>
          <w:lang w:val="es-ES"/>
        </w:rPr>
        <w:t>En su última reunión, celebrada el 28 de enero de 2026, el GCIS acordó las "eficiencias" como posible nuevo tema, para compartir las mejores prácticas que están generando eficiencias organizativas.</w:t>
      </w:r>
    </w:p>
    <w:p w14:paraId="075453D8" w14:textId="77777777" w:rsidR="00296752" w:rsidRPr="006F3450" w:rsidRDefault="00296752" w:rsidP="00296752">
      <w:pPr>
        <w:tabs>
          <w:tab w:val="clear" w:pos="794"/>
          <w:tab w:val="clear" w:pos="1191"/>
          <w:tab w:val="clear" w:pos="1588"/>
          <w:tab w:val="clear" w:pos="1985"/>
          <w:tab w:val="left" w:pos="567"/>
          <w:tab w:val="left" w:pos="1134"/>
          <w:tab w:val="left" w:pos="1701"/>
          <w:tab w:val="left" w:pos="2268"/>
          <w:tab w:val="left" w:pos="2835"/>
        </w:tabs>
        <w:rPr>
          <w:lang w:val="es-ES"/>
        </w:rPr>
      </w:pPr>
      <w:r>
        <w:rPr>
          <w:lang w:val="es-ES"/>
        </w:rPr>
        <w:t>Durante su última reunión, el GCIS tomó nota de la posición del GAR sobre los temas de interés común debatidos, incluido el apoyo del GAR al multilingüismo y al desarrollo de herramientas de traducción e interpretación basadas en IA, al tiempo que reconoció la necesidad de seguir mejorando su calidad; la importancia de garantizar la armonización del nuevo sitio web de la UIT en todos los Sectores; y la necesidad de una mayor claridad sobre la participación a distancia, en particular a la luz de las limitaciones establecidas en la Resolución 167 (Rev. Bucarest, 2022) con respecto a la toma de decisiones por parte de los delegados que participan a distancia. El representante del GAR también informó al GAR de mantener su preocupación por los posibles solapamientos entre el UIT-T y el UIT-R, especialmente en temas como las definiciones de UAV y los trabajos relacionados con los satélites, insistiendo en que la coordinación debe realizarse directamente entre las Comisiones de Estudio interesadas.</w:t>
      </w:r>
    </w:p>
    <w:p w14:paraId="49212E61" w14:textId="77777777" w:rsidR="00296752" w:rsidRPr="006F3450" w:rsidRDefault="00296752" w:rsidP="00296752">
      <w:pPr>
        <w:tabs>
          <w:tab w:val="clear" w:pos="794"/>
          <w:tab w:val="clear" w:pos="1191"/>
          <w:tab w:val="clear" w:pos="1588"/>
          <w:tab w:val="clear" w:pos="1985"/>
          <w:tab w:val="left" w:pos="567"/>
          <w:tab w:val="left" w:pos="1134"/>
          <w:tab w:val="left" w:pos="1701"/>
          <w:tab w:val="left" w:pos="2268"/>
          <w:tab w:val="left" w:pos="2835"/>
        </w:tabs>
        <w:rPr>
          <w:lang w:val="es-ES"/>
        </w:rPr>
      </w:pPr>
      <w:r>
        <w:rPr>
          <w:lang w:val="es-ES"/>
        </w:rPr>
        <w:t>En cuanto a los cuadros de correspondencias, se pidió al Grupo Asesor de Desarrollo de las Telecomunicaciones (GADT) que reflejara los resultados de la Conferencia Mundial de Desarrollo de las Telecomunicaciones (CMDT-25); y a la Secretaría del GCIS a incluir una solicitud presentada al Grupo de Expertos sobre el RTI para incorporar Resoluciones del Reglamento de las Telecomunicaciones Internacionales (RTI) en la correspondencia de Resoluciones.</w:t>
      </w:r>
    </w:p>
    <w:p w14:paraId="26C8BE24" w14:textId="77777777" w:rsidR="00296752" w:rsidRDefault="00296752">
      <w:pPr>
        <w:tabs>
          <w:tab w:val="clear" w:pos="794"/>
          <w:tab w:val="clear" w:pos="1191"/>
          <w:tab w:val="clear" w:pos="1588"/>
          <w:tab w:val="clear" w:pos="1985"/>
        </w:tabs>
        <w:overflowPunct/>
        <w:autoSpaceDE/>
        <w:autoSpaceDN/>
        <w:adjustRightInd/>
        <w:spacing w:before="0"/>
        <w:textAlignment w:val="auto"/>
        <w:rPr>
          <w:b/>
          <w:lang w:val="es-ES"/>
        </w:rPr>
      </w:pPr>
      <w:r>
        <w:rPr>
          <w:lang w:val="es-ES"/>
        </w:rPr>
        <w:br w:type="page"/>
      </w:r>
    </w:p>
    <w:p w14:paraId="18FD1FD3" w14:textId="42EA04D9" w:rsidR="00296752" w:rsidRPr="006F3450" w:rsidRDefault="00296752" w:rsidP="00296752">
      <w:pPr>
        <w:pStyle w:val="Headingb"/>
        <w:rPr>
          <w:lang w:val="es-ES"/>
        </w:rPr>
      </w:pPr>
      <w:r>
        <w:rPr>
          <w:lang w:val="es-ES"/>
        </w:rPr>
        <w:lastRenderedPageBreak/>
        <w:t>Conclusión</w:t>
      </w:r>
    </w:p>
    <w:p w14:paraId="41BA9A4C" w14:textId="77777777" w:rsidR="00296752" w:rsidRPr="006F3450" w:rsidRDefault="00296752" w:rsidP="00296752">
      <w:pPr>
        <w:tabs>
          <w:tab w:val="clear" w:pos="794"/>
          <w:tab w:val="clear" w:pos="1191"/>
          <w:tab w:val="clear" w:pos="1588"/>
          <w:tab w:val="clear" w:pos="1985"/>
          <w:tab w:val="left" w:pos="567"/>
          <w:tab w:val="left" w:pos="1134"/>
          <w:tab w:val="left" w:pos="1701"/>
          <w:tab w:val="left" w:pos="2268"/>
          <w:tab w:val="left" w:pos="2835"/>
        </w:tabs>
        <w:rPr>
          <w:lang w:val="es-ES"/>
        </w:rPr>
      </w:pPr>
      <w:r>
        <w:rPr>
          <w:lang w:val="es-ES"/>
        </w:rPr>
        <w:t>Se invita al GAR a debatir este documento y a presentar comentarios y propuestas al GCIS sobre los temas presentados, así como sobre cualquier otra posible actividad conjunta o mecanismo para reforzar la cooperación.</w:t>
      </w:r>
    </w:p>
    <w:p w14:paraId="2EBE3BBD" w14:textId="77777777" w:rsidR="00296752" w:rsidRPr="00EB22CA" w:rsidRDefault="00296752" w:rsidP="00296752">
      <w:pPr>
        <w:tabs>
          <w:tab w:val="clear" w:pos="794"/>
          <w:tab w:val="clear" w:pos="1191"/>
          <w:tab w:val="clear" w:pos="1588"/>
          <w:tab w:val="clear" w:pos="1985"/>
          <w:tab w:val="left" w:pos="567"/>
          <w:tab w:val="left" w:pos="1134"/>
          <w:tab w:val="left" w:pos="1701"/>
          <w:tab w:val="left" w:pos="2268"/>
          <w:tab w:val="left" w:pos="2835"/>
        </w:tabs>
        <w:rPr>
          <w:lang w:val="es-ES"/>
        </w:rPr>
      </w:pPr>
      <w:r>
        <w:rPr>
          <w:lang w:val="es-ES"/>
        </w:rPr>
        <w:t xml:space="preserve">Se propone que la próxima reunión del GCIS se celebre durante el GADT, el 10 de abril de 2026. Información que se compartirá a través del </w:t>
      </w:r>
      <w:hyperlink r:id="rId29" w:history="1">
        <w:r w:rsidRPr="002B0DB7">
          <w:rPr>
            <w:rStyle w:val="Hyperlink"/>
            <w:lang w:val="es-ES"/>
          </w:rPr>
          <w:t>sitio web del GCIS</w:t>
        </w:r>
      </w:hyperlink>
      <w:r>
        <w:rPr>
          <w:lang w:val="es-ES"/>
        </w:rPr>
        <w:t>.</w:t>
      </w:r>
      <w:hyperlink r:id="rId30" w:history="1"/>
    </w:p>
    <w:p w14:paraId="5A21F022" w14:textId="53068B3D" w:rsidR="00296752" w:rsidRDefault="00296752" w:rsidP="00296752">
      <w:r>
        <w:rPr>
          <w:lang w:val="es-ES"/>
        </w:rPr>
        <w:t>El Presidente del GCIS desea agradecer a los miembros del GAR la oportunidad de presentar este informe y les invita a contribuir a las actividades del GCIS.</w:t>
      </w:r>
    </w:p>
    <w:p w14:paraId="75620BE3" w14:textId="77777777" w:rsidR="00296752" w:rsidRPr="00C72EC1" w:rsidRDefault="00296752" w:rsidP="00411C49">
      <w:pPr>
        <w:pStyle w:val="Reasons"/>
        <w:rPr>
          <w:lang w:val="es-ES"/>
        </w:rPr>
      </w:pPr>
    </w:p>
    <w:p w14:paraId="4D6EEC24" w14:textId="77777777" w:rsidR="00296752" w:rsidRDefault="00296752">
      <w:pPr>
        <w:jc w:val="center"/>
      </w:pPr>
      <w:r>
        <w:t>______________</w:t>
      </w:r>
    </w:p>
    <w:sectPr w:rsidR="00296752" w:rsidSect="004D6C09">
      <w:headerReference w:type="default" r:id="rId3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F9CA" w14:textId="77777777" w:rsidR="00296752" w:rsidRDefault="00296752">
      <w:r>
        <w:separator/>
      </w:r>
    </w:p>
  </w:endnote>
  <w:endnote w:type="continuationSeparator" w:id="0">
    <w:p w14:paraId="62324EEF" w14:textId="77777777" w:rsidR="00296752" w:rsidRDefault="0029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D60D6" w14:textId="77777777" w:rsidR="00296752" w:rsidRDefault="00296752">
      <w:r>
        <w:t>____________________</w:t>
      </w:r>
    </w:p>
  </w:footnote>
  <w:footnote w:type="continuationSeparator" w:id="0">
    <w:p w14:paraId="1006D000" w14:textId="77777777" w:rsidR="00296752" w:rsidRDefault="00296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DFB8"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5EC36365" w14:textId="3FC8CE35" w:rsidR="00616601" w:rsidRDefault="0034043B" w:rsidP="00AB4BAD">
    <w:pPr>
      <w:pStyle w:val="Header"/>
      <w:rPr>
        <w:lang w:val="es-ES"/>
      </w:rPr>
    </w:pPr>
    <w:r>
      <w:rPr>
        <w:lang w:val="es-ES"/>
      </w:rPr>
      <w:t>RAG</w:t>
    </w:r>
    <w:r w:rsidR="00616601">
      <w:rPr>
        <w:lang w:val="es-ES"/>
      </w:rPr>
      <w:t>/</w:t>
    </w:r>
    <w:r w:rsidR="00296752">
      <w:rPr>
        <w:lang w:val="es-ES"/>
      </w:rPr>
      <w:t>67</w:t>
    </w:r>
    <w:r w:rsidR="00616601">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57C"/>
    <w:multiLevelType w:val="hybridMultilevel"/>
    <w:tmpl w:val="C2D4B096"/>
    <w:lvl w:ilvl="0" w:tplc="D0841584">
      <w:start w:val="2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01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52"/>
    <w:rsid w:val="000C62BA"/>
    <w:rsid w:val="000D756D"/>
    <w:rsid w:val="0012592F"/>
    <w:rsid w:val="001F2F50"/>
    <w:rsid w:val="00296752"/>
    <w:rsid w:val="002C14DF"/>
    <w:rsid w:val="0031432E"/>
    <w:rsid w:val="0034043B"/>
    <w:rsid w:val="00414D8B"/>
    <w:rsid w:val="00482905"/>
    <w:rsid w:val="00494752"/>
    <w:rsid w:val="004D6C09"/>
    <w:rsid w:val="0057336B"/>
    <w:rsid w:val="005A2195"/>
    <w:rsid w:val="005D3E02"/>
    <w:rsid w:val="00610642"/>
    <w:rsid w:val="00616601"/>
    <w:rsid w:val="00646EEF"/>
    <w:rsid w:val="00663829"/>
    <w:rsid w:val="006A42AB"/>
    <w:rsid w:val="006B5313"/>
    <w:rsid w:val="006E291F"/>
    <w:rsid w:val="008506C9"/>
    <w:rsid w:val="008F0106"/>
    <w:rsid w:val="00924B63"/>
    <w:rsid w:val="00982618"/>
    <w:rsid w:val="009C205E"/>
    <w:rsid w:val="00A0579C"/>
    <w:rsid w:val="00A7663C"/>
    <w:rsid w:val="00AB4BAD"/>
    <w:rsid w:val="00B32E51"/>
    <w:rsid w:val="00BD7C50"/>
    <w:rsid w:val="00C72EC1"/>
    <w:rsid w:val="00C837F0"/>
    <w:rsid w:val="00CB7A43"/>
    <w:rsid w:val="00CF4CAC"/>
    <w:rsid w:val="00D51E1E"/>
    <w:rsid w:val="00DE77E6"/>
    <w:rsid w:val="00E14CEB"/>
    <w:rsid w:val="00E72EA7"/>
    <w:rsid w:val="00EA4101"/>
    <w:rsid w:val="00F23715"/>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372A3"/>
  <w15:docId w15:val="{824DDE74-7D94-40C6-8FE0-E8524651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296752"/>
    <w:rPr>
      <w:color w:val="0000FF"/>
      <w:u w:val="single"/>
    </w:rPr>
  </w:style>
  <w:style w:type="paragraph" w:styleId="ListParagraph">
    <w:name w:val="List Paragraph"/>
    <w:aliases w:val="Recommendation,List Paragraph11,O5,Para_sk,Resume Title,- Bullets"/>
    <w:basedOn w:val="Normal"/>
    <w:link w:val="ListParagraphChar"/>
    <w:uiPriority w:val="34"/>
    <w:qFormat/>
    <w:rsid w:val="00296752"/>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val="en-GB"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296752"/>
    <w:rPr>
      <w:rFonts w:ascii="Times New Roman" w:eastAsiaTheme="minorEastAsia" w:hAnsi="Times New Roman"/>
      <w:sz w:val="24"/>
      <w:szCs w:val="24"/>
      <w:lang w:val="en-GB" w:eastAsia="ja-JP"/>
    </w:rPr>
  </w:style>
  <w:style w:type="paragraph" w:customStyle="1" w:styleId="Reasons">
    <w:name w:val="Reasons"/>
    <w:basedOn w:val="Normal"/>
    <w:qFormat/>
    <w:rsid w:val="00296752"/>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6-CWGFHR22-C-0017/en" TargetMode="External"/><Relationship Id="rId18" Type="http://schemas.openxmlformats.org/officeDocument/2006/relationships/hyperlink" Target="https://www.itu.int/md/S26-ISCG12026-C-0004/en" TargetMode="External"/><Relationship Id="rId26" Type="http://schemas.openxmlformats.org/officeDocument/2006/relationships/hyperlink" Target="https://www.itu.int/md/S26-ISCG12026-C-0007/en" TargetMode="External"/><Relationship Id="rId3" Type="http://schemas.openxmlformats.org/officeDocument/2006/relationships/settings" Target="settings.xml"/><Relationship Id="rId21" Type="http://schemas.openxmlformats.org/officeDocument/2006/relationships/hyperlink" Target="https://www.itu.int/en/council/Documents/basic-texts-2023/RES-167-E.pdf" TargetMode="External"/><Relationship Id="rId7" Type="http://schemas.openxmlformats.org/officeDocument/2006/relationships/image" Target="media/image1.jpeg"/><Relationship Id="rId12" Type="http://schemas.openxmlformats.org/officeDocument/2006/relationships/hyperlink" Target="https://www.itu.int/md/S26-CWGFHR22-C-0017/es" TargetMode="External"/><Relationship Id="rId17" Type="http://schemas.openxmlformats.org/officeDocument/2006/relationships/hyperlink" Target="https://www.itu.int/en/council/Documents/basic-texts-2023/RES-167-S.pdf" TargetMode="External"/><Relationship Id="rId25" Type="http://schemas.openxmlformats.org/officeDocument/2006/relationships/hyperlink" Target="https://www.itu.int/md/S26-ISCG12026-C-0007/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u.int/en/general-secretariat/ICT-Services/remoteparticipation/Pages/default.aspx" TargetMode="External"/><Relationship Id="rId20" Type="http://schemas.openxmlformats.org/officeDocument/2006/relationships/hyperlink" Target="https://itu.int/en/general-secretariat/ICT-Services/remoteparticipation" TargetMode="External"/><Relationship Id="rId29" Type="http://schemas.openxmlformats.org/officeDocument/2006/relationships/hyperlink" Target="https://www.itu.int/en/general-secretariat/Pages/ISCG/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action/environment-and-climate-change/Pages/default.aspx" TargetMode="External"/><Relationship Id="rId24" Type="http://schemas.openxmlformats.org/officeDocument/2006/relationships/hyperlink" Target="https://www.itu.int/md/S26-ISCG12026-C-0007/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md/T25-TSAG-260126-TD-GEN-0333/es" TargetMode="External"/><Relationship Id="rId23" Type="http://schemas.openxmlformats.org/officeDocument/2006/relationships/hyperlink" Target="https://www.itu.int/md/S26-ISCG12026-C-0008/en" TargetMode="External"/><Relationship Id="rId28" Type="http://schemas.openxmlformats.org/officeDocument/2006/relationships/hyperlink" Target="https://www.itu.int/md/S26-ISCG12026-C-0007/en" TargetMode="External"/><Relationship Id="rId10" Type="http://schemas.openxmlformats.org/officeDocument/2006/relationships/hyperlink" Target="https://www.itu.int/en/action/environment-and-climate-change/Pages/default.aspx" TargetMode="External"/><Relationship Id="rId19" Type="http://schemas.openxmlformats.org/officeDocument/2006/relationships/hyperlink" Target="http://www.itu.int/md/meetingdoc.asp?lang=en&amp;parent=T25-TSAG-260126-TD-GEN-033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en/general-secretariat/Pages/ISCG/default.aspx" TargetMode="External"/><Relationship Id="rId14" Type="http://schemas.openxmlformats.org/officeDocument/2006/relationships/hyperlink" Target="https://www.itu.int/md/S26-ISCG12026-C-0004/en" TargetMode="External"/><Relationship Id="rId22" Type="http://schemas.openxmlformats.org/officeDocument/2006/relationships/hyperlink" Target="https://www.itu.int/md/S26-ISCG12026-C-0008/es" TargetMode="External"/><Relationship Id="rId27" Type="http://schemas.openxmlformats.org/officeDocument/2006/relationships/hyperlink" Target="https://www.itu.int/md/S26-ISCG12026-C-0007/en" TargetMode="External"/><Relationship Id="rId30" Type="http://schemas.openxmlformats.org/officeDocument/2006/relationships/hyperlink" Target="https://www.itu.int/en/general-secretariat/Pages/ISCG/default.aspx" TargetMode="External"/><Relationship Id="rId8" Type="http://schemas.openxmlformats.org/officeDocument/2006/relationships/hyperlink" Target="https://www.itu.int/en/general-secretariat/Pages/ISCG/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0</TotalTime>
  <Pages>3</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INFORME SOBRE LA MARCHA DE LOS TRABAJOS</vt:lpstr>
    </vt:vector>
  </TitlesOfParts>
  <Manager>General Secretariat - Pool</Manager>
  <Company>International Telecommunication Union (ITU)</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GRUPO ASESOR DE RADIOCOMUNICACIONES</dc:subject>
  <dc:creator>Presidente del Grupo de Coordinación Intersectorial (GCIS)</dc:creator>
  <cp:keywords/>
  <dc:description/>
  <cp:lastModifiedBy>Xue, Kun</cp:lastModifiedBy>
  <cp:revision>2</cp:revision>
  <cp:lastPrinted>1993-02-18T11:12:00Z</cp:lastPrinted>
  <dcterms:created xsi:type="dcterms:W3CDTF">2026-03-11T09:51:00Z</dcterms:created>
  <dcterms:modified xsi:type="dcterms:W3CDTF">2026-03-11T09:51:00Z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RAG/67-S</vt:lpwstr>
  </property>
  <property fmtid="{D5CDD505-2E9C-101B-9397-08002B2CF9AE}" pid="3" name="Docdate">
    <vt:lpwstr>27 de febrero de 2026</vt:lpwstr>
  </property>
  <property fmtid="{D5CDD505-2E9C-101B-9397-08002B2CF9AE}" pid="4" name="Docorlang">
    <vt:lpwstr>Original: inglés</vt:lpwstr>
  </property>
  <property fmtid="{D5CDD505-2E9C-101B-9397-08002B2CF9AE}" pid="5" name="Docauthor">
    <vt:lpwstr>Presidente del Grupo de Coordinación Intersectorial (GCIS)</vt:lpwstr>
  </property>
</Properties>
</file>