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7707F92B" w14:textId="77777777" w:rsidTr="00443261">
        <w:trPr>
          <w:cantSplit/>
        </w:trPr>
        <w:tc>
          <w:tcPr>
            <w:tcW w:w="6771" w:type="dxa"/>
            <w:vAlign w:val="center"/>
          </w:tcPr>
          <w:p w14:paraId="505CA692"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0D6F0463"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2AAE74BE" wp14:editId="01C16F6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5B7D7B1E" w14:textId="77777777">
        <w:trPr>
          <w:cantSplit/>
        </w:trPr>
        <w:tc>
          <w:tcPr>
            <w:tcW w:w="6771" w:type="dxa"/>
            <w:tcBorders>
              <w:bottom w:val="single" w:sz="12" w:space="0" w:color="auto"/>
            </w:tcBorders>
          </w:tcPr>
          <w:p w14:paraId="07EED119"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FD863E7"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203DA6FF" w14:textId="77777777">
        <w:trPr>
          <w:cantSplit/>
        </w:trPr>
        <w:tc>
          <w:tcPr>
            <w:tcW w:w="6771" w:type="dxa"/>
            <w:tcBorders>
              <w:top w:val="single" w:sz="12" w:space="0" w:color="auto"/>
            </w:tcBorders>
          </w:tcPr>
          <w:p w14:paraId="77E924CE"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4635FD27"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02D2F329" w14:textId="77777777">
        <w:trPr>
          <w:cantSplit/>
        </w:trPr>
        <w:tc>
          <w:tcPr>
            <w:tcW w:w="6771" w:type="dxa"/>
            <w:vMerge w:val="restart"/>
          </w:tcPr>
          <w:p w14:paraId="783C58B4"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3E23E9F3" w14:textId="752D393B" w:rsidR="002D238A" w:rsidRPr="000F48C5" w:rsidRDefault="000F48C5" w:rsidP="000F48C5">
            <w:pPr>
              <w:shd w:val="solid" w:color="FFFFFF" w:fill="FFFFFF"/>
              <w:spacing w:before="0" w:line="240" w:lineRule="atLeast"/>
              <w:rPr>
                <w:rFonts w:ascii="Verdana" w:hAnsi="Verdana"/>
                <w:sz w:val="20"/>
              </w:rPr>
            </w:pPr>
            <w:r>
              <w:rPr>
                <w:rFonts w:ascii="Verdana" w:hAnsi="Verdana"/>
                <w:b/>
                <w:sz w:val="20"/>
              </w:rPr>
              <w:t>Document RAG/67-F</w:t>
            </w:r>
          </w:p>
        </w:tc>
      </w:tr>
      <w:tr w:rsidR="002D238A" w:rsidRPr="002A127E" w14:paraId="70174B5B" w14:textId="77777777">
        <w:trPr>
          <w:cantSplit/>
        </w:trPr>
        <w:tc>
          <w:tcPr>
            <w:tcW w:w="6771" w:type="dxa"/>
            <w:vMerge/>
          </w:tcPr>
          <w:p w14:paraId="71C7243D" w14:textId="77777777" w:rsidR="002D238A" w:rsidRDefault="002D238A" w:rsidP="00773E5E">
            <w:pPr>
              <w:spacing w:before="60"/>
              <w:jc w:val="center"/>
              <w:rPr>
                <w:b/>
                <w:smallCaps/>
                <w:sz w:val="32"/>
              </w:rPr>
            </w:pPr>
            <w:bookmarkStart w:id="1" w:name="ddate" w:colFirst="1" w:colLast="1"/>
            <w:bookmarkEnd w:id="0"/>
          </w:p>
        </w:tc>
        <w:tc>
          <w:tcPr>
            <w:tcW w:w="3118" w:type="dxa"/>
          </w:tcPr>
          <w:p w14:paraId="7FC628C7" w14:textId="6A4605D1" w:rsidR="002D238A" w:rsidRPr="000F48C5" w:rsidRDefault="000F48C5" w:rsidP="000F48C5">
            <w:pPr>
              <w:shd w:val="solid" w:color="FFFFFF" w:fill="FFFFFF"/>
              <w:spacing w:before="0" w:line="240" w:lineRule="atLeast"/>
              <w:rPr>
                <w:rFonts w:ascii="Verdana" w:hAnsi="Verdana"/>
                <w:sz w:val="20"/>
              </w:rPr>
            </w:pPr>
            <w:r>
              <w:rPr>
                <w:rFonts w:ascii="Verdana" w:hAnsi="Verdana"/>
                <w:b/>
                <w:sz w:val="20"/>
              </w:rPr>
              <w:t>27 février 2026</w:t>
            </w:r>
          </w:p>
        </w:tc>
      </w:tr>
      <w:tr w:rsidR="002D238A" w:rsidRPr="002A127E" w14:paraId="241438E3" w14:textId="77777777">
        <w:trPr>
          <w:cantSplit/>
        </w:trPr>
        <w:tc>
          <w:tcPr>
            <w:tcW w:w="6771" w:type="dxa"/>
            <w:vMerge/>
          </w:tcPr>
          <w:p w14:paraId="48B2E602" w14:textId="77777777" w:rsidR="002D238A" w:rsidRDefault="002D238A" w:rsidP="00773E5E">
            <w:pPr>
              <w:spacing w:before="60"/>
              <w:jc w:val="center"/>
              <w:rPr>
                <w:b/>
                <w:smallCaps/>
                <w:sz w:val="32"/>
              </w:rPr>
            </w:pPr>
            <w:bookmarkStart w:id="2" w:name="dorlang" w:colFirst="1" w:colLast="1"/>
            <w:bookmarkEnd w:id="1"/>
          </w:p>
        </w:tc>
        <w:tc>
          <w:tcPr>
            <w:tcW w:w="3118" w:type="dxa"/>
          </w:tcPr>
          <w:p w14:paraId="122EAFA0" w14:textId="77777777" w:rsidR="002D238A" w:rsidRPr="000F48C5" w:rsidRDefault="000F48C5" w:rsidP="000F48C5">
            <w:pPr>
              <w:shd w:val="solid" w:color="FFFFFF" w:fill="FFFFFF"/>
              <w:spacing w:before="0" w:after="120" w:line="240" w:lineRule="atLeast"/>
              <w:rPr>
                <w:rFonts w:ascii="Verdana" w:hAnsi="Verdana"/>
                <w:sz w:val="20"/>
              </w:rPr>
            </w:pPr>
            <w:r>
              <w:rPr>
                <w:rFonts w:ascii="Verdana" w:hAnsi="Verdana"/>
                <w:b/>
                <w:sz w:val="20"/>
              </w:rPr>
              <w:t>Original: anglais</w:t>
            </w:r>
          </w:p>
        </w:tc>
      </w:tr>
      <w:tr w:rsidR="002D238A" w14:paraId="73FE5D0C" w14:textId="77777777">
        <w:trPr>
          <w:cantSplit/>
        </w:trPr>
        <w:tc>
          <w:tcPr>
            <w:tcW w:w="9889" w:type="dxa"/>
            <w:gridSpan w:val="2"/>
          </w:tcPr>
          <w:p w14:paraId="36D712F0" w14:textId="6E98D1FE" w:rsidR="002D238A" w:rsidRDefault="000F48C5" w:rsidP="00773E5E">
            <w:pPr>
              <w:pStyle w:val="Source"/>
            </w:pPr>
            <w:bookmarkStart w:id="3" w:name="dsource" w:colFirst="0" w:colLast="0"/>
            <w:bookmarkEnd w:id="2"/>
            <w:r w:rsidRPr="000F48C5">
              <w:t>Président du Groupe de coordination intersectorielle (ISCG)</w:t>
            </w:r>
          </w:p>
        </w:tc>
      </w:tr>
      <w:tr w:rsidR="002D238A" w14:paraId="60645B7E" w14:textId="77777777">
        <w:trPr>
          <w:cantSplit/>
        </w:trPr>
        <w:tc>
          <w:tcPr>
            <w:tcW w:w="9889" w:type="dxa"/>
            <w:gridSpan w:val="2"/>
          </w:tcPr>
          <w:p w14:paraId="004489BA" w14:textId="50E52E91" w:rsidR="002D238A" w:rsidRDefault="000F48C5" w:rsidP="00773E5E">
            <w:pPr>
              <w:pStyle w:val="Title1"/>
            </w:pPr>
            <w:bookmarkStart w:id="4" w:name="dtitle1" w:colFirst="0" w:colLast="0"/>
            <w:bookmarkEnd w:id="3"/>
            <w:r w:rsidRPr="000F48C5">
              <w:t>Rapport d'activité</w:t>
            </w:r>
          </w:p>
        </w:tc>
      </w:tr>
    </w:tbl>
    <w:bookmarkEnd w:id="4"/>
    <w:p w14:paraId="536920C5" w14:textId="77777777" w:rsidR="000F48C5" w:rsidRPr="00E2019B" w:rsidRDefault="000F48C5" w:rsidP="0049351E">
      <w:pPr>
        <w:pStyle w:val="Headingb"/>
        <w:spacing w:before="360"/>
      </w:pPr>
      <w:r>
        <w:t>I</w:t>
      </w:r>
      <w:r w:rsidRPr="00FD4E76">
        <w:t>ntroduction</w:t>
      </w:r>
    </w:p>
    <w:p w14:paraId="031B185C" w14:textId="77777777" w:rsidR="000F48C5" w:rsidRDefault="000F48C5" w:rsidP="000F48C5">
      <w:bookmarkStart w:id="5" w:name="_Hlk187954263"/>
      <w:r>
        <w:t>Le Président du Groupe de coordination intersectorielle (ISCG) sur les questions d'intérêt mutuel, M. Fabio Bigi, tient à présenter au Groupe consultatif des radiocommunications (GCR) l'état d'avancement des travaux du Groupe ISCG depuis sa dernière réunion pour 2025.</w:t>
      </w:r>
    </w:p>
    <w:p w14:paraId="41823F63" w14:textId="090AA7BF" w:rsidR="000F48C5" w:rsidRDefault="000F48C5" w:rsidP="000F48C5">
      <w:r>
        <w:t>Le Président du Groupe ISCG tient également à informer le GCR qu</w:t>
      </w:r>
      <w:r w:rsidR="00962425">
        <w:t>'</w:t>
      </w:r>
      <w:r>
        <w:t>à la suite des demandes formulées par le Groupe de travail du Conseil sur les ressources financières et les ressources humaines (GTC-FHR) en septembre 2025, le site web du Groupe ISCG a été mis à jour pour tenir compte des changements apportés au format et aux procédures de publication des documents, conformément aux demandes des membres et aux pratiques appliquées aux autres réunions du Secrétariat général.</w:t>
      </w:r>
    </w:p>
    <w:p w14:paraId="3CC69B20" w14:textId="40CD11DF" w:rsidR="000F48C5" w:rsidRPr="00513137" w:rsidRDefault="000F48C5" w:rsidP="000F48C5">
      <w:r>
        <w:t xml:space="preserve">Toutes les informations relatives au Groupe ISCG, y compris le rapport de la dernière réunion tenue le 28 janvier 2026, sont disponibles sur </w:t>
      </w:r>
      <w:r w:rsidR="00962425" w:rsidRPr="00473AAC">
        <w:t xml:space="preserve">la </w:t>
      </w:r>
      <w:hyperlink r:id="rId8" w:anchor="/fr" w:history="1">
        <w:r w:rsidRPr="000640FB">
          <w:rPr>
            <w:rStyle w:val="Hyperlink"/>
          </w:rPr>
          <w:t>p</w:t>
        </w:r>
        <w:r w:rsidR="00D9260B" w:rsidRPr="000640FB">
          <w:rPr>
            <w:rStyle w:val="Hyperlink"/>
          </w:rPr>
          <w:t>age web du Groupe ISCG</w:t>
        </w:r>
      </w:hyperlink>
      <w:r>
        <w:t>.</w:t>
      </w:r>
      <w:hyperlink r:id="rId9" w:history="1"/>
    </w:p>
    <w:bookmarkEnd w:id="5"/>
    <w:p w14:paraId="2A39E328" w14:textId="77777777" w:rsidR="000F48C5" w:rsidRPr="00896655" w:rsidRDefault="000F48C5" w:rsidP="000640FB">
      <w:pPr>
        <w:pStyle w:val="Headingb"/>
      </w:pPr>
      <w:r>
        <w:t>Principaux débats</w:t>
      </w:r>
    </w:p>
    <w:p w14:paraId="09CC48C8" w14:textId="77777777" w:rsidR="000F48C5" w:rsidRPr="00896655" w:rsidRDefault="000F48C5" w:rsidP="000F48C5">
      <w:pPr>
        <w:tabs>
          <w:tab w:val="clear" w:pos="794"/>
          <w:tab w:val="clear" w:pos="1191"/>
          <w:tab w:val="clear" w:pos="1588"/>
          <w:tab w:val="clear" w:pos="1985"/>
          <w:tab w:val="left" w:pos="567"/>
          <w:tab w:val="left" w:pos="1134"/>
          <w:tab w:val="left" w:pos="1701"/>
          <w:tab w:val="left" w:pos="2268"/>
          <w:tab w:val="left" w:pos="2835"/>
        </w:tabs>
      </w:pPr>
      <w:r>
        <w:t>Le Groupe ISCG poursuit ses travaux sur les thèmes suivants:</w:t>
      </w:r>
    </w:p>
    <w:p w14:paraId="7D10CC90" w14:textId="06FD4A58" w:rsidR="000F48C5" w:rsidRPr="000F48C5" w:rsidRDefault="000640FB" w:rsidP="00CE1239">
      <w:pPr>
        <w:pStyle w:val="enumlev1"/>
        <w:rPr>
          <w:rFonts w:eastAsia="SimSun"/>
        </w:rPr>
      </w:pPr>
      <w:r w:rsidRPr="000640FB">
        <w:t>–</w:t>
      </w:r>
      <w:r w:rsidR="00CE1239">
        <w:rPr>
          <w:b/>
          <w:bCs/>
        </w:rPr>
        <w:tab/>
      </w:r>
      <w:r w:rsidR="000F48C5">
        <w:rPr>
          <w:b/>
          <w:bCs/>
        </w:rPr>
        <w:t>Accessibilité</w:t>
      </w:r>
      <w:r w:rsidR="00962425">
        <w:t>:</w:t>
      </w:r>
      <w:r w:rsidR="000F48C5">
        <w:t xml:space="preserve"> Une nouvelle coordonnatrice, Mme Lidia Best (Présidente de la JCA AHF), a été nommée et rendra compte des mises à jour relatives à l</w:t>
      </w:r>
      <w:r w:rsidR="00962425">
        <w:t>'</w:t>
      </w:r>
      <w:r w:rsidR="000F48C5">
        <w:t>accessibilité à la prochaine réunion. Il s</w:t>
      </w:r>
      <w:r w:rsidR="00962425">
        <w:t>'</w:t>
      </w:r>
      <w:r w:rsidR="000F48C5">
        <w:t>agira notamment de développer le nouveau site web de l</w:t>
      </w:r>
      <w:r w:rsidR="00962425">
        <w:t>'</w:t>
      </w:r>
      <w:r w:rsidR="000F48C5">
        <w:t>UIT, afin qu</w:t>
      </w:r>
      <w:r w:rsidR="00962425">
        <w:t>'</w:t>
      </w:r>
      <w:r w:rsidR="000F48C5">
        <w:t>il reste accessible à tous.</w:t>
      </w:r>
    </w:p>
    <w:p w14:paraId="08849B17" w14:textId="0E347B8E" w:rsidR="000F48C5" w:rsidRPr="00513137" w:rsidRDefault="000640FB" w:rsidP="00CE1239">
      <w:pPr>
        <w:pStyle w:val="enumlev1"/>
        <w:rPr>
          <w:rFonts w:eastAsia="SimSun"/>
        </w:rPr>
      </w:pPr>
      <w:r w:rsidRPr="000640FB">
        <w:t>–</w:t>
      </w:r>
      <w:r w:rsidR="00CE1239">
        <w:rPr>
          <w:b/>
          <w:bCs/>
        </w:rPr>
        <w:tab/>
      </w:r>
      <w:r w:rsidR="000F48C5">
        <w:rPr>
          <w:b/>
          <w:bCs/>
        </w:rPr>
        <w:t>Changements climatiques</w:t>
      </w:r>
      <w:r w:rsidR="00962425" w:rsidRPr="006D3025">
        <w:t>:</w:t>
      </w:r>
      <w:r w:rsidR="000F48C5">
        <w:t xml:space="preserve"> La collaboration entre les trois Secteurs de l</w:t>
      </w:r>
      <w:r w:rsidR="00962425">
        <w:t>'</w:t>
      </w:r>
      <w:r w:rsidR="000F48C5">
        <w:t>UIT continue d</w:t>
      </w:r>
      <w:r w:rsidR="00962425">
        <w:t>'</w:t>
      </w:r>
      <w:r w:rsidR="000F48C5">
        <w:t>évoluer. Ces efforts sont présentés sur le site web, sous la rubrique</w:t>
      </w:r>
      <w:r w:rsidR="001978EF">
        <w:t xml:space="preserve"> </w:t>
      </w:r>
      <w:hyperlink r:id="rId10" w:anchor="/fr" w:history="1">
        <w:r w:rsidR="006E3A43" w:rsidRPr="00323DD6">
          <w:rPr>
            <w:rStyle w:val="Hyperlink"/>
            <w:rFonts w:eastAsia="SimSun"/>
          </w:rPr>
          <w:t>Enviro</w:t>
        </w:r>
        <w:r w:rsidR="006E3A43">
          <w:rPr>
            <w:rStyle w:val="Hyperlink"/>
            <w:rFonts w:eastAsia="SimSun"/>
          </w:rPr>
          <w:t>n</w:t>
        </w:r>
        <w:r w:rsidR="006E3A43" w:rsidRPr="00323DD6">
          <w:rPr>
            <w:rStyle w:val="Hyperlink"/>
            <w:rFonts w:eastAsia="SimSun"/>
          </w:rPr>
          <w:t>n</w:t>
        </w:r>
        <w:r w:rsidR="006E3A43">
          <w:rPr>
            <w:rStyle w:val="Hyperlink"/>
            <w:rFonts w:eastAsia="SimSun"/>
          </w:rPr>
          <w:t>e</w:t>
        </w:r>
        <w:r w:rsidR="006E3A43" w:rsidRPr="00323DD6">
          <w:rPr>
            <w:rStyle w:val="Hyperlink"/>
            <w:rFonts w:eastAsia="SimSun"/>
          </w:rPr>
          <w:t xml:space="preserve">ment </w:t>
        </w:r>
        <w:r w:rsidR="006E3A43" w:rsidRPr="001F5A2D">
          <w:rPr>
            <w:rStyle w:val="Hyperlink"/>
            <w:rFonts w:eastAsia="SimSun"/>
          </w:rPr>
          <w:t>et changement climatiqu</w:t>
        </w:r>
        <w:r w:rsidR="006E3A43">
          <w:rPr>
            <w:rStyle w:val="Hyperlink"/>
            <w:rFonts w:eastAsia="SimSun"/>
          </w:rPr>
          <w:t>e</w:t>
        </w:r>
      </w:hyperlink>
      <w:r w:rsidR="001978EF" w:rsidRPr="001978EF">
        <w:rPr>
          <w:rStyle w:val="Hyperlink"/>
          <w:rFonts w:eastAsia="SimSun"/>
          <w:color w:val="auto"/>
          <w:u w:val="none"/>
        </w:rPr>
        <w:t>.</w:t>
      </w:r>
      <w:hyperlink r:id="rId11" w:history="1"/>
    </w:p>
    <w:p w14:paraId="623E6EAF" w14:textId="11C7DB6B" w:rsidR="000F48C5" w:rsidRPr="00513137" w:rsidRDefault="000640FB" w:rsidP="00CE1239">
      <w:pPr>
        <w:pStyle w:val="enumlev1"/>
        <w:rPr>
          <w:rFonts w:eastAsia="SimSun"/>
        </w:rPr>
      </w:pPr>
      <w:r w:rsidRPr="000640FB">
        <w:t>–</w:t>
      </w:r>
      <w:r w:rsidR="00CE1239">
        <w:tab/>
      </w:r>
      <w:r w:rsidR="000F48C5" w:rsidRPr="006D3025">
        <w:rPr>
          <w:b/>
          <w:bCs/>
        </w:rPr>
        <w:t>Site web de l</w:t>
      </w:r>
      <w:r w:rsidR="00962425" w:rsidRPr="006D3025">
        <w:rPr>
          <w:b/>
          <w:bCs/>
        </w:rPr>
        <w:t>'</w:t>
      </w:r>
      <w:r w:rsidR="000F48C5" w:rsidRPr="006D3025">
        <w:rPr>
          <w:b/>
          <w:bCs/>
        </w:rPr>
        <w:t>UIT</w:t>
      </w:r>
      <w:r w:rsidR="00962425">
        <w:t>:</w:t>
      </w:r>
      <w:r w:rsidR="000F48C5">
        <w:t xml:space="preserve"> Le Secrétariat de l</w:t>
      </w:r>
      <w:r w:rsidR="00962425">
        <w:t>'</w:t>
      </w:r>
      <w:r w:rsidR="000F48C5">
        <w:t>UIT travaille sur le projet de nouveau site web de l</w:t>
      </w:r>
      <w:r w:rsidR="00962425">
        <w:t>'</w:t>
      </w:r>
      <w:r w:rsidR="000F48C5">
        <w:t xml:space="preserve">UIT, pour lequel le dernier rapport figure dans le Document </w:t>
      </w:r>
      <w:hyperlink r:id="rId12" w:history="1">
        <w:r w:rsidR="001F5A2D" w:rsidRPr="00D253FC">
          <w:rPr>
            <w:rStyle w:val="Hyperlink"/>
            <w:rFonts w:eastAsia="SimSun"/>
          </w:rPr>
          <w:t>CWG-FHR-22/1</w:t>
        </w:r>
      </w:hyperlink>
      <w:r w:rsidR="000F48C5">
        <w:t>. Le Secrétariat a été chargé d</w:t>
      </w:r>
      <w:r w:rsidR="00962425">
        <w:t>'</w:t>
      </w:r>
      <w:r w:rsidR="000F48C5">
        <w:t>assurer la liaison avec le coordonnateur pour l</w:t>
      </w:r>
      <w:r w:rsidR="00962425">
        <w:t>'</w:t>
      </w:r>
      <w:r w:rsidR="000F48C5">
        <w:t>accessibilité, afin de s</w:t>
      </w:r>
      <w:r w:rsidR="00962425">
        <w:t>'</w:t>
      </w:r>
      <w:r w:rsidR="000F48C5">
        <w:t>assurer que le projet prend en compte les besoins des personnes handicapées pendant le processus d</w:t>
      </w:r>
      <w:r w:rsidR="00962425">
        <w:t>'</w:t>
      </w:r>
      <w:r w:rsidR="000F48C5">
        <w:t>examen.</w:t>
      </w:r>
      <w:hyperlink r:id="rId13" w:history="1"/>
    </w:p>
    <w:p w14:paraId="10292BA9" w14:textId="2500EC6F" w:rsidR="000F48C5" w:rsidRPr="00513137" w:rsidRDefault="000640FB" w:rsidP="00CE1239">
      <w:pPr>
        <w:pStyle w:val="enumlev1"/>
        <w:rPr>
          <w:rFonts w:eastAsia="SimSun"/>
        </w:rPr>
      </w:pPr>
      <w:r w:rsidRPr="000640FB">
        <w:t>–</w:t>
      </w:r>
      <w:r w:rsidR="00CE1239">
        <w:rPr>
          <w:b/>
          <w:bCs/>
        </w:rPr>
        <w:tab/>
      </w:r>
      <w:r w:rsidR="000F48C5">
        <w:rPr>
          <w:b/>
          <w:bCs/>
        </w:rPr>
        <w:t>Participation à distance</w:t>
      </w:r>
      <w:r w:rsidR="000F48C5">
        <w:t xml:space="preserve">: </w:t>
      </w:r>
      <w:r>
        <w:t>L</w:t>
      </w:r>
      <w:r w:rsidR="000F48C5">
        <w:t xml:space="preserve">e Groupe du Rapporteur du Groupe consultatif de la normalisation des télécommunications (GCNT) sur les méthodes de travail poursuit ses travaux sur la participation à distance (voir le Document </w:t>
      </w:r>
      <w:hyperlink r:id="rId14" w:history="1">
        <w:r w:rsidR="001F5A2D" w:rsidRPr="00E13304">
          <w:rPr>
            <w:rStyle w:val="Hyperlink"/>
            <w:rFonts w:eastAsia="SimSun"/>
          </w:rPr>
          <w:t>ISCG/26-1/4</w:t>
        </w:r>
      </w:hyperlink>
      <w:r w:rsidR="000F48C5">
        <w:t>). Une note de liaison a été envoyée au Groupe ISCG pour l</w:t>
      </w:r>
      <w:r w:rsidR="00962425">
        <w:t>'</w:t>
      </w:r>
      <w:r w:rsidR="000F48C5">
        <w:t xml:space="preserve">informer de la révision </w:t>
      </w:r>
      <w:r w:rsidR="000F48C5" w:rsidRPr="007B7686">
        <w:rPr>
          <w:rStyle w:val="Hyperlink"/>
          <w:color w:val="auto"/>
          <w:u w:val="none"/>
        </w:rPr>
        <w:t xml:space="preserve">du </w:t>
      </w:r>
      <w:hyperlink r:id="rId15" w:history="1">
        <w:r w:rsidR="000F48C5" w:rsidRPr="000640FB">
          <w:rPr>
            <w:rStyle w:val="Hyperlink"/>
          </w:rPr>
          <w:t>Supplément 4 de la série</w:t>
        </w:r>
        <w:r w:rsidR="00D9260B" w:rsidRPr="000640FB">
          <w:rPr>
            <w:rStyle w:val="Hyperlink"/>
          </w:rPr>
          <w:t> </w:t>
        </w:r>
        <w:r w:rsidR="000F48C5" w:rsidRPr="000640FB">
          <w:rPr>
            <w:rStyle w:val="Hyperlink"/>
          </w:rPr>
          <w:t>A</w:t>
        </w:r>
      </w:hyperlink>
      <w:r w:rsidR="000F48C5">
        <w:t>, intitulé «</w:t>
      </w:r>
      <w:hyperlink r:id="rId16" w:history="1">
        <w:r w:rsidR="000F48C5" w:rsidRPr="000640FB">
          <w:rPr>
            <w:rStyle w:val="Hyperlink"/>
          </w:rPr>
          <w:t>Lignes directrices relatives à la participation à distance</w:t>
        </w:r>
      </w:hyperlink>
      <w:r w:rsidR="000F48C5">
        <w:t xml:space="preserve">», dans le but de </w:t>
      </w:r>
      <w:r w:rsidR="000F48C5">
        <w:lastRenderedPageBreak/>
        <w:t>l</w:t>
      </w:r>
      <w:r w:rsidR="00962425">
        <w:t>'</w:t>
      </w:r>
      <w:r w:rsidR="000F48C5">
        <w:t>aligner sur les «</w:t>
      </w:r>
      <w:hyperlink r:id="rId17" w:anchor="/fr" w:history="1">
        <w:r w:rsidR="000F48C5" w:rsidRPr="006D3025">
          <w:rPr>
            <w:rStyle w:val="Hyperlink"/>
          </w:rPr>
          <w:t>Lignes directrices sur la gestion des réunions entièrement virtuelles et des réunions physiques avec participation à distance</w:t>
        </w:r>
      </w:hyperlink>
      <w:r w:rsidR="000F48C5">
        <w:t>», établies par le Conseil à sa session de</w:t>
      </w:r>
      <w:r w:rsidR="006D3025">
        <w:t> </w:t>
      </w:r>
      <w:r w:rsidR="000F48C5">
        <w:t xml:space="preserve">2025 en application </w:t>
      </w:r>
      <w:r w:rsidR="000F48C5" w:rsidRPr="006D3025">
        <w:t xml:space="preserve">de la </w:t>
      </w:r>
      <w:hyperlink r:id="rId18" w:history="1">
        <w:r w:rsidR="000F48C5" w:rsidRPr="006D3025">
          <w:rPr>
            <w:rStyle w:val="Hyperlink"/>
          </w:rPr>
          <w:t>Résolution 167 (Rév. Bucarest, 2022)</w:t>
        </w:r>
      </w:hyperlink>
      <w:r w:rsidR="000F48C5" w:rsidRPr="00E17FFD">
        <w:t>.</w:t>
      </w:r>
      <w:r w:rsidR="000F48C5">
        <w:t xml:space="preserve"> Cette question sera examinée à la prochaine réunion du Groupe ISCG.</w:t>
      </w:r>
      <w:hyperlink r:id="rId19" w:history="1"/>
      <w:hyperlink r:id="rId20" w:history="1"/>
      <w:hyperlink r:id="rId21" w:history="1"/>
      <w:hyperlink r:id="rId22" w:history="1"/>
    </w:p>
    <w:p w14:paraId="167C9E15" w14:textId="4A1AB84D" w:rsidR="000F48C5" w:rsidRPr="00513137" w:rsidRDefault="000640FB" w:rsidP="00CE1239">
      <w:pPr>
        <w:pStyle w:val="enumlev1"/>
        <w:rPr>
          <w:rFonts w:eastAsia="SimSun"/>
        </w:rPr>
      </w:pPr>
      <w:r w:rsidRPr="000640FB">
        <w:t>–</w:t>
      </w:r>
      <w:r w:rsidR="00CE1239">
        <w:rPr>
          <w:b/>
          <w:bCs/>
        </w:rPr>
        <w:tab/>
      </w:r>
      <w:r w:rsidR="000F48C5">
        <w:rPr>
          <w:b/>
          <w:bCs/>
        </w:rPr>
        <w:t>Transformation numérique durable</w:t>
      </w:r>
      <w:r w:rsidR="00962425" w:rsidRPr="006D3025">
        <w:t>:</w:t>
      </w:r>
      <w:r w:rsidR="000F48C5">
        <w:t xml:space="preserve"> L</w:t>
      </w:r>
      <w:r w:rsidR="00962425">
        <w:t>'</w:t>
      </w:r>
      <w:r w:rsidR="000F48C5">
        <w:t>une des coordonnatrices, Mme Blanca González (Espagne), prendra prochainement sa retraite, et Mme Shahad Albalawi (Arabie saoudite) continuera d</w:t>
      </w:r>
      <w:r w:rsidR="00962425">
        <w:t>'</w:t>
      </w:r>
      <w:r w:rsidR="000F48C5">
        <w:t>assumer les fonctions de coordonnatrice et fera rapport à la prochaine réunion. Le Président tient également à appeler l</w:t>
      </w:r>
      <w:r w:rsidR="00962425">
        <w:t>'</w:t>
      </w:r>
      <w:r w:rsidR="000F48C5">
        <w:t>attention sur la nécessité de coordonner les travaux sur ce thème et de rendre compte des activités des trois Secteurs. Le Secrétariat a informé les participants qu</w:t>
      </w:r>
      <w:r w:rsidR="00962425">
        <w:t>'</w:t>
      </w:r>
      <w:r w:rsidR="000F48C5">
        <w:t>un nouveau Groupe du Rapporteur sur la transformation numérique durable (RG-DT) avait été approuvé dans le cadre de la structure du GCNT pour la nouvelle période d</w:t>
      </w:r>
      <w:r w:rsidR="00962425">
        <w:t>'</w:t>
      </w:r>
      <w:r w:rsidR="000F48C5">
        <w:t>études (2025-2028). Ce Groupe du Rapporteur sollicite des contributions des autres Secteurs de l</w:t>
      </w:r>
      <w:r w:rsidR="00962425">
        <w:t>'</w:t>
      </w:r>
      <w:r w:rsidR="000F48C5">
        <w:t xml:space="preserve">UIT (voir le Document </w:t>
      </w:r>
      <w:hyperlink r:id="rId23" w:history="1">
        <w:r w:rsidR="00D9260B" w:rsidRPr="00C47FF4">
          <w:rPr>
            <w:rStyle w:val="Hyperlink"/>
          </w:rPr>
          <w:t>ISCG/26-1/8</w:t>
        </w:r>
      </w:hyperlink>
      <w:r w:rsidR="000F48C5">
        <w:t>).</w:t>
      </w:r>
      <w:hyperlink r:id="rId24" w:history="1"/>
    </w:p>
    <w:p w14:paraId="45C93B22" w14:textId="5A6E64D4" w:rsidR="000F48C5" w:rsidRPr="00896655" w:rsidRDefault="000F48C5" w:rsidP="000F48C5">
      <w:pPr>
        <w:tabs>
          <w:tab w:val="clear" w:pos="794"/>
          <w:tab w:val="clear" w:pos="1191"/>
          <w:tab w:val="clear" w:pos="1588"/>
          <w:tab w:val="clear" w:pos="1985"/>
          <w:tab w:val="left" w:pos="567"/>
          <w:tab w:val="left" w:pos="1134"/>
          <w:tab w:val="left" w:pos="1701"/>
          <w:tab w:val="left" w:pos="2268"/>
          <w:tab w:val="left" w:pos="2835"/>
        </w:tabs>
      </w:pPr>
      <w:r>
        <w:t>Le Groupe ISCG a commencé à travailler sur le nouveau sujet suivant</w:t>
      </w:r>
      <w:r w:rsidR="00962425">
        <w:t>:</w:t>
      </w:r>
    </w:p>
    <w:p w14:paraId="53EE6755" w14:textId="43CB8958" w:rsidR="000F48C5" w:rsidRPr="000F48C5" w:rsidRDefault="000640FB" w:rsidP="00CE1239">
      <w:pPr>
        <w:pStyle w:val="enumlev1"/>
      </w:pPr>
      <w:r w:rsidRPr="000640FB">
        <w:t>–</w:t>
      </w:r>
      <w:r w:rsidR="00CE1239">
        <w:rPr>
          <w:b/>
          <w:bCs/>
        </w:rPr>
        <w:tab/>
      </w:r>
      <w:r w:rsidR="000F48C5">
        <w:rPr>
          <w:b/>
          <w:bCs/>
        </w:rPr>
        <w:t>Participation du secteur privé</w:t>
      </w:r>
      <w:r w:rsidR="00962425" w:rsidRPr="006D3025">
        <w:t>:</w:t>
      </w:r>
      <w:r w:rsidR="000F48C5">
        <w:t xml:space="preserve"> Les coordonnateurs désignés pour ce thème sont Mme</w:t>
      </w:r>
      <w:r w:rsidR="00D9260B">
        <w:t> </w:t>
      </w:r>
      <w:r w:rsidR="000F48C5">
        <w:t>Inga Rimkeviciene (Lituanie) et M. Scott Mansfield (Ericsson Canada). Une brève mise à jour des efforts de l</w:t>
      </w:r>
      <w:r w:rsidR="00962425">
        <w:t>'</w:t>
      </w:r>
      <w:r w:rsidR="000F48C5">
        <w:t>UIT-T en matière de participation du secteur privé a été présentée lors de la dernière réunion du Groupe ISCG, et il a été pris acte des travaux en cours visant à tirer parti du succès de l</w:t>
      </w:r>
      <w:r w:rsidR="00962425">
        <w:t>'</w:t>
      </w:r>
      <w:r w:rsidR="000F48C5">
        <w:t>atelier de 2024 sur la participation du secteur privé.</w:t>
      </w:r>
    </w:p>
    <w:p w14:paraId="7BFF1BDD" w14:textId="1940F493" w:rsidR="000F48C5" w:rsidRPr="00513137" w:rsidRDefault="000640FB" w:rsidP="007B7686">
      <w:pPr>
        <w:pStyle w:val="enumlev1"/>
      </w:pPr>
      <w:r w:rsidRPr="000640FB">
        <w:t>–</w:t>
      </w:r>
      <w:r w:rsidR="00CE1239">
        <w:rPr>
          <w:b/>
          <w:bCs/>
        </w:rPr>
        <w:tab/>
      </w:r>
      <w:r w:rsidR="000F48C5">
        <w:rPr>
          <w:b/>
          <w:bCs/>
        </w:rPr>
        <w:t>Groupe du Rapporteur sur la rationalisation des Résolutions</w:t>
      </w:r>
      <w:r w:rsidR="00962425" w:rsidRPr="006D3025">
        <w:t>:</w:t>
      </w:r>
      <w:r w:rsidR="000F48C5">
        <w:t xml:space="preserve"> Ce nouveau Groupe du Rapporteur a été approuvé à la deuxième réunion tenue en 2025. Le Rapporteur, M.</w:t>
      </w:r>
      <w:r w:rsidR="00D9260B">
        <w:t> </w:t>
      </w:r>
      <w:r w:rsidR="000F48C5">
        <w:t>Vladimir Minkin (Fédération de Russie), a présenté deux propositions de rationalisation de la Résolution 154 (Rév. Bucarest, 2022), figurant dans l</w:t>
      </w:r>
      <w:r w:rsidR="006D3025">
        <w:t xml:space="preserve">'Addendum 1 au </w:t>
      </w:r>
      <w:r w:rsidR="000F48C5">
        <w:t>Document</w:t>
      </w:r>
      <w:r w:rsidR="006D3025">
        <w:t> </w:t>
      </w:r>
      <w:hyperlink r:id="rId25" w:history="1">
        <w:r w:rsidR="007B7686" w:rsidRPr="002606A9">
          <w:rPr>
            <w:rStyle w:val="Hyperlink"/>
          </w:rPr>
          <w:t>ISCG/26-1/7</w:t>
        </w:r>
      </w:hyperlink>
      <w:r w:rsidR="000F48C5">
        <w:t>, et de la Résolution 191 (Rév. Bucarest, 2022), figurant dans l</w:t>
      </w:r>
      <w:r w:rsidR="00962425">
        <w:t>'</w:t>
      </w:r>
      <w:hyperlink r:id="rId26" w:history="1">
        <w:r w:rsidR="00DE530E" w:rsidRPr="00295197">
          <w:rPr>
            <w:rStyle w:val="Hyperlink"/>
          </w:rPr>
          <w:t>Addendum 2</w:t>
        </w:r>
      </w:hyperlink>
      <w:r w:rsidR="000F48C5">
        <w:t>. Le Groupe ISCG a examiné et appuyé les deux propositions.</w:t>
      </w:r>
      <w:hyperlink r:id="rId27" w:history="1"/>
      <w:hyperlink r:id="rId28" w:history="1"/>
      <w:hyperlink r:id="rId29" w:history="1"/>
    </w:p>
    <w:p w14:paraId="04DCF463" w14:textId="76E41D5C" w:rsidR="000F48C5" w:rsidRDefault="000F48C5" w:rsidP="000F48C5">
      <w:pPr>
        <w:tabs>
          <w:tab w:val="clear" w:pos="794"/>
          <w:tab w:val="clear" w:pos="1191"/>
          <w:tab w:val="clear" w:pos="1588"/>
          <w:tab w:val="clear" w:pos="1985"/>
          <w:tab w:val="left" w:pos="567"/>
          <w:tab w:val="left" w:pos="1134"/>
          <w:tab w:val="left" w:pos="1701"/>
          <w:tab w:val="left" w:pos="2268"/>
          <w:tab w:val="left" w:pos="2835"/>
        </w:tabs>
      </w:pPr>
      <w:r>
        <w:t>À sa dernière réunion, tenue le 28 janvier 2026, le Groupe ISCG a approuvé un nouveau thème possible, à savoir «gains d</w:t>
      </w:r>
      <w:r w:rsidR="00962425">
        <w:t>'</w:t>
      </w:r>
      <w:r>
        <w:t>efficacité», afin de partager les bonnes pratiques qui permettent de réaliser des gains d</w:t>
      </w:r>
      <w:r w:rsidR="00962425">
        <w:t>'</w:t>
      </w:r>
      <w:r>
        <w:t>efficacité organisationnelle.</w:t>
      </w:r>
    </w:p>
    <w:p w14:paraId="2B981A43" w14:textId="31646CCC" w:rsidR="000F48C5" w:rsidRPr="00896655" w:rsidRDefault="000F48C5" w:rsidP="000F48C5">
      <w:pPr>
        <w:tabs>
          <w:tab w:val="clear" w:pos="794"/>
          <w:tab w:val="clear" w:pos="1191"/>
          <w:tab w:val="clear" w:pos="1588"/>
          <w:tab w:val="clear" w:pos="1985"/>
          <w:tab w:val="left" w:pos="567"/>
          <w:tab w:val="left" w:pos="1134"/>
          <w:tab w:val="left" w:pos="1701"/>
          <w:tab w:val="left" w:pos="2268"/>
          <w:tab w:val="left" w:pos="2835"/>
        </w:tabs>
      </w:pPr>
      <w:r>
        <w:t>Lors de sa dernière réunion, le Groupe ISCG a pris note de la position du GCR sur les questions d</w:t>
      </w:r>
      <w:r w:rsidR="00962425">
        <w:t>'</w:t>
      </w:r>
      <w:r>
        <w:t>intérêt commun examinées, notamment le soutien du GCR au multilinguisme et au développement d</w:t>
      </w:r>
      <w:r w:rsidR="00962425">
        <w:t>'</w:t>
      </w:r>
      <w:r>
        <w:t>outils de traduction et d</w:t>
      </w:r>
      <w:r w:rsidR="00962425">
        <w:t>'</w:t>
      </w:r>
      <w:r>
        <w:t>interprétation fondés sur l'intelligence artificielle, tout en reconnaissant la nécessité d</w:t>
      </w:r>
      <w:r w:rsidR="00962425">
        <w:t>'</w:t>
      </w:r>
      <w:r>
        <w:t>améliorer encore leur qualité</w:t>
      </w:r>
      <w:r w:rsidR="00962425">
        <w:t>;</w:t>
      </w:r>
      <w:r>
        <w:t xml:space="preserve"> l'importance d</w:t>
      </w:r>
      <w:r w:rsidR="00962425">
        <w:t>'</w:t>
      </w:r>
      <w:r>
        <w:t>assurer l</w:t>
      </w:r>
      <w:r w:rsidR="00962425">
        <w:t>'</w:t>
      </w:r>
      <w:r>
        <w:t>harmonisation du nouveau site web de l</w:t>
      </w:r>
      <w:r w:rsidR="00962425">
        <w:t>'</w:t>
      </w:r>
      <w:r>
        <w:t>UIT dans tous les Secteurs</w:t>
      </w:r>
      <w:r w:rsidR="00962425">
        <w:t>;</w:t>
      </w:r>
      <w:r>
        <w:t xml:space="preserve"> et la nécessité de clarifier la question de la participation à distance, compte tenu en particulier des limites établies dans la Résolution 167 (Rév.</w:t>
      </w:r>
      <w:r w:rsidR="00CA0321">
        <w:t> </w:t>
      </w:r>
      <w:r>
        <w:t>Bucarest,</w:t>
      </w:r>
      <w:r w:rsidR="00CA0321">
        <w:t> </w:t>
      </w:r>
      <w:r>
        <w:t>2022) concernant la prise de décision par les délégués participant à distance. Le</w:t>
      </w:r>
      <w:r w:rsidR="009D197B">
        <w:t> </w:t>
      </w:r>
      <w:r>
        <w:t>représentant du GCR a également informé le GCR qu</w:t>
      </w:r>
      <w:r w:rsidR="00962425">
        <w:t>'</w:t>
      </w:r>
      <w:r>
        <w:t>il était préoccupé par les chevauchements potentiels entre l</w:t>
      </w:r>
      <w:r w:rsidR="00962425">
        <w:t>'</w:t>
      </w:r>
      <w:r>
        <w:t>UIT-T et l</w:t>
      </w:r>
      <w:r w:rsidR="00962425">
        <w:t>'</w:t>
      </w:r>
      <w:r>
        <w:t>UIT-R, en particulier sur des sujets tels que les définitions des aéronefs</w:t>
      </w:r>
      <w:r w:rsidR="0049351E">
        <w:t> </w:t>
      </w:r>
      <w:r>
        <w:t>UAV et les travaux relatifs aux satellites, soulignant que la coordination devrait se faire directement entre les commissions d</w:t>
      </w:r>
      <w:r w:rsidR="00962425">
        <w:t>'</w:t>
      </w:r>
      <w:r>
        <w:t>études concernées.</w:t>
      </w:r>
    </w:p>
    <w:p w14:paraId="05343AD5" w14:textId="3B2F78D8" w:rsidR="000F48C5" w:rsidRDefault="000F48C5" w:rsidP="000F48C5">
      <w:pPr>
        <w:tabs>
          <w:tab w:val="clear" w:pos="794"/>
          <w:tab w:val="clear" w:pos="1191"/>
          <w:tab w:val="clear" w:pos="1588"/>
          <w:tab w:val="clear" w:pos="1985"/>
          <w:tab w:val="left" w:pos="567"/>
          <w:tab w:val="left" w:pos="1134"/>
          <w:tab w:val="left" w:pos="1701"/>
          <w:tab w:val="left" w:pos="2268"/>
          <w:tab w:val="left" w:pos="2835"/>
        </w:tabs>
      </w:pPr>
      <w:r>
        <w:t>S</w:t>
      </w:r>
      <w:r w:rsidR="00962425">
        <w:t>'</w:t>
      </w:r>
      <w:r>
        <w:t>agissant des tableaux de mise en correspondance, il a été demandé au Groupe consultatif pour le développement des télécommunications (GCDT) de tenir compte des résultats de la Conférence mondiale de développement des télécommunications (CMDT-25)</w:t>
      </w:r>
      <w:r w:rsidR="00962425">
        <w:t>;</w:t>
      </w:r>
      <w:r>
        <w:t xml:space="preserve"> et il a été demandé au Secrétariat du Groupe ISCG d</w:t>
      </w:r>
      <w:r w:rsidR="00962425">
        <w:t>'</w:t>
      </w:r>
      <w:r>
        <w:t>inclure une demande présentée au Groupe d</w:t>
      </w:r>
      <w:r w:rsidR="00962425">
        <w:t>'</w:t>
      </w:r>
      <w:r>
        <w:t>experts sur le RTI en vue d'intégrer les Résolutions du Règlement des télécommunications internationales (RTI) dans la mise en correspondance des Résolutions.</w:t>
      </w:r>
    </w:p>
    <w:p w14:paraId="3FC1C396" w14:textId="3A9DC178" w:rsidR="000F48C5" w:rsidRPr="00F87070" w:rsidRDefault="000F48C5" w:rsidP="000640FB">
      <w:pPr>
        <w:pStyle w:val="Headingb"/>
      </w:pPr>
      <w:r>
        <w:lastRenderedPageBreak/>
        <w:t>Conclusion</w:t>
      </w:r>
    </w:p>
    <w:p w14:paraId="077932E7" w14:textId="77777777" w:rsidR="000F48C5" w:rsidRDefault="000F48C5" w:rsidP="00CA0321">
      <w:pPr>
        <w:keepNext/>
        <w:keepLines/>
        <w:tabs>
          <w:tab w:val="clear" w:pos="794"/>
          <w:tab w:val="clear" w:pos="1191"/>
          <w:tab w:val="clear" w:pos="1588"/>
          <w:tab w:val="clear" w:pos="1985"/>
          <w:tab w:val="left" w:pos="567"/>
          <w:tab w:val="left" w:pos="1134"/>
          <w:tab w:val="left" w:pos="1701"/>
          <w:tab w:val="left" w:pos="2268"/>
          <w:tab w:val="left" w:pos="2835"/>
        </w:tabs>
      </w:pPr>
      <w:r>
        <w:t>Le GCR est invité à examiner le présent document et à soumettre des observations et des propositions au Groupe ISCG sur les thèmes présentés et sur toute autre activité conjointe éventuelle ou sur tout autre mécanisme propre à renforcer la coopération.</w:t>
      </w:r>
    </w:p>
    <w:p w14:paraId="4FA2807D" w14:textId="0C215A3B" w:rsidR="000F48C5" w:rsidRPr="00513137" w:rsidRDefault="000F48C5" w:rsidP="000F48C5">
      <w:pPr>
        <w:tabs>
          <w:tab w:val="clear" w:pos="794"/>
          <w:tab w:val="clear" w:pos="1191"/>
          <w:tab w:val="clear" w:pos="1588"/>
          <w:tab w:val="clear" w:pos="1985"/>
          <w:tab w:val="left" w:pos="567"/>
          <w:tab w:val="left" w:pos="1134"/>
          <w:tab w:val="left" w:pos="1701"/>
          <w:tab w:val="left" w:pos="2268"/>
          <w:tab w:val="left" w:pos="2835"/>
        </w:tabs>
      </w:pPr>
      <w:r>
        <w:t xml:space="preserve">Il est proposé que la prochaine réunion du Groupe ISCG ait lieu pendant le GCDT, le 10 avril 2026. Les renseignements seront présentés sur le </w:t>
      </w:r>
      <w:hyperlink r:id="rId30" w:anchor="/fr" w:history="1">
        <w:r w:rsidRPr="0049351E">
          <w:rPr>
            <w:rStyle w:val="Hyperlink"/>
          </w:rPr>
          <w:t xml:space="preserve">site web du </w:t>
        </w:r>
        <w:r w:rsidR="0000789E" w:rsidRPr="0049351E">
          <w:rPr>
            <w:rStyle w:val="Hyperlink"/>
          </w:rPr>
          <w:t>Groupe I</w:t>
        </w:r>
        <w:r w:rsidR="00CA0321" w:rsidRPr="0049351E">
          <w:rPr>
            <w:rStyle w:val="Hyperlink"/>
          </w:rPr>
          <w:t>SCG</w:t>
        </w:r>
      </w:hyperlink>
      <w:r w:rsidR="0000789E" w:rsidRPr="0049351E">
        <w:t>.</w:t>
      </w:r>
      <w:hyperlink r:id="rId31" w:history="1"/>
    </w:p>
    <w:p w14:paraId="28281A92" w14:textId="77777777" w:rsidR="000F48C5" w:rsidRPr="00896655" w:rsidRDefault="000F48C5" w:rsidP="000F48C5">
      <w:pPr>
        <w:tabs>
          <w:tab w:val="clear" w:pos="794"/>
          <w:tab w:val="clear" w:pos="1191"/>
          <w:tab w:val="clear" w:pos="1588"/>
          <w:tab w:val="clear" w:pos="1985"/>
          <w:tab w:val="left" w:pos="567"/>
          <w:tab w:val="left" w:pos="1134"/>
          <w:tab w:val="left" w:pos="1701"/>
          <w:tab w:val="left" w:pos="2268"/>
          <w:tab w:val="left" w:pos="2835"/>
        </w:tabs>
      </w:pPr>
      <w:r>
        <w:t>Le Président du Groupe ISCG a remercié les membres du GCR de lui avoir donné l'occasion de présenter ce rapport et les a invités à contribuer aux activités du Groupe ISCG.</w:t>
      </w:r>
    </w:p>
    <w:p w14:paraId="57399FA7" w14:textId="6494906B" w:rsidR="00AF2EDC" w:rsidRDefault="000F48C5" w:rsidP="0049351E">
      <w:pPr>
        <w:jc w:val="center"/>
      </w:pPr>
      <w:r w:rsidRPr="00896655">
        <w:t>______________</w:t>
      </w:r>
    </w:p>
    <w:sectPr w:rsidR="00AF2EDC">
      <w:headerReference w:type="even" r:id="rId32"/>
      <w:headerReference w:type="default" r:id="rId33"/>
      <w:footerReference w:type="even" r:id="rId3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32C5" w14:textId="77777777" w:rsidR="000F48C5" w:rsidRDefault="000F48C5">
      <w:r>
        <w:separator/>
      </w:r>
    </w:p>
  </w:endnote>
  <w:endnote w:type="continuationSeparator" w:id="0">
    <w:p w14:paraId="7C8453EF" w14:textId="77777777" w:rsidR="000F48C5" w:rsidRDefault="000F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0EEA" w14:textId="355B3C79"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9351E">
      <w:rPr>
        <w:lang w:val="en-US"/>
      </w:rPr>
      <w:t>P:\FRA\gDoc\BR\IAP\2600504F.docx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346544">
      <w:t>10.03.26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9351E">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F194" w14:textId="77777777" w:rsidR="000F48C5" w:rsidRDefault="000F48C5">
      <w:r>
        <w:t>____________________</w:t>
      </w:r>
    </w:p>
  </w:footnote>
  <w:footnote w:type="continuationSeparator" w:id="0">
    <w:p w14:paraId="20ADB813" w14:textId="77777777" w:rsidR="000F48C5" w:rsidRDefault="000F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F330"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A5E"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31C4885D" w14:textId="5B60C43A" w:rsidR="00847AAC" w:rsidRDefault="0097156E" w:rsidP="007711EA">
    <w:pPr>
      <w:pStyle w:val="Header"/>
      <w:rPr>
        <w:lang w:val="es-ES"/>
      </w:rPr>
    </w:pPr>
    <w:r>
      <w:rPr>
        <w:lang w:val="es-ES"/>
      </w:rPr>
      <w:t>RAG</w:t>
    </w:r>
    <w:r w:rsidR="00847AAC">
      <w:rPr>
        <w:lang w:val="es-ES"/>
      </w:rPr>
      <w:t>/</w:t>
    </w:r>
    <w:r w:rsidR="00CE1239">
      <w:rPr>
        <w:lang w:val="es-ES"/>
      </w:rPr>
      <w:t>67</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16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C5"/>
    <w:rsid w:val="0000789E"/>
    <w:rsid w:val="000640FB"/>
    <w:rsid w:val="000C06D8"/>
    <w:rsid w:val="000F48C5"/>
    <w:rsid w:val="00140AE6"/>
    <w:rsid w:val="001978EF"/>
    <w:rsid w:val="001F5A2D"/>
    <w:rsid w:val="00222A1C"/>
    <w:rsid w:val="002D238A"/>
    <w:rsid w:val="00346544"/>
    <w:rsid w:val="003A6CEE"/>
    <w:rsid w:val="00405FBE"/>
    <w:rsid w:val="00443261"/>
    <w:rsid w:val="00473AAC"/>
    <w:rsid w:val="0049351E"/>
    <w:rsid w:val="004E1CCF"/>
    <w:rsid w:val="004E76DF"/>
    <w:rsid w:val="005031C8"/>
    <w:rsid w:val="005207F5"/>
    <w:rsid w:val="00542F3B"/>
    <w:rsid w:val="005430E4"/>
    <w:rsid w:val="00637B42"/>
    <w:rsid w:val="00655462"/>
    <w:rsid w:val="0067019B"/>
    <w:rsid w:val="00677EE5"/>
    <w:rsid w:val="006834F3"/>
    <w:rsid w:val="00694DEF"/>
    <w:rsid w:val="006D3025"/>
    <w:rsid w:val="006E3A43"/>
    <w:rsid w:val="00704040"/>
    <w:rsid w:val="00744E6E"/>
    <w:rsid w:val="007711EA"/>
    <w:rsid w:val="00773E5E"/>
    <w:rsid w:val="007B7686"/>
    <w:rsid w:val="008069E9"/>
    <w:rsid w:val="00844DBD"/>
    <w:rsid w:val="00847AAC"/>
    <w:rsid w:val="00902253"/>
    <w:rsid w:val="00921D0C"/>
    <w:rsid w:val="00925627"/>
    <w:rsid w:val="0093101F"/>
    <w:rsid w:val="00944724"/>
    <w:rsid w:val="00962425"/>
    <w:rsid w:val="0097156E"/>
    <w:rsid w:val="009D197B"/>
    <w:rsid w:val="00A9055C"/>
    <w:rsid w:val="00AB7F92"/>
    <w:rsid w:val="00AC39EE"/>
    <w:rsid w:val="00AF2EDC"/>
    <w:rsid w:val="00B41D84"/>
    <w:rsid w:val="00BA0C7B"/>
    <w:rsid w:val="00BC4591"/>
    <w:rsid w:val="00BD4ADA"/>
    <w:rsid w:val="00C72A86"/>
    <w:rsid w:val="00CA0321"/>
    <w:rsid w:val="00CC5B9E"/>
    <w:rsid w:val="00CC7208"/>
    <w:rsid w:val="00CE1239"/>
    <w:rsid w:val="00CE6184"/>
    <w:rsid w:val="00D14E42"/>
    <w:rsid w:val="00D228F7"/>
    <w:rsid w:val="00D34E1C"/>
    <w:rsid w:val="00D9260B"/>
    <w:rsid w:val="00D95965"/>
    <w:rsid w:val="00DD55EB"/>
    <w:rsid w:val="00DE530E"/>
    <w:rsid w:val="00E17FFD"/>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84AB6"/>
  <w15:docId w15:val="{4405F505-7B35-4C0A-82D0-6F31105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basedOn w:val="DefaultParagraphFont"/>
    <w:link w:val="Heading1"/>
    <w:rsid w:val="000F48C5"/>
    <w:rPr>
      <w:rFonts w:ascii="Times New Roman" w:hAnsi="Times New Roman"/>
      <w:b/>
      <w:sz w:val="24"/>
      <w:lang w:val="fr-FR" w:eastAsia="en-US"/>
    </w:rPr>
  </w:style>
  <w:style w:type="paragraph" w:styleId="ListParagraph">
    <w:name w:val="List Paragraph"/>
    <w:aliases w:val="Recommendation,List Paragraph11,O5,Para_sk,Resume Title,- Bullets"/>
    <w:basedOn w:val="Normal"/>
    <w:link w:val="ListParagraphChar"/>
    <w:uiPriority w:val="34"/>
    <w:qFormat/>
    <w:rsid w:val="000F48C5"/>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0F48C5"/>
    <w:rPr>
      <w:rFonts w:ascii="Times New Roman" w:eastAsiaTheme="minorEastAsia" w:hAnsi="Times New Roman"/>
      <w:sz w:val="24"/>
      <w:szCs w:val="24"/>
      <w:lang w:val="en-GB" w:eastAsia="ja-JP"/>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1F5A2D"/>
    <w:rPr>
      <w:color w:val="0000FF"/>
      <w:u w:val="single"/>
    </w:rPr>
  </w:style>
  <w:style w:type="character" w:styleId="CommentReference">
    <w:name w:val="annotation reference"/>
    <w:basedOn w:val="DefaultParagraphFont"/>
    <w:semiHidden/>
    <w:unhideWhenUsed/>
    <w:rsid w:val="009D197B"/>
    <w:rPr>
      <w:sz w:val="16"/>
      <w:szCs w:val="16"/>
    </w:rPr>
  </w:style>
  <w:style w:type="paragraph" w:styleId="CommentText">
    <w:name w:val="annotation text"/>
    <w:basedOn w:val="Normal"/>
    <w:link w:val="CommentTextChar"/>
    <w:semiHidden/>
    <w:unhideWhenUsed/>
    <w:rsid w:val="009D197B"/>
    <w:rPr>
      <w:sz w:val="20"/>
    </w:rPr>
  </w:style>
  <w:style w:type="character" w:customStyle="1" w:styleId="CommentTextChar">
    <w:name w:val="Comment Text Char"/>
    <w:basedOn w:val="DefaultParagraphFont"/>
    <w:link w:val="CommentText"/>
    <w:semiHidden/>
    <w:rsid w:val="009D197B"/>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9D197B"/>
    <w:rPr>
      <w:b/>
      <w:bCs/>
    </w:rPr>
  </w:style>
  <w:style w:type="character" w:customStyle="1" w:styleId="CommentSubjectChar">
    <w:name w:val="Comment Subject Char"/>
    <w:basedOn w:val="CommentTextChar"/>
    <w:link w:val="CommentSubject"/>
    <w:semiHidden/>
    <w:rsid w:val="009D197B"/>
    <w:rPr>
      <w:rFonts w:ascii="Times New Roman" w:hAnsi="Times New Roman"/>
      <w:b/>
      <w:bCs/>
      <w:lang w:val="fr-FR" w:eastAsia="en-US"/>
    </w:rPr>
  </w:style>
  <w:style w:type="paragraph" w:styleId="Revision">
    <w:name w:val="Revision"/>
    <w:hidden/>
    <w:uiPriority w:val="99"/>
    <w:semiHidden/>
    <w:rsid w:val="009D197B"/>
    <w:rPr>
      <w:rFonts w:ascii="Times New Roman" w:hAnsi="Times New Roman"/>
      <w:sz w:val="24"/>
      <w:lang w:val="fr-FR" w:eastAsia="en-US"/>
    </w:rPr>
  </w:style>
  <w:style w:type="character" w:styleId="FollowedHyperlink">
    <w:name w:val="FollowedHyperlink"/>
    <w:basedOn w:val="DefaultParagraphFont"/>
    <w:semiHidden/>
    <w:unhideWhenUsed/>
    <w:rsid w:val="000640FB"/>
    <w:rPr>
      <w:color w:val="800080" w:themeColor="followedHyperlink"/>
      <w:u w:val="single"/>
    </w:rPr>
  </w:style>
  <w:style w:type="character" w:styleId="UnresolvedMention">
    <w:name w:val="Unresolved Mention"/>
    <w:basedOn w:val="DefaultParagraphFont"/>
    <w:uiPriority w:val="99"/>
    <w:semiHidden/>
    <w:unhideWhenUsed/>
    <w:rsid w:val="0006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WGFHR22-C-0017/en" TargetMode="External"/><Relationship Id="rId18" Type="http://schemas.openxmlformats.org/officeDocument/2006/relationships/hyperlink" Target="https://www.itu.int/en/council/Documents/basic-texts-2023/RES-167-F.pdf" TargetMode="External"/><Relationship Id="rId26" Type="http://schemas.openxmlformats.org/officeDocument/2006/relationships/hyperlink" Target="https://www.itu.int/md/S26-ISCG12026-C-0007/fr" TargetMode="External"/><Relationship Id="rId3" Type="http://schemas.openxmlformats.org/officeDocument/2006/relationships/settings" Target="settings.xml"/><Relationship Id="rId21" Type="http://schemas.openxmlformats.org/officeDocument/2006/relationships/hyperlink" Target="https://itu.int/en/general-secretariat/ICT-Services/remoteparticipation"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md/S26-CWGFHR22-C-0017/fr" TargetMode="External"/><Relationship Id="rId17" Type="http://schemas.openxmlformats.org/officeDocument/2006/relationships/hyperlink" Target="https://www.itu.int/en/general-secretariat/ICT-Services/remoteparticipation/Pages/default.aspx" TargetMode="External"/><Relationship Id="rId25" Type="http://schemas.openxmlformats.org/officeDocument/2006/relationships/hyperlink" Target="https://www.itu.int/md/S26-ISCG12026-C-0007/fr"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tu.int/md/T25-TSAG-260126-TD-GEN-0333/en" TargetMode="External"/><Relationship Id="rId20" Type="http://schemas.openxmlformats.org/officeDocument/2006/relationships/hyperlink" Target="http://www.itu.int/md/meetingdoc.asp?lang=en&amp;parent=T25-TSAG-260126-TD-GEN-0333" TargetMode="External"/><Relationship Id="rId29" Type="http://schemas.openxmlformats.org/officeDocument/2006/relationships/hyperlink" Target="https://www.itu.int/md/S26-ISCG12026-C-0007/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action/environment-and-climate-change/Pages/default.aspx" TargetMode="External"/><Relationship Id="rId24" Type="http://schemas.openxmlformats.org/officeDocument/2006/relationships/hyperlink" Target="https://www.itu.int/md/S26-ISCG12026-C-0008/e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tu.int/md/T25-TSAG-260126-TD-GEN-0333/en" TargetMode="External"/><Relationship Id="rId23" Type="http://schemas.openxmlformats.org/officeDocument/2006/relationships/hyperlink" Target="https://www.itu.int/md/S26-ISCG12026-C-0008/fr" TargetMode="External"/><Relationship Id="rId28" Type="http://schemas.openxmlformats.org/officeDocument/2006/relationships/hyperlink" Target="https://www.itu.int/md/S26-ISCG12026-C-0007/en" TargetMode="External"/><Relationship Id="rId36" Type="http://schemas.openxmlformats.org/officeDocument/2006/relationships/theme" Target="theme/theme1.xml"/><Relationship Id="rId10" Type="http://schemas.openxmlformats.org/officeDocument/2006/relationships/hyperlink" Target="https://www.itu.int/en/action/environment-and-climate-change/Pages/default.aspx" TargetMode="External"/><Relationship Id="rId19" Type="http://schemas.openxmlformats.org/officeDocument/2006/relationships/hyperlink" Target="https://www.itu.int/md/S26-ISCG12026-C-0004/en" TargetMode="External"/><Relationship Id="rId31" Type="http://schemas.openxmlformats.org/officeDocument/2006/relationships/hyperlink" Target="https://www.itu.int/en/general-secretariat/Pages/ISCG/default.aspx" TargetMode="External"/><Relationship Id="rId4" Type="http://schemas.openxmlformats.org/officeDocument/2006/relationships/webSettings" Target="webSettings.xml"/><Relationship Id="rId9" Type="http://schemas.openxmlformats.org/officeDocument/2006/relationships/hyperlink" Target="https://www.itu.int/en/general-secretariat/Pages/ISCG/default.aspx" TargetMode="External"/><Relationship Id="rId14" Type="http://schemas.openxmlformats.org/officeDocument/2006/relationships/hyperlink" Target="https://www.itu.int/md/S26-ISCG12026-C-0004/fr" TargetMode="External"/><Relationship Id="rId22" Type="http://schemas.openxmlformats.org/officeDocument/2006/relationships/hyperlink" Target="https://www.itu.int/en/council/Documents/basic-texts-2023/RES-167-E.pdf" TargetMode="External"/><Relationship Id="rId27" Type="http://schemas.openxmlformats.org/officeDocument/2006/relationships/hyperlink" Target="https://www.itu.int/md/S26-ISCG12026-C-0007/en" TargetMode="External"/><Relationship Id="rId30" Type="http://schemas.openxmlformats.org/officeDocument/2006/relationships/hyperlink" Target="https://www.itu.int/en/general-secretariat/Pages/ISCG/default.aspx" TargetMode="External"/><Relationship Id="rId35" Type="http://schemas.openxmlformats.org/officeDocument/2006/relationships/fontTable" Target="fontTable.xml"/><Relationship Id="rId8" Type="http://schemas.openxmlformats.org/officeDocument/2006/relationships/hyperlink" Target="https://www.itu.int/en/general-secretariat/Pages/ISCG/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0</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RAPPORT D'ACTIVITÉ</vt:lpstr>
    </vt:vector>
  </TitlesOfParts>
  <Manager>General Secretariat - Pool</Manager>
  <Company>International Telecommunication Union (ITU)</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dc:title>
  <dc:subject>GROUPE CONSULTATIF DES RADIOCOMMUNICATIONS</dc:subject>
  <dc:creator>Président du Groupe de coordination intersectorielle (ISCG)</dc:creator>
  <cp:keywords>RAG03-1</cp:keywords>
  <dc:description>Document RAG/67-F  For: _x000d_Document date: 27 février 2026_x000d_Saved by ITU51017918 at 06:46:32 on 10.03.2026</dc:description>
  <cp:lastModifiedBy>Xue, Kun</cp:lastModifiedBy>
  <cp:revision>2</cp:revision>
  <cp:lastPrinted>1999-10-11T14:58:00Z</cp:lastPrinted>
  <dcterms:created xsi:type="dcterms:W3CDTF">2026-03-10T08:05:00Z</dcterms:created>
  <dcterms:modified xsi:type="dcterms:W3CDTF">2026-03-10T08:05:00Z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RAG/67-F</vt:lpwstr>
  </property>
  <property fmtid="{D5CDD505-2E9C-101B-9397-08002B2CF9AE}" pid="3" name="Docdate">
    <vt:lpwstr>27 février 2026</vt:lpwstr>
  </property>
  <property fmtid="{D5CDD505-2E9C-101B-9397-08002B2CF9AE}" pid="4" name="Docorlang">
    <vt:lpwstr>Original: anglais</vt:lpwstr>
  </property>
  <property fmtid="{D5CDD505-2E9C-101B-9397-08002B2CF9AE}" pid="5" name="Docauthor">
    <vt:lpwstr>Président du Groupe de coordination intersectorielle (ISCG)</vt:lpwstr>
  </property>
</Properties>
</file>