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7F7D2664">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FD4E76">
              <w:rPr>
                <w:rFonts w:ascii="Verdana" w:eastAsia="Times New Roman" w:hAnsi="Verdana" w:cs="Times New Roman Bold"/>
                <w:b/>
                <w:sz w:val="26"/>
                <w:szCs w:val="26"/>
                <w:lang w:val="en-US"/>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7F7D2664">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757D00" w14:paraId="653F22AE" w14:textId="77777777" w:rsidTr="7F7D2664">
        <w:trPr>
          <w:cantSplit/>
        </w:trPr>
        <w:tc>
          <w:tcPr>
            <w:tcW w:w="6487" w:type="dxa"/>
            <w:gridSpan w:val="2"/>
            <w:tcBorders>
              <w:top w:val="single" w:sz="12" w:space="0" w:color="auto"/>
            </w:tcBorders>
          </w:tcPr>
          <w:p w14:paraId="1E9023F7" w14:textId="77777777" w:rsidR="00757D00" w:rsidRPr="0051782D" w:rsidRDefault="00757D00" w:rsidP="00757D0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31EF3444" w:rsidR="00757D00" w:rsidRPr="00710D66" w:rsidRDefault="00757D00" w:rsidP="00757D00">
            <w:pPr>
              <w:shd w:val="solid" w:color="FFFFFF" w:fill="FFFFFF"/>
              <w:spacing w:before="0" w:after="48" w:line="240" w:lineRule="atLeast"/>
              <w:rPr>
                <w:lang w:val="en-US"/>
              </w:rPr>
            </w:pPr>
          </w:p>
        </w:tc>
      </w:tr>
      <w:tr w:rsidR="00757D00" w14:paraId="30F64E70" w14:textId="77777777" w:rsidTr="7F7D2664">
        <w:trPr>
          <w:cantSplit/>
        </w:trPr>
        <w:tc>
          <w:tcPr>
            <w:tcW w:w="6487" w:type="dxa"/>
            <w:gridSpan w:val="2"/>
            <w:vMerge w:val="restart"/>
          </w:tcPr>
          <w:p w14:paraId="42225AAE" w14:textId="77777777" w:rsidR="00757D00" w:rsidRDefault="00757D00" w:rsidP="00757D00">
            <w:pPr>
              <w:shd w:val="solid" w:color="FFFFFF" w:fill="FFFFFF"/>
              <w:spacing w:after="240"/>
              <w:rPr>
                <w:sz w:val="20"/>
              </w:rPr>
            </w:pPr>
            <w:bookmarkStart w:id="0" w:name="dnum" w:colFirst="1" w:colLast="1"/>
          </w:p>
        </w:tc>
        <w:tc>
          <w:tcPr>
            <w:tcW w:w="3402" w:type="dxa"/>
          </w:tcPr>
          <w:p w14:paraId="3AFDAD83" w14:textId="07F9679F" w:rsidR="00757D00" w:rsidRPr="001A0041" w:rsidRDefault="00757D00" w:rsidP="00757D00">
            <w:pPr>
              <w:shd w:val="solid" w:color="FFFFFF" w:fill="FFFFFF"/>
              <w:spacing w:before="0" w:line="240" w:lineRule="atLeast"/>
              <w:rPr>
                <w:rFonts w:ascii="Verdana" w:hAnsi="Verdana"/>
                <w:sz w:val="20"/>
              </w:rPr>
            </w:pPr>
            <w:r>
              <w:rPr>
                <w:rFonts w:ascii="Verdana" w:hAnsi="Verdana"/>
                <w:b/>
                <w:sz w:val="20"/>
              </w:rPr>
              <w:t>Document RAG/</w:t>
            </w:r>
            <w:r w:rsidR="00121596">
              <w:rPr>
                <w:rFonts w:ascii="Verdana" w:hAnsi="Verdana"/>
                <w:b/>
                <w:sz w:val="20"/>
              </w:rPr>
              <w:t>67</w:t>
            </w:r>
            <w:r>
              <w:rPr>
                <w:rFonts w:ascii="Verdana" w:hAnsi="Verdana"/>
                <w:b/>
                <w:sz w:val="20"/>
              </w:rPr>
              <w:t>-E</w:t>
            </w:r>
          </w:p>
        </w:tc>
      </w:tr>
      <w:tr w:rsidR="00757D00" w14:paraId="73C3C199" w14:textId="77777777" w:rsidTr="7F7D2664">
        <w:trPr>
          <w:cantSplit/>
        </w:trPr>
        <w:tc>
          <w:tcPr>
            <w:tcW w:w="6487" w:type="dxa"/>
            <w:gridSpan w:val="2"/>
            <w:vMerge/>
          </w:tcPr>
          <w:p w14:paraId="742BDBFA" w14:textId="77777777" w:rsidR="00757D00" w:rsidRDefault="00757D00" w:rsidP="00757D00">
            <w:pPr>
              <w:spacing w:before="60"/>
              <w:jc w:val="center"/>
              <w:rPr>
                <w:b/>
                <w:smallCaps/>
                <w:sz w:val="32"/>
              </w:rPr>
            </w:pPr>
            <w:bookmarkStart w:id="1" w:name="ddate" w:colFirst="1" w:colLast="1"/>
            <w:bookmarkEnd w:id="0"/>
          </w:p>
        </w:tc>
        <w:tc>
          <w:tcPr>
            <w:tcW w:w="3402" w:type="dxa"/>
          </w:tcPr>
          <w:p w14:paraId="51A2F5FD" w14:textId="1EF46ED6" w:rsidR="00757D00" w:rsidRPr="001A0041" w:rsidRDefault="006137E6" w:rsidP="00757D00">
            <w:pPr>
              <w:shd w:val="solid" w:color="FFFFFF" w:fill="FFFFFF"/>
              <w:spacing w:before="0" w:line="240" w:lineRule="atLeast"/>
              <w:rPr>
                <w:rFonts w:ascii="Verdana" w:hAnsi="Verdana"/>
                <w:sz w:val="20"/>
              </w:rPr>
            </w:pPr>
            <w:r>
              <w:rPr>
                <w:rFonts w:ascii="Verdana" w:hAnsi="Verdana"/>
                <w:b/>
                <w:sz w:val="20"/>
              </w:rPr>
              <w:t>2</w:t>
            </w:r>
            <w:r w:rsidR="00121596">
              <w:rPr>
                <w:rFonts w:ascii="Verdana" w:hAnsi="Verdana"/>
                <w:b/>
                <w:sz w:val="20"/>
              </w:rPr>
              <w:t>7</w:t>
            </w:r>
            <w:r>
              <w:rPr>
                <w:rFonts w:ascii="Verdana" w:hAnsi="Verdana"/>
                <w:b/>
                <w:sz w:val="20"/>
              </w:rPr>
              <w:t xml:space="preserve"> February 2026</w:t>
            </w:r>
          </w:p>
        </w:tc>
      </w:tr>
      <w:tr w:rsidR="00757D00" w14:paraId="2A70EAD6" w14:textId="77777777" w:rsidTr="7F7D2664">
        <w:trPr>
          <w:cantSplit/>
        </w:trPr>
        <w:tc>
          <w:tcPr>
            <w:tcW w:w="6487" w:type="dxa"/>
            <w:gridSpan w:val="2"/>
            <w:vMerge/>
          </w:tcPr>
          <w:p w14:paraId="37E710DB" w14:textId="77777777" w:rsidR="00757D00" w:rsidRDefault="00757D00" w:rsidP="00757D00">
            <w:pPr>
              <w:spacing w:before="60"/>
              <w:jc w:val="center"/>
              <w:rPr>
                <w:b/>
                <w:smallCaps/>
                <w:sz w:val="32"/>
              </w:rPr>
            </w:pPr>
            <w:bookmarkStart w:id="2" w:name="dorlang" w:colFirst="1" w:colLast="1"/>
            <w:bookmarkEnd w:id="1"/>
          </w:p>
        </w:tc>
        <w:tc>
          <w:tcPr>
            <w:tcW w:w="3402" w:type="dxa"/>
          </w:tcPr>
          <w:p w14:paraId="367E6838" w14:textId="15DC7248" w:rsidR="00757D00" w:rsidRPr="001A0041" w:rsidRDefault="00FD4E76" w:rsidP="00757D00">
            <w:pPr>
              <w:shd w:val="solid" w:color="FFFFFF" w:fill="FFFFFF"/>
              <w:spacing w:before="0" w:after="120" w:line="240" w:lineRule="atLeast"/>
              <w:rPr>
                <w:rFonts w:ascii="Verdana" w:hAnsi="Verdana"/>
                <w:sz w:val="20"/>
              </w:rPr>
            </w:pPr>
            <w:r>
              <w:rPr>
                <w:rFonts w:ascii="Verdana" w:hAnsi="Verdana"/>
                <w:b/>
                <w:sz w:val="20"/>
              </w:rPr>
              <w:t>Original: English</w:t>
            </w:r>
          </w:p>
        </w:tc>
      </w:tr>
      <w:tr w:rsidR="00757D00" w14:paraId="67CF20AF" w14:textId="77777777" w:rsidTr="7F7D2664">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57D00" w14:paraId="68DC1573" w14:textId="77777777" w:rsidTr="7F7D2664">
              <w:trPr>
                <w:cantSplit/>
              </w:trPr>
              <w:tc>
                <w:tcPr>
                  <w:tcW w:w="9889" w:type="dxa"/>
                </w:tcPr>
                <w:p w14:paraId="259F3C61" w14:textId="1E0CEACE" w:rsidR="00757D00" w:rsidRPr="00C61CB6" w:rsidRDefault="00757D00" w:rsidP="00FD4E76">
                  <w:pPr>
                    <w:pStyle w:val="Source"/>
                  </w:pPr>
                  <w:bookmarkStart w:id="3" w:name="dsource" w:colFirst="0" w:colLast="0"/>
                  <w:bookmarkEnd w:id="2"/>
                  <w:r w:rsidRPr="00FD4E76">
                    <w:rPr>
                      <w:rFonts w:eastAsia="Times New Roman"/>
                      <w:lang w:val="en-US"/>
                    </w:rPr>
                    <w:t xml:space="preserve">Chair, </w:t>
                  </w:r>
                  <w:r w:rsidR="0039021B" w:rsidRPr="0039021B">
                    <w:rPr>
                      <w:rFonts w:eastAsia="Times New Roman"/>
                      <w:lang w:val="en-US"/>
                    </w:rPr>
                    <w:t>I</w:t>
                  </w:r>
                  <w:r w:rsidR="0039021B">
                    <w:rPr>
                      <w:rFonts w:eastAsia="Times New Roman"/>
                      <w:lang w:val="en-US"/>
                    </w:rPr>
                    <w:t>nter</w:t>
                  </w:r>
                  <w:r w:rsidR="0039021B" w:rsidRPr="0039021B">
                    <w:rPr>
                      <w:rFonts w:eastAsia="Times New Roman"/>
                      <w:lang w:val="en-US"/>
                    </w:rPr>
                    <w:t>-S</w:t>
                  </w:r>
                  <w:r w:rsidR="0039021B">
                    <w:rPr>
                      <w:rFonts w:eastAsia="Times New Roman"/>
                      <w:lang w:val="en-US"/>
                    </w:rPr>
                    <w:t>ector</w:t>
                  </w:r>
                  <w:r w:rsidR="0039021B" w:rsidRPr="0039021B">
                    <w:rPr>
                      <w:rFonts w:eastAsia="Times New Roman"/>
                      <w:lang w:val="en-US"/>
                    </w:rPr>
                    <w:t xml:space="preserve"> C</w:t>
                  </w:r>
                  <w:r w:rsidR="0039021B">
                    <w:rPr>
                      <w:rFonts w:eastAsia="Times New Roman"/>
                      <w:lang w:val="en-US"/>
                    </w:rPr>
                    <w:t>oordination</w:t>
                  </w:r>
                  <w:r w:rsidR="0039021B" w:rsidRPr="0039021B">
                    <w:rPr>
                      <w:rFonts w:eastAsia="Times New Roman"/>
                      <w:lang w:val="en-US"/>
                    </w:rPr>
                    <w:t xml:space="preserve"> G</w:t>
                  </w:r>
                  <w:r w:rsidR="0039021B">
                    <w:rPr>
                      <w:rFonts w:eastAsia="Times New Roman"/>
                      <w:lang w:val="en-US"/>
                    </w:rPr>
                    <w:t>roup</w:t>
                  </w:r>
                  <w:r w:rsidR="0039021B" w:rsidRPr="0039021B">
                    <w:rPr>
                      <w:rFonts w:eastAsia="Times New Roman"/>
                      <w:lang w:val="en-US"/>
                    </w:rPr>
                    <w:t xml:space="preserve"> (ISCG)</w:t>
                  </w:r>
                </w:p>
              </w:tc>
            </w:tr>
            <w:tr w:rsidR="00757D00" w14:paraId="3CCAA1A5" w14:textId="77777777" w:rsidTr="7F7D2664">
              <w:trPr>
                <w:cantSplit/>
              </w:trPr>
              <w:tc>
                <w:tcPr>
                  <w:tcW w:w="9889" w:type="dxa"/>
                </w:tcPr>
                <w:p w14:paraId="6B51D0F8" w14:textId="0E8BB84A" w:rsidR="00757D00" w:rsidRPr="00E30829" w:rsidRDefault="0039021B" w:rsidP="00D02896">
                  <w:pPr>
                    <w:pStyle w:val="Title1"/>
                  </w:pPr>
                  <w:r>
                    <w:rPr>
                      <w:rFonts w:eastAsia="Times New Roman"/>
                    </w:rPr>
                    <w:t xml:space="preserve">PROGRESS </w:t>
                  </w:r>
                  <w:r w:rsidR="00757D00" w:rsidRPr="7F7D2664">
                    <w:rPr>
                      <w:rFonts w:eastAsia="Times New Roman"/>
                      <w:lang w:val="en-US"/>
                    </w:rPr>
                    <w:t>report</w:t>
                  </w:r>
                </w:p>
              </w:tc>
            </w:tr>
          </w:tbl>
          <w:p w14:paraId="48EDD9F3" w14:textId="77777777" w:rsidR="00757D00" w:rsidRDefault="00757D00" w:rsidP="00021AF4">
            <w:pPr>
              <w:pStyle w:val="Source"/>
              <w:spacing w:before="0" w:after="0"/>
            </w:pPr>
          </w:p>
        </w:tc>
      </w:tr>
      <w:bookmarkEnd w:id="3"/>
    </w:tbl>
    <w:p w14:paraId="67B46E9B" w14:textId="77777777" w:rsidR="00DC50F3" w:rsidRDefault="00DC50F3" w:rsidP="00FD4E76">
      <w:pPr>
        <w:pStyle w:val="Heading1"/>
      </w:pPr>
    </w:p>
    <w:p w14:paraId="713EAD27" w14:textId="1BD2914B" w:rsidR="00381A43" w:rsidRPr="00E2019B" w:rsidRDefault="007C33D0" w:rsidP="00FD4E76">
      <w:pPr>
        <w:pStyle w:val="Heading1"/>
      </w:pPr>
      <w:r>
        <w:t>I</w:t>
      </w:r>
      <w:r w:rsidR="00F40439" w:rsidRPr="00FD4E76">
        <w:t>ntroduction</w:t>
      </w:r>
    </w:p>
    <w:p w14:paraId="3F58AA98" w14:textId="102F296B" w:rsidR="007C33D0" w:rsidRDefault="007C33D0" w:rsidP="00121596">
      <w:bookmarkStart w:id="4" w:name="_Hlk187954263"/>
      <w:r>
        <w:t>The Chair of the Inter-Sector Coordination Group (ISCG) on issues of mutual interest, Mr. Fabio Bigi, would like to present an update on the ISCG's work progress to the Radiocommunication Advisory Group (RAG)</w:t>
      </w:r>
      <w:r w:rsidR="00831680">
        <w:t xml:space="preserve"> </w:t>
      </w:r>
      <w:r>
        <w:t>since its last meeting in 202</w:t>
      </w:r>
      <w:r w:rsidR="00831680">
        <w:t>5</w:t>
      </w:r>
      <w:r>
        <w:t>.</w:t>
      </w:r>
    </w:p>
    <w:p w14:paraId="3CCF47A1" w14:textId="255EBE8C" w:rsidR="00475E44" w:rsidRDefault="00475E44" w:rsidP="00121596">
      <w:r>
        <w:t>The ISCG Chair would also like to inform RAG that, following requests made at the Council Working Group on financial and human resources (CWG-FHR) in September 2025, the ISCG website has been updated to reflect changes in format and document publication procedures, in line with members’ requests and with practices applied to other General Secretariat meetings.</w:t>
      </w:r>
    </w:p>
    <w:p w14:paraId="387281C6" w14:textId="0DA9BF63" w:rsidR="007556C7" w:rsidRDefault="00475E44" w:rsidP="00121596">
      <w:r>
        <w:t>All information related to the ISCG, including the report of the last meeting</w:t>
      </w:r>
      <w:r w:rsidR="006B5DF7">
        <w:t xml:space="preserve"> held on </w:t>
      </w:r>
      <w:r w:rsidR="00A51065">
        <w:t>28 January 2026</w:t>
      </w:r>
      <w:r>
        <w:t xml:space="preserve">, is available on the </w:t>
      </w:r>
      <w:hyperlink r:id="rId12" w:history="1">
        <w:r w:rsidRPr="000802AF">
          <w:rPr>
            <w:rStyle w:val="Hyperlink"/>
          </w:rPr>
          <w:t>ISCG webpage</w:t>
        </w:r>
      </w:hyperlink>
      <w:r w:rsidR="007C33D0">
        <w:t>.</w:t>
      </w:r>
    </w:p>
    <w:bookmarkEnd w:id="4"/>
    <w:p w14:paraId="5CF06EF7" w14:textId="77777777" w:rsidR="00896655" w:rsidRPr="00896655" w:rsidRDefault="00896655" w:rsidP="00914476">
      <w:pPr>
        <w:tabs>
          <w:tab w:val="clear" w:pos="794"/>
          <w:tab w:val="clear" w:pos="1191"/>
          <w:tab w:val="clear" w:pos="1588"/>
          <w:tab w:val="clear" w:pos="1985"/>
          <w:tab w:val="left" w:pos="567"/>
          <w:tab w:val="left" w:pos="1134"/>
          <w:tab w:val="left" w:pos="1701"/>
          <w:tab w:val="left" w:pos="2268"/>
          <w:tab w:val="left" w:pos="2835"/>
        </w:tabs>
        <w:jc w:val="both"/>
        <w:rPr>
          <w:b/>
          <w:bCs/>
        </w:rPr>
      </w:pPr>
      <w:r w:rsidRPr="00896655">
        <w:rPr>
          <w:b/>
          <w:bCs/>
        </w:rPr>
        <w:t>Main discussions</w:t>
      </w:r>
    </w:p>
    <w:p w14:paraId="0EDDD9F1" w14:textId="77777777" w:rsidR="00896655" w:rsidRPr="00896655" w:rsidRDefault="00896655" w:rsidP="00121596">
      <w:pPr>
        <w:tabs>
          <w:tab w:val="clear" w:pos="794"/>
          <w:tab w:val="clear" w:pos="1191"/>
          <w:tab w:val="clear" w:pos="1588"/>
          <w:tab w:val="clear" w:pos="1985"/>
          <w:tab w:val="left" w:pos="567"/>
          <w:tab w:val="left" w:pos="1134"/>
          <w:tab w:val="left" w:pos="1701"/>
          <w:tab w:val="left" w:pos="2268"/>
          <w:tab w:val="left" w:pos="2835"/>
        </w:tabs>
      </w:pPr>
      <w:r w:rsidRPr="00896655">
        <w:t>The ISCG continues to address the following topics:</w:t>
      </w:r>
    </w:p>
    <w:p w14:paraId="0F62EE58" w14:textId="77777777" w:rsidR="007550F3" w:rsidRPr="007550F3" w:rsidRDefault="00896655" w:rsidP="00121596">
      <w:pPr>
        <w:pStyle w:val="ListParagraph"/>
        <w:numPr>
          <w:ilvl w:val="0"/>
          <w:numId w:val="26"/>
        </w:numPr>
        <w:tabs>
          <w:tab w:val="left" w:pos="567"/>
          <w:tab w:val="left" w:pos="1134"/>
          <w:tab w:val="left" w:pos="1701"/>
          <w:tab w:val="left" w:pos="2268"/>
          <w:tab w:val="left" w:pos="2835"/>
        </w:tabs>
        <w:rPr>
          <w:rFonts w:eastAsia="SimSun"/>
        </w:rPr>
      </w:pPr>
      <w:r w:rsidRPr="007550F3">
        <w:rPr>
          <w:b/>
          <w:bCs/>
        </w:rPr>
        <w:t>Accessibility:</w:t>
      </w:r>
      <w:r w:rsidRPr="00896655">
        <w:t xml:space="preserve"> A new coordinator, Ms Lidia Best (JCA AHF Chair), was appointed and will</w:t>
      </w:r>
      <w:r w:rsidR="007550F3">
        <w:t xml:space="preserve"> </w:t>
      </w:r>
      <w:r w:rsidRPr="00896655">
        <w:t>report on accessibility related updates at the next meeting. This will include the development of the new ITU website, to ensure that it remains accessible to all.</w:t>
      </w:r>
    </w:p>
    <w:p w14:paraId="3E0873AF" w14:textId="026906F5" w:rsidR="00AC6EAF" w:rsidRDefault="00896655" w:rsidP="00121596">
      <w:pPr>
        <w:pStyle w:val="ListParagraph"/>
        <w:numPr>
          <w:ilvl w:val="0"/>
          <w:numId w:val="26"/>
        </w:numPr>
        <w:tabs>
          <w:tab w:val="left" w:pos="567"/>
          <w:tab w:val="left" w:pos="1134"/>
          <w:tab w:val="left" w:pos="1701"/>
          <w:tab w:val="left" w:pos="2268"/>
          <w:tab w:val="left" w:pos="2835"/>
        </w:tabs>
        <w:rPr>
          <w:rFonts w:eastAsia="SimSun"/>
        </w:rPr>
      </w:pPr>
      <w:r w:rsidRPr="00AC6EAF">
        <w:rPr>
          <w:rFonts w:eastAsia="SimSun"/>
          <w:b/>
          <w:bCs/>
        </w:rPr>
        <w:t>Climate change:</w:t>
      </w:r>
      <w:r w:rsidRPr="00896655">
        <w:rPr>
          <w:rFonts w:eastAsia="SimSun"/>
        </w:rPr>
        <w:t xml:space="preserve"> Collaboration across the three ITU Sectors continues to evolve. This is reflected on the website under </w:t>
      </w:r>
      <w:hyperlink r:id="rId13" w:history="1">
        <w:r w:rsidRPr="00323DD6">
          <w:rPr>
            <w:rStyle w:val="Hyperlink"/>
            <w:rFonts w:eastAsia="SimSun"/>
          </w:rPr>
          <w:t>Environment and climate change</w:t>
        </w:r>
      </w:hyperlink>
      <w:r w:rsidRPr="00896655">
        <w:rPr>
          <w:rFonts w:eastAsia="SimSun"/>
        </w:rPr>
        <w:t>.</w:t>
      </w:r>
    </w:p>
    <w:p w14:paraId="50D21884" w14:textId="77777777" w:rsidR="00674A12" w:rsidRDefault="00896655" w:rsidP="00121596">
      <w:pPr>
        <w:pStyle w:val="ListParagraph"/>
        <w:numPr>
          <w:ilvl w:val="0"/>
          <w:numId w:val="26"/>
        </w:numPr>
        <w:tabs>
          <w:tab w:val="left" w:pos="567"/>
          <w:tab w:val="left" w:pos="1134"/>
          <w:tab w:val="left" w:pos="1701"/>
          <w:tab w:val="left" w:pos="2268"/>
          <w:tab w:val="left" w:pos="2835"/>
        </w:tabs>
        <w:rPr>
          <w:rFonts w:eastAsia="SimSun"/>
        </w:rPr>
      </w:pPr>
      <w:r w:rsidRPr="00896655">
        <w:rPr>
          <w:rFonts w:eastAsia="SimSun"/>
        </w:rPr>
        <w:t xml:space="preserve">ITU website: The ITU Secretariat is working on the new ITU website project, the last report on which is contained in Document </w:t>
      </w:r>
      <w:hyperlink r:id="rId14" w:history="1">
        <w:r w:rsidRPr="00D253FC">
          <w:rPr>
            <w:rStyle w:val="Hyperlink"/>
            <w:rFonts w:eastAsia="SimSun"/>
          </w:rPr>
          <w:t>CWG-FHR-22/1</w:t>
        </w:r>
      </w:hyperlink>
      <w:r w:rsidRPr="00896655">
        <w:rPr>
          <w:rFonts w:eastAsia="SimSun"/>
        </w:rPr>
        <w:t xml:space="preserve">. The Secretariat was instructed to liaise with the accessibility coordinator to ensure that the project </w:t>
      </w:r>
      <w:proofErr w:type="gramStart"/>
      <w:r w:rsidRPr="00896655">
        <w:rPr>
          <w:rFonts w:eastAsia="SimSun"/>
        </w:rPr>
        <w:t>takes into account</w:t>
      </w:r>
      <w:proofErr w:type="gramEnd"/>
      <w:r w:rsidRPr="00896655">
        <w:rPr>
          <w:rFonts w:eastAsia="SimSun"/>
        </w:rPr>
        <w:t xml:space="preserve"> the needs of persons with disabilities during the review process.</w:t>
      </w:r>
    </w:p>
    <w:p w14:paraId="5F9BFDF5" w14:textId="77777777" w:rsidR="0067756F" w:rsidRDefault="00896655" w:rsidP="00121596">
      <w:pPr>
        <w:pStyle w:val="ListParagraph"/>
        <w:numPr>
          <w:ilvl w:val="0"/>
          <w:numId w:val="26"/>
        </w:numPr>
        <w:tabs>
          <w:tab w:val="left" w:pos="567"/>
          <w:tab w:val="left" w:pos="1134"/>
          <w:tab w:val="left" w:pos="1701"/>
          <w:tab w:val="left" w:pos="2268"/>
          <w:tab w:val="left" w:pos="2835"/>
        </w:tabs>
        <w:rPr>
          <w:rFonts w:eastAsia="SimSun"/>
        </w:rPr>
      </w:pPr>
      <w:r w:rsidRPr="00674A12">
        <w:rPr>
          <w:rFonts w:eastAsia="SimSun"/>
          <w:b/>
          <w:bCs/>
        </w:rPr>
        <w:t>Remote participation:</w:t>
      </w:r>
      <w:r w:rsidRPr="00896655">
        <w:rPr>
          <w:rFonts w:eastAsia="SimSun"/>
        </w:rPr>
        <w:t xml:space="preserve"> The Telecommunication Standardization Advisory Group (TSAG) Rapporteur Group on Working Methods continues work on remote participation (see Document </w:t>
      </w:r>
      <w:hyperlink r:id="rId15" w:history="1">
        <w:r w:rsidRPr="00E13304">
          <w:rPr>
            <w:rStyle w:val="Hyperlink"/>
            <w:rFonts w:eastAsia="SimSun"/>
          </w:rPr>
          <w:t>ISCG/26-1/4</w:t>
        </w:r>
      </w:hyperlink>
      <w:r w:rsidRPr="00896655">
        <w:rPr>
          <w:rFonts w:eastAsia="SimSun"/>
        </w:rPr>
        <w:t xml:space="preserve">). A liaison statement was sent to the ISCG to inform it of the revision of the </w:t>
      </w:r>
      <w:hyperlink r:id="rId16" w:history="1">
        <w:r w:rsidRPr="00B87BD7">
          <w:rPr>
            <w:rStyle w:val="Hyperlink"/>
            <w:rFonts w:eastAsia="SimSun"/>
          </w:rPr>
          <w:t>A-series Supplement 4 "Guidelines for remote participation"</w:t>
        </w:r>
      </w:hyperlink>
      <w:r w:rsidRPr="00896655">
        <w:rPr>
          <w:rFonts w:eastAsia="SimSun"/>
        </w:rPr>
        <w:t xml:space="preserve">, with the intention of aligning it with the </w:t>
      </w:r>
      <w:hyperlink r:id="rId17" w:history="1">
        <w:r w:rsidRPr="004A1960">
          <w:rPr>
            <w:rStyle w:val="Hyperlink"/>
            <w:rFonts w:eastAsia="SimSun"/>
          </w:rPr>
          <w:t>"Guidelines on the management of fully virtual meetings and physical meetings with remote participation"</w:t>
        </w:r>
      </w:hyperlink>
      <w:r w:rsidRPr="00896655">
        <w:rPr>
          <w:rFonts w:eastAsia="SimSun"/>
        </w:rPr>
        <w:t xml:space="preserve">, established by the 2025 session of the Council in response to ITU Plenipotentiary Conference </w:t>
      </w:r>
      <w:hyperlink r:id="rId18" w:history="1">
        <w:r w:rsidRPr="0067756F">
          <w:rPr>
            <w:rStyle w:val="Hyperlink"/>
            <w:rFonts w:eastAsia="SimSun"/>
          </w:rPr>
          <w:t>Resolution 167 (Rev. Bucharest, 2022)</w:t>
        </w:r>
      </w:hyperlink>
      <w:r w:rsidRPr="00896655">
        <w:rPr>
          <w:rFonts w:eastAsia="SimSun"/>
        </w:rPr>
        <w:t>. This issue will be considered at the next meeting of the ISCG.</w:t>
      </w:r>
    </w:p>
    <w:p w14:paraId="4AF7CEB0" w14:textId="1953F14C" w:rsidR="00896655" w:rsidRPr="0067756F" w:rsidRDefault="00896655" w:rsidP="00121596">
      <w:pPr>
        <w:pStyle w:val="ListParagraph"/>
        <w:numPr>
          <w:ilvl w:val="0"/>
          <w:numId w:val="26"/>
        </w:numPr>
        <w:tabs>
          <w:tab w:val="left" w:pos="567"/>
          <w:tab w:val="left" w:pos="1134"/>
          <w:tab w:val="left" w:pos="1701"/>
          <w:tab w:val="left" w:pos="2268"/>
          <w:tab w:val="left" w:pos="2835"/>
        </w:tabs>
        <w:rPr>
          <w:rFonts w:eastAsia="SimSun"/>
        </w:rPr>
      </w:pPr>
      <w:r w:rsidRPr="0067756F">
        <w:rPr>
          <w:b/>
          <w:bCs/>
        </w:rPr>
        <w:lastRenderedPageBreak/>
        <w:t>Sustainable digital transformation:</w:t>
      </w:r>
      <w:r w:rsidRPr="00896655">
        <w:t xml:space="preserve"> One of the coordinators, Ms Blanca González (Spain), will retire soon, and Ms Shahad Albalawi (Saudi Arabia) will continue to act as coordinator and report to the next meeting. The Chair </w:t>
      </w:r>
      <w:r w:rsidR="0067756F">
        <w:t xml:space="preserve">would </w:t>
      </w:r>
      <w:r w:rsidRPr="00896655">
        <w:t xml:space="preserve">also </w:t>
      </w:r>
      <w:r w:rsidR="0067756F">
        <w:t xml:space="preserve">like to </w:t>
      </w:r>
      <w:r w:rsidRPr="00896655">
        <w:t>dr</w:t>
      </w:r>
      <w:r w:rsidR="0067756F">
        <w:t>a</w:t>
      </w:r>
      <w:r w:rsidRPr="00896655">
        <w:t xml:space="preserve">w attention to the need to coordinate work on this theme and to report on the activities of the three Sectors. The Secretariat informed the meeting that a new Rapporteur Group on Sustainable Digital Transformation (RG-DT) was approved as part of the TSAG structure for the new study period (2025–2028). This rapporteur group is requesting inputs from the other ITU Sectors (see Document </w:t>
      </w:r>
      <w:hyperlink r:id="rId19" w:history="1">
        <w:r w:rsidRPr="00C47FF4">
          <w:rPr>
            <w:rStyle w:val="Hyperlink"/>
          </w:rPr>
          <w:t>ISCG/26-1/8</w:t>
        </w:r>
      </w:hyperlink>
      <w:r w:rsidRPr="00896655">
        <w:t>).</w:t>
      </w:r>
    </w:p>
    <w:p w14:paraId="36BA875E" w14:textId="57FA3EAA" w:rsidR="00896655" w:rsidRPr="00896655" w:rsidRDefault="00896655" w:rsidP="00121596">
      <w:pPr>
        <w:tabs>
          <w:tab w:val="clear" w:pos="794"/>
          <w:tab w:val="clear" w:pos="1191"/>
          <w:tab w:val="clear" w:pos="1588"/>
          <w:tab w:val="clear" w:pos="1985"/>
          <w:tab w:val="left" w:pos="567"/>
          <w:tab w:val="left" w:pos="1134"/>
          <w:tab w:val="left" w:pos="1701"/>
          <w:tab w:val="left" w:pos="2268"/>
          <w:tab w:val="left" w:pos="2835"/>
        </w:tabs>
      </w:pPr>
      <w:r w:rsidRPr="00896655">
        <w:t>The ISCG has started work on the following new topic:</w:t>
      </w:r>
    </w:p>
    <w:p w14:paraId="58B76358" w14:textId="77777777" w:rsidR="00DE0B7B" w:rsidRDefault="00896655" w:rsidP="00121596">
      <w:pPr>
        <w:pStyle w:val="ListParagraph"/>
        <w:numPr>
          <w:ilvl w:val="0"/>
          <w:numId w:val="26"/>
        </w:numPr>
        <w:tabs>
          <w:tab w:val="left" w:pos="567"/>
          <w:tab w:val="left" w:pos="1134"/>
          <w:tab w:val="left" w:pos="1701"/>
          <w:tab w:val="left" w:pos="2268"/>
          <w:tab w:val="left" w:pos="2835"/>
        </w:tabs>
      </w:pPr>
      <w:r w:rsidRPr="0018382B">
        <w:rPr>
          <w:b/>
          <w:bCs/>
        </w:rPr>
        <w:t>Industry engagement:</w:t>
      </w:r>
      <w:r w:rsidRPr="00896655">
        <w:t xml:space="preserve"> The coordinators appointed for this theme are Ms Inga </w:t>
      </w:r>
      <w:proofErr w:type="spellStart"/>
      <w:r w:rsidRPr="00896655">
        <w:t>Rimkeviciene</w:t>
      </w:r>
      <w:proofErr w:type="spellEnd"/>
      <w:r w:rsidRPr="00896655">
        <w:t xml:space="preserve"> (Lithuania) and Mr Scott Mansfield (Ericsson Canada). A brief update on ITU-T’s industry engagement efforts was presented at the last ISCG meeting, noting ongoing work to build on the success of the 2024 industry engagement workshop.</w:t>
      </w:r>
    </w:p>
    <w:p w14:paraId="0FCE3162" w14:textId="20C30229" w:rsidR="00896655" w:rsidRPr="00896655" w:rsidRDefault="00896655" w:rsidP="00121596">
      <w:pPr>
        <w:pStyle w:val="ListParagraph"/>
        <w:numPr>
          <w:ilvl w:val="0"/>
          <w:numId w:val="26"/>
        </w:numPr>
        <w:tabs>
          <w:tab w:val="left" w:pos="567"/>
          <w:tab w:val="left" w:pos="1134"/>
          <w:tab w:val="left" w:pos="1701"/>
          <w:tab w:val="left" w:pos="2268"/>
          <w:tab w:val="left" w:pos="2835"/>
        </w:tabs>
      </w:pPr>
      <w:r w:rsidRPr="00DE0B7B">
        <w:rPr>
          <w:b/>
          <w:bCs/>
        </w:rPr>
        <w:t>Rapporteur Group on streamlining resolutions:</w:t>
      </w:r>
      <w:r w:rsidRPr="00896655">
        <w:t xml:space="preserve"> This new rapporteur group was approved during the </w:t>
      </w:r>
      <w:r w:rsidR="005402FC">
        <w:t>second</w:t>
      </w:r>
      <w:r w:rsidRPr="00896655">
        <w:t xml:space="preserve"> meeting in 2025. The Rapporteur</w:t>
      </w:r>
      <w:r w:rsidR="006D20EF">
        <w:t>, Mr Vladimir Minkin</w:t>
      </w:r>
      <w:r w:rsidRPr="00896655">
        <w:t xml:space="preserve"> </w:t>
      </w:r>
      <w:r w:rsidR="006D20EF">
        <w:t xml:space="preserve">(Russian Federation), </w:t>
      </w:r>
      <w:r w:rsidRPr="00896655">
        <w:t xml:space="preserve">presented two proposals for streamlining Resolution 154 (Rev. Bucharest, 2022), contained in Document </w:t>
      </w:r>
      <w:hyperlink r:id="rId20" w:history="1">
        <w:r w:rsidRPr="002606A9">
          <w:rPr>
            <w:rStyle w:val="Hyperlink"/>
          </w:rPr>
          <w:t>ISCG/26-1/7</w:t>
        </w:r>
      </w:hyperlink>
      <w:r w:rsidRPr="00896655">
        <w:t xml:space="preserve"> </w:t>
      </w:r>
      <w:hyperlink r:id="rId21" w:history="1">
        <w:r w:rsidRPr="00256F06">
          <w:rPr>
            <w:rStyle w:val="Hyperlink"/>
          </w:rPr>
          <w:t>Addendum 1</w:t>
        </w:r>
      </w:hyperlink>
      <w:r w:rsidRPr="00896655">
        <w:t xml:space="preserve">, and Resolution 191 (Rev. Bucharest, 2022), contained in </w:t>
      </w:r>
      <w:hyperlink r:id="rId22" w:history="1">
        <w:r w:rsidRPr="00295197">
          <w:rPr>
            <w:rStyle w:val="Hyperlink"/>
          </w:rPr>
          <w:t>Addendum 2</w:t>
        </w:r>
      </w:hyperlink>
      <w:r w:rsidRPr="00896655">
        <w:t>. The ISCG considered and supported both proposals.</w:t>
      </w:r>
    </w:p>
    <w:p w14:paraId="74493A57" w14:textId="27C27115" w:rsidR="00896655" w:rsidRDefault="00896655" w:rsidP="00121596">
      <w:pPr>
        <w:tabs>
          <w:tab w:val="clear" w:pos="794"/>
          <w:tab w:val="clear" w:pos="1191"/>
          <w:tab w:val="clear" w:pos="1588"/>
          <w:tab w:val="clear" w:pos="1985"/>
          <w:tab w:val="left" w:pos="567"/>
          <w:tab w:val="left" w:pos="1134"/>
          <w:tab w:val="left" w:pos="1701"/>
          <w:tab w:val="left" w:pos="2268"/>
          <w:tab w:val="left" w:pos="2835"/>
        </w:tabs>
      </w:pPr>
      <w:r w:rsidRPr="00896655">
        <w:t>At its last meeting, held on 28 January 2026, the ISCG agreed on “efficiencies” as a possible new theme, to share best practices that are generating organizational efficiencies.</w:t>
      </w:r>
    </w:p>
    <w:p w14:paraId="774093AA" w14:textId="5FE7E9A8" w:rsidR="004C3694" w:rsidRPr="00896655" w:rsidRDefault="00EE1306" w:rsidP="00121596">
      <w:pPr>
        <w:tabs>
          <w:tab w:val="clear" w:pos="794"/>
          <w:tab w:val="clear" w:pos="1191"/>
          <w:tab w:val="clear" w:pos="1588"/>
          <w:tab w:val="clear" w:pos="1985"/>
          <w:tab w:val="left" w:pos="567"/>
          <w:tab w:val="left" w:pos="1134"/>
          <w:tab w:val="left" w:pos="1701"/>
          <w:tab w:val="left" w:pos="2268"/>
          <w:tab w:val="left" w:pos="2835"/>
        </w:tabs>
      </w:pPr>
      <w:r w:rsidRPr="00EE1306">
        <w:t>During its last meeting, the ISCG took note of RAG’s position on the issues of common interest discussed,</w:t>
      </w:r>
      <w:r w:rsidR="000331D4">
        <w:t xml:space="preserve"> including </w:t>
      </w:r>
      <w:r w:rsidR="004C3694" w:rsidRPr="004C3694">
        <w:t xml:space="preserve">RAG’s support for multilingualism and the development of AI based translation and interpretation tools, while acknowledging the need to further improve their quality; the importance of ensuring harmonization of the new ITU website across all Sectors; and the need for greater clarity on remote participation, particularly in the light of the limitations established under Resolution 167 (Rev. Bucharest, 2022) regarding decision making by delegates participating remotely. The RAG </w:t>
      </w:r>
      <w:r w:rsidR="00D44F39">
        <w:t xml:space="preserve">representative </w:t>
      </w:r>
      <w:r w:rsidR="004C3694" w:rsidRPr="004C3694">
        <w:t xml:space="preserve">also </w:t>
      </w:r>
      <w:r w:rsidR="009C4526">
        <w:t xml:space="preserve">informed RAG </w:t>
      </w:r>
      <w:r w:rsidR="004C3694" w:rsidRPr="004C3694">
        <w:t>maintain its concerns regarding potential overlaps between ITU</w:t>
      </w:r>
      <w:r w:rsidR="009C4526">
        <w:t>-</w:t>
      </w:r>
      <w:r w:rsidR="004C3694" w:rsidRPr="004C3694">
        <w:t>T and ITU</w:t>
      </w:r>
      <w:r w:rsidR="009C4526">
        <w:t>-</w:t>
      </w:r>
      <w:r w:rsidR="004C3694" w:rsidRPr="004C3694">
        <w:t>R, especially on topics such as UAV definitions and satellite related work, emphasizing that coordination should occur directly between the study groups concerned.</w:t>
      </w:r>
    </w:p>
    <w:p w14:paraId="239BA488" w14:textId="7C477DB9" w:rsidR="00CD4658" w:rsidRDefault="00896655" w:rsidP="00121596">
      <w:pPr>
        <w:tabs>
          <w:tab w:val="clear" w:pos="794"/>
          <w:tab w:val="clear" w:pos="1191"/>
          <w:tab w:val="clear" w:pos="1588"/>
          <w:tab w:val="clear" w:pos="1985"/>
          <w:tab w:val="left" w:pos="567"/>
          <w:tab w:val="left" w:pos="1134"/>
          <w:tab w:val="left" w:pos="1701"/>
          <w:tab w:val="left" w:pos="2268"/>
          <w:tab w:val="left" w:pos="2835"/>
        </w:tabs>
      </w:pPr>
      <w:r w:rsidRPr="00896655">
        <w:t xml:space="preserve">Regarding the mapping tables, </w:t>
      </w:r>
      <w:r w:rsidR="00914476">
        <w:t>the Telecommunication Development Advisory Group (TDAG) was requested to</w:t>
      </w:r>
      <w:r w:rsidRPr="00896655">
        <w:t xml:space="preserve"> reflect the outcomes of the World Telecommunication Development Conference (WTDC-25)</w:t>
      </w:r>
      <w:r w:rsidR="00914476">
        <w:t xml:space="preserve">; and the ISCG Secretariat </w:t>
      </w:r>
      <w:r w:rsidRPr="00896655">
        <w:t>to include a request presented to the Expert Group on ITRs to incorporate resolutions from the International Telecommunication Regulations (ITRs) into the Mapping of Resolutions.</w:t>
      </w:r>
    </w:p>
    <w:p w14:paraId="1C36378F" w14:textId="77777777" w:rsidR="00F87070" w:rsidRPr="00F87070" w:rsidRDefault="00F87070" w:rsidP="00F87070">
      <w:pPr>
        <w:tabs>
          <w:tab w:val="clear" w:pos="794"/>
          <w:tab w:val="clear" w:pos="1191"/>
          <w:tab w:val="clear" w:pos="1588"/>
          <w:tab w:val="clear" w:pos="1985"/>
          <w:tab w:val="left" w:pos="567"/>
          <w:tab w:val="left" w:pos="1134"/>
          <w:tab w:val="left" w:pos="1701"/>
          <w:tab w:val="left" w:pos="2268"/>
          <w:tab w:val="left" w:pos="2835"/>
        </w:tabs>
        <w:jc w:val="both"/>
        <w:rPr>
          <w:b/>
          <w:bCs/>
        </w:rPr>
      </w:pPr>
      <w:r w:rsidRPr="00F87070">
        <w:rPr>
          <w:b/>
          <w:bCs/>
        </w:rPr>
        <w:t xml:space="preserve">Conclusion </w:t>
      </w:r>
    </w:p>
    <w:p w14:paraId="66FE33A7" w14:textId="77777777" w:rsidR="00F87070" w:rsidRDefault="00F87070" w:rsidP="00121596">
      <w:pPr>
        <w:tabs>
          <w:tab w:val="clear" w:pos="794"/>
          <w:tab w:val="clear" w:pos="1191"/>
          <w:tab w:val="clear" w:pos="1588"/>
          <w:tab w:val="clear" w:pos="1985"/>
          <w:tab w:val="left" w:pos="567"/>
          <w:tab w:val="left" w:pos="1134"/>
          <w:tab w:val="left" w:pos="1701"/>
          <w:tab w:val="left" w:pos="2268"/>
          <w:tab w:val="left" w:pos="2835"/>
        </w:tabs>
      </w:pPr>
      <w:r>
        <w:t>RAG is invited to discuss this document and present comments and proposals to the ISCG on the themes presented, as well as any other potential joint activities or mechanisms to strengthen cooperation.</w:t>
      </w:r>
    </w:p>
    <w:p w14:paraId="41106B2E" w14:textId="6D87EAA4" w:rsidR="00F87070" w:rsidRDefault="00F87070" w:rsidP="00121596">
      <w:pPr>
        <w:tabs>
          <w:tab w:val="clear" w:pos="794"/>
          <w:tab w:val="clear" w:pos="1191"/>
          <w:tab w:val="clear" w:pos="1588"/>
          <w:tab w:val="clear" w:pos="1985"/>
          <w:tab w:val="left" w:pos="567"/>
          <w:tab w:val="left" w:pos="1134"/>
          <w:tab w:val="left" w:pos="1701"/>
          <w:tab w:val="left" w:pos="2268"/>
          <w:tab w:val="left" w:pos="2835"/>
        </w:tabs>
      </w:pPr>
      <w:r>
        <w:t xml:space="preserve">The next ISCG meeting is proposed to take place during TDAG, on 10 April 2026. Information to be shared through the </w:t>
      </w:r>
      <w:hyperlink r:id="rId23" w:history="1">
        <w:r w:rsidRPr="00F87070">
          <w:rPr>
            <w:rStyle w:val="Hyperlink"/>
          </w:rPr>
          <w:t>ISCG website</w:t>
        </w:r>
      </w:hyperlink>
      <w:r>
        <w:t>.</w:t>
      </w:r>
    </w:p>
    <w:p w14:paraId="6F5A4951" w14:textId="2DEC9190" w:rsidR="00F87070" w:rsidRPr="00896655" w:rsidRDefault="00F87070" w:rsidP="00121596">
      <w:pPr>
        <w:tabs>
          <w:tab w:val="clear" w:pos="794"/>
          <w:tab w:val="clear" w:pos="1191"/>
          <w:tab w:val="clear" w:pos="1588"/>
          <w:tab w:val="clear" w:pos="1985"/>
          <w:tab w:val="left" w:pos="567"/>
          <w:tab w:val="left" w:pos="1134"/>
          <w:tab w:val="left" w:pos="1701"/>
          <w:tab w:val="left" w:pos="2268"/>
          <w:tab w:val="left" w:pos="2835"/>
        </w:tabs>
      </w:pPr>
      <w:r>
        <w:t>The ISCG Chair would like to thank RAG members for the opportunity to present this report and invites them to contribute to ISCG activities.</w:t>
      </w:r>
    </w:p>
    <w:p w14:paraId="2503AC41" w14:textId="77777777" w:rsidR="00CD4658" w:rsidRPr="00896655" w:rsidRDefault="00CD4658" w:rsidP="00CD4658">
      <w:pPr>
        <w:tabs>
          <w:tab w:val="clear" w:pos="794"/>
          <w:tab w:val="clear" w:pos="1191"/>
          <w:tab w:val="clear" w:pos="1588"/>
          <w:tab w:val="clear" w:pos="1985"/>
          <w:tab w:val="left" w:pos="567"/>
          <w:tab w:val="left" w:pos="1134"/>
          <w:tab w:val="left" w:pos="1701"/>
          <w:tab w:val="left" w:pos="2268"/>
          <w:tab w:val="left" w:pos="2835"/>
        </w:tabs>
        <w:jc w:val="center"/>
      </w:pPr>
      <w:r w:rsidRPr="00896655">
        <w:t>______________</w:t>
      </w:r>
    </w:p>
    <w:p w14:paraId="0A650770" w14:textId="77777777" w:rsidR="00381A43" w:rsidRDefault="00381A43" w:rsidP="00381A43"/>
    <w:sectPr w:rsidR="00381A43" w:rsidSect="001D7B5E">
      <w:headerReference w:type="default" r:id="rId24"/>
      <w:pgSz w:w="11907" w:h="16840" w:code="9"/>
      <w:pgMar w:top="1089" w:right="1089" w:bottom="1089" w:left="1089" w:header="482" w:footer="48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36C2" w14:textId="77777777" w:rsidR="00607281" w:rsidRDefault="00607281">
      <w:r>
        <w:separator/>
      </w:r>
    </w:p>
  </w:endnote>
  <w:endnote w:type="continuationSeparator" w:id="0">
    <w:p w14:paraId="79B0C013" w14:textId="77777777" w:rsidR="00607281" w:rsidRDefault="0060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E903" w14:textId="77777777" w:rsidR="00607281" w:rsidRDefault="00607281">
      <w:r>
        <w:t>____________________</w:t>
      </w:r>
    </w:p>
  </w:footnote>
  <w:footnote w:type="continuationSeparator" w:id="0">
    <w:p w14:paraId="266FA69F" w14:textId="77777777" w:rsidR="00607281" w:rsidRDefault="00607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DAF" w14:textId="404B7409" w:rsidR="00B202BE" w:rsidRDefault="00613030" w:rsidP="00B202BE">
    <w:pPr>
      <w:pStyle w:val="Header"/>
    </w:pPr>
    <w:r>
      <w:rPr>
        <w:rFonts w:hint="eastAsia"/>
        <w:lang w:eastAsia="zh-CN"/>
      </w:rPr>
      <w:t xml:space="preserve">- </w:t>
    </w:r>
    <w:sdt>
      <w:sdtPr>
        <w:id w:val="1491592120"/>
        <w:docPartObj>
          <w:docPartGallery w:val="Page Numbers (Top of Page)"/>
          <w:docPartUnique/>
        </w:docPartObj>
      </w:sdtPr>
      <w:sdtEndPr>
        <w:rPr>
          <w:noProof/>
        </w:rPr>
      </w:sdtEndPr>
      <w:sdtContent>
        <w:r w:rsidR="00B202BE">
          <w:fldChar w:fldCharType="begin"/>
        </w:r>
        <w:r w:rsidR="00B202BE">
          <w:instrText xml:space="preserve"> PAGE   \* MERGEFORMAT </w:instrText>
        </w:r>
        <w:r w:rsidR="00B202BE">
          <w:fldChar w:fldCharType="separate"/>
        </w:r>
        <w:r w:rsidR="00B202BE">
          <w:rPr>
            <w:noProof/>
          </w:rPr>
          <w:t>2</w:t>
        </w:r>
        <w:r w:rsidR="00B202BE">
          <w:rPr>
            <w:noProof/>
          </w:rPr>
          <w:fldChar w:fldCharType="end"/>
        </w:r>
        <w:r>
          <w:rPr>
            <w:rFonts w:hint="eastAsia"/>
            <w:noProof/>
            <w:lang w:eastAsia="zh-CN"/>
          </w:rPr>
          <w:t xml:space="preserve"> -</w:t>
        </w:r>
      </w:sdtContent>
    </w:sdt>
  </w:p>
  <w:p w14:paraId="543723EB" w14:textId="516AE853" w:rsidR="001D7B5E" w:rsidRDefault="00B202BE">
    <w:pPr>
      <w:pStyle w:val="Header"/>
    </w:pPr>
    <w:r>
      <w:rPr>
        <w:lang w:val="es-ES"/>
      </w:rPr>
      <w:t>RAG/</w:t>
    </w:r>
    <w:r w:rsidR="00121596">
      <w:rPr>
        <w:lang w:val="es-ES"/>
      </w:rPr>
      <w:t>67</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C657C"/>
    <w:multiLevelType w:val="hybridMultilevel"/>
    <w:tmpl w:val="C2D4B096"/>
    <w:lvl w:ilvl="0" w:tplc="D0841584">
      <w:start w:val="2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BD5010"/>
    <w:multiLevelType w:val="hybridMultilevel"/>
    <w:tmpl w:val="FFFFFFFF"/>
    <w:lvl w:ilvl="0" w:tplc="69AEA2EE">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7BB251B"/>
    <w:multiLevelType w:val="hybridMultilevel"/>
    <w:tmpl w:val="F094E8E2"/>
    <w:lvl w:ilvl="0" w:tplc="2C0C000F">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3" w15:restartNumberingAfterBreak="0">
    <w:nsid w:val="1B7F7C25"/>
    <w:multiLevelType w:val="hybridMultilevel"/>
    <w:tmpl w:val="FFFFFFFF"/>
    <w:lvl w:ilvl="0" w:tplc="F74CC03A">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24C1377E"/>
    <w:multiLevelType w:val="multilevel"/>
    <w:tmpl w:val="5B1E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366839"/>
    <w:multiLevelType w:val="hybridMultilevel"/>
    <w:tmpl w:val="26CA97EC"/>
    <w:lvl w:ilvl="0" w:tplc="180A77C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D34E92"/>
    <w:multiLevelType w:val="multilevel"/>
    <w:tmpl w:val="02606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976B8D"/>
    <w:multiLevelType w:val="hybridMultilevel"/>
    <w:tmpl w:val="F6B63262"/>
    <w:lvl w:ilvl="0" w:tplc="D61471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77A6592"/>
    <w:multiLevelType w:val="multilevel"/>
    <w:tmpl w:val="BE600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067691"/>
    <w:multiLevelType w:val="multilevel"/>
    <w:tmpl w:val="D38C2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3F083E"/>
    <w:multiLevelType w:val="hybridMultilevel"/>
    <w:tmpl w:val="FFFFFFFF"/>
    <w:lvl w:ilvl="0" w:tplc="FEA6F4C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653865F7"/>
    <w:multiLevelType w:val="hybridMultilevel"/>
    <w:tmpl w:val="B7F60724"/>
    <w:lvl w:ilvl="0" w:tplc="2D28C90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7D115E"/>
    <w:multiLevelType w:val="hybridMultilevel"/>
    <w:tmpl w:val="F7F8842C"/>
    <w:lvl w:ilvl="0" w:tplc="180A77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25"/>
  </w:num>
  <w:num w:numId="12" w16cid:durableId="1267880576">
    <w:abstractNumId w:val="18"/>
  </w:num>
  <w:num w:numId="13" w16cid:durableId="786697793">
    <w:abstractNumId w:val="19"/>
  </w:num>
  <w:num w:numId="14" w16cid:durableId="876937294">
    <w:abstractNumId w:val="22"/>
  </w:num>
  <w:num w:numId="15" w16cid:durableId="1474785962">
    <w:abstractNumId w:val="11"/>
  </w:num>
  <w:num w:numId="16" w16cid:durableId="795875257">
    <w:abstractNumId w:val="13"/>
  </w:num>
  <w:num w:numId="17" w16cid:durableId="1233419907">
    <w:abstractNumId w:val="23"/>
  </w:num>
  <w:num w:numId="18" w16cid:durableId="322634125">
    <w:abstractNumId w:val="20"/>
  </w:num>
  <w:num w:numId="19" w16cid:durableId="1851917942">
    <w:abstractNumId w:val="14"/>
  </w:num>
  <w:num w:numId="20" w16cid:durableId="1637222026">
    <w:abstractNumId w:val="16"/>
  </w:num>
  <w:num w:numId="21" w16cid:durableId="2014524449">
    <w:abstractNumId w:val="21"/>
  </w:num>
  <w:num w:numId="22" w16cid:durableId="393741077">
    <w:abstractNumId w:val="17"/>
  </w:num>
  <w:num w:numId="23" w16cid:durableId="1272974193">
    <w:abstractNumId w:val="12"/>
  </w:num>
  <w:num w:numId="24" w16cid:durableId="1365667908">
    <w:abstractNumId w:val="15"/>
  </w:num>
  <w:num w:numId="25" w16cid:durableId="292714233">
    <w:abstractNumId w:val="24"/>
  </w:num>
  <w:num w:numId="26" w16cid:durableId="7724765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15E11"/>
    <w:rsid w:val="00021AF4"/>
    <w:rsid w:val="000331D4"/>
    <w:rsid w:val="00043F0F"/>
    <w:rsid w:val="00046AE0"/>
    <w:rsid w:val="00052C46"/>
    <w:rsid w:val="00061FEA"/>
    <w:rsid w:val="00067727"/>
    <w:rsid w:val="000717E0"/>
    <w:rsid w:val="000802AF"/>
    <w:rsid w:val="00093C73"/>
    <w:rsid w:val="000A1105"/>
    <w:rsid w:val="000B2BBF"/>
    <w:rsid w:val="000B6416"/>
    <w:rsid w:val="000D0E73"/>
    <w:rsid w:val="000F2431"/>
    <w:rsid w:val="000F5E92"/>
    <w:rsid w:val="000F5EE3"/>
    <w:rsid w:val="00106049"/>
    <w:rsid w:val="00112BAC"/>
    <w:rsid w:val="00121596"/>
    <w:rsid w:val="00126A8A"/>
    <w:rsid w:val="00130859"/>
    <w:rsid w:val="00136D06"/>
    <w:rsid w:val="001373CE"/>
    <w:rsid w:val="001377D6"/>
    <w:rsid w:val="001442DA"/>
    <w:rsid w:val="00160E41"/>
    <w:rsid w:val="00162AE6"/>
    <w:rsid w:val="001632FD"/>
    <w:rsid w:val="0017240A"/>
    <w:rsid w:val="0018382B"/>
    <w:rsid w:val="001A0041"/>
    <w:rsid w:val="001B4187"/>
    <w:rsid w:val="001D7B5E"/>
    <w:rsid w:val="001E2444"/>
    <w:rsid w:val="001E41A0"/>
    <w:rsid w:val="001F50AE"/>
    <w:rsid w:val="00237E22"/>
    <w:rsid w:val="00247BF3"/>
    <w:rsid w:val="00256F06"/>
    <w:rsid w:val="002606A9"/>
    <w:rsid w:val="002774E4"/>
    <w:rsid w:val="00283F0E"/>
    <w:rsid w:val="00295197"/>
    <w:rsid w:val="002A4293"/>
    <w:rsid w:val="002A7418"/>
    <w:rsid w:val="002B39C3"/>
    <w:rsid w:val="002C3E57"/>
    <w:rsid w:val="002C701A"/>
    <w:rsid w:val="002D45E7"/>
    <w:rsid w:val="002D75C6"/>
    <w:rsid w:val="002E7C63"/>
    <w:rsid w:val="002F4DA3"/>
    <w:rsid w:val="00322A4C"/>
    <w:rsid w:val="00323DD6"/>
    <w:rsid w:val="00355F8E"/>
    <w:rsid w:val="00356C28"/>
    <w:rsid w:val="00364469"/>
    <w:rsid w:val="0036785F"/>
    <w:rsid w:val="00381A43"/>
    <w:rsid w:val="0039021B"/>
    <w:rsid w:val="003A7259"/>
    <w:rsid w:val="003C210D"/>
    <w:rsid w:val="003D068D"/>
    <w:rsid w:val="003D1F53"/>
    <w:rsid w:val="003E2CE2"/>
    <w:rsid w:val="003F3688"/>
    <w:rsid w:val="003F6958"/>
    <w:rsid w:val="003F7691"/>
    <w:rsid w:val="00420F57"/>
    <w:rsid w:val="004268F5"/>
    <w:rsid w:val="00432EB0"/>
    <w:rsid w:val="00443EE4"/>
    <w:rsid w:val="00474781"/>
    <w:rsid w:val="00475E44"/>
    <w:rsid w:val="00481551"/>
    <w:rsid w:val="00492985"/>
    <w:rsid w:val="004A003C"/>
    <w:rsid w:val="004A1960"/>
    <w:rsid w:val="004A2094"/>
    <w:rsid w:val="004A2EC3"/>
    <w:rsid w:val="004B07E8"/>
    <w:rsid w:val="004B6F40"/>
    <w:rsid w:val="004B7477"/>
    <w:rsid w:val="004C13CE"/>
    <w:rsid w:val="004C1C73"/>
    <w:rsid w:val="004C3694"/>
    <w:rsid w:val="004D61DB"/>
    <w:rsid w:val="004D76E4"/>
    <w:rsid w:val="004F0848"/>
    <w:rsid w:val="00507DA3"/>
    <w:rsid w:val="0051782D"/>
    <w:rsid w:val="0052049B"/>
    <w:rsid w:val="0053749A"/>
    <w:rsid w:val="005402FC"/>
    <w:rsid w:val="005452BA"/>
    <w:rsid w:val="00583D9D"/>
    <w:rsid w:val="00591D83"/>
    <w:rsid w:val="00597657"/>
    <w:rsid w:val="005A5619"/>
    <w:rsid w:val="005B2C58"/>
    <w:rsid w:val="005B66BD"/>
    <w:rsid w:val="005C7377"/>
    <w:rsid w:val="005D15B8"/>
    <w:rsid w:val="005E07E0"/>
    <w:rsid w:val="005E1F03"/>
    <w:rsid w:val="00603A02"/>
    <w:rsid w:val="00607281"/>
    <w:rsid w:val="00612723"/>
    <w:rsid w:val="00613030"/>
    <w:rsid w:val="006137E6"/>
    <w:rsid w:val="00617ED0"/>
    <w:rsid w:val="0064224F"/>
    <w:rsid w:val="00656189"/>
    <w:rsid w:val="006641DF"/>
    <w:rsid w:val="00674A12"/>
    <w:rsid w:val="0067756F"/>
    <w:rsid w:val="00686C57"/>
    <w:rsid w:val="006949BD"/>
    <w:rsid w:val="006B4CFB"/>
    <w:rsid w:val="006B5DF7"/>
    <w:rsid w:val="006C73AE"/>
    <w:rsid w:val="006D20EF"/>
    <w:rsid w:val="006E22DE"/>
    <w:rsid w:val="006E6D37"/>
    <w:rsid w:val="006F5D49"/>
    <w:rsid w:val="006F741F"/>
    <w:rsid w:val="0072412F"/>
    <w:rsid w:val="00746923"/>
    <w:rsid w:val="007513D1"/>
    <w:rsid w:val="00753179"/>
    <w:rsid w:val="007550F3"/>
    <w:rsid w:val="007556C7"/>
    <w:rsid w:val="00757D00"/>
    <w:rsid w:val="00762732"/>
    <w:rsid w:val="007653AF"/>
    <w:rsid w:val="0077339F"/>
    <w:rsid w:val="00786385"/>
    <w:rsid w:val="007934C9"/>
    <w:rsid w:val="007A3406"/>
    <w:rsid w:val="007B1D2C"/>
    <w:rsid w:val="007C33D0"/>
    <w:rsid w:val="007C3E09"/>
    <w:rsid w:val="007D348A"/>
    <w:rsid w:val="007F55BA"/>
    <w:rsid w:val="007F64A8"/>
    <w:rsid w:val="00803130"/>
    <w:rsid w:val="00806E63"/>
    <w:rsid w:val="0081028D"/>
    <w:rsid w:val="00815753"/>
    <w:rsid w:val="00831680"/>
    <w:rsid w:val="008326EC"/>
    <w:rsid w:val="00844465"/>
    <w:rsid w:val="00855A6E"/>
    <w:rsid w:val="00875971"/>
    <w:rsid w:val="008771B7"/>
    <w:rsid w:val="00882705"/>
    <w:rsid w:val="0089535A"/>
    <w:rsid w:val="00896655"/>
    <w:rsid w:val="008A004A"/>
    <w:rsid w:val="008A11BF"/>
    <w:rsid w:val="008A1A93"/>
    <w:rsid w:val="008A3BC4"/>
    <w:rsid w:val="008B3F50"/>
    <w:rsid w:val="008B44A1"/>
    <w:rsid w:val="008B73A6"/>
    <w:rsid w:val="008D1BF5"/>
    <w:rsid w:val="0090330B"/>
    <w:rsid w:val="00903F9B"/>
    <w:rsid w:val="00906598"/>
    <w:rsid w:val="00914476"/>
    <w:rsid w:val="00926E84"/>
    <w:rsid w:val="00940F8A"/>
    <w:rsid w:val="00951421"/>
    <w:rsid w:val="00952E61"/>
    <w:rsid w:val="0095426A"/>
    <w:rsid w:val="00955595"/>
    <w:rsid w:val="0096427A"/>
    <w:rsid w:val="00971BF2"/>
    <w:rsid w:val="00977B6A"/>
    <w:rsid w:val="0099676A"/>
    <w:rsid w:val="009B53BE"/>
    <w:rsid w:val="009C4526"/>
    <w:rsid w:val="009D27EC"/>
    <w:rsid w:val="009E44A8"/>
    <w:rsid w:val="00A0498C"/>
    <w:rsid w:val="00A16CB2"/>
    <w:rsid w:val="00A27AE5"/>
    <w:rsid w:val="00A33B66"/>
    <w:rsid w:val="00A342DB"/>
    <w:rsid w:val="00A3484A"/>
    <w:rsid w:val="00A36D5E"/>
    <w:rsid w:val="00A51065"/>
    <w:rsid w:val="00A5256B"/>
    <w:rsid w:val="00A56A39"/>
    <w:rsid w:val="00A57D5A"/>
    <w:rsid w:val="00A73F02"/>
    <w:rsid w:val="00A96264"/>
    <w:rsid w:val="00AB2F36"/>
    <w:rsid w:val="00AC6EAF"/>
    <w:rsid w:val="00AD1711"/>
    <w:rsid w:val="00AF7CE7"/>
    <w:rsid w:val="00B202BE"/>
    <w:rsid w:val="00B23631"/>
    <w:rsid w:val="00B33926"/>
    <w:rsid w:val="00B35BE4"/>
    <w:rsid w:val="00B409FB"/>
    <w:rsid w:val="00B41B59"/>
    <w:rsid w:val="00B52992"/>
    <w:rsid w:val="00B536C3"/>
    <w:rsid w:val="00B62F45"/>
    <w:rsid w:val="00B636E2"/>
    <w:rsid w:val="00B65088"/>
    <w:rsid w:val="00B70E14"/>
    <w:rsid w:val="00B76A4A"/>
    <w:rsid w:val="00B8132D"/>
    <w:rsid w:val="00B87BD7"/>
    <w:rsid w:val="00BB7410"/>
    <w:rsid w:val="00BD4119"/>
    <w:rsid w:val="00BF12A7"/>
    <w:rsid w:val="00BF35B0"/>
    <w:rsid w:val="00C07B76"/>
    <w:rsid w:val="00C126C1"/>
    <w:rsid w:val="00C127B9"/>
    <w:rsid w:val="00C20FCC"/>
    <w:rsid w:val="00C2188B"/>
    <w:rsid w:val="00C322C4"/>
    <w:rsid w:val="00C3437D"/>
    <w:rsid w:val="00C34FB5"/>
    <w:rsid w:val="00C3645A"/>
    <w:rsid w:val="00C405DB"/>
    <w:rsid w:val="00C47FF4"/>
    <w:rsid w:val="00C50DA1"/>
    <w:rsid w:val="00C54C1E"/>
    <w:rsid w:val="00C5512E"/>
    <w:rsid w:val="00C61CB6"/>
    <w:rsid w:val="00C96969"/>
    <w:rsid w:val="00CA638F"/>
    <w:rsid w:val="00CB3BBE"/>
    <w:rsid w:val="00CB6F60"/>
    <w:rsid w:val="00CC1D49"/>
    <w:rsid w:val="00CD4658"/>
    <w:rsid w:val="00CD4D80"/>
    <w:rsid w:val="00CE366B"/>
    <w:rsid w:val="00CF5F42"/>
    <w:rsid w:val="00CF7532"/>
    <w:rsid w:val="00D02896"/>
    <w:rsid w:val="00D03E43"/>
    <w:rsid w:val="00D10BFB"/>
    <w:rsid w:val="00D20461"/>
    <w:rsid w:val="00D211BC"/>
    <w:rsid w:val="00D221BF"/>
    <w:rsid w:val="00D253FC"/>
    <w:rsid w:val="00D362DC"/>
    <w:rsid w:val="00D44F39"/>
    <w:rsid w:val="00D47177"/>
    <w:rsid w:val="00D512A8"/>
    <w:rsid w:val="00D5739C"/>
    <w:rsid w:val="00D664A9"/>
    <w:rsid w:val="00D764D7"/>
    <w:rsid w:val="00D914A8"/>
    <w:rsid w:val="00D93087"/>
    <w:rsid w:val="00D95F54"/>
    <w:rsid w:val="00DA029A"/>
    <w:rsid w:val="00DA1182"/>
    <w:rsid w:val="00DA6C42"/>
    <w:rsid w:val="00DC3B29"/>
    <w:rsid w:val="00DC50F3"/>
    <w:rsid w:val="00DD3BF8"/>
    <w:rsid w:val="00DE0B7B"/>
    <w:rsid w:val="00DE1F83"/>
    <w:rsid w:val="00DE540D"/>
    <w:rsid w:val="00DF2391"/>
    <w:rsid w:val="00E13304"/>
    <w:rsid w:val="00E27CE1"/>
    <w:rsid w:val="00E420B0"/>
    <w:rsid w:val="00E45480"/>
    <w:rsid w:val="00E73893"/>
    <w:rsid w:val="00E836F8"/>
    <w:rsid w:val="00E90E2C"/>
    <w:rsid w:val="00E940EC"/>
    <w:rsid w:val="00EC0BE3"/>
    <w:rsid w:val="00EE1306"/>
    <w:rsid w:val="00EE4EB2"/>
    <w:rsid w:val="00EE538D"/>
    <w:rsid w:val="00F12B1B"/>
    <w:rsid w:val="00F176DA"/>
    <w:rsid w:val="00F32290"/>
    <w:rsid w:val="00F40439"/>
    <w:rsid w:val="00F54293"/>
    <w:rsid w:val="00F54AB4"/>
    <w:rsid w:val="00F63561"/>
    <w:rsid w:val="00F66B51"/>
    <w:rsid w:val="00F749FF"/>
    <w:rsid w:val="00F87070"/>
    <w:rsid w:val="00F94553"/>
    <w:rsid w:val="00F969A5"/>
    <w:rsid w:val="00F97931"/>
    <w:rsid w:val="00FA429B"/>
    <w:rsid w:val="00FB0A45"/>
    <w:rsid w:val="00FB1F70"/>
    <w:rsid w:val="00FC1E29"/>
    <w:rsid w:val="00FD4E76"/>
    <w:rsid w:val="00FE56BC"/>
    <w:rsid w:val="00FF1290"/>
    <w:rsid w:val="7F7D26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AnnexNo">
    <w:name w:val="Annex_No"/>
    <w:basedOn w:val="Normal"/>
    <w:next w:val="Normal"/>
    <w:rsid w:val="00381A43"/>
    <w:pPr>
      <w:keepNext/>
      <w:keepLines/>
      <w:tabs>
        <w:tab w:val="clear" w:pos="794"/>
        <w:tab w:val="clear" w:pos="1191"/>
        <w:tab w:val="clear" w:pos="1588"/>
        <w:tab w:val="clear" w:pos="1985"/>
        <w:tab w:val="left" w:pos="1134"/>
        <w:tab w:val="left" w:pos="1871"/>
        <w:tab w:val="left" w:pos="2268"/>
      </w:tabs>
      <w:spacing w:before="480" w:after="80"/>
      <w:jc w:val="center"/>
    </w:pPr>
    <w:rPr>
      <w:rFonts w:eastAsia="Times New Roman"/>
      <w:caps/>
      <w:sz w:val="28"/>
    </w:rPr>
  </w:style>
  <w:style w:type="paragraph" w:customStyle="1" w:styleId="Annextitle">
    <w:name w:val="Annex_title"/>
    <w:basedOn w:val="Normal"/>
    <w:next w:val="Normal"/>
    <w:rsid w:val="00381A43"/>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imes New Roman" w:hAnsi="Times New Roman Bold"/>
      <w:b/>
      <w:sz w:val="28"/>
    </w:rPr>
  </w:style>
  <w:style w:type="table" w:styleId="GridTable4">
    <w:name w:val="Grid Table 4"/>
    <w:basedOn w:val="TableNormal"/>
    <w:uiPriority w:val="49"/>
    <w:rsid w:val="00CD4658"/>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rsid w:val="007556C7"/>
    <w:rPr>
      <w:rFonts w:ascii="Times New Roman" w:hAnsi="Times New Roman"/>
      <w:b/>
      <w:sz w:val="24"/>
      <w:lang w:val="en-GB" w:eastAsia="en-US"/>
    </w:rPr>
  </w:style>
  <w:style w:type="character" w:styleId="CommentReference">
    <w:name w:val="annotation reference"/>
    <w:basedOn w:val="DefaultParagraphFont"/>
    <w:semiHidden/>
    <w:unhideWhenUsed/>
    <w:rsid w:val="007556C7"/>
    <w:rPr>
      <w:sz w:val="16"/>
      <w:szCs w:val="16"/>
    </w:rPr>
  </w:style>
  <w:style w:type="paragraph" w:styleId="CommentText">
    <w:name w:val="annotation text"/>
    <w:basedOn w:val="Normal"/>
    <w:link w:val="CommentTextChar"/>
    <w:unhideWhenUsed/>
    <w:rsid w:val="007556C7"/>
    <w:rPr>
      <w:sz w:val="20"/>
    </w:rPr>
  </w:style>
  <w:style w:type="character" w:customStyle="1" w:styleId="CommentTextChar">
    <w:name w:val="Comment Text Char"/>
    <w:basedOn w:val="DefaultParagraphFont"/>
    <w:link w:val="CommentText"/>
    <w:rsid w:val="007556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action/environment-and-climate-change/Pages/default.aspx" TargetMode="External"/><Relationship Id="rId18" Type="http://schemas.openxmlformats.org/officeDocument/2006/relationships/hyperlink" Target="https://www.itu.int/en/council/Documents/basic-texts-2023/RES-167-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tu.int/md/S26-ISCG12026-C-0007/en" TargetMode="External"/><Relationship Id="rId7" Type="http://schemas.openxmlformats.org/officeDocument/2006/relationships/settings" Target="settings.xml"/><Relationship Id="rId12" Type="http://schemas.openxmlformats.org/officeDocument/2006/relationships/hyperlink" Target="https://www.itu.int/en/general-secretariat/Pages/ISCG/default.aspx" TargetMode="External"/><Relationship Id="rId17" Type="http://schemas.openxmlformats.org/officeDocument/2006/relationships/hyperlink" Target="https://itu.int/en/general-secretariat/ICT-Services/remoteparticip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u.int/md/meetingdoc.asp?lang=en&amp;parent=T25-TSAG-260126-TD-GEN-0333" TargetMode="External"/><Relationship Id="rId20" Type="http://schemas.openxmlformats.org/officeDocument/2006/relationships/hyperlink" Target="https://www.itu.int/md/S26-ISCG12026-C-0007/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tu.int/md/S26-ISCG12026-C-0004/en" TargetMode="External"/><Relationship Id="rId23" Type="http://schemas.openxmlformats.org/officeDocument/2006/relationships/hyperlink" Target="https://www.itu.int/en/general-secretariat/Pages/ISCG/default.aspx" TargetMode="External"/><Relationship Id="rId10" Type="http://schemas.openxmlformats.org/officeDocument/2006/relationships/endnotes" Target="endnotes.xml"/><Relationship Id="rId19" Type="http://schemas.openxmlformats.org/officeDocument/2006/relationships/hyperlink" Target="https://www.itu.int/md/S26-ISCG12026-C-0008/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6-CWGFHR22-C-0017/en" TargetMode="External"/><Relationship Id="rId22" Type="http://schemas.openxmlformats.org/officeDocument/2006/relationships/hyperlink" Target="https://www.itu.int/md/S26-ISCG12026-C-0007/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Props1.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2.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customXml/itemProps3.xml><?xml version="1.0" encoding="utf-8"?>
<ds:datastoreItem xmlns:ds="http://schemas.openxmlformats.org/officeDocument/2006/customXml" ds:itemID="{E62E4F64-F7E6-48F2-9817-521E78BFE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docProps/app.xml><?xml version="1.0" encoding="utf-8"?>
<Properties xmlns="http://schemas.openxmlformats.org/officeDocument/2006/extended-properties" xmlns:vt="http://schemas.openxmlformats.org/officeDocument/2006/docPropsVTypes">
  <Template>English.dotm</Template>
  <TotalTime>7</TotalTime>
  <Pages>2</Pages>
  <Words>867</Words>
  <Characters>5804</Characters>
  <Application>Microsoft Office Word</Application>
  <DocSecurity>0</DocSecurity>
  <Lines>48</Lines>
  <Paragraphs>13</Paragraphs>
  <ScaleCrop>false</ScaleCrop>
  <Manager>General Secretariat - Pool</Manager>
  <Company>International Telecommunication Union (ITU)</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RAG21</dc:description>
  <cp:lastModifiedBy>Bonnici, Adrienne</cp:lastModifiedBy>
  <cp:revision>3</cp:revision>
  <cp:lastPrinted>1999-09-30T15:03:00Z</cp:lastPrinted>
  <dcterms:created xsi:type="dcterms:W3CDTF">2026-02-27T10:49:00Z</dcterms:created>
  <dcterms:modified xsi:type="dcterms:W3CDTF">2026-02-27T10:51:00Z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GrammarlyDocumentId">
    <vt:lpwstr>8a31c0163ce0c74e353d9bfea60f356b0c845296a4fa3fadd09e82a5687a6683</vt:lpwstr>
  </property>
  <property fmtid="{D5CDD505-2E9C-101B-9397-08002B2CF9AE}" pid="8" name="MediaServiceImageTags">
    <vt:lpwstr/>
  </property>
  <property fmtid="{D5CDD505-2E9C-101B-9397-08002B2CF9AE}" pid="9" name="docLang">
    <vt:lpwstr>en</vt:lpwstr>
  </property>
</Properties>
</file>