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AE21E8C" w14:textId="77777777" w:rsidTr="00553F66">
        <w:trPr>
          <w:cantSplit/>
          <w:trHeight w:val="20"/>
        </w:trPr>
        <w:tc>
          <w:tcPr>
            <w:tcW w:w="6619" w:type="dxa"/>
          </w:tcPr>
          <w:p w14:paraId="4EC8F835"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0EE6E4BF"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2E77B2D9" wp14:editId="41150D77">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7104DF68" w14:textId="77777777" w:rsidTr="00553F66">
        <w:trPr>
          <w:cantSplit/>
          <w:trHeight w:val="20"/>
        </w:trPr>
        <w:tc>
          <w:tcPr>
            <w:tcW w:w="6619" w:type="dxa"/>
            <w:tcBorders>
              <w:bottom w:val="single" w:sz="12" w:space="0" w:color="auto"/>
            </w:tcBorders>
          </w:tcPr>
          <w:p w14:paraId="5FBAAC50"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17714F88" w14:textId="77777777" w:rsidR="00280E04" w:rsidRPr="00A9645C" w:rsidRDefault="00280E04" w:rsidP="002F3031">
            <w:pPr>
              <w:spacing w:before="0" w:line="120" w:lineRule="auto"/>
              <w:rPr>
                <w:lang w:bidi="ar-EG"/>
              </w:rPr>
            </w:pPr>
          </w:p>
        </w:tc>
      </w:tr>
      <w:tr w:rsidR="00280E04" w14:paraId="2A4E12AF" w14:textId="77777777" w:rsidTr="00553F66">
        <w:trPr>
          <w:cantSplit/>
          <w:trHeight w:val="20"/>
        </w:trPr>
        <w:tc>
          <w:tcPr>
            <w:tcW w:w="6619" w:type="dxa"/>
            <w:tcBorders>
              <w:top w:val="single" w:sz="12" w:space="0" w:color="auto"/>
            </w:tcBorders>
          </w:tcPr>
          <w:p w14:paraId="62FB922A"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682338FC" w14:textId="77777777" w:rsidR="00280E04" w:rsidRPr="00BD6EF3" w:rsidRDefault="00280E04" w:rsidP="00D44350">
            <w:pPr>
              <w:pStyle w:val="Adress"/>
              <w:framePr w:hSpace="0" w:wrap="auto" w:xAlign="left" w:yAlign="inline"/>
            </w:pPr>
          </w:p>
        </w:tc>
      </w:tr>
      <w:tr w:rsidR="0030601A" w14:paraId="7F8FDDD0" w14:textId="77777777" w:rsidTr="00553F66">
        <w:trPr>
          <w:cantSplit/>
        </w:trPr>
        <w:tc>
          <w:tcPr>
            <w:tcW w:w="6619" w:type="dxa"/>
            <w:vMerge w:val="restart"/>
          </w:tcPr>
          <w:p w14:paraId="102F9613"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0C9D09DB" w14:textId="5422448E"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8802F7">
              <w:t>67</w:t>
            </w:r>
            <w:r w:rsidRPr="0012545F">
              <w:t>-A</w:t>
            </w:r>
          </w:p>
        </w:tc>
      </w:tr>
      <w:tr w:rsidR="0030601A" w14:paraId="01F6AB0D" w14:textId="77777777" w:rsidTr="00553F66">
        <w:trPr>
          <w:cantSplit/>
        </w:trPr>
        <w:tc>
          <w:tcPr>
            <w:tcW w:w="6619" w:type="dxa"/>
            <w:vMerge/>
          </w:tcPr>
          <w:p w14:paraId="4D3D6AC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4837063A" w14:textId="5A998C6F" w:rsidR="0030601A" w:rsidRPr="0012545F" w:rsidRDefault="008802F7" w:rsidP="0030601A">
            <w:pPr>
              <w:pStyle w:val="Adress"/>
              <w:framePr w:hSpace="0" w:wrap="auto" w:xAlign="left" w:yAlign="inline"/>
              <w:spacing w:before="20" w:after="20"/>
              <w:rPr>
                <w:rtl/>
              </w:rPr>
            </w:pPr>
            <w:r>
              <w:t>27</w:t>
            </w:r>
            <w:r w:rsidR="0030601A" w:rsidRPr="0012545F">
              <w:rPr>
                <w:rFonts w:hint="cs"/>
                <w:rtl/>
              </w:rPr>
              <w:t xml:space="preserve"> </w:t>
            </w:r>
            <w:r>
              <w:rPr>
                <w:rFonts w:hint="cs"/>
                <w:rtl/>
              </w:rPr>
              <w:t>فبراير</w:t>
            </w:r>
            <w:r w:rsidR="0030601A" w:rsidRPr="0012545F">
              <w:rPr>
                <w:rFonts w:hint="cs"/>
                <w:rtl/>
              </w:rPr>
              <w:t xml:space="preserve"> </w:t>
            </w:r>
            <w:r w:rsidR="0081648A">
              <w:t>2026</w:t>
            </w:r>
          </w:p>
        </w:tc>
      </w:tr>
      <w:tr w:rsidR="0030601A" w14:paraId="125A01B8" w14:textId="77777777" w:rsidTr="00553F66">
        <w:trPr>
          <w:cantSplit/>
        </w:trPr>
        <w:tc>
          <w:tcPr>
            <w:tcW w:w="6619" w:type="dxa"/>
            <w:vMerge/>
          </w:tcPr>
          <w:p w14:paraId="6F0CCC3D"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59043B0B"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10BF4D59" w14:textId="77777777" w:rsidTr="00553F66">
        <w:trPr>
          <w:cantSplit/>
        </w:trPr>
        <w:tc>
          <w:tcPr>
            <w:tcW w:w="9672" w:type="dxa"/>
            <w:gridSpan w:val="2"/>
          </w:tcPr>
          <w:p w14:paraId="2200B8D3" w14:textId="366B30D9" w:rsidR="00764079" w:rsidRPr="00E621A3" w:rsidRDefault="008802F7" w:rsidP="008802F7">
            <w:pPr>
              <w:pStyle w:val="Source"/>
              <w:rPr>
                <w:rtl/>
              </w:rPr>
            </w:pPr>
            <w:r w:rsidRPr="008802F7">
              <w:rPr>
                <w:rtl/>
                <w:lang w:bidi="ar-SA"/>
              </w:rPr>
              <w:t xml:space="preserve">رئيس فريق التنسيق بين القطاعات </w:t>
            </w:r>
            <w:r w:rsidRPr="008802F7">
              <w:t>(ISCG)</w:t>
            </w:r>
          </w:p>
        </w:tc>
      </w:tr>
      <w:tr w:rsidR="00764079" w14:paraId="26EC6666" w14:textId="77777777" w:rsidTr="00553F66">
        <w:trPr>
          <w:cantSplit/>
        </w:trPr>
        <w:tc>
          <w:tcPr>
            <w:tcW w:w="9672" w:type="dxa"/>
            <w:gridSpan w:val="2"/>
          </w:tcPr>
          <w:p w14:paraId="160708E1" w14:textId="2D4A1DF0" w:rsidR="00764079" w:rsidRPr="00BD6EF3" w:rsidRDefault="008802F7" w:rsidP="008802F7">
            <w:pPr>
              <w:pStyle w:val="Title1"/>
              <w:spacing w:before="240"/>
              <w:rPr>
                <w:rtl/>
              </w:rPr>
            </w:pPr>
            <w:r w:rsidRPr="008802F7">
              <w:rPr>
                <w:rtl/>
                <w:lang w:bidi="ar-SA"/>
              </w:rPr>
              <w:t>تقرير مرحلي</w:t>
            </w:r>
          </w:p>
        </w:tc>
      </w:tr>
      <w:tr w:rsidR="0012545F" w14:paraId="4E446211" w14:textId="77777777" w:rsidTr="00553F66">
        <w:trPr>
          <w:cantSplit/>
        </w:trPr>
        <w:tc>
          <w:tcPr>
            <w:tcW w:w="9672" w:type="dxa"/>
            <w:gridSpan w:val="2"/>
          </w:tcPr>
          <w:p w14:paraId="5621158B" w14:textId="77777777" w:rsidR="0012545F" w:rsidRDefault="0012545F" w:rsidP="0012545F">
            <w:pPr>
              <w:rPr>
                <w:rtl/>
              </w:rPr>
            </w:pPr>
          </w:p>
        </w:tc>
      </w:tr>
    </w:tbl>
    <w:p w14:paraId="5908AF4E" w14:textId="77777777" w:rsidR="008802F7" w:rsidRPr="00161F8F" w:rsidRDefault="008802F7" w:rsidP="004424C8">
      <w:pPr>
        <w:pStyle w:val="Headingb"/>
        <w:rPr>
          <w:lang w:val="ar-SA" w:eastAsia="zh-TW" w:bidi="en-GB"/>
        </w:rPr>
      </w:pPr>
      <w:r w:rsidRPr="00161F8F">
        <w:rPr>
          <w:rtl/>
        </w:rPr>
        <w:t>مقدمة</w:t>
      </w:r>
    </w:p>
    <w:p w14:paraId="3D3A1F33" w14:textId="3FAF7EA4" w:rsidR="008802F7" w:rsidRPr="00161F8F" w:rsidRDefault="008802F7" w:rsidP="009411AA">
      <w:pPr>
        <w:textDirection w:val="tbRlV"/>
        <w:rPr>
          <w:lang w:val="ar-SA" w:eastAsia="zh-TW" w:bidi="en-GB"/>
        </w:rPr>
      </w:pPr>
      <w:bookmarkStart w:id="1" w:name="_Hlk187954263"/>
      <w:r w:rsidRPr="00161F8F">
        <w:rPr>
          <w:rtl/>
        </w:rPr>
        <w:t xml:space="preserve">يود رئيس فريق التنسيق بين القطاعات </w:t>
      </w:r>
      <w:r w:rsidR="009411AA" w:rsidRPr="009411AA">
        <w:rPr>
          <w:lang w:val="en-GB"/>
        </w:rPr>
        <w:t>(ISCG)</w:t>
      </w:r>
      <w:r w:rsidRPr="00161F8F">
        <w:rPr>
          <w:rtl/>
        </w:rPr>
        <w:t xml:space="preserve"> المعني بالمسائل ذات الاهتمام المشترك، السيد فابيو بيجي، أن يقدم إلى الفريق الاستشاري للاتصالات الراديوية </w:t>
      </w:r>
      <w:r w:rsidRPr="00161F8F">
        <w:t>(RAG)</w:t>
      </w:r>
      <w:r w:rsidRPr="00161F8F">
        <w:rPr>
          <w:rtl/>
        </w:rPr>
        <w:t xml:space="preserve"> معلومات محدَّثة عن التقدم المحرز في عمل فريق التنسيق بين القطاعات منذ اجتماعه الأخير في عام 2025.</w:t>
      </w:r>
    </w:p>
    <w:p w14:paraId="79CBB586" w14:textId="77777777" w:rsidR="008802F7" w:rsidRPr="00161F8F" w:rsidRDefault="008802F7" w:rsidP="004424C8">
      <w:pPr>
        <w:rPr>
          <w:lang w:val="ar-SA" w:eastAsia="zh-TW" w:bidi="en-GB"/>
        </w:rPr>
      </w:pPr>
      <w:r w:rsidRPr="00161F8F">
        <w:rPr>
          <w:rtl/>
        </w:rPr>
        <w:t xml:space="preserve">ويود رئيس فريق التنسيق بين القطاعات أيضاً أن يبلغ الفريق الاستشاري بأنه، </w:t>
      </w:r>
      <w:r>
        <w:rPr>
          <w:rtl/>
        </w:rPr>
        <w:t>بناء على</w:t>
      </w:r>
      <w:r w:rsidRPr="00161F8F">
        <w:rPr>
          <w:rtl/>
        </w:rPr>
        <w:t xml:space="preserve"> الطلبات المقدمة في اجتماع فريق العمل التابع للمجلس والمعني بالموارد المالية والبشرية </w:t>
      </w:r>
      <w:r w:rsidRPr="00161F8F">
        <w:t>(CWG-FHR)</w:t>
      </w:r>
      <w:r w:rsidRPr="00161F8F">
        <w:rPr>
          <w:rtl/>
        </w:rPr>
        <w:t xml:space="preserve"> في سبتمبر 2025، قد تم تحديث الموقع الإلكتروني لفريق التنسيق بين القطاعات لتضمينه التغييرات التي أدخلت على نسق وإجراءات نشر الوثائق، تماشياً مع طلبات الأعضاء والممارسات المطبقة على اجتماعات الأمانة العامة الأخرى.</w:t>
      </w:r>
    </w:p>
    <w:p w14:paraId="16FFD942" w14:textId="47B1F8CE" w:rsidR="008802F7" w:rsidRPr="00161F8F" w:rsidRDefault="008802F7" w:rsidP="008802F7">
      <w:pPr>
        <w:textDirection w:val="tbRlV"/>
        <w:rPr>
          <w:lang w:val="ar-SA" w:eastAsia="zh-TW" w:bidi="en-GB"/>
        </w:rPr>
      </w:pPr>
      <w:r w:rsidRPr="00161F8F">
        <w:rPr>
          <w:rtl/>
        </w:rPr>
        <w:t xml:space="preserve">وتتاح جميع المعلومات المتعلقة بفريق التنسيق بين القطاعات، بما في ذلك تقرير الاجتماع الأخير الذي عُقد في 28 يناير 2026، في </w:t>
      </w:r>
      <w:hyperlink r:id="rId13" w:anchor="/ar" w:history="1">
        <w:r w:rsidRPr="0081648A">
          <w:rPr>
            <w:rStyle w:val="Hyperlink"/>
            <w:rtl/>
          </w:rPr>
          <w:t>الصفحة الإلكترونية لفريق التنسيق بين القطاعات</w:t>
        </w:r>
      </w:hyperlink>
      <w:r w:rsidRPr="00161F8F">
        <w:rPr>
          <w:rtl/>
        </w:rPr>
        <w:t>.</w:t>
      </w:r>
      <w:hyperlink r:id="rId14" w:history="1"/>
    </w:p>
    <w:bookmarkEnd w:id="1"/>
    <w:p w14:paraId="703E6AF3" w14:textId="77777777" w:rsidR="008802F7" w:rsidRPr="00161F8F" w:rsidRDefault="008802F7" w:rsidP="004424C8">
      <w:pPr>
        <w:pStyle w:val="Headingb"/>
        <w:rPr>
          <w:lang w:val="ar-SA" w:eastAsia="zh-TW" w:bidi="en-GB"/>
        </w:rPr>
      </w:pPr>
      <w:r w:rsidRPr="00161F8F">
        <w:rPr>
          <w:rtl/>
        </w:rPr>
        <w:t>المناقشات الرئيسية</w:t>
      </w:r>
    </w:p>
    <w:p w14:paraId="2599F267" w14:textId="77777777" w:rsidR="008802F7" w:rsidRPr="00161F8F" w:rsidRDefault="008802F7" w:rsidP="008802F7">
      <w:pPr>
        <w:tabs>
          <w:tab w:val="clear" w:pos="794"/>
          <w:tab w:val="left" w:pos="567"/>
          <w:tab w:val="left" w:pos="1134"/>
          <w:tab w:val="left" w:pos="1701"/>
          <w:tab w:val="left" w:pos="2268"/>
          <w:tab w:val="left" w:pos="2835"/>
        </w:tabs>
        <w:textDirection w:val="tbRlV"/>
        <w:rPr>
          <w:lang w:val="ar-SA" w:eastAsia="zh-TW" w:bidi="en-GB"/>
        </w:rPr>
      </w:pPr>
      <w:r w:rsidRPr="00161F8F">
        <w:rPr>
          <w:rtl/>
        </w:rPr>
        <w:t>يواصل فريق التنسيق بين القطاعات معالجة المواضيع التالية:</w:t>
      </w:r>
    </w:p>
    <w:p w14:paraId="1DF5124A" w14:textId="4E231210" w:rsidR="008802F7" w:rsidRPr="00FE532E" w:rsidRDefault="004424C8" w:rsidP="008F08DF">
      <w:pPr>
        <w:pStyle w:val="enumlev1"/>
        <w:rPr>
          <w:spacing w:val="-2"/>
          <w:lang w:val="ar-SA" w:eastAsia="zh-TW" w:bidi="en-GB"/>
        </w:rPr>
      </w:pPr>
      <w:r w:rsidRPr="00FE532E">
        <w:rPr>
          <w:rFonts w:hint="cs"/>
          <w:spacing w:val="-2"/>
          <w:rtl/>
          <w:lang w:bidi="ar-EG"/>
        </w:rPr>
        <w:t>-</w:t>
      </w:r>
      <w:r w:rsidRPr="00FE532E">
        <w:rPr>
          <w:spacing w:val="-2"/>
          <w:rtl/>
          <w:lang w:bidi="ar-EG"/>
        </w:rPr>
        <w:tab/>
      </w:r>
      <w:r w:rsidR="008802F7" w:rsidRPr="00FE532E">
        <w:rPr>
          <w:b/>
          <w:bCs/>
          <w:spacing w:val="-2"/>
          <w:rtl/>
        </w:rPr>
        <w:t>إمكانية النفاذ:</w:t>
      </w:r>
      <w:r w:rsidR="008802F7" w:rsidRPr="00FE532E">
        <w:rPr>
          <w:spacing w:val="-2"/>
          <w:rtl/>
        </w:rPr>
        <w:t xml:space="preserve"> عُينت منسقة جديدة، السيدة ليديا بيست (رئيسة نشاط التنسيق المشترك بشأن إمكانية النفاذ والعوامل البشرية</w:t>
      </w:r>
      <w:r w:rsidR="008F08DF" w:rsidRPr="00FE532E">
        <w:rPr>
          <w:rFonts w:hint="cs"/>
          <w:spacing w:val="-2"/>
          <w:rtl/>
          <w:lang w:bidi="ar-EG"/>
        </w:rPr>
        <w:t xml:space="preserve"> </w:t>
      </w:r>
      <w:r w:rsidR="008F08DF" w:rsidRPr="00FE532E">
        <w:rPr>
          <w:spacing w:val="-2"/>
          <w:lang w:val="en-GB" w:bidi="ar-EG"/>
        </w:rPr>
        <w:t>(JCA AHF)</w:t>
      </w:r>
      <w:r w:rsidR="00513417" w:rsidRPr="00FE532E">
        <w:rPr>
          <w:rFonts w:hint="cs"/>
          <w:spacing w:val="-2"/>
          <w:rtl/>
          <w:lang w:val="en-GB" w:bidi="ar-EG"/>
        </w:rPr>
        <w:t>)</w:t>
      </w:r>
      <w:r w:rsidR="008802F7" w:rsidRPr="00FE532E">
        <w:rPr>
          <w:spacing w:val="-2"/>
          <w:rtl/>
        </w:rPr>
        <w:t>، وستقدم تقريراً عن التحديثات المتعلقة بإمكانية النفاذ في الاجتماع المقبل. وسيشمل ذلك تطوير الموقع الإلكتروني الجديد للاتحاد لضمان استمرار إمكانية النفاذ إليه للجميع.</w:t>
      </w:r>
    </w:p>
    <w:p w14:paraId="5DCB758D" w14:textId="51DFA7AB" w:rsidR="008802F7" w:rsidRPr="00161F8F" w:rsidRDefault="004424C8" w:rsidP="004424C8">
      <w:pPr>
        <w:pStyle w:val="enumlev1"/>
        <w:rPr>
          <w:lang w:val="ar-SA" w:eastAsia="zh-TW" w:bidi="en-GB"/>
        </w:rPr>
      </w:pPr>
      <w:r w:rsidRPr="0052190B">
        <w:rPr>
          <w:rFonts w:hint="cs"/>
          <w:rtl/>
        </w:rPr>
        <w:t>-</w:t>
      </w:r>
      <w:r w:rsidRPr="0052190B">
        <w:rPr>
          <w:rtl/>
        </w:rPr>
        <w:tab/>
      </w:r>
      <w:r w:rsidR="008802F7" w:rsidRPr="00161F8F">
        <w:rPr>
          <w:b/>
          <w:bCs/>
          <w:rtl/>
        </w:rPr>
        <w:t>تغير المناخ</w:t>
      </w:r>
      <w:r w:rsidR="008802F7" w:rsidRPr="00FE532E">
        <w:rPr>
          <w:b/>
          <w:bCs/>
          <w:rtl/>
        </w:rPr>
        <w:t>:</w:t>
      </w:r>
      <w:r w:rsidR="008802F7" w:rsidRPr="00161F8F">
        <w:rPr>
          <w:rtl/>
        </w:rPr>
        <w:t xml:space="preserve"> يستمر التعاون بين قطاعات الاتحاد الثلاثة في التطور. ويظهر ذلك في الموقع الإلكتروني في قسم </w:t>
      </w:r>
      <w:hyperlink r:id="rId15" w:anchor="/ar" w:history="1">
        <w:r w:rsidR="008802F7" w:rsidRPr="00513417">
          <w:rPr>
            <w:rStyle w:val="Hyperlink"/>
            <w:rtl/>
          </w:rPr>
          <w:t>البيئة وتغير المناخ</w:t>
        </w:r>
      </w:hyperlink>
      <w:r w:rsidR="008802F7" w:rsidRPr="00161F8F">
        <w:rPr>
          <w:rtl/>
        </w:rPr>
        <w:t>.</w:t>
      </w:r>
      <w:hyperlink r:id="rId16" w:history="1"/>
    </w:p>
    <w:p w14:paraId="616985CD" w14:textId="30C48AA4" w:rsidR="008802F7" w:rsidRPr="00161F8F" w:rsidRDefault="004424C8" w:rsidP="004424C8">
      <w:pPr>
        <w:pStyle w:val="enumlev1"/>
        <w:rPr>
          <w:lang w:val="ar-SA" w:eastAsia="zh-TW" w:bidi="en-GB"/>
        </w:rPr>
      </w:pPr>
      <w:r>
        <w:rPr>
          <w:rFonts w:hint="cs"/>
          <w:rtl/>
        </w:rPr>
        <w:t>-</w:t>
      </w:r>
      <w:r>
        <w:rPr>
          <w:rtl/>
        </w:rPr>
        <w:tab/>
      </w:r>
      <w:r w:rsidR="008802F7" w:rsidRPr="00FE532E">
        <w:rPr>
          <w:b/>
          <w:bCs/>
          <w:rtl/>
        </w:rPr>
        <w:t>الموقع الإلكتروني للاتحاد:</w:t>
      </w:r>
      <w:r w:rsidR="008802F7" w:rsidRPr="00161F8F">
        <w:rPr>
          <w:rtl/>
        </w:rPr>
        <w:t xml:space="preserve"> تعمل أمانة الاتحاد على مشروع الموقع الإلكتروني الجديد للاتحاد، الذي يرد التقرير الأخير عنه في الوثيقة </w:t>
      </w:r>
      <w:hyperlink r:id="rId17" w:history="1">
        <w:r w:rsidR="008802F7" w:rsidRPr="00C22FFE">
          <w:rPr>
            <w:rStyle w:val="Hyperlink"/>
            <w:rtl/>
          </w:rPr>
          <w:t>CWG-FHR-22/1</w:t>
        </w:r>
      </w:hyperlink>
      <w:r w:rsidR="008802F7" w:rsidRPr="00161F8F">
        <w:rPr>
          <w:rtl/>
        </w:rPr>
        <w:t>. وكُلفت الأمانة بالاتصال بمنسق إمكانية النفاذ للتأكد من أن المشروع يأخذ في</w:t>
      </w:r>
      <w:r w:rsidR="00C22FFE">
        <w:rPr>
          <w:rFonts w:hint="cs"/>
          <w:rtl/>
        </w:rPr>
        <w:t> </w:t>
      </w:r>
      <w:r w:rsidR="008802F7" w:rsidRPr="00161F8F">
        <w:rPr>
          <w:rtl/>
        </w:rPr>
        <w:t>الاعتبار احتياجات الأشخاص ذوي الإعاقة أثناء عملية الاستعراض.</w:t>
      </w:r>
      <w:hyperlink r:id="rId18" w:history="1"/>
    </w:p>
    <w:p w14:paraId="283EF2AC" w14:textId="4ECEBA5F" w:rsidR="008802F7" w:rsidRPr="0052190B" w:rsidRDefault="004424C8" w:rsidP="004424C8">
      <w:pPr>
        <w:pStyle w:val="enumlev1"/>
        <w:rPr>
          <w:spacing w:val="-2"/>
          <w:lang w:val="ar-SA" w:eastAsia="zh-TW" w:bidi="en-GB"/>
        </w:rPr>
      </w:pPr>
      <w:r w:rsidRPr="0052190B">
        <w:rPr>
          <w:rFonts w:hint="cs"/>
          <w:spacing w:val="-2"/>
          <w:rtl/>
        </w:rPr>
        <w:t>-</w:t>
      </w:r>
      <w:r w:rsidRPr="0052190B">
        <w:rPr>
          <w:spacing w:val="-2"/>
          <w:rtl/>
        </w:rPr>
        <w:tab/>
      </w:r>
      <w:r w:rsidR="008802F7" w:rsidRPr="0052190B">
        <w:rPr>
          <w:b/>
          <w:bCs/>
          <w:spacing w:val="-2"/>
          <w:rtl/>
        </w:rPr>
        <w:t>المشاركة عن بُعد</w:t>
      </w:r>
      <w:r w:rsidR="008802F7" w:rsidRPr="00BB1218">
        <w:rPr>
          <w:b/>
          <w:bCs/>
          <w:spacing w:val="-2"/>
          <w:rtl/>
        </w:rPr>
        <w:t>:</w:t>
      </w:r>
      <w:r w:rsidR="008802F7" w:rsidRPr="0052190B">
        <w:rPr>
          <w:spacing w:val="-2"/>
          <w:rtl/>
        </w:rPr>
        <w:t xml:space="preserve"> يواصل فريق ال</w:t>
      </w:r>
      <w:r w:rsidR="00193E6B">
        <w:rPr>
          <w:spacing w:val="-2"/>
          <w:rtl/>
        </w:rPr>
        <w:t>مقرِّر</w:t>
      </w:r>
      <w:r w:rsidR="008802F7" w:rsidRPr="0052190B">
        <w:rPr>
          <w:spacing w:val="-2"/>
          <w:rtl/>
        </w:rPr>
        <w:t xml:space="preserve"> المعني بأساليب العمل التابع للفريق الاستشاري لتقييس الاتصالات </w:t>
      </w:r>
      <w:r w:rsidR="008802F7" w:rsidRPr="0052190B">
        <w:rPr>
          <w:spacing w:val="-2"/>
        </w:rPr>
        <w:t>(TSAG)</w:t>
      </w:r>
      <w:r w:rsidR="008802F7" w:rsidRPr="0052190B">
        <w:rPr>
          <w:spacing w:val="-2"/>
          <w:rtl/>
        </w:rPr>
        <w:t xml:space="preserve"> أعماله المتعلقة بالمشاركة عن بُعد (انظر الوثيقة </w:t>
      </w:r>
      <w:hyperlink r:id="rId19" w:history="1">
        <w:r w:rsidR="0052190B" w:rsidRPr="0052190B">
          <w:rPr>
            <w:rStyle w:val="Hyperlink"/>
            <w:rFonts w:eastAsia="SimSun"/>
            <w:spacing w:val="-2"/>
          </w:rPr>
          <w:t>ISCG/26-1/4</w:t>
        </w:r>
      </w:hyperlink>
      <w:r w:rsidR="0052190B" w:rsidRPr="0052190B">
        <w:rPr>
          <w:rFonts w:hint="cs"/>
          <w:spacing w:val="-2"/>
          <w:rtl/>
        </w:rPr>
        <w:t>)</w:t>
      </w:r>
      <w:r w:rsidR="008802F7" w:rsidRPr="0052190B">
        <w:rPr>
          <w:spacing w:val="-2"/>
          <w:rtl/>
        </w:rPr>
        <w:t xml:space="preserve">. وأُرسل بيان اتصال إلى فريق التنسيق بين القطاعات لإبلاغه بمراجعة </w:t>
      </w:r>
      <w:hyperlink r:id="rId20" w:history="1">
        <w:r w:rsidR="008802F7" w:rsidRPr="006533AB">
          <w:rPr>
            <w:rStyle w:val="Hyperlink"/>
            <w:spacing w:val="-2"/>
            <w:rtl/>
          </w:rPr>
          <w:t>الإضافة 4 للسلسلة A "المبادئ التوجيهية للمشاركة عن ب</w:t>
        </w:r>
        <w:r w:rsidR="00193E6B">
          <w:rPr>
            <w:rStyle w:val="Hyperlink"/>
            <w:rFonts w:hint="cs"/>
            <w:spacing w:val="-2"/>
            <w:rtl/>
          </w:rPr>
          <w:t>ُ</w:t>
        </w:r>
        <w:r w:rsidR="008802F7" w:rsidRPr="006533AB">
          <w:rPr>
            <w:rStyle w:val="Hyperlink"/>
            <w:spacing w:val="-2"/>
            <w:rtl/>
          </w:rPr>
          <w:t>عد"</w:t>
        </w:r>
      </w:hyperlink>
      <w:r w:rsidR="008802F7" w:rsidRPr="0052190B">
        <w:rPr>
          <w:spacing w:val="-2"/>
          <w:rtl/>
        </w:rPr>
        <w:t xml:space="preserve">، بهدف مواءمتها مع </w:t>
      </w:r>
      <w:hyperlink r:id="rId21" w:anchor="/ar" w:history="1">
        <w:r w:rsidR="008802F7" w:rsidRPr="006533AB">
          <w:rPr>
            <w:rStyle w:val="Hyperlink"/>
            <w:spacing w:val="-2"/>
            <w:rtl/>
          </w:rPr>
          <w:t>"المبادئ التوجيهية لإدارة الاجتماعات الافتراضية بالكامل والاجتماعات الحضورية التي تتاح فيها إمكانية المشاركة عن ب</w:t>
        </w:r>
        <w:r w:rsidR="00193E6B">
          <w:rPr>
            <w:rStyle w:val="Hyperlink"/>
            <w:rFonts w:hint="cs"/>
            <w:spacing w:val="-2"/>
            <w:rtl/>
          </w:rPr>
          <w:t>ُ</w:t>
        </w:r>
        <w:r w:rsidR="008802F7" w:rsidRPr="006533AB">
          <w:rPr>
            <w:rStyle w:val="Hyperlink"/>
            <w:spacing w:val="-2"/>
            <w:rtl/>
          </w:rPr>
          <w:t>عد"</w:t>
        </w:r>
      </w:hyperlink>
      <w:r w:rsidR="008802F7" w:rsidRPr="0052190B">
        <w:rPr>
          <w:spacing w:val="-2"/>
          <w:rtl/>
        </w:rPr>
        <w:t xml:space="preserve">، التي وضعها المجلس في دورته لعام 2025 استجابة </w:t>
      </w:r>
      <w:hyperlink r:id="rId22" w:history="1">
        <w:r w:rsidR="008802F7" w:rsidRPr="00B84B9D">
          <w:rPr>
            <w:rStyle w:val="Hyperlink"/>
            <w:spacing w:val="-2"/>
            <w:rtl/>
          </w:rPr>
          <w:t>للقرار 167 (المراجَع في بوخارست، 2022)</w:t>
        </w:r>
      </w:hyperlink>
      <w:r w:rsidR="008802F7" w:rsidRPr="0052190B">
        <w:rPr>
          <w:spacing w:val="-2"/>
          <w:rtl/>
        </w:rPr>
        <w:t xml:space="preserve"> لمؤتمر المندوبين المفوضين للاتحاد. وسيُنظر في هذه المسألة في الاجتماع المقبل لفريق التنسيق بين القطاعات.</w:t>
      </w:r>
      <w:hyperlink r:id="rId23" w:history="1"/>
      <w:hyperlink r:id="rId24" w:history="1"/>
      <w:hyperlink r:id="rId25" w:history="1"/>
      <w:hyperlink r:id="rId26" w:history="1"/>
    </w:p>
    <w:p w14:paraId="11F08B3A" w14:textId="702F228F" w:rsidR="008802F7" w:rsidRPr="00161F8F" w:rsidRDefault="004424C8" w:rsidP="004424C8">
      <w:pPr>
        <w:pStyle w:val="enumlev1"/>
        <w:rPr>
          <w:lang w:val="ar-SA" w:eastAsia="zh-TW" w:bidi="en-GB"/>
        </w:rPr>
      </w:pPr>
      <w:r w:rsidRPr="00847C04">
        <w:rPr>
          <w:rFonts w:hint="cs"/>
          <w:rtl/>
        </w:rPr>
        <w:lastRenderedPageBreak/>
        <w:t>-</w:t>
      </w:r>
      <w:r w:rsidRPr="00847C04">
        <w:rPr>
          <w:rtl/>
        </w:rPr>
        <w:tab/>
      </w:r>
      <w:r w:rsidR="008802F7" w:rsidRPr="00161F8F">
        <w:rPr>
          <w:b/>
          <w:bCs/>
          <w:rtl/>
        </w:rPr>
        <w:t>التحول الرقمي المستدام</w:t>
      </w:r>
      <w:r w:rsidR="008802F7" w:rsidRPr="00BB1218">
        <w:rPr>
          <w:b/>
          <w:bCs/>
          <w:rtl/>
        </w:rPr>
        <w:t>:</w:t>
      </w:r>
      <w:r w:rsidR="008802F7" w:rsidRPr="00161F8F">
        <w:rPr>
          <w:rtl/>
        </w:rPr>
        <w:t xml:space="preserve"> ستتقاعد المنسقة السيدة بلانكا </w:t>
      </w:r>
      <w:proofErr w:type="spellStart"/>
      <w:r w:rsidR="008802F7" w:rsidRPr="00161F8F">
        <w:rPr>
          <w:rtl/>
        </w:rPr>
        <w:t>غونزاليس</w:t>
      </w:r>
      <w:proofErr w:type="spellEnd"/>
      <w:r w:rsidR="008802F7" w:rsidRPr="00161F8F">
        <w:rPr>
          <w:rtl/>
        </w:rPr>
        <w:t xml:space="preserve"> (إسبانيا) قريباً، وستواصل السيدة شهد البلوي (المملكة العربية السعودية) الاضطلاع بمهام المنسقة وستقدم تقريراً إلى الاجتماع المقبل. ويود الرئيس أيضاً أن يسترعي الانتباه إلى الحاجة إلى تنسيق العمل بشأن هذا الموضوع وتقديم تقرير عن أنشطة القطاعات الثلاثة. وأبلغت الأمانة الاجتماع بالموافقة على إنشاء فريق </w:t>
      </w:r>
      <w:r w:rsidR="00193E6B">
        <w:rPr>
          <w:rtl/>
        </w:rPr>
        <w:t>مقرِّر</w:t>
      </w:r>
      <w:r w:rsidR="008802F7" w:rsidRPr="00161F8F">
        <w:rPr>
          <w:rtl/>
        </w:rPr>
        <w:t xml:space="preserve"> جديد معني بالتحول الرقمي المستدام </w:t>
      </w:r>
      <w:r w:rsidR="008802F7" w:rsidRPr="00161F8F">
        <w:t>(RG-DT)</w:t>
      </w:r>
      <w:r w:rsidR="008802F7" w:rsidRPr="00161F8F">
        <w:rPr>
          <w:rtl/>
        </w:rPr>
        <w:t xml:space="preserve"> في إطار هيكل الفريق الاستشاري لتقييس الاتصالات لفترة الدراسة الجديدة (2025-2028). ويطلب فريق ال</w:t>
      </w:r>
      <w:r w:rsidR="00193E6B">
        <w:rPr>
          <w:rtl/>
        </w:rPr>
        <w:t>مقرِّر</w:t>
      </w:r>
      <w:r w:rsidR="008802F7" w:rsidRPr="00161F8F">
        <w:rPr>
          <w:rtl/>
        </w:rPr>
        <w:t xml:space="preserve"> هذا مدخلات من قطاعي الاتحاد الآخرين (انظر الوثيقة </w:t>
      </w:r>
      <w:hyperlink r:id="rId27" w:history="1">
        <w:r w:rsidR="00847C04" w:rsidRPr="00C47FF4">
          <w:rPr>
            <w:rStyle w:val="Hyperlink"/>
          </w:rPr>
          <w:t>ISCG/26-1/8</w:t>
        </w:r>
      </w:hyperlink>
      <w:r w:rsidR="00847C04">
        <w:rPr>
          <w:rFonts w:hint="cs"/>
          <w:rtl/>
          <w:lang w:bidi="ar-EG"/>
        </w:rPr>
        <w:t>)</w:t>
      </w:r>
      <w:r w:rsidR="008802F7" w:rsidRPr="00161F8F">
        <w:rPr>
          <w:rtl/>
        </w:rPr>
        <w:t>.</w:t>
      </w:r>
      <w:hyperlink r:id="rId28" w:history="1"/>
    </w:p>
    <w:p w14:paraId="5419E245" w14:textId="77777777" w:rsidR="008802F7" w:rsidRPr="00161F8F" w:rsidRDefault="008802F7" w:rsidP="008802F7">
      <w:pPr>
        <w:tabs>
          <w:tab w:val="clear" w:pos="794"/>
          <w:tab w:val="left" w:pos="567"/>
          <w:tab w:val="left" w:pos="1134"/>
          <w:tab w:val="left" w:pos="1701"/>
          <w:tab w:val="left" w:pos="2268"/>
          <w:tab w:val="left" w:pos="2835"/>
        </w:tabs>
        <w:textDirection w:val="tbRlV"/>
        <w:rPr>
          <w:lang w:val="ar-SA" w:eastAsia="zh-TW" w:bidi="en-GB"/>
        </w:rPr>
      </w:pPr>
      <w:r w:rsidRPr="00161F8F">
        <w:rPr>
          <w:rtl/>
        </w:rPr>
        <w:t>وبدأ فريق التنسيق بين القطاعات العمل بشأن الموضوع الجديد التالي:</w:t>
      </w:r>
    </w:p>
    <w:p w14:paraId="000A65BC" w14:textId="2579CB51" w:rsidR="008802F7" w:rsidRPr="00161F8F" w:rsidRDefault="004424C8" w:rsidP="004424C8">
      <w:pPr>
        <w:pStyle w:val="enumlev1"/>
        <w:rPr>
          <w:lang w:val="ar-SA" w:eastAsia="zh-TW" w:bidi="en-GB"/>
        </w:rPr>
      </w:pPr>
      <w:r w:rsidRPr="00A5148E">
        <w:rPr>
          <w:rFonts w:hint="cs"/>
          <w:rtl/>
        </w:rPr>
        <w:t>-</w:t>
      </w:r>
      <w:r w:rsidRPr="00A5148E">
        <w:rPr>
          <w:rtl/>
        </w:rPr>
        <w:tab/>
      </w:r>
      <w:r w:rsidR="008802F7" w:rsidRPr="00161F8F">
        <w:rPr>
          <w:b/>
          <w:bCs/>
          <w:rtl/>
        </w:rPr>
        <w:t>مشاركة دوائر الصناعة</w:t>
      </w:r>
      <w:r w:rsidR="008802F7" w:rsidRPr="00A5148E">
        <w:rPr>
          <w:b/>
          <w:bCs/>
          <w:rtl/>
        </w:rPr>
        <w:t>:</w:t>
      </w:r>
      <w:r w:rsidR="008802F7" w:rsidRPr="00161F8F">
        <w:rPr>
          <w:rtl/>
        </w:rPr>
        <w:t xml:space="preserve"> المنسقان المعينان لهذا الموضوع هما السيدة </w:t>
      </w:r>
      <w:proofErr w:type="spellStart"/>
      <w:r w:rsidR="008802F7" w:rsidRPr="00161F8F">
        <w:rPr>
          <w:rtl/>
        </w:rPr>
        <w:t>إنغا</w:t>
      </w:r>
      <w:proofErr w:type="spellEnd"/>
      <w:r w:rsidR="008802F7" w:rsidRPr="00161F8F">
        <w:rPr>
          <w:rtl/>
        </w:rPr>
        <w:t xml:space="preserve"> </w:t>
      </w:r>
      <w:proofErr w:type="spellStart"/>
      <w:r w:rsidR="008802F7" w:rsidRPr="00161F8F">
        <w:rPr>
          <w:rtl/>
        </w:rPr>
        <w:t>ريمكيفيتشينيه</w:t>
      </w:r>
      <w:proofErr w:type="spellEnd"/>
      <w:r w:rsidR="008802F7" w:rsidRPr="00161F8F">
        <w:rPr>
          <w:rtl/>
        </w:rPr>
        <w:t xml:space="preserve"> (ليتوانيا) والسيد سكوت </w:t>
      </w:r>
      <w:proofErr w:type="spellStart"/>
      <w:r w:rsidR="008802F7" w:rsidRPr="00161F8F">
        <w:rPr>
          <w:rtl/>
        </w:rPr>
        <w:t>مانسفيلد</w:t>
      </w:r>
      <w:proofErr w:type="spellEnd"/>
      <w:r w:rsidR="008802F7" w:rsidRPr="00161F8F">
        <w:rPr>
          <w:rtl/>
        </w:rPr>
        <w:t xml:space="preserve"> (شركة </w:t>
      </w:r>
      <w:proofErr w:type="spellStart"/>
      <w:r w:rsidR="008802F7" w:rsidRPr="00161F8F">
        <w:rPr>
          <w:rtl/>
        </w:rPr>
        <w:t>Ericsson</w:t>
      </w:r>
      <w:proofErr w:type="spellEnd"/>
      <w:r w:rsidR="008802F7" w:rsidRPr="00161F8F">
        <w:rPr>
          <w:rtl/>
        </w:rPr>
        <w:t xml:space="preserve"> </w:t>
      </w:r>
      <w:proofErr w:type="spellStart"/>
      <w:r w:rsidR="008802F7" w:rsidRPr="00161F8F">
        <w:rPr>
          <w:rtl/>
        </w:rPr>
        <w:t>Canada</w:t>
      </w:r>
      <w:proofErr w:type="spellEnd"/>
      <w:r w:rsidR="00E10908">
        <w:rPr>
          <w:rFonts w:hint="cs"/>
          <w:rtl/>
        </w:rPr>
        <w:t>)</w:t>
      </w:r>
      <w:r w:rsidR="008802F7" w:rsidRPr="00161F8F">
        <w:rPr>
          <w:rtl/>
        </w:rPr>
        <w:t>. وقُدم في الاجتماع الأخير لفريق التنسيق بين القطاعات تحديث موجز لجهود قطاع تقييس الاتصالات بشأن موضوع مشاركة دوائر الصناعة، وأحيط علماً بالأعمال الجارية للاستفادة من نجاح ورشة العمل المتعلقة بمشاركة دوائر الصناعة التي نُظمت في عام 2024.</w:t>
      </w:r>
    </w:p>
    <w:p w14:paraId="29ED89A8" w14:textId="3B7CA698" w:rsidR="008802F7" w:rsidRPr="00A5148E" w:rsidRDefault="004424C8" w:rsidP="004424C8">
      <w:pPr>
        <w:pStyle w:val="enumlev1"/>
        <w:rPr>
          <w:spacing w:val="-2"/>
          <w:lang w:val="ar-SA" w:eastAsia="zh-TW" w:bidi="en-GB"/>
        </w:rPr>
      </w:pPr>
      <w:r w:rsidRPr="00A5148E">
        <w:rPr>
          <w:rFonts w:hint="cs"/>
          <w:b/>
          <w:bCs/>
          <w:spacing w:val="-2"/>
          <w:rtl/>
        </w:rPr>
        <w:t>-</w:t>
      </w:r>
      <w:r w:rsidRPr="00A5148E">
        <w:rPr>
          <w:b/>
          <w:bCs/>
          <w:spacing w:val="-2"/>
          <w:rtl/>
        </w:rPr>
        <w:tab/>
      </w:r>
      <w:r w:rsidR="008802F7" w:rsidRPr="00A5148E">
        <w:rPr>
          <w:b/>
          <w:bCs/>
          <w:spacing w:val="-2"/>
          <w:rtl/>
        </w:rPr>
        <w:t>فريق ال</w:t>
      </w:r>
      <w:r w:rsidR="00193E6B">
        <w:rPr>
          <w:b/>
          <w:bCs/>
          <w:spacing w:val="-2"/>
          <w:rtl/>
        </w:rPr>
        <w:t>مقرِّر</w:t>
      </w:r>
      <w:r w:rsidR="008802F7" w:rsidRPr="00A5148E">
        <w:rPr>
          <w:b/>
          <w:bCs/>
          <w:spacing w:val="-2"/>
          <w:rtl/>
        </w:rPr>
        <w:t xml:space="preserve"> المعني بتبسيط القرارات:</w:t>
      </w:r>
      <w:r w:rsidR="008802F7" w:rsidRPr="00A5148E">
        <w:rPr>
          <w:spacing w:val="-2"/>
          <w:rtl/>
        </w:rPr>
        <w:t xml:space="preserve"> تمت الموافقة على فريق ال</w:t>
      </w:r>
      <w:r w:rsidR="00193E6B">
        <w:rPr>
          <w:spacing w:val="-2"/>
          <w:rtl/>
        </w:rPr>
        <w:t>مقرِّر</w:t>
      </w:r>
      <w:r w:rsidR="008802F7" w:rsidRPr="00A5148E">
        <w:rPr>
          <w:spacing w:val="-2"/>
          <w:rtl/>
        </w:rPr>
        <w:t xml:space="preserve"> الجديد هذا خلال الاجتماع الثاني في عام 2025. وقدم ال</w:t>
      </w:r>
      <w:r w:rsidR="00193E6B">
        <w:rPr>
          <w:spacing w:val="-2"/>
          <w:rtl/>
        </w:rPr>
        <w:t>مقرِّر</w:t>
      </w:r>
      <w:r w:rsidR="008802F7" w:rsidRPr="00A5148E">
        <w:rPr>
          <w:spacing w:val="-2"/>
          <w:rtl/>
        </w:rPr>
        <w:t xml:space="preserve">، السيد فلاديمير </w:t>
      </w:r>
      <w:proofErr w:type="spellStart"/>
      <w:r w:rsidR="008802F7" w:rsidRPr="00A5148E">
        <w:rPr>
          <w:spacing w:val="-2"/>
          <w:rtl/>
        </w:rPr>
        <w:t>مينكين</w:t>
      </w:r>
      <w:proofErr w:type="spellEnd"/>
      <w:r w:rsidR="008802F7" w:rsidRPr="00A5148E">
        <w:rPr>
          <w:spacing w:val="-2"/>
          <w:rtl/>
        </w:rPr>
        <w:t xml:space="preserve"> (الاتحاد الروسي)، مقترحين لتبسيط القرار 154 (المراجَع في بوخارست، 2022)</w:t>
      </w:r>
      <w:r w:rsidR="00193E6B">
        <w:rPr>
          <w:rFonts w:hint="cs"/>
          <w:spacing w:val="-2"/>
          <w:rtl/>
        </w:rPr>
        <w:t xml:space="preserve"> لمؤتمر المندوبين المفوضين</w:t>
      </w:r>
      <w:r w:rsidR="008802F7" w:rsidRPr="00A5148E">
        <w:rPr>
          <w:spacing w:val="-2"/>
          <w:rtl/>
        </w:rPr>
        <w:t xml:space="preserve">، على النحو الوارد في </w:t>
      </w:r>
      <w:hyperlink r:id="rId29" w:history="1">
        <w:r w:rsidR="008802F7" w:rsidRPr="00A5148E">
          <w:rPr>
            <w:rStyle w:val="Hyperlink"/>
            <w:spacing w:val="-2"/>
            <w:rtl/>
          </w:rPr>
          <w:t xml:space="preserve">الإضافة 1 للوثيقة </w:t>
        </w:r>
        <w:r w:rsidR="008802F7" w:rsidRPr="00A5148E">
          <w:rPr>
            <w:rStyle w:val="Hyperlink"/>
            <w:spacing w:val="-2"/>
          </w:rPr>
          <w:t>ISCG/26-1/7</w:t>
        </w:r>
      </w:hyperlink>
      <w:r w:rsidR="008802F7" w:rsidRPr="00A5148E">
        <w:rPr>
          <w:spacing w:val="-2"/>
          <w:rtl/>
        </w:rPr>
        <w:t>، والقرار 191 (المراجَع في بوخارست، 2022)</w:t>
      </w:r>
      <w:r w:rsidR="00193E6B">
        <w:rPr>
          <w:rFonts w:hint="cs"/>
          <w:spacing w:val="-2"/>
          <w:rtl/>
        </w:rPr>
        <w:t xml:space="preserve"> لمؤتمر المندوبين المفوضين</w:t>
      </w:r>
      <w:r w:rsidR="008802F7" w:rsidRPr="00A5148E">
        <w:rPr>
          <w:spacing w:val="-2"/>
          <w:rtl/>
        </w:rPr>
        <w:t>، على</w:t>
      </w:r>
      <w:r w:rsidR="00E10908" w:rsidRPr="00A5148E">
        <w:rPr>
          <w:rFonts w:hint="cs"/>
          <w:spacing w:val="-2"/>
          <w:rtl/>
        </w:rPr>
        <w:t> </w:t>
      </w:r>
      <w:r w:rsidR="008802F7" w:rsidRPr="00A5148E">
        <w:rPr>
          <w:spacing w:val="-2"/>
          <w:rtl/>
        </w:rPr>
        <w:t>النحو الوارد في</w:t>
      </w:r>
      <w:r w:rsidR="00A5148E">
        <w:rPr>
          <w:rFonts w:hint="cs"/>
          <w:spacing w:val="-2"/>
          <w:rtl/>
        </w:rPr>
        <w:t> </w:t>
      </w:r>
      <w:hyperlink r:id="rId30" w:history="1">
        <w:r w:rsidR="008802F7" w:rsidRPr="00A5148E">
          <w:rPr>
            <w:rStyle w:val="Hyperlink"/>
            <w:spacing w:val="-2"/>
            <w:rtl/>
          </w:rPr>
          <w:t>الإضافة 2</w:t>
        </w:r>
      </w:hyperlink>
      <w:r w:rsidR="008802F7" w:rsidRPr="00A5148E">
        <w:rPr>
          <w:spacing w:val="-2"/>
          <w:rtl/>
        </w:rPr>
        <w:t>. ونظر فريق التنسيق بين القطاعات في كلا المقترحين وأيدهما.</w:t>
      </w:r>
      <w:hyperlink r:id="rId31" w:history="1"/>
      <w:hyperlink r:id="rId32" w:history="1"/>
      <w:hyperlink r:id="rId33" w:history="1"/>
    </w:p>
    <w:p w14:paraId="18C6B9E4" w14:textId="77777777" w:rsidR="008802F7" w:rsidRPr="00161F8F" w:rsidRDefault="008802F7" w:rsidP="008802F7">
      <w:pPr>
        <w:tabs>
          <w:tab w:val="clear" w:pos="794"/>
          <w:tab w:val="left" w:pos="567"/>
          <w:tab w:val="left" w:pos="1134"/>
          <w:tab w:val="left" w:pos="1701"/>
          <w:tab w:val="left" w:pos="2268"/>
          <w:tab w:val="left" w:pos="2835"/>
        </w:tabs>
        <w:textDirection w:val="tbRlV"/>
        <w:rPr>
          <w:lang w:val="ar-SA" w:eastAsia="zh-TW" w:bidi="en-GB"/>
        </w:rPr>
      </w:pPr>
      <w:r w:rsidRPr="00161F8F">
        <w:rPr>
          <w:rtl/>
        </w:rPr>
        <w:t>وفي اجتماعه الأخير، الذي عُقد في 28 يناير 2026، وافق فريق التنسيق بين القطاعات على "الكفاءات" كموضوع جديد محتمل، بهدف تبادل أفضل الممارسات التي تحقق الكفاءات المؤسسية.</w:t>
      </w:r>
    </w:p>
    <w:p w14:paraId="1AD6285C" w14:textId="7CA7B44B" w:rsidR="008802F7" w:rsidRPr="0084285F" w:rsidRDefault="008802F7" w:rsidP="008802F7">
      <w:pPr>
        <w:tabs>
          <w:tab w:val="clear" w:pos="794"/>
          <w:tab w:val="left" w:pos="567"/>
          <w:tab w:val="left" w:pos="1134"/>
          <w:tab w:val="left" w:pos="1701"/>
          <w:tab w:val="left" w:pos="2268"/>
          <w:tab w:val="left" w:pos="2835"/>
        </w:tabs>
        <w:textDirection w:val="tbRlV"/>
        <w:rPr>
          <w:spacing w:val="-2"/>
          <w:lang w:val="ar-SA" w:eastAsia="zh-TW" w:bidi="en-GB"/>
        </w:rPr>
      </w:pPr>
      <w:r w:rsidRPr="0084285F">
        <w:rPr>
          <w:spacing w:val="-2"/>
          <w:rtl/>
        </w:rPr>
        <w:t>وأحاط فريق التنسيق بين القطاعات علماً في اجتماعه الأخير بموقف الفريق الاستشاري للاتصالات الراديوية بشأن القضايا ذات الاهتمام المشترك التي نوقشت، بما في ذلك دعم الفريق الاستشاري للاتصالات الراديوية للتعددية اللغوية وتطوير أدوات الترجمة التحريرية والترجمة الشفوية القائمة على الذكاء الاصطناعي، مع الاعتراف بالحاجة إلى زيادة تحسين جودتها؛ وأهمية ضمان مواءمة الموقع الإلكتروني الجديد للاتحاد بين جميع القطاعات؛ والحاجة إلى مزيد من الوضوح بشأن المشاركة عن بُعد، لا سيما في</w:t>
      </w:r>
      <w:r w:rsidR="0084285F">
        <w:rPr>
          <w:rFonts w:hint="cs"/>
          <w:spacing w:val="-2"/>
          <w:rtl/>
        </w:rPr>
        <w:t> </w:t>
      </w:r>
      <w:r w:rsidRPr="0084285F">
        <w:rPr>
          <w:spacing w:val="-2"/>
          <w:rtl/>
        </w:rPr>
        <w:t xml:space="preserve">ضوء القيود المنصوص عليها في القرار 167 (المراجَع في بوخارست، 2022) فيما يتعلق باتخاذ المندوبين المشاركين عن بُعد للقرارات. وأبلغ ممثل الفريق الاستشاري للاتصالات الراديوية أيضاً باستمرار مخاوف الفريق الاستشاري بشأن التداخل المحتمل بين أنشطة قطاع تقييس الاتصالات وأنشطة قطاع الاتصالات الراديوية، لا سيما فيما يتعلق بمواضيع من قبيل تعاريف المركبات الجوية بدون طيار </w:t>
      </w:r>
      <w:r w:rsidRPr="0084285F">
        <w:rPr>
          <w:spacing w:val="-2"/>
        </w:rPr>
        <w:t>(UAV)</w:t>
      </w:r>
      <w:r w:rsidRPr="0084285F">
        <w:rPr>
          <w:spacing w:val="-2"/>
          <w:rtl/>
        </w:rPr>
        <w:t xml:space="preserve"> والعمل المتعلق </w:t>
      </w:r>
      <w:proofErr w:type="spellStart"/>
      <w:r w:rsidRPr="0084285F">
        <w:rPr>
          <w:spacing w:val="-2"/>
          <w:rtl/>
        </w:rPr>
        <w:t>بالسواتل</w:t>
      </w:r>
      <w:proofErr w:type="spellEnd"/>
      <w:r w:rsidRPr="0084285F">
        <w:rPr>
          <w:spacing w:val="-2"/>
          <w:rtl/>
        </w:rPr>
        <w:t>، وشدد على أن التنسيق ينبغي أن يتم مباشرة بين لجان الدراسات المعنية.</w:t>
      </w:r>
    </w:p>
    <w:p w14:paraId="24D724AB" w14:textId="77777777" w:rsidR="008802F7" w:rsidRPr="00161F8F" w:rsidRDefault="008802F7" w:rsidP="008802F7">
      <w:pPr>
        <w:tabs>
          <w:tab w:val="clear" w:pos="794"/>
          <w:tab w:val="left" w:pos="567"/>
          <w:tab w:val="left" w:pos="1134"/>
          <w:tab w:val="left" w:pos="1701"/>
          <w:tab w:val="left" w:pos="2268"/>
          <w:tab w:val="left" w:pos="2835"/>
        </w:tabs>
        <w:textDirection w:val="tbRlV"/>
        <w:rPr>
          <w:lang w:val="ar-SA" w:eastAsia="zh-TW" w:bidi="en-GB"/>
        </w:rPr>
      </w:pPr>
      <w:r w:rsidRPr="00161F8F">
        <w:rPr>
          <w:rtl/>
        </w:rPr>
        <w:t xml:space="preserve">وفيما يتعلق بجداول التقابل، طُلب إلى الفريق الاستشاري لتنمية الاتصالات </w:t>
      </w:r>
      <w:r w:rsidRPr="00161F8F">
        <w:t>(TDAG)</w:t>
      </w:r>
      <w:r w:rsidRPr="00161F8F">
        <w:rPr>
          <w:rtl/>
        </w:rPr>
        <w:t xml:space="preserve"> إدراج نتائج المؤتمر العالمي لتنمية الاتصالات لعام 2025 (WTDC-25)؛ وطُلب إلى أمانة فريق التنسيق بين القطاعات إدراج طلب مقدم إلى فريق الخبراء المعني بلوائح الاتصالات الدولية لإدراج قرارات لوائح الاتصالات الدولية </w:t>
      </w:r>
      <w:r w:rsidRPr="00161F8F">
        <w:t>(ITR)</w:t>
      </w:r>
      <w:r w:rsidRPr="00161F8F">
        <w:rPr>
          <w:rtl/>
        </w:rPr>
        <w:t xml:space="preserve"> في جدول تقابل القرارات.</w:t>
      </w:r>
    </w:p>
    <w:p w14:paraId="6CA68664" w14:textId="1E540E2D" w:rsidR="008802F7" w:rsidRPr="00161F8F" w:rsidRDefault="008802F7" w:rsidP="004424C8">
      <w:pPr>
        <w:pStyle w:val="Headingb"/>
        <w:rPr>
          <w:lang w:val="ar-SA" w:eastAsia="zh-TW" w:bidi="en-GB"/>
        </w:rPr>
      </w:pPr>
      <w:r w:rsidRPr="00161F8F">
        <w:rPr>
          <w:rtl/>
        </w:rPr>
        <w:t>الخلاصة</w:t>
      </w:r>
    </w:p>
    <w:p w14:paraId="4B7E951A" w14:textId="77777777" w:rsidR="008802F7" w:rsidRPr="00161F8F" w:rsidRDefault="008802F7" w:rsidP="008802F7">
      <w:pPr>
        <w:tabs>
          <w:tab w:val="clear" w:pos="794"/>
          <w:tab w:val="left" w:pos="567"/>
          <w:tab w:val="left" w:pos="1134"/>
          <w:tab w:val="left" w:pos="1701"/>
          <w:tab w:val="left" w:pos="2268"/>
          <w:tab w:val="left" w:pos="2835"/>
        </w:tabs>
        <w:textDirection w:val="tbRlV"/>
        <w:rPr>
          <w:lang w:val="ar-SA" w:eastAsia="zh-TW" w:bidi="en-GB"/>
        </w:rPr>
      </w:pPr>
      <w:r w:rsidRPr="00161F8F">
        <w:rPr>
          <w:rtl/>
        </w:rPr>
        <w:t>يُدعى الفريق الاستشاري للاتصالات الراديوية إلى مناقشة هذه الوثيقة وتقديم تعليقات ومقترحات إلى فريق التنسيق بين القطاعات بشأن المواضيع التي عُرضت، بالإضافة إلى أي أنشطة أو آليات مشتركة أخرى محتملة لتعزيز التعاون.</w:t>
      </w:r>
    </w:p>
    <w:p w14:paraId="522ADA24" w14:textId="4125A7CC" w:rsidR="008802F7" w:rsidRPr="00C7156E" w:rsidRDefault="008802F7" w:rsidP="008802F7">
      <w:pPr>
        <w:tabs>
          <w:tab w:val="clear" w:pos="794"/>
          <w:tab w:val="left" w:pos="567"/>
          <w:tab w:val="left" w:pos="1134"/>
          <w:tab w:val="left" w:pos="1701"/>
          <w:tab w:val="left" w:pos="2268"/>
          <w:tab w:val="left" w:pos="2835"/>
        </w:tabs>
        <w:textDirection w:val="tbRlV"/>
        <w:rPr>
          <w:spacing w:val="-2"/>
          <w:lang w:val="ar-SA" w:eastAsia="zh-TW" w:bidi="en-GB"/>
        </w:rPr>
      </w:pPr>
      <w:r w:rsidRPr="00C7156E">
        <w:rPr>
          <w:spacing w:val="-2"/>
          <w:rtl/>
        </w:rPr>
        <w:t xml:space="preserve">ويُقترح عقد الاجتماع المقبل لفريق التنسيق بين القطاعات خلال اجتماع الفريق الاستشاري لتنمية الاتصالات في 10 أبريل 2026. وستقدم المعلومات ذات الصلة من خلال </w:t>
      </w:r>
      <w:hyperlink r:id="rId34" w:anchor="/ar" w:history="1">
        <w:r w:rsidRPr="00C7156E">
          <w:rPr>
            <w:rStyle w:val="Hyperlink"/>
            <w:spacing w:val="-2"/>
            <w:rtl/>
          </w:rPr>
          <w:t>الموقع الإلكتروني لفريق التنسيق بين القطاعات</w:t>
        </w:r>
      </w:hyperlink>
      <w:r w:rsidRPr="00C7156E">
        <w:rPr>
          <w:spacing w:val="-2"/>
          <w:rtl/>
        </w:rPr>
        <w:t>.</w:t>
      </w:r>
      <w:hyperlink r:id="rId35" w:history="1"/>
    </w:p>
    <w:p w14:paraId="50FF6CCC" w14:textId="1FC15AA7" w:rsidR="008802F7" w:rsidRPr="00161F8F" w:rsidRDefault="008802F7" w:rsidP="008802F7">
      <w:pPr>
        <w:tabs>
          <w:tab w:val="clear" w:pos="794"/>
          <w:tab w:val="left" w:pos="567"/>
          <w:tab w:val="left" w:pos="1134"/>
          <w:tab w:val="left" w:pos="1701"/>
          <w:tab w:val="left" w:pos="2268"/>
          <w:tab w:val="left" w:pos="2835"/>
        </w:tabs>
        <w:textDirection w:val="tbRlV"/>
        <w:rPr>
          <w:lang w:val="ar-SA" w:eastAsia="zh-TW" w:bidi="en-GB"/>
        </w:rPr>
      </w:pPr>
      <w:r w:rsidRPr="00161F8F">
        <w:rPr>
          <w:rtl/>
        </w:rPr>
        <w:t>ويود رئيس فريق التنسيق بين القطاعات أن يتوجه بالشكر إلى أعضاء الفريق الاستشاري للاتصالات الراديوية على الفرصة المتاحة لعرض هذا التقرير، وأن يدعوهم إلى المساهمة في أنشطته.</w:t>
      </w:r>
    </w:p>
    <w:p w14:paraId="76B23A69"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36"/>
      <w:headerReference w:type="default" r:id="rId37"/>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81C9" w14:textId="77777777" w:rsidR="00112962" w:rsidRDefault="00112962" w:rsidP="002919E1">
      <w:r>
        <w:separator/>
      </w:r>
    </w:p>
    <w:p w14:paraId="72ABD029" w14:textId="77777777" w:rsidR="00112962" w:rsidRDefault="00112962" w:rsidP="002919E1"/>
    <w:p w14:paraId="445DB46C" w14:textId="77777777" w:rsidR="00112962" w:rsidRDefault="00112962" w:rsidP="002919E1"/>
    <w:p w14:paraId="59DF7311" w14:textId="77777777" w:rsidR="00112962" w:rsidRDefault="00112962"/>
  </w:endnote>
  <w:endnote w:type="continuationSeparator" w:id="0">
    <w:p w14:paraId="0FF64F0C" w14:textId="77777777" w:rsidR="00112962" w:rsidRDefault="00112962" w:rsidP="002919E1">
      <w:r>
        <w:continuationSeparator/>
      </w:r>
    </w:p>
    <w:p w14:paraId="77434544" w14:textId="77777777" w:rsidR="00112962" w:rsidRDefault="00112962" w:rsidP="002919E1"/>
    <w:p w14:paraId="6AC52D99" w14:textId="77777777" w:rsidR="00112962" w:rsidRDefault="00112962" w:rsidP="002919E1"/>
    <w:p w14:paraId="29733601" w14:textId="77777777" w:rsidR="00112962" w:rsidRDefault="00112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09CA" w14:textId="77777777" w:rsidR="00112962" w:rsidRDefault="00112962" w:rsidP="002919E1">
      <w:r>
        <w:separator/>
      </w:r>
    </w:p>
  </w:footnote>
  <w:footnote w:type="continuationSeparator" w:id="0">
    <w:p w14:paraId="0AE5B59D" w14:textId="77777777" w:rsidR="00112962" w:rsidRDefault="00112962" w:rsidP="002919E1">
      <w:r>
        <w:continuationSeparator/>
      </w:r>
    </w:p>
    <w:p w14:paraId="2974F1FF" w14:textId="77777777" w:rsidR="00112962" w:rsidRDefault="00112962" w:rsidP="002919E1"/>
    <w:p w14:paraId="067492B1" w14:textId="77777777" w:rsidR="00112962" w:rsidRDefault="00112962" w:rsidP="002919E1"/>
    <w:p w14:paraId="412C359E" w14:textId="77777777" w:rsidR="00112962" w:rsidRDefault="00112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EAD4" w14:textId="77777777" w:rsidR="00281F5F" w:rsidRDefault="00281F5F" w:rsidP="002919E1"/>
  <w:p w14:paraId="75CC8EB8" w14:textId="77777777" w:rsidR="00281F5F" w:rsidRDefault="00281F5F" w:rsidP="002919E1"/>
  <w:p w14:paraId="438C228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A6CF" w14:textId="7059F4C6"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8802F7">
      <w:rPr>
        <w:rStyle w:val="PageNumber"/>
      </w:rPr>
      <w:t>67</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C657C"/>
    <w:multiLevelType w:val="hybridMultilevel"/>
    <w:tmpl w:val="C2D4B096"/>
    <w:lvl w:ilvl="0" w:tplc="D0841584">
      <w:start w:val="2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2"/>
  </w:num>
  <w:num w:numId="3" w16cid:durableId="676006606">
    <w:abstractNumId w:val="11"/>
  </w:num>
  <w:num w:numId="4" w16cid:durableId="903955018">
    <w:abstractNumId w:val="13"/>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1276248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54"/>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12962"/>
    <w:rsid w:val="00123AA6"/>
    <w:rsid w:val="0012545F"/>
    <w:rsid w:val="00136B82"/>
    <w:rsid w:val="001464F2"/>
    <w:rsid w:val="00167364"/>
    <w:rsid w:val="001903B2"/>
    <w:rsid w:val="00193E6B"/>
    <w:rsid w:val="001B5953"/>
    <w:rsid w:val="001C03E9"/>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424C8"/>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3417"/>
    <w:rsid w:val="00516042"/>
    <w:rsid w:val="005166A4"/>
    <w:rsid w:val="005169F4"/>
    <w:rsid w:val="005210D1"/>
    <w:rsid w:val="0052190B"/>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1110"/>
    <w:rsid w:val="005953EC"/>
    <w:rsid w:val="005B00A1"/>
    <w:rsid w:val="005C29C8"/>
    <w:rsid w:val="005C5D25"/>
    <w:rsid w:val="005D2606"/>
    <w:rsid w:val="005D6D48"/>
    <w:rsid w:val="005D72A4"/>
    <w:rsid w:val="005F05CC"/>
    <w:rsid w:val="005F65DE"/>
    <w:rsid w:val="00613492"/>
    <w:rsid w:val="00630905"/>
    <w:rsid w:val="006315B5"/>
    <w:rsid w:val="006533AB"/>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1749"/>
    <w:rsid w:val="00734E41"/>
    <w:rsid w:val="007351CE"/>
    <w:rsid w:val="00736DCC"/>
    <w:rsid w:val="00740097"/>
    <w:rsid w:val="00741855"/>
    <w:rsid w:val="00742B73"/>
    <w:rsid w:val="00751251"/>
    <w:rsid w:val="0075443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648A"/>
    <w:rsid w:val="00817568"/>
    <w:rsid w:val="008204AC"/>
    <w:rsid w:val="008261C2"/>
    <w:rsid w:val="00827482"/>
    <w:rsid w:val="0083097B"/>
    <w:rsid w:val="00830D96"/>
    <w:rsid w:val="0084285F"/>
    <w:rsid w:val="00847C04"/>
    <w:rsid w:val="0085569D"/>
    <w:rsid w:val="00855B59"/>
    <w:rsid w:val="0085774F"/>
    <w:rsid w:val="008579A5"/>
    <w:rsid w:val="008614B8"/>
    <w:rsid w:val="008657CB"/>
    <w:rsid w:val="00873A6F"/>
    <w:rsid w:val="008802F7"/>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08DF"/>
    <w:rsid w:val="008F4626"/>
    <w:rsid w:val="009004DF"/>
    <w:rsid w:val="00904AA5"/>
    <w:rsid w:val="009411AA"/>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5148E"/>
    <w:rsid w:val="00A66D2B"/>
    <w:rsid w:val="00A809E8"/>
    <w:rsid w:val="00A85B65"/>
    <w:rsid w:val="00A870AD"/>
    <w:rsid w:val="00A90843"/>
    <w:rsid w:val="00A94B3E"/>
    <w:rsid w:val="00A9645C"/>
    <w:rsid w:val="00AB2A33"/>
    <w:rsid w:val="00AC1275"/>
    <w:rsid w:val="00AC7395"/>
    <w:rsid w:val="00AD162B"/>
    <w:rsid w:val="00AD690F"/>
    <w:rsid w:val="00AD69DD"/>
    <w:rsid w:val="00AE6B26"/>
    <w:rsid w:val="00AF22C1"/>
    <w:rsid w:val="00AF300B"/>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4B9D"/>
    <w:rsid w:val="00B86C44"/>
    <w:rsid w:val="00B9727C"/>
    <w:rsid w:val="00BA7D44"/>
    <w:rsid w:val="00BB1218"/>
    <w:rsid w:val="00BD6291"/>
    <w:rsid w:val="00BD6EF3"/>
    <w:rsid w:val="00BE69C3"/>
    <w:rsid w:val="00C114A8"/>
    <w:rsid w:val="00C1165E"/>
    <w:rsid w:val="00C22074"/>
    <w:rsid w:val="00C22FFE"/>
    <w:rsid w:val="00C2377B"/>
    <w:rsid w:val="00C34E09"/>
    <w:rsid w:val="00C3693C"/>
    <w:rsid w:val="00C449F7"/>
    <w:rsid w:val="00C53F6F"/>
    <w:rsid w:val="00C5489D"/>
    <w:rsid w:val="00C7156E"/>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3778"/>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10908"/>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D048C"/>
    <w:rsid w:val="00EE60E9"/>
    <w:rsid w:val="00EF1254"/>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E532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9DD21"/>
  <w15:docId w15:val="{CC28EE6F-7D74-4B02-BD3D-19A4889E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aliases w:val="Recommendation,List Paragraph11,O5,Para_sk,Resume Title,- Bullets"/>
    <w:basedOn w:val="Normal"/>
    <w:link w:val="ListParagraphChar"/>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8802F7"/>
    <w:rPr>
      <w:rFonts w:ascii="Dubai" w:hAnsi="Dubai" w:cs="Dubai"/>
      <w:sz w:val="22"/>
      <w:szCs w:val="22"/>
      <w:lang w:eastAsia="en-US"/>
    </w:rPr>
  </w:style>
  <w:style w:type="character" w:customStyle="1" w:styleId="Heading1Char">
    <w:name w:val="Heading 1 Char"/>
    <w:basedOn w:val="DefaultParagraphFont"/>
    <w:link w:val="Heading1"/>
    <w:rsid w:val="008802F7"/>
    <w:rPr>
      <w:rFonts w:ascii="Dubai" w:hAnsi="Dubai" w:cs="Dubai"/>
      <w:b/>
      <w:bCs/>
      <w:kern w:val="32"/>
      <w:sz w:val="26"/>
      <w:szCs w:val="2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general-secretariat/Pages/ISCG/default.aspx" TargetMode="External"/><Relationship Id="rId18" Type="http://schemas.openxmlformats.org/officeDocument/2006/relationships/hyperlink" Target="https://www.itu.int/md/S26-CWGFHR22-C-0017/en" TargetMode="External"/><Relationship Id="rId26" Type="http://schemas.openxmlformats.org/officeDocument/2006/relationships/hyperlink" Target="https://www.itu.int/en/council/Documents/basic-texts-2023/RES-167-E.pdf" TargetMode="External"/><Relationship Id="rId39" Type="http://schemas.openxmlformats.org/officeDocument/2006/relationships/theme" Target="theme/theme1.xml"/><Relationship Id="rId21" Type="http://schemas.openxmlformats.org/officeDocument/2006/relationships/hyperlink" Target="https://www.itu.int/en/general-secretariat/ICT-Services/remoteparticipation/Pages/default.aspx" TargetMode="External"/><Relationship Id="rId34" Type="http://schemas.openxmlformats.org/officeDocument/2006/relationships/hyperlink" Target="https://www.itu.int/en/general-secretariat/Pages/ISCG/default.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S26-CWGFHR22-C-0017/en" TargetMode="External"/><Relationship Id="rId25" Type="http://schemas.openxmlformats.org/officeDocument/2006/relationships/hyperlink" Target="https://itu.int/en/general-secretariat/ICT-Services/remoteparticipation" TargetMode="External"/><Relationship Id="rId33" Type="http://schemas.openxmlformats.org/officeDocument/2006/relationships/hyperlink" Target="https://www.itu.int/md/S26-ISCG12026-C-0007/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action/environment-and-climate-change/Pages/default.aspx" TargetMode="External"/><Relationship Id="rId20" Type="http://schemas.openxmlformats.org/officeDocument/2006/relationships/hyperlink" Target="http://www.itu.int/md/meetingdoc.asp?lang=en&amp;parent=T25-TSAG-260126-TD-GEN-0333" TargetMode="External"/><Relationship Id="rId29" Type="http://schemas.openxmlformats.org/officeDocument/2006/relationships/hyperlink" Target="https://www.itu.int/md/S26-ISCG12026-C-0007/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tu.int/md/meetingdoc.asp?lang=en&amp;parent=T25-TSAG-260126-TD-GEN-0333" TargetMode="External"/><Relationship Id="rId32" Type="http://schemas.openxmlformats.org/officeDocument/2006/relationships/hyperlink" Target="https://www.itu.int/md/S26-ISCG12026-C-0007/en"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itu.int/en/action/environment-and-climate-change/Pages/default.aspx" TargetMode="External"/><Relationship Id="rId23" Type="http://schemas.openxmlformats.org/officeDocument/2006/relationships/hyperlink" Target="https://www.itu.int/md/S26-ISCG12026-C-0004/en" TargetMode="External"/><Relationship Id="rId28" Type="http://schemas.openxmlformats.org/officeDocument/2006/relationships/hyperlink" Target="https://www.itu.int/md/S26-ISCG12026-C-0008/en"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tu.int/md/S26-ISCG12026-C-0004/en" TargetMode="External"/><Relationship Id="rId31" Type="http://schemas.openxmlformats.org/officeDocument/2006/relationships/hyperlink" Target="https://www.itu.int/md/S26-ISCG12026-C-0007/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general-secretariat/Pages/ISCG/default.aspx" TargetMode="External"/><Relationship Id="rId22" Type="http://schemas.openxmlformats.org/officeDocument/2006/relationships/hyperlink" Target="chrome-extension://efaidnbmnnnibpcajpcglclefindmkaj/https:/www.itu.int/en/council/Documents/basic-texts-2023/RES-167-A.pdf" TargetMode="External"/><Relationship Id="rId27" Type="http://schemas.openxmlformats.org/officeDocument/2006/relationships/hyperlink" Target="https://www.itu.int/md/S26-ISCG12026-C-0008/en" TargetMode="External"/><Relationship Id="rId30" Type="http://schemas.openxmlformats.org/officeDocument/2006/relationships/hyperlink" Target="https://www.itu.int/md/S26-ISCG12026-C-0007/en" TargetMode="External"/><Relationship Id="rId35" Type="http://schemas.openxmlformats.org/officeDocument/2006/relationships/hyperlink" Target="https://www.itu.int/en/general-secretariat/Pages/ISCG/default.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FC4C3-DC4A-4907-A9BB-98121FAC99D6}">
  <ds:schemaRefs>
    <ds:schemaRef ds:uri="http://purl.org/dc/terms/"/>
    <ds:schemaRef ds:uri="32a1a8c5-2265-4ebc-b7a0-2071e2c5c9bb"/>
    <ds:schemaRef ds:uri="996b2e75-67fd-4955-a3b0-5ab9934cb50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5.xml><?xml version="1.0" encoding="utf-8"?>
<ds:datastoreItem xmlns:ds="http://schemas.openxmlformats.org/officeDocument/2006/customXml" ds:itemID="{A777C84E-4930-46FD-BC04-07845C361F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2</Pages>
  <Words>874</Words>
  <Characters>6923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
  <cp:lastModifiedBy>Xue, Kun</cp:lastModifiedBy>
  <cp:revision>3</cp:revision>
  <cp:lastPrinted>2019-06-26T10:10:00Z</cp:lastPrinted>
  <dcterms:created xsi:type="dcterms:W3CDTF">2026-03-23T08:37:00Z</dcterms:created>
  <dcterms:modified xsi:type="dcterms:W3CDTF">2026-03-23T08:37:00Z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