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3253CA80" w14:textId="77777777" w:rsidTr="00553F66">
        <w:trPr>
          <w:cantSplit/>
          <w:trHeight w:val="20"/>
        </w:trPr>
        <w:tc>
          <w:tcPr>
            <w:tcW w:w="6619" w:type="dxa"/>
          </w:tcPr>
          <w:p w14:paraId="6D7AC7EB" w14:textId="77777777" w:rsidR="00280E04" w:rsidRPr="00136B82" w:rsidRDefault="0057610B" w:rsidP="00827482">
            <w:pPr>
              <w:pStyle w:val="LOGO"/>
              <w:framePr w:hSpace="0" w:wrap="auto" w:xAlign="left" w:yAlign="inline"/>
              <w:spacing w:before="480"/>
              <w:rPr>
                <w:rtl/>
              </w:rPr>
            </w:pPr>
            <w:r>
              <w:rPr>
                <w:rFonts w:hint="cs"/>
                <w:rtl/>
              </w:rPr>
              <w:t>الفريق الاستشاري للاتصالات الراديوية</w:t>
            </w:r>
          </w:p>
        </w:tc>
        <w:tc>
          <w:tcPr>
            <w:tcW w:w="3053" w:type="dxa"/>
          </w:tcPr>
          <w:p w14:paraId="1A546282" w14:textId="77777777" w:rsidR="00280E04" w:rsidRDefault="00553F66" w:rsidP="00F52E75">
            <w:pPr>
              <w:spacing w:before="0"/>
              <w:jc w:val="left"/>
              <w:rPr>
                <w:rtl/>
                <w:lang w:bidi="ar-EG"/>
              </w:rPr>
            </w:pPr>
            <w:bookmarkStart w:id="0" w:name="ditulogo"/>
            <w:bookmarkEnd w:id="0"/>
            <w:r w:rsidRPr="00C126C1">
              <w:rPr>
                <w:noProof/>
                <w:lang w:eastAsia="zh-CN"/>
              </w:rPr>
              <w:drawing>
                <wp:inline distT="0" distB="0" distL="0" distR="0" wp14:anchorId="7AA3FED2" wp14:editId="0073B1E8">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72204BFB" w14:textId="77777777" w:rsidTr="00553F66">
        <w:trPr>
          <w:cantSplit/>
          <w:trHeight w:val="20"/>
        </w:trPr>
        <w:tc>
          <w:tcPr>
            <w:tcW w:w="6619" w:type="dxa"/>
            <w:tcBorders>
              <w:bottom w:val="single" w:sz="12" w:space="0" w:color="auto"/>
            </w:tcBorders>
          </w:tcPr>
          <w:p w14:paraId="538C6FF5"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4DAFF394" w14:textId="77777777" w:rsidR="00280E04" w:rsidRPr="00A9645C" w:rsidRDefault="00280E04" w:rsidP="002F3031">
            <w:pPr>
              <w:spacing w:before="0" w:line="120" w:lineRule="auto"/>
              <w:rPr>
                <w:lang w:bidi="ar-EG"/>
              </w:rPr>
            </w:pPr>
          </w:p>
        </w:tc>
      </w:tr>
      <w:tr w:rsidR="00280E04" w14:paraId="688CC566" w14:textId="77777777" w:rsidTr="00553F66">
        <w:trPr>
          <w:cantSplit/>
          <w:trHeight w:val="20"/>
        </w:trPr>
        <w:tc>
          <w:tcPr>
            <w:tcW w:w="6619" w:type="dxa"/>
            <w:tcBorders>
              <w:top w:val="single" w:sz="12" w:space="0" w:color="auto"/>
            </w:tcBorders>
          </w:tcPr>
          <w:p w14:paraId="5C0FC681"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643F3979" w14:textId="77777777" w:rsidR="00280E04" w:rsidRPr="00BD6EF3" w:rsidRDefault="00280E04" w:rsidP="00D44350">
            <w:pPr>
              <w:pStyle w:val="Adress"/>
              <w:framePr w:hSpace="0" w:wrap="auto" w:xAlign="left" w:yAlign="inline"/>
            </w:pPr>
          </w:p>
        </w:tc>
      </w:tr>
      <w:tr w:rsidR="0030601A" w14:paraId="1E2A3759" w14:textId="77777777" w:rsidTr="00553F66">
        <w:trPr>
          <w:cantSplit/>
        </w:trPr>
        <w:tc>
          <w:tcPr>
            <w:tcW w:w="6619" w:type="dxa"/>
            <w:vMerge w:val="restart"/>
          </w:tcPr>
          <w:p w14:paraId="7B7DD037" w14:textId="77777777" w:rsidR="0030601A" w:rsidRPr="000E07EE" w:rsidRDefault="0030601A" w:rsidP="0030601A">
            <w:pPr>
              <w:pStyle w:val="Committee"/>
              <w:framePr w:hSpace="0" w:wrap="auto" w:hAnchor="text" w:yAlign="inline"/>
              <w:bidi/>
              <w:spacing w:before="20" w:after="20"/>
              <w:rPr>
                <w:rtl/>
                <w:lang w:val="en-US" w:bidi="ar-EG"/>
              </w:rPr>
            </w:pPr>
          </w:p>
        </w:tc>
        <w:tc>
          <w:tcPr>
            <w:tcW w:w="3053" w:type="dxa"/>
            <w:vAlign w:val="center"/>
          </w:tcPr>
          <w:p w14:paraId="24A9B8FB" w14:textId="184AC138" w:rsidR="0030601A" w:rsidRPr="0012545F" w:rsidRDefault="0030601A" w:rsidP="0030601A">
            <w:pPr>
              <w:pStyle w:val="Adress"/>
              <w:framePr w:hSpace="0" w:wrap="auto" w:xAlign="left" w:yAlign="inline"/>
              <w:spacing w:before="20" w:after="20"/>
              <w:rPr>
                <w:rtl/>
              </w:rPr>
            </w:pPr>
            <w:r w:rsidRPr="0012545F">
              <w:rPr>
                <w:rtl/>
              </w:rPr>
              <w:t>ا</w:t>
            </w:r>
            <w:r w:rsidRPr="0012545F">
              <w:rPr>
                <w:rFonts w:hint="cs"/>
                <w:rtl/>
              </w:rPr>
              <w:t>ل</w:t>
            </w:r>
            <w:r w:rsidRPr="0012545F">
              <w:rPr>
                <w:rtl/>
              </w:rPr>
              <w:t>و</w:t>
            </w:r>
            <w:r w:rsidRPr="0012545F">
              <w:rPr>
                <w:rFonts w:hint="cs"/>
                <w:rtl/>
              </w:rPr>
              <w:t xml:space="preserve">ثيقة </w:t>
            </w:r>
            <w:r>
              <w:t>RAG/</w:t>
            </w:r>
            <w:r w:rsidR="000E07EE">
              <w:t>66(Rev.</w:t>
            </w:r>
            <w:r w:rsidR="00FB1CF9">
              <w:t>2</w:t>
            </w:r>
            <w:r w:rsidR="000E07EE">
              <w:t>)</w:t>
            </w:r>
            <w:r w:rsidRPr="0012545F">
              <w:t>-A</w:t>
            </w:r>
          </w:p>
        </w:tc>
      </w:tr>
      <w:tr w:rsidR="0030601A" w14:paraId="527C76A4" w14:textId="77777777" w:rsidTr="00553F66">
        <w:trPr>
          <w:cantSplit/>
        </w:trPr>
        <w:tc>
          <w:tcPr>
            <w:tcW w:w="6619" w:type="dxa"/>
            <w:vMerge/>
          </w:tcPr>
          <w:p w14:paraId="549A13B8" w14:textId="77777777" w:rsidR="0030601A" w:rsidRPr="0012545F" w:rsidRDefault="0030601A" w:rsidP="0030601A">
            <w:pPr>
              <w:pStyle w:val="Adress"/>
              <w:framePr w:hSpace="0" w:wrap="auto" w:xAlign="left" w:yAlign="inline"/>
              <w:spacing w:before="20" w:after="20"/>
              <w:rPr>
                <w:rtl/>
              </w:rPr>
            </w:pPr>
          </w:p>
        </w:tc>
        <w:tc>
          <w:tcPr>
            <w:tcW w:w="3053" w:type="dxa"/>
            <w:vAlign w:val="center"/>
          </w:tcPr>
          <w:p w14:paraId="35F35123" w14:textId="3C19AFF9" w:rsidR="0030601A" w:rsidRPr="0012545F" w:rsidRDefault="00FB1CF9" w:rsidP="0030601A">
            <w:pPr>
              <w:pStyle w:val="Adress"/>
              <w:framePr w:hSpace="0" w:wrap="auto" w:xAlign="left" w:yAlign="inline"/>
              <w:spacing w:before="20" w:after="20"/>
              <w:rPr>
                <w:rtl/>
              </w:rPr>
            </w:pPr>
            <w:r>
              <w:t>1</w:t>
            </w:r>
            <w:r w:rsidR="0030601A" w:rsidRPr="0012545F">
              <w:rPr>
                <w:rFonts w:hint="cs"/>
                <w:rtl/>
              </w:rPr>
              <w:t xml:space="preserve"> </w:t>
            </w:r>
            <w:r>
              <w:rPr>
                <w:rFonts w:hint="cs"/>
                <w:rtl/>
              </w:rPr>
              <w:t xml:space="preserve">أبريل </w:t>
            </w:r>
            <w:r w:rsidR="00C81441">
              <w:t>2026</w:t>
            </w:r>
          </w:p>
        </w:tc>
      </w:tr>
      <w:tr w:rsidR="0030601A" w14:paraId="66AA6F05" w14:textId="77777777" w:rsidTr="00553F66">
        <w:trPr>
          <w:cantSplit/>
        </w:trPr>
        <w:tc>
          <w:tcPr>
            <w:tcW w:w="6619" w:type="dxa"/>
            <w:vMerge/>
          </w:tcPr>
          <w:p w14:paraId="0BE063FF" w14:textId="77777777" w:rsidR="0030601A" w:rsidRPr="0012545F" w:rsidRDefault="0030601A" w:rsidP="0030601A">
            <w:pPr>
              <w:pStyle w:val="Adress"/>
              <w:framePr w:hSpace="0" w:wrap="auto" w:xAlign="left" w:yAlign="inline"/>
              <w:spacing w:before="20" w:after="20"/>
              <w:rPr>
                <w:rFonts w:eastAsia="SimSun"/>
                <w:rtl/>
              </w:rPr>
            </w:pPr>
          </w:p>
        </w:tc>
        <w:tc>
          <w:tcPr>
            <w:tcW w:w="3053" w:type="dxa"/>
            <w:vAlign w:val="center"/>
          </w:tcPr>
          <w:p w14:paraId="3A68EF20" w14:textId="77777777" w:rsidR="0030601A" w:rsidRPr="0012545F" w:rsidRDefault="0030601A" w:rsidP="0030601A">
            <w:pPr>
              <w:pStyle w:val="Adress"/>
              <w:framePr w:hSpace="0" w:wrap="auto" w:xAlign="left" w:yAlign="inline"/>
              <w:spacing w:before="20" w:after="20"/>
              <w:rPr>
                <w:rFonts w:eastAsia="SimSun"/>
              </w:rPr>
            </w:pPr>
            <w:r w:rsidRPr="0012545F">
              <w:rPr>
                <w:rFonts w:hint="cs"/>
                <w:rtl/>
              </w:rPr>
              <w:t>الأصل: بالإنكليزية</w:t>
            </w:r>
          </w:p>
        </w:tc>
      </w:tr>
      <w:tr w:rsidR="00764079" w14:paraId="39BDDF16" w14:textId="77777777" w:rsidTr="00553F66">
        <w:trPr>
          <w:cantSplit/>
        </w:trPr>
        <w:tc>
          <w:tcPr>
            <w:tcW w:w="9672" w:type="dxa"/>
            <w:gridSpan w:val="2"/>
          </w:tcPr>
          <w:p w14:paraId="33720F33" w14:textId="7DA62F19" w:rsidR="00764079" w:rsidRPr="00E621A3" w:rsidRDefault="000E07EE" w:rsidP="00034B65">
            <w:pPr>
              <w:pStyle w:val="Source"/>
              <w:rPr>
                <w:rtl/>
              </w:rPr>
            </w:pPr>
            <w:r>
              <w:rPr>
                <w:rFonts w:hint="cs"/>
                <w:rtl/>
              </w:rPr>
              <w:t>مدير مكتب تنمية الاتصالات</w:t>
            </w:r>
          </w:p>
        </w:tc>
      </w:tr>
      <w:tr w:rsidR="00764079" w14:paraId="372E885C" w14:textId="77777777" w:rsidTr="00553F66">
        <w:trPr>
          <w:cantSplit/>
        </w:trPr>
        <w:tc>
          <w:tcPr>
            <w:tcW w:w="9672" w:type="dxa"/>
            <w:gridSpan w:val="2"/>
          </w:tcPr>
          <w:p w14:paraId="44241460" w14:textId="0234A415" w:rsidR="00764079" w:rsidRPr="00BD6EF3" w:rsidRDefault="000E07EE" w:rsidP="00D44350">
            <w:pPr>
              <w:pStyle w:val="Title1"/>
              <w:spacing w:before="240"/>
              <w:rPr>
                <w:rtl/>
              </w:rPr>
            </w:pPr>
            <w:r>
              <w:rPr>
                <w:rFonts w:hint="cs"/>
                <w:rtl/>
              </w:rPr>
              <w:t>تقرير عن استعراض الحضور الإقليمي للاتحاد</w:t>
            </w:r>
          </w:p>
        </w:tc>
      </w:tr>
      <w:tr w:rsidR="0012545F" w14:paraId="09F5E869" w14:textId="77777777" w:rsidTr="00553F66">
        <w:trPr>
          <w:cantSplit/>
        </w:trPr>
        <w:tc>
          <w:tcPr>
            <w:tcW w:w="9672" w:type="dxa"/>
            <w:gridSpan w:val="2"/>
          </w:tcPr>
          <w:p w14:paraId="0F31F0F7" w14:textId="77777777" w:rsidR="0012545F" w:rsidRDefault="0012545F" w:rsidP="0012545F">
            <w:pPr>
              <w:rPr>
                <w:rtl/>
              </w:rPr>
            </w:pPr>
          </w:p>
        </w:tc>
      </w:tr>
    </w:tbl>
    <w:p w14:paraId="39E1ABDB" w14:textId="7D714D33" w:rsidR="00EE60E9" w:rsidRDefault="000E07EE" w:rsidP="003B0DC8">
      <w:pPr>
        <w:rPr>
          <w:rtl/>
        </w:rPr>
      </w:pPr>
      <w:r w:rsidRPr="000E07EE">
        <w:rPr>
          <w:rtl/>
        </w:rPr>
        <w:t xml:space="preserve">تبلغ هذه الوثيقة الفريق الاستشاري للاتصالات الراديوية بالتقرير المتعلق باستعراض الحضور الإقليمي للاتحاد </w:t>
      </w:r>
      <w:r w:rsidR="003B0DC8" w:rsidRPr="003B0DC8">
        <w:t>(</w:t>
      </w:r>
      <w:hyperlink r:id="rId13" w:history="1">
        <w:r w:rsidR="003B0DC8" w:rsidRPr="003B0DC8">
          <w:rPr>
            <w:rStyle w:val="Hyperlink"/>
          </w:rPr>
          <w:t>C26/24</w:t>
        </w:r>
      </w:hyperlink>
      <w:r w:rsidR="003B0DC8" w:rsidRPr="003B0DC8">
        <w:t>)</w:t>
      </w:r>
      <w:r w:rsidRPr="000E07EE">
        <w:rPr>
          <w:rtl/>
        </w:rPr>
        <w:t xml:space="preserve"> الذي سيُعرض على المجلس في دورته لعام 2026.</w:t>
      </w:r>
    </w:p>
    <w:p w14:paraId="76548848" w14:textId="23FD2553" w:rsidR="000E07EE" w:rsidRDefault="000E07EE">
      <w:pPr>
        <w:tabs>
          <w:tab w:val="clear" w:pos="794"/>
        </w:tabs>
        <w:bidi w:val="0"/>
        <w:spacing w:before="0" w:after="0" w:line="240" w:lineRule="auto"/>
        <w:jc w:val="left"/>
        <w:rPr>
          <w:rtl/>
        </w:rPr>
      </w:pPr>
      <w:r>
        <w:rPr>
          <w:rtl/>
        </w:rPr>
        <w:br w:type="page"/>
      </w:r>
    </w:p>
    <w:p w14:paraId="427C6DDE" w14:textId="598D31AC" w:rsidR="000E07EE" w:rsidRPr="000E07EE" w:rsidRDefault="000E07EE" w:rsidP="003B0DC8">
      <w:pPr>
        <w:rPr>
          <w:lang w:val="ar-SA" w:bidi="ar-EG"/>
        </w:rPr>
      </w:pPr>
      <w:r w:rsidRPr="000E07EE">
        <w:rPr>
          <w:rtl/>
        </w:rPr>
        <w:lastRenderedPageBreak/>
        <w:t xml:space="preserve">تقدم هذه الوثيقة معلومات عن التقرير </w:t>
      </w:r>
      <w:r w:rsidR="003B0DC8" w:rsidRPr="003B0DC8">
        <w:rPr>
          <w:lang w:bidi="ar-EG"/>
        </w:rPr>
        <w:t>(</w:t>
      </w:r>
      <w:hyperlink r:id="rId14" w:history="1">
        <w:r w:rsidR="003B0DC8" w:rsidRPr="003B0DC8">
          <w:rPr>
            <w:rStyle w:val="Hyperlink"/>
            <w:lang w:bidi="ar-EG"/>
          </w:rPr>
          <w:t>C26/24</w:t>
        </w:r>
      </w:hyperlink>
      <w:r w:rsidR="003B0DC8" w:rsidRPr="003B0DC8">
        <w:rPr>
          <w:lang w:bidi="ar-EG"/>
        </w:rPr>
        <w:t>)</w:t>
      </w:r>
      <w:r w:rsidRPr="000E07EE">
        <w:rPr>
          <w:rtl/>
        </w:rPr>
        <w:t xml:space="preserve"> بشأن استعراض الحضور الإقليمي للاتحاد الذي أجري وفقاً لتوصيات المجلس في دورته لعام 2025 (تقرير رئيس اللجنة الدائمة للتنظيم والإدارة، الوثيقة </w:t>
      </w:r>
      <w:hyperlink r:id="rId15" w:tgtFrame="_blank" w:history="1">
        <w:r w:rsidR="003B0DC8" w:rsidRPr="003B0DC8">
          <w:rPr>
            <w:rStyle w:val="Hyperlink"/>
          </w:rPr>
          <w:t>C25/105</w:t>
        </w:r>
      </w:hyperlink>
      <w:r w:rsidRPr="000E07EE">
        <w:rPr>
          <w:rtl/>
        </w:rPr>
        <w:t xml:space="preserve">، الفقرة 26، الملحق </w:t>
      </w:r>
      <w:r w:rsidRPr="000E07EE">
        <w:rPr>
          <w:lang w:bidi="ar-EG"/>
        </w:rPr>
        <w:t>H</w:t>
      </w:r>
      <w:r w:rsidRPr="000E07EE">
        <w:rPr>
          <w:rtl/>
        </w:rPr>
        <w:t xml:space="preserve"> والملحق</w:t>
      </w:r>
      <w:r w:rsidR="003B0DC8">
        <w:rPr>
          <w:rFonts w:hint="cs"/>
          <w:rtl/>
        </w:rPr>
        <w:t> </w:t>
      </w:r>
      <w:r w:rsidRPr="000E07EE">
        <w:rPr>
          <w:lang w:bidi="ar-EG"/>
        </w:rPr>
        <w:t>A</w:t>
      </w:r>
      <w:r w:rsidRPr="000E07EE">
        <w:rPr>
          <w:rtl/>
        </w:rPr>
        <w:t xml:space="preserve"> والملحق 1). </w:t>
      </w:r>
      <w:hyperlink r:id="rId16" w:history="1"/>
      <w:hyperlink r:id="rId17" w:tgtFrame="_blank" w:history="1"/>
    </w:p>
    <w:p w14:paraId="338B0A19" w14:textId="3BFF5933" w:rsidR="000E07EE" w:rsidRPr="000E07EE" w:rsidRDefault="000E07EE" w:rsidP="003B0DC8">
      <w:pPr>
        <w:rPr>
          <w:lang w:val="ar-SA" w:bidi="ar-EG"/>
        </w:rPr>
      </w:pPr>
      <w:r w:rsidRPr="000E07EE">
        <w:rPr>
          <w:rtl/>
        </w:rPr>
        <w:t xml:space="preserve">ويُجري مكتب تنمية الاتصالات منذ يوليو 2025 استعراضاً للحضور الإقليمي للاتحاد منظماً في أربع مراحل على مدى عشرة أشهر، على النحو المبين في الوثيقة </w:t>
      </w:r>
      <w:hyperlink r:id="rId18" w:tgtFrame="_blank" w:history="1">
        <w:r w:rsidR="003B0DC8" w:rsidRPr="003B0DC8">
          <w:rPr>
            <w:rStyle w:val="Hyperlink"/>
          </w:rPr>
          <w:t>C25/69(Rev.1)</w:t>
        </w:r>
      </w:hyperlink>
      <w:r w:rsidRPr="000E07EE">
        <w:rPr>
          <w:rtl/>
        </w:rPr>
        <w:t>. وقد أتم مكتب تنمية الاتصالات جميع المراحل الأربع للاستعراض.</w:t>
      </w:r>
      <w:hyperlink r:id="rId19" w:tgtFrame="_blank" w:history="1"/>
    </w:p>
    <w:p w14:paraId="76F613B6" w14:textId="50CB0B59" w:rsidR="000E07EE" w:rsidRPr="000E07EE" w:rsidRDefault="000E07EE" w:rsidP="000E07EE">
      <w:pPr>
        <w:rPr>
          <w:lang w:val="ar-SA" w:bidi="ar-EG"/>
        </w:rPr>
      </w:pPr>
      <w:r w:rsidRPr="000E07EE">
        <w:rPr>
          <w:rtl/>
        </w:rPr>
        <w:t xml:space="preserve">وفي إطار عملية جمع البيانات، ووفقاً للمنهجية التي أقرها الأعضاء، جُمعت البيانات من مصادر أولية ومصادر ثانوية. وشمل ذلك تحليلاً مستفيضاً للوثائق، فضلاً عن مقابلات مع المنظمات الإقليمية للاتصالات. وتم إعداد ونشر استقصاءين - الأول هو </w:t>
      </w:r>
      <w:r w:rsidRPr="000E07EE">
        <w:rPr>
          <w:i/>
          <w:iCs/>
          <w:rtl/>
        </w:rPr>
        <w:t>استقصاء أعضاء الاتحاد</w:t>
      </w:r>
      <w:r w:rsidRPr="000E07EE">
        <w:rPr>
          <w:rtl/>
        </w:rPr>
        <w:t xml:space="preserve">؛ والثاني هو </w:t>
      </w:r>
      <w:r w:rsidRPr="000E07EE">
        <w:rPr>
          <w:i/>
          <w:iCs/>
          <w:rtl/>
        </w:rPr>
        <w:t>الاستقصاء المتعلق بالتقييم الداخلي</w:t>
      </w:r>
      <w:r w:rsidRPr="000E07EE">
        <w:rPr>
          <w:rtl/>
        </w:rPr>
        <w:t xml:space="preserve">. </w:t>
      </w:r>
    </w:p>
    <w:p w14:paraId="3212C348" w14:textId="77777777" w:rsidR="000E07EE" w:rsidRPr="000E07EE" w:rsidRDefault="000E07EE" w:rsidP="000E07EE">
      <w:pPr>
        <w:rPr>
          <w:lang w:val="ar-SA" w:bidi="ar-EG"/>
        </w:rPr>
      </w:pPr>
      <w:r w:rsidRPr="000E07EE">
        <w:rPr>
          <w:rtl/>
        </w:rPr>
        <w:t>وأُغلق </w:t>
      </w:r>
      <w:r w:rsidRPr="000E07EE">
        <w:rPr>
          <w:i/>
          <w:iCs/>
          <w:rtl/>
        </w:rPr>
        <w:t>استقصاء أعضاء الاتحاد</w:t>
      </w:r>
      <w:r w:rsidRPr="000E07EE">
        <w:rPr>
          <w:rtl/>
        </w:rPr>
        <w:t xml:space="preserve"> في 31 أكتوبر 2025. وعُرضت النتائج المؤقتة خلال الجلسة الخاصة بشأن الحضور الإقليمي، التي عُقدت في 24 نوفمبر 2025 خلال المؤتمر العالمي لتنمية الاتصالات لعام 2025 (WTDC-25). </w:t>
      </w:r>
    </w:p>
    <w:p w14:paraId="1951E0FB" w14:textId="77777777" w:rsidR="000E07EE" w:rsidRPr="000E07EE" w:rsidRDefault="000E07EE" w:rsidP="000E07EE">
      <w:pPr>
        <w:rPr>
          <w:lang w:val="ar-SA" w:bidi="ar-EG"/>
        </w:rPr>
      </w:pPr>
      <w:r w:rsidRPr="000E07EE">
        <w:rPr>
          <w:rtl/>
        </w:rPr>
        <w:t xml:space="preserve">وبناءً على التعليقات الواردة خلال الجلسة الخاصة التي عُقدت خلال المؤتمر WTDC-25 بشأن الحضور الإقليمي، مُدِّد الموعد النهائي لتقديم الردود على الاستقصاء المتعلق بالتقييم الداخلي إلى 24 ديسمبر 2025، ووُسّع نطاق المشاركة ليشمل جميع موظفي الاتحاد من الفئة المهنية </w:t>
      </w:r>
      <w:r w:rsidRPr="000E07EE">
        <w:rPr>
          <w:lang w:bidi="ar-EG"/>
        </w:rPr>
        <w:t>(P)</w:t>
      </w:r>
      <w:r w:rsidRPr="000E07EE">
        <w:rPr>
          <w:rtl/>
        </w:rPr>
        <w:t xml:space="preserve"> وفئة الخدمات العامة </w:t>
      </w:r>
      <w:r w:rsidRPr="000E07EE">
        <w:rPr>
          <w:lang w:bidi="ar-EG"/>
        </w:rPr>
        <w:t>(G)</w:t>
      </w:r>
      <w:r w:rsidRPr="000E07EE">
        <w:rPr>
          <w:rtl/>
        </w:rPr>
        <w:t>. ومن المخطط عقد جلسة إعلامية بشأن الحضور الإقليمي قبل دورة المجلس لعام 2026، في 5 مارس 2026.</w:t>
      </w:r>
    </w:p>
    <w:p w14:paraId="68942DF4" w14:textId="5F4C7856" w:rsidR="000E07EE" w:rsidRPr="000E07EE" w:rsidRDefault="000E07EE" w:rsidP="003B0DC8">
      <w:pPr>
        <w:rPr>
          <w:lang w:val="ar-SA" w:bidi="ar-EG"/>
        </w:rPr>
      </w:pPr>
      <w:r w:rsidRPr="000E07EE">
        <w:rPr>
          <w:rtl/>
        </w:rPr>
        <w:t xml:space="preserve">وتم تجميع وتحليل البيانات المستمدة من استقصاء الأعضاء، والاستقصاء المتعلق بالتقييم الداخلي، وتحليل الوثائق، والمقابَلات مع المنظمات الإقليمية للاتصالات، والتعليقات الواردة من الأعضاء، واللجنة الاستشارية المستقلة للإدارة </w:t>
      </w:r>
      <w:r w:rsidRPr="000E07EE">
        <w:rPr>
          <w:lang w:bidi="ar-EG"/>
        </w:rPr>
        <w:t>(IMAC)</w:t>
      </w:r>
      <w:r w:rsidRPr="000E07EE">
        <w:rPr>
          <w:rtl/>
        </w:rPr>
        <w:t xml:space="preserve">، والمراجعين الداخليين والخارجيين، ويجري الإبلاغ بالنتائج استناداً إلى نطاق العمل ومؤشرات الأداء الرئيسية </w:t>
      </w:r>
      <w:r w:rsidRPr="000E07EE">
        <w:rPr>
          <w:lang w:bidi="ar-EG"/>
        </w:rPr>
        <w:t>(KPI)</w:t>
      </w:r>
      <w:r w:rsidRPr="000E07EE">
        <w:rPr>
          <w:rtl/>
        </w:rPr>
        <w:t xml:space="preserve"> المقدمة من الدول الأعضاء. ويمكن الاطلاع على التقرير في الوثيقة </w:t>
      </w:r>
      <w:hyperlink r:id="rId20" w:history="1">
        <w:r w:rsidR="003B0DC8" w:rsidRPr="003B0DC8">
          <w:rPr>
            <w:rStyle w:val="Hyperlink"/>
          </w:rPr>
          <w:t>C2</w:t>
        </w:r>
        <w:r w:rsidR="00FB1CF9">
          <w:rPr>
            <w:rStyle w:val="Hyperlink"/>
          </w:rPr>
          <w:t>6</w:t>
        </w:r>
        <w:r w:rsidR="003B0DC8" w:rsidRPr="003B0DC8">
          <w:rPr>
            <w:rStyle w:val="Hyperlink"/>
          </w:rPr>
          <w:t>/24</w:t>
        </w:r>
      </w:hyperlink>
      <w:r w:rsidRPr="000E07EE">
        <w:rPr>
          <w:rtl/>
        </w:rPr>
        <w:t>.</w:t>
      </w:r>
      <w:hyperlink r:id="rId21" w:history="1"/>
    </w:p>
    <w:p w14:paraId="66D7D1EC" w14:textId="77777777" w:rsidR="000E07EE" w:rsidRPr="000E07EE" w:rsidRDefault="000E07EE" w:rsidP="000E07EE">
      <w:pPr>
        <w:rPr>
          <w:lang w:val="ar-SA" w:bidi="ar-EG"/>
        </w:rPr>
      </w:pPr>
      <w:r w:rsidRPr="000E07EE">
        <w:rPr>
          <w:rtl/>
        </w:rPr>
        <w:t>ويُدعى الفريق الاستشاري للاتصالات الراديوية إلى تقديم تعليقات، إن وُجدت.</w:t>
      </w:r>
    </w:p>
    <w:p w14:paraId="6E3B7929" w14:textId="77777777" w:rsidR="0039465C" w:rsidRPr="0039465C" w:rsidRDefault="0039465C" w:rsidP="0039465C">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4D4AE6">
      <w:headerReference w:type="even" r:id="rId22"/>
      <w:headerReference w:type="default" r:id="rId23"/>
      <w:footerReference w:type="first" r:id="rId24"/>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3A08D" w14:textId="77777777" w:rsidR="000E07EE" w:rsidRDefault="000E07EE" w:rsidP="002919E1">
      <w:r>
        <w:separator/>
      </w:r>
    </w:p>
    <w:p w14:paraId="638324A7" w14:textId="77777777" w:rsidR="000E07EE" w:rsidRDefault="000E07EE" w:rsidP="002919E1"/>
    <w:p w14:paraId="3921F5EE" w14:textId="77777777" w:rsidR="000E07EE" w:rsidRDefault="000E07EE" w:rsidP="002919E1"/>
    <w:p w14:paraId="66E48E70" w14:textId="77777777" w:rsidR="000E07EE" w:rsidRDefault="000E07EE"/>
  </w:endnote>
  <w:endnote w:type="continuationSeparator" w:id="0">
    <w:p w14:paraId="58AC85FE" w14:textId="77777777" w:rsidR="000E07EE" w:rsidRDefault="000E07EE" w:rsidP="002919E1">
      <w:r>
        <w:continuationSeparator/>
      </w:r>
    </w:p>
    <w:p w14:paraId="6D9D36D7" w14:textId="77777777" w:rsidR="000E07EE" w:rsidRDefault="000E07EE" w:rsidP="002919E1"/>
    <w:p w14:paraId="434DC094" w14:textId="77777777" w:rsidR="000E07EE" w:rsidRDefault="000E07EE" w:rsidP="002919E1"/>
    <w:p w14:paraId="18E1CBF4" w14:textId="77777777" w:rsidR="000E07EE" w:rsidRDefault="000E0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9103B2" w:rsidRPr="000E07EE" w14:paraId="10B9DBA2" w14:textId="77777777" w:rsidTr="00966ACF">
      <w:tc>
        <w:tcPr>
          <w:tcW w:w="991" w:type="dxa"/>
          <w:tcBorders>
            <w:top w:val="single" w:sz="4" w:space="0" w:color="auto"/>
            <w:left w:val="nil"/>
            <w:bottom w:val="nil"/>
            <w:right w:val="nil"/>
          </w:tcBorders>
          <w:shd w:val="clear" w:color="auto" w:fill="FFFFFF"/>
          <w:hideMark/>
        </w:tcPr>
        <w:p w14:paraId="0886F7CA" w14:textId="77777777" w:rsidR="009103B2" w:rsidRPr="000E07EE" w:rsidRDefault="009103B2" w:rsidP="009103B2">
          <w:pPr>
            <w:spacing w:before="60" w:after="40" w:line="260" w:lineRule="exact"/>
            <w:rPr>
              <w:rFonts w:eastAsia="SimSun"/>
              <w:position w:val="2"/>
              <w:sz w:val="18"/>
              <w:szCs w:val="18"/>
              <w:lang w:val="en-GB" w:eastAsia="zh-CN"/>
            </w:rPr>
          </w:pPr>
          <w:r w:rsidRPr="000E07EE">
            <w:rPr>
              <w:rFonts w:eastAsia="SimSun"/>
              <w:position w:val="2"/>
              <w:sz w:val="18"/>
              <w:szCs w:val="18"/>
              <w:rtl/>
              <w:lang w:val="fr-FR" w:eastAsia="zh-CN" w:bidi="ar-EG"/>
            </w:rPr>
            <w:t>للاتصال:</w:t>
          </w:r>
        </w:p>
      </w:tc>
      <w:tc>
        <w:tcPr>
          <w:tcW w:w="2411" w:type="dxa"/>
          <w:tcBorders>
            <w:top w:val="single" w:sz="4" w:space="0" w:color="auto"/>
            <w:left w:val="nil"/>
            <w:bottom w:val="nil"/>
            <w:right w:val="nil"/>
          </w:tcBorders>
          <w:shd w:val="clear" w:color="auto" w:fill="FFFFFF"/>
          <w:hideMark/>
        </w:tcPr>
        <w:p w14:paraId="3CDCBE20" w14:textId="77777777" w:rsidR="009103B2" w:rsidRPr="000E07EE" w:rsidRDefault="009103B2" w:rsidP="009103B2">
          <w:pPr>
            <w:spacing w:before="60" w:after="40" w:line="260" w:lineRule="exact"/>
            <w:rPr>
              <w:rFonts w:eastAsia="SimSun"/>
              <w:position w:val="2"/>
              <w:sz w:val="18"/>
              <w:szCs w:val="18"/>
              <w:lang w:val="en-GB" w:eastAsia="zh-CN"/>
            </w:rPr>
          </w:pPr>
          <w:r w:rsidRPr="000E07EE">
            <w:rPr>
              <w:rFonts w:eastAsia="SimSun"/>
              <w:position w:val="2"/>
              <w:sz w:val="18"/>
              <w:szCs w:val="18"/>
              <w:rtl/>
              <w:lang w:val="fr-FR" w:eastAsia="zh-CN" w:bidi="ar-EG"/>
            </w:rPr>
            <w:t>الاسم/المنظمة/الكيان:</w:t>
          </w:r>
        </w:p>
      </w:tc>
      <w:tc>
        <w:tcPr>
          <w:tcW w:w="6237" w:type="dxa"/>
          <w:tcBorders>
            <w:top w:val="single" w:sz="4" w:space="0" w:color="auto"/>
            <w:left w:val="nil"/>
            <w:bottom w:val="nil"/>
            <w:right w:val="nil"/>
          </w:tcBorders>
          <w:shd w:val="clear" w:color="auto" w:fill="FFFFFF"/>
        </w:tcPr>
        <w:p w14:paraId="7B769EDF" w14:textId="77777777" w:rsidR="009103B2" w:rsidRPr="000E07EE" w:rsidRDefault="009103B2" w:rsidP="009103B2">
          <w:pPr>
            <w:spacing w:before="60" w:after="40" w:line="260" w:lineRule="exact"/>
            <w:rPr>
              <w:rFonts w:eastAsia="SimSun"/>
              <w:position w:val="2"/>
              <w:sz w:val="18"/>
              <w:szCs w:val="18"/>
              <w:lang w:val="en-GB" w:eastAsia="zh-CN"/>
            </w:rPr>
          </w:pPr>
          <w:r w:rsidRPr="000E07EE">
            <w:rPr>
              <w:rFonts w:eastAsia="SimSun"/>
              <w:position w:val="2"/>
              <w:sz w:val="18"/>
              <w:szCs w:val="18"/>
              <w:rtl/>
              <w:lang w:val="fr-FR" w:eastAsia="zh-CN"/>
            </w:rPr>
            <w:t xml:space="preserve">السيدة </w:t>
          </w:r>
          <w:proofErr w:type="spellStart"/>
          <w:r w:rsidRPr="000E07EE">
            <w:rPr>
              <w:rFonts w:eastAsia="SimSun"/>
              <w:position w:val="2"/>
              <w:sz w:val="18"/>
              <w:szCs w:val="18"/>
              <w:rtl/>
              <w:lang w:val="fr-FR" w:eastAsia="zh-CN"/>
            </w:rPr>
            <w:t>Archana</w:t>
          </w:r>
          <w:proofErr w:type="spellEnd"/>
          <w:r w:rsidRPr="000E07EE">
            <w:rPr>
              <w:rFonts w:eastAsia="SimSun"/>
              <w:position w:val="2"/>
              <w:sz w:val="18"/>
              <w:szCs w:val="18"/>
              <w:rtl/>
              <w:lang w:val="fr-FR" w:eastAsia="zh-CN"/>
            </w:rPr>
            <w:t xml:space="preserve"> </w:t>
          </w:r>
          <w:proofErr w:type="spellStart"/>
          <w:r w:rsidRPr="000E07EE">
            <w:rPr>
              <w:rFonts w:eastAsia="SimSun"/>
              <w:position w:val="2"/>
              <w:sz w:val="18"/>
              <w:szCs w:val="18"/>
              <w:rtl/>
              <w:lang w:val="fr-FR" w:eastAsia="zh-CN"/>
            </w:rPr>
            <w:t>Gulati</w:t>
          </w:r>
          <w:proofErr w:type="spellEnd"/>
          <w:r w:rsidRPr="000E07EE">
            <w:rPr>
              <w:rFonts w:eastAsia="SimSun"/>
              <w:position w:val="2"/>
              <w:sz w:val="18"/>
              <w:szCs w:val="18"/>
              <w:rtl/>
              <w:lang w:val="fr-FR" w:eastAsia="zh-CN"/>
            </w:rPr>
            <w:t>، نائبة مدير مكتب تنمية الاتصالات</w:t>
          </w:r>
        </w:p>
      </w:tc>
    </w:tr>
    <w:tr w:rsidR="009103B2" w:rsidRPr="000E07EE" w14:paraId="1582CE4D" w14:textId="77777777" w:rsidTr="00966ACF">
      <w:tc>
        <w:tcPr>
          <w:tcW w:w="991" w:type="dxa"/>
        </w:tcPr>
        <w:p w14:paraId="452B8AD3" w14:textId="77777777" w:rsidR="009103B2" w:rsidRPr="000E07EE" w:rsidRDefault="009103B2" w:rsidP="009103B2">
          <w:pPr>
            <w:spacing w:before="60" w:after="40" w:line="260" w:lineRule="exact"/>
            <w:rPr>
              <w:rFonts w:eastAsia="SimSun"/>
              <w:position w:val="2"/>
              <w:sz w:val="18"/>
              <w:szCs w:val="18"/>
              <w:lang w:val="en-GB" w:eastAsia="zh-CN"/>
            </w:rPr>
          </w:pPr>
        </w:p>
      </w:tc>
      <w:tc>
        <w:tcPr>
          <w:tcW w:w="2411" w:type="dxa"/>
          <w:hideMark/>
        </w:tcPr>
        <w:p w14:paraId="3279AA9A" w14:textId="77777777" w:rsidR="009103B2" w:rsidRPr="000E07EE" w:rsidRDefault="009103B2" w:rsidP="009103B2">
          <w:pPr>
            <w:spacing w:before="60" w:after="40" w:line="260" w:lineRule="exact"/>
            <w:rPr>
              <w:rFonts w:eastAsia="SimSun"/>
              <w:position w:val="2"/>
              <w:sz w:val="18"/>
              <w:szCs w:val="18"/>
              <w:lang w:val="en-GB" w:eastAsia="zh-CN"/>
            </w:rPr>
          </w:pPr>
          <w:r w:rsidRPr="000E07EE">
            <w:rPr>
              <w:rFonts w:eastAsia="SimSun"/>
              <w:position w:val="2"/>
              <w:sz w:val="18"/>
              <w:szCs w:val="18"/>
              <w:rtl/>
              <w:lang w:val="fr-FR" w:eastAsia="zh-CN" w:bidi="ar-EG"/>
            </w:rPr>
            <w:t>رقم الهاتف:</w:t>
          </w:r>
        </w:p>
      </w:tc>
      <w:tc>
        <w:tcPr>
          <w:tcW w:w="6237" w:type="dxa"/>
        </w:tcPr>
        <w:p w14:paraId="0092A9A5" w14:textId="77777777" w:rsidR="009103B2" w:rsidRPr="000E07EE" w:rsidRDefault="009103B2" w:rsidP="009103B2">
          <w:pPr>
            <w:spacing w:before="60" w:after="40" w:line="260" w:lineRule="exact"/>
            <w:rPr>
              <w:rFonts w:eastAsia="SimSun"/>
              <w:position w:val="2"/>
              <w:sz w:val="18"/>
              <w:szCs w:val="18"/>
              <w:lang w:val="en-GB" w:eastAsia="zh-CN"/>
            </w:rPr>
          </w:pPr>
          <w:r w:rsidRPr="000E07EE">
            <w:rPr>
              <w:rFonts w:eastAsia="SimSun"/>
              <w:position w:val="2"/>
              <w:sz w:val="18"/>
              <w:szCs w:val="18"/>
              <w:lang w:eastAsia="zh-CN" w:bidi="ar-EG"/>
            </w:rPr>
            <w:t>+41 22 730 6475 </w:t>
          </w:r>
        </w:p>
      </w:tc>
    </w:tr>
    <w:tr w:rsidR="009103B2" w:rsidRPr="000E07EE" w14:paraId="1053EE0B" w14:textId="77777777" w:rsidTr="00966ACF">
      <w:tc>
        <w:tcPr>
          <w:tcW w:w="991" w:type="dxa"/>
        </w:tcPr>
        <w:p w14:paraId="56310BA8" w14:textId="77777777" w:rsidR="009103B2" w:rsidRPr="000E07EE" w:rsidRDefault="009103B2" w:rsidP="009103B2">
          <w:pPr>
            <w:spacing w:before="60" w:after="40" w:line="260" w:lineRule="exact"/>
            <w:rPr>
              <w:rFonts w:eastAsia="SimSun"/>
              <w:position w:val="2"/>
              <w:sz w:val="18"/>
              <w:szCs w:val="18"/>
              <w:lang w:val="en-GB" w:eastAsia="zh-CN"/>
            </w:rPr>
          </w:pPr>
        </w:p>
      </w:tc>
      <w:tc>
        <w:tcPr>
          <w:tcW w:w="2411" w:type="dxa"/>
          <w:hideMark/>
        </w:tcPr>
        <w:p w14:paraId="32990D67" w14:textId="77777777" w:rsidR="009103B2" w:rsidRPr="000E07EE" w:rsidRDefault="009103B2" w:rsidP="009103B2">
          <w:pPr>
            <w:spacing w:before="60" w:after="40" w:line="260" w:lineRule="exact"/>
            <w:rPr>
              <w:rFonts w:eastAsia="SimSun"/>
              <w:position w:val="2"/>
              <w:sz w:val="18"/>
              <w:szCs w:val="18"/>
              <w:lang w:val="en-GB" w:eastAsia="zh-CN"/>
            </w:rPr>
          </w:pPr>
          <w:r w:rsidRPr="000E07EE">
            <w:rPr>
              <w:rFonts w:eastAsia="SimSun"/>
              <w:position w:val="2"/>
              <w:sz w:val="18"/>
              <w:szCs w:val="18"/>
              <w:rtl/>
              <w:lang w:val="fr-FR" w:eastAsia="zh-CN" w:bidi="ar-EG"/>
            </w:rPr>
            <w:t>البريد الإلكتروني:</w:t>
          </w:r>
        </w:p>
      </w:tc>
      <w:tc>
        <w:tcPr>
          <w:tcW w:w="6237" w:type="dxa"/>
        </w:tcPr>
        <w:p w14:paraId="34A3F0A6" w14:textId="77777777" w:rsidR="009103B2" w:rsidRPr="000E07EE" w:rsidRDefault="009103B2" w:rsidP="009103B2">
          <w:pPr>
            <w:spacing w:before="60" w:after="40" w:line="260" w:lineRule="exact"/>
            <w:rPr>
              <w:rFonts w:eastAsia="SimSun"/>
              <w:position w:val="2"/>
              <w:sz w:val="18"/>
              <w:szCs w:val="18"/>
              <w:rtl/>
              <w:lang w:val="fr-FR" w:eastAsia="zh-CN" w:bidi="ar-EG"/>
            </w:rPr>
          </w:pPr>
          <w:hyperlink r:id="rId1" w:tgtFrame="_blank" w:history="1">
            <w:r w:rsidRPr="000E07EE">
              <w:rPr>
                <w:rStyle w:val="Hyperlink"/>
                <w:rFonts w:eastAsia="SimSun"/>
                <w:position w:val="2"/>
                <w:sz w:val="18"/>
                <w:szCs w:val="18"/>
                <w:lang w:eastAsia="zh-CN" w:bidi="ar-EG"/>
              </w:rPr>
              <w:t>archana.gulati@itu.int</w:t>
            </w:r>
          </w:hyperlink>
          <w:r w:rsidRPr="000E07EE">
            <w:rPr>
              <w:rFonts w:eastAsia="SimSun"/>
              <w:position w:val="2"/>
              <w:sz w:val="18"/>
              <w:szCs w:val="18"/>
              <w:lang w:eastAsia="zh-CN" w:bidi="ar-EG"/>
            </w:rPr>
            <w:t> </w:t>
          </w:r>
        </w:p>
      </w:tc>
    </w:tr>
  </w:tbl>
  <w:p w14:paraId="2B977CB2" w14:textId="77777777" w:rsidR="009103B2" w:rsidRPr="009103B2" w:rsidRDefault="009103B2" w:rsidP="009103B2">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CCF3F" w14:textId="77777777" w:rsidR="000E07EE" w:rsidRDefault="000E07EE" w:rsidP="002919E1">
      <w:r>
        <w:separator/>
      </w:r>
    </w:p>
  </w:footnote>
  <w:footnote w:type="continuationSeparator" w:id="0">
    <w:p w14:paraId="734E376C" w14:textId="77777777" w:rsidR="000E07EE" w:rsidRDefault="000E07EE" w:rsidP="002919E1">
      <w:r>
        <w:continuationSeparator/>
      </w:r>
    </w:p>
    <w:p w14:paraId="1AB12BDD" w14:textId="77777777" w:rsidR="000E07EE" w:rsidRDefault="000E07EE" w:rsidP="002919E1"/>
    <w:p w14:paraId="19EC7A0E" w14:textId="77777777" w:rsidR="000E07EE" w:rsidRDefault="000E07EE" w:rsidP="002919E1"/>
    <w:p w14:paraId="20132A7A" w14:textId="77777777" w:rsidR="000E07EE" w:rsidRDefault="000E07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B23A" w14:textId="77777777" w:rsidR="00281F5F" w:rsidRDefault="00281F5F" w:rsidP="002919E1"/>
  <w:p w14:paraId="3E926563" w14:textId="77777777" w:rsidR="00281F5F" w:rsidRDefault="00281F5F" w:rsidP="002919E1"/>
  <w:p w14:paraId="11486CCC"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D320" w14:textId="7CC06C54"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A809E8">
      <w:rPr>
        <w:rStyle w:val="PageNumber"/>
      </w:rPr>
      <w:t>/</w:t>
    </w:r>
    <w:r w:rsidR="000E07EE">
      <w:rPr>
        <w:rStyle w:val="PageNumber"/>
      </w:rPr>
      <w:t>66(Rev.</w:t>
    </w:r>
    <w:r w:rsidR="00FB1CF9">
      <w:rPr>
        <w:rStyle w:val="PageNumber"/>
      </w:rPr>
      <w:t>2</w:t>
    </w:r>
    <w:r w:rsidR="000E07EE">
      <w:rPr>
        <w:rStyle w:val="PageNumber"/>
      </w:rPr>
      <w:t>)</w:t>
    </w:r>
    <w:r w:rsidR="00A809E8">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4C50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B8A3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642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1AC1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E4A8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384571255">
    <w:abstractNumId w:val="9"/>
  </w:num>
  <w:num w:numId="2" w16cid:durableId="683098453">
    <w:abstractNumId w:val="11"/>
  </w:num>
  <w:num w:numId="3" w16cid:durableId="676006606">
    <w:abstractNumId w:val="10"/>
  </w:num>
  <w:num w:numId="4" w16cid:durableId="903955018">
    <w:abstractNumId w:val="12"/>
  </w:num>
  <w:num w:numId="5" w16cid:durableId="68579812">
    <w:abstractNumId w:val="7"/>
  </w:num>
  <w:num w:numId="6" w16cid:durableId="1204824598">
    <w:abstractNumId w:val="6"/>
  </w:num>
  <w:num w:numId="7" w16cid:durableId="490020946">
    <w:abstractNumId w:val="5"/>
  </w:num>
  <w:num w:numId="8" w16cid:durableId="711460756">
    <w:abstractNumId w:val="4"/>
  </w:num>
  <w:num w:numId="9" w16cid:durableId="560992524">
    <w:abstractNumId w:val="8"/>
  </w:num>
  <w:num w:numId="10" w16cid:durableId="1750736950">
    <w:abstractNumId w:val="3"/>
  </w:num>
  <w:num w:numId="11" w16cid:durableId="1770004678">
    <w:abstractNumId w:val="2"/>
  </w:num>
  <w:num w:numId="12" w16cid:durableId="244727552">
    <w:abstractNumId w:val="1"/>
  </w:num>
  <w:num w:numId="13" w16cid:durableId="206918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EE"/>
    <w:rsid w:val="00011021"/>
    <w:rsid w:val="000114EC"/>
    <w:rsid w:val="00011F8C"/>
    <w:rsid w:val="00022B74"/>
    <w:rsid w:val="0002327C"/>
    <w:rsid w:val="00034B65"/>
    <w:rsid w:val="00040C94"/>
    <w:rsid w:val="000425FC"/>
    <w:rsid w:val="00044D43"/>
    <w:rsid w:val="00051907"/>
    <w:rsid w:val="00075A3F"/>
    <w:rsid w:val="000A1B16"/>
    <w:rsid w:val="000B3896"/>
    <w:rsid w:val="000B5404"/>
    <w:rsid w:val="000D1708"/>
    <w:rsid w:val="000E07EE"/>
    <w:rsid w:val="000E2AFC"/>
    <w:rsid w:val="000E6D30"/>
    <w:rsid w:val="000F05F5"/>
    <w:rsid w:val="000F518F"/>
    <w:rsid w:val="0010081C"/>
    <w:rsid w:val="001013E3"/>
    <w:rsid w:val="0010363F"/>
    <w:rsid w:val="00123AA6"/>
    <w:rsid w:val="0012545F"/>
    <w:rsid w:val="00136B82"/>
    <w:rsid w:val="001464F2"/>
    <w:rsid w:val="00167364"/>
    <w:rsid w:val="001903B2"/>
    <w:rsid w:val="001B5953"/>
    <w:rsid w:val="001C383B"/>
    <w:rsid w:val="001D746E"/>
    <w:rsid w:val="001E190C"/>
    <w:rsid w:val="001E51EE"/>
    <w:rsid w:val="001E54F6"/>
    <w:rsid w:val="001E5A8C"/>
    <w:rsid w:val="001E6923"/>
    <w:rsid w:val="00201A0A"/>
    <w:rsid w:val="002075D4"/>
    <w:rsid w:val="00211B2A"/>
    <w:rsid w:val="00223C6C"/>
    <w:rsid w:val="002333A0"/>
    <w:rsid w:val="002543CF"/>
    <w:rsid w:val="0026062E"/>
    <w:rsid w:val="00260F50"/>
    <w:rsid w:val="00261EF7"/>
    <w:rsid w:val="0027069F"/>
    <w:rsid w:val="00276E27"/>
    <w:rsid w:val="00280E04"/>
    <w:rsid w:val="00281F5F"/>
    <w:rsid w:val="002843E4"/>
    <w:rsid w:val="002917AB"/>
    <w:rsid w:val="002919E1"/>
    <w:rsid w:val="00295917"/>
    <w:rsid w:val="00296071"/>
    <w:rsid w:val="002A4572"/>
    <w:rsid w:val="002A7E2E"/>
    <w:rsid w:val="002B12C5"/>
    <w:rsid w:val="002B16D8"/>
    <w:rsid w:val="002D5F64"/>
    <w:rsid w:val="002D6BB4"/>
    <w:rsid w:val="002D6FBF"/>
    <w:rsid w:val="002E48BF"/>
    <w:rsid w:val="002E61C2"/>
    <w:rsid w:val="002F3031"/>
    <w:rsid w:val="002F3E46"/>
    <w:rsid w:val="0030601A"/>
    <w:rsid w:val="00311E3F"/>
    <w:rsid w:val="00314B1E"/>
    <w:rsid w:val="0033737F"/>
    <w:rsid w:val="00353652"/>
    <w:rsid w:val="003569E1"/>
    <w:rsid w:val="003815E2"/>
    <w:rsid w:val="00381FAD"/>
    <w:rsid w:val="00382A66"/>
    <w:rsid w:val="003923B1"/>
    <w:rsid w:val="0039465C"/>
    <w:rsid w:val="003965FE"/>
    <w:rsid w:val="003B0DC8"/>
    <w:rsid w:val="003B27AD"/>
    <w:rsid w:val="003B4A8D"/>
    <w:rsid w:val="003B4F23"/>
    <w:rsid w:val="003C12F6"/>
    <w:rsid w:val="003C3A13"/>
    <w:rsid w:val="003E02EF"/>
    <w:rsid w:val="003E1D90"/>
    <w:rsid w:val="00400CD4"/>
    <w:rsid w:val="004147B9"/>
    <w:rsid w:val="00422C04"/>
    <w:rsid w:val="00423A40"/>
    <w:rsid w:val="00426144"/>
    <w:rsid w:val="004636E2"/>
    <w:rsid w:val="00464B03"/>
    <w:rsid w:val="00470CBD"/>
    <w:rsid w:val="0047407D"/>
    <w:rsid w:val="004909DD"/>
    <w:rsid w:val="004A05E6"/>
    <w:rsid w:val="004A6230"/>
    <w:rsid w:val="004A6C66"/>
    <w:rsid w:val="004A7AA0"/>
    <w:rsid w:val="004C11BC"/>
    <w:rsid w:val="004C5C04"/>
    <w:rsid w:val="004D0448"/>
    <w:rsid w:val="004D4AE6"/>
    <w:rsid w:val="004F0BED"/>
    <w:rsid w:val="00505FCA"/>
    <w:rsid w:val="00510C2D"/>
    <w:rsid w:val="00516042"/>
    <w:rsid w:val="005166A4"/>
    <w:rsid w:val="005169F4"/>
    <w:rsid w:val="005210D1"/>
    <w:rsid w:val="00523146"/>
    <w:rsid w:val="00523275"/>
    <w:rsid w:val="00531DC7"/>
    <w:rsid w:val="005350B0"/>
    <w:rsid w:val="005431B5"/>
    <w:rsid w:val="00546A99"/>
    <w:rsid w:val="00553411"/>
    <w:rsid w:val="00553F66"/>
    <w:rsid w:val="00554AE7"/>
    <w:rsid w:val="00564746"/>
    <w:rsid w:val="0056512C"/>
    <w:rsid w:val="00567F38"/>
    <w:rsid w:val="005730DF"/>
    <w:rsid w:val="0057610B"/>
    <w:rsid w:val="00576D0A"/>
    <w:rsid w:val="00576FCC"/>
    <w:rsid w:val="00584333"/>
    <w:rsid w:val="005953EC"/>
    <w:rsid w:val="005B00A1"/>
    <w:rsid w:val="005C29C8"/>
    <w:rsid w:val="005C5D25"/>
    <w:rsid w:val="005D2606"/>
    <w:rsid w:val="005D6D48"/>
    <w:rsid w:val="005D72A4"/>
    <w:rsid w:val="005F05CC"/>
    <w:rsid w:val="005F65DE"/>
    <w:rsid w:val="00613492"/>
    <w:rsid w:val="00630905"/>
    <w:rsid w:val="006315B5"/>
    <w:rsid w:val="0065562F"/>
    <w:rsid w:val="006577C0"/>
    <w:rsid w:val="006779A4"/>
    <w:rsid w:val="00680A66"/>
    <w:rsid w:val="00681391"/>
    <w:rsid w:val="00694690"/>
    <w:rsid w:val="0069526C"/>
    <w:rsid w:val="006A093D"/>
    <w:rsid w:val="006A12AC"/>
    <w:rsid w:val="006A2162"/>
    <w:rsid w:val="006B4B90"/>
    <w:rsid w:val="006B658C"/>
    <w:rsid w:val="006D2674"/>
    <w:rsid w:val="006E38D0"/>
    <w:rsid w:val="006E465B"/>
    <w:rsid w:val="006F70BF"/>
    <w:rsid w:val="00716B1D"/>
    <w:rsid w:val="007248EC"/>
    <w:rsid w:val="00726744"/>
    <w:rsid w:val="00731150"/>
    <w:rsid w:val="00731749"/>
    <w:rsid w:val="00734E41"/>
    <w:rsid w:val="007351CE"/>
    <w:rsid w:val="00736DCC"/>
    <w:rsid w:val="00741855"/>
    <w:rsid w:val="00742B73"/>
    <w:rsid w:val="00751251"/>
    <w:rsid w:val="00754431"/>
    <w:rsid w:val="007610E7"/>
    <w:rsid w:val="00764079"/>
    <w:rsid w:val="00770AA0"/>
    <w:rsid w:val="00771F7E"/>
    <w:rsid w:val="00773E9C"/>
    <w:rsid w:val="00776F6B"/>
    <w:rsid w:val="00777694"/>
    <w:rsid w:val="00786A7E"/>
    <w:rsid w:val="007A0802"/>
    <w:rsid w:val="007B1FCA"/>
    <w:rsid w:val="007C2C12"/>
    <w:rsid w:val="007C3CFA"/>
    <w:rsid w:val="007E0E8B"/>
    <w:rsid w:val="007E6847"/>
    <w:rsid w:val="007E6B0A"/>
    <w:rsid w:val="007F08CA"/>
    <w:rsid w:val="007F7FC3"/>
    <w:rsid w:val="00801238"/>
    <w:rsid w:val="00810482"/>
    <w:rsid w:val="00817568"/>
    <w:rsid w:val="008204AC"/>
    <w:rsid w:val="008261C2"/>
    <w:rsid w:val="00827482"/>
    <w:rsid w:val="00830D96"/>
    <w:rsid w:val="0085569D"/>
    <w:rsid w:val="00855B59"/>
    <w:rsid w:val="0085774F"/>
    <w:rsid w:val="008579A5"/>
    <w:rsid w:val="008614B8"/>
    <w:rsid w:val="008657CB"/>
    <w:rsid w:val="00873A6F"/>
    <w:rsid w:val="0088384B"/>
    <w:rsid w:val="00893E53"/>
    <w:rsid w:val="008A1137"/>
    <w:rsid w:val="008A1788"/>
    <w:rsid w:val="008A3E57"/>
    <w:rsid w:val="008A4185"/>
    <w:rsid w:val="008A6552"/>
    <w:rsid w:val="008B4E93"/>
    <w:rsid w:val="008B52B7"/>
    <w:rsid w:val="008C3818"/>
    <w:rsid w:val="008D6ACC"/>
    <w:rsid w:val="008D7AF0"/>
    <w:rsid w:val="008E2CBE"/>
    <w:rsid w:val="008E32DD"/>
    <w:rsid w:val="008F4626"/>
    <w:rsid w:val="009004DF"/>
    <w:rsid w:val="00904AA5"/>
    <w:rsid w:val="009103B2"/>
    <w:rsid w:val="00951718"/>
    <w:rsid w:val="00960962"/>
    <w:rsid w:val="00972CE0"/>
    <w:rsid w:val="009A3D30"/>
    <w:rsid w:val="009D6348"/>
    <w:rsid w:val="009E5007"/>
    <w:rsid w:val="009E613F"/>
    <w:rsid w:val="009F042B"/>
    <w:rsid w:val="00A03F63"/>
    <w:rsid w:val="00A03FD6"/>
    <w:rsid w:val="00A04CF4"/>
    <w:rsid w:val="00A116A8"/>
    <w:rsid w:val="00A17E61"/>
    <w:rsid w:val="00A22AE9"/>
    <w:rsid w:val="00A26758"/>
    <w:rsid w:val="00A26D0E"/>
    <w:rsid w:val="00A27205"/>
    <w:rsid w:val="00A278E9"/>
    <w:rsid w:val="00A3451F"/>
    <w:rsid w:val="00A3584A"/>
    <w:rsid w:val="00A35E1F"/>
    <w:rsid w:val="00A36268"/>
    <w:rsid w:val="00A375BD"/>
    <w:rsid w:val="00A40B2C"/>
    <w:rsid w:val="00A42ADC"/>
    <w:rsid w:val="00A66D2B"/>
    <w:rsid w:val="00A809E8"/>
    <w:rsid w:val="00A85B65"/>
    <w:rsid w:val="00A870AD"/>
    <w:rsid w:val="00A90843"/>
    <w:rsid w:val="00A9645C"/>
    <w:rsid w:val="00AB2A33"/>
    <w:rsid w:val="00AC1275"/>
    <w:rsid w:val="00AC7395"/>
    <w:rsid w:val="00AD162B"/>
    <w:rsid w:val="00AD690F"/>
    <w:rsid w:val="00AD69DD"/>
    <w:rsid w:val="00AE6B26"/>
    <w:rsid w:val="00AF22C1"/>
    <w:rsid w:val="00AF3EFA"/>
    <w:rsid w:val="00AF41D1"/>
    <w:rsid w:val="00B01623"/>
    <w:rsid w:val="00B033DF"/>
    <w:rsid w:val="00B039AD"/>
    <w:rsid w:val="00B07CEE"/>
    <w:rsid w:val="00B12661"/>
    <w:rsid w:val="00B16045"/>
    <w:rsid w:val="00B1667D"/>
    <w:rsid w:val="00B1714C"/>
    <w:rsid w:val="00B357E9"/>
    <w:rsid w:val="00B4164D"/>
    <w:rsid w:val="00B425C1"/>
    <w:rsid w:val="00B606BA"/>
    <w:rsid w:val="00B66817"/>
    <w:rsid w:val="00B71E3B"/>
    <w:rsid w:val="00B721D5"/>
    <w:rsid w:val="00B81CB5"/>
    <w:rsid w:val="00B8351F"/>
    <w:rsid w:val="00B86C44"/>
    <w:rsid w:val="00B9727C"/>
    <w:rsid w:val="00BA77F7"/>
    <w:rsid w:val="00BA7D44"/>
    <w:rsid w:val="00BD6291"/>
    <w:rsid w:val="00BD6EF3"/>
    <w:rsid w:val="00BE69C3"/>
    <w:rsid w:val="00C1165E"/>
    <w:rsid w:val="00C22074"/>
    <w:rsid w:val="00C2377B"/>
    <w:rsid w:val="00C34E09"/>
    <w:rsid w:val="00C3693C"/>
    <w:rsid w:val="00C449F7"/>
    <w:rsid w:val="00C53F6F"/>
    <w:rsid w:val="00C5489D"/>
    <w:rsid w:val="00C71759"/>
    <w:rsid w:val="00C81441"/>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D1574"/>
    <w:rsid w:val="00CE0E68"/>
    <w:rsid w:val="00CE5BA4"/>
    <w:rsid w:val="00D25120"/>
    <w:rsid w:val="00D36C5E"/>
    <w:rsid w:val="00D419CB"/>
    <w:rsid w:val="00D44350"/>
    <w:rsid w:val="00D44E3F"/>
    <w:rsid w:val="00D51BB8"/>
    <w:rsid w:val="00D525F5"/>
    <w:rsid w:val="00D535D0"/>
    <w:rsid w:val="00D577D8"/>
    <w:rsid w:val="00D62C78"/>
    <w:rsid w:val="00D81703"/>
    <w:rsid w:val="00D82929"/>
    <w:rsid w:val="00D84214"/>
    <w:rsid w:val="00D943E5"/>
    <w:rsid w:val="00DA1AE0"/>
    <w:rsid w:val="00DC29DD"/>
    <w:rsid w:val="00DC7C0E"/>
    <w:rsid w:val="00DE7387"/>
    <w:rsid w:val="00DF2A6A"/>
    <w:rsid w:val="00DF3B72"/>
    <w:rsid w:val="00E10821"/>
    <w:rsid w:val="00E2489D"/>
    <w:rsid w:val="00E26520"/>
    <w:rsid w:val="00E26732"/>
    <w:rsid w:val="00E343A3"/>
    <w:rsid w:val="00E47277"/>
    <w:rsid w:val="00E51BFA"/>
    <w:rsid w:val="00E6129E"/>
    <w:rsid w:val="00E621A3"/>
    <w:rsid w:val="00E833BC"/>
    <w:rsid w:val="00E8580E"/>
    <w:rsid w:val="00E97E21"/>
    <w:rsid w:val="00EA1B76"/>
    <w:rsid w:val="00EA77D7"/>
    <w:rsid w:val="00EC09B9"/>
    <w:rsid w:val="00ED048C"/>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52E75"/>
    <w:rsid w:val="00F84613"/>
    <w:rsid w:val="00F8654D"/>
    <w:rsid w:val="00F900C9"/>
    <w:rsid w:val="00F92C96"/>
    <w:rsid w:val="00F97D1C"/>
    <w:rsid w:val="00FA0D4E"/>
    <w:rsid w:val="00FB0753"/>
    <w:rsid w:val="00FB1CF9"/>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C6D60"/>
  <w15:docId w15:val="{077EDE5A-0FC7-40AD-B813-FAA0D4F3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431"/>
    <w:pPr>
      <w:tabs>
        <w:tab w:val="left" w:pos="794"/>
      </w:tabs>
      <w:bidi/>
      <w:spacing w:before="120" w:after="120" w:line="192" w:lineRule="auto"/>
      <w:jc w:val="both"/>
    </w:pPr>
    <w:rPr>
      <w:rFonts w:ascii="Dubai" w:hAnsi="Dubai" w:cs="Dubai"/>
      <w:sz w:val="22"/>
      <w:szCs w:val="22"/>
      <w:lang w:eastAsia="en-US"/>
    </w:rPr>
  </w:style>
  <w:style w:type="paragraph" w:styleId="Heading1">
    <w:name w:val="heading 1"/>
    <w:basedOn w:val="Normal"/>
    <w:next w:val="Normal"/>
    <w:qFormat/>
    <w:rsid w:val="00731749"/>
    <w:pPr>
      <w:keepNext/>
      <w:spacing w:before="280"/>
      <w:ind w:left="794" w:hanging="79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A85B65"/>
    <w:pPr>
      <w:tabs>
        <w:tab w:val="clear" w:pos="794"/>
      </w:tabs>
      <w:spacing w:before="80"/>
      <w:ind w:left="794" w:hanging="794"/>
    </w:pPr>
  </w:style>
  <w:style w:type="character" w:customStyle="1" w:styleId="enumlev1Char">
    <w:name w:val="enumlev1 Char"/>
    <w:basedOn w:val="DefaultParagraphFont"/>
    <w:link w:val="enumlev1"/>
    <w:rsid w:val="00A85B65"/>
    <w:rPr>
      <w:rFonts w:ascii="Dubai" w:hAnsi="Dubai" w:cs="Dubai"/>
      <w:sz w:val="22"/>
      <w:szCs w:val="22"/>
      <w:lang w:eastAsia="en-US"/>
    </w:rPr>
  </w:style>
  <w:style w:type="paragraph" w:customStyle="1" w:styleId="enumlev2">
    <w:name w:val="enumlev2"/>
    <w:basedOn w:val="enumlev1"/>
    <w:next w:val="Normal"/>
    <w:link w:val="enumlev2Char"/>
    <w:qFormat/>
    <w:rsid w:val="00A85B65"/>
    <w:pPr>
      <w:ind w:left="1588"/>
    </w:pPr>
  </w:style>
  <w:style w:type="character" w:customStyle="1" w:styleId="enumlev2Char">
    <w:name w:val="enumlev2 Char"/>
    <w:basedOn w:val="enumlev1Char"/>
    <w:link w:val="enumlev2"/>
    <w:rsid w:val="00A85B65"/>
    <w:rPr>
      <w:rFonts w:ascii="Dubai" w:hAnsi="Dubai" w:cs="Dubai"/>
      <w:sz w:val="22"/>
      <w:szCs w:val="22"/>
      <w:lang w:eastAsia="en-US"/>
    </w:rPr>
  </w:style>
  <w:style w:type="paragraph" w:customStyle="1" w:styleId="enumlev3">
    <w:name w:val="enumlev3"/>
    <w:basedOn w:val="enumlev2"/>
    <w:next w:val="Normal"/>
    <w:link w:val="enumlev3Char"/>
    <w:qFormat/>
    <w:rsid w:val="00A85B65"/>
    <w:pPr>
      <w:ind w:left="2382"/>
    </w:pPr>
  </w:style>
  <w:style w:type="character" w:customStyle="1" w:styleId="enumlev3Char">
    <w:name w:val="enumlev3 Char"/>
    <w:basedOn w:val="enumlev2Char"/>
    <w:link w:val="enumlev3"/>
    <w:rsid w:val="00A85B6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S26-CL-C-0024/en" TargetMode="External"/><Relationship Id="rId18" Type="http://schemas.openxmlformats.org/officeDocument/2006/relationships/hyperlink" Target="https://www.itu.int/md/S25-CL-C-0069/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tu.int/md/S26-CL-C-0024/en"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tu.int/md/S25-CL-C-0105/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md/S26-CL-C-0024/en" TargetMode="External"/><Relationship Id="rId20" Type="http://schemas.openxmlformats.org/officeDocument/2006/relationships/hyperlink" Target="https://www.itu.int/md/S26-CL-C-0024/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itu.int/md/S25-CL-C-0105/en"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itu.int/md/S25-CL-C-0069/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S26-CL-C-0024/e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rchana.gulati@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EFC4C3-DC4A-4907-A9BB-98121FAC99D6}">
  <ds:schemaRefs>
    <ds:schemaRef ds:uri="http://www.w3.org/XML/1998/namespace"/>
    <ds:schemaRef ds:uri="http://schemas.microsoft.com/office/2006/metadata/properties"/>
    <ds:schemaRef ds:uri="32a1a8c5-2265-4ebc-b7a0-2071e2c5c9bb"/>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 ds:uri="http://schemas.microsoft.com/office/infopath/2007/PartnerControls"/>
    <ds:schemaRef ds:uri="996b2e75-67fd-4955-a3b0-5ab9934cb50b"/>
  </ds:schemaRefs>
</ds:datastoreItem>
</file>

<file path=customXml/itemProps2.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4.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customXml/itemProps5.xml><?xml version="1.0" encoding="utf-8"?>
<ds:datastoreItem xmlns:ds="http://schemas.openxmlformats.org/officeDocument/2006/customXml" ds:itemID="{3CBF0B46-A354-4BFF-9D94-58AFD750E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Arabic_I.R</dc:creator>
  <cp:keywords/>
  <cp:lastModifiedBy>Xue, Kun</cp:lastModifiedBy>
  <cp:revision>2</cp:revision>
  <cp:lastPrinted>2019-06-26T10:10:00Z</cp:lastPrinted>
  <dcterms:created xsi:type="dcterms:W3CDTF">2026-04-02T07:49:00Z</dcterms:created>
  <dcterms:modified xsi:type="dcterms:W3CDTF">2026-04-02T07:49:00Z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