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6BD9767" w14:textId="77777777" w:rsidTr="00553F66">
        <w:trPr>
          <w:cantSplit/>
          <w:trHeight w:val="20"/>
        </w:trPr>
        <w:tc>
          <w:tcPr>
            <w:tcW w:w="6619" w:type="dxa"/>
          </w:tcPr>
          <w:p w14:paraId="1E56A010"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C474F64"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5A0DB64A" wp14:editId="5B17085A">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E6571DC" w14:textId="77777777" w:rsidTr="00553F66">
        <w:trPr>
          <w:cantSplit/>
          <w:trHeight w:val="20"/>
        </w:trPr>
        <w:tc>
          <w:tcPr>
            <w:tcW w:w="6619" w:type="dxa"/>
            <w:tcBorders>
              <w:bottom w:val="single" w:sz="12" w:space="0" w:color="auto"/>
            </w:tcBorders>
          </w:tcPr>
          <w:p w14:paraId="42662FCC"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654475BB" w14:textId="77777777" w:rsidR="00280E04" w:rsidRPr="00A9645C" w:rsidRDefault="00280E04" w:rsidP="002F3031">
            <w:pPr>
              <w:spacing w:before="0" w:line="120" w:lineRule="auto"/>
              <w:rPr>
                <w:lang w:bidi="ar-EG"/>
              </w:rPr>
            </w:pPr>
          </w:p>
        </w:tc>
      </w:tr>
      <w:tr w:rsidR="00280E04" w14:paraId="4CEC3DB3" w14:textId="77777777" w:rsidTr="00553F66">
        <w:trPr>
          <w:cantSplit/>
          <w:trHeight w:val="20"/>
        </w:trPr>
        <w:tc>
          <w:tcPr>
            <w:tcW w:w="6619" w:type="dxa"/>
            <w:tcBorders>
              <w:top w:val="single" w:sz="12" w:space="0" w:color="auto"/>
            </w:tcBorders>
          </w:tcPr>
          <w:p w14:paraId="64CDC01D"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44500568" w14:textId="77777777" w:rsidR="00280E04" w:rsidRPr="00BD6EF3" w:rsidRDefault="00280E04" w:rsidP="00D44350">
            <w:pPr>
              <w:pStyle w:val="Adress"/>
              <w:framePr w:hSpace="0" w:wrap="auto" w:xAlign="left" w:yAlign="inline"/>
            </w:pPr>
          </w:p>
        </w:tc>
      </w:tr>
      <w:tr w:rsidR="0030601A" w14:paraId="1FB37ECD" w14:textId="77777777" w:rsidTr="00553F66">
        <w:trPr>
          <w:cantSplit/>
        </w:trPr>
        <w:tc>
          <w:tcPr>
            <w:tcW w:w="6619" w:type="dxa"/>
            <w:vMerge w:val="restart"/>
          </w:tcPr>
          <w:p w14:paraId="1E07CA7B"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BEF8AFB" w14:textId="05895ADB" w:rsidR="0030601A" w:rsidRPr="0012545F" w:rsidRDefault="0030601A" w:rsidP="0030601A">
            <w:pPr>
              <w:pStyle w:val="Adress"/>
              <w:framePr w:hSpace="0" w:wrap="auto" w:xAlign="left" w:yAlign="inline"/>
              <w:spacing w:before="20" w:after="20"/>
              <w:rPr>
                <w:rtl/>
              </w:rPr>
            </w:pPr>
            <w:r w:rsidRPr="0012545F">
              <w:rPr>
                <w:rtl/>
              </w:rPr>
              <w:t>ا</w:t>
            </w:r>
            <w:r w:rsidR="00A1570F">
              <w:rPr>
                <w:rFonts w:hint="cs"/>
                <w:rtl/>
              </w:rPr>
              <w:t xml:space="preserve">لملحق </w:t>
            </w:r>
            <w:r w:rsidR="00A1570F">
              <w:rPr>
                <w:lang w:val="en-GB"/>
              </w:rPr>
              <w:t>2</w:t>
            </w:r>
            <w:r w:rsidR="00A1570F">
              <w:br/>
            </w:r>
            <w:r w:rsidR="00A1570F">
              <w:rPr>
                <w:rFonts w:hint="cs"/>
                <w:rtl/>
              </w:rPr>
              <w:t xml:space="preserve">للإضافة </w:t>
            </w:r>
            <w:r w:rsidR="00A1570F">
              <w:rPr>
                <w:lang w:val="en-GB"/>
              </w:rPr>
              <w:t>1</w:t>
            </w:r>
            <w:r w:rsidR="00A1570F">
              <w:br/>
            </w:r>
            <w:r w:rsidR="00A1570F">
              <w:rPr>
                <w:rFonts w:hint="cs"/>
                <w:rtl/>
              </w:rPr>
              <w:t>ل</w:t>
            </w:r>
            <w:r w:rsidRPr="0012545F">
              <w:rPr>
                <w:rFonts w:hint="cs"/>
                <w:rtl/>
              </w:rPr>
              <w:t>ل</w:t>
            </w:r>
            <w:r w:rsidRPr="0012545F">
              <w:rPr>
                <w:rtl/>
              </w:rPr>
              <w:t>و</w:t>
            </w:r>
            <w:r w:rsidRPr="0012545F">
              <w:rPr>
                <w:rFonts w:hint="cs"/>
                <w:rtl/>
              </w:rPr>
              <w:t xml:space="preserve">ثيقة </w:t>
            </w:r>
            <w:r>
              <w:t>RAG/</w:t>
            </w:r>
            <w:r w:rsidR="00A1570F">
              <w:t>58</w:t>
            </w:r>
            <w:r w:rsidRPr="0012545F">
              <w:t>-A</w:t>
            </w:r>
          </w:p>
        </w:tc>
      </w:tr>
      <w:tr w:rsidR="0030601A" w14:paraId="29D841C0" w14:textId="77777777" w:rsidTr="00553F66">
        <w:trPr>
          <w:cantSplit/>
        </w:trPr>
        <w:tc>
          <w:tcPr>
            <w:tcW w:w="6619" w:type="dxa"/>
            <w:vMerge/>
          </w:tcPr>
          <w:p w14:paraId="44143A1E"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57065ADA" w14:textId="77BB8D62" w:rsidR="0030601A" w:rsidRPr="0012545F" w:rsidRDefault="006D3D0F" w:rsidP="0030601A">
            <w:pPr>
              <w:pStyle w:val="Adress"/>
              <w:framePr w:hSpace="0" w:wrap="auto" w:xAlign="left" w:yAlign="inline"/>
              <w:spacing w:before="20" w:after="20"/>
              <w:rPr>
                <w:rtl/>
              </w:rPr>
            </w:pPr>
            <w:r>
              <w:t>19</w:t>
            </w:r>
            <w:r w:rsidR="0030601A" w:rsidRPr="0012545F">
              <w:rPr>
                <w:rFonts w:hint="cs"/>
                <w:rtl/>
              </w:rPr>
              <w:t xml:space="preserve"> </w:t>
            </w:r>
            <w:r>
              <w:rPr>
                <w:rFonts w:hint="cs"/>
                <w:rtl/>
              </w:rPr>
              <w:t>فبراير</w:t>
            </w:r>
            <w:r w:rsidR="0030601A" w:rsidRPr="0012545F">
              <w:rPr>
                <w:rFonts w:hint="cs"/>
                <w:rtl/>
              </w:rPr>
              <w:t xml:space="preserve"> </w:t>
            </w:r>
            <w:r>
              <w:t>2026</w:t>
            </w:r>
          </w:p>
        </w:tc>
      </w:tr>
      <w:tr w:rsidR="0030601A" w14:paraId="327123C6" w14:textId="77777777" w:rsidTr="00553F66">
        <w:trPr>
          <w:cantSplit/>
        </w:trPr>
        <w:tc>
          <w:tcPr>
            <w:tcW w:w="6619" w:type="dxa"/>
            <w:vMerge/>
          </w:tcPr>
          <w:p w14:paraId="685F3372"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27458E4F"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052EE3F6" w14:textId="77777777" w:rsidTr="00553F66">
        <w:trPr>
          <w:cantSplit/>
        </w:trPr>
        <w:tc>
          <w:tcPr>
            <w:tcW w:w="9672" w:type="dxa"/>
            <w:gridSpan w:val="2"/>
          </w:tcPr>
          <w:p w14:paraId="397629D0" w14:textId="64B83B80" w:rsidR="00764079" w:rsidRPr="00BE2AEA" w:rsidRDefault="006D3D0F" w:rsidP="00BE2AEA">
            <w:pPr>
              <w:pStyle w:val="Source"/>
              <w:rPr>
                <w:rtl/>
              </w:rPr>
            </w:pPr>
            <w:r w:rsidRPr="00BE2AEA">
              <w:rPr>
                <w:rtl/>
              </w:rPr>
              <w:t>مدير مكتب الاتصالات الراديوية</w:t>
            </w:r>
          </w:p>
        </w:tc>
      </w:tr>
      <w:tr w:rsidR="00764079" w14:paraId="64EA1025" w14:textId="77777777" w:rsidTr="00553F66">
        <w:trPr>
          <w:cantSplit/>
        </w:trPr>
        <w:tc>
          <w:tcPr>
            <w:tcW w:w="9672" w:type="dxa"/>
            <w:gridSpan w:val="2"/>
          </w:tcPr>
          <w:p w14:paraId="72EC0E36" w14:textId="09BCD7DC" w:rsidR="00764079" w:rsidRPr="00BD6EF3" w:rsidRDefault="006D3D0F" w:rsidP="006D3D0F">
            <w:pPr>
              <w:pStyle w:val="Title1"/>
              <w:spacing w:before="240"/>
              <w:rPr>
                <w:rtl/>
              </w:rPr>
            </w:pPr>
            <w:r w:rsidRPr="006D3D0F">
              <w:rPr>
                <w:rtl/>
                <w:lang w:bidi="ar-SA"/>
              </w:rPr>
              <w:t>تقرير إلى الاجتماع الثالث والثلاثين للفريق الاستشاري للاتصالات الراديوية</w:t>
            </w:r>
          </w:p>
        </w:tc>
      </w:tr>
      <w:tr w:rsidR="0012545F" w14:paraId="2A4BA3ED" w14:textId="77777777" w:rsidTr="00553F66">
        <w:trPr>
          <w:cantSplit/>
        </w:trPr>
        <w:tc>
          <w:tcPr>
            <w:tcW w:w="9672" w:type="dxa"/>
            <w:gridSpan w:val="2"/>
          </w:tcPr>
          <w:p w14:paraId="027A5641" w14:textId="78A0619C" w:rsidR="0012545F" w:rsidRDefault="006D3D0F" w:rsidP="00696A38">
            <w:pPr>
              <w:pStyle w:val="Title3"/>
              <w:rPr>
                <w:rtl/>
              </w:rPr>
            </w:pPr>
            <w:r w:rsidRPr="006D3D0F">
              <w:rPr>
                <w:rtl/>
              </w:rPr>
              <w:t xml:space="preserve">استعراض أساليب العمل الحالية للجان الدراسات بقطاع الاتصالات الراديوية </w:t>
            </w:r>
            <w:r w:rsidR="00696A38">
              <w:rPr>
                <w:rtl/>
              </w:rPr>
              <w:br/>
            </w:r>
            <w:r w:rsidRPr="006D3D0F">
              <w:rPr>
                <w:rtl/>
              </w:rPr>
              <w:t>لتحديد التحديات وأوجه التداخل وفرص تحسين نطاق العمل الحالي</w:t>
            </w:r>
          </w:p>
        </w:tc>
      </w:tr>
    </w:tbl>
    <w:p w14:paraId="550C92A9" w14:textId="77777777" w:rsidR="006D3D0F" w:rsidRPr="00696A38" w:rsidRDefault="006D3D0F" w:rsidP="00696A38">
      <w:pPr>
        <w:pStyle w:val="Heading1"/>
        <w:rPr>
          <w:rtl/>
        </w:rPr>
      </w:pPr>
      <w:bookmarkStart w:id="1" w:name="_Toc446060751"/>
      <w:r w:rsidRPr="00696A38">
        <w:rPr>
          <w:rtl/>
        </w:rPr>
        <w:t>1</w:t>
      </w:r>
      <w:r w:rsidRPr="00696A38">
        <w:rPr>
          <w:rtl/>
        </w:rPr>
        <w:tab/>
        <w:t>مقدمة</w:t>
      </w:r>
      <w:bookmarkEnd w:id="1"/>
    </w:p>
    <w:p w14:paraId="7496FAB5" w14:textId="3EC21644" w:rsidR="006D3D0F" w:rsidRPr="007D0478" w:rsidRDefault="006D3D0F" w:rsidP="007D0478">
      <w:pPr>
        <w:rPr>
          <w:rtl/>
          <w:lang w:val="ar-SA" w:eastAsia="zh-TW"/>
        </w:rPr>
      </w:pPr>
      <w:r w:rsidRPr="007D0478">
        <w:rPr>
          <w:rtl/>
        </w:rPr>
        <w:t xml:space="preserve">بناءً على مشورة الاجتماع الثاني والثلاثين للفريق الاستشاري للاتصالات الراديوية (انظر موجز الاستنتاجات </w:t>
      </w:r>
      <w:hyperlink r:id="rId13" w:history="1">
        <w:r w:rsidR="007D0478" w:rsidRPr="007D0478">
          <w:rPr>
            <w:rStyle w:val="Hyperlink"/>
            <w:shd w:val="clear" w:color="auto" w:fill="FFFFFF"/>
          </w:rPr>
          <w:t>CA/277</w:t>
        </w:r>
      </w:hyperlink>
      <w:r w:rsidRPr="007D0478">
        <w:rPr>
          <w:rtl/>
        </w:rPr>
        <w:t xml:space="preserve">)، شجع مدير مكتب الاتصالات الراديوية لجان الدراسات بقطاع الاتصالات الراديوية على تحديد أي تحديات أو أوجه تداخل أو فرص لتحسين نطاق عملها الحالي والإبلاغ عنها (انظر </w:t>
      </w:r>
      <w:hyperlink r:id="rId14" w:history="1">
        <w:r w:rsidRPr="007D0478">
          <w:rPr>
            <w:rStyle w:val="Hyperlink"/>
            <w:rtl/>
          </w:rPr>
          <w:t>معلومات إضافية عن موجز استنتاجات الاجتماع الثاني والثلاثين للفريق الاستشاري للاتصالات الراديوية</w:t>
        </w:r>
      </w:hyperlink>
      <w:r w:rsidRPr="007D0478">
        <w:rPr>
          <w:rtl/>
        </w:rPr>
        <w:t>).</w:t>
      </w:r>
    </w:p>
    <w:p w14:paraId="5F1CED16" w14:textId="37993A8D" w:rsidR="006D3D0F" w:rsidRPr="004E23C5" w:rsidRDefault="006D3D0F" w:rsidP="007D0478">
      <w:pPr>
        <w:rPr>
          <w:rtl/>
          <w:lang w:val="ar-SA" w:eastAsia="zh-TW"/>
        </w:rPr>
      </w:pPr>
      <w:r w:rsidRPr="004E23C5">
        <w:rPr>
          <w:rtl/>
        </w:rPr>
        <w:t>يجمع هذا التقرير التعليقات المتاحة المقدمة من كل لجنة من لجان دراسات قطاع الاتصالات الراديوية.</w:t>
      </w:r>
    </w:p>
    <w:p w14:paraId="73C03E3B" w14:textId="77777777" w:rsidR="006D3D0F" w:rsidRPr="007D0478" w:rsidRDefault="006D3D0F" w:rsidP="007D0478">
      <w:pPr>
        <w:pStyle w:val="Heading1"/>
        <w:rPr>
          <w:rtl/>
        </w:rPr>
      </w:pPr>
      <w:r w:rsidRPr="007D0478">
        <w:rPr>
          <w:rtl/>
        </w:rPr>
        <w:t>2</w:t>
      </w:r>
      <w:r w:rsidRPr="007D0478">
        <w:rPr>
          <w:rtl/>
        </w:rPr>
        <w:tab/>
        <w:t>لجنة الدراسات 1</w:t>
      </w:r>
    </w:p>
    <w:p w14:paraId="31204416" w14:textId="566A2784" w:rsidR="006D3D0F" w:rsidRPr="00796E90" w:rsidRDefault="006D3D0F" w:rsidP="006D3D0F">
      <w:pPr>
        <w:shd w:val="clear" w:color="auto" w:fill="FFFFFF"/>
        <w:spacing w:line="255" w:lineRule="atLeast"/>
        <w:textDirection w:val="tbRlV"/>
        <w:rPr>
          <w:spacing w:val="-6"/>
          <w:rtl/>
          <w:lang w:val="ar-SA" w:eastAsia="zh-TW"/>
        </w:rPr>
      </w:pPr>
      <w:r w:rsidRPr="00796E90">
        <w:rPr>
          <w:rtl/>
        </w:rPr>
        <w:t xml:space="preserve">أحاط اجتماع لجنة الدراسات 1 (جنيف، 19 يونيو 2025) علماً بالمعلومات الواردة في الرسالة الإدارية المعممة </w:t>
      </w:r>
      <w:hyperlink r:id="rId15" w:history="1">
        <w:r w:rsidR="00796E90" w:rsidRPr="00796E90">
          <w:rPr>
            <w:rStyle w:val="Hyperlink"/>
            <w:rFonts w:eastAsia="SimSun"/>
            <w:lang w:eastAsia="zh-CN"/>
          </w:rPr>
          <w:t>CA/277</w:t>
        </w:r>
      </w:hyperlink>
      <w:r w:rsidRPr="00796E90">
        <w:rPr>
          <w:rtl/>
        </w:rPr>
        <w:t xml:space="preserve"> وفي</w:t>
      </w:r>
      <w:r w:rsidR="00796E90">
        <w:rPr>
          <w:rFonts w:hint="cs"/>
          <w:rtl/>
        </w:rPr>
        <w:t> </w:t>
      </w:r>
      <w:r w:rsidRPr="00796E90">
        <w:rPr>
          <w:rtl/>
        </w:rPr>
        <w:t xml:space="preserve">الوثيقة </w:t>
      </w:r>
      <w:hyperlink r:id="rId16" w:history="1">
        <w:r w:rsidR="00796E90" w:rsidRPr="00796E90">
          <w:rPr>
            <w:rStyle w:val="Hyperlink"/>
            <w:rFonts w:eastAsia="SimSun"/>
            <w:lang w:eastAsia="zh-CN"/>
          </w:rPr>
          <w:t>1/45</w:t>
        </w:r>
      </w:hyperlink>
      <w:r w:rsidRPr="00796E90">
        <w:rPr>
          <w:rtl/>
        </w:rPr>
        <w:t>.</w:t>
      </w:r>
    </w:p>
    <w:p w14:paraId="3DE0D423" w14:textId="77777777" w:rsidR="006D3D0F" w:rsidRPr="004E23C5" w:rsidRDefault="006D3D0F" w:rsidP="00696A38">
      <w:pPr>
        <w:pStyle w:val="Heading1"/>
        <w:rPr>
          <w:rtl/>
          <w:lang w:val="ar-SA" w:eastAsia="zh-TW"/>
        </w:rPr>
      </w:pPr>
      <w:r w:rsidRPr="004E23C5">
        <w:rPr>
          <w:rtl/>
        </w:rPr>
        <w:t>3</w:t>
      </w:r>
      <w:r w:rsidRPr="004E23C5">
        <w:rPr>
          <w:rtl/>
        </w:rPr>
        <w:tab/>
        <w:t>لجنة الدراسات 3</w:t>
      </w:r>
    </w:p>
    <w:p w14:paraId="75371BE0" w14:textId="417ACE71" w:rsidR="006D3D0F" w:rsidRPr="004E23C5" w:rsidRDefault="006D3D0F" w:rsidP="00796E90">
      <w:pPr>
        <w:rPr>
          <w:rtl/>
          <w:lang w:val="ar-SA" w:eastAsia="zh-TW"/>
        </w:rPr>
      </w:pPr>
      <w:r w:rsidRPr="004E23C5">
        <w:rPr>
          <w:rtl/>
        </w:rPr>
        <w:t xml:space="preserve">خلال اجتماع عام 2025، استعرضت لجنة الدراسات 3 (SG 3) الوثيقة </w:t>
      </w:r>
      <w:hyperlink r:id="rId17" w:history="1">
        <w:r w:rsidR="006124F8" w:rsidRPr="00152FBD">
          <w:rPr>
            <w:rStyle w:val="Hyperlink"/>
          </w:rPr>
          <w:t>RAG/43</w:t>
        </w:r>
      </w:hyperlink>
      <w:r w:rsidRPr="004E23C5">
        <w:rPr>
          <w:rtl/>
        </w:rPr>
        <w:t xml:space="preserve"> التي سلطت الضوء على أن تطور التكنولوجيات يصاحبه توسيع لحدود الخدمات، ما يتطلب اتباع نهج منسق بين الأفرقة، ويشكل تحدياً لقدرة لجان الدراسات الحالية بقطاع الاتصالات الراديوية على العمل بكفاءة. وتشير الوثيقة إلى أن هيكل لجان الدراسات لم يخضع لمراجعة كبيرة منذ عام 2007، وأنه قد آن الأوان لإجراء استعراض جديد.</w:t>
      </w:r>
    </w:p>
    <w:p w14:paraId="5E35666C" w14:textId="669B1BCE" w:rsidR="006D3D0F" w:rsidRPr="004E23C5" w:rsidRDefault="006D3D0F" w:rsidP="00796E90">
      <w:pPr>
        <w:rPr>
          <w:rtl/>
          <w:lang w:val="ar-SA" w:eastAsia="zh-TW"/>
        </w:rPr>
      </w:pPr>
      <w:r w:rsidRPr="004E23C5">
        <w:rPr>
          <w:rtl/>
        </w:rPr>
        <w:t xml:space="preserve">ولاحظت لجنة الدراسات 3 أن العديد من التكنولوجيات المدرجة كأمثلة رئيسية في الوثيقة </w:t>
      </w:r>
      <w:r w:rsidRPr="00CC2021">
        <w:t>RAG/43</w:t>
      </w:r>
      <w:r w:rsidRPr="004E23C5">
        <w:rPr>
          <w:rtl/>
        </w:rPr>
        <w:t xml:space="preserve"> تدعمها مواضيع دراسة حالية في إطار المسائل الواقعة ضمن اختصاصها والتي وُضعت من خلال مساهمات من الإدارات و/أو أعضاء القطاع المشاركين. في الواقع، استخدام الذكاء الاصطناعي </w:t>
      </w:r>
      <w:r w:rsidRPr="004E23C5">
        <w:t>(AI)</w:t>
      </w:r>
      <w:r w:rsidRPr="004E23C5">
        <w:rPr>
          <w:rtl/>
        </w:rPr>
        <w:t xml:space="preserve"> وكيف يمكن للجنة الدراسات 3 الاستفادة منه في نمذجة التنبؤ بانتشار الموجات الراديوية، فضلاً عن استخدامه في وضع نماذج للمعلمات أو الظواهر ذات الصلة بالتنبؤ بانتشار الموجات الراديوية، هو أحد مجالات العمل الرئيسية مع مراعاة الحاجة إلى تطبيق مبادئ الاستقرار والشفافية وقابلية التفسير، وهي مبادئ ضرورية لكي تثق الإدارات في مخرجات النماذج.</w:t>
      </w:r>
    </w:p>
    <w:p w14:paraId="41A7156D" w14:textId="6786A7D1" w:rsidR="006D3D0F" w:rsidRPr="004E23C5" w:rsidRDefault="006D3D0F" w:rsidP="00796E90">
      <w:pPr>
        <w:rPr>
          <w:rtl/>
          <w:lang w:val="ar-SA" w:eastAsia="zh-TW"/>
        </w:rPr>
      </w:pPr>
      <w:r w:rsidRPr="004E23C5">
        <w:rPr>
          <w:rtl/>
        </w:rPr>
        <w:lastRenderedPageBreak/>
        <w:t>وسلطت المناقشات الضوء على أهمية اتخاذ قرارات دائمة بشأن الطيف والمعايير واللوائح التنظيمية على أساس المبادئ الأساسية لنظرية انتشار الموجات الكهرمغنطيسية ودعمها بالأدلة المادية. لقد انقضت منذ زمن بعيد الأيام التي كانت فيها موارد الطيف توزع على أساس خدمات معيَّنة حصرياً وتدار باستخدام نماذج خاصة بالخدمات، بطرق أعاقت التقاسم مع الوافدين الجدد من خدمات مختلفة. فكان من المهم أن تصاغ توصيات لجنة الدراسات 3 بشأن الانتشار بطريقة تراعي أن يضع مسير الانتشار جميع الخدمات على قدم المساواة، بحيث يجري التعامل مع التكنولوجيات كافة دون تحيز أو تفضيل. إن الإخلاص للأسلوب العلمي والدقة التنبؤية فيما يتعلق بالقياسات ذات الصلة هما معياران التقييم الوحيدان.</w:t>
      </w:r>
    </w:p>
    <w:p w14:paraId="41EDC86B" w14:textId="4A355840" w:rsidR="006D3D0F" w:rsidRPr="004E23C5" w:rsidRDefault="006D3D0F" w:rsidP="00796E90">
      <w:pPr>
        <w:rPr>
          <w:rtl/>
          <w:lang w:val="ar-SA" w:eastAsia="zh-TW"/>
        </w:rPr>
      </w:pPr>
      <w:r w:rsidRPr="004E23C5">
        <w:rPr>
          <w:rtl/>
        </w:rPr>
        <w:t>ومع ملاحظة أن الاستعراض الأخير لهياكل لجان الدراسات نظر في دمج لجنة الدراسات 3 مع لجنة الدراسات 1، لكن الدمج رُفض، فقد أثيرت شواغل من احتمال ظهور الفكرة مرة أخرى. لذلك من المهم تسليط الضوء على النُهج المختلفة جذرياً التي تستخدمها اللجنتان. ركزت لجنة الدراسات 1 على كيفية توليد تكنولوجيات محددة لإشارات الاتصالات الراديوية وكشفها واستخدامها، بما في ذلك كيفية تفاعل الأنظمة المختلفة في المستقبلات، مع ارتباط الأداء ارتباطاً وثيقاً بالمعدات والبرمجيات الخاصة بكل نظام. وعلى النقيض من ذلك، درست لجنة الدراسات 3 كيفية تغير شدة الإشارة عبر الزمان والمكان بصرف النظر عن التكنولوجيا الأساسية المستخدمة. وعلى الرغم من أن خبرة كلا اللجنتين ضرورية للتعايش والتوافق، فإن قواعد معارفهما لا تتداخل إلا بقدر ضئيل. وبالنسبة إلى الإدارات ذات الموارد المحدودة، فقد يؤدي دمج هاتين اللجنتين إلى زيادة الضغط على</w:t>
      </w:r>
      <w:r w:rsidR="00BE2AEA">
        <w:rPr>
          <w:rFonts w:hint="cs"/>
          <w:rtl/>
        </w:rPr>
        <w:t> </w:t>
      </w:r>
      <w:r w:rsidRPr="004E23C5">
        <w:rPr>
          <w:rtl/>
        </w:rPr>
        <w:t>الخبراء المجهدين بالفعل ولن يؤدي إلى رفع مستوى الكفاءة.</w:t>
      </w:r>
    </w:p>
    <w:p w14:paraId="5A2E9832" w14:textId="15DFDD22" w:rsidR="006D3D0F" w:rsidRPr="004E23C5" w:rsidRDefault="006D3D0F" w:rsidP="00796E90">
      <w:pPr>
        <w:rPr>
          <w:rtl/>
          <w:lang w:val="ar-SA" w:eastAsia="zh-TW"/>
        </w:rPr>
      </w:pPr>
      <w:r w:rsidRPr="004E23C5">
        <w:rPr>
          <w:rtl/>
        </w:rPr>
        <w:t xml:space="preserve">وكما ذكر أعلاه، فإن اختصاص لجنة الدراسات 3 هو توفير معلومات محايدة من ناحية الخدمات، ومحدثة وقائمة على الأدلة بشأن نمذجة مسيرات الانتشار. وشكلت توصيات السلسلة </w:t>
      </w:r>
      <w:r w:rsidRPr="004E23C5">
        <w:t>P</w:t>
      </w:r>
      <w:r w:rsidRPr="004E23C5">
        <w:rPr>
          <w:rtl/>
        </w:rPr>
        <w:t xml:space="preserve"> مدخلات مهمة لعمل لجان الدراسات الأخرى. ولتحقيق هذا الهدف، احتاجت لجنة الدراسات 3 إلى تطبيق الأساليب العلمية الحالية وجمعت بيانات تمثل كل البيئات، حتى يمكن تطبيق أساليب التنبؤ هذه محلياً وإقليمياً وعالمياً. وقد قدمت الهيئات الأكاديمية الكثير من المساهمات القّيمة. ويعي أعضاء لجنة الدراسات 3 تماماً أنه أصبح من الصعب على نحو متزايد الحصول على الدعم للمشاركة الأكاديمية في قطاع الاتصالات الراديوية. ويعزى ذلك أساساً إلى عدم وضوح مساهماتها المهمة في التوصيات، والتي لم تُنسب إليها في النصوص. وأدت دورات النشر الأكاديمي إلى حدوث تأخيرات لأن المؤلفين اضطروا إلى النشر أولاً قبل التقديم إلى قطاع الاتصالات الراديوية. وأدى ذلك إلى</w:t>
      </w:r>
      <w:r w:rsidR="00BE2AEA">
        <w:rPr>
          <w:rFonts w:hint="cs"/>
          <w:rtl/>
        </w:rPr>
        <w:t> </w:t>
      </w:r>
      <w:r w:rsidRPr="004E23C5">
        <w:rPr>
          <w:rtl/>
        </w:rPr>
        <w:t>صعوبة اجتذاب خبراء جدد إلى الفريق.</w:t>
      </w:r>
    </w:p>
    <w:p w14:paraId="4891A283" w14:textId="77777777" w:rsidR="006D3D0F" w:rsidRPr="004E23C5" w:rsidRDefault="006D3D0F" w:rsidP="00796E90">
      <w:pPr>
        <w:rPr>
          <w:rtl/>
          <w:lang w:val="ar-SA" w:eastAsia="zh-TW"/>
        </w:rPr>
      </w:pPr>
      <w:r w:rsidRPr="004E23C5">
        <w:rPr>
          <w:rtl/>
        </w:rPr>
        <w:t xml:space="preserve">وأقرت لجنة الدراسات 3 بالصعوبة المستمرة في اجتذاب رؤساء فرق عمل </w:t>
      </w:r>
      <w:r w:rsidRPr="004E23C5">
        <w:t>(WP)</w:t>
      </w:r>
      <w:r w:rsidRPr="004E23C5">
        <w:rPr>
          <w:rtl/>
        </w:rPr>
        <w:t xml:space="preserve"> مؤهلين والاحتفاظ بهم. إذ يتطلب هذا الدور امتلاك خبرة تقنية عميقة ومهارات قوية للقيادة والتواصل والتزاماً شخصياً كبيراً، وغالباً ما يكون له تقدير أو مكافأة محدودة. ويكون على الرؤساء التحضير بشكل مكثف لكل اجتماع، واستعراض الوثائق، وتوزيعها على الأفرقة الفرعية، والتنسيق مع فرق العمل الأخرى، بالإضافة إلى إدارة الجلسات والعمل الجاري. وخلافاً لبعض لجان الدراسات التي يرى أرباب العمل أن الاستثمار فيها مجدياً، فإن لجنة الدراسات 3 كثيراً ما واجهت دعماً تنظيمياً محدوداً. إذ لم يتمكن العديد من المشاركين المؤهلين تقنياً من الحصول إلا على تمويل جزئي فحسب، في حين لم يتلق آخرون أي دعم على الإطلاق، فاضطروا إلى تحمُّل تكاليف سفرهم وإقامتهم لحضور الاجتماعات في جنيف. وأدى هذا التقلب في توفير الموارد إلى زيادة الضغط على الرؤساء المحتملين وأضفت صعوبة على استدامة القيادة بشكل خاص للجنة الدراسات 3.</w:t>
      </w:r>
    </w:p>
    <w:p w14:paraId="16144818" w14:textId="73B3FDEC" w:rsidR="006D3D0F" w:rsidRPr="004E23C5" w:rsidRDefault="006D3D0F" w:rsidP="00796E90">
      <w:pPr>
        <w:rPr>
          <w:rtl/>
          <w:lang w:val="ar-SA" w:eastAsia="zh-TW"/>
        </w:rPr>
      </w:pPr>
      <w:r w:rsidRPr="004E23C5">
        <w:rPr>
          <w:rtl/>
        </w:rPr>
        <w:t xml:space="preserve">غير أن تحسين الأدوات المتاحة للتعاون مع المشاركين عن بُعد في الاجتماعات على مدار السنوات الأخيرة كان مهماً، إذ مكَّن المشاركين الذين لم يكن بمقدورهم السفر من المساهمة في المناقشات. وشكلت أفرقة العمل بالمراسلة </w:t>
      </w:r>
      <w:r w:rsidRPr="004E23C5">
        <w:t>(CG)</w:t>
      </w:r>
      <w:r w:rsidRPr="004E23C5">
        <w:rPr>
          <w:rtl/>
        </w:rPr>
        <w:t xml:space="preserve"> مورداً حيوياً في</w:t>
      </w:r>
      <w:r w:rsidR="00870D33">
        <w:rPr>
          <w:rFonts w:hint="cs"/>
          <w:rtl/>
        </w:rPr>
        <w:t> </w:t>
      </w:r>
      <w:r w:rsidRPr="004E23C5">
        <w:rPr>
          <w:rtl/>
        </w:rPr>
        <w:t>تقدم العمل في الفترة الفاصلة بين الاجتماعات، خاصةً فيما يتعلق بإسداء المشورة بشأن نمذجة الانتشار للأفرقة المسؤولة عن بنود جدول أعمال المؤتمر العالمي للاتصالات الراديوية لعام 2027 (WRC-27). مع ذلك، لوحظ أيضاً أن التقدم في العمل يكون أسهل عند حضور المندوبين شخصياً. وترحب لجنة الدراسات 3 بأي أدوات أخرى يمكن أن تساعد الأعضاء على العمل معاً أثناء أنشطة فريق العمل بالمراسلة أو أثناء الاجتماعات الفعلية التي تتاح فيها المشاركة عن بُعد.</w:t>
      </w:r>
    </w:p>
    <w:p w14:paraId="231E85A8" w14:textId="594CA5F8" w:rsidR="006D3D0F" w:rsidRPr="00DF24D1" w:rsidRDefault="006D3D0F" w:rsidP="00B90C35">
      <w:pPr>
        <w:keepNext/>
        <w:keepLines/>
        <w:rPr>
          <w:rtl/>
          <w:lang w:val="ar-SA" w:eastAsia="zh-TW"/>
        </w:rPr>
      </w:pPr>
      <w:r w:rsidRPr="00DF24D1">
        <w:rPr>
          <w:rtl/>
        </w:rPr>
        <w:lastRenderedPageBreak/>
        <w:t>تجتمع فرق العمل في لجنة الدراسات 3 عادةً مرة واحدة في السنة</w:t>
      </w:r>
      <w:r w:rsidR="00BE2AEA">
        <w:rPr>
          <w:rStyle w:val="FootnoteReference"/>
          <w:rtl/>
        </w:rPr>
        <w:footnoteReference w:customMarkFollows="1" w:id="1"/>
        <w:t>1</w:t>
      </w:r>
      <w:r w:rsidRPr="00DF24D1">
        <w:rPr>
          <w:rtl/>
        </w:rPr>
        <w:t xml:space="preserve">، ما يتيح للأعضاء الوقت لإجراء الأبحاث اللازمة لوضع توصيات السلسلة </w:t>
      </w:r>
      <w:r w:rsidRPr="00DF24D1">
        <w:t>P</w:t>
      </w:r>
      <w:r w:rsidRPr="00DF24D1">
        <w:rPr>
          <w:rtl/>
        </w:rPr>
        <w:t xml:space="preserve"> وتنقيحها. وتناولت المدخلات التقنية مجموعة واسعة من المواضيع وكانت في كثير من الأحيان طويلة ومعقدة. وأقرت لجنة الدراسات 3 بأهمية الاستعراض الشامل، وقُدمت مساهمات عبر جميع مراحل الأبحاث بدءاً من تصميم التجربة وجمع البيانات إلى التحليل وتطوير النماذج. وقد خضعت كل مرحلة للاستعراض، وينبغي أن ينعكس ذلك في عملية الموافقة. إذ ينبغي ألا تواجه النماذج مكتملة النضج التي جرى استعراضها أثناء الإعداد تأخيرات لا داعي لها بمجرد إعداد نص التوصية الجديدة. وبما أن لجنة الدراسات 3 تجتمع سنوياً، فإن التأخير في هذه المرحلة يمكن أن يبطئ تحديث التوصيات والتقدم المطلوب إحرازه في برنامج عمل فريق العمل. وينبغي أن تتمتع فرق العمل بالمرونة لتقييم مدى نضج المواد وإرسالها للموافقة عليها في الوقت المناسب لضمان الحصول على المخرجات في الوقت المناسب مع الحفاظ على مستويات مناسبة من التدقيق.</w:t>
      </w:r>
    </w:p>
    <w:p w14:paraId="64FA35B3" w14:textId="77777777" w:rsidR="006D3D0F" w:rsidRPr="004E23C5" w:rsidRDefault="006D3D0F" w:rsidP="00696A38">
      <w:pPr>
        <w:pStyle w:val="Heading1"/>
        <w:rPr>
          <w:rtl/>
          <w:lang w:val="ar-SA" w:eastAsia="zh-TW"/>
        </w:rPr>
      </w:pPr>
      <w:r w:rsidRPr="004E23C5">
        <w:rPr>
          <w:rtl/>
        </w:rPr>
        <w:t>4</w:t>
      </w:r>
      <w:r w:rsidRPr="004E23C5">
        <w:rPr>
          <w:rtl/>
        </w:rPr>
        <w:tab/>
        <w:t>لجنة الدراسات 4</w:t>
      </w:r>
    </w:p>
    <w:p w14:paraId="6DEB12A7" w14:textId="3989A6F1" w:rsidR="006D3D0F" w:rsidRPr="004E23C5" w:rsidRDefault="006D3D0F" w:rsidP="00DF24D1">
      <w:pPr>
        <w:rPr>
          <w:rtl/>
          <w:lang w:val="ar-SA" w:eastAsia="zh-TW"/>
        </w:rPr>
      </w:pPr>
      <w:r w:rsidRPr="004E23C5">
        <w:rPr>
          <w:rtl/>
        </w:rPr>
        <w:t xml:space="preserve">نظرت لجنة الدراسات 4 في المعلومات الإضافية المتعلقة بموجز استنتاجات الاجتماع الثاني والثلاثين للفريق الاستشاري للاتصالات الراديوية الوارد في الوثيقة </w:t>
      </w:r>
      <w:hyperlink r:id="rId18" w:history="1">
        <w:r w:rsidR="00B90C35" w:rsidRPr="005F0F6D">
          <w:rPr>
            <w:rStyle w:val="Hyperlink"/>
          </w:rPr>
          <w:t>4/</w:t>
        </w:r>
        <w:r w:rsidR="00B90C35">
          <w:rPr>
            <w:rStyle w:val="Hyperlink"/>
          </w:rPr>
          <w:t>38</w:t>
        </w:r>
      </w:hyperlink>
      <w:r w:rsidRPr="004E23C5">
        <w:rPr>
          <w:rtl/>
        </w:rPr>
        <w:t xml:space="preserve"> وأحاطت علماً بالمساهمة ذات الصلة المقدمة من بلدان متعددة في الوثيقة </w:t>
      </w:r>
      <w:hyperlink r:id="rId19" w:history="1">
        <w:r w:rsidR="00B90C35" w:rsidRPr="00E47744">
          <w:rPr>
            <w:rStyle w:val="Hyperlink"/>
          </w:rPr>
          <w:t>4/47</w:t>
        </w:r>
      </w:hyperlink>
      <w:r w:rsidRPr="004E23C5">
        <w:rPr>
          <w:rtl/>
        </w:rPr>
        <w:t xml:space="preserve"> بشأن التحديات أو أوجه التداخل أو فرص تحسين نطاق العمل الحالي للجنة الدراسات 4.</w:t>
      </w:r>
    </w:p>
    <w:p w14:paraId="6E378FD2" w14:textId="77777777" w:rsidR="006D3D0F" w:rsidRPr="004E23C5" w:rsidRDefault="006D3D0F" w:rsidP="00696A38">
      <w:pPr>
        <w:pStyle w:val="Heading1"/>
        <w:rPr>
          <w:rtl/>
          <w:lang w:val="ar-SA" w:eastAsia="zh-TW"/>
        </w:rPr>
      </w:pPr>
      <w:r w:rsidRPr="004E23C5">
        <w:rPr>
          <w:rtl/>
        </w:rPr>
        <w:t>5</w:t>
      </w:r>
      <w:r w:rsidRPr="004E23C5">
        <w:rPr>
          <w:rtl/>
        </w:rPr>
        <w:tab/>
        <w:t>لجنة الدراسات 5</w:t>
      </w:r>
    </w:p>
    <w:p w14:paraId="64954E91" w14:textId="65EEED7C" w:rsidR="006D3D0F" w:rsidRPr="004E23C5" w:rsidRDefault="006D3D0F" w:rsidP="006A28D8">
      <w:pPr>
        <w:rPr>
          <w:rtl/>
          <w:lang w:val="ar-SA" w:eastAsia="zh-TW"/>
        </w:rPr>
      </w:pPr>
      <w:r w:rsidRPr="004E23C5">
        <w:rPr>
          <w:rtl/>
        </w:rPr>
        <w:t xml:space="preserve">أحاطت لجنة الدراسات 5 علماً بالمعلومات الإضافية المتعلقة بموجز استنتاجات الاجتماع الثاني والثلاثين للفريق الاستشاري للاتصالات الراديوية الوارد في الوثيقة </w:t>
      </w:r>
      <w:hyperlink r:id="rId20" w:history="1">
        <w:r w:rsidR="006A28D8" w:rsidRPr="006A28D8">
          <w:rPr>
            <w:rStyle w:val="Hyperlink"/>
            <w:lang w:val="en-GB"/>
          </w:rPr>
          <w:t>5/65</w:t>
        </w:r>
      </w:hyperlink>
      <w:r w:rsidRPr="004E23C5">
        <w:rPr>
          <w:rtl/>
        </w:rPr>
        <w:t xml:space="preserve"> ونظرت في المساهمة ذات الصلة المقدمة من بلدان متعددة في الوثيقة </w:t>
      </w:r>
      <w:hyperlink r:id="rId21" w:history="1">
        <w:r w:rsidR="006A28D8" w:rsidRPr="002513A4">
          <w:rPr>
            <w:rStyle w:val="Hyperlink"/>
          </w:rPr>
          <w:t>5/96</w:t>
        </w:r>
      </w:hyperlink>
      <w:r w:rsidRPr="004E23C5">
        <w:rPr>
          <w:rtl/>
        </w:rPr>
        <w:t>.</w:t>
      </w:r>
    </w:p>
    <w:p w14:paraId="4EF40470" w14:textId="77777777" w:rsidR="006D3D0F" w:rsidRPr="004E23C5" w:rsidRDefault="006D3D0F" w:rsidP="00696A38">
      <w:pPr>
        <w:pStyle w:val="Heading1"/>
        <w:rPr>
          <w:rtl/>
          <w:lang w:val="ar-SA" w:eastAsia="zh-TW"/>
        </w:rPr>
      </w:pPr>
      <w:r w:rsidRPr="004E23C5">
        <w:rPr>
          <w:rtl/>
        </w:rPr>
        <w:t>6</w:t>
      </w:r>
      <w:r w:rsidRPr="004E23C5">
        <w:rPr>
          <w:rtl/>
        </w:rPr>
        <w:tab/>
        <w:t>لجنة الدراسات 6</w:t>
      </w:r>
    </w:p>
    <w:p w14:paraId="025B2EE2" w14:textId="77777777" w:rsidR="006D3D0F" w:rsidRPr="004E23C5" w:rsidRDefault="006D3D0F" w:rsidP="00DF24D1">
      <w:pPr>
        <w:rPr>
          <w:rtl/>
          <w:lang w:val="ar-SA" w:eastAsia="zh-TW"/>
        </w:rPr>
      </w:pPr>
      <w:r w:rsidRPr="004E23C5">
        <w:rPr>
          <w:rtl/>
        </w:rPr>
        <w:t>ناقشت لجنة الدراسات 6 نطاق عملها بعمق خلال اجتماع سبتمبر 2025، ولا تزال المناقشات جارية، ومع ذلك، في الوقت الحالي لم يتم تحديد أي تداخل في نطاقات العمل أو قضايا محددة فيما يتعلق بلجان الدراسات الأخرى لقطاع الاتصالات الراديوية.</w:t>
      </w:r>
    </w:p>
    <w:p w14:paraId="7F2240AE" w14:textId="1A1988CA" w:rsidR="006D3D0F" w:rsidRPr="004E23C5" w:rsidRDefault="006D3D0F" w:rsidP="00DF24D1">
      <w:pPr>
        <w:rPr>
          <w:rtl/>
          <w:lang w:val="ar-SA" w:eastAsia="zh-TW"/>
        </w:rPr>
      </w:pPr>
      <w:r w:rsidRPr="004E23C5">
        <w:rPr>
          <w:rtl/>
        </w:rPr>
        <w:t xml:space="preserve">تؤيد لجنة الدراسات 6 لقطاع الاتصالات الراديوية المبادرة المتخذة في </w:t>
      </w:r>
      <w:hyperlink r:id="rId22" w:anchor="/ar" w:history="1">
        <w:r w:rsidRPr="007E0097">
          <w:rPr>
            <w:rStyle w:val="Hyperlink"/>
            <w:rtl/>
          </w:rPr>
          <w:t>الاجتماع الثاني والثلاثين للفريق الاستشاري للاتصالات الراديوية</w:t>
        </w:r>
      </w:hyperlink>
      <w:r w:rsidRPr="004E23C5">
        <w:rPr>
          <w:rtl/>
        </w:rPr>
        <w:t xml:space="preserve"> بشأن الاتصال بالفريق الاستشاري لتقييس الاتصالات بشأن ازدواجية العمل في قطاعي الاتصالات الراديوية وتقييس الاتصالات. وتدرك لجنة الدراسات 6 أن هذا نشاط مستمر ينصح بوضع مبادئ توجيهية له.</w:t>
      </w:r>
    </w:p>
    <w:p w14:paraId="60185656" w14:textId="77777777" w:rsidR="006D3D0F" w:rsidRPr="004E23C5" w:rsidRDefault="006D3D0F" w:rsidP="00696A38">
      <w:pPr>
        <w:pStyle w:val="Heading1"/>
        <w:rPr>
          <w:rtl/>
          <w:lang w:val="ar-SA" w:eastAsia="zh-TW"/>
        </w:rPr>
      </w:pPr>
      <w:r w:rsidRPr="004E23C5">
        <w:rPr>
          <w:rtl/>
        </w:rPr>
        <w:t>7</w:t>
      </w:r>
      <w:r w:rsidRPr="004E23C5">
        <w:rPr>
          <w:rtl/>
        </w:rPr>
        <w:tab/>
        <w:t>لجنة الدراسات 7</w:t>
      </w:r>
    </w:p>
    <w:p w14:paraId="20B50D37" w14:textId="60A15F95" w:rsidR="006D3D0F" w:rsidRPr="004E23C5" w:rsidRDefault="006D3D0F" w:rsidP="00DF24D1">
      <w:pPr>
        <w:rPr>
          <w:rtl/>
          <w:lang w:val="ar-SA" w:eastAsia="zh-TW"/>
        </w:rPr>
      </w:pPr>
      <w:r w:rsidRPr="004E23C5">
        <w:rPr>
          <w:rtl/>
        </w:rPr>
        <w:t xml:space="preserve">عُقد الاجتماع الثاني والثلاثون للفريق الاستشاري للاتصالات الراديوية بعد الاجتماع الأخير للجنة الدراسات 7. وبالتالي، لم تتح الفرصة للجنة الدراسات 7 للنظر في المعلومات الإضافية المتعلقة بموجز استنتاجات الاجتماع الثاني والثلاثين للفريق الاستشاري الوارد في الوثيقة </w:t>
      </w:r>
      <w:hyperlink r:id="rId23" w:history="1">
        <w:r w:rsidR="00CC3995" w:rsidRPr="00017CC3">
          <w:rPr>
            <w:rStyle w:val="Hyperlink"/>
          </w:rPr>
          <w:t>7/35</w:t>
        </w:r>
      </w:hyperlink>
      <w:r w:rsidRPr="004E23C5">
        <w:rPr>
          <w:rtl/>
        </w:rPr>
        <w:t>، وعليه لم تكن لديها أي تعليقات تقدمها وقت صياغة هذا التقرير.</w:t>
      </w:r>
    </w:p>
    <w:p w14:paraId="6023D776"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24"/>
      <w:headerReference w:type="default" r:id="rId25"/>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DC06" w14:textId="77777777" w:rsidR="00287F57" w:rsidRDefault="00287F57" w:rsidP="002919E1">
      <w:r>
        <w:separator/>
      </w:r>
    </w:p>
    <w:p w14:paraId="1CA59ADD" w14:textId="77777777" w:rsidR="00287F57" w:rsidRDefault="00287F57" w:rsidP="002919E1"/>
    <w:p w14:paraId="1832CB1B" w14:textId="77777777" w:rsidR="00287F57" w:rsidRDefault="00287F57" w:rsidP="002919E1"/>
    <w:p w14:paraId="6FA694D6" w14:textId="77777777" w:rsidR="00287F57" w:rsidRDefault="00287F57"/>
  </w:endnote>
  <w:endnote w:type="continuationSeparator" w:id="0">
    <w:p w14:paraId="390B1A5B" w14:textId="77777777" w:rsidR="00287F57" w:rsidRDefault="00287F57" w:rsidP="002919E1">
      <w:r>
        <w:continuationSeparator/>
      </w:r>
    </w:p>
    <w:p w14:paraId="79FEE7ED" w14:textId="77777777" w:rsidR="00287F57" w:rsidRDefault="00287F57" w:rsidP="002919E1"/>
    <w:p w14:paraId="43146B41" w14:textId="77777777" w:rsidR="00287F57" w:rsidRDefault="00287F57" w:rsidP="002919E1"/>
    <w:p w14:paraId="016375B5" w14:textId="77777777" w:rsidR="00287F57" w:rsidRDefault="00287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1237" w14:textId="77777777" w:rsidR="00287F57" w:rsidRDefault="00287F57" w:rsidP="002919E1">
      <w:r>
        <w:separator/>
      </w:r>
    </w:p>
  </w:footnote>
  <w:footnote w:type="continuationSeparator" w:id="0">
    <w:p w14:paraId="19780769" w14:textId="77777777" w:rsidR="00287F57" w:rsidRDefault="00287F57" w:rsidP="002919E1">
      <w:r>
        <w:continuationSeparator/>
      </w:r>
    </w:p>
    <w:p w14:paraId="2CC106E9" w14:textId="77777777" w:rsidR="00287F57" w:rsidRDefault="00287F57" w:rsidP="002919E1"/>
    <w:p w14:paraId="0432E23A" w14:textId="77777777" w:rsidR="00287F57" w:rsidRDefault="00287F57" w:rsidP="002919E1"/>
    <w:p w14:paraId="2F1D8CC9" w14:textId="77777777" w:rsidR="00287F57" w:rsidRDefault="00287F57"/>
  </w:footnote>
  <w:footnote w:id="1">
    <w:p w14:paraId="1A2E34CB" w14:textId="77777777" w:rsidR="00BE2AEA" w:rsidRDefault="00BE2AEA" w:rsidP="00BE2AEA">
      <w:pPr>
        <w:pStyle w:val="FootnoteText"/>
      </w:pPr>
      <w:r>
        <w:rPr>
          <w:rStyle w:val="FootnoteReference"/>
          <w:rtl/>
        </w:rPr>
        <w:t>1</w:t>
      </w:r>
      <w:r>
        <w:rPr>
          <w:rtl/>
        </w:rPr>
        <w:tab/>
      </w:r>
      <w:r w:rsidRPr="004E23C5">
        <w:rPr>
          <w:rtl/>
        </w:rPr>
        <w:t>عادةً، في السنة الثانية التي تلي المؤتمر العالمي للاتصالات الراديوية، يُدعى إلى عقد اجتماع إضافي للتركيز على معالجة القضايا المتعلقة بمتطلبات النمذجة الجديدة لدعم دراسات بنود جدول أعمال المؤتمر في لجان الدراسات الأخرى.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5B3E" w14:textId="77777777" w:rsidR="00281F5F" w:rsidRDefault="00281F5F" w:rsidP="002919E1"/>
  <w:p w14:paraId="2F6F1F48" w14:textId="77777777" w:rsidR="00281F5F" w:rsidRDefault="00281F5F" w:rsidP="002919E1"/>
  <w:p w14:paraId="550FEB1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EE13" w14:textId="39AD5786" w:rsidR="00281F5F" w:rsidRPr="0088384B" w:rsidRDefault="00281F5F" w:rsidP="00580382">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580382">
      <w:rPr>
        <w:rStyle w:val="PageNumber"/>
        <w:rFonts w:hint="cs"/>
        <w:rtl/>
      </w:rPr>
      <w:t>58</w:t>
    </w:r>
    <w:r w:rsidR="00580382">
      <w:rPr>
        <w:rStyle w:val="PageNumber"/>
        <w:lang w:val="en-GB"/>
      </w:rPr>
      <w:t xml:space="preserve"> </w:t>
    </w:r>
    <w:r w:rsidR="00580382" w:rsidRPr="00580382">
      <w:rPr>
        <w:sz w:val="20"/>
        <w:szCs w:val="20"/>
        <w:lang w:val="en-GB"/>
      </w:rPr>
      <w:t>(Annex 2 to Add.1)</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20"/>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4D54"/>
    <w:rsid w:val="00167364"/>
    <w:rsid w:val="001903B2"/>
    <w:rsid w:val="001B5953"/>
    <w:rsid w:val="001D5FBC"/>
    <w:rsid w:val="001D746E"/>
    <w:rsid w:val="001E190C"/>
    <w:rsid w:val="001E51EE"/>
    <w:rsid w:val="001E54F6"/>
    <w:rsid w:val="001E5A8C"/>
    <w:rsid w:val="001E6923"/>
    <w:rsid w:val="001E7AD3"/>
    <w:rsid w:val="00201A0A"/>
    <w:rsid w:val="002075D4"/>
    <w:rsid w:val="00211B2A"/>
    <w:rsid w:val="00223C6C"/>
    <w:rsid w:val="00232897"/>
    <w:rsid w:val="002333A0"/>
    <w:rsid w:val="002543CF"/>
    <w:rsid w:val="0026062E"/>
    <w:rsid w:val="00260F50"/>
    <w:rsid w:val="00261EF7"/>
    <w:rsid w:val="0027069F"/>
    <w:rsid w:val="00280E04"/>
    <w:rsid w:val="00281F5F"/>
    <w:rsid w:val="002843E4"/>
    <w:rsid w:val="00287F57"/>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237B4"/>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34D"/>
    <w:rsid w:val="00567F38"/>
    <w:rsid w:val="005730DF"/>
    <w:rsid w:val="0057610B"/>
    <w:rsid w:val="00576D0A"/>
    <w:rsid w:val="00576FCC"/>
    <w:rsid w:val="00580382"/>
    <w:rsid w:val="00584333"/>
    <w:rsid w:val="005953EC"/>
    <w:rsid w:val="005B00A1"/>
    <w:rsid w:val="005C29C8"/>
    <w:rsid w:val="005C5D25"/>
    <w:rsid w:val="005D2606"/>
    <w:rsid w:val="005D6D48"/>
    <w:rsid w:val="005D72A4"/>
    <w:rsid w:val="005F05CC"/>
    <w:rsid w:val="005F65DE"/>
    <w:rsid w:val="005F7948"/>
    <w:rsid w:val="006124F8"/>
    <w:rsid w:val="00613492"/>
    <w:rsid w:val="00630905"/>
    <w:rsid w:val="006315B5"/>
    <w:rsid w:val="0065562F"/>
    <w:rsid w:val="006577C0"/>
    <w:rsid w:val="006779A4"/>
    <w:rsid w:val="00680A66"/>
    <w:rsid w:val="00681391"/>
    <w:rsid w:val="00694690"/>
    <w:rsid w:val="0069526C"/>
    <w:rsid w:val="00696A38"/>
    <w:rsid w:val="006A093D"/>
    <w:rsid w:val="006A12AC"/>
    <w:rsid w:val="006A2162"/>
    <w:rsid w:val="006A28D8"/>
    <w:rsid w:val="006B4B90"/>
    <w:rsid w:val="006B658C"/>
    <w:rsid w:val="006D2674"/>
    <w:rsid w:val="006D3D0F"/>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67F28"/>
    <w:rsid w:val="00770AA0"/>
    <w:rsid w:val="00771F7E"/>
    <w:rsid w:val="00773E9C"/>
    <w:rsid w:val="00776F6B"/>
    <w:rsid w:val="00777694"/>
    <w:rsid w:val="00786A7E"/>
    <w:rsid w:val="00796E90"/>
    <w:rsid w:val="007A0802"/>
    <w:rsid w:val="007B1FCA"/>
    <w:rsid w:val="007B788F"/>
    <w:rsid w:val="007C2C12"/>
    <w:rsid w:val="007C3CFA"/>
    <w:rsid w:val="007D0478"/>
    <w:rsid w:val="007E0097"/>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0D33"/>
    <w:rsid w:val="00873630"/>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C7A1F"/>
    <w:rsid w:val="009D6348"/>
    <w:rsid w:val="009E5007"/>
    <w:rsid w:val="009E613F"/>
    <w:rsid w:val="009F042B"/>
    <w:rsid w:val="00A03F63"/>
    <w:rsid w:val="00A03FD6"/>
    <w:rsid w:val="00A04CF4"/>
    <w:rsid w:val="00A116A8"/>
    <w:rsid w:val="00A1570F"/>
    <w:rsid w:val="00A17E61"/>
    <w:rsid w:val="00A22AE9"/>
    <w:rsid w:val="00A25FE2"/>
    <w:rsid w:val="00A26758"/>
    <w:rsid w:val="00A26D0E"/>
    <w:rsid w:val="00A27205"/>
    <w:rsid w:val="00A278E9"/>
    <w:rsid w:val="00A3451F"/>
    <w:rsid w:val="00A3584A"/>
    <w:rsid w:val="00A35E1F"/>
    <w:rsid w:val="00A36268"/>
    <w:rsid w:val="00A375BD"/>
    <w:rsid w:val="00A40B2C"/>
    <w:rsid w:val="00A42ADC"/>
    <w:rsid w:val="00A5007B"/>
    <w:rsid w:val="00A66D2B"/>
    <w:rsid w:val="00A809E8"/>
    <w:rsid w:val="00A85B65"/>
    <w:rsid w:val="00A870AD"/>
    <w:rsid w:val="00A90843"/>
    <w:rsid w:val="00A9645C"/>
    <w:rsid w:val="00AB2A33"/>
    <w:rsid w:val="00AC1275"/>
    <w:rsid w:val="00AC69A1"/>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0C35"/>
    <w:rsid w:val="00B9727C"/>
    <w:rsid w:val="00BA7D44"/>
    <w:rsid w:val="00BD6291"/>
    <w:rsid w:val="00BD6EF3"/>
    <w:rsid w:val="00BE2AEA"/>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2021"/>
    <w:rsid w:val="00CC3995"/>
    <w:rsid w:val="00CC68C4"/>
    <w:rsid w:val="00CC79A4"/>
    <w:rsid w:val="00CD0FDE"/>
    <w:rsid w:val="00CD1574"/>
    <w:rsid w:val="00CE0E68"/>
    <w:rsid w:val="00CE5BA4"/>
    <w:rsid w:val="00D25120"/>
    <w:rsid w:val="00D36C5E"/>
    <w:rsid w:val="00D419CB"/>
    <w:rsid w:val="00D44350"/>
    <w:rsid w:val="00D44E3F"/>
    <w:rsid w:val="00D51BB8"/>
    <w:rsid w:val="00D525CB"/>
    <w:rsid w:val="00D525F5"/>
    <w:rsid w:val="00D535D0"/>
    <w:rsid w:val="00D577D8"/>
    <w:rsid w:val="00D62C78"/>
    <w:rsid w:val="00D81703"/>
    <w:rsid w:val="00D82929"/>
    <w:rsid w:val="00D84214"/>
    <w:rsid w:val="00D943E5"/>
    <w:rsid w:val="00DA1AE0"/>
    <w:rsid w:val="00DC29DD"/>
    <w:rsid w:val="00DC7C0E"/>
    <w:rsid w:val="00DE7387"/>
    <w:rsid w:val="00DF24D1"/>
    <w:rsid w:val="00DF2A6A"/>
    <w:rsid w:val="00DF3B72"/>
    <w:rsid w:val="00E10821"/>
    <w:rsid w:val="00E2489D"/>
    <w:rsid w:val="00E26520"/>
    <w:rsid w:val="00E26732"/>
    <w:rsid w:val="00E31352"/>
    <w:rsid w:val="00E343A3"/>
    <w:rsid w:val="00E47277"/>
    <w:rsid w:val="00E51BFA"/>
    <w:rsid w:val="00E6129E"/>
    <w:rsid w:val="00E621A3"/>
    <w:rsid w:val="00E833BC"/>
    <w:rsid w:val="00E8580E"/>
    <w:rsid w:val="00E97E21"/>
    <w:rsid w:val="00EA1B76"/>
    <w:rsid w:val="00EA77D7"/>
    <w:rsid w:val="00EC09B9"/>
    <w:rsid w:val="00EC30C7"/>
    <w:rsid w:val="00ED048C"/>
    <w:rsid w:val="00EE3320"/>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56B3"/>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5CF63"/>
  <w15:docId w15:val="{1D5312EE-E501-4319-85FD-CFD965D0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5431B5"/>
    <w:rPr>
      <w:rFonts w:ascii="Dubai" w:hAnsi="Dubai" w:cs="Dubai"/>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rmal"/>
    <w:link w:val="FootnoteTextChar"/>
    <w:rsid w:val="009C7A1F"/>
    <w:pPr>
      <w:keepLines/>
      <w:tabs>
        <w:tab w:val="left" w:pos="372"/>
      </w:tabs>
      <w:spacing w:before="60" w:after="60"/>
      <w:ind w:left="340" w:hanging="340"/>
    </w:pPr>
    <w:rPr>
      <w:sz w:val="18"/>
      <w:szCs w:val="18"/>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9C7A1F"/>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Heading1Char">
    <w:name w:val="Heading 1 Char"/>
    <w:basedOn w:val="DefaultParagraphFont"/>
    <w:link w:val="Heading1"/>
    <w:rsid w:val="006D3D0F"/>
    <w:rPr>
      <w:rFonts w:ascii="Dubai" w:hAnsi="Dubai" w:cs="Dubai"/>
      <w:b/>
      <w:bCs/>
      <w:kern w:val="32"/>
      <w:sz w:val="26"/>
      <w:szCs w:val="26"/>
      <w:lang w:eastAsia="en-US" w:bidi="ar-EG"/>
    </w:rPr>
  </w:style>
  <w:style w:type="paragraph" w:styleId="Revision">
    <w:name w:val="Revision"/>
    <w:hidden/>
    <w:uiPriority w:val="99"/>
    <w:semiHidden/>
    <w:rsid w:val="00BE2AEA"/>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00-CA-CIR-0277/en" TargetMode="External"/><Relationship Id="rId18" Type="http://schemas.openxmlformats.org/officeDocument/2006/relationships/hyperlink" Target="https://www.itu.int/md/R23-SG04-C-0038/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md/R23-SG05-C-0096/e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R23-RAG-C-0043/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R23-SG01-C-0045/en" TargetMode="External"/><Relationship Id="rId20" Type="http://schemas.openxmlformats.org/officeDocument/2006/relationships/hyperlink" Target="https://www.itu.int/md/R23-SG05-C-0065/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tu.int/md/R00-CA-CIR-0277/en" TargetMode="External"/><Relationship Id="rId23" Type="http://schemas.openxmlformats.org/officeDocument/2006/relationships/hyperlink" Target="https://www.itu.int/md/R23-SG07-C-0035/en" TargetMode="External"/><Relationship Id="rId10" Type="http://schemas.openxmlformats.org/officeDocument/2006/relationships/footnotes" Target="footnotes.xml"/><Relationship Id="rId19" Type="http://schemas.openxmlformats.org/officeDocument/2006/relationships/hyperlink" Target="https://www.itu.int/md/R23-SG04-C-0047/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SG01-C-0045/en" TargetMode="External"/><Relationship Id="rId22" Type="http://schemas.openxmlformats.org/officeDocument/2006/relationships/hyperlink" Target="https://www.itu.int/ra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996b2e75-67fd-4955-a3b0-5ab9934cb50b"/>
    <ds:schemaRef ds:uri="32a1a8c5-2265-4ebc-b7a0-2071e2c5c9b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PA_RAG25.dotx</Template>
  <TotalTime>0</TotalTime>
  <Pages>3</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Arabic_AA</dc:creator>
  <cp:keywords/>
  <cp:lastModifiedBy>Xue, Kun</cp:lastModifiedBy>
  <cp:revision>2</cp:revision>
  <cp:lastPrinted>2019-06-26T10:10:00Z</cp:lastPrinted>
  <dcterms:created xsi:type="dcterms:W3CDTF">2026-03-03T07:41:00Z</dcterms:created>
  <dcterms:modified xsi:type="dcterms:W3CDTF">2026-03-03T07:41:00Z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