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5F629ABC" w14:textId="77777777" w:rsidTr="00F90687">
        <w:trPr>
          <w:cantSplit/>
        </w:trPr>
        <w:tc>
          <w:tcPr>
            <w:tcW w:w="6772" w:type="dxa"/>
            <w:vAlign w:val="center"/>
          </w:tcPr>
          <w:p w14:paraId="3F08CFA0"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50120BFC" w14:textId="77777777" w:rsidR="0057336B" w:rsidRDefault="00AB4BAD" w:rsidP="00A7663C">
            <w:pPr>
              <w:shd w:val="solid" w:color="FFFFFF" w:fill="FFFFFF"/>
              <w:spacing w:before="0"/>
            </w:pPr>
            <w:r w:rsidRPr="00C126C1">
              <w:rPr>
                <w:noProof/>
                <w:lang w:val="en-US" w:eastAsia="zh-CN"/>
              </w:rPr>
              <w:drawing>
                <wp:inline distT="0" distB="0" distL="0" distR="0" wp14:anchorId="2BF9FB3C" wp14:editId="3027E7B1">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7E51BD12" w14:textId="77777777" w:rsidTr="00F90687">
        <w:trPr>
          <w:cantSplit/>
        </w:trPr>
        <w:tc>
          <w:tcPr>
            <w:tcW w:w="6772" w:type="dxa"/>
            <w:tcBorders>
              <w:bottom w:val="single" w:sz="12" w:space="0" w:color="auto"/>
            </w:tcBorders>
          </w:tcPr>
          <w:p w14:paraId="64D7167B"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2A865403"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2B2E1A63" w14:textId="77777777" w:rsidTr="00F90687">
        <w:trPr>
          <w:cantSplit/>
        </w:trPr>
        <w:tc>
          <w:tcPr>
            <w:tcW w:w="6772" w:type="dxa"/>
            <w:tcBorders>
              <w:top w:val="single" w:sz="12" w:space="0" w:color="auto"/>
            </w:tcBorders>
          </w:tcPr>
          <w:p w14:paraId="20CF4E68"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4BFFB0CA"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F90687" w:rsidRPr="002A127E" w14:paraId="4D5DBDED" w14:textId="77777777" w:rsidTr="00F90687">
        <w:trPr>
          <w:cantSplit/>
        </w:trPr>
        <w:tc>
          <w:tcPr>
            <w:tcW w:w="6772" w:type="dxa"/>
            <w:vMerge w:val="restart"/>
          </w:tcPr>
          <w:p w14:paraId="22B71C1D" w14:textId="77777777" w:rsidR="00F90687" w:rsidRDefault="00F90687" w:rsidP="00F90687">
            <w:pPr>
              <w:shd w:val="solid" w:color="FFFFFF" w:fill="FFFFFF"/>
              <w:spacing w:after="240"/>
              <w:rPr>
                <w:sz w:val="20"/>
              </w:rPr>
            </w:pPr>
            <w:bookmarkStart w:id="0" w:name="dnum" w:colFirst="1" w:colLast="1"/>
          </w:p>
        </w:tc>
        <w:tc>
          <w:tcPr>
            <w:tcW w:w="3117" w:type="dxa"/>
          </w:tcPr>
          <w:p w14:paraId="65BE3756" w14:textId="5BE2611D" w:rsidR="00F90687" w:rsidRPr="00786266" w:rsidRDefault="00F90687" w:rsidP="00F90687">
            <w:pPr>
              <w:shd w:val="solid" w:color="FFFFFF" w:fill="FFFFFF"/>
              <w:spacing w:before="0" w:line="240" w:lineRule="atLeast"/>
              <w:rPr>
                <w:rFonts w:ascii="Verdana" w:hAnsi="Verdana"/>
                <w:sz w:val="20"/>
              </w:rPr>
            </w:pPr>
            <w:r w:rsidRPr="00D01345">
              <w:rPr>
                <w:rFonts w:ascii="Verdana" w:hAnsi="Verdana"/>
                <w:b/>
                <w:bCs/>
                <w:color w:val="000000"/>
                <w:sz w:val="20"/>
                <w:lang w:val="es-ES"/>
              </w:rPr>
              <w:t>Addéndum 1 al Documento RAG/58-S</w:t>
            </w:r>
          </w:p>
        </w:tc>
      </w:tr>
      <w:tr w:rsidR="00F90687" w:rsidRPr="002A127E" w14:paraId="4761ABD3" w14:textId="77777777" w:rsidTr="00F90687">
        <w:trPr>
          <w:cantSplit/>
        </w:trPr>
        <w:tc>
          <w:tcPr>
            <w:tcW w:w="6772" w:type="dxa"/>
            <w:vMerge/>
          </w:tcPr>
          <w:p w14:paraId="204C0537" w14:textId="77777777" w:rsidR="00F90687" w:rsidRDefault="00F90687" w:rsidP="00F90687">
            <w:pPr>
              <w:spacing w:before="60"/>
              <w:jc w:val="center"/>
              <w:rPr>
                <w:b/>
                <w:smallCaps/>
                <w:sz w:val="32"/>
              </w:rPr>
            </w:pPr>
            <w:bookmarkStart w:id="1" w:name="ddate" w:colFirst="1" w:colLast="1"/>
            <w:bookmarkEnd w:id="0"/>
          </w:p>
        </w:tc>
        <w:tc>
          <w:tcPr>
            <w:tcW w:w="3117" w:type="dxa"/>
          </w:tcPr>
          <w:p w14:paraId="1F70D9D6" w14:textId="16B4815C" w:rsidR="00F90687" w:rsidRPr="00786266" w:rsidRDefault="00F90687" w:rsidP="00F90687">
            <w:pPr>
              <w:shd w:val="solid" w:color="FFFFFF" w:fill="FFFFFF"/>
              <w:spacing w:before="0" w:line="240" w:lineRule="atLeast"/>
              <w:rPr>
                <w:rFonts w:ascii="Verdana" w:hAnsi="Verdana"/>
                <w:sz w:val="20"/>
              </w:rPr>
            </w:pPr>
            <w:r w:rsidRPr="00D01345">
              <w:rPr>
                <w:rFonts w:ascii="Verdana" w:hAnsi="Verdana"/>
                <w:b/>
                <w:bCs/>
                <w:color w:val="000000"/>
                <w:sz w:val="20"/>
                <w:lang w:val="es-ES"/>
              </w:rPr>
              <w:t>19 de febrero de 2026</w:t>
            </w:r>
          </w:p>
        </w:tc>
      </w:tr>
      <w:tr w:rsidR="00F90687" w:rsidRPr="002A127E" w14:paraId="3EC69E58" w14:textId="77777777" w:rsidTr="00F90687">
        <w:trPr>
          <w:cantSplit/>
        </w:trPr>
        <w:tc>
          <w:tcPr>
            <w:tcW w:w="6772" w:type="dxa"/>
            <w:vMerge/>
          </w:tcPr>
          <w:p w14:paraId="0909A9A1" w14:textId="77777777" w:rsidR="00F90687" w:rsidRDefault="00F90687" w:rsidP="00F90687">
            <w:pPr>
              <w:spacing w:before="60"/>
              <w:jc w:val="center"/>
              <w:rPr>
                <w:b/>
                <w:smallCaps/>
                <w:sz w:val="32"/>
              </w:rPr>
            </w:pPr>
            <w:bookmarkStart w:id="2" w:name="dorlang" w:colFirst="1" w:colLast="1"/>
            <w:bookmarkEnd w:id="1"/>
          </w:p>
        </w:tc>
        <w:tc>
          <w:tcPr>
            <w:tcW w:w="3117" w:type="dxa"/>
          </w:tcPr>
          <w:p w14:paraId="52BD2F26" w14:textId="25D36883" w:rsidR="00F90687" w:rsidRPr="00786266" w:rsidRDefault="00F90687" w:rsidP="00F90687">
            <w:pPr>
              <w:shd w:val="solid" w:color="FFFFFF" w:fill="FFFFFF"/>
              <w:spacing w:before="0" w:after="120" w:line="240" w:lineRule="atLeast"/>
              <w:rPr>
                <w:rFonts w:ascii="Verdana" w:hAnsi="Verdana"/>
                <w:sz w:val="20"/>
              </w:rPr>
            </w:pPr>
            <w:r w:rsidRPr="00D01345">
              <w:rPr>
                <w:rFonts w:ascii="Verdana" w:hAnsi="Verdana"/>
                <w:b/>
                <w:bCs/>
                <w:color w:val="000000"/>
                <w:sz w:val="20"/>
                <w:lang w:val="es-ES"/>
              </w:rPr>
              <w:t>Original: inglés</w:t>
            </w:r>
          </w:p>
        </w:tc>
      </w:tr>
      <w:tr w:rsidR="006E291F" w14:paraId="1FE845DD" w14:textId="77777777" w:rsidTr="008F0106">
        <w:trPr>
          <w:cantSplit/>
        </w:trPr>
        <w:tc>
          <w:tcPr>
            <w:tcW w:w="9889" w:type="dxa"/>
            <w:gridSpan w:val="2"/>
          </w:tcPr>
          <w:p w14:paraId="64B57221" w14:textId="5665B090" w:rsidR="006E291F" w:rsidRDefault="00F90687" w:rsidP="00CB7A43">
            <w:pPr>
              <w:pStyle w:val="Source"/>
            </w:pPr>
            <w:bookmarkStart w:id="3" w:name="dsource" w:colFirst="0" w:colLast="0"/>
            <w:bookmarkEnd w:id="2"/>
            <w:r>
              <w:rPr>
                <w:bCs/>
                <w:color w:val="000000"/>
                <w:lang w:val="es-ES"/>
              </w:rPr>
              <w:t>Director de la Oficina de Radiocomunicaciones</w:t>
            </w:r>
          </w:p>
        </w:tc>
      </w:tr>
      <w:tr w:rsidR="006E291F" w14:paraId="4EECD8EE" w14:textId="77777777" w:rsidTr="008F0106">
        <w:trPr>
          <w:cantSplit/>
        </w:trPr>
        <w:tc>
          <w:tcPr>
            <w:tcW w:w="9889" w:type="dxa"/>
            <w:gridSpan w:val="2"/>
          </w:tcPr>
          <w:tbl>
            <w:tblPr>
              <w:tblpPr w:leftFromText="180" w:rightFromText="180" w:horzAnchor="margin" w:tblpY="-615"/>
              <w:tblW w:w="9889" w:type="dxa"/>
              <w:tblLayout w:type="fixed"/>
              <w:tblLook w:val="0000" w:firstRow="0" w:lastRow="0" w:firstColumn="0" w:lastColumn="0" w:noHBand="0" w:noVBand="0"/>
            </w:tblPr>
            <w:tblGrid>
              <w:gridCol w:w="9889"/>
            </w:tblGrid>
            <w:tr w:rsidR="00F90687" w:rsidRPr="00D01345" w14:paraId="50FD2733" w14:textId="77777777" w:rsidTr="009B606E">
              <w:trPr>
                <w:cantSplit/>
              </w:trPr>
              <w:tc>
                <w:tcPr>
                  <w:tcW w:w="9889" w:type="dxa"/>
                </w:tcPr>
                <w:p w14:paraId="1CED26FB" w14:textId="7543C257" w:rsidR="00F90687" w:rsidRPr="00D01345" w:rsidRDefault="00F90687" w:rsidP="00F90687">
                  <w:pPr>
                    <w:pStyle w:val="Title1"/>
                    <w:rPr>
                      <w:szCs w:val="28"/>
                      <w:lang w:val="es-ES"/>
                    </w:rPr>
                  </w:pPr>
                  <w:bookmarkStart w:id="4" w:name="dtitle1" w:colFirst="0" w:colLast="0"/>
                  <w:bookmarkEnd w:id="3"/>
                  <w:r w:rsidRPr="00D01345">
                    <w:rPr>
                      <w:color w:val="000000"/>
                      <w:szCs w:val="28"/>
                      <w:lang w:val="es-ES"/>
                    </w:rPr>
                    <w:t>INFORME A LA TRIGÉSIMA TERCERA REUNIÓN DEL</w:t>
                  </w:r>
                  <w:r w:rsidR="000C24B9">
                    <w:rPr>
                      <w:color w:val="000000"/>
                      <w:szCs w:val="28"/>
                      <w:lang w:val="es-ES"/>
                    </w:rPr>
                    <w:br/>
                  </w:r>
                  <w:r w:rsidRPr="00D01345">
                    <w:rPr>
                      <w:color w:val="000000"/>
                      <w:szCs w:val="28"/>
                      <w:lang w:val="es-ES"/>
                    </w:rPr>
                    <w:t>GRUPO ASESOR DE RADIOCOMUNICACIONES</w:t>
                  </w:r>
                </w:p>
              </w:tc>
            </w:tr>
            <w:tr w:rsidR="00F90687" w:rsidRPr="00D01345" w14:paraId="14A68C1B" w14:textId="77777777" w:rsidTr="009B606E">
              <w:trPr>
                <w:cantSplit/>
              </w:trPr>
              <w:tc>
                <w:tcPr>
                  <w:tcW w:w="9889" w:type="dxa"/>
                </w:tcPr>
                <w:p w14:paraId="1AD5BC53" w14:textId="77777777" w:rsidR="00F90687" w:rsidRPr="00D01345" w:rsidRDefault="00F90687" w:rsidP="00F90687">
                  <w:pPr>
                    <w:jc w:val="center"/>
                    <w:rPr>
                      <w:caps/>
                      <w:sz w:val="28"/>
                      <w:szCs w:val="28"/>
                      <w:lang w:val="es-ES"/>
                    </w:rPr>
                  </w:pPr>
                  <w:r w:rsidRPr="00D01345">
                    <w:rPr>
                      <w:color w:val="000000"/>
                      <w:sz w:val="28"/>
                      <w:szCs w:val="28"/>
                      <w:lang w:val="es-ES"/>
                    </w:rPr>
                    <w:t>ACTIVIDADES DE LAS COMISIONES DE ESTUDIO</w:t>
                  </w:r>
                </w:p>
              </w:tc>
            </w:tr>
          </w:tbl>
          <w:p w14:paraId="2CCCFC03" w14:textId="77777777" w:rsidR="006E291F" w:rsidRPr="00F90687" w:rsidRDefault="006E291F" w:rsidP="00CB7A43">
            <w:pPr>
              <w:pStyle w:val="Title1"/>
              <w:rPr>
                <w:lang w:val="es-ES"/>
              </w:rPr>
            </w:pPr>
          </w:p>
        </w:tc>
      </w:tr>
    </w:tbl>
    <w:p w14:paraId="46F1481B" w14:textId="77777777" w:rsidR="00F90687" w:rsidRPr="00D01345" w:rsidRDefault="00F90687" w:rsidP="00F90687">
      <w:pPr>
        <w:pStyle w:val="Heading1"/>
        <w:rPr>
          <w:lang w:val="es-ES"/>
        </w:rPr>
      </w:pPr>
      <w:bookmarkStart w:id="5" w:name="_Toc445972794"/>
      <w:bookmarkEnd w:id="4"/>
      <w:r>
        <w:rPr>
          <w:bCs/>
          <w:lang w:val="es-ES"/>
        </w:rPr>
        <w:t>1</w:t>
      </w:r>
      <w:r>
        <w:rPr>
          <w:lang w:val="es-ES"/>
        </w:rPr>
        <w:tab/>
      </w:r>
      <w:r>
        <w:rPr>
          <w:bCs/>
          <w:lang w:val="es-ES"/>
        </w:rPr>
        <w:t>Introducción</w:t>
      </w:r>
    </w:p>
    <w:p w14:paraId="31681D89" w14:textId="77777777" w:rsidR="00F90687" w:rsidRPr="00D01345" w:rsidRDefault="00F90687" w:rsidP="00F90687">
      <w:pPr>
        <w:rPr>
          <w:lang w:val="es-ES"/>
        </w:rPr>
      </w:pPr>
      <w:r>
        <w:rPr>
          <w:lang w:val="es-ES"/>
        </w:rPr>
        <w:t xml:space="preserve">Este documento contiene informes de situación e información sobre algunos de los temas que figuran en el proyecto de orden del día de la 33ª reunión del GAR (véase </w:t>
      </w:r>
      <w:hyperlink r:id="rId7" w:history="1">
        <w:r w:rsidRPr="00D01345">
          <w:rPr>
            <w:rStyle w:val="Hyperlink"/>
            <w:lang w:val="es-ES"/>
          </w:rPr>
          <w:t>CA/280</w:t>
        </w:r>
      </w:hyperlink>
      <w:r>
        <w:rPr>
          <w:lang w:val="es-ES"/>
        </w:rPr>
        <w:t>).</w:t>
      </w:r>
      <w:hyperlink r:id="rId8"/>
    </w:p>
    <w:p w14:paraId="0241CF90" w14:textId="77777777" w:rsidR="00F90687" w:rsidRPr="00D01345" w:rsidRDefault="00F90687" w:rsidP="00F90687">
      <w:pPr>
        <w:rPr>
          <w:lang w:val="es-ES"/>
        </w:rPr>
      </w:pPr>
      <w:r>
        <w:rPr>
          <w:lang w:val="es-ES"/>
        </w:rPr>
        <w:t>Las actividades y reuniones de todas las Comisiones de Estudio (CE) y Grupos de Trabajo (GT) del UIT-R se llevan a cabo de conformidad con los métodos de trabajo establecidos en la Resolución UIT-R 1-9.</w:t>
      </w:r>
    </w:p>
    <w:p w14:paraId="31C48308" w14:textId="77777777" w:rsidR="00F90687" w:rsidRPr="00D01345" w:rsidRDefault="00F90687" w:rsidP="00F90687">
      <w:pPr>
        <w:pStyle w:val="Heading1"/>
        <w:rPr>
          <w:lang w:val="es-ES"/>
        </w:rPr>
      </w:pPr>
      <w:r>
        <w:rPr>
          <w:bCs/>
          <w:lang w:val="es-ES"/>
        </w:rPr>
        <w:t>2</w:t>
      </w:r>
      <w:r>
        <w:rPr>
          <w:lang w:val="es-ES"/>
        </w:rPr>
        <w:tab/>
      </w:r>
      <w:r>
        <w:rPr>
          <w:bCs/>
          <w:lang w:val="es-ES"/>
        </w:rPr>
        <w:t>Participación</w:t>
      </w:r>
    </w:p>
    <w:p w14:paraId="5AE39AD4" w14:textId="77777777" w:rsidR="00F90687" w:rsidRPr="00D01345" w:rsidRDefault="00F90687" w:rsidP="00F90687">
      <w:pPr>
        <w:rPr>
          <w:lang w:val="es-ES"/>
        </w:rPr>
      </w:pPr>
      <w:r>
        <w:rPr>
          <w:lang w:val="es-ES"/>
        </w:rPr>
        <w:t xml:space="preserve">Se organizaron reuniones presenciales con participación a distancia a través de Zoom para todas las reuniones de las CE y los GT. </w:t>
      </w:r>
    </w:p>
    <w:p w14:paraId="68B7AE73" w14:textId="77777777" w:rsidR="00F90687" w:rsidRPr="00D01345" w:rsidRDefault="00F90687" w:rsidP="00F90687">
      <w:pPr>
        <w:rPr>
          <w:lang w:val="es-ES"/>
        </w:rPr>
      </w:pPr>
      <w:r>
        <w:rPr>
          <w:lang w:val="es-ES"/>
        </w:rPr>
        <w:t>Las administraciones solicitaron servicios de interpretación a los idiomas oficiales de la Unión, como se indicaba en las cartas de invitación a las reuniones de las CE. Todas las reuniones de las CE celebradas en la UIT contaron con subtitulado en directo en inglés. Sin embargo, debido a los requisitos técnicos correspondientes, es posible que esta función no esté disponible para las reuniones celebradas fuera de la Sede de la UIT.</w:t>
      </w:r>
    </w:p>
    <w:p w14:paraId="69AC6025" w14:textId="77777777" w:rsidR="00F90687" w:rsidRPr="00D01345" w:rsidRDefault="00F90687" w:rsidP="00F90687">
      <w:pPr>
        <w:rPr>
          <w:lang w:val="es-ES"/>
        </w:rPr>
      </w:pPr>
      <w:r>
        <w:rPr>
          <w:lang w:val="es-ES"/>
        </w:rPr>
        <w:t>Desde 2020 se ha producido un aumento significativo del nivel de participación global en las reuniones de las CE y los GT del UIT-R, lo cual ha sido muy alentador. Sin embargo, el aumento de la participación ha creado dificultades a la hora de planificar reuniones de grupos numerosos.</w:t>
      </w:r>
    </w:p>
    <w:p w14:paraId="14F15AA3" w14:textId="77777777" w:rsidR="00F90687" w:rsidRPr="00D01345" w:rsidRDefault="00F90687" w:rsidP="00F90687">
      <w:pPr>
        <w:rPr>
          <w:lang w:val="es-ES"/>
        </w:rPr>
      </w:pPr>
      <w:r>
        <w:rPr>
          <w:lang w:val="es-ES"/>
        </w:rPr>
        <w:t>La Figura 1 presenta una visión general de la participación presencial por Comisiones en 2025.</w:t>
      </w:r>
    </w:p>
    <w:p w14:paraId="1D1E399F" w14:textId="77777777" w:rsidR="000C24B9" w:rsidRDefault="00F90687" w:rsidP="000C24B9">
      <w:pPr>
        <w:pStyle w:val="FigureNo"/>
        <w:rPr>
          <w:lang w:val="es-ES"/>
        </w:rPr>
      </w:pPr>
      <w:r>
        <w:rPr>
          <w:lang w:val="es-ES"/>
        </w:rPr>
        <w:lastRenderedPageBreak/>
        <w:t>FIGURA 1</w:t>
      </w:r>
    </w:p>
    <w:p w14:paraId="4485FD3E" w14:textId="27B2DE7D" w:rsidR="00F90687" w:rsidRPr="000C24B9" w:rsidRDefault="00F90687" w:rsidP="000C24B9">
      <w:pPr>
        <w:pStyle w:val="Figuretitle"/>
        <w:rPr>
          <w:lang w:val="es-ES"/>
        </w:rPr>
      </w:pPr>
      <w:r w:rsidRPr="000C24B9">
        <w:rPr>
          <w:lang w:val="es-ES"/>
        </w:rPr>
        <w:t>Número total de participantes presenciales por reunión de Comisiones de</w:t>
      </w:r>
      <w:r w:rsidR="000C24B9" w:rsidRPr="000C24B9">
        <w:rPr>
          <w:lang w:val="es-ES"/>
        </w:rPr>
        <w:br/>
      </w:r>
      <w:r w:rsidRPr="000C24B9">
        <w:rPr>
          <w:lang w:val="es-ES"/>
        </w:rPr>
        <w:t>Estudio/Grupos de Trabajo del UIT-R en 2025</w:t>
      </w:r>
    </w:p>
    <w:p w14:paraId="63511FCB" w14:textId="77777777" w:rsidR="00F90687" w:rsidRPr="007935B5" w:rsidRDefault="00F90687" w:rsidP="00F90687">
      <w:r w:rsidRPr="00C01E41">
        <w:rPr>
          <w:noProof/>
        </w:rPr>
        <w:drawing>
          <wp:inline distT="0" distB="0" distL="0" distR="0" wp14:anchorId="1DD0F5B7" wp14:editId="746F2E84">
            <wp:extent cx="6120321" cy="2900275"/>
            <wp:effectExtent l="0" t="0" r="13970" b="14605"/>
            <wp:docPr id="1677447098" name="Chart 1">
              <a:extLst xmlns:a="http://schemas.openxmlformats.org/drawingml/2006/main">
                <a:ext uri="{FF2B5EF4-FFF2-40B4-BE49-F238E27FC236}">
                  <a16:creationId xmlns:a16="http://schemas.microsoft.com/office/drawing/2014/main" id="{E0D01347-FF51-628D-F741-C8B79A42B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3D9AA5" w14:textId="77777777" w:rsidR="00F90687" w:rsidRPr="00D01345" w:rsidRDefault="00F90687" w:rsidP="00F90687">
      <w:pPr>
        <w:pStyle w:val="Heading2"/>
        <w:rPr>
          <w:lang w:val="es-ES"/>
        </w:rPr>
      </w:pPr>
      <w:r>
        <w:rPr>
          <w:bCs/>
          <w:lang w:val="es-ES"/>
        </w:rPr>
        <w:t>2.1</w:t>
      </w:r>
      <w:r>
        <w:rPr>
          <w:lang w:val="es-ES"/>
        </w:rPr>
        <w:tab/>
      </w:r>
      <w:r>
        <w:rPr>
          <w:bCs/>
          <w:lang w:val="es-ES"/>
        </w:rPr>
        <w:t>Becas para apoyar la participación en las actividades de las Comisiones de Estudio del UIT-R</w:t>
      </w:r>
    </w:p>
    <w:p w14:paraId="686274FF" w14:textId="77777777" w:rsidR="00F90687" w:rsidRPr="00D01345" w:rsidRDefault="00F90687" w:rsidP="00F90687">
      <w:pPr>
        <w:rPr>
          <w:lang w:val="es-ES"/>
        </w:rPr>
      </w:pPr>
      <w:r>
        <w:rPr>
          <w:lang w:val="es-ES"/>
        </w:rPr>
        <w:t>De conformidad con la sección A1.3.2.1</w:t>
      </w:r>
      <w:r w:rsidRPr="00C81B89">
        <w:rPr>
          <w:i/>
          <w:iCs/>
          <w:lang w:val="es-ES"/>
        </w:rPr>
        <w:t>quinquies</w:t>
      </w:r>
      <w:r>
        <w:rPr>
          <w:lang w:val="es-ES"/>
        </w:rPr>
        <w:t> de la Resolución UIT-R 1-9, la UIT debe facilitar y proporcionar el apoyo necesario para la participación en los trabajos de las Comisiones de Estudio del UIT-R, especialmente a las personas procedentes de países en desarrollo, en la medida de lo posible y factible. Las limitaciones presupuestarias impidieron la concesión de becas para participar en las actividades de las CE del UIT-R.</w:t>
      </w:r>
    </w:p>
    <w:p w14:paraId="242F384D" w14:textId="77777777" w:rsidR="00F90687" w:rsidRPr="00D01345" w:rsidRDefault="00F90687" w:rsidP="00F90687">
      <w:pPr>
        <w:pStyle w:val="Heading1"/>
        <w:rPr>
          <w:lang w:val="es-ES"/>
        </w:rPr>
      </w:pPr>
      <w:r>
        <w:rPr>
          <w:bCs/>
          <w:lang w:val="es-ES"/>
        </w:rPr>
        <w:t>3</w:t>
      </w:r>
      <w:r>
        <w:rPr>
          <w:lang w:val="es-ES"/>
        </w:rPr>
        <w:tab/>
      </w:r>
      <w:r>
        <w:rPr>
          <w:bCs/>
          <w:lang w:val="es-ES"/>
        </w:rPr>
        <w:t>Salas de reunión</w:t>
      </w:r>
    </w:p>
    <w:p w14:paraId="428F9766" w14:textId="77777777" w:rsidR="00F90687" w:rsidRPr="00D01345" w:rsidRDefault="00F90687" w:rsidP="00F90687">
      <w:pPr>
        <w:rPr>
          <w:lang w:val="es-ES"/>
        </w:rPr>
      </w:pPr>
      <w:r>
        <w:rPr>
          <w:lang w:val="es-ES"/>
        </w:rPr>
        <w:t>La escasez de salas de reunión en la Sede de la UIT sigue obstaculizando la planificación eficaz de las reuniones. Este problema se vio exacerbado por los siguientes factores:</w:t>
      </w:r>
    </w:p>
    <w:p w14:paraId="19AFEB17" w14:textId="77777777" w:rsidR="00F90687" w:rsidRPr="00D01345" w:rsidRDefault="00F90687" w:rsidP="00F90687">
      <w:pPr>
        <w:pStyle w:val="enumlev1"/>
        <w:rPr>
          <w:lang w:val="es-ES"/>
        </w:rPr>
      </w:pPr>
      <w:r>
        <w:rPr>
          <w:lang w:val="es-ES"/>
        </w:rPr>
        <w:t>–</w:t>
      </w:r>
      <w:r>
        <w:rPr>
          <w:lang w:val="es-ES"/>
        </w:rPr>
        <w:tab/>
        <w:t>el creciente número de reuniones previstas por todos los Sectores de la UIT y la Secretaría General;</w:t>
      </w:r>
    </w:p>
    <w:p w14:paraId="0CDA8C54" w14:textId="77777777" w:rsidR="00F90687" w:rsidRPr="00D01345" w:rsidRDefault="00F90687" w:rsidP="00F90687">
      <w:pPr>
        <w:pStyle w:val="enumlev1"/>
        <w:rPr>
          <w:lang w:val="es-ES"/>
        </w:rPr>
      </w:pPr>
      <w:r>
        <w:rPr>
          <w:lang w:val="es-ES"/>
        </w:rPr>
        <w:t>–</w:t>
      </w:r>
      <w:r>
        <w:rPr>
          <w:lang w:val="es-ES"/>
        </w:rPr>
        <w:tab/>
        <w:t>la escasez de salas de reunión con un aforo para más de 120 participantes;</w:t>
      </w:r>
    </w:p>
    <w:p w14:paraId="3746241E" w14:textId="77777777" w:rsidR="00F90687" w:rsidRPr="00D01345" w:rsidRDefault="00F90687" w:rsidP="00F90687">
      <w:pPr>
        <w:pStyle w:val="enumlev1"/>
        <w:rPr>
          <w:lang w:val="es-ES"/>
        </w:rPr>
      </w:pPr>
      <w:r>
        <w:rPr>
          <w:lang w:val="es-ES"/>
        </w:rPr>
        <w:t>–</w:t>
      </w:r>
      <w:r>
        <w:rPr>
          <w:lang w:val="es-ES"/>
        </w:rPr>
        <w:tab/>
        <w:t>la necesidad de evitar el solapamiento de las fechas de las reuniones, así como el requisito de celebrar reuniones de los Grupos del UIT-R en paralelo;</w:t>
      </w:r>
    </w:p>
    <w:p w14:paraId="18E4762E" w14:textId="77777777" w:rsidR="00F90687" w:rsidRPr="00D01345" w:rsidRDefault="00F90687" w:rsidP="00F90687">
      <w:pPr>
        <w:pStyle w:val="enumlev1"/>
        <w:rPr>
          <w:lang w:val="es-ES"/>
        </w:rPr>
      </w:pPr>
      <w:r>
        <w:rPr>
          <w:lang w:val="es-ES"/>
        </w:rPr>
        <w:t>–</w:t>
      </w:r>
      <w:r>
        <w:rPr>
          <w:lang w:val="es-ES"/>
        </w:rPr>
        <w:tab/>
        <w:t>la disponibilidad limitada y los plazos muy prolongados necesarios para reservar en instalaciones alternativas, como el CICG;</w:t>
      </w:r>
    </w:p>
    <w:p w14:paraId="0F96900A" w14:textId="77777777" w:rsidR="00F90687" w:rsidRPr="00D01345" w:rsidRDefault="00F90687" w:rsidP="00F90687">
      <w:pPr>
        <w:pStyle w:val="enumlev1"/>
        <w:rPr>
          <w:lang w:val="es-ES"/>
        </w:rPr>
      </w:pPr>
      <w:r>
        <w:rPr>
          <w:lang w:val="es-ES"/>
        </w:rPr>
        <w:t>–</w:t>
      </w:r>
      <w:r>
        <w:rPr>
          <w:lang w:val="es-ES"/>
        </w:rPr>
        <w:tab/>
        <w:t>además, las condiciones contractuales del CICG han cambiado y se han vuelto más estrictas, ya que el CICG ya no proporciona automáticamente espacio de reunión de forma gratuita a la UIT u otras organizaciones internacionales. La atribución gratuita de espacio de reunión está sujeta a la disponibilidad presupuestaria del CICG y todas las solicitudes deben presentarse con 18 meses de antelación para que puedan considerarse como gratuitas;</w:t>
      </w:r>
    </w:p>
    <w:p w14:paraId="1E20947F" w14:textId="77777777" w:rsidR="00F90687" w:rsidRPr="00D01345" w:rsidRDefault="00F90687" w:rsidP="00F90687">
      <w:pPr>
        <w:pStyle w:val="enumlev1"/>
        <w:rPr>
          <w:lang w:val="es-ES"/>
        </w:rPr>
      </w:pPr>
      <w:r>
        <w:rPr>
          <w:lang w:val="es-ES"/>
        </w:rPr>
        <w:t>–</w:t>
      </w:r>
      <w:r>
        <w:rPr>
          <w:lang w:val="es-ES"/>
        </w:rPr>
        <w:tab/>
        <w:t>la futura demolición del edificio de Varembé y la construcción del nuevo edificio de la UIT, que afectaría a varias salas de reunión.</w:t>
      </w:r>
    </w:p>
    <w:p w14:paraId="62ED7CD7" w14:textId="77777777" w:rsidR="00F90687" w:rsidRPr="00D01345" w:rsidRDefault="00F90687" w:rsidP="00F90687">
      <w:pPr>
        <w:rPr>
          <w:lang w:val="es-ES"/>
        </w:rPr>
      </w:pPr>
      <w:r>
        <w:rPr>
          <w:lang w:val="es-ES"/>
        </w:rPr>
        <w:lastRenderedPageBreak/>
        <w:t>Por consiguiente, cuando comience la demolición del edificio de Varembé (prevista para el segundo semestre de 2028), todas las reuniones deberán celebrarse fuera de la Sede de la UIT. A tal efecto, se agradecería especialmente que los Miembros ofrecieran acoger reuniones de CE/GT durante este periodo. Además, tales disposiciones exigirán una planificación y una preparación considerables por adelantado.</w:t>
      </w:r>
    </w:p>
    <w:p w14:paraId="4BDB207E" w14:textId="77777777" w:rsidR="00F90687" w:rsidRPr="00D01345" w:rsidRDefault="00F90687" w:rsidP="00F90687">
      <w:pPr>
        <w:rPr>
          <w:sz w:val="22"/>
          <w:szCs w:val="22"/>
          <w:lang w:val="es-ES"/>
        </w:rPr>
      </w:pPr>
      <w:r>
        <w:rPr>
          <w:lang w:val="es-ES"/>
        </w:rPr>
        <w:t xml:space="preserve">En 2025 se evitaron, en la medida de lo posible, los solapamientos con reuniones de otros Sectores de la UIT y de la Secretaría General. Lamentablemente, el número de eventos ajenos al UIT-R ha aumentado notablemente, por lo que ha resultado muy difícil, y a veces imposible, tales solapamientos. Se prevé que la situación sea la misma en 2026 y la coordinación entre los Sectores de la UIT es constante a fin de reducir el mínimo este problema. (Véase también la sección 2.6 del Documento </w:t>
      </w:r>
      <w:hyperlink r:id="rId10" w:history="1">
        <w:r w:rsidRPr="004D14FA">
          <w:rPr>
            <w:rStyle w:val="Hyperlink"/>
            <w:lang w:val="es-ES"/>
          </w:rPr>
          <w:t>RAG/58</w:t>
        </w:r>
      </w:hyperlink>
      <w:r>
        <w:rPr>
          <w:lang w:val="es-ES"/>
        </w:rPr>
        <w:t>).</w:t>
      </w:r>
      <w:hyperlink r:id="rId11" w:history="1"/>
    </w:p>
    <w:p w14:paraId="307A5A31" w14:textId="77777777" w:rsidR="00F90687" w:rsidRPr="00D01345" w:rsidRDefault="00F90687" w:rsidP="00F90687">
      <w:pPr>
        <w:pStyle w:val="Heading1"/>
        <w:rPr>
          <w:lang w:val="es-ES"/>
        </w:rPr>
      </w:pPr>
      <w:bookmarkStart w:id="6" w:name="_Toc445972792"/>
      <w:r>
        <w:rPr>
          <w:bCs/>
          <w:lang w:val="es-ES"/>
        </w:rPr>
        <w:t>4</w:t>
      </w:r>
      <w:r>
        <w:rPr>
          <w:lang w:val="es-ES"/>
        </w:rPr>
        <w:tab/>
      </w:r>
      <w:r>
        <w:rPr>
          <w:bCs/>
          <w:lang w:val="es-ES"/>
        </w:rPr>
        <w:t>Actividades de las Comisiones de Estudio</w:t>
      </w:r>
    </w:p>
    <w:p w14:paraId="60E2CA2A" w14:textId="77777777" w:rsidR="00F90687" w:rsidRPr="00D01345" w:rsidRDefault="00F90687" w:rsidP="00F90687">
      <w:pPr>
        <w:rPr>
          <w:lang w:val="es-ES"/>
        </w:rPr>
      </w:pPr>
      <w:r>
        <w:rPr>
          <w:lang w:val="es-ES"/>
        </w:rPr>
        <w:t>En las siguientes secciones se resumen las actividades de cada CE en 2025.</w:t>
      </w:r>
    </w:p>
    <w:p w14:paraId="77728838" w14:textId="77777777" w:rsidR="00F90687" w:rsidRPr="00D01345" w:rsidRDefault="00F90687" w:rsidP="00F90687">
      <w:pPr>
        <w:pStyle w:val="Heading2"/>
        <w:rPr>
          <w:lang w:val="es-ES"/>
        </w:rPr>
      </w:pPr>
      <w:r>
        <w:rPr>
          <w:bCs/>
          <w:lang w:val="es-ES"/>
        </w:rPr>
        <w:t>4.1</w:t>
      </w:r>
      <w:r>
        <w:rPr>
          <w:lang w:val="es-ES"/>
        </w:rPr>
        <w:tab/>
      </w:r>
      <w:r>
        <w:rPr>
          <w:bCs/>
          <w:lang w:val="es-ES"/>
        </w:rPr>
        <w:t>Resultados de las Comisiones de Estudio</w:t>
      </w:r>
    </w:p>
    <w:p w14:paraId="7FE0B9CF" w14:textId="77777777" w:rsidR="00F90687" w:rsidRPr="00D01345" w:rsidRDefault="00F90687" w:rsidP="00F90687">
      <w:pPr>
        <w:spacing w:after="240"/>
        <w:rPr>
          <w:lang w:val="es-ES"/>
        </w:rPr>
      </w:pPr>
      <w:r>
        <w:rPr>
          <w:lang w:val="es-ES"/>
        </w:rPr>
        <w:t>A continuación se enumeran los resultados de las CE elaborados desde la 32ª reunión del GAR en abril de 2025 (GAR-25).</w:t>
      </w:r>
    </w:p>
    <w:tbl>
      <w:tblPr>
        <w:tblStyle w:val="TableGrid1"/>
        <w:tblW w:w="9709" w:type="dxa"/>
        <w:jc w:val="center"/>
        <w:tblLayout w:type="fixed"/>
        <w:tblLook w:val="04A0" w:firstRow="1" w:lastRow="0" w:firstColumn="1" w:lastColumn="0" w:noHBand="0" w:noVBand="1"/>
      </w:tblPr>
      <w:tblGrid>
        <w:gridCol w:w="1219"/>
        <w:gridCol w:w="2178"/>
        <w:gridCol w:w="2127"/>
        <w:gridCol w:w="1701"/>
        <w:gridCol w:w="1275"/>
        <w:gridCol w:w="1209"/>
      </w:tblGrid>
      <w:tr w:rsidR="00F90687" w:rsidRPr="00745008" w14:paraId="5285917A" w14:textId="77777777" w:rsidTr="004160B4">
        <w:trPr>
          <w:trHeight w:val="287"/>
          <w:tblHeader/>
          <w:jc w:val="center"/>
        </w:trPr>
        <w:tc>
          <w:tcPr>
            <w:tcW w:w="1219" w:type="dxa"/>
            <w:vMerge w:val="restart"/>
            <w:tcBorders>
              <w:right w:val="single" w:sz="4" w:space="0" w:color="000000" w:themeColor="text1"/>
            </w:tcBorders>
            <w:shd w:val="clear" w:color="auto" w:fill="DBE5F1" w:themeFill="accent1" w:themeFillTint="33"/>
            <w:vAlign w:val="center"/>
          </w:tcPr>
          <w:p w14:paraId="6B4548EF" w14:textId="77777777" w:rsidR="00F90687" w:rsidRPr="00745008" w:rsidRDefault="00F90687" w:rsidP="009B606E">
            <w:pPr>
              <w:pStyle w:val="Tablehead"/>
            </w:pPr>
            <w:r>
              <w:rPr>
                <w:bCs/>
                <w:color w:val="000000"/>
                <w:lang w:val="es-ES"/>
              </w:rPr>
              <w:t>Comisión de Estudio</w:t>
            </w:r>
          </w:p>
        </w:tc>
        <w:tc>
          <w:tcPr>
            <w:tcW w:w="8490" w:type="dxa"/>
            <w:gridSpan w:val="5"/>
            <w:tcBorders>
              <w:left w:val="single" w:sz="4" w:space="0" w:color="000000" w:themeColor="text1"/>
            </w:tcBorders>
            <w:shd w:val="clear" w:color="auto" w:fill="DBE5F1" w:themeFill="accent1" w:themeFillTint="33"/>
            <w:vAlign w:val="center"/>
          </w:tcPr>
          <w:p w14:paraId="5C0BFA13" w14:textId="77777777" w:rsidR="00F90687" w:rsidRPr="00745008" w:rsidRDefault="00F90687" w:rsidP="009B606E">
            <w:pPr>
              <w:pStyle w:val="Tablehead"/>
            </w:pPr>
            <w:r>
              <w:rPr>
                <w:bCs/>
                <w:color w:val="000000"/>
                <w:lang w:val="es-ES"/>
              </w:rPr>
              <w:t>Situación de los estudios</w:t>
            </w:r>
          </w:p>
        </w:tc>
      </w:tr>
      <w:tr w:rsidR="00F90687" w:rsidRPr="00745008" w14:paraId="784387EB" w14:textId="77777777" w:rsidTr="004160B4">
        <w:trPr>
          <w:trHeight w:val="270"/>
          <w:tblHeader/>
          <w:jc w:val="center"/>
        </w:trPr>
        <w:tc>
          <w:tcPr>
            <w:tcW w:w="1219" w:type="dxa"/>
            <w:vMerge/>
            <w:vAlign w:val="center"/>
          </w:tcPr>
          <w:p w14:paraId="692AE8B5" w14:textId="77777777" w:rsidR="00F90687" w:rsidRPr="00745008" w:rsidDel="00A14716" w:rsidRDefault="00F90687" w:rsidP="009B606E">
            <w:pPr>
              <w:pStyle w:val="Tablehead"/>
            </w:pPr>
          </w:p>
        </w:tc>
        <w:tc>
          <w:tcPr>
            <w:tcW w:w="2178" w:type="dxa"/>
            <w:tcBorders>
              <w:left w:val="single" w:sz="4" w:space="0" w:color="000000" w:themeColor="text1"/>
            </w:tcBorders>
            <w:shd w:val="clear" w:color="auto" w:fill="DBE5F1" w:themeFill="accent1" w:themeFillTint="33"/>
          </w:tcPr>
          <w:p w14:paraId="2E2E5D78" w14:textId="77777777" w:rsidR="00F90687" w:rsidRPr="00745008" w:rsidRDefault="00F90687" w:rsidP="009B606E">
            <w:pPr>
              <w:pStyle w:val="Tablehead"/>
            </w:pPr>
            <w:r>
              <w:rPr>
                <w:bCs/>
                <w:color w:val="000000"/>
                <w:lang w:val="es-ES"/>
              </w:rPr>
              <w:t>Recomendaciones UIT-R aprobadas</w:t>
            </w:r>
          </w:p>
        </w:tc>
        <w:tc>
          <w:tcPr>
            <w:tcW w:w="2127" w:type="dxa"/>
            <w:tcBorders>
              <w:left w:val="single" w:sz="4" w:space="0" w:color="000000" w:themeColor="text1"/>
            </w:tcBorders>
            <w:shd w:val="clear" w:color="auto" w:fill="DBE5F1" w:themeFill="accent1" w:themeFillTint="33"/>
          </w:tcPr>
          <w:p w14:paraId="43C485C8" w14:textId="77777777" w:rsidR="00F90687" w:rsidRPr="00D01345" w:rsidRDefault="00F90687" w:rsidP="009B606E">
            <w:pPr>
              <w:pStyle w:val="Tablehead"/>
              <w:rPr>
                <w:lang w:val="es-ES"/>
              </w:rPr>
            </w:pPr>
            <w:r>
              <w:rPr>
                <w:bCs/>
                <w:color w:val="000000"/>
                <w:lang w:val="es-ES"/>
              </w:rPr>
              <w:t>Informes aprobados por el UIT-R</w:t>
            </w:r>
          </w:p>
        </w:tc>
        <w:tc>
          <w:tcPr>
            <w:tcW w:w="1701" w:type="dxa"/>
            <w:tcBorders>
              <w:left w:val="single" w:sz="4" w:space="0" w:color="000000" w:themeColor="text1"/>
            </w:tcBorders>
            <w:shd w:val="clear" w:color="auto" w:fill="DBE5F1" w:themeFill="accent1" w:themeFillTint="33"/>
          </w:tcPr>
          <w:p w14:paraId="654D248B" w14:textId="77777777" w:rsidR="00F90687" w:rsidRPr="00D01345" w:rsidRDefault="00F90687" w:rsidP="009B606E">
            <w:pPr>
              <w:pStyle w:val="Tablehead"/>
              <w:rPr>
                <w:lang w:val="es-ES"/>
              </w:rPr>
            </w:pPr>
            <w:r>
              <w:rPr>
                <w:bCs/>
                <w:color w:val="000000"/>
                <w:lang w:val="es-ES"/>
              </w:rPr>
              <w:t>Cuestiones aprobadas por el UIT-R</w:t>
            </w:r>
          </w:p>
        </w:tc>
        <w:tc>
          <w:tcPr>
            <w:tcW w:w="1275" w:type="dxa"/>
            <w:tcBorders>
              <w:left w:val="single" w:sz="4" w:space="0" w:color="000000" w:themeColor="text1"/>
            </w:tcBorders>
            <w:shd w:val="clear" w:color="auto" w:fill="DBE5F1" w:themeFill="accent1" w:themeFillTint="33"/>
          </w:tcPr>
          <w:p w14:paraId="5B7FCEFF" w14:textId="77777777" w:rsidR="00F90687" w:rsidRPr="00745008" w:rsidRDefault="00F90687" w:rsidP="009B606E">
            <w:pPr>
              <w:pStyle w:val="Tablehead"/>
            </w:pPr>
            <w:r>
              <w:rPr>
                <w:bCs/>
                <w:color w:val="000000"/>
                <w:lang w:val="es-ES"/>
              </w:rPr>
              <w:t>Informes UIT-R aprobados</w:t>
            </w:r>
          </w:p>
        </w:tc>
        <w:tc>
          <w:tcPr>
            <w:tcW w:w="1209" w:type="dxa"/>
            <w:tcBorders>
              <w:left w:val="single" w:sz="4" w:space="0" w:color="000000" w:themeColor="text1"/>
            </w:tcBorders>
            <w:shd w:val="clear" w:color="auto" w:fill="DBE5F1" w:themeFill="accent1" w:themeFillTint="33"/>
          </w:tcPr>
          <w:p w14:paraId="5134F90F" w14:textId="77777777" w:rsidR="00F90687" w:rsidRPr="00745008" w:rsidRDefault="00F90687" w:rsidP="009B606E">
            <w:pPr>
              <w:pStyle w:val="Tablehead"/>
            </w:pPr>
            <w:r>
              <w:rPr>
                <w:bCs/>
                <w:color w:val="000000"/>
                <w:lang w:val="es-ES"/>
              </w:rPr>
              <w:t>Opiniones UIT-R aprobadas</w:t>
            </w:r>
          </w:p>
        </w:tc>
      </w:tr>
      <w:tr w:rsidR="00F90687" w:rsidRPr="00745008" w14:paraId="6B9587EB" w14:textId="77777777" w:rsidTr="004160B4">
        <w:trPr>
          <w:trHeight w:val="270"/>
          <w:jc w:val="center"/>
        </w:trPr>
        <w:tc>
          <w:tcPr>
            <w:tcW w:w="1219" w:type="dxa"/>
            <w:tcBorders>
              <w:right w:val="single" w:sz="4" w:space="0" w:color="000000" w:themeColor="text1"/>
            </w:tcBorders>
          </w:tcPr>
          <w:p w14:paraId="51C2298C" w14:textId="77777777" w:rsidR="00F90687" w:rsidRPr="007E34BF" w:rsidDel="00A14716" w:rsidRDefault="00F90687" w:rsidP="009B606E">
            <w:pPr>
              <w:pStyle w:val="Tabletext"/>
              <w:jc w:val="center"/>
              <w:rPr>
                <w:b/>
                <w:bCs/>
                <w:sz w:val="20"/>
              </w:rPr>
            </w:pPr>
            <w:r w:rsidRPr="007E34BF">
              <w:rPr>
                <w:b/>
                <w:bCs/>
                <w:color w:val="000000"/>
                <w:sz w:val="20"/>
                <w:lang w:val="es-ES"/>
              </w:rPr>
              <w:t>CE 1</w:t>
            </w:r>
          </w:p>
        </w:tc>
        <w:tc>
          <w:tcPr>
            <w:tcW w:w="2178" w:type="dxa"/>
            <w:tcBorders>
              <w:left w:val="single" w:sz="4" w:space="0" w:color="000000" w:themeColor="text1"/>
            </w:tcBorders>
          </w:tcPr>
          <w:p w14:paraId="20C0BE59" w14:textId="77777777" w:rsidR="00F90687" w:rsidRPr="007E34BF" w:rsidRDefault="00F90687" w:rsidP="00A32BE8">
            <w:pPr>
              <w:pStyle w:val="Tabletext"/>
              <w:jc w:val="center"/>
              <w:rPr>
                <w:sz w:val="20"/>
              </w:rPr>
            </w:pPr>
            <w:hyperlink r:id="rId12" w:history="1">
              <w:r w:rsidRPr="007E34BF">
                <w:rPr>
                  <w:rStyle w:val="Hyperlink"/>
                  <w:rFonts w:asciiTheme="majorBidi" w:hAnsiTheme="majorBidi" w:cstheme="majorBidi"/>
                  <w:color w:val="000000"/>
                  <w:sz w:val="20"/>
                  <w:lang w:eastAsia="ja-JP"/>
                </w:rPr>
                <w:t>SM.328-12</w:t>
              </w:r>
            </w:hyperlink>
            <w:r w:rsidRPr="007E34BF">
              <w:rPr>
                <w:rFonts w:asciiTheme="majorBidi" w:hAnsiTheme="majorBidi" w:cstheme="majorBidi"/>
                <w:color w:val="000000"/>
                <w:sz w:val="20"/>
                <w:lang w:eastAsia="ja-JP"/>
              </w:rPr>
              <w:t xml:space="preserve">, </w:t>
            </w:r>
            <w:hyperlink r:id="rId13" w:history="1">
              <w:r w:rsidRPr="007E34BF">
                <w:rPr>
                  <w:rStyle w:val="Hyperlink"/>
                  <w:rFonts w:asciiTheme="majorBidi" w:hAnsiTheme="majorBidi" w:cstheme="majorBidi"/>
                  <w:color w:val="000000"/>
                  <w:sz w:val="20"/>
                  <w:lang w:eastAsia="ja-JP"/>
                </w:rPr>
                <w:t>SM.2110-2</w:t>
              </w:r>
            </w:hyperlink>
          </w:p>
        </w:tc>
        <w:tc>
          <w:tcPr>
            <w:tcW w:w="2127" w:type="dxa"/>
            <w:tcBorders>
              <w:left w:val="single" w:sz="4" w:space="0" w:color="000000" w:themeColor="text1"/>
            </w:tcBorders>
          </w:tcPr>
          <w:p w14:paraId="1D5311AF" w14:textId="77777777" w:rsidR="00F90687" w:rsidRPr="007E34BF" w:rsidRDefault="00F90687" w:rsidP="00A32BE8">
            <w:pPr>
              <w:pStyle w:val="Tabletext"/>
              <w:jc w:val="center"/>
              <w:rPr>
                <w:sz w:val="20"/>
              </w:rPr>
            </w:pPr>
            <w:hyperlink r:id="rId14" w:history="1">
              <w:r w:rsidRPr="007E34BF">
                <w:rPr>
                  <w:rStyle w:val="Hyperlink"/>
                  <w:color w:val="000000"/>
                  <w:sz w:val="20"/>
                </w:rPr>
                <w:t>SM.2012-7</w:t>
              </w:r>
            </w:hyperlink>
            <w:r w:rsidRPr="007E34BF">
              <w:rPr>
                <w:color w:val="000000"/>
                <w:sz w:val="20"/>
              </w:rPr>
              <w:t xml:space="preserve">, </w:t>
            </w:r>
            <w:hyperlink r:id="rId15" w:history="1">
              <w:r w:rsidRPr="007E34BF">
                <w:rPr>
                  <w:rStyle w:val="Hyperlink"/>
                  <w:color w:val="000000"/>
                  <w:sz w:val="20"/>
                </w:rPr>
                <w:t>SM.2015</w:t>
              </w:r>
              <w:r w:rsidRPr="007E34BF">
                <w:rPr>
                  <w:rStyle w:val="Hyperlink"/>
                  <w:color w:val="000000"/>
                  <w:sz w:val="20"/>
                </w:rPr>
                <w:noBreakHyphen/>
                <w:t>3</w:t>
              </w:r>
            </w:hyperlink>
          </w:p>
        </w:tc>
        <w:tc>
          <w:tcPr>
            <w:tcW w:w="1701" w:type="dxa"/>
            <w:tcBorders>
              <w:left w:val="single" w:sz="4" w:space="0" w:color="000000" w:themeColor="text1"/>
            </w:tcBorders>
          </w:tcPr>
          <w:p w14:paraId="16DA26A4" w14:textId="77777777" w:rsidR="00F90687" w:rsidRPr="007E34BF" w:rsidRDefault="00F90687" w:rsidP="00A32BE8">
            <w:pPr>
              <w:pStyle w:val="Tabletext"/>
              <w:jc w:val="center"/>
              <w:rPr>
                <w:sz w:val="20"/>
              </w:rPr>
            </w:pPr>
            <w:r w:rsidRPr="007E34BF">
              <w:rPr>
                <w:color w:val="000000"/>
                <w:sz w:val="20"/>
                <w:lang w:val="es-ES"/>
              </w:rPr>
              <w:t>–</w:t>
            </w:r>
          </w:p>
        </w:tc>
        <w:tc>
          <w:tcPr>
            <w:tcW w:w="1275" w:type="dxa"/>
            <w:tcBorders>
              <w:left w:val="single" w:sz="4" w:space="0" w:color="000000" w:themeColor="text1"/>
            </w:tcBorders>
          </w:tcPr>
          <w:p w14:paraId="4A0920AB" w14:textId="77777777" w:rsidR="00F90687" w:rsidRPr="007E34BF" w:rsidRDefault="00F90687" w:rsidP="00A32BE8">
            <w:pPr>
              <w:pStyle w:val="Tabletext"/>
              <w:jc w:val="center"/>
              <w:rPr>
                <w:sz w:val="20"/>
              </w:rPr>
            </w:pPr>
            <w:r w:rsidRPr="007E34BF">
              <w:rPr>
                <w:color w:val="000000"/>
                <w:sz w:val="20"/>
                <w:lang w:val="es-ES"/>
              </w:rPr>
              <w:t>–</w:t>
            </w:r>
          </w:p>
        </w:tc>
        <w:tc>
          <w:tcPr>
            <w:tcW w:w="1209" w:type="dxa"/>
            <w:tcBorders>
              <w:left w:val="single" w:sz="4" w:space="0" w:color="000000" w:themeColor="text1"/>
            </w:tcBorders>
          </w:tcPr>
          <w:p w14:paraId="5B3717B6" w14:textId="77777777" w:rsidR="00F90687" w:rsidRPr="007E34BF" w:rsidRDefault="00F90687" w:rsidP="00A32BE8">
            <w:pPr>
              <w:pStyle w:val="Tabletext"/>
              <w:jc w:val="center"/>
              <w:rPr>
                <w:sz w:val="20"/>
              </w:rPr>
            </w:pPr>
            <w:r w:rsidRPr="007E34BF">
              <w:rPr>
                <w:color w:val="000000"/>
                <w:sz w:val="20"/>
                <w:lang w:val="es-ES"/>
              </w:rPr>
              <w:t>–</w:t>
            </w:r>
          </w:p>
        </w:tc>
      </w:tr>
      <w:tr w:rsidR="00F90687" w:rsidRPr="00745008" w14:paraId="07A2FD2F" w14:textId="77777777" w:rsidTr="004160B4">
        <w:trPr>
          <w:trHeight w:val="270"/>
          <w:jc w:val="center"/>
        </w:trPr>
        <w:tc>
          <w:tcPr>
            <w:tcW w:w="1219" w:type="dxa"/>
            <w:tcBorders>
              <w:right w:val="single" w:sz="4" w:space="0" w:color="000000" w:themeColor="text1"/>
            </w:tcBorders>
          </w:tcPr>
          <w:p w14:paraId="628C244D" w14:textId="77777777" w:rsidR="00F90687" w:rsidRPr="007E34BF" w:rsidDel="00A14716" w:rsidRDefault="00F90687" w:rsidP="009B606E">
            <w:pPr>
              <w:pStyle w:val="Tabletext"/>
              <w:jc w:val="center"/>
              <w:rPr>
                <w:b/>
                <w:bCs/>
                <w:sz w:val="20"/>
              </w:rPr>
            </w:pPr>
            <w:r w:rsidRPr="007E34BF">
              <w:rPr>
                <w:b/>
                <w:bCs/>
                <w:color w:val="000000"/>
                <w:sz w:val="20"/>
                <w:lang w:val="es-ES"/>
              </w:rPr>
              <w:t>CE 3</w:t>
            </w:r>
          </w:p>
        </w:tc>
        <w:tc>
          <w:tcPr>
            <w:tcW w:w="2178" w:type="dxa"/>
            <w:tcBorders>
              <w:left w:val="single" w:sz="4" w:space="0" w:color="000000" w:themeColor="text1"/>
            </w:tcBorders>
          </w:tcPr>
          <w:p w14:paraId="35598766" w14:textId="77777777" w:rsidR="00F90687" w:rsidRPr="007E34BF" w:rsidRDefault="00F90687" w:rsidP="00A32BE8">
            <w:pPr>
              <w:pStyle w:val="Tabletext"/>
              <w:jc w:val="center"/>
              <w:rPr>
                <w:sz w:val="20"/>
              </w:rPr>
            </w:pPr>
            <w:hyperlink r:id="rId16" w:history="1">
              <w:r w:rsidRPr="007E34BF">
                <w:rPr>
                  <w:rStyle w:val="Hyperlink"/>
                  <w:color w:val="000000"/>
                  <w:sz w:val="20"/>
                </w:rPr>
                <w:t>P.310-11</w:t>
              </w:r>
            </w:hyperlink>
            <w:r w:rsidRPr="007E34BF">
              <w:rPr>
                <w:color w:val="000000"/>
                <w:sz w:val="20"/>
              </w:rPr>
              <w:t xml:space="preserve">, </w:t>
            </w:r>
            <w:hyperlink r:id="rId17" w:history="1">
              <w:r w:rsidRPr="007E34BF">
                <w:rPr>
                  <w:rStyle w:val="Hyperlink"/>
                  <w:color w:val="000000"/>
                  <w:sz w:val="20"/>
                </w:rPr>
                <w:t>P.311-19</w:t>
              </w:r>
            </w:hyperlink>
            <w:r w:rsidRPr="007E34BF">
              <w:rPr>
                <w:color w:val="000000"/>
                <w:sz w:val="20"/>
              </w:rPr>
              <w:t xml:space="preserve">, </w:t>
            </w:r>
            <w:hyperlink r:id="rId18" w:history="1">
              <w:r w:rsidRPr="007E34BF">
                <w:rPr>
                  <w:rStyle w:val="Hyperlink"/>
                  <w:color w:val="000000"/>
                  <w:sz w:val="20"/>
                </w:rPr>
                <w:t>P.526-16</w:t>
              </w:r>
            </w:hyperlink>
            <w:r w:rsidRPr="007E34BF">
              <w:rPr>
                <w:color w:val="000000"/>
                <w:sz w:val="20"/>
              </w:rPr>
              <w:t xml:space="preserve">, </w:t>
            </w:r>
            <w:hyperlink r:id="rId19" w:history="1">
              <w:r w:rsidRPr="007E34BF">
                <w:rPr>
                  <w:rStyle w:val="Hyperlink"/>
                  <w:color w:val="000000"/>
                  <w:sz w:val="20"/>
                </w:rPr>
                <w:t>P.530-19</w:t>
              </w:r>
            </w:hyperlink>
            <w:r w:rsidRPr="007E34BF">
              <w:rPr>
                <w:color w:val="000000"/>
                <w:sz w:val="20"/>
              </w:rPr>
              <w:t xml:space="preserve">, </w:t>
            </w:r>
            <w:hyperlink r:id="rId20" w:history="1">
              <w:r w:rsidRPr="007E34BF">
                <w:rPr>
                  <w:rStyle w:val="Hyperlink"/>
                  <w:color w:val="000000"/>
                  <w:sz w:val="20"/>
                </w:rPr>
                <w:t>P.531-16</w:t>
              </w:r>
            </w:hyperlink>
            <w:r w:rsidRPr="007E34BF">
              <w:rPr>
                <w:color w:val="000000"/>
                <w:sz w:val="20"/>
              </w:rPr>
              <w:t xml:space="preserve">, </w:t>
            </w:r>
            <w:hyperlink r:id="rId21" w:history="1">
              <w:r w:rsidRPr="007E34BF">
                <w:rPr>
                  <w:rStyle w:val="Hyperlink"/>
                  <w:color w:val="000000"/>
                  <w:sz w:val="20"/>
                </w:rPr>
                <w:t>P.617-6</w:t>
              </w:r>
            </w:hyperlink>
            <w:r w:rsidRPr="007E34BF">
              <w:rPr>
                <w:color w:val="000000"/>
                <w:sz w:val="20"/>
              </w:rPr>
              <w:t xml:space="preserve">, </w:t>
            </w:r>
            <w:hyperlink r:id="rId22" w:history="1">
              <w:r w:rsidRPr="007E34BF">
                <w:rPr>
                  <w:rStyle w:val="Hyperlink"/>
                  <w:color w:val="000000"/>
                  <w:sz w:val="20"/>
                </w:rPr>
                <w:t>P.619</w:t>
              </w:r>
              <w:r w:rsidRPr="007E34BF">
                <w:rPr>
                  <w:rStyle w:val="Hyperlink"/>
                  <w:color w:val="000000"/>
                  <w:sz w:val="20"/>
                </w:rPr>
                <w:noBreakHyphen/>
                <w:t>6</w:t>
              </w:r>
            </w:hyperlink>
            <w:r w:rsidRPr="007E34BF">
              <w:rPr>
                <w:color w:val="000000"/>
                <w:sz w:val="20"/>
              </w:rPr>
              <w:t xml:space="preserve">, </w:t>
            </w:r>
            <w:hyperlink r:id="rId23" w:history="1">
              <w:r w:rsidRPr="007E34BF">
                <w:rPr>
                  <w:rStyle w:val="Hyperlink"/>
                  <w:color w:val="000000"/>
                  <w:sz w:val="20"/>
                </w:rPr>
                <w:t>P.837-8</w:t>
              </w:r>
            </w:hyperlink>
            <w:r w:rsidRPr="007E34BF">
              <w:rPr>
                <w:color w:val="000000"/>
                <w:sz w:val="20"/>
              </w:rPr>
              <w:t xml:space="preserve">, </w:t>
            </w:r>
            <w:hyperlink r:id="rId24" w:history="1">
              <w:r w:rsidRPr="007E34BF">
                <w:rPr>
                  <w:rStyle w:val="Hyperlink"/>
                  <w:color w:val="000000"/>
                  <w:sz w:val="20"/>
                </w:rPr>
                <w:t>P.1144</w:t>
              </w:r>
              <w:r w:rsidRPr="007E34BF">
                <w:rPr>
                  <w:rStyle w:val="Hyperlink"/>
                  <w:color w:val="000000"/>
                  <w:sz w:val="20"/>
                </w:rPr>
                <w:noBreakHyphen/>
                <w:t>13</w:t>
              </w:r>
            </w:hyperlink>
            <w:r w:rsidRPr="007E34BF">
              <w:rPr>
                <w:color w:val="000000"/>
                <w:sz w:val="20"/>
              </w:rPr>
              <w:t xml:space="preserve">, </w:t>
            </w:r>
            <w:hyperlink r:id="rId25" w:history="1">
              <w:r w:rsidRPr="007E34BF">
                <w:rPr>
                  <w:rStyle w:val="Hyperlink"/>
                  <w:color w:val="000000"/>
                  <w:sz w:val="20"/>
                </w:rPr>
                <w:t>P.1238-13</w:t>
              </w:r>
            </w:hyperlink>
            <w:r w:rsidRPr="007E34BF">
              <w:rPr>
                <w:color w:val="000000"/>
                <w:sz w:val="20"/>
              </w:rPr>
              <w:t xml:space="preserve">, </w:t>
            </w:r>
            <w:hyperlink r:id="rId26" w:history="1">
              <w:r w:rsidRPr="007E34BF">
                <w:rPr>
                  <w:rStyle w:val="Hyperlink"/>
                  <w:color w:val="000000"/>
                  <w:sz w:val="20"/>
                </w:rPr>
                <w:t>P.1409-4</w:t>
              </w:r>
            </w:hyperlink>
            <w:r w:rsidRPr="007E34BF">
              <w:rPr>
                <w:color w:val="000000"/>
                <w:sz w:val="20"/>
              </w:rPr>
              <w:t xml:space="preserve">, </w:t>
            </w:r>
            <w:hyperlink r:id="rId27" w:history="1">
              <w:r w:rsidRPr="007E34BF">
                <w:rPr>
                  <w:rStyle w:val="Hyperlink"/>
                  <w:color w:val="000000"/>
                  <w:sz w:val="20"/>
                </w:rPr>
                <w:t>P.1411-13</w:t>
              </w:r>
            </w:hyperlink>
            <w:r w:rsidRPr="007E34BF">
              <w:rPr>
                <w:color w:val="000000"/>
                <w:sz w:val="20"/>
              </w:rPr>
              <w:t xml:space="preserve">, </w:t>
            </w:r>
            <w:hyperlink r:id="rId28" w:history="1">
              <w:r w:rsidRPr="007E34BF">
                <w:rPr>
                  <w:rStyle w:val="Hyperlink"/>
                  <w:color w:val="000000"/>
                  <w:sz w:val="20"/>
                </w:rPr>
                <w:t>P.1812-8</w:t>
              </w:r>
            </w:hyperlink>
            <w:r w:rsidRPr="007E34BF">
              <w:rPr>
                <w:color w:val="000000"/>
                <w:sz w:val="20"/>
              </w:rPr>
              <w:t xml:space="preserve">, </w:t>
            </w:r>
            <w:hyperlink r:id="rId29" w:history="1">
              <w:r w:rsidRPr="007E34BF">
                <w:rPr>
                  <w:rStyle w:val="Hyperlink"/>
                  <w:color w:val="000000"/>
                  <w:sz w:val="20"/>
                </w:rPr>
                <w:t>P.1814-1</w:t>
              </w:r>
            </w:hyperlink>
            <w:r w:rsidRPr="007E34BF">
              <w:rPr>
                <w:color w:val="000000"/>
                <w:sz w:val="20"/>
              </w:rPr>
              <w:t xml:space="preserve">, </w:t>
            </w:r>
            <w:hyperlink r:id="rId30" w:history="1">
              <w:r w:rsidRPr="007E34BF">
                <w:rPr>
                  <w:rStyle w:val="Hyperlink"/>
                  <w:color w:val="000000"/>
                  <w:sz w:val="20"/>
                </w:rPr>
                <w:t>P.2001-6</w:t>
              </w:r>
            </w:hyperlink>
            <w:r w:rsidRPr="007E34BF">
              <w:rPr>
                <w:color w:val="000000"/>
                <w:sz w:val="20"/>
              </w:rPr>
              <w:t xml:space="preserve">, </w:t>
            </w:r>
            <w:hyperlink r:id="rId31" w:history="1">
              <w:r w:rsidRPr="007E34BF">
                <w:rPr>
                  <w:rStyle w:val="Hyperlink"/>
                  <w:color w:val="000000"/>
                  <w:sz w:val="20"/>
                </w:rPr>
                <w:t>P.2040-4</w:t>
              </w:r>
            </w:hyperlink>
            <w:r w:rsidRPr="007E34BF">
              <w:rPr>
                <w:color w:val="000000"/>
                <w:sz w:val="20"/>
              </w:rPr>
              <w:t xml:space="preserve">, </w:t>
            </w:r>
            <w:hyperlink r:id="rId32" w:history="1">
              <w:r w:rsidRPr="007E34BF">
                <w:rPr>
                  <w:rStyle w:val="Hyperlink"/>
                  <w:color w:val="000000"/>
                  <w:sz w:val="20"/>
                </w:rPr>
                <w:t>P.2170-0</w:t>
              </w:r>
            </w:hyperlink>
          </w:p>
        </w:tc>
        <w:tc>
          <w:tcPr>
            <w:tcW w:w="2127" w:type="dxa"/>
            <w:tcBorders>
              <w:left w:val="single" w:sz="4" w:space="0" w:color="000000" w:themeColor="text1"/>
            </w:tcBorders>
          </w:tcPr>
          <w:p w14:paraId="46AC1D56" w14:textId="77777777" w:rsidR="00F90687" w:rsidRPr="007E34BF" w:rsidRDefault="00F90687" w:rsidP="00A32BE8">
            <w:pPr>
              <w:pStyle w:val="Tabletext"/>
              <w:jc w:val="center"/>
              <w:rPr>
                <w:rFonts w:asciiTheme="majorBidi" w:hAnsiTheme="majorBidi" w:cstheme="majorBidi"/>
                <w:sz w:val="20"/>
                <w:lang w:eastAsia="ja-JP"/>
              </w:rPr>
            </w:pPr>
            <w:hyperlink r:id="rId33" w:history="1">
              <w:r w:rsidRPr="007E34BF">
                <w:rPr>
                  <w:rStyle w:val="Hyperlink"/>
                  <w:rFonts w:asciiTheme="majorBidi" w:hAnsiTheme="majorBidi" w:cstheme="majorBidi"/>
                  <w:color w:val="000000"/>
                  <w:sz w:val="20"/>
                  <w:lang w:eastAsia="ja-JP"/>
                </w:rPr>
                <w:t>P.2345-3</w:t>
              </w:r>
            </w:hyperlink>
            <w:r w:rsidRPr="007E34BF">
              <w:rPr>
                <w:rFonts w:asciiTheme="majorBidi" w:hAnsiTheme="majorBidi" w:cstheme="majorBidi"/>
                <w:color w:val="000000"/>
                <w:sz w:val="20"/>
                <w:lang w:eastAsia="ja-JP"/>
              </w:rPr>
              <w:t xml:space="preserve">, </w:t>
            </w:r>
            <w:hyperlink r:id="rId34" w:history="1">
              <w:r w:rsidRPr="007E34BF">
                <w:rPr>
                  <w:rStyle w:val="Hyperlink"/>
                  <w:rFonts w:asciiTheme="majorBidi" w:hAnsiTheme="majorBidi" w:cstheme="majorBidi"/>
                  <w:color w:val="000000"/>
                  <w:sz w:val="20"/>
                  <w:lang w:eastAsia="ja-JP"/>
                </w:rPr>
                <w:t>P.2554-0</w:t>
              </w:r>
            </w:hyperlink>
          </w:p>
        </w:tc>
        <w:tc>
          <w:tcPr>
            <w:tcW w:w="1701" w:type="dxa"/>
            <w:tcBorders>
              <w:left w:val="single" w:sz="4" w:space="0" w:color="000000" w:themeColor="text1"/>
            </w:tcBorders>
          </w:tcPr>
          <w:p w14:paraId="53EE3872" w14:textId="77777777" w:rsidR="00F90687" w:rsidRPr="007E34BF" w:rsidRDefault="00F90687" w:rsidP="00A32BE8">
            <w:pPr>
              <w:pStyle w:val="Tabletext"/>
              <w:jc w:val="center"/>
              <w:rPr>
                <w:sz w:val="20"/>
              </w:rPr>
            </w:pPr>
            <w:hyperlink r:id="rId35" w:history="1">
              <w:r w:rsidRPr="007E34BF">
                <w:rPr>
                  <w:rStyle w:val="Hyperlink"/>
                  <w:color w:val="000000"/>
                  <w:sz w:val="20"/>
                </w:rPr>
                <w:t>237/3</w:t>
              </w:r>
            </w:hyperlink>
          </w:p>
        </w:tc>
        <w:tc>
          <w:tcPr>
            <w:tcW w:w="1275" w:type="dxa"/>
            <w:tcBorders>
              <w:left w:val="single" w:sz="4" w:space="0" w:color="000000" w:themeColor="text1"/>
            </w:tcBorders>
          </w:tcPr>
          <w:p w14:paraId="74F83CD6" w14:textId="77777777" w:rsidR="00F90687" w:rsidRPr="007E34BF" w:rsidRDefault="00F90687" w:rsidP="00A32BE8">
            <w:pPr>
              <w:pStyle w:val="Tabletext"/>
              <w:jc w:val="center"/>
              <w:rPr>
                <w:sz w:val="20"/>
              </w:rPr>
            </w:pPr>
            <w:r w:rsidRPr="007E34BF">
              <w:rPr>
                <w:color w:val="000000"/>
                <w:sz w:val="20"/>
                <w:lang w:val="es-ES"/>
              </w:rPr>
              <w:t>–</w:t>
            </w:r>
          </w:p>
        </w:tc>
        <w:tc>
          <w:tcPr>
            <w:tcW w:w="1209" w:type="dxa"/>
            <w:tcBorders>
              <w:left w:val="single" w:sz="4" w:space="0" w:color="000000" w:themeColor="text1"/>
            </w:tcBorders>
          </w:tcPr>
          <w:p w14:paraId="7242CC42" w14:textId="77777777" w:rsidR="00F90687" w:rsidRPr="007E34BF" w:rsidRDefault="00F90687" w:rsidP="00A32BE8">
            <w:pPr>
              <w:pStyle w:val="Tabletext"/>
              <w:jc w:val="center"/>
              <w:rPr>
                <w:sz w:val="20"/>
              </w:rPr>
            </w:pPr>
            <w:r w:rsidRPr="007E34BF">
              <w:rPr>
                <w:color w:val="000000"/>
                <w:sz w:val="20"/>
                <w:lang w:val="es-ES"/>
              </w:rPr>
              <w:t>–</w:t>
            </w:r>
          </w:p>
        </w:tc>
      </w:tr>
      <w:tr w:rsidR="00F90687" w:rsidRPr="00745008" w14:paraId="004B6E9E" w14:textId="77777777" w:rsidTr="004160B4">
        <w:trPr>
          <w:trHeight w:val="270"/>
          <w:jc w:val="center"/>
        </w:trPr>
        <w:tc>
          <w:tcPr>
            <w:tcW w:w="1219" w:type="dxa"/>
            <w:tcBorders>
              <w:right w:val="single" w:sz="4" w:space="0" w:color="000000" w:themeColor="text1"/>
            </w:tcBorders>
          </w:tcPr>
          <w:p w14:paraId="12D7BBA2" w14:textId="77777777" w:rsidR="00F90687" w:rsidRPr="007E34BF" w:rsidDel="00A14716" w:rsidRDefault="00F90687" w:rsidP="009B606E">
            <w:pPr>
              <w:pStyle w:val="Tabletext"/>
              <w:jc w:val="center"/>
              <w:rPr>
                <w:b/>
                <w:bCs/>
                <w:sz w:val="20"/>
              </w:rPr>
            </w:pPr>
            <w:r w:rsidRPr="007E34BF">
              <w:rPr>
                <w:b/>
                <w:bCs/>
                <w:color w:val="000000"/>
                <w:sz w:val="20"/>
                <w:lang w:val="es-ES"/>
              </w:rPr>
              <w:t>CE 4</w:t>
            </w:r>
          </w:p>
        </w:tc>
        <w:tc>
          <w:tcPr>
            <w:tcW w:w="2178" w:type="dxa"/>
            <w:tcBorders>
              <w:left w:val="single" w:sz="4" w:space="0" w:color="000000" w:themeColor="text1"/>
            </w:tcBorders>
          </w:tcPr>
          <w:p w14:paraId="7945FB3B" w14:textId="77777777" w:rsidR="00F90687" w:rsidRPr="007E34BF" w:rsidRDefault="00F90687" w:rsidP="00A32BE8">
            <w:pPr>
              <w:pStyle w:val="Tabletext"/>
              <w:jc w:val="center"/>
              <w:rPr>
                <w:sz w:val="20"/>
              </w:rPr>
            </w:pPr>
            <w:r w:rsidRPr="007E34BF">
              <w:rPr>
                <w:color w:val="000000"/>
                <w:sz w:val="20"/>
                <w:lang w:val="es-ES"/>
              </w:rPr>
              <w:t>–</w:t>
            </w:r>
          </w:p>
        </w:tc>
        <w:tc>
          <w:tcPr>
            <w:tcW w:w="2127" w:type="dxa"/>
            <w:tcBorders>
              <w:left w:val="single" w:sz="4" w:space="0" w:color="000000" w:themeColor="text1"/>
            </w:tcBorders>
          </w:tcPr>
          <w:p w14:paraId="0CC40E48" w14:textId="77777777" w:rsidR="00F90687" w:rsidRPr="007E34BF" w:rsidRDefault="00F90687" w:rsidP="00A32BE8">
            <w:pPr>
              <w:pStyle w:val="Tabletext"/>
              <w:jc w:val="center"/>
              <w:rPr>
                <w:sz w:val="20"/>
              </w:rPr>
            </w:pPr>
            <w:hyperlink r:id="rId36" w:history="1">
              <w:r w:rsidRPr="007E34BF">
                <w:rPr>
                  <w:rStyle w:val="Hyperlink"/>
                  <w:color w:val="000000"/>
                  <w:sz w:val="20"/>
                  <w:lang w:val="pt-BR"/>
                </w:rPr>
                <w:t>M.2305-1</w:t>
              </w:r>
            </w:hyperlink>
            <w:r w:rsidRPr="007E34BF">
              <w:rPr>
                <w:color w:val="000000"/>
                <w:sz w:val="20"/>
                <w:lang w:val="pt-BR"/>
              </w:rPr>
              <w:t xml:space="preserve">, </w:t>
            </w:r>
            <w:hyperlink r:id="rId37" w:history="1">
              <w:r w:rsidRPr="007E34BF">
                <w:rPr>
                  <w:rStyle w:val="Hyperlink"/>
                  <w:color w:val="000000"/>
                  <w:sz w:val="20"/>
                  <w:lang w:val="pt-BR"/>
                </w:rPr>
                <w:t>M.2564-0</w:t>
              </w:r>
            </w:hyperlink>
            <w:r w:rsidRPr="007E34BF">
              <w:rPr>
                <w:color w:val="000000"/>
                <w:sz w:val="20"/>
                <w:lang w:val="pt-BR"/>
              </w:rPr>
              <w:t xml:space="preserve">, </w:t>
            </w:r>
            <w:hyperlink r:id="rId38" w:history="1">
              <w:r w:rsidRPr="007E34BF">
                <w:rPr>
                  <w:rStyle w:val="Hyperlink"/>
                  <w:color w:val="000000"/>
                  <w:sz w:val="20"/>
                  <w:lang w:val="pt-BR"/>
                </w:rPr>
                <w:t>S.2565-0</w:t>
              </w:r>
            </w:hyperlink>
          </w:p>
        </w:tc>
        <w:tc>
          <w:tcPr>
            <w:tcW w:w="1701" w:type="dxa"/>
            <w:tcBorders>
              <w:left w:val="single" w:sz="4" w:space="0" w:color="000000" w:themeColor="text1"/>
            </w:tcBorders>
          </w:tcPr>
          <w:p w14:paraId="58649FC5" w14:textId="77777777" w:rsidR="00F90687" w:rsidRPr="007E34BF" w:rsidRDefault="00F90687" w:rsidP="00A32BE8">
            <w:pPr>
              <w:pStyle w:val="Tabletext"/>
              <w:jc w:val="center"/>
              <w:rPr>
                <w:sz w:val="20"/>
              </w:rPr>
            </w:pPr>
            <w:r w:rsidRPr="007E34BF">
              <w:rPr>
                <w:color w:val="000000"/>
                <w:sz w:val="20"/>
                <w:lang w:val="es-ES"/>
              </w:rPr>
              <w:t>–</w:t>
            </w:r>
          </w:p>
        </w:tc>
        <w:tc>
          <w:tcPr>
            <w:tcW w:w="1275" w:type="dxa"/>
            <w:tcBorders>
              <w:left w:val="single" w:sz="4" w:space="0" w:color="000000" w:themeColor="text1"/>
            </w:tcBorders>
          </w:tcPr>
          <w:p w14:paraId="27522A93" w14:textId="77777777" w:rsidR="00F90687" w:rsidRPr="007E34BF" w:rsidRDefault="00F90687" w:rsidP="00A32BE8">
            <w:pPr>
              <w:pStyle w:val="Tabletext"/>
              <w:jc w:val="center"/>
              <w:rPr>
                <w:sz w:val="20"/>
              </w:rPr>
            </w:pPr>
            <w:r w:rsidRPr="007E34BF">
              <w:rPr>
                <w:color w:val="000000"/>
                <w:sz w:val="20"/>
                <w:lang w:val="es-ES"/>
              </w:rPr>
              <w:t>–</w:t>
            </w:r>
          </w:p>
        </w:tc>
        <w:tc>
          <w:tcPr>
            <w:tcW w:w="1209" w:type="dxa"/>
            <w:tcBorders>
              <w:left w:val="single" w:sz="4" w:space="0" w:color="000000" w:themeColor="text1"/>
            </w:tcBorders>
          </w:tcPr>
          <w:p w14:paraId="1638135C" w14:textId="77777777" w:rsidR="00F90687" w:rsidRPr="007E34BF" w:rsidRDefault="00F90687" w:rsidP="00A32BE8">
            <w:pPr>
              <w:pStyle w:val="Tabletext"/>
              <w:jc w:val="center"/>
              <w:rPr>
                <w:sz w:val="20"/>
              </w:rPr>
            </w:pPr>
            <w:r w:rsidRPr="007E34BF">
              <w:rPr>
                <w:color w:val="000000"/>
                <w:sz w:val="20"/>
                <w:lang w:val="es-ES"/>
              </w:rPr>
              <w:t>–</w:t>
            </w:r>
          </w:p>
        </w:tc>
      </w:tr>
      <w:tr w:rsidR="00F90687" w:rsidRPr="00745008" w14:paraId="53567820" w14:textId="77777777" w:rsidTr="004160B4">
        <w:trPr>
          <w:trHeight w:val="270"/>
          <w:jc w:val="center"/>
        </w:trPr>
        <w:tc>
          <w:tcPr>
            <w:tcW w:w="1219" w:type="dxa"/>
            <w:tcBorders>
              <w:right w:val="single" w:sz="4" w:space="0" w:color="000000" w:themeColor="text1"/>
            </w:tcBorders>
          </w:tcPr>
          <w:p w14:paraId="68DF4DBB" w14:textId="77777777" w:rsidR="00F90687" w:rsidRPr="007E34BF" w:rsidDel="00A14716" w:rsidRDefault="00F90687" w:rsidP="009B606E">
            <w:pPr>
              <w:pStyle w:val="Tabletext"/>
              <w:jc w:val="center"/>
              <w:rPr>
                <w:b/>
                <w:bCs/>
                <w:sz w:val="20"/>
              </w:rPr>
            </w:pPr>
            <w:r w:rsidRPr="007E34BF">
              <w:rPr>
                <w:b/>
                <w:bCs/>
                <w:color w:val="000000"/>
                <w:sz w:val="20"/>
                <w:lang w:val="es-ES"/>
              </w:rPr>
              <w:t>CE 5</w:t>
            </w:r>
          </w:p>
        </w:tc>
        <w:tc>
          <w:tcPr>
            <w:tcW w:w="2178" w:type="dxa"/>
            <w:tcBorders>
              <w:left w:val="single" w:sz="4" w:space="0" w:color="000000" w:themeColor="text1"/>
            </w:tcBorders>
          </w:tcPr>
          <w:p w14:paraId="59B5F0D3" w14:textId="77777777" w:rsidR="00F90687" w:rsidRPr="007E34BF" w:rsidRDefault="00F90687" w:rsidP="00A32BE8">
            <w:pPr>
              <w:pStyle w:val="Tabletext"/>
              <w:jc w:val="center"/>
              <w:rPr>
                <w:sz w:val="20"/>
              </w:rPr>
            </w:pPr>
            <w:r w:rsidRPr="007E34BF">
              <w:rPr>
                <w:color w:val="000000"/>
                <w:sz w:val="20"/>
                <w:lang w:val="es-ES"/>
              </w:rPr>
              <w:t>–</w:t>
            </w:r>
          </w:p>
        </w:tc>
        <w:tc>
          <w:tcPr>
            <w:tcW w:w="2127" w:type="dxa"/>
            <w:tcBorders>
              <w:left w:val="single" w:sz="4" w:space="0" w:color="000000" w:themeColor="text1"/>
            </w:tcBorders>
          </w:tcPr>
          <w:p w14:paraId="33E4BA7A" w14:textId="77777777" w:rsidR="00F90687" w:rsidRPr="007E34BF" w:rsidRDefault="00F90687" w:rsidP="00A32BE8">
            <w:pPr>
              <w:pStyle w:val="Tabletext"/>
              <w:jc w:val="center"/>
              <w:rPr>
                <w:sz w:val="20"/>
              </w:rPr>
            </w:pPr>
            <w:hyperlink r:id="rId39" w:history="1">
              <w:r w:rsidRPr="007E34BF">
                <w:rPr>
                  <w:rStyle w:val="Hyperlink"/>
                  <w:rFonts w:asciiTheme="majorBidi" w:hAnsiTheme="majorBidi" w:cstheme="majorBidi"/>
                  <w:color w:val="000000"/>
                  <w:sz w:val="20"/>
                  <w:lang w:val="de-DE" w:eastAsia="ja-JP"/>
                </w:rPr>
                <w:t>F.2558-0</w:t>
              </w:r>
            </w:hyperlink>
            <w:r w:rsidRPr="007E34BF">
              <w:rPr>
                <w:rFonts w:asciiTheme="majorBidi" w:hAnsiTheme="majorBidi" w:cstheme="majorBidi"/>
                <w:color w:val="000000"/>
                <w:sz w:val="20"/>
                <w:lang w:val="de-DE" w:eastAsia="ja-JP"/>
              </w:rPr>
              <w:t xml:space="preserve">, </w:t>
            </w:r>
            <w:hyperlink r:id="rId40" w:history="1">
              <w:r w:rsidRPr="007E34BF">
                <w:rPr>
                  <w:rStyle w:val="Hyperlink"/>
                  <w:rFonts w:asciiTheme="majorBidi" w:hAnsiTheme="majorBidi" w:cstheme="majorBidi"/>
                  <w:color w:val="000000"/>
                  <w:sz w:val="20"/>
                  <w:lang w:val="de-DE" w:eastAsia="ja-JP"/>
                </w:rPr>
                <w:t>M.2039-4</w:t>
              </w:r>
            </w:hyperlink>
            <w:r w:rsidRPr="007E34BF">
              <w:rPr>
                <w:rFonts w:asciiTheme="majorBidi" w:hAnsiTheme="majorBidi" w:cstheme="majorBidi"/>
                <w:color w:val="000000"/>
                <w:sz w:val="20"/>
                <w:lang w:val="de-DE" w:eastAsia="ja-JP"/>
              </w:rPr>
              <w:t xml:space="preserve">, </w:t>
            </w:r>
            <w:hyperlink r:id="rId41" w:history="1">
              <w:r w:rsidRPr="007E34BF">
                <w:rPr>
                  <w:rStyle w:val="Hyperlink"/>
                  <w:rFonts w:asciiTheme="majorBidi" w:hAnsiTheme="majorBidi" w:cstheme="majorBidi"/>
                  <w:color w:val="000000"/>
                  <w:sz w:val="20"/>
                  <w:lang w:val="de-DE" w:eastAsia="ja-JP"/>
                </w:rPr>
                <w:t>M.2559-0</w:t>
              </w:r>
            </w:hyperlink>
            <w:r w:rsidRPr="007E34BF">
              <w:rPr>
                <w:rFonts w:asciiTheme="majorBidi" w:hAnsiTheme="majorBidi" w:cstheme="majorBidi"/>
                <w:color w:val="000000"/>
                <w:sz w:val="20"/>
                <w:lang w:val="de-DE" w:eastAsia="ja-JP"/>
              </w:rPr>
              <w:t xml:space="preserve">, </w:t>
            </w:r>
            <w:hyperlink r:id="rId42" w:history="1">
              <w:r w:rsidRPr="007E34BF">
                <w:rPr>
                  <w:rStyle w:val="Hyperlink"/>
                  <w:rFonts w:asciiTheme="majorBidi" w:hAnsiTheme="majorBidi" w:cstheme="majorBidi"/>
                  <w:color w:val="000000"/>
                  <w:sz w:val="20"/>
                  <w:lang w:val="de-DE" w:eastAsia="ja-JP"/>
                </w:rPr>
                <w:t>M.2560-0</w:t>
              </w:r>
            </w:hyperlink>
            <w:r w:rsidRPr="007E34BF">
              <w:rPr>
                <w:rFonts w:asciiTheme="majorBidi" w:hAnsiTheme="majorBidi" w:cstheme="majorBidi"/>
                <w:color w:val="000000"/>
                <w:sz w:val="20"/>
                <w:lang w:val="de-DE" w:eastAsia="ja-JP"/>
              </w:rPr>
              <w:t xml:space="preserve">, </w:t>
            </w:r>
            <w:hyperlink r:id="rId43" w:history="1">
              <w:r w:rsidRPr="007E34BF">
                <w:rPr>
                  <w:rStyle w:val="Hyperlink"/>
                  <w:rFonts w:asciiTheme="majorBidi" w:hAnsiTheme="majorBidi" w:cstheme="majorBidi"/>
                  <w:color w:val="000000"/>
                  <w:sz w:val="20"/>
                  <w:lang w:val="de-DE" w:eastAsia="ja-JP"/>
                </w:rPr>
                <w:t>M.2561-0</w:t>
              </w:r>
            </w:hyperlink>
            <w:r w:rsidRPr="007E34BF">
              <w:rPr>
                <w:rFonts w:asciiTheme="majorBidi" w:hAnsiTheme="majorBidi" w:cstheme="majorBidi"/>
                <w:color w:val="000000"/>
                <w:sz w:val="20"/>
                <w:lang w:val="de-DE" w:eastAsia="ja-JP"/>
              </w:rPr>
              <w:t xml:space="preserve">, </w:t>
            </w:r>
            <w:hyperlink r:id="rId44" w:history="1">
              <w:r w:rsidRPr="007E34BF">
                <w:rPr>
                  <w:rStyle w:val="Hyperlink"/>
                  <w:rFonts w:asciiTheme="majorBidi" w:hAnsiTheme="majorBidi" w:cstheme="majorBidi"/>
                  <w:color w:val="000000"/>
                  <w:sz w:val="20"/>
                  <w:lang w:val="de-DE" w:eastAsia="ja-JP"/>
                </w:rPr>
                <w:t>M.2562-0</w:t>
              </w:r>
            </w:hyperlink>
            <w:r w:rsidRPr="007E34BF">
              <w:rPr>
                <w:rFonts w:asciiTheme="majorBidi" w:hAnsiTheme="majorBidi" w:cstheme="majorBidi"/>
                <w:color w:val="000000"/>
                <w:sz w:val="20"/>
                <w:lang w:val="de-DE" w:eastAsia="ja-JP"/>
              </w:rPr>
              <w:t xml:space="preserve">, </w:t>
            </w:r>
            <w:hyperlink r:id="rId45" w:history="1">
              <w:r w:rsidRPr="007E34BF">
                <w:rPr>
                  <w:rStyle w:val="Hyperlink"/>
                  <w:rFonts w:asciiTheme="majorBidi" w:hAnsiTheme="majorBidi" w:cstheme="majorBidi"/>
                  <w:color w:val="000000"/>
                  <w:sz w:val="20"/>
                  <w:lang w:val="de-DE" w:eastAsia="ja-JP"/>
                </w:rPr>
                <w:t>M.2563-0</w:t>
              </w:r>
            </w:hyperlink>
          </w:p>
        </w:tc>
        <w:tc>
          <w:tcPr>
            <w:tcW w:w="1701" w:type="dxa"/>
            <w:tcBorders>
              <w:left w:val="single" w:sz="4" w:space="0" w:color="000000" w:themeColor="text1"/>
            </w:tcBorders>
          </w:tcPr>
          <w:p w14:paraId="68D29C68" w14:textId="77777777" w:rsidR="00F90687" w:rsidRPr="007E34BF" w:rsidRDefault="00F90687" w:rsidP="00A32BE8">
            <w:pPr>
              <w:pStyle w:val="Tabletext"/>
              <w:jc w:val="center"/>
              <w:rPr>
                <w:sz w:val="20"/>
              </w:rPr>
            </w:pPr>
            <w:r w:rsidRPr="007E34BF">
              <w:rPr>
                <w:color w:val="000000"/>
                <w:sz w:val="20"/>
                <w:lang w:val="es-ES"/>
              </w:rPr>
              <w:t>–</w:t>
            </w:r>
          </w:p>
        </w:tc>
        <w:tc>
          <w:tcPr>
            <w:tcW w:w="1275" w:type="dxa"/>
            <w:tcBorders>
              <w:left w:val="single" w:sz="4" w:space="0" w:color="000000" w:themeColor="text1"/>
            </w:tcBorders>
          </w:tcPr>
          <w:p w14:paraId="72C7238F" w14:textId="77777777" w:rsidR="00F90687" w:rsidRPr="007E34BF" w:rsidRDefault="00F90687" w:rsidP="00A32BE8">
            <w:pPr>
              <w:pStyle w:val="Tabletext"/>
              <w:jc w:val="center"/>
              <w:rPr>
                <w:sz w:val="20"/>
                <w:lang w:val="es-ES"/>
              </w:rPr>
            </w:pPr>
            <w:hyperlink r:id="rId46" w:history="1">
              <w:r w:rsidRPr="007E34BF">
                <w:rPr>
                  <w:color w:val="000000"/>
                  <w:sz w:val="20"/>
                  <w:lang w:val="es-ES"/>
                </w:rPr>
                <w:t>Servicio de aficionados y servicio de aficionados por satélite (Edición de 2025)</w:t>
              </w:r>
            </w:hyperlink>
          </w:p>
        </w:tc>
        <w:tc>
          <w:tcPr>
            <w:tcW w:w="1209" w:type="dxa"/>
            <w:tcBorders>
              <w:left w:val="single" w:sz="4" w:space="0" w:color="000000" w:themeColor="text1"/>
            </w:tcBorders>
          </w:tcPr>
          <w:p w14:paraId="5CAC26B9" w14:textId="77777777" w:rsidR="00F90687" w:rsidRPr="007E34BF" w:rsidRDefault="00F90687" w:rsidP="00A32BE8">
            <w:pPr>
              <w:pStyle w:val="Tabletext"/>
              <w:jc w:val="center"/>
              <w:rPr>
                <w:sz w:val="20"/>
              </w:rPr>
            </w:pPr>
            <w:r w:rsidRPr="007E34BF">
              <w:rPr>
                <w:color w:val="000000"/>
                <w:sz w:val="20"/>
                <w:lang w:val="es-ES"/>
              </w:rPr>
              <w:t>–</w:t>
            </w:r>
          </w:p>
        </w:tc>
      </w:tr>
      <w:tr w:rsidR="00F90687" w:rsidRPr="00745008" w14:paraId="071B4D9A" w14:textId="77777777" w:rsidTr="004160B4">
        <w:trPr>
          <w:trHeight w:val="270"/>
          <w:jc w:val="center"/>
        </w:trPr>
        <w:tc>
          <w:tcPr>
            <w:tcW w:w="1219" w:type="dxa"/>
            <w:tcBorders>
              <w:right w:val="single" w:sz="4" w:space="0" w:color="000000" w:themeColor="text1"/>
            </w:tcBorders>
          </w:tcPr>
          <w:p w14:paraId="374B3333" w14:textId="77777777" w:rsidR="00F90687" w:rsidRPr="007E34BF" w:rsidDel="00A14716" w:rsidRDefault="00F90687" w:rsidP="009B606E">
            <w:pPr>
              <w:pStyle w:val="Tabletext"/>
              <w:jc w:val="center"/>
              <w:rPr>
                <w:b/>
                <w:bCs/>
                <w:sz w:val="20"/>
              </w:rPr>
            </w:pPr>
            <w:r w:rsidRPr="007E34BF">
              <w:rPr>
                <w:b/>
                <w:bCs/>
                <w:color w:val="000000"/>
                <w:sz w:val="20"/>
                <w:lang w:val="es-ES"/>
              </w:rPr>
              <w:t>CE 6</w:t>
            </w:r>
          </w:p>
        </w:tc>
        <w:tc>
          <w:tcPr>
            <w:tcW w:w="2178" w:type="dxa"/>
            <w:tcBorders>
              <w:left w:val="single" w:sz="4" w:space="0" w:color="000000" w:themeColor="text1"/>
            </w:tcBorders>
          </w:tcPr>
          <w:p w14:paraId="5AF8019E" w14:textId="77777777" w:rsidR="00F90687" w:rsidRPr="00F90687" w:rsidRDefault="00F90687" w:rsidP="00A32BE8">
            <w:pPr>
              <w:pStyle w:val="Tabletext"/>
              <w:jc w:val="center"/>
              <w:rPr>
                <w:sz w:val="20"/>
                <w:lang w:val="en-GB"/>
              </w:rPr>
            </w:pPr>
            <w:hyperlink r:id="rId47" w:history="1">
              <w:r w:rsidRPr="00F90687">
                <w:rPr>
                  <w:rStyle w:val="Hyperlink"/>
                  <w:rFonts w:asciiTheme="majorBidi" w:hAnsiTheme="majorBidi" w:cstheme="majorBidi"/>
                  <w:color w:val="000000"/>
                  <w:sz w:val="20"/>
                  <w:lang w:val="en-GB" w:eastAsia="ja-JP"/>
                </w:rPr>
                <w:t>BS.705-2</w:t>
              </w:r>
            </w:hyperlink>
            <w:r w:rsidRPr="00F90687">
              <w:rPr>
                <w:rFonts w:asciiTheme="majorBidi" w:hAnsiTheme="majorBidi" w:cstheme="majorBidi"/>
                <w:color w:val="000000"/>
                <w:sz w:val="20"/>
                <w:lang w:val="en-GB" w:eastAsia="ja-JP"/>
              </w:rPr>
              <w:t xml:space="preserve">, </w:t>
            </w:r>
            <w:hyperlink r:id="rId48" w:history="1">
              <w:r w:rsidRPr="00F90687">
                <w:rPr>
                  <w:rStyle w:val="Hyperlink"/>
                  <w:rFonts w:asciiTheme="majorBidi" w:hAnsiTheme="majorBidi" w:cstheme="majorBidi"/>
                  <w:color w:val="000000"/>
                  <w:sz w:val="20"/>
                  <w:lang w:val="en-GB" w:eastAsia="ja-JP"/>
                </w:rPr>
                <w:t>BS.1114-13</w:t>
              </w:r>
            </w:hyperlink>
            <w:r w:rsidRPr="00F90687">
              <w:rPr>
                <w:rFonts w:asciiTheme="majorBidi" w:hAnsiTheme="majorBidi" w:cstheme="majorBidi"/>
                <w:color w:val="000000"/>
                <w:sz w:val="20"/>
                <w:lang w:val="en-GB" w:eastAsia="ja-JP"/>
              </w:rPr>
              <w:t xml:space="preserve">, </w:t>
            </w:r>
            <w:hyperlink r:id="rId49" w:history="1">
              <w:r w:rsidRPr="00F90687">
                <w:rPr>
                  <w:rStyle w:val="Hyperlink"/>
                  <w:rFonts w:asciiTheme="majorBidi" w:hAnsiTheme="majorBidi" w:cstheme="majorBidi"/>
                  <w:color w:val="000000"/>
                  <w:sz w:val="20"/>
                  <w:lang w:val="en-GB" w:eastAsia="ja-JP"/>
                </w:rPr>
                <w:t>BS.1514-3</w:t>
              </w:r>
            </w:hyperlink>
            <w:r w:rsidRPr="00F90687">
              <w:rPr>
                <w:rFonts w:asciiTheme="majorBidi" w:hAnsiTheme="majorBidi" w:cstheme="majorBidi"/>
                <w:color w:val="000000"/>
                <w:sz w:val="20"/>
                <w:lang w:val="en-GB" w:eastAsia="ja-JP"/>
              </w:rPr>
              <w:t xml:space="preserve">, </w:t>
            </w:r>
            <w:hyperlink r:id="rId50" w:history="1">
              <w:r w:rsidRPr="00F90687">
                <w:rPr>
                  <w:rStyle w:val="Hyperlink"/>
                  <w:rFonts w:asciiTheme="majorBidi" w:hAnsiTheme="majorBidi" w:cstheme="majorBidi"/>
                  <w:color w:val="000000"/>
                  <w:sz w:val="20"/>
                  <w:lang w:val="en-GB" w:eastAsia="ja-JP"/>
                </w:rPr>
                <w:t>BS.1548-8</w:t>
              </w:r>
            </w:hyperlink>
            <w:r w:rsidRPr="00F90687">
              <w:rPr>
                <w:rFonts w:asciiTheme="majorBidi" w:hAnsiTheme="majorBidi" w:cstheme="majorBidi"/>
                <w:color w:val="000000"/>
                <w:sz w:val="20"/>
                <w:lang w:val="en-GB" w:eastAsia="ja-JP"/>
              </w:rPr>
              <w:t xml:space="preserve">, </w:t>
            </w:r>
            <w:hyperlink r:id="rId51" w:history="1">
              <w:r w:rsidRPr="00F90687">
                <w:rPr>
                  <w:rStyle w:val="Hyperlink"/>
                  <w:rFonts w:asciiTheme="majorBidi" w:hAnsiTheme="majorBidi" w:cstheme="majorBidi"/>
                  <w:color w:val="000000"/>
                  <w:sz w:val="20"/>
                  <w:lang w:val="en-GB" w:eastAsia="ja-JP"/>
                </w:rPr>
                <w:t>BS.2088-2</w:t>
              </w:r>
            </w:hyperlink>
            <w:r w:rsidRPr="00F90687">
              <w:rPr>
                <w:rFonts w:asciiTheme="majorBidi" w:hAnsiTheme="majorBidi" w:cstheme="majorBidi"/>
                <w:color w:val="000000"/>
                <w:sz w:val="20"/>
                <w:lang w:val="en-GB" w:eastAsia="ja-JP"/>
              </w:rPr>
              <w:t xml:space="preserve">, </w:t>
            </w:r>
            <w:hyperlink r:id="rId52" w:history="1">
              <w:r w:rsidRPr="00F90687">
                <w:rPr>
                  <w:rStyle w:val="Hyperlink"/>
                  <w:rFonts w:asciiTheme="majorBidi" w:hAnsiTheme="majorBidi" w:cstheme="majorBidi"/>
                  <w:color w:val="000000"/>
                  <w:sz w:val="20"/>
                  <w:lang w:val="en-GB" w:eastAsia="ja-JP"/>
                </w:rPr>
                <w:t>BT.1774-3</w:t>
              </w:r>
            </w:hyperlink>
            <w:r w:rsidRPr="00F90687">
              <w:rPr>
                <w:rFonts w:asciiTheme="majorBidi" w:hAnsiTheme="majorBidi" w:cstheme="majorBidi"/>
                <w:color w:val="000000"/>
                <w:sz w:val="20"/>
                <w:lang w:val="en-GB" w:eastAsia="ja-JP"/>
              </w:rPr>
              <w:t xml:space="preserve">, </w:t>
            </w:r>
            <w:hyperlink r:id="rId53" w:history="1">
              <w:r w:rsidRPr="00F90687">
                <w:rPr>
                  <w:rStyle w:val="Hyperlink"/>
                  <w:rFonts w:asciiTheme="majorBidi" w:hAnsiTheme="majorBidi" w:cstheme="majorBidi"/>
                  <w:color w:val="000000"/>
                  <w:sz w:val="20"/>
                  <w:lang w:val="en-GB" w:eastAsia="ja-JP"/>
                </w:rPr>
                <w:t>BT.2111-3</w:t>
              </w:r>
            </w:hyperlink>
          </w:p>
        </w:tc>
        <w:tc>
          <w:tcPr>
            <w:tcW w:w="2127" w:type="dxa"/>
            <w:tcBorders>
              <w:left w:val="single" w:sz="4" w:space="0" w:color="000000" w:themeColor="text1"/>
            </w:tcBorders>
          </w:tcPr>
          <w:p w14:paraId="7762FF49" w14:textId="77777777" w:rsidR="00F90687" w:rsidRPr="00F90687" w:rsidRDefault="00F90687" w:rsidP="00A32BE8">
            <w:pPr>
              <w:pStyle w:val="Tabletext"/>
              <w:jc w:val="center"/>
              <w:rPr>
                <w:sz w:val="20"/>
                <w:lang w:val="en-GB"/>
              </w:rPr>
            </w:pPr>
            <w:hyperlink r:id="rId54" w:history="1">
              <w:r w:rsidRPr="00F90687">
                <w:rPr>
                  <w:rStyle w:val="Hyperlink"/>
                  <w:color w:val="000000"/>
                  <w:sz w:val="20"/>
                  <w:lang w:val="en-GB"/>
                </w:rPr>
                <w:t>BS.2388</w:t>
              </w:r>
              <w:r w:rsidRPr="00F90687">
                <w:rPr>
                  <w:rStyle w:val="Hyperlink"/>
                  <w:color w:val="000000"/>
                  <w:sz w:val="20"/>
                  <w:lang w:val="en-GB"/>
                </w:rPr>
                <w:noBreakHyphen/>
                <w:t>6</w:t>
              </w:r>
            </w:hyperlink>
            <w:r w:rsidRPr="00F90687">
              <w:rPr>
                <w:color w:val="000000"/>
                <w:sz w:val="20"/>
                <w:lang w:val="en-GB"/>
              </w:rPr>
              <w:t xml:space="preserve">, </w:t>
            </w:r>
            <w:hyperlink r:id="rId55" w:history="1">
              <w:r w:rsidRPr="00F90687">
                <w:rPr>
                  <w:rStyle w:val="Hyperlink"/>
                  <w:color w:val="000000"/>
                  <w:sz w:val="20"/>
                  <w:lang w:val="en-GB"/>
                </w:rPr>
                <w:t>BS.2555</w:t>
              </w:r>
              <w:r w:rsidRPr="00F90687">
                <w:rPr>
                  <w:rStyle w:val="Hyperlink"/>
                  <w:color w:val="000000"/>
                  <w:sz w:val="20"/>
                  <w:lang w:val="en-GB"/>
                </w:rPr>
                <w:noBreakHyphen/>
                <w:t>0</w:t>
              </w:r>
            </w:hyperlink>
            <w:r w:rsidRPr="00F90687">
              <w:rPr>
                <w:color w:val="000000"/>
                <w:sz w:val="20"/>
                <w:lang w:val="en-GB"/>
              </w:rPr>
              <w:t xml:space="preserve">, </w:t>
            </w:r>
            <w:hyperlink r:id="rId56" w:history="1">
              <w:r w:rsidRPr="00F90687">
                <w:rPr>
                  <w:rStyle w:val="Hyperlink"/>
                  <w:color w:val="000000"/>
                  <w:sz w:val="20"/>
                  <w:lang w:val="en-GB"/>
                </w:rPr>
                <w:t>BS./BT.2295</w:t>
              </w:r>
              <w:r w:rsidRPr="00F90687">
                <w:rPr>
                  <w:rStyle w:val="Hyperlink"/>
                  <w:color w:val="000000"/>
                  <w:sz w:val="20"/>
                  <w:lang w:val="en-GB"/>
                </w:rPr>
                <w:noBreakHyphen/>
                <w:t>5</w:t>
              </w:r>
            </w:hyperlink>
            <w:r w:rsidRPr="00F90687">
              <w:rPr>
                <w:color w:val="000000"/>
                <w:sz w:val="20"/>
                <w:lang w:val="en-GB"/>
              </w:rPr>
              <w:t xml:space="preserve">, </w:t>
            </w:r>
            <w:hyperlink r:id="rId57" w:history="1">
              <w:r w:rsidRPr="00F90687">
                <w:rPr>
                  <w:rStyle w:val="Hyperlink"/>
                  <w:color w:val="000000"/>
                  <w:sz w:val="20"/>
                  <w:lang w:val="en-GB"/>
                </w:rPr>
                <w:t>BS./BT.2385</w:t>
              </w:r>
              <w:r w:rsidRPr="00F90687">
                <w:rPr>
                  <w:rStyle w:val="Hyperlink"/>
                  <w:color w:val="000000"/>
                  <w:sz w:val="20"/>
                  <w:lang w:val="en-GB"/>
                </w:rPr>
                <w:noBreakHyphen/>
                <w:t>2</w:t>
              </w:r>
            </w:hyperlink>
            <w:r w:rsidRPr="00F90687">
              <w:rPr>
                <w:color w:val="000000"/>
                <w:sz w:val="20"/>
                <w:lang w:val="en-GB"/>
              </w:rPr>
              <w:t xml:space="preserve">, </w:t>
            </w:r>
            <w:hyperlink r:id="rId58" w:history="1">
              <w:r w:rsidRPr="00F90687">
                <w:rPr>
                  <w:rStyle w:val="Hyperlink"/>
                  <w:color w:val="000000"/>
                  <w:sz w:val="20"/>
                  <w:lang w:val="en-GB"/>
                </w:rPr>
                <w:t>BT.2207</w:t>
              </w:r>
              <w:r w:rsidRPr="00F90687">
                <w:rPr>
                  <w:rStyle w:val="Hyperlink"/>
                  <w:color w:val="000000"/>
                  <w:sz w:val="20"/>
                  <w:lang w:val="en-GB"/>
                </w:rPr>
                <w:noBreakHyphen/>
                <w:t>7</w:t>
              </w:r>
            </w:hyperlink>
            <w:r w:rsidRPr="00F90687">
              <w:rPr>
                <w:color w:val="000000"/>
                <w:sz w:val="20"/>
                <w:lang w:val="en-GB"/>
              </w:rPr>
              <w:t xml:space="preserve">, </w:t>
            </w:r>
            <w:hyperlink r:id="rId59" w:history="1">
              <w:r w:rsidRPr="00F90687">
                <w:rPr>
                  <w:rStyle w:val="Hyperlink"/>
                  <w:color w:val="000000"/>
                  <w:sz w:val="20"/>
                  <w:lang w:val="en-GB"/>
                </w:rPr>
                <w:t>BT.2246</w:t>
              </w:r>
              <w:r w:rsidRPr="00F90687">
                <w:rPr>
                  <w:rStyle w:val="Hyperlink"/>
                  <w:color w:val="000000"/>
                  <w:sz w:val="20"/>
                  <w:lang w:val="en-GB"/>
                </w:rPr>
                <w:noBreakHyphen/>
                <w:t>9</w:t>
              </w:r>
            </w:hyperlink>
            <w:r w:rsidRPr="00F90687">
              <w:rPr>
                <w:color w:val="000000"/>
                <w:sz w:val="20"/>
                <w:lang w:val="en-GB"/>
              </w:rPr>
              <w:t xml:space="preserve">, </w:t>
            </w:r>
            <w:hyperlink r:id="rId60" w:history="1">
              <w:r w:rsidRPr="00F90687">
                <w:rPr>
                  <w:rStyle w:val="Hyperlink"/>
                  <w:color w:val="000000"/>
                  <w:sz w:val="20"/>
                  <w:lang w:val="en-GB"/>
                </w:rPr>
                <w:t>BT.2299</w:t>
              </w:r>
              <w:r w:rsidRPr="00F90687">
                <w:rPr>
                  <w:rStyle w:val="Hyperlink"/>
                  <w:color w:val="000000"/>
                  <w:sz w:val="20"/>
                  <w:lang w:val="en-GB"/>
                </w:rPr>
                <w:noBreakHyphen/>
                <w:t>4</w:t>
              </w:r>
            </w:hyperlink>
            <w:r w:rsidRPr="00F90687">
              <w:rPr>
                <w:color w:val="000000"/>
                <w:sz w:val="20"/>
                <w:lang w:val="en-GB"/>
              </w:rPr>
              <w:t xml:space="preserve">, </w:t>
            </w:r>
            <w:hyperlink r:id="rId61" w:history="1">
              <w:r w:rsidRPr="00F90687">
                <w:rPr>
                  <w:rStyle w:val="Hyperlink"/>
                  <w:color w:val="000000"/>
                  <w:sz w:val="20"/>
                  <w:lang w:val="en-GB"/>
                </w:rPr>
                <w:t>BT.2343</w:t>
              </w:r>
              <w:r w:rsidRPr="00F90687">
                <w:rPr>
                  <w:rStyle w:val="Hyperlink"/>
                  <w:color w:val="000000"/>
                  <w:sz w:val="20"/>
                  <w:lang w:val="en-GB"/>
                </w:rPr>
                <w:noBreakHyphen/>
                <w:t>10</w:t>
              </w:r>
            </w:hyperlink>
            <w:r w:rsidRPr="00F90687">
              <w:rPr>
                <w:color w:val="000000"/>
                <w:sz w:val="20"/>
                <w:lang w:val="en-GB"/>
              </w:rPr>
              <w:t xml:space="preserve">, </w:t>
            </w:r>
            <w:hyperlink r:id="rId62" w:history="1">
              <w:r w:rsidRPr="00F90687">
                <w:rPr>
                  <w:rStyle w:val="Hyperlink"/>
                  <w:color w:val="000000"/>
                  <w:sz w:val="20"/>
                  <w:lang w:val="en-GB"/>
                </w:rPr>
                <w:t>BT.2390</w:t>
              </w:r>
              <w:r w:rsidRPr="00F90687">
                <w:rPr>
                  <w:rStyle w:val="Hyperlink"/>
                  <w:color w:val="000000"/>
                  <w:sz w:val="20"/>
                  <w:lang w:val="en-GB"/>
                </w:rPr>
                <w:noBreakHyphen/>
                <w:t>12</w:t>
              </w:r>
            </w:hyperlink>
            <w:r w:rsidRPr="00F90687">
              <w:rPr>
                <w:color w:val="000000"/>
                <w:sz w:val="20"/>
                <w:lang w:val="en-GB"/>
              </w:rPr>
              <w:t xml:space="preserve">, </w:t>
            </w:r>
            <w:hyperlink r:id="rId63" w:history="1">
              <w:r w:rsidRPr="00F90687">
                <w:rPr>
                  <w:rStyle w:val="Hyperlink"/>
                  <w:color w:val="000000"/>
                  <w:sz w:val="20"/>
                  <w:lang w:val="en-GB"/>
                </w:rPr>
                <w:t>BT.2400</w:t>
              </w:r>
              <w:r w:rsidRPr="00F90687">
                <w:rPr>
                  <w:rStyle w:val="Hyperlink"/>
                  <w:color w:val="000000"/>
                  <w:sz w:val="20"/>
                  <w:lang w:val="en-GB"/>
                </w:rPr>
                <w:noBreakHyphen/>
                <w:t>5</w:t>
              </w:r>
            </w:hyperlink>
            <w:r w:rsidRPr="00F90687">
              <w:rPr>
                <w:color w:val="000000"/>
                <w:sz w:val="20"/>
                <w:lang w:val="en-GB"/>
              </w:rPr>
              <w:t xml:space="preserve">, </w:t>
            </w:r>
            <w:hyperlink r:id="rId64" w:history="1">
              <w:r w:rsidRPr="00F90687">
                <w:rPr>
                  <w:rStyle w:val="Hyperlink"/>
                  <w:color w:val="000000"/>
                  <w:sz w:val="20"/>
                  <w:lang w:val="en-GB"/>
                </w:rPr>
                <w:t>BT.2420</w:t>
              </w:r>
              <w:r w:rsidRPr="00F90687">
                <w:rPr>
                  <w:rStyle w:val="Hyperlink"/>
                  <w:color w:val="000000"/>
                  <w:sz w:val="20"/>
                  <w:lang w:val="en-GB"/>
                </w:rPr>
                <w:noBreakHyphen/>
                <w:t>8</w:t>
              </w:r>
            </w:hyperlink>
            <w:r w:rsidRPr="00F90687">
              <w:rPr>
                <w:color w:val="000000"/>
                <w:sz w:val="20"/>
                <w:lang w:val="en-GB"/>
              </w:rPr>
              <w:t xml:space="preserve">, </w:t>
            </w:r>
            <w:hyperlink r:id="rId65" w:history="1">
              <w:r w:rsidRPr="00F90687">
                <w:rPr>
                  <w:rStyle w:val="Hyperlink"/>
                  <w:color w:val="000000"/>
                  <w:sz w:val="20"/>
                  <w:lang w:val="en-GB"/>
                </w:rPr>
                <w:t>BT.2448</w:t>
              </w:r>
              <w:r w:rsidRPr="00F90687">
                <w:rPr>
                  <w:rStyle w:val="Hyperlink"/>
                  <w:color w:val="000000"/>
                  <w:sz w:val="20"/>
                  <w:lang w:val="en-GB"/>
                </w:rPr>
                <w:noBreakHyphen/>
                <w:t>1</w:t>
              </w:r>
            </w:hyperlink>
            <w:r w:rsidRPr="00F90687">
              <w:rPr>
                <w:color w:val="000000"/>
                <w:sz w:val="20"/>
                <w:lang w:val="en-GB"/>
              </w:rPr>
              <w:t xml:space="preserve">, </w:t>
            </w:r>
            <w:hyperlink r:id="rId66" w:history="1">
              <w:r w:rsidRPr="00F90687">
                <w:rPr>
                  <w:rStyle w:val="Hyperlink"/>
                  <w:color w:val="000000"/>
                  <w:sz w:val="20"/>
                  <w:lang w:val="en-GB"/>
                </w:rPr>
                <w:t>BT.2526</w:t>
              </w:r>
              <w:r w:rsidRPr="00F90687">
                <w:rPr>
                  <w:rStyle w:val="Hyperlink"/>
                  <w:color w:val="000000"/>
                  <w:sz w:val="20"/>
                  <w:lang w:val="en-GB"/>
                </w:rPr>
                <w:noBreakHyphen/>
                <w:t>2</w:t>
              </w:r>
            </w:hyperlink>
            <w:r w:rsidRPr="00F90687">
              <w:rPr>
                <w:color w:val="000000"/>
                <w:sz w:val="20"/>
                <w:lang w:val="en-GB"/>
              </w:rPr>
              <w:t xml:space="preserve">, </w:t>
            </w:r>
            <w:hyperlink r:id="rId67" w:history="1">
              <w:r w:rsidRPr="00F90687">
                <w:rPr>
                  <w:rStyle w:val="Hyperlink"/>
                  <w:color w:val="000000"/>
                  <w:sz w:val="20"/>
                  <w:lang w:val="en-GB"/>
                </w:rPr>
                <w:t>BT.2539</w:t>
              </w:r>
              <w:r w:rsidRPr="00F90687">
                <w:rPr>
                  <w:rStyle w:val="Hyperlink"/>
                  <w:color w:val="000000"/>
                  <w:sz w:val="20"/>
                  <w:lang w:val="en-GB"/>
                </w:rPr>
                <w:noBreakHyphen/>
                <w:t>1</w:t>
              </w:r>
            </w:hyperlink>
            <w:r w:rsidRPr="00F90687">
              <w:rPr>
                <w:color w:val="000000"/>
                <w:sz w:val="20"/>
                <w:lang w:val="en-GB"/>
              </w:rPr>
              <w:t xml:space="preserve">, </w:t>
            </w:r>
            <w:hyperlink r:id="rId68" w:history="1">
              <w:r w:rsidRPr="00F90687">
                <w:rPr>
                  <w:rStyle w:val="Hyperlink"/>
                  <w:color w:val="000000"/>
                  <w:sz w:val="20"/>
                  <w:lang w:val="en-GB"/>
                </w:rPr>
                <w:t>BT.2549</w:t>
              </w:r>
              <w:r w:rsidRPr="00F90687">
                <w:rPr>
                  <w:rStyle w:val="Hyperlink"/>
                  <w:color w:val="000000"/>
                  <w:sz w:val="20"/>
                  <w:lang w:val="en-GB"/>
                </w:rPr>
                <w:noBreakHyphen/>
                <w:t>0</w:t>
              </w:r>
            </w:hyperlink>
            <w:r w:rsidRPr="00F90687">
              <w:rPr>
                <w:color w:val="000000"/>
                <w:sz w:val="20"/>
                <w:lang w:val="en-GB"/>
              </w:rPr>
              <w:t xml:space="preserve">, </w:t>
            </w:r>
            <w:hyperlink r:id="rId69" w:history="1">
              <w:r w:rsidRPr="00F90687">
                <w:rPr>
                  <w:rStyle w:val="Hyperlink"/>
                  <w:color w:val="000000"/>
                  <w:sz w:val="20"/>
                  <w:lang w:val="en-GB"/>
                </w:rPr>
                <w:t>BT.2550</w:t>
              </w:r>
              <w:r w:rsidRPr="00F90687">
                <w:rPr>
                  <w:rStyle w:val="Hyperlink"/>
                  <w:color w:val="000000"/>
                  <w:sz w:val="20"/>
                  <w:lang w:val="en-GB"/>
                </w:rPr>
                <w:noBreakHyphen/>
                <w:t>0</w:t>
              </w:r>
            </w:hyperlink>
            <w:r w:rsidRPr="00F90687">
              <w:rPr>
                <w:color w:val="000000"/>
                <w:sz w:val="20"/>
                <w:lang w:val="en-GB"/>
              </w:rPr>
              <w:t xml:space="preserve">, </w:t>
            </w:r>
            <w:hyperlink r:id="rId70" w:history="1">
              <w:r w:rsidRPr="00F90687">
                <w:rPr>
                  <w:rStyle w:val="Hyperlink"/>
                  <w:color w:val="000000"/>
                  <w:sz w:val="20"/>
                  <w:lang w:val="en-GB"/>
                </w:rPr>
                <w:t>BT.2556</w:t>
              </w:r>
              <w:r w:rsidRPr="00F90687">
                <w:rPr>
                  <w:rStyle w:val="Hyperlink"/>
                  <w:color w:val="000000"/>
                  <w:sz w:val="20"/>
                  <w:lang w:val="en-GB"/>
                </w:rPr>
                <w:noBreakHyphen/>
                <w:t>0</w:t>
              </w:r>
            </w:hyperlink>
            <w:r w:rsidRPr="00F90687">
              <w:rPr>
                <w:color w:val="000000"/>
                <w:sz w:val="20"/>
                <w:lang w:val="en-GB"/>
              </w:rPr>
              <w:t xml:space="preserve">, </w:t>
            </w:r>
            <w:hyperlink r:id="rId71" w:history="1">
              <w:r w:rsidRPr="00F90687">
                <w:rPr>
                  <w:rStyle w:val="Hyperlink"/>
                  <w:color w:val="000000"/>
                  <w:sz w:val="20"/>
                  <w:lang w:val="en-GB"/>
                </w:rPr>
                <w:t>BT.2557-0</w:t>
              </w:r>
            </w:hyperlink>
          </w:p>
        </w:tc>
        <w:tc>
          <w:tcPr>
            <w:tcW w:w="1701" w:type="dxa"/>
            <w:tcBorders>
              <w:left w:val="single" w:sz="4" w:space="0" w:color="000000" w:themeColor="text1"/>
            </w:tcBorders>
          </w:tcPr>
          <w:p w14:paraId="2BE87B26" w14:textId="77777777" w:rsidR="00F90687" w:rsidRPr="007E34BF" w:rsidRDefault="00F90687" w:rsidP="00A32BE8">
            <w:pPr>
              <w:pStyle w:val="Tabletext"/>
              <w:jc w:val="center"/>
              <w:rPr>
                <w:sz w:val="20"/>
              </w:rPr>
            </w:pPr>
            <w:r w:rsidRPr="007E34BF">
              <w:rPr>
                <w:color w:val="000000"/>
                <w:sz w:val="20"/>
                <w:lang w:val="es-ES"/>
              </w:rPr>
              <w:lastRenderedPageBreak/>
              <w:t>–</w:t>
            </w:r>
          </w:p>
        </w:tc>
        <w:tc>
          <w:tcPr>
            <w:tcW w:w="1275" w:type="dxa"/>
            <w:tcBorders>
              <w:left w:val="single" w:sz="4" w:space="0" w:color="000000" w:themeColor="text1"/>
            </w:tcBorders>
          </w:tcPr>
          <w:p w14:paraId="10C91C60" w14:textId="77777777" w:rsidR="00F90687" w:rsidRPr="007E34BF" w:rsidRDefault="00F90687" w:rsidP="00A32BE8">
            <w:pPr>
              <w:pStyle w:val="Tabletext"/>
              <w:jc w:val="center"/>
              <w:rPr>
                <w:rFonts w:asciiTheme="majorBidi" w:hAnsiTheme="majorBidi" w:cstheme="majorBidi"/>
                <w:sz w:val="20"/>
              </w:rPr>
            </w:pPr>
            <w:r w:rsidRPr="007E34BF">
              <w:rPr>
                <w:color w:val="000000"/>
                <w:sz w:val="20"/>
                <w:lang w:val="es-ES"/>
              </w:rPr>
              <w:t>–</w:t>
            </w:r>
          </w:p>
        </w:tc>
        <w:tc>
          <w:tcPr>
            <w:tcW w:w="1209" w:type="dxa"/>
            <w:tcBorders>
              <w:left w:val="single" w:sz="4" w:space="0" w:color="000000" w:themeColor="text1"/>
            </w:tcBorders>
          </w:tcPr>
          <w:p w14:paraId="0E5251DD" w14:textId="77777777" w:rsidR="00F90687" w:rsidRPr="007E34BF" w:rsidRDefault="00F90687" w:rsidP="00A32BE8">
            <w:pPr>
              <w:pStyle w:val="Tabletext"/>
              <w:jc w:val="center"/>
              <w:rPr>
                <w:rFonts w:asciiTheme="majorBidi" w:hAnsiTheme="majorBidi" w:cstheme="majorBidi"/>
                <w:sz w:val="20"/>
              </w:rPr>
            </w:pPr>
            <w:r w:rsidRPr="007E34BF">
              <w:rPr>
                <w:color w:val="000000"/>
                <w:sz w:val="20"/>
                <w:lang w:val="es-ES"/>
              </w:rPr>
              <w:t>–</w:t>
            </w:r>
          </w:p>
        </w:tc>
      </w:tr>
      <w:tr w:rsidR="00F90687" w:rsidRPr="00BF4DFC" w14:paraId="08C2DF96" w14:textId="77777777" w:rsidTr="004160B4">
        <w:trPr>
          <w:trHeight w:val="270"/>
          <w:jc w:val="center"/>
        </w:trPr>
        <w:tc>
          <w:tcPr>
            <w:tcW w:w="1219" w:type="dxa"/>
            <w:tcBorders>
              <w:right w:val="single" w:sz="4" w:space="0" w:color="000000" w:themeColor="text1"/>
            </w:tcBorders>
          </w:tcPr>
          <w:p w14:paraId="3D7CB6E8" w14:textId="77777777" w:rsidR="00F90687" w:rsidRPr="007E34BF" w:rsidRDefault="00F90687" w:rsidP="009B606E">
            <w:pPr>
              <w:pStyle w:val="Tabletext"/>
              <w:jc w:val="center"/>
              <w:rPr>
                <w:b/>
                <w:bCs/>
                <w:sz w:val="20"/>
              </w:rPr>
            </w:pPr>
            <w:r w:rsidRPr="007E34BF">
              <w:rPr>
                <w:b/>
                <w:bCs/>
                <w:color w:val="000000"/>
                <w:sz w:val="20"/>
                <w:lang w:val="es-ES"/>
              </w:rPr>
              <w:t>CE 7</w:t>
            </w:r>
          </w:p>
        </w:tc>
        <w:tc>
          <w:tcPr>
            <w:tcW w:w="2178" w:type="dxa"/>
            <w:tcBorders>
              <w:left w:val="single" w:sz="4" w:space="0" w:color="000000" w:themeColor="text1"/>
            </w:tcBorders>
          </w:tcPr>
          <w:p w14:paraId="7481B154" w14:textId="77777777" w:rsidR="00F90687" w:rsidRPr="007E34BF" w:rsidRDefault="00F90687" w:rsidP="00A32BE8">
            <w:pPr>
              <w:pStyle w:val="Tabletext"/>
              <w:jc w:val="center"/>
              <w:rPr>
                <w:sz w:val="20"/>
                <w:lang w:val="fr-FR"/>
              </w:rPr>
            </w:pPr>
            <w:hyperlink r:id="rId72" w:history="1">
              <w:r w:rsidRPr="007E34BF">
                <w:rPr>
                  <w:rStyle w:val="Hyperlink"/>
                  <w:color w:val="000000"/>
                  <w:sz w:val="20"/>
                  <w:lang w:val="fr-FR"/>
                </w:rPr>
                <w:t>RS.1166-6</w:t>
              </w:r>
            </w:hyperlink>
            <w:r w:rsidRPr="007E34BF">
              <w:rPr>
                <w:color w:val="000000"/>
                <w:sz w:val="20"/>
                <w:lang w:val="fr-FR"/>
              </w:rPr>
              <w:t xml:space="preserve">, </w:t>
            </w:r>
            <w:hyperlink r:id="rId73" w:history="1">
              <w:r w:rsidRPr="007E34BF">
                <w:rPr>
                  <w:rStyle w:val="Hyperlink"/>
                  <w:color w:val="000000"/>
                  <w:sz w:val="20"/>
                  <w:lang w:val="fr-FR"/>
                </w:rPr>
                <w:t>RS.2105-3</w:t>
              </w:r>
            </w:hyperlink>
            <w:r w:rsidRPr="007E34BF">
              <w:rPr>
                <w:color w:val="000000"/>
                <w:sz w:val="20"/>
                <w:lang w:val="fr-FR"/>
              </w:rPr>
              <w:t xml:space="preserve">, </w:t>
            </w:r>
            <w:hyperlink r:id="rId74" w:history="1">
              <w:r w:rsidRPr="007E34BF">
                <w:rPr>
                  <w:rStyle w:val="Hyperlink"/>
                  <w:color w:val="000000"/>
                  <w:sz w:val="20"/>
                  <w:lang w:val="fr-FR"/>
                </w:rPr>
                <w:t>SA.2141-1</w:t>
              </w:r>
            </w:hyperlink>
            <w:r w:rsidRPr="007E34BF">
              <w:rPr>
                <w:color w:val="000000"/>
                <w:sz w:val="20"/>
                <w:lang w:val="fr-FR"/>
              </w:rPr>
              <w:t xml:space="preserve">, </w:t>
            </w:r>
            <w:hyperlink r:id="rId75" w:history="1">
              <w:r w:rsidRPr="007E34BF">
                <w:rPr>
                  <w:rStyle w:val="Hyperlink"/>
                  <w:color w:val="000000"/>
                  <w:sz w:val="20"/>
                  <w:lang w:val="fr-FR"/>
                </w:rPr>
                <w:t>SA.2169-0</w:t>
              </w:r>
            </w:hyperlink>
          </w:p>
        </w:tc>
        <w:tc>
          <w:tcPr>
            <w:tcW w:w="2127" w:type="dxa"/>
            <w:tcBorders>
              <w:left w:val="single" w:sz="4" w:space="0" w:color="000000" w:themeColor="text1"/>
            </w:tcBorders>
          </w:tcPr>
          <w:p w14:paraId="2E7CD58F" w14:textId="77777777" w:rsidR="00F90687" w:rsidRPr="007E34BF" w:rsidRDefault="00F90687" w:rsidP="00A32BE8">
            <w:pPr>
              <w:pStyle w:val="Tabletext"/>
              <w:jc w:val="center"/>
              <w:rPr>
                <w:sz w:val="20"/>
                <w:lang w:val="fr-FR"/>
              </w:rPr>
            </w:pPr>
            <w:hyperlink r:id="rId76" w:history="1">
              <w:r w:rsidRPr="007E34BF">
                <w:rPr>
                  <w:rStyle w:val="Hyperlink"/>
                  <w:color w:val="000000"/>
                  <w:sz w:val="20"/>
                  <w:lang w:val="fr-FR"/>
                </w:rPr>
                <w:t>RA.2551-0</w:t>
              </w:r>
            </w:hyperlink>
            <w:r w:rsidRPr="007E34BF">
              <w:rPr>
                <w:color w:val="000000"/>
                <w:sz w:val="20"/>
                <w:lang w:val="fr-FR"/>
              </w:rPr>
              <w:t xml:space="preserve">, </w:t>
            </w:r>
            <w:hyperlink r:id="rId77" w:history="1">
              <w:r w:rsidRPr="007E34BF">
                <w:rPr>
                  <w:rStyle w:val="Hyperlink"/>
                  <w:color w:val="000000"/>
                  <w:sz w:val="20"/>
                  <w:lang w:val="fr-FR"/>
                </w:rPr>
                <w:t>RA.2552</w:t>
              </w:r>
              <w:r w:rsidRPr="007E34BF">
                <w:rPr>
                  <w:rStyle w:val="Hyperlink"/>
                  <w:color w:val="000000"/>
                  <w:sz w:val="20"/>
                  <w:lang w:val="fr-FR"/>
                </w:rPr>
                <w:noBreakHyphen/>
                <w:t>0</w:t>
              </w:r>
            </w:hyperlink>
            <w:r w:rsidRPr="007E34BF">
              <w:rPr>
                <w:color w:val="000000"/>
                <w:sz w:val="20"/>
                <w:lang w:val="fr-FR"/>
              </w:rPr>
              <w:t xml:space="preserve">, </w:t>
            </w:r>
            <w:hyperlink r:id="rId78" w:history="1">
              <w:r w:rsidRPr="007E34BF">
                <w:rPr>
                  <w:rStyle w:val="Hyperlink"/>
                  <w:color w:val="000000"/>
                  <w:sz w:val="20"/>
                  <w:lang w:val="fr-FR"/>
                </w:rPr>
                <w:t>RS.2310</w:t>
              </w:r>
              <w:r w:rsidRPr="007E34BF">
                <w:rPr>
                  <w:rStyle w:val="Hyperlink"/>
                  <w:color w:val="000000"/>
                  <w:sz w:val="20"/>
                  <w:lang w:val="fr-FR"/>
                </w:rPr>
                <w:noBreakHyphen/>
                <w:t>2</w:t>
              </w:r>
            </w:hyperlink>
            <w:r w:rsidRPr="007E34BF">
              <w:rPr>
                <w:color w:val="000000"/>
                <w:sz w:val="20"/>
                <w:lang w:val="fr-FR"/>
              </w:rPr>
              <w:t xml:space="preserve">, </w:t>
            </w:r>
            <w:hyperlink r:id="rId79" w:history="1">
              <w:r w:rsidRPr="007E34BF">
                <w:rPr>
                  <w:rStyle w:val="Hyperlink"/>
                  <w:color w:val="000000"/>
                  <w:sz w:val="20"/>
                  <w:lang w:val="fr-FR"/>
                </w:rPr>
                <w:t>RS.2489</w:t>
              </w:r>
              <w:r w:rsidRPr="007E34BF">
                <w:rPr>
                  <w:rStyle w:val="Hyperlink"/>
                  <w:color w:val="000000"/>
                  <w:sz w:val="20"/>
                  <w:lang w:val="fr-FR"/>
                </w:rPr>
                <w:noBreakHyphen/>
                <w:t>1</w:t>
              </w:r>
            </w:hyperlink>
            <w:r w:rsidRPr="007E34BF">
              <w:rPr>
                <w:color w:val="000000"/>
                <w:sz w:val="20"/>
                <w:lang w:val="fr-FR"/>
              </w:rPr>
              <w:t xml:space="preserve">, </w:t>
            </w:r>
            <w:hyperlink r:id="rId80" w:history="1">
              <w:r w:rsidRPr="007E34BF">
                <w:rPr>
                  <w:rStyle w:val="Hyperlink"/>
                  <w:color w:val="000000"/>
                  <w:sz w:val="20"/>
                  <w:lang w:val="fr-FR"/>
                </w:rPr>
                <w:t>SA.2553-0</w:t>
              </w:r>
            </w:hyperlink>
          </w:p>
        </w:tc>
        <w:tc>
          <w:tcPr>
            <w:tcW w:w="1701" w:type="dxa"/>
            <w:tcBorders>
              <w:left w:val="single" w:sz="4" w:space="0" w:color="000000" w:themeColor="text1"/>
            </w:tcBorders>
          </w:tcPr>
          <w:p w14:paraId="0619941D" w14:textId="77777777" w:rsidR="00F90687" w:rsidRPr="007E34BF" w:rsidRDefault="00F90687" w:rsidP="00A32BE8">
            <w:pPr>
              <w:pStyle w:val="Tabletext"/>
              <w:jc w:val="center"/>
              <w:rPr>
                <w:sz w:val="20"/>
              </w:rPr>
            </w:pPr>
            <w:r w:rsidRPr="007E34BF">
              <w:rPr>
                <w:color w:val="000000"/>
                <w:sz w:val="20"/>
                <w:lang w:val="es-ES"/>
              </w:rPr>
              <w:t>–</w:t>
            </w:r>
          </w:p>
        </w:tc>
        <w:tc>
          <w:tcPr>
            <w:tcW w:w="1275" w:type="dxa"/>
            <w:tcBorders>
              <w:left w:val="single" w:sz="4" w:space="0" w:color="000000" w:themeColor="text1"/>
            </w:tcBorders>
          </w:tcPr>
          <w:p w14:paraId="1E53C2C0" w14:textId="77777777" w:rsidR="00F90687" w:rsidRPr="007E34BF" w:rsidRDefault="00F90687" w:rsidP="00A32BE8">
            <w:pPr>
              <w:pStyle w:val="Tabletext"/>
              <w:jc w:val="center"/>
              <w:rPr>
                <w:sz w:val="20"/>
              </w:rPr>
            </w:pPr>
            <w:r w:rsidRPr="007E34BF">
              <w:rPr>
                <w:color w:val="000000"/>
                <w:sz w:val="20"/>
                <w:lang w:val="es-ES"/>
              </w:rPr>
              <w:t>–</w:t>
            </w:r>
          </w:p>
        </w:tc>
        <w:tc>
          <w:tcPr>
            <w:tcW w:w="1209" w:type="dxa"/>
            <w:tcBorders>
              <w:left w:val="single" w:sz="4" w:space="0" w:color="000000" w:themeColor="text1"/>
            </w:tcBorders>
          </w:tcPr>
          <w:p w14:paraId="0E630BA8" w14:textId="77777777" w:rsidR="00F90687" w:rsidRPr="007E34BF" w:rsidRDefault="00F90687" w:rsidP="00A32BE8">
            <w:pPr>
              <w:pStyle w:val="Tabletext"/>
              <w:jc w:val="center"/>
              <w:rPr>
                <w:sz w:val="20"/>
              </w:rPr>
            </w:pPr>
            <w:r w:rsidRPr="007E34BF">
              <w:rPr>
                <w:color w:val="000000"/>
                <w:sz w:val="20"/>
                <w:lang w:val="es-ES"/>
              </w:rPr>
              <w:t>–</w:t>
            </w:r>
          </w:p>
        </w:tc>
      </w:tr>
      <w:tr w:rsidR="00F90687" w:rsidRPr="00745008" w14:paraId="12F54DFF" w14:textId="77777777" w:rsidTr="004160B4">
        <w:trPr>
          <w:trHeight w:val="270"/>
          <w:jc w:val="center"/>
        </w:trPr>
        <w:tc>
          <w:tcPr>
            <w:tcW w:w="1219" w:type="dxa"/>
            <w:tcBorders>
              <w:bottom w:val="single" w:sz="4" w:space="0" w:color="000000" w:themeColor="text1"/>
              <w:right w:val="single" w:sz="4" w:space="0" w:color="000000" w:themeColor="text1"/>
            </w:tcBorders>
          </w:tcPr>
          <w:p w14:paraId="37082FC5" w14:textId="77777777" w:rsidR="00F90687" w:rsidRPr="007E34BF" w:rsidRDefault="00F90687" w:rsidP="009B606E">
            <w:pPr>
              <w:pStyle w:val="Tabletext"/>
              <w:jc w:val="center"/>
              <w:rPr>
                <w:b/>
                <w:bCs/>
                <w:sz w:val="20"/>
              </w:rPr>
            </w:pPr>
            <w:r w:rsidRPr="007E34BF">
              <w:rPr>
                <w:b/>
                <w:bCs/>
                <w:color w:val="000000"/>
                <w:sz w:val="20"/>
                <w:lang w:val="es-ES"/>
              </w:rPr>
              <w:t>CCV/CCT</w:t>
            </w:r>
          </w:p>
        </w:tc>
        <w:tc>
          <w:tcPr>
            <w:tcW w:w="2178" w:type="dxa"/>
            <w:tcBorders>
              <w:left w:val="single" w:sz="4" w:space="0" w:color="000000" w:themeColor="text1"/>
            </w:tcBorders>
          </w:tcPr>
          <w:p w14:paraId="501D6DD6" w14:textId="77777777" w:rsidR="00F90687" w:rsidRPr="007E34BF" w:rsidRDefault="00F90687" w:rsidP="00A32BE8">
            <w:pPr>
              <w:pStyle w:val="Tabletext"/>
              <w:jc w:val="center"/>
              <w:rPr>
                <w:sz w:val="20"/>
                <w:lang w:val="fr-FR"/>
              </w:rPr>
            </w:pPr>
            <w:hyperlink r:id="rId81" w:history="1">
              <w:r w:rsidRPr="007E34BF">
                <w:rPr>
                  <w:rStyle w:val="Hyperlink"/>
                  <w:color w:val="000000"/>
                  <w:sz w:val="20"/>
                  <w:lang w:val="fr-FR"/>
                </w:rPr>
                <w:t>V.431-9</w:t>
              </w:r>
            </w:hyperlink>
          </w:p>
        </w:tc>
        <w:tc>
          <w:tcPr>
            <w:tcW w:w="2127" w:type="dxa"/>
            <w:tcBorders>
              <w:left w:val="single" w:sz="4" w:space="0" w:color="000000" w:themeColor="text1"/>
            </w:tcBorders>
          </w:tcPr>
          <w:p w14:paraId="140B7958" w14:textId="77777777" w:rsidR="00F90687" w:rsidRPr="007E34BF" w:rsidRDefault="00F90687" w:rsidP="00A32BE8">
            <w:pPr>
              <w:pStyle w:val="Tabletext"/>
              <w:jc w:val="center"/>
              <w:rPr>
                <w:sz w:val="20"/>
              </w:rPr>
            </w:pPr>
            <w:r w:rsidRPr="007E34BF">
              <w:rPr>
                <w:color w:val="000000"/>
                <w:sz w:val="20"/>
                <w:lang w:val="es-ES"/>
              </w:rPr>
              <w:t>–</w:t>
            </w:r>
          </w:p>
        </w:tc>
        <w:tc>
          <w:tcPr>
            <w:tcW w:w="1701" w:type="dxa"/>
            <w:tcBorders>
              <w:left w:val="single" w:sz="4" w:space="0" w:color="000000" w:themeColor="text1"/>
            </w:tcBorders>
          </w:tcPr>
          <w:p w14:paraId="173AED34" w14:textId="77777777" w:rsidR="00F90687" w:rsidRPr="007E34BF" w:rsidRDefault="00F90687" w:rsidP="00A32BE8">
            <w:pPr>
              <w:pStyle w:val="Tabletext"/>
              <w:jc w:val="center"/>
              <w:rPr>
                <w:sz w:val="20"/>
              </w:rPr>
            </w:pPr>
            <w:r w:rsidRPr="007E34BF">
              <w:rPr>
                <w:color w:val="000000"/>
                <w:sz w:val="20"/>
                <w:lang w:val="es-ES"/>
              </w:rPr>
              <w:t>–</w:t>
            </w:r>
          </w:p>
        </w:tc>
        <w:tc>
          <w:tcPr>
            <w:tcW w:w="1275" w:type="dxa"/>
            <w:tcBorders>
              <w:left w:val="single" w:sz="4" w:space="0" w:color="000000" w:themeColor="text1"/>
            </w:tcBorders>
          </w:tcPr>
          <w:p w14:paraId="4AAA9B43" w14:textId="77777777" w:rsidR="00F90687" w:rsidRPr="007E34BF" w:rsidRDefault="00F90687" w:rsidP="00A32BE8">
            <w:pPr>
              <w:pStyle w:val="Tabletext"/>
              <w:jc w:val="center"/>
              <w:rPr>
                <w:sz w:val="20"/>
              </w:rPr>
            </w:pPr>
            <w:r w:rsidRPr="007E34BF">
              <w:rPr>
                <w:color w:val="000000"/>
                <w:sz w:val="20"/>
                <w:lang w:val="es-ES"/>
              </w:rPr>
              <w:t>–</w:t>
            </w:r>
          </w:p>
        </w:tc>
        <w:tc>
          <w:tcPr>
            <w:tcW w:w="1209" w:type="dxa"/>
            <w:tcBorders>
              <w:left w:val="single" w:sz="4" w:space="0" w:color="000000" w:themeColor="text1"/>
            </w:tcBorders>
          </w:tcPr>
          <w:p w14:paraId="0E133C19" w14:textId="77777777" w:rsidR="00F90687" w:rsidRPr="007E34BF" w:rsidRDefault="00F90687" w:rsidP="00A32BE8">
            <w:pPr>
              <w:pStyle w:val="Tabletext"/>
              <w:jc w:val="center"/>
              <w:rPr>
                <w:sz w:val="20"/>
              </w:rPr>
            </w:pPr>
            <w:r w:rsidRPr="007E34BF">
              <w:rPr>
                <w:color w:val="000000"/>
                <w:sz w:val="20"/>
                <w:lang w:val="es-ES"/>
              </w:rPr>
              <w:t>–</w:t>
            </w:r>
          </w:p>
        </w:tc>
      </w:tr>
    </w:tbl>
    <w:bookmarkEnd w:id="6"/>
    <w:p w14:paraId="67BDEAFA" w14:textId="77777777" w:rsidR="00F90687" w:rsidRPr="00D01345" w:rsidRDefault="00F90687" w:rsidP="00F90687">
      <w:pPr>
        <w:pStyle w:val="Tablefin"/>
        <w:rPr>
          <w:lang w:val="es-ES"/>
        </w:rPr>
      </w:pPr>
      <w:r>
        <w:rPr>
          <w:lang w:val="es-ES"/>
        </w:rPr>
        <w:t>NOTA – Los resultados enumerados anteriormente se recopilaron en el momento de la elaboración del presente documento.</w:t>
      </w:r>
    </w:p>
    <w:p w14:paraId="7BEC73A0" w14:textId="77777777" w:rsidR="00F90687" w:rsidRPr="00D01345" w:rsidRDefault="00F90687" w:rsidP="00F90687">
      <w:pPr>
        <w:rPr>
          <w:lang w:val="es-ES"/>
        </w:rPr>
      </w:pPr>
      <w:r>
        <w:rPr>
          <w:lang w:val="es-ES"/>
        </w:rPr>
        <w:t>Actualmente hay 1 160 Recomendaciones UIT-R y 660 Informes UIT-R en vigor.</w:t>
      </w:r>
    </w:p>
    <w:p w14:paraId="391CB62A" w14:textId="77777777" w:rsidR="00F90687" w:rsidRPr="00D01345" w:rsidRDefault="00F90687" w:rsidP="00F90687">
      <w:pPr>
        <w:pStyle w:val="Heading2"/>
        <w:rPr>
          <w:lang w:val="es-ES"/>
        </w:rPr>
      </w:pPr>
      <w:bookmarkStart w:id="7" w:name="_Toc445972795"/>
      <w:bookmarkEnd w:id="5"/>
      <w:r>
        <w:rPr>
          <w:bCs/>
          <w:lang w:val="es-ES"/>
        </w:rPr>
        <w:t>4.2</w:t>
      </w:r>
      <w:r>
        <w:rPr>
          <w:lang w:val="es-ES"/>
        </w:rPr>
        <w:tab/>
      </w:r>
      <w:r>
        <w:rPr>
          <w:bCs/>
          <w:lang w:val="es-ES"/>
        </w:rPr>
        <w:t>Comisión de Estudio 1</w:t>
      </w:r>
    </w:p>
    <w:p w14:paraId="1D85389C" w14:textId="77777777" w:rsidR="00F90687" w:rsidRPr="00D01345" w:rsidRDefault="00F90687" w:rsidP="00F90687">
      <w:pPr>
        <w:rPr>
          <w:lang w:val="es-ES"/>
        </w:rPr>
      </w:pPr>
      <w:bookmarkStart w:id="8" w:name="_Toc445972793"/>
      <w:r>
        <w:rPr>
          <w:lang w:val="es-ES"/>
        </w:rPr>
        <w:t>La Comisión de Estudio 1 siguió elaborando Recomendaciones, Informes y Manuales del UIT-R relativos a los principios y técnicas de gestión del espectro, los principios generales de compartición, la comprobación técnica del espectro, las estrategias a largo plazo para la utilización del espectro, los enfoques económicos de la gestión nacional del espectro, las técnicas automatizadas y la asistencia a los países en desarrollo en cooperación con el Sector de Desarrollo de las Telecomunicaciones. Sus estudios también incluyeron métodos para la identificación y eliminación de interferencias, emisiones no deseadas, mantenimiento de diccionario de datos, reorganización del espectro, medición de la utilización del espectro, utilizaciones sin licencia y compartidas del espectro, acceso dinámico al espectro, redes inteligentes y transmisión inalámbrica de potencia.</w:t>
      </w:r>
    </w:p>
    <w:p w14:paraId="1AD979DD" w14:textId="77777777" w:rsidR="00F90687" w:rsidRPr="00D01345" w:rsidRDefault="00F90687" w:rsidP="00F90687">
      <w:pPr>
        <w:rPr>
          <w:lang w:val="es-ES"/>
        </w:rPr>
      </w:pPr>
      <w:r>
        <w:rPr>
          <w:lang w:val="es-ES"/>
        </w:rPr>
        <w:t xml:space="preserve">Los Grupos de Trabajo 1A, 1B y 1C y la Comisión de Estudio 1 celebraron un bloque de reuniones presenciales con participación a distancia del 9 al 19 de junio de 2025 en Ginebra. </w:t>
      </w:r>
    </w:p>
    <w:p w14:paraId="2424C7D0" w14:textId="77777777" w:rsidR="00F90687" w:rsidRPr="00D01345" w:rsidRDefault="00F90687" w:rsidP="00F90687">
      <w:pPr>
        <w:rPr>
          <w:lang w:val="es-ES"/>
        </w:rPr>
      </w:pPr>
      <w:r>
        <w:rPr>
          <w:lang w:val="es-ES"/>
        </w:rPr>
        <w:t>Como se indica en las circulares de invitación (</w:t>
      </w:r>
      <w:hyperlink r:id="rId82" w:history="1">
        <w:r w:rsidRPr="00392296">
          <w:rPr>
            <w:rStyle w:val="Hyperlink"/>
            <w:lang w:val="es-ES"/>
          </w:rPr>
          <w:t>CACE/1131</w:t>
        </w:r>
      </w:hyperlink>
      <w:r>
        <w:rPr>
          <w:lang w:val="es-ES"/>
        </w:rPr>
        <w:t xml:space="preserve"> y </w:t>
      </w:r>
      <w:hyperlink r:id="rId83" w:history="1">
        <w:r w:rsidRPr="00452AAA">
          <w:rPr>
            <w:rStyle w:val="Hyperlink"/>
            <w:lang w:val="es-ES"/>
          </w:rPr>
          <w:t>1/LCCE/113</w:t>
        </w:r>
      </w:hyperlink>
      <w:r>
        <w:rPr>
          <w:lang w:val="es-ES"/>
        </w:rPr>
        <w:t>), el GT 1C se reunió del 9 al 18 de junio de 2025 y los dos primeros días se dedicaron a los trabajos sobre la próxima edición del Manual sobre Comprobación Técnica del Espectro (MCTE) del UIT-R, mientras que los GT 1A y 1B se reunieron del 11 al 18 de junio de 2025. La CE 1 celebró su reunión el 19 de junio de 2025. Estas reuniones tuvieron lugar en la Sede de la UIT en Ginebra.</w:t>
      </w:r>
      <w:hyperlink r:id="rId84" w:history="1"/>
      <w:hyperlink r:id="rId85" w:history="1"/>
    </w:p>
    <w:p w14:paraId="321236B4" w14:textId="3EB3FF6B" w:rsidR="00F90687" w:rsidRPr="00D01345" w:rsidRDefault="00F90687" w:rsidP="00F90687">
      <w:pPr>
        <w:rPr>
          <w:lang w:val="es-ES"/>
        </w:rPr>
      </w:pPr>
      <w:r>
        <w:rPr>
          <w:lang w:val="es-ES"/>
        </w:rPr>
        <w:t>Además de las publicaciones aprobadas indicadas en el cuadro anterior, la CE 1 también aprobó la revisión editorial de la Recomendación UIT-R SM.337-6 «</w:t>
      </w:r>
      <w:r w:rsidRPr="002B44B1">
        <w:rPr>
          <w:i/>
          <w:iCs/>
          <w:lang w:val="es-ES"/>
        </w:rPr>
        <w:t>Separaciones en frecuencia y en distancia</w:t>
      </w:r>
      <w:r>
        <w:rPr>
          <w:lang w:val="es-ES"/>
        </w:rPr>
        <w:t>». Además, también se lograron avances notables en otras actividades de los GT de la CE</w:t>
      </w:r>
      <w:r w:rsidR="00C262FD">
        <w:rPr>
          <w:lang w:val="es-ES"/>
        </w:rPr>
        <w:t> </w:t>
      </w:r>
      <w:r>
        <w:rPr>
          <w:lang w:val="es-ES"/>
        </w:rPr>
        <w:t xml:space="preserve">1. </w:t>
      </w:r>
    </w:p>
    <w:p w14:paraId="7FC95D72" w14:textId="1C2D5B49" w:rsidR="00F90687" w:rsidRPr="00D01345" w:rsidRDefault="00F90687" w:rsidP="00F90687">
      <w:pPr>
        <w:rPr>
          <w:lang w:val="es-ES"/>
        </w:rPr>
      </w:pPr>
      <w:r>
        <w:rPr>
          <w:lang w:val="es-ES"/>
        </w:rPr>
        <w:t xml:space="preserve">En estas reuniones de junio de 2025, se presentó y tomó nota de la información actualizada contenida en los Adjuntos 2 (Rec. UIT-R SM.), 3 (Informe UIT-R SM.) y 5 (Res. UIT-R pertinente), así como la actualización del Adjunto 8 (puntos pertinentes del orden del día de la CMR-27 y del orden del día preliminar de la CMR-31) al Documento </w:t>
      </w:r>
      <w:hyperlink r:id="rId86" w:history="1">
        <w:r w:rsidRPr="00273F17">
          <w:rPr>
            <w:rStyle w:val="Hyperlink"/>
            <w:lang w:val="es-ES"/>
          </w:rPr>
          <w:t>1/1(Rev.1)</w:t>
        </w:r>
      </w:hyperlink>
      <w:r>
        <w:rPr>
          <w:lang w:val="es-ES"/>
        </w:rPr>
        <w:t xml:space="preserve">. Asimismo, se presentó y tomó nota del resumen de conclusiones de la 32ª reunión del GAR que figura en la </w:t>
      </w:r>
      <w:hyperlink r:id="rId87" w:history="1">
        <w:r w:rsidRPr="00D16C72">
          <w:rPr>
            <w:rStyle w:val="Hyperlink"/>
            <w:lang w:val="es-ES"/>
          </w:rPr>
          <w:t>BR</w:t>
        </w:r>
        <w:r w:rsidR="00C262FD">
          <w:rPr>
            <w:rStyle w:val="Hyperlink"/>
            <w:lang w:val="es-ES"/>
          </w:rPr>
          <w:t> </w:t>
        </w:r>
        <w:r w:rsidRPr="00D16C72">
          <w:rPr>
            <w:rStyle w:val="Hyperlink"/>
            <w:lang w:val="es-ES"/>
          </w:rPr>
          <w:t>CA/277</w:t>
        </w:r>
      </w:hyperlink>
      <w:r>
        <w:rPr>
          <w:lang w:val="es-ES"/>
        </w:rPr>
        <w:t xml:space="preserve"> y de la información adicional conexa señalada a la atención de todas las CE y GT del UIT-R en el Documento </w:t>
      </w:r>
      <w:hyperlink r:id="rId88" w:history="1">
        <w:r w:rsidRPr="00E95829">
          <w:rPr>
            <w:rStyle w:val="Hyperlink"/>
            <w:lang w:val="es-ES"/>
          </w:rPr>
          <w:t>1/45</w:t>
        </w:r>
      </w:hyperlink>
      <w:r>
        <w:rPr>
          <w:lang w:val="es-ES"/>
        </w:rPr>
        <w:t>.</w:t>
      </w:r>
      <w:hyperlink r:id="rId89" w:history="1"/>
      <w:hyperlink r:id="rId90" w:history="1"/>
      <w:hyperlink r:id="rId91" w:history="1"/>
    </w:p>
    <w:p w14:paraId="6B12D83F" w14:textId="77777777" w:rsidR="00F90687" w:rsidRPr="00D01345" w:rsidRDefault="00F90687" w:rsidP="00F90687">
      <w:pPr>
        <w:rPr>
          <w:lang w:val="es-ES"/>
        </w:rPr>
      </w:pPr>
      <w:r>
        <w:rPr>
          <w:lang w:val="es-ES"/>
        </w:rPr>
        <w:t>También durante estas reuniones de junio de 2025, se nombraron los Vicepresidentes del GT 1A, el GT 1B y el GT 1C, como se indica aquí en los sitios web de la CE 1 y sus GT.</w:t>
      </w:r>
      <w:hyperlink r:id="rId92" w:history="1"/>
    </w:p>
    <w:p w14:paraId="4CFED036" w14:textId="655F5420" w:rsidR="00F90687" w:rsidRPr="00D20120" w:rsidRDefault="00F90687" w:rsidP="00F90687">
      <w:pPr>
        <w:rPr>
          <w:lang w:val="es-ES"/>
        </w:rPr>
      </w:pPr>
      <w:r>
        <w:rPr>
          <w:lang w:val="es-ES"/>
        </w:rPr>
        <w:lastRenderedPageBreak/>
        <w:t>El GR-MCTE del GT 1C celebró su segunda reunión de 2023-2027 del 10 al 14 de noviembre de 2025 para avanzar en los trabajos sobre la próxima edición de este importante Manual destinado a los reguladores y operadores nacionales y a los fabricantes que les suministran equipos. El GR</w:t>
      </w:r>
      <w:r w:rsidR="00C262FD">
        <w:rPr>
          <w:lang w:val="es-ES"/>
        </w:rPr>
        <w:noBreakHyphen/>
      </w:r>
      <w:r>
        <w:rPr>
          <w:lang w:val="es-ES"/>
        </w:rPr>
        <w:t xml:space="preserve">MCTE del GT 1C siguió muy productivamente preparando el proyecto de revisión de todos los Capítulos del Manual y su Anexo, elaborando además un proyecto de nuevo Capítulo sobre datos y automatización. Como se indica en la Carta Circular </w:t>
      </w:r>
      <w:hyperlink r:id="rId93" w:history="1">
        <w:r w:rsidRPr="000345B6">
          <w:rPr>
            <w:rStyle w:val="Hyperlink"/>
            <w:lang w:val="es-ES"/>
          </w:rPr>
          <w:t>1/LCCE/115</w:t>
        </w:r>
      </w:hyperlink>
      <w:r>
        <w:rPr>
          <w:lang w:val="es-ES"/>
        </w:rPr>
        <w:t>, la próxima reunión del GR</w:t>
      </w:r>
      <w:r w:rsidR="000345B6">
        <w:rPr>
          <w:lang w:val="es-ES"/>
        </w:rPr>
        <w:noBreakHyphen/>
      </w:r>
      <w:r>
        <w:rPr>
          <w:lang w:val="es-ES"/>
        </w:rPr>
        <w:t>MCTE del GT</w:t>
      </w:r>
      <w:r w:rsidR="00FF7F14">
        <w:rPr>
          <w:lang w:val="es-ES"/>
        </w:rPr>
        <w:t xml:space="preserve"> </w:t>
      </w:r>
      <w:r>
        <w:rPr>
          <w:lang w:val="es-ES"/>
        </w:rPr>
        <w:t xml:space="preserve">está prevista del 23 al 27 de marzo de 2026 en Múnich (Alemania), por amable invitación de Rohde &amp; Schwarz GmbH &amp; Co. KG y con el apoyo de la Administración de Alemania (República Federal de). </w:t>
      </w:r>
      <w:r w:rsidRPr="00D20120">
        <w:rPr>
          <w:lang w:val="es-ES"/>
        </w:rPr>
        <w:t>La fecha límite prevista para que el GT 1C finalice y la CE 1 apruebe la próxima edición de este importante Manual es junio de 2026.</w:t>
      </w:r>
      <w:hyperlink r:id="rId94" w:history="1"/>
    </w:p>
    <w:p w14:paraId="66869409" w14:textId="77777777" w:rsidR="00F90687" w:rsidRPr="00D01345" w:rsidRDefault="00F90687" w:rsidP="00F90687">
      <w:pPr>
        <w:rPr>
          <w:lang w:val="es-ES"/>
        </w:rPr>
      </w:pPr>
      <w:r>
        <w:rPr>
          <w:lang w:val="es-ES"/>
        </w:rPr>
        <w:t xml:space="preserve">Las próximas reuniones de los GT 1A, 1B y 1C están previstas del 3 al 10 de junio de 2026, y la próxima reunión de la CE 1 el 11 de junio de 2026. </w:t>
      </w:r>
    </w:p>
    <w:p w14:paraId="53EA171A" w14:textId="77777777" w:rsidR="00F90687" w:rsidRPr="00D01345" w:rsidRDefault="00F90687" w:rsidP="00F90687">
      <w:pPr>
        <w:pStyle w:val="Heading2"/>
        <w:rPr>
          <w:lang w:val="es-ES"/>
        </w:rPr>
      </w:pPr>
      <w:r>
        <w:rPr>
          <w:bCs/>
          <w:lang w:val="es-ES"/>
        </w:rPr>
        <w:t>4.3</w:t>
      </w:r>
      <w:r>
        <w:rPr>
          <w:lang w:val="es-ES"/>
        </w:rPr>
        <w:tab/>
      </w:r>
      <w:r>
        <w:rPr>
          <w:bCs/>
          <w:lang w:val="es-ES"/>
        </w:rPr>
        <w:t>Comisión de Estudio 3</w:t>
      </w:r>
      <w:bookmarkEnd w:id="8"/>
    </w:p>
    <w:p w14:paraId="5685279F" w14:textId="77777777" w:rsidR="00F90687" w:rsidRPr="00D01345" w:rsidRDefault="00F90687" w:rsidP="00F90687">
      <w:pPr>
        <w:rPr>
          <w:lang w:val="es-ES"/>
        </w:rPr>
      </w:pPr>
      <w:r>
        <w:rPr>
          <w:lang w:val="es-ES"/>
        </w:rPr>
        <w:t>La Comisión de Estudio 3 siguió realizando investigaciones exhaustivas utilizando mediciones de propagación, análisis de datos y elaboración de modelos para ampliar la aplicabilidad de los métodos de predicción de la propagación de las ondas radioeléctricas en partes pertinentes del espectro hasta 375 THz. La Comisión de Estudio 3 también siguió revisando o elaborando nuevas Recomendaciones, Informes y Manuales en el marco de su mandato para apoyar el diseño de sistemas de radiocomunicaciones y la evaluación de la interferencia. Esta última se requería a menudo para los estudios de compartición y compatibilidad en apoyo de los trabajos sobre los puntos del orden del día de la CMR.</w:t>
      </w:r>
    </w:p>
    <w:p w14:paraId="4D4DDD2C" w14:textId="0D9C0359" w:rsidR="00F90687" w:rsidRPr="00D01345" w:rsidRDefault="00F90687" w:rsidP="00A32BE8">
      <w:pPr>
        <w:rPr>
          <w:lang w:val="es-ES"/>
        </w:rPr>
      </w:pPr>
      <w:r>
        <w:rPr>
          <w:lang w:val="es-ES"/>
        </w:rPr>
        <w:t>La Comisión de Estudio 3 celebró dos reuniones el 26 de mayo de 2025 (por la mañana) y el 6 de junio de 2025, coincidiendo con las reuniones de los GT 3J, 3K, 3L y 3M celebradas del 26 de mayo de 2025 (por la tarde) al 5 de junio de 2025. La primera reunión de la CE 3 aprobó la estructura de trabajo y el mandato de los GT, y confirmó los Presidentes y Vicepresidentes de los GT. En la segunda reunión de la CE 3 se abordaron los trabajos de los GT sometidos a su consideración, y se eligió al Dr.</w:t>
      </w:r>
      <w:r w:rsidR="000345B6">
        <w:rPr>
          <w:lang w:val="es-ES"/>
        </w:rPr>
        <w:t> </w:t>
      </w:r>
      <w:r>
        <w:rPr>
          <w:lang w:val="es-ES"/>
        </w:rPr>
        <w:t>L. CASTANET (Francia) como Presidente del GT 3J, en sustitución del Presidente saliente del GT 3J, Prof. C. RIVA (Italia), y también eligió al Sr.</w:t>
      </w:r>
      <w:r w:rsidR="000345B6">
        <w:rPr>
          <w:lang w:val="es-ES"/>
        </w:rPr>
        <w:t> </w:t>
      </w:r>
      <w:r>
        <w:rPr>
          <w:lang w:val="es-ES"/>
        </w:rPr>
        <w:t>Eric HILL (Estados Unidos) y al Dr.</w:t>
      </w:r>
      <w:r w:rsidR="000345B6">
        <w:rPr>
          <w:lang w:val="es-ES"/>
        </w:rPr>
        <w:t> </w:t>
      </w:r>
      <w:r>
        <w:rPr>
          <w:lang w:val="es-ES"/>
        </w:rPr>
        <w:t>Seok-Hee BAE (República de Corea) como Vicepresidentes de los GT 3J y 3L, respectivamente.</w:t>
      </w:r>
    </w:p>
    <w:p w14:paraId="3F2AB5BB" w14:textId="77777777" w:rsidR="00F90687" w:rsidRPr="00D01345" w:rsidRDefault="00F90687" w:rsidP="00A32BE8">
      <w:pPr>
        <w:rPr>
          <w:lang w:val="es-ES"/>
        </w:rPr>
      </w:pPr>
      <w:r>
        <w:rPr>
          <w:lang w:val="es-ES"/>
        </w:rPr>
        <w:t>El 27 de mayo de 2025 se celebró un taller sobre «</w:t>
      </w:r>
      <w:hyperlink r:id="rId95" w:history="1">
        <w:r w:rsidRPr="004A5450">
          <w:rPr>
            <w:rStyle w:val="Hyperlink"/>
            <w:lang w:val="es-ES"/>
          </w:rPr>
          <w:t>Aplicaciones del aprendizaje automático a la predicción de la propagación de ondas radioeléctricas</w:t>
        </w:r>
      </w:hyperlink>
      <w:r>
        <w:rPr>
          <w:lang w:val="es-ES"/>
        </w:rPr>
        <w:t>». En el taller se examinó y debatió el aprendizaje automático aplicado a la modelización de la predicción de la propagación de las ondas radioeléctricas, así como su utilización en el desarrollo de modelos de parámetros o fenómenos pertinentes para la predicción de la propagación de las ondas radioeléctricas. Al taller asistieron 117 participantes y nueve expertos invitados proporcionaron información sobre sus investigaciones y utilización del aprendizaje automático aplicado a la predicción de la propagación de ondas radioeléctricas.</w:t>
      </w:r>
      <w:hyperlink r:id="rId96" w:history="1"/>
    </w:p>
    <w:p w14:paraId="648A8B1E" w14:textId="01BBE091" w:rsidR="00F90687" w:rsidRPr="00D01345" w:rsidRDefault="00F90687" w:rsidP="00A32BE8">
      <w:pPr>
        <w:rPr>
          <w:lang w:val="es-ES"/>
        </w:rPr>
      </w:pPr>
      <w:r>
        <w:rPr>
          <w:lang w:val="es-ES"/>
        </w:rPr>
        <w:t>La Comisión de Estudio 3 facilitó información sobre modelos de propagación de ondas radioeléctricas dentro de los plazos acordados de la RPC a los GT del UIT-R responsables de realizar los estudios de compartición y compatibilidad necesarios para la preparación de la CMR</w:t>
      </w:r>
      <w:r w:rsidR="00A32BE8">
        <w:rPr>
          <w:lang w:val="es-ES"/>
        </w:rPr>
        <w:noBreakHyphen/>
      </w:r>
      <w:r>
        <w:rPr>
          <w:lang w:val="es-ES"/>
        </w:rPr>
        <w:t>27.</w:t>
      </w:r>
    </w:p>
    <w:p w14:paraId="3207E2FA" w14:textId="77777777" w:rsidR="00F90687" w:rsidRPr="00D01345" w:rsidRDefault="00F90687" w:rsidP="00F90687">
      <w:pPr>
        <w:rPr>
          <w:lang w:val="es-ES"/>
        </w:rPr>
      </w:pPr>
      <w:r>
        <w:rPr>
          <w:lang w:val="es-ES"/>
        </w:rPr>
        <w:t>En el cuadro anterior figura la lista de productos adoptados por la CE 3 y posteriormente aprobados por los Estados Miembros desde el GAR-25. También se modificó la redacción de tres Recomendaciones UIT-R.</w:t>
      </w:r>
    </w:p>
    <w:p w14:paraId="739B6BEE" w14:textId="77777777" w:rsidR="00F90687" w:rsidRPr="00D01345" w:rsidRDefault="00F90687" w:rsidP="00F90687">
      <w:pPr>
        <w:rPr>
          <w:lang w:val="es-ES"/>
        </w:rPr>
      </w:pPr>
      <w:r>
        <w:rPr>
          <w:lang w:val="es-ES"/>
        </w:rPr>
        <w:lastRenderedPageBreak/>
        <w:t>Un total de 38 Grupos por Correspondencia (GC) de los GT 3J, 3K, 3L y 3M realizaron una parte importante de los trabajos, lo que permitió avanzar vitalmente entre las reuniones de los GT. Los Grupos de Trabajo de la CE 3 han utilizado los GC de esta manera durante más de una década, teniendo particularmente en cuenta el hecho de que los cuatro GT se reúnen normalmente sólo una vez al año y que la terminación de algunos temas de trabajo puede durar más de cinco o incluso diez años.</w:t>
      </w:r>
    </w:p>
    <w:p w14:paraId="2C8884DF" w14:textId="77777777" w:rsidR="00F90687" w:rsidRPr="00D01345" w:rsidRDefault="00F90687" w:rsidP="00F90687">
      <w:pPr>
        <w:rPr>
          <w:lang w:val="es-ES"/>
        </w:rPr>
      </w:pPr>
      <w:r>
        <w:rPr>
          <w:lang w:val="es-ES"/>
        </w:rPr>
        <w:t>En 2025, al igual que en los cuatro años anteriores, las Recomendaciones de la serie P siguieron siendo las más populares de todas las series de Recomendaciones UIT-R, con más de 210 500 descargas más que la segunda serie más popular, lo que sigue reflejando su importancia para todos los usuarios de sistemas de radiocomunicaciones dentro de la UIT y la comunidad de radiocomunicaciones en general.</w:t>
      </w:r>
    </w:p>
    <w:p w14:paraId="0C5E18C9" w14:textId="77777777" w:rsidR="00F90687" w:rsidRPr="00D01345" w:rsidRDefault="00F90687" w:rsidP="00F90687">
      <w:pPr>
        <w:rPr>
          <w:lang w:val="es-ES"/>
        </w:rPr>
      </w:pPr>
      <w:r>
        <w:rPr>
          <w:lang w:val="es-ES"/>
        </w:rPr>
        <w:t>Las próximas reuniones de los GT 3J, 3K, 3L y 3M están previstas del 15 al 25 de junio de 2026 y la de la CE 3 el 26 de junio de 2026.</w:t>
      </w:r>
    </w:p>
    <w:p w14:paraId="10E98C39" w14:textId="77777777" w:rsidR="00F90687" w:rsidRPr="00D01345" w:rsidRDefault="00F90687" w:rsidP="00F90687">
      <w:pPr>
        <w:pStyle w:val="Heading2"/>
        <w:rPr>
          <w:lang w:val="es-ES"/>
        </w:rPr>
      </w:pPr>
      <w:r>
        <w:rPr>
          <w:bCs/>
          <w:lang w:val="es-ES"/>
        </w:rPr>
        <w:t>4.4</w:t>
      </w:r>
      <w:r>
        <w:rPr>
          <w:lang w:val="es-ES"/>
        </w:rPr>
        <w:tab/>
      </w:r>
      <w:r>
        <w:rPr>
          <w:bCs/>
          <w:lang w:val="es-ES"/>
        </w:rPr>
        <w:t>Comisión de Estudio 4</w:t>
      </w:r>
    </w:p>
    <w:bookmarkEnd w:id="7"/>
    <w:p w14:paraId="6AB518D5" w14:textId="77777777" w:rsidR="00F90687" w:rsidRPr="00D01345" w:rsidRDefault="00F90687" w:rsidP="00F90687">
      <w:pPr>
        <w:rPr>
          <w:lang w:val="es-ES"/>
        </w:rPr>
      </w:pPr>
      <w:r>
        <w:rPr>
          <w:lang w:val="es-ES"/>
        </w:rPr>
        <w:t>La Comisión de Estudio 4 sigue estudiando las características de los sistemas y redes fijos, móviles, de radiodifusión y de radiodeterminación por satélite, incluida la utilización conexa de enlaces en el servicio entre satélites, según el caso, las interfaces radioeléctricas, los objetivos de calidad de funcionamiento y disponibilidad, así como la compartición de los recursos órbita/espectro entre los sistemas de satélites OSG y no OSG, permitiendo el desarrollo sostenible del ecosistema espacial.</w:t>
      </w:r>
    </w:p>
    <w:p w14:paraId="40869113" w14:textId="77777777" w:rsidR="00F90687" w:rsidRPr="00D01345" w:rsidRDefault="00F90687" w:rsidP="00F90687">
      <w:pPr>
        <w:rPr>
          <w:lang w:val="es-ES"/>
        </w:rPr>
      </w:pPr>
      <w:r>
        <w:rPr>
          <w:lang w:val="es-ES"/>
        </w:rPr>
        <w:t>Los Grupos de Trabajo 4A, 4B y 4C se reunieron dos veces en 2025. La primera reunión se celebró del 23 de abril al 16 de mayo de 2025 en Shanghái, por amable invitación del Ministerio de Industria y Tecnología de la Información de la República Popular China y del Gobierno Popular Municipal de Shanghái. La segunda reunión de los GT 4A, 4B y 4C tuvo lugar del 15 de octubre al 6 de noviembre de 2025 y la CE 4 se reunió el 7 de noviembre de 2025 en la Sede de la UIT en Ginebra. Cabe señalar que en las reuniones se recibió un gran número de contribuciones y se publicaron numerosos productos, en particular para los GT 4A y 4C, que se identifican como los grupos responsables de varios puntos del orden del día de la CMR-27. Este aumento continuo del número de contribuciones refleja un interés creciente en los asuntos relacionados con la utilización eficaz de la órbita y el espectro para el servicio fijo por satélite (SFS), el servicio de radiodifusión por satélite (SRS) y el servicio móvil por satélite (SMS). Sin embargo, también supone un reto importante para los equipos directivos de los GT gestionar eficazmente el limitado tiempo de que disponen los GT para realizar su trabajo (presentación y debate de estas contribuciones, seguido de la redacción de los documentos de resultados, su examen y aprobación). También es muy difícil para las administraciones entablar discusiones, oficiales e informales, que son fundamentales para lograr la convergencia y encontrar soluciones de compromiso.</w:t>
      </w:r>
    </w:p>
    <w:p w14:paraId="05785CC0" w14:textId="77777777" w:rsidR="00F90687" w:rsidRPr="00D01345" w:rsidRDefault="00F90687" w:rsidP="00F90687">
      <w:pPr>
        <w:rPr>
          <w:lang w:val="es-ES"/>
        </w:rPr>
      </w:pPr>
      <w:r>
        <w:rPr>
          <w:lang w:val="es-ES"/>
        </w:rPr>
        <w:t>Los trabajos en respuesta a la Resolución UIT-R 74 «</w:t>
      </w:r>
      <w:r w:rsidRPr="00C414E3">
        <w:rPr>
          <w:i/>
          <w:iCs/>
          <w:lang w:val="es-ES"/>
        </w:rPr>
        <w:t>Actividades relaciona</w:t>
      </w:r>
      <w:r w:rsidRPr="00735893">
        <w:rPr>
          <w:i/>
          <w:iCs/>
          <w:lang w:val="es-ES"/>
        </w:rPr>
        <w:t>das con la utilización sostenible del espectro de frecuencias radioeléctricas y los recursos de órbita de satélite conexos utilizados por los servicios espaciales</w:t>
      </w:r>
      <w:r>
        <w:rPr>
          <w:lang w:val="es-ES"/>
        </w:rPr>
        <w:t xml:space="preserve">» continúan en el Grupo de Trabajo 4A con un buen avance en la elaboración del Manual de prácticas óptimas.  </w:t>
      </w:r>
    </w:p>
    <w:p w14:paraId="758AD2DE" w14:textId="77777777" w:rsidR="00F90687" w:rsidRPr="00D01345" w:rsidRDefault="00F90687" w:rsidP="00F90687">
      <w:pPr>
        <w:rPr>
          <w:rFonts w:asciiTheme="majorBidi" w:hAnsiTheme="majorBidi" w:cstheme="majorBidi"/>
          <w:lang w:val="es-ES"/>
        </w:rPr>
      </w:pPr>
      <w:r>
        <w:rPr>
          <w:lang w:val="es-ES"/>
        </w:rPr>
        <w:t>El Grupo de Trabajo 4B finalizó la Recomendación sobre especificaciones de las componentes de satélite de las IMT-2020 que adoptó la CE 4 en su reunión de noviembre de 2025. Se trata de un hito importante en el avance de la integración de las componentes terrenal y de satélite en el ecosistema de las IMT-2020.</w:t>
      </w:r>
    </w:p>
    <w:p w14:paraId="69C8736D" w14:textId="77777777" w:rsidR="00F90687" w:rsidRPr="00D01345" w:rsidRDefault="00F90687" w:rsidP="00F90687">
      <w:pPr>
        <w:rPr>
          <w:lang w:val="es-ES"/>
        </w:rPr>
      </w:pPr>
      <w:r>
        <w:rPr>
          <w:lang w:val="es-ES"/>
        </w:rPr>
        <w:t>En el cuadro anterior figura la lista de productos elaborados por la CE 4 del UIT-R. Además, se acordó suprimir la Recomendación UIT-R M.632 «</w:t>
      </w:r>
      <w:r w:rsidRPr="00EF115B">
        <w:rPr>
          <w:i/>
          <w:iCs/>
          <w:lang w:val="es-ES"/>
        </w:rPr>
        <w:t xml:space="preserve">Características de transmisión de un sistema de </w:t>
      </w:r>
      <w:r w:rsidRPr="00EF115B">
        <w:rPr>
          <w:i/>
          <w:iCs/>
          <w:lang w:val="es-ES"/>
        </w:rPr>
        <w:lastRenderedPageBreak/>
        <w:t>radiobalizas de localización de siniestros por satélite (RLS por satélite) que funciona con satélites geoestacionarios en la banda de 1,6 GHz</w:t>
      </w:r>
      <w:r>
        <w:rPr>
          <w:lang w:val="es-ES"/>
        </w:rPr>
        <w:t>».</w:t>
      </w:r>
    </w:p>
    <w:p w14:paraId="4A010246" w14:textId="77777777" w:rsidR="00F90687" w:rsidRPr="00D01345" w:rsidRDefault="00F90687" w:rsidP="00F90687">
      <w:pPr>
        <w:rPr>
          <w:lang w:val="es-ES"/>
        </w:rPr>
      </w:pPr>
      <w:r>
        <w:rPr>
          <w:lang w:val="es-ES"/>
        </w:rPr>
        <w:t>Las próximas reuniones de los GT 4A, 4B y 4C están previstas del 22 de abril al 14 de mayo de 2026. La CE 4 se reunirá el 15 de mayo de 2026.</w:t>
      </w:r>
    </w:p>
    <w:p w14:paraId="23C123EE" w14:textId="77777777" w:rsidR="00F90687" w:rsidRPr="00D01345" w:rsidRDefault="00F90687" w:rsidP="00F90687">
      <w:pPr>
        <w:pStyle w:val="Heading2"/>
        <w:rPr>
          <w:lang w:val="es-ES"/>
        </w:rPr>
      </w:pPr>
      <w:r>
        <w:rPr>
          <w:bCs/>
          <w:lang w:val="es-ES"/>
        </w:rPr>
        <w:t>4.5</w:t>
      </w:r>
      <w:r>
        <w:rPr>
          <w:lang w:val="es-ES"/>
        </w:rPr>
        <w:tab/>
      </w:r>
      <w:r>
        <w:rPr>
          <w:bCs/>
          <w:lang w:val="es-ES"/>
        </w:rPr>
        <w:t>Comisión de Estudio 5</w:t>
      </w:r>
    </w:p>
    <w:p w14:paraId="438C1589" w14:textId="77777777" w:rsidR="00F90687" w:rsidRPr="00D01345" w:rsidRDefault="00F90687" w:rsidP="00F90687">
      <w:pPr>
        <w:rPr>
          <w:lang w:val="es-ES"/>
        </w:rPr>
      </w:pPr>
      <w:r>
        <w:rPr>
          <w:lang w:val="es-ES"/>
        </w:rPr>
        <w:t>La Comisión de Estudio 5 prosiguió sus estudios sobre sistemas y redes para los servicios fijo, móvil (terrenal, marítimo y aeronáutico), de radiodeterminación (incluidos radiolocalización y radionavegación), de aficionados y de aficionados por satélite, abriendo camino al desarrollo continuo de todos estos servicios, incluidas las IMT, HAPS/HIBS, STI y PPDR.</w:t>
      </w:r>
    </w:p>
    <w:p w14:paraId="70230BD2" w14:textId="77777777" w:rsidR="00F90687" w:rsidRPr="00D01345" w:rsidRDefault="00F90687" w:rsidP="00F90687">
      <w:pPr>
        <w:rPr>
          <w:lang w:val="es-ES"/>
        </w:rPr>
      </w:pPr>
      <w:r>
        <w:rPr>
          <w:lang w:val="es-ES"/>
        </w:rPr>
        <w:t>Los GT 5A, 5B y 5C se reunieron dos veces en Ginebra, en mayo y noviembre de 2025, mientras que el GT 5D se reunió en tres ocasiones, en febrero y octubre de 2025 en Ginebra, y en junio de 2025 en Kobe, por amable invitación de la Administración de Japón.</w:t>
      </w:r>
    </w:p>
    <w:p w14:paraId="0B897C71" w14:textId="77777777" w:rsidR="00F90687" w:rsidRPr="00D01345" w:rsidRDefault="00F90687" w:rsidP="00F90687">
      <w:pPr>
        <w:rPr>
          <w:lang w:val="es-ES"/>
        </w:rPr>
      </w:pPr>
      <w:r>
        <w:rPr>
          <w:lang w:val="es-ES"/>
        </w:rPr>
        <w:t>El GT 5A elaboró una revisión del «</w:t>
      </w:r>
      <w:r w:rsidRPr="00BD59D4">
        <w:rPr>
          <w:i/>
          <w:iCs/>
          <w:lang w:val="es-ES"/>
        </w:rPr>
        <w:t>Manual de servicios de aficionados y aficionados por satélite</w:t>
      </w:r>
      <w:r>
        <w:rPr>
          <w:lang w:val="es-ES"/>
        </w:rPr>
        <w:t xml:space="preserve">», aprobado por la CE 5 en diciembre de 2025, que sustituirá a la versión anterior, publicada en 2014 (véase </w:t>
      </w:r>
      <w:hyperlink r:id="rId97" w:history="1">
        <w:r w:rsidRPr="00556C5D">
          <w:rPr>
            <w:rStyle w:val="Hyperlink"/>
            <w:lang w:val="es-ES"/>
          </w:rPr>
          <w:t>aquí</w:t>
        </w:r>
      </w:hyperlink>
      <w:r>
        <w:rPr>
          <w:lang w:val="es-ES"/>
        </w:rPr>
        <w:t>).</w:t>
      </w:r>
      <w:hyperlink r:id="rId98" w:history="1"/>
    </w:p>
    <w:p w14:paraId="3477A5FC" w14:textId="77777777" w:rsidR="00F90687" w:rsidRPr="00D01345" w:rsidRDefault="00F90687" w:rsidP="00F90687">
      <w:pPr>
        <w:rPr>
          <w:lang w:val="es-ES"/>
        </w:rPr>
      </w:pPr>
      <w:r>
        <w:rPr>
          <w:lang w:val="es-ES"/>
        </w:rPr>
        <w:t xml:space="preserve">El GT 5B elaboró un proyecto de nueva Recomendación, cinco proyectos de Recomendación revisada y un proyecto de nuevo Informe. Estos productos fueron acordados/adoptados por la Comisión de Estudio 5 en su vigésima tercera reunión (Ginebra, 1-2 de diciembre de 2025) y se han comunicado a los Miembros, según corresponde, en </w:t>
      </w:r>
      <w:hyperlink r:id="rId99" w:history="1">
        <w:r w:rsidRPr="00293BC6">
          <w:rPr>
            <w:rStyle w:val="Hyperlink"/>
            <w:lang w:val="es-ES"/>
          </w:rPr>
          <w:t>CACE/1165</w:t>
        </w:r>
      </w:hyperlink>
      <w:r>
        <w:rPr>
          <w:lang w:val="es-ES"/>
        </w:rPr>
        <w:t xml:space="preserve"> y </w:t>
      </w:r>
      <w:hyperlink r:id="rId100" w:history="1">
        <w:r w:rsidRPr="006568E2">
          <w:rPr>
            <w:rStyle w:val="Hyperlink"/>
            <w:lang w:val="es-ES"/>
          </w:rPr>
          <w:t>CACE/1168</w:t>
        </w:r>
      </w:hyperlink>
      <w:r>
        <w:rPr>
          <w:lang w:val="es-ES"/>
        </w:rPr>
        <w:t>.</w:t>
      </w:r>
      <w:hyperlink r:id="rId101" w:history="1"/>
      <w:hyperlink r:id="rId102" w:history="1"/>
    </w:p>
    <w:p w14:paraId="6D279175" w14:textId="77777777" w:rsidR="00F90687" w:rsidRPr="00D01345" w:rsidRDefault="00F90687" w:rsidP="00F90687">
      <w:pPr>
        <w:rPr>
          <w:lang w:val="es-ES"/>
        </w:rPr>
      </w:pPr>
      <w:r>
        <w:rPr>
          <w:lang w:val="es-ES"/>
        </w:rPr>
        <w:t>En el marco de las actividades del GT 5C, el 21 de noviembre de 2025 se organizó un taller sobre «</w:t>
      </w:r>
      <w:hyperlink r:id="rId103" w:history="1">
        <w:r w:rsidRPr="0098514C">
          <w:rPr>
            <w:rStyle w:val="Hyperlink"/>
            <w:lang w:val="es-ES"/>
          </w:rPr>
          <w:t>Sistemas inalámbricos fijos: tecnología, reglamentación, aplicación y desarrollo futuro</w:t>
        </w:r>
      </w:hyperlink>
      <w:r>
        <w:rPr>
          <w:lang w:val="es-ES"/>
        </w:rPr>
        <w:t>». El objetivo del taller era proporcionar una plataforma para intercambiar y debatir información, ofrecer una visión general de la tecnología y ayudar a comprender la reglamentación en curso en todo el mundo, la implementación, las actividades e iniciativas relacionadas con los sistemas inalámbricos fijos (FWS), así como su futuro desarrollo.</w:t>
      </w:r>
      <w:hyperlink r:id="rId104" w:history="1"/>
    </w:p>
    <w:p w14:paraId="22041856" w14:textId="77777777" w:rsidR="00F90687" w:rsidRPr="00D01345" w:rsidRDefault="00F90687" w:rsidP="00F90687">
      <w:pPr>
        <w:rPr>
          <w:lang w:val="es-ES"/>
        </w:rPr>
      </w:pPr>
      <w:r>
        <w:rPr>
          <w:lang w:val="es-ES"/>
        </w:rPr>
        <w:t>En el marco del desarrollo de las IMT-2030, el GT 5D aprobó el 12 de febrero de 2026 el Informe sobre objetivos intermedios que contiene los «</w:t>
      </w:r>
      <w:r w:rsidRPr="008F1F84">
        <w:rPr>
          <w:i/>
          <w:iCs/>
          <w:lang w:val="es-ES"/>
        </w:rPr>
        <w:t>Requisitos mínimos de calidad de funcionamiento técnico de las interfaces radioeléctricas de las IMT-2030</w:t>
      </w:r>
      <w:r>
        <w:rPr>
          <w:lang w:val="es-ES"/>
        </w:rPr>
        <w:t xml:space="preserve">», que se ha presentado a la CE 5 (véase el Doc. </w:t>
      </w:r>
      <w:hyperlink r:id="rId105" w:history="1">
        <w:r w:rsidRPr="00334528">
          <w:rPr>
            <w:rStyle w:val="Hyperlink"/>
            <w:lang w:val="es-ES"/>
          </w:rPr>
          <w:t>5/116</w:t>
        </w:r>
      </w:hyperlink>
      <w:r>
        <w:rPr>
          <w:lang w:val="es-ES"/>
        </w:rPr>
        <w:t>) para su examen en noviembre/diciembre de 2026.</w:t>
      </w:r>
      <w:hyperlink r:id="rId106" w:history="1"/>
    </w:p>
    <w:p w14:paraId="12266533" w14:textId="77777777" w:rsidR="00F90687" w:rsidRPr="00D01345" w:rsidRDefault="00F90687" w:rsidP="00F90687">
      <w:pPr>
        <w:rPr>
          <w:lang w:val="es-ES"/>
        </w:rPr>
      </w:pPr>
      <w:r>
        <w:rPr>
          <w:lang w:val="es-ES"/>
        </w:rPr>
        <w:t xml:space="preserve">En algunas reuniones se sugirió reorganizar el orden de los preámbulos en las Recomendaciones UIT-R. Actualmente, el orden de las secciones del preámbulo figura en el </w:t>
      </w:r>
      <w:hyperlink r:id="rId107" w:history="1">
        <w:r w:rsidRPr="00B4577B">
          <w:rPr>
            <w:rStyle w:val="Hyperlink"/>
            <w:lang w:val="es-ES"/>
          </w:rPr>
          <w:t>formato común obligatorio</w:t>
        </w:r>
      </w:hyperlink>
      <w:r>
        <w:rPr>
          <w:lang w:val="es-ES"/>
        </w:rPr>
        <w:t xml:space="preserve"> de las Recomendaciones UIT-R.</w:t>
      </w:r>
      <w:hyperlink r:id="rId108" w:history="1"/>
    </w:p>
    <w:p w14:paraId="660513B7" w14:textId="77777777" w:rsidR="00F90687" w:rsidRPr="00D01345" w:rsidRDefault="00F90687" w:rsidP="00F90687">
      <w:pPr>
        <w:rPr>
          <w:lang w:val="es-ES"/>
        </w:rPr>
      </w:pPr>
      <w:r>
        <w:rPr>
          <w:lang w:val="es-ES"/>
        </w:rPr>
        <w:t>La próxima reunión del GT 5D está prevista del 3 al 12 de febrero de 2026. Los GT 5A, 5B y 5C se reunirán del 18 al 26 de mayo de 2026. La CE 5 se reunirá los días 30 de noviembre y 1 de diciembre de 2026.</w:t>
      </w:r>
    </w:p>
    <w:p w14:paraId="6BD24A8A" w14:textId="77777777" w:rsidR="00F90687" w:rsidRPr="00D01345" w:rsidRDefault="00F90687" w:rsidP="00F90687">
      <w:pPr>
        <w:pStyle w:val="Heading2"/>
        <w:rPr>
          <w:lang w:val="es-ES"/>
        </w:rPr>
      </w:pPr>
      <w:r>
        <w:rPr>
          <w:bCs/>
          <w:lang w:val="es-ES"/>
        </w:rPr>
        <w:t>4.6</w:t>
      </w:r>
      <w:r>
        <w:rPr>
          <w:lang w:val="es-ES"/>
        </w:rPr>
        <w:tab/>
      </w:r>
      <w:r>
        <w:rPr>
          <w:bCs/>
          <w:lang w:val="es-ES"/>
        </w:rPr>
        <w:t>Comisión de Estudio 6</w:t>
      </w:r>
    </w:p>
    <w:p w14:paraId="7D828205" w14:textId="77777777" w:rsidR="00F90687" w:rsidRPr="00D01345" w:rsidRDefault="00F90687" w:rsidP="00F90687">
      <w:pPr>
        <w:rPr>
          <w:lang w:val="es-ES"/>
        </w:rPr>
      </w:pPr>
      <w:r>
        <w:rPr>
          <w:lang w:val="es-ES"/>
        </w:rPr>
        <w:t>La Comisión de Estudio 6 prosigue sus estudios sobre la radiodifusión de radiocomunicaciones, en particular sobre temas incipientes, como las tecnologías avanzadas para la radiodifusión digital terrenal, una plataforma mundial para el servicio de radiodifusión, la televisión de elevada gama dinámica (HDR-TV), la radiodifusión y la banda ancha integradas (IBB), los nuevos códecs de audio y vídeo para la radiodifusión digital, los sistemas audiovisuales inmersivos avanzados (AIAV), las especificaciones de reproductores para sistemas de sonido avanzados y la aplicación de inteligencia artificial para la radiodifusión, accesibilidad audiovisual (AVA).</w:t>
      </w:r>
    </w:p>
    <w:p w14:paraId="12C2FD9E" w14:textId="77777777" w:rsidR="00F90687" w:rsidRPr="00D01345" w:rsidRDefault="00F90687" w:rsidP="00F90687">
      <w:pPr>
        <w:rPr>
          <w:rFonts w:asciiTheme="majorBidi" w:hAnsiTheme="majorBidi" w:cstheme="majorBidi"/>
          <w:lang w:val="es-ES"/>
        </w:rPr>
      </w:pPr>
      <w:r>
        <w:rPr>
          <w:lang w:val="es-ES"/>
        </w:rPr>
        <w:lastRenderedPageBreak/>
        <w:t>La Comisión de Estudio 6 también ha coordinado activamente los trabajos de interés mutuo con las CE 21 y 12 del UIT-T a través del Grupo de Relator Intersectorial (GRI) sobre accesibilidad a los medios audiovisuales (GRI-AVA) y el Grupo de Relator Intersectorial sobre evaluación de la calidad audiovisual (GRI-AVQA), respectivamente.</w:t>
      </w:r>
    </w:p>
    <w:p w14:paraId="5D885D5B" w14:textId="77777777" w:rsidR="00F90687" w:rsidRPr="00D01345" w:rsidRDefault="00F90687" w:rsidP="00A32BE8">
      <w:pPr>
        <w:rPr>
          <w:lang w:val="es-ES"/>
        </w:rPr>
      </w:pPr>
      <w:r>
        <w:rPr>
          <w:lang w:val="es-ES"/>
        </w:rPr>
        <w:t>La Comisión de Estudio 6 del UIT-R es consciente de los retos que plantea el solapamiento de estudios entre el UIT-D, el UIT-R y el UIT-T y participa activamente en el Grupo de Coordinación Intersectorial.</w:t>
      </w:r>
    </w:p>
    <w:p w14:paraId="5372466C" w14:textId="77777777" w:rsidR="00F90687" w:rsidRPr="00D01345" w:rsidRDefault="00F90687" w:rsidP="00F90687">
      <w:pPr>
        <w:rPr>
          <w:rFonts w:asciiTheme="majorBidi" w:hAnsiTheme="majorBidi" w:cstheme="majorBidi"/>
          <w:lang w:val="es-ES"/>
        </w:rPr>
      </w:pPr>
      <w:r>
        <w:rPr>
          <w:lang w:val="es-ES"/>
        </w:rPr>
        <w:t>En el cuadro anterior figura la lista de productos elaborados por la CE 6 del UIT-R. Además, se actualizó la redacción de una recomendación.</w:t>
      </w:r>
    </w:p>
    <w:p w14:paraId="62047952" w14:textId="3CDAD611" w:rsidR="00F90687" w:rsidRPr="00D01345" w:rsidRDefault="00F90687" w:rsidP="00F90687">
      <w:pPr>
        <w:pStyle w:val="enumlev1"/>
        <w:ind w:left="0" w:firstLine="0"/>
        <w:rPr>
          <w:lang w:val="es-ES"/>
        </w:rPr>
      </w:pPr>
      <w:bookmarkStart w:id="9" w:name="_Toc445972797"/>
      <w:r>
        <w:rPr>
          <w:lang w:val="es-ES"/>
        </w:rPr>
        <w:t>Dado que el Sr.</w:t>
      </w:r>
      <w:r w:rsidR="00B74B80">
        <w:rPr>
          <w:lang w:val="es-ES"/>
        </w:rPr>
        <w:t> </w:t>
      </w:r>
      <w:r>
        <w:rPr>
          <w:lang w:val="es-ES"/>
        </w:rPr>
        <w:t>Thiago Soares no pudo continuar con sus funciones como Presidente de la CE 6 en mayo de 2025, el Sr.</w:t>
      </w:r>
      <w:r w:rsidR="00B74B80">
        <w:rPr>
          <w:lang w:val="es-ES"/>
        </w:rPr>
        <w:t> </w:t>
      </w:r>
      <w:r>
        <w:rPr>
          <w:lang w:val="es-ES"/>
        </w:rPr>
        <w:t>Paolo Lazzarini fue elegido nuevo Presidente en la reunión de septiembre de 2025 de la CE 6, de conformidad con el Artículo 20 del Convenio de la UIT. En consecuencia, quedó vacante un puesto de Vicepresidente. Por consiguiente, la CE 6 eligió al Sr.</w:t>
      </w:r>
      <w:r w:rsidR="00B74B80">
        <w:rPr>
          <w:lang w:val="es-ES"/>
        </w:rPr>
        <w:t> </w:t>
      </w:r>
      <w:r>
        <w:rPr>
          <w:lang w:val="es-ES"/>
        </w:rPr>
        <w:t>Paulo Eduardo dos Reis Cardoso (Brasil) como nuevo Vicepresidente.</w:t>
      </w:r>
    </w:p>
    <w:p w14:paraId="60AF21B1" w14:textId="77777777" w:rsidR="00F90687" w:rsidRPr="00D01345" w:rsidRDefault="00F90687" w:rsidP="00F90687">
      <w:pPr>
        <w:pStyle w:val="enumlev1"/>
        <w:ind w:left="0" w:firstLine="0"/>
        <w:rPr>
          <w:lang w:val="es-ES"/>
        </w:rPr>
      </w:pPr>
      <w:r>
        <w:rPr>
          <w:lang w:val="es-ES"/>
        </w:rPr>
        <w:t>Las reuniones de los GT 6A, 6B y 6C están previstas del 16 al 26 de marzo de 2026, seguidas de la reunión de la CE 6 el 27 de marzo de 2026.</w:t>
      </w:r>
    </w:p>
    <w:p w14:paraId="39AC7A83" w14:textId="77777777" w:rsidR="00F90687" w:rsidRPr="00D01345" w:rsidRDefault="00F90687" w:rsidP="00F90687">
      <w:pPr>
        <w:pStyle w:val="Heading2"/>
        <w:rPr>
          <w:lang w:val="es-ES"/>
        </w:rPr>
      </w:pPr>
      <w:r>
        <w:rPr>
          <w:bCs/>
          <w:lang w:val="es-ES"/>
        </w:rPr>
        <w:t>4.7</w:t>
      </w:r>
      <w:r>
        <w:rPr>
          <w:lang w:val="es-ES"/>
        </w:rPr>
        <w:tab/>
      </w:r>
      <w:r>
        <w:rPr>
          <w:bCs/>
          <w:lang w:val="es-ES"/>
        </w:rPr>
        <w:t>Comisión de Estudio 7</w:t>
      </w:r>
      <w:bookmarkEnd w:id="9"/>
    </w:p>
    <w:p w14:paraId="28E4CD0E" w14:textId="77777777" w:rsidR="00F90687" w:rsidRPr="00D01345" w:rsidRDefault="00F90687" w:rsidP="00F90687">
      <w:pPr>
        <w:rPr>
          <w:lang w:val="es-ES"/>
        </w:rPr>
      </w:pPr>
      <w:r>
        <w:rPr>
          <w:lang w:val="es-ES"/>
        </w:rPr>
        <w:t>La Comisión de Estudio 7 sigue elaborando Recomendaciones, Informes y Manuales del UIT-R utilizados para desarrollar y garantizar que no se cause interferencia al funcionamiento de los sistemas para operaciones espaciales, investigación espacial, exploración de la Tierra y meteorología (incluida la utilización conexa de enlaces en el servicio entre satélites), la radioastronomía y la astronomía por radar; y para la difusión, recepción y coordinación de servicios de frecuencias patrón y señales horarias (incluida la aplicación de técnicas de satélite) a escala mundial. También estudia los sistemas de radiocomunicaciones para uso con vehículos espaciales tripulados y no tripulados, los enlaces de comunicación entre cuerpos planetarios y el uso de satélites de retransmisión de datos.</w:t>
      </w:r>
    </w:p>
    <w:p w14:paraId="6C9B6747" w14:textId="77777777" w:rsidR="00F90687" w:rsidRPr="00D01345" w:rsidRDefault="00F90687" w:rsidP="00F90687">
      <w:pPr>
        <w:rPr>
          <w:lang w:val="es-ES"/>
        </w:rPr>
      </w:pPr>
      <w:r>
        <w:rPr>
          <w:lang w:val="es-ES"/>
        </w:rPr>
        <w:t>Los sistemas abordados por la CE 7 se utilizan en actividades que constituyen una parte crítica de nuestra vida cotidiana, tales como:</w:t>
      </w:r>
    </w:p>
    <w:p w14:paraId="20D5FCCA" w14:textId="77777777" w:rsidR="00F90687" w:rsidRPr="00D01345" w:rsidRDefault="00F90687" w:rsidP="00F90687">
      <w:pPr>
        <w:pStyle w:val="enumlev1"/>
        <w:rPr>
          <w:lang w:val="es-ES"/>
        </w:rPr>
      </w:pPr>
      <w:r>
        <w:rPr>
          <w:lang w:val="es-ES"/>
        </w:rPr>
        <w:t>–</w:t>
      </w:r>
      <w:r>
        <w:rPr>
          <w:lang w:val="es-ES"/>
        </w:rPr>
        <w:tab/>
        <w:t>definición y difusión del tiempo universal coordinado;</w:t>
      </w:r>
    </w:p>
    <w:p w14:paraId="4C4F9DBC" w14:textId="77777777" w:rsidR="00F90687" w:rsidRPr="00D01345" w:rsidRDefault="00F90687" w:rsidP="00F90687">
      <w:pPr>
        <w:pStyle w:val="enumlev1"/>
        <w:rPr>
          <w:lang w:val="es-ES"/>
        </w:rPr>
      </w:pPr>
      <w:r>
        <w:rPr>
          <w:lang w:val="es-ES"/>
        </w:rPr>
        <w:t>–</w:t>
      </w:r>
      <w:r>
        <w:rPr>
          <w:lang w:val="es-ES"/>
        </w:rPr>
        <w:tab/>
        <w:t>vigilancia del medio ambiente mundial – atmósfera (incluidas las emisiones de gases de efecto invernadero), océanos, superficie terrestre, biomasa, etc.;</w:t>
      </w:r>
    </w:p>
    <w:p w14:paraId="256312A9" w14:textId="77777777" w:rsidR="00F90687" w:rsidRPr="00D01345" w:rsidRDefault="00F90687" w:rsidP="00F90687">
      <w:pPr>
        <w:pStyle w:val="enumlev1"/>
        <w:rPr>
          <w:lang w:val="es-ES"/>
        </w:rPr>
      </w:pPr>
      <w:r>
        <w:rPr>
          <w:lang w:val="es-ES"/>
        </w:rPr>
        <w:t>–</w:t>
      </w:r>
      <w:r>
        <w:rPr>
          <w:lang w:val="es-ES"/>
        </w:rPr>
        <w:tab/>
        <w:t>previsiones meteorológicas y supervisión y predicción del cambio climático;</w:t>
      </w:r>
    </w:p>
    <w:p w14:paraId="64CF9D4E" w14:textId="77777777" w:rsidR="00F90687" w:rsidRPr="00D01345" w:rsidRDefault="00F90687" w:rsidP="00F90687">
      <w:pPr>
        <w:pStyle w:val="enumlev1"/>
        <w:rPr>
          <w:lang w:val="es-ES"/>
        </w:rPr>
      </w:pPr>
      <w:r>
        <w:rPr>
          <w:lang w:val="es-ES"/>
        </w:rPr>
        <w:t>–</w:t>
      </w:r>
      <w:r>
        <w:rPr>
          <w:lang w:val="es-ES"/>
        </w:rPr>
        <w:tab/>
        <w:t>detección y seguimiento de numerosas catástrofes naturales y artificiales (terremotos, maremotos, huracanes, incendios forestales, derrames de crudo, etc.);</w:t>
      </w:r>
    </w:p>
    <w:p w14:paraId="0BD2B738" w14:textId="77777777" w:rsidR="00F90687" w:rsidRPr="00D01345" w:rsidRDefault="00F90687" w:rsidP="00F90687">
      <w:pPr>
        <w:pStyle w:val="enumlev1"/>
        <w:rPr>
          <w:lang w:val="es-ES"/>
        </w:rPr>
      </w:pPr>
      <w:r>
        <w:rPr>
          <w:lang w:val="es-ES"/>
        </w:rPr>
        <w:t>–</w:t>
      </w:r>
      <w:r>
        <w:rPr>
          <w:lang w:val="es-ES"/>
        </w:rPr>
        <w:tab/>
        <w:t>proporcionar información de alerta/aviso;</w:t>
      </w:r>
    </w:p>
    <w:p w14:paraId="2DCB98D1" w14:textId="77777777" w:rsidR="00F90687" w:rsidRPr="00D01345" w:rsidRDefault="00F90687" w:rsidP="00F90687">
      <w:pPr>
        <w:pStyle w:val="enumlev1"/>
        <w:rPr>
          <w:lang w:val="es-ES"/>
        </w:rPr>
      </w:pPr>
      <w:r>
        <w:rPr>
          <w:lang w:val="es-ES"/>
        </w:rPr>
        <w:t>–</w:t>
      </w:r>
      <w:r>
        <w:rPr>
          <w:lang w:val="es-ES"/>
        </w:rPr>
        <w:tab/>
        <w:t>evaluación de daños y planificación de las operaciones de socorro;</w:t>
      </w:r>
    </w:p>
    <w:p w14:paraId="76B2499D" w14:textId="77777777" w:rsidR="00F90687" w:rsidRPr="00D01345" w:rsidRDefault="00F90687" w:rsidP="00F90687">
      <w:pPr>
        <w:pStyle w:val="enumlev1"/>
        <w:rPr>
          <w:lang w:val="es-ES"/>
        </w:rPr>
      </w:pPr>
      <w:r>
        <w:rPr>
          <w:lang w:val="es-ES"/>
        </w:rPr>
        <w:t>–</w:t>
      </w:r>
      <w:r>
        <w:rPr>
          <w:lang w:val="es-ES"/>
        </w:rPr>
        <w:tab/>
        <w:t>supervisión y mitigación de los fenómenos meteorológicos espaciales.</w:t>
      </w:r>
    </w:p>
    <w:p w14:paraId="30BEF503" w14:textId="77777777" w:rsidR="00F90687" w:rsidRPr="00D01345" w:rsidRDefault="00F90687" w:rsidP="00F90687">
      <w:pPr>
        <w:rPr>
          <w:lang w:val="es-ES"/>
        </w:rPr>
      </w:pPr>
      <w:r>
        <w:rPr>
          <w:lang w:val="es-ES"/>
        </w:rPr>
        <w:t>La CE 7 también abarca los sistemas para el estudio del espacio ultraterrestre:</w:t>
      </w:r>
    </w:p>
    <w:p w14:paraId="28CA3A00" w14:textId="77777777" w:rsidR="00F90687" w:rsidRPr="00D01345" w:rsidRDefault="00F90687" w:rsidP="00F90687">
      <w:pPr>
        <w:pStyle w:val="enumlev1"/>
        <w:rPr>
          <w:lang w:val="es-ES"/>
        </w:rPr>
      </w:pPr>
      <w:r>
        <w:rPr>
          <w:lang w:val="es-ES"/>
        </w:rPr>
        <w:t>–</w:t>
      </w:r>
      <w:r>
        <w:rPr>
          <w:lang w:val="es-ES"/>
        </w:rPr>
        <w:tab/>
        <w:t>satélites para el estudio del Sol, la magnetosfera y todos los elementos de nuestro sistema solar;</w:t>
      </w:r>
    </w:p>
    <w:p w14:paraId="711FD788" w14:textId="77777777" w:rsidR="00F90687" w:rsidRPr="00D01345" w:rsidRDefault="00F90687" w:rsidP="00F90687">
      <w:pPr>
        <w:pStyle w:val="enumlev1"/>
        <w:rPr>
          <w:lang w:val="es-ES"/>
        </w:rPr>
      </w:pPr>
      <w:r>
        <w:rPr>
          <w:lang w:val="es-ES"/>
        </w:rPr>
        <w:t>–</w:t>
      </w:r>
      <w:r>
        <w:rPr>
          <w:lang w:val="es-ES"/>
        </w:rPr>
        <w:tab/>
        <w:t>vehículos espaciales para la exploración humana y robótica de cuerpos extraterrestres;</w:t>
      </w:r>
    </w:p>
    <w:p w14:paraId="6D9C6BD2" w14:textId="77777777" w:rsidR="00F90687" w:rsidRPr="00D01345" w:rsidRDefault="00F90687" w:rsidP="00F90687">
      <w:pPr>
        <w:pStyle w:val="enumlev1"/>
        <w:rPr>
          <w:lang w:val="es-ES"/>
        </w:rPr>
      </w:pPr>
      <w:r>
        <w:rPr>
          <w:lang w:val="es-ES"/>
        </w:rPr>
        <w:t>–</w:t>
      </w:r>
      <w:r>
        <w:rPr>
          <w:lang w:val="es-ES"/>
        </w:rPr>
        <w:tab/>
        <w:t>los sistemas de investigación lunar, de Lagrange, del espacio lejano e interferometría de línea de base muy larga en el espacio, incluidas sus estaciones terrenas asociadas;</w:t>
      </w:r>
    </w:p>
    <w:p w14:paraId="24E15B64" w14:textId="77777777" w:rsidR="00F90687" w:rsidRPr="00D01345" w:rsidRDefault="00F90687" w:rsidP="00F90687">
      <w:pPr>
        <w:pStyle w:val="enumlev1"/>
        <w:rPr>
          <w:lang w:val="es-ES"/>
        </w:rPr>
      </w:pPr>
      <w:r>
        <w:rPr>
          <w:lang w:val="es-ES"/>
        </w:rPr>
        <w:lastRenderedPageBreak/>
        <w:t>–</w:t>
      </w:r>
      <w:r>
        <w:rPr>
          <w:lang w:val="es-ES"/>
        </w:rPr>
        <w:tab/>
        <w:t>la radioastronomía desde tierra y desde satélites para estudiar el universo y sus fenómenos.</w:t>
      </w:r>
    </w:p>
    <w:p w14:paraId="747BC7CB" w14:textId="77777777" w:rsidR="00F90687" w:rsidRPr="00D01345" w:rsidRDefault="00F90687" w:rsidP="00F90687">
      <w:pPr>
        <w:rPr>
          <w:lang w:val="es-ES"/>
        </w:rPr>
      </w:pPr>
      <w:r>
        <w:rPr>
          <w:lang w:val="es-ES"/>
        </w:rPr>
        <w:t>El Grupo de Trabajo 7A se reunió del 17 al 21 de marzo de 2025. Los Grupos de Trabajo 7B, 7C y 7D se reunieron del 16 al 27 de marzo de 2026 y del 15 al 25 de septiembre de 2025. La Comisión de Estudio 7 se reunió el 27 de marzo de 2025. Todas las reuniones se celebraron en la Sede de la UIT en Ginebra.</w:t>
      </w:r>
    </w:p>
    <w:p w14:paraId="4BACA6FD" w14:textId="77777777" w:rsidR="00F90687" w:rsidRPr="00D01345" w:rsidRDefault="00F90687" w:rsidP="00F90687">
      <w:pPr>
        <w:rPr>
          <w:lang w:val="es-ES"/>
        </w:rPr>
      </w:pPr>
      <w:r>
        <w:rPr>
          <w:lang w:val="es-ES"/>
        </w:rPr>
        <w:t>En el marco de las actividades de la CE 7 también se celebraron los siguientes eventos:</w:t>
      </w:r>
    </w:p>
    <w:p w14:paraId="398F15A5" w14:textId="77777777" w:rsidR="00F90687" w:rsidRPr="00D01345" w:rsidRDefault="00F90687" w:rsidP="00F90687">
      <w:pPr>
        <w:pStyle w:val="enumlev1"/>
        <w:rPr>
          <w:lang w:val="es-ES"/>
        </w:rPr>
      </w:pPr>
      <w:r>
        <w:rPr>
          <w:lang w:val="es-ES"/>
        </w:rPr>
        <w:t>–</w:t>
      </w:r>
      <w:r>
        <w:rPr>
          <w:lang w:val="es-ES"/>
        </w:rPr>
        <w:tab/>
        <w:t>Seminario MCMC/UIT sobre «</w:t>
      </w:r>
      <w:hyperlink r:id="rId109" w:history="1">
        <w:r w:rsidRPr="00B6583F">
          <w:rPr>
            <w:rStyle w:val="Hyperlink"/>
            <w:lang w:val="es-ES"/>
          </w:rPr>
          <w:t>Servicios científicos en relación con el Reglamento de Radiocomunicaciones de la UIT y la CMR-27</w:t>
        </w:r>
      </w:hyperlink>
      <w:r>
        <w:rPr>
          <w:lang w:val="es-ES"/>
        </w:rPr>
        <w:t>», Centro de Excelencia MCMC, Cyberjaya, Selangor (Malasia), 9-10 de diciembre de 2025;</w:t>
      </w:r>
      <w:hyperlink r:id="rId110" w:history="1"/>
    </w:p>
    <w:p w14:paraId="413E3DB2" w14:textId="77777777" w:rsidR="00F90687" w:rsidRPr="00D01345" w:rsidRDefault="00F90687" w:rsidP="00F90687">
      <w:pPr>
        <w:pStyle w:val="enumlev1"/>
        <w:rPr>
          <w:lang w:val="es-ES"/>
        </w:rPr>
      </w:pPr>
      <w:r>
        <w:rPr>
          <w:lang w:val="es-ES"/>
        </w:rPr>
        <w:t>–</w:t>
      </w:r>
      <w:r>
        <w:rPr>
          <w:lang w:val="es-ES"/>
        </w:rPr>
        <w:tab/>
        <w:t>Seminario OMM-UIT «</w:t>
      </w:r>
      <w:hyperlink r:id="rId111" w:history="1">
        <w:r w:rsidRPr="007E6335">
          <w:rPr>
            <w:rStyle w:val="Hyperlink"/>
            <w:lang w:val="es-ES"/>
          </w:rPr>
          <w:t>Taller de formación sobre utilización y gestión del espectro radioeléctrico para la meteorología</w:t>
        </w:r>
      </w:hyperlink>
      <w:r>
        <w:rPr>
          <w:lang w:val="es-ES"/>
        </w:rPr>
        <w:t>», Singapur (República de Singapur), 3-4 de marzo de 2025.</w:t>
      </w:r>
      <w:hyperlink r:id="rId112" w:history="1"/>
    </w:p>
    <w:p w14:paraId="0BD1BEF1" w14:textId="77777777" w:rsidR="00F90687" w:rsidRPr="00D01345" w:rsidRDefault="00F90687" w:rsidP="00F90687">
      <w:pPr>
        <w:rPr>
          <w:lang w:val="es-ES"/>
        </w:rPr>
      </w:pPr>
      <w:r>
        <w:rPr>
          <w:lang w:val="es-ES"/>
        </w:rPr>
        <w:t>La próxima reunión de la Comisión de Estudio 7 está prevista para el 13 de marzo de 2026, mientras que los GT 7A, 7B, 7C y 7D se reunirán del 2 al 12 de marzo de 2026.</w:t>
      </w:r>
    </w:p>
    <w:p w14:paraId="0896DEE6" w14:textId="77777777" w:rsidR="00F90687" w:rsidRPr="00D01345" w:rsidRDefault="00F90687" w:rsidP="00F90687">
      <w:pPr>
        <w:pStyle w:val="Heading2"/>
        <w:rPr>
          <w:lang w:val="es-ES"/>
        </w:rPr>
      </w:pPr>
      <w:r>
        <w:rPr>
          <w:bCs/>
          <w:lang w:val="es-ES"/>
        </w:rPr>
        <w:t>4.8</w:t>
      </w:r>
      <w:r>
        <w:rPr>
          <w:lang w:val="es-ES"/>
        </w:rPr>
        <w:tab/>
      </w:r>
      <w:r>
        <w:rPr>
          <w:bCs/>
          <w:lang w:val="es-ES"/>
        </w:rPr>
        <w:t>Comité de Coordinación de Vocabulario</w:t>
      </w:r>
    </w:p>
    <w:p w14:paraId="1EF1CBA3" w14:textId="77777777" w:rsidR="00F90687" w:rsidRPr="00D01345" w:rsidRDefault="00F90687" w:rsidP="00F90687">
      <w:pPr>
        <w:rPr>
          <w:lang w:val="es-ES"/>
        </w:rPr>
      </w:pPr>
      <w:r>
        <w:rPr>
          <w:lang w:val="es-ES"/>
        </w:rPr>
        <w:t>El Comité de Coordinación de la Terminología (CCT) de la UIT está integrado por:</w:t>
      </w:r>
    </w:p>
    <w:p w14:paraId="3D1DFAE4" w14:textId="77777777" w:rsidR="00F90687" w:rsidRPr="00D01345" w:rsidRDefault="00F90687" w:rsidP="00F90687">
      <w:pPr>
        <w:pStyle w:val="enumlev1"/>
        <w:rPr>
          <w:lang w:val="es-ES"/>
        </w:rPr>
      </w:pPr>
      <w:r>
        <w:rPr>
          <w:lang w:val="es-ES"/>
        </w:rPr>
        <w:t>−</w:t>
      </w:r>
      <w:r>
        <w:rPr>
          <w:lang w:val="es-ES"/>
        </w:rPr>
        <w:tab/>
        <w:t>el Comité de Coordinación de Vocabulario (CCV) del UIT-R, que funciona de conformidad con la Resolución UIT-R 36;</w:t>
      </w:r>
    </w:p>
    <w:p w14:paraId="422ECC07" w14:textId="77777777" w:rsidR="00F90687" w:rsidRPr="00D01345" w:rsidRDefault="00F90687" w:rsidP="00F90687">
      <w:pPr>
        <w:pStyle w:val="enumlev1"/>
        <w:rPr>
          <w:lang w:val="es-ES"/>
        </w:rPr>
      </w:pPr>
      <w:r>
        <w:rPr>
          <w:lang w:val="es-ES"/>
        </w:rPr>
        <w:t>−</w:t>
      </w:r>
      <w:r>
        <w:rPr>
          <w:lang w:val="es-ES"/>
        </w:rPr>
        <w:tab/>
        <w:t xml:space="preserve">el Comité para la Normalización de Vocabulario (CNV) del UIT-T, que funciona de conformidad con la Resolución 67 (Rev. Nueva Delhi, 2024) de la AMNT; y </w:t>
      </w:r>
    </w:p>
    <w:p w14:paraId="18560229" w14:textId="77777777" w:rsidR="00F90687" w:rsidRPr="00D01345" w:rsidRDefault="00F90687" w:rsidP="00F90687">
      <w:pPr>
        <w:pStyle w:val="enumlev1"/>
        <w:rPr>
          <w:lang w:val="es-ES"/>
        </w:rPr>
      </w:pPr>
      <w:r>
        <w:rPr>
          <w:lang w:val="es-ES"/>
        </w:rPr>
        <w:t>−</w:t>
      </w:r>
      <w:r>
        <w:rPr>
          <w:lang w:val="es-ES"/>
        </w:rPr>
        <w:tab/>
        <w:t>representantes del UIT-D.</w:t>
      </w:r>
    </w:p>
    <w:p w14:paraId="369D9BAA" w14:textId="77777777" w:rsidR="00F90687" w:rsidRPr="00D01345" w:rsidRDefault="00F90687" w:rsidP="00F90687">
      <w:pPr>
        <w:rPr>
          <w:color w:val="222A35"/>
          <w:lang w:val="es-ES"/>
        </w:rPr>
      </w:pPr>
      <w:r>
        <w:rPr>
          <w:lang w:val="es-ES"/>
        </w:rPr>
        <w:t>En junio de 2025, el Consejo de la UIT aprobó una versión actualizada de la Resolución 1386 del Consejo sobre el Comité de Coordinación de la Terminología de la UIT, a fin de incluir las responsabilidades de los relatores para el vocabulario.</w:t>
      </w:r>
    </w:p>
    <w:p w14:paraId="57698825" w14:textId="77777777" w:rsidR="00F90687" w:rsidRPr="00D01345" w:rsidRDefault="00F90687" w:rsidP="00F90687">
      <w:pPr>
        <w:rPr>
          <w:lang w:val="es-ES"/>
        </w:rPr>
      </w:pPr>
      <w:r>
        <w:rPr>
          <w:lang w:val="es-ES"/>
        </w:rPr>
        <w:t xml:space="preserve">El CCT UIT prosigue su labor de armonización de la terminología y las definiciones en la UIT, sobre la base de las propuestas presentadas por las Comisiones de Estudio de la UIT en inglés, y valida su traducción a los otros cinco idiomas oficiales de la Unión. Los trabajos del CCT han sido dirigidos por los Presidentes del CCV y del CNV, con el apoyo activo de los Vicepresidentes, los Relatores para el vocabulario y otros representantes de los tres Sectores de la UIT. </w:t>
      </w:r>
    </w:p>
    <w:p w14:paraId="0698E6E9" w14:textId="2A5A8808" w:rsidR="00F90687" w:rsidRPr="00D01345" w:rsidRDefault="00F90687" w:rsidP="00F90687">
      <w:pPr>
        <w:rPr>
          <w:lang w:val="es-ES"/>
        </w:rPr>
      </w:pPr>
      <w:r>
        <w:rPr>
          <w:lang w:val="es-ES"/>
        </w:rPr>
        <w:t xml:space="preserve">Se actualizó la </w:t>
      </w:r>
      <w:hyperlink r:id="rId113" w:anchor="/es" w:history="1">
        <w:r w:rsidRPr="00A83370">
          <w:rPr>
            <w:rStyle w:val="Hyperlink"/>
            <w:lang w:val="es-ES"/>
          </w:rPr>
          <w:t>página web del CCT UIT</w:t>
        </w:r>
      </w:hyperlink>
      <w:r>
        <w:rPr>
          <w:lang w:val="es-ES"/>
        </w:rPr>
        <w:t xml:space="preserve"> y se armonizó plenamente con los sitios web de las CE/GT de la UIT, así como con la manera de descargar documentos.</w:t>
      </w:r>
      <w:hyperlink r:id="rId114" w:history="1"/>
    </w:p>
    <w:p w14:paraId="32DF289A" w14:textId="77777777" w:rsidR="00F90687" w:rsidRPr="00D01345" w:rsidRDefault="00F90687" w:rsidP="00F90687">
      <w:pPr>
        <w:rPr>
          <w:lang w:val="es-ES"/>
        </w:rPr>
      </w:pPr>
      <w:r>
        <w:rPr>
          <w:lang w:val="es-ES"/>
        </w:rPr>
        <w:t>La próxima reunión del CCT está prevista para el 23 de abril de 2026.</w:t>
      </w:r>
    </w:p>
    <w:p w14:paraId="36255903" w14:textId="77777777" w:rsidR="00F90687" w:rsidRPr="00D01345" w:rsidRDefault="00F90687" w:rsidP="00F90687">
      <w:pPr>
        <w:pStyle w:val="Heading3"/>
        <w:rPr>
          <w:lang w:val="es-ES"/>
        </w:rPr>
      </w:pPr>
      <w:r>
        <w:rPr>
          <w:bCs/>
          <w:lang w:val="es-ES"/>
        </w:rPr>
        <w:t>4.8.1</w:t>
      </w:r>
      <w:r>
        <w:rPr>
          <w:lang w:val="es-ES"/>
        </w:rPr>
        <w:tab/>
      </w:r>
      <w:r>
        <w:rPr>
          <w:bCs/>
          <w:lang w:val="es-ES"/>
        </w:rPr>
        <w:t>Informe sobre los avances en la aplicación de las Resoluciones UIT-R de interés específico para el CCV</w:t>
      </w:r>
    </w:p>
    <w:p w14:paraId="51D4A35A" w14:textId="77777777" w:rsidR="00F90687" w:rsidRPr="00D01345" w:rsidRDefault="00F90687" w:rsidP="00F90687">
      <w:pPr>
        <w:rPr>
          <w:lang w:val="es-ES"/>
        </w:rPr>
      </w:pPr>
      <w:r>
        <w:rPr>
          <w:lang w:val="es-ES"/>
        </w:rPr>
        <w:t>De conformidad con la Resolución UIT-R 36-6, el CCV es responsable de examinar y revisar, cuando sea necesario, las actuales Recomendaciones UIT-R de la Serie V. A este respecto, la Recomendación UIT-R V.431 «</w:t>
      </w:r>
      <w:r w:rsidRPr="00A83370">
        <w:rPr>
          <w:i/>
          <w:iCs/>
          <w:lang w:val="es-ES"/>
        </w:rPr>
        <w:t>Nomenclatura de las bandas de frecuencias y longitudes de onda utilizadas en telecomunicaciones</w:t>
      </w:r>
      <w:r>
        <w:rPr>
          <w:lang w:val="es-ES"/>
        </w:rPr>
        <w:t>» fue revisada por el CCV/CCT y posteriormente aprobada por los Estados Miembros.</w:t>
      </w:r>
    </w:p>
    <w:p w14:paraId="658B96AC" w14:textId="77777777" w:rsidR="00F90687" w:rsidRPr="00D01345" w:rsidRDefault="00F90687" w:rsidP="00F90687">
      <w:pPr>
        <w:rPr>
          <w:lang w:val="es-ES"/>
        </w:rPr>
      </w:pPr>
      <w:r>
        <w:rPr>
          <w:lang w:val="es-ES"/>
        </w:rPr>
        <w:t xml:space="preserve">En 2025, el CCT celebró siete conferencias telefónicas y examinó 337 términos y sus definiciones, de los cuales 260 fueron validados y enviados para su traducción a los otros cinco idiomas oficiales de la Unión antes de incorporarlos a la </w:t>
      </w:r>
      <w:hyperlink r:id="rId115" w:history="1">
        <w:r w:rsidRPr="001644FB">
          <w:rPr>
            <w:rStyle w:val="Hyperlink"/>
            <w:lang w:val="es-ES"/>
          </w:rPr>
          <w:t>base de datos de términos y definiciones de la UIT</w:t>
        </w:r>
      </w:hyperlink>
      <w:r>
        <w:rPr>
          <w:lang w:val="es-ES"/>
        </w:rPr>
        <w:t>.</w:t>
      </w:r>
      <w:hyperlink r:id="rId116" w:anchor="/" w:history="1"/>
    </w:p>
    <w:p w14:paraId="372042AA" w14:textId="77777777" w:rsidR="00F90687" w:rsidRPr="00D01345" w:rsidRDefault="00F90687" w:rsidP="00F90687">
      <w:pPr>
        <w:pStyle w:val="Heading2"/>
        <w:rPr>
          <w:lang w:val="es-ES"/>
        </w:rPr>
      </w:pPr>
      <w:bookmarkStart w:id="10" w:name="_Hlk140676786"/>
      <w:r>
        <w:rPr>
          <w:bCs/>
          <w:lang w:val="es-ES"/>
        </w:rPr>
        <w:lastRenderedPageBreak/>
        <w:t>4.9</w:t>
      </w:r>
      <w:r>
        <w:rPr>
          <w:lang w:val="es-ES"/>
        </w:rPr>
        <w:tab/>
      </w:r>
      <w:r>
        <w:rPr>
          <w:bCs/>
          <w:lang w:val="es-ES"/>
        </w:rPr>
        <w:t>Participación de los Vicepresidentes en los trabajos de sus respectivos Grupos</w:t>
      </w:r>
    </w:p>
    <w:p w14:paraId="6BAA4919" w14:textId="77777777" w:rsidR="00F90687" w:rsidRPr="00D01345" w:rsidRDefault="00F90687" w:rsidP="00F90687">
      <w:pPr>
        <w:keepNext/>
        <w:keepLines/>
        <w:spacing w:after="240"/>
        <w:rPr>
          <w:lang w:val="es-ES"/>
        </w:rPr>
      </w:pPr>
      <w:r>
        <w:rPr>
          <w:lang w:val="es-ES"/>
        </w:rPr>
        <w:t>De conformidad con el § A1.4.5 de la Resolución 1-9, el GAR deberá ser informado de la incomparecencia de los Vicepresidentes en las reuniones de las CE. A continuación se enumera la participación de los Vicepresidentes en las reuniones de su interés durante el año 2025.</w:t>
      </w:r>
    </w:p>
    <w:tbl>
      <w:tblPr>
        <w:tblStyle w:val="TableGrid"/>
        <w:tblW w:w="5000" w:type="pct"/>
        <w:tblLayout w:type="fixed"/>
        <w:tblLook w:val="04A0" w:firstRow="1" w:lastRow="0" w:firstColumn="1" w:lastColumn="0" w:noHBand="0" w:noVBand="1"/>
      </w:tblPr>
      <w:tblGrid>
        <w:gridCol w:w="1702"/>
        <w:gridCol w:w="938"/>
        <w:gridCol w:w="1106"/>
        <w:gridCol w:w="1168"/>
        <w:gridCol w:w="1166"/>
        <w:gridCol w:w="1195"/>
        <w:gridCol w:w="1197"/>
        <w:gridCol w:w="1162"/>
      </w:tblGrid>
      <w:tr w:rsidR="00F90687" w:rsidRPr="00945134" w14:paraId="215C54DB" w14:textId="77777777" w:rsidTr="00EF0E26">
        <w:tc>
          <w:tcPr>
            <w:tcW w:w="883" w:type="pct"/>
            <w:tcBorders>
              <w:top w:val="nil"/>
              <w:left w:val="nil"/>
            </w:tcBorders>
          </w:tcPr>
          <w:p w14:paraId="7EC34003" w14:textId="77777777" w:rsidR="00F90687" w:rsidRPr="00A83370" w:rsidRDefault="00F90687" w:rsidP="009B606E">
            <w:pPr>
              <w:keepNext/>
              <w:keepLines/>
              <w:rPr>
                <w:sz w:val="20"/>
                <w:lang w:val="es-ES"/>
              </w:rPr>
            </w:pPr>
          </w:p>
        </w:tc>
        <w:tc>
          <w:tcPr>
            <w:tcW w:w="487" w:type="pct"/>
            <w:shd w:val="clear" w:color="auto" w:fill="DBE5F1" w:themeFill="accent1" w:themeFillTint="33"/>
          </w:tcPr>
          <w:p w14:paraId="237B9DB7" w14:textId="77777777" w:rsidR="00F90687" w:rsidRPr="00A83370" w:rsidRDefault="00F90687" w:rsidP="009B606E">
            <w:pPr>
              <w:pStyle w:val="Tablehead"/>
              <w:keepLines/>
              <w:rPr>
                <w:b w:val="0"/>
                <w:sz w:val="20"/>
              </w:rPr>
            </w:pPr>
            <w:r w:rsidRPr="00A83370">
              <w:rPr>
                <w:bCs/>
                <w:color w:val="000000"/>
                <w:sz w:val="20"/>
                <w:lang w:val="es-ES"/>
              </w:rPr>
              <w:t>CE 1</w:t>
            </w:r>
          </w:p>
        </w:tc>
        <w:tc>
          <w:tcPr>
            <w:tcW w:w="574" w:type="pct"/>
            <w:shd w:val="clear" w:color="auto" w:fill="DBE5F1" w:themeFill="accent1" w:themeFillTint="33"/>
          </w:tcPr>
          <w:p w14:paraId="585E3B3D" w14:textId="77777777" w:rsidR="00F90687" w:rsidRPr="00A83370" w:rsidRDefault="00F90687" w:rsidP="009B606E">
            <w:pPr>
              <w:pStyle w:val="Tablehead"/>
              <w:keepLines/>
              <w:rPr>
                <w:b w:val="0"/>
                <w:sz w:val="20"/>
              </w:rPr>
            </w:pPr>
            <w:r w:rsidRPr="00A83370">
              <w:rPr>
                <w:bCs/>
                <w:color w:val="000000"/>
                <w:sz w:val="20"/>
                <w:lang w:val="es-ES"/>
              </w:rPr>
              <w:t>CE 3</w:t>
            </w:r>
          </w:p>
        </w:tc>
        <w:tc>
          <w:tcPr>
            <w:tcW w:w="606" w:type="pct"/>
            <w:shd w:val="clear" w:color="auto" w:fill="DBE5F1" w:themeFill="accent1" w:themeFillTint="33"/>
          </w:tcPr>
          <w:p w14:paraId="3213711F" w14:textId="77777777" w:rsidR="00F90687" w:rsidRPr="00A83370" w:rsidRDefault="00F90687" w:rsidP="009B606E">
            <w:pPr>
              <w:pStyle w:val="Tablehead"/>
              <w:keepLines/>
              <w:rPr>
                <w:b w:val="0"/>
                <w:sz w:val="20"/>
              </w:rPr>
            </w:pPr>
            <w:r w:rsidRPr="00A83370">
              <w:rPr>
                <w:bCs/>
                <w:color w:val="000000"/>
                <w:sz w:val="20"/>
                <w:lang w:val="es-ES"/>
              </w:rPr>
              <w:t>CE 4</w:t>
            </w:r>
          </w:p>
        </w:tc>
        <w:tc>
          <w:tcPr>
            <w:tcW w:w="605" w:type="pct"/>
            <w:shd w:val="clear" w:color="auto" w:fill="DBE5F1" w:themeFill="accent1" w:themeFillTint="33"/>
          </w:tcPr>
          <w:p w14:paraId="2EE7838F" w14:textId="77777777" w:rsidR="00F90687" w:rsidRPr="00A83370" w:rsidRDefault="00F90687" w:rsidP="009B606E">
            <w:pPr>
              <w:pStyle w:val="Tablehead"/>
              <w:keepLines/>
              <w:rPr>
                <w:b w:val="0"/>
                <w:sz w:val="20"/>
              </w:rPr>
            </w:pPr>
            <w:r w:rsidRPr="00A83370">
              <w:rPr>
                <w:bCs/>
                <w:color w:val="000000"/>
                <w:sz w:val="20"/>
                <w:lang w:val="es-ES"/>
              </w:rPr>
              <w:t>CE 5</w:t>
            </w:r>
          </w:p>
        </w:tc>
        <w:tc>
          <w:tcPr>
            <w:tcW w:w="620" w:type="pct"/>
            <w:shd w:val="clear" w:color="auto" w:fill="DBE5F1" w:themeFill="accent1" w:themeFillTint="33"/>
          </w:tcPr>
          <w:p w14:paraId="02AEE1DD" w14:textId="77777777" w:rsidR="00F90687" w:rsidRPr="00A83370" w:rsidRDefault="00F90687" w:rsidP="009B606E">
            <w:pPr>
              <w:pStyle w:val="Tablehead"/>
              <w:keepLines/>
              <w:rPr>
                <w:b w:val="0"/>
                <w:sz w:val="20"/>
              </w:rPr>
            </w:pPr>
            <w:r w:rsidRPr="00A83370">
              <w:rPr>
                <w:bCs/>
                <w:color w:val="000000"/>
                <w:sz w:val="20"/>
                <w:lang w:val="es-ES"/>
              </w:rPr>
              <w:t>CE 6</w:t>
            </w:r>
          </w:p>
        </w:tc>
        <w:tc>
          <w:tcPr>
            <w:tcW w:w="621" w:type="pct"/>
            <w:shd w:val="clear" w:color="auto" w:fill="DBE5F1" w:themeFill="accent1" w:themeFillTint="33"/>
          </w:tcPr>
          <w:p w14:paraId="0A1B97C2" w14:textId="77777777" w:rsidR="00F90687" w:rsidRPr="00A83370" w:rsidRDefault="00F90687" w:rsidP="009B606E">
            <w:pPr>
              <w:pStyle w:val="Tablehead"/>
              <w:keepLines/>
              <w:rPr>
                <w:b w:val="0"/>
                <w:sz w:val="20"/>
              </w:rPr>
            </w:pPr>
            <w:r w:rsidRPr="00A83370">
              <w:rPr>
                <w:bCs/>
                <w:color w:val="000000"/>
                <w:sz w:val="20"/>
                <w:lang w:val="es-ES"/>
              </w:rPr>
              <w:t>CE 7</w:t>
            </w:r>
          </w:p>
        </w:tc>
        <w:tc>
          <w:tcPr>
            <w:tcW w:w="603" w:type="pct"/>
            <w:shd w:val="clear" w:color="auto" w:fill="DBE5F1" w:themeFill="accent1" w:themeFillTint="33"/>
          </w:tcPr>
          <w:p w14:paraId="5F9990FE" w14:textId="77777777" w:rsidR="00F90687" w:rsidRPr="00A83370" w:rsidRDefault="00F90687" w:rsidP="009B606E">
            <w:pPr>
              <w:pStyle w:val="Tablehead"/>
              <w:keepLines/>
              <w:rPr>
                <w:b w:val="0"/>
                <w:sz w:val="20"/>
              </w:rPr>
            </w:pPr>
            <w:r w:rsidRPr="00A83370">
              <w:rPr>
                <w:color w:val="000000"/>
                <w:sz w:val="20"/>
                <w:lang w:val="es-ES"/>
              </w:rPr>
              <w:t>CCV</w:t>
            </w:r>
          </w:p>
        </w:tc>
      </w:tr>
      <w:tr w:rsidR="00F90687" w:rsidRPr="00945134" w14:paraId="6F444225" w14:textId="77777777" w:rsidTr="00EF0E26">
        <w:tc>
          <w:tcPr>
            <w:tcW w:w="883" w:type="pct"/>
            <w:shd w:val="clear" w:color="auto" w:fill="DBE5F1" w:themeFill="accent1" w:themeFillTint="33"/>
          </w:tcPr>
          <w:p w14:paraId="6E301206" w14:textId="77777777" w:rsidR="00F90687" w:rsidRPr="00A83370" w:rsidRDefault="00F90687" w:rsidP="00EF0E26">
            <w:pPr>
              <w:pStyle w:val="Tabletext"/>
              <w:keepNext/>
              <w:keepLines/>
              <w:jc w:val="center"/>
              <w:rPr>
                <w:b/>
                <w:bCs/>
                <w:sz w:val="20"/>
              </w:rPr>
            </w:pPr>
            <w:r w:rsidRPr="00A83370">
              <w:rPr>
                <w:b/>
                <w:bCs/>
                <w:color w:val="000000"/>
                <w:sz w:val="20"/>
                <w:lang w:val="es-ES"/>
              </w:rPr>
              <w:t>Número total de V</w:t>
            </w:r>
            <w:r>
              <w:rPr>
                <w:b/>
                <w:bCs/>
                <w:color w:val="000000"/>
                <w:sz w:val="20"/>
                <w:lang w:val="es-ES"/>
              </w:rPr>
              <w:t>icepresidentes</w:t>
            </w:r>
          </w:p>
        </w:tc>
        <w:tc>
          <w:tcPr>
            <w:tcW w:w="487" w:type="pct"/>
            <w:shd w:val="clear" w:color="auto" w:fill="DBE5F1" w:themeFill="accent1" w:themeFillTint="33"/>
          </w:tcPr>
          <w:p w14:paraId="4530606C" w14:textId="77777777" w:rsidR="00F90687" w:rsidRPr="00A83370" w:rsidRDefault="00F90687" w:rsidP="009B606E">
            <w:pPr>
              <w:pStyle w:val="Tabletext"/>
              <w:keepNext/>
              <w:keepLines/>
              <w:jc w:val="center"/>
              <w:rPr>
                <w:b/>
                <w:bCs/>
                <w:sz w:val="20"/>
              </w:rPr>
            </w:pPr>
            <w:r w:rsidRPr="00A83370">
              <w:rPr>
                <w:b/>
                <w:bCs/>
                <w:color w:val="000000"/>
                <w:sz w:val="20"/>
                <w:lang w:val="es-ES"/>
              </w:rPr>
              <w:t>15</w:t>
            </w:r>
          </w:p>
        </w:tc>
        <w:tc>
          <w:tcPr>
            <w:tcW w:w="574" w:type="pct"/>
            <w:shd w:val="clear" w:color="auto" w:fill="DBE5F1" w:themeFill="accent1" w:themeFillTint="33"/>
          </w:tcPr>
          <w:p w14:paraId="6BEFECF8" w14:textId="77777777" w:rsidR="00F90687" w:rsidRPr="00A83370" w:rsidRDefault="00F90687" w:rsidP="009B606E">
            <w:pPr>
              <w:pStyle w:val="Tabletext"/>
              <w:keepNext/>
              <w:keepLines/>
              <w:jc w:val="center"/>
              <w:rPr>
                <w:b/>
                <w:bCs/>
                <w:sz w:val="20"/>
              </w:rPr>
            </w:pPr>
            <w:r w:rsidRPr="00A83370">
              <w:rPr>
                <w:b/>
                <w:bCs/>
                <w:color w:val="000000"/>
                <w:sz w:val="20"/>
                <w:lang w:val="es-ES"/>
              </w:rPr>
              <w:t>11</w:t>
            </w:r>
          </w:p>
        </w:tc>
        <w:tc>
          <w:tcPr>
            <w:tcW w:w="606" w:type="pct"/>
            <w:shd w:val="clear" w:color="auto" w:fill="DBE5F1" w:themeFill="accent1" w:themeFillTint="33"/>
          </w:tcPr>
          <w:p w14:paraId="6E62C8D9" w14:textId="77777777" w:rsidR="00F90687" w:rsidRPr="00A83370" w:rsidRDefault="00F90687" w:rsidP="009B606E">
            <w:pPr>
              <w:pStyle w:val="Tabletext"/>
              <w:keepNext/>
              <w:keepLines/>
              <w:jc w:val="center"/>
              <w:rPr>
                <w:b/>
                <w:bCs/>
                <w:sz w:val="20"/>
              </w:rPr>
            </w:pPr>
            <w:r w:rsidRPr="00A83370">
              <w:rPr>
                <w:b/>
                <w:bCs/>
                <w:color w:val="000000"/>
                <w:sz w:val="20"/>
                <w:lang w:val="es-ES"/>
              </w:rPr>
              <w:t>19</w:t>
            </w:r>
          </w:p>
        </w:tc>
        <w:tc>
          <w:tcPr>
            <w:tcW w:w="605" w:type="pct"/>
            <w:shd w:val="clear" w:color="auto" w:fill="DBE5F1" w:themeFill="accent1" w:themeFillTint="33"/>
          </w:tcPr>
          <w:p w14:paraId="5EC01641" w14:textId="77777777" w:rsidR="00F90687" w:rsidRPr="00A83370" w:rsidRDefault="00F90687" w:rsidP="009B606E">
            <w:pPr>
              <w:pStyle w:val="Tabletext"/>
              <w:keepNext/>
              <w:keepLines/>
              <w:jc w:val="center"/>
              <w:rPr>
                <w:b/>
                <w:bCs/>
                <w:sz w:val="20"/>
              </w:rPr>
            </w:pPr>
            <w:r w:rsidRPr="00A83370">
              <w:rPr>
                <w:b/>
                <w:bCs/>
                <w:color w:val="000000"/>
                <w:sz w:val="20"/>
                <w:lang w:val="es-ES"/>
              </w:rPr>
              <w:t>19</w:t>
            </w:r>
          </w:p>
        </w:tc>
        <w:tc>
          <w:tcPr>
            <w:tcW w:w="620" w:type="pct"/>
            <w:shd w:val="clear" w:color="auto" w:fill="DBE5F1" w:themeFill="accent1" w:themeFillTint="33"/>
          </w:tcPr>
          <w:p w14:paraId="0A22AB56" w14:textId="77777777" w:rsidR="00F90687" w:rsidRPr="00A83370" w:rsidRDefault="00F90687" w:rsidP="009B606E">
            <w:pPr>
              <w:pStyle w:val="Tabletext"/>
              <w:keepNext/>
              <w:keepLines/>
              <w:jc w:val="center"/>
              <w:rPr>
                <w:b/>
                <w:bCs/>
                <w:sz w:val="20"/>
              </w:rPr>
            </w:pPr>
            <w:r w:rsidRPr="00A83370">
              <w:rPr>
                <w:b/>
                <w:bCs/>
                <w:color w:val="000000"/>
                <w:sz w:val="20"/>
                <w:lang w:val="es-ES"/>
              </w:rPr>
              <w:t>14</w:t>
            </w:r>
          </w:p>
        </w:tc>
        <w:tc>
          <w:tcPr>
            <w:tcW w:w="621" w:type="pct"/>
            <w:shd w:val="clear" w:color="auto" w:fill="DBE5F1" w:themeFill="accent1" w:themeFillTint="33"/>
          </w:tcPr>
          <w:p w14:paraId="6F13AF0C" w14:textId="77777777" w:rsidR="00F90687" w:rsidRPr="00A83370" w:rsidRDefault="00F90687" w:rsidP="009B606E">
            <w:pPr>
              <w:pStyle w:val="Tabletext"/>
              <w:keepNext/>
              <w:keepLines/>
              <w:jc w:val="center"/>
              <w:rPr>
                <w:b/>
                <w:bCs/>
                <w:sz w:val="20"/>
              </w:rPr>
            </w:pPr>
            <w:r w:rsidRPr="00A83370">
              <w:rPr>
                <w:b/>
                <w:bCs/>
                <w:color w:val="000000"/>
                <w:sz w:val="20"/>
                <w:lang w:val="es-ES"/>
              </w:rPr>
              <w:t>10</w:t>
            </w:r>
          </w:p>
        </w:tc>
        <w:tc>
          <w:tcPr>
            <w:tcW w:w="603" w:type="pct"/>
            <w:shd w:val="clear" w:color="auto" w:fill="DBE5F1" w:themeFill="accent1" w:themeFillTint="33"/>
          </w:tcPr>
          <w:p w14:paraId="612F5106" w14:textId="77777777" w:rsidR="00F90687" w:rsidRPr="00A83370" w:rsidRDefault="00F90687" w:rsidP="009B606E">
            <w:pPr>
              <w:pStyle w:val="Tabletext"/>
              <w:keepNext/>
              <w:keepLines/>
              <w:jc w:val="center"/>
              <w:rPr>
                <w:b/>
                <w:bCs/>
                <w:sz w:val="20"/>
              </w:rPr>
            </w:pPr>
            <w:r w:rsidRPr="00A83370">
              <w:rPr>
                <w:b/>
                <w:bCs/>
                <w:color w:val="000000"/>
                <w:sz w:val="20"/>
                <w:lang w:val="es-ES"/>
              </w:rPr>
              <w:t>7</w:t>
            </w:r>
          </w:p>
        </w:tc>
      </w:tr>
      <w:tr w:rsidR="00F90687" w:rsidRPr="00945134" w14:paraId="62F0F26E" w14:textId="77777777" w:rsidTr="00EF0E26">
        <w:tc>
          <w:tcPr>
            <w:tcW w:w="883" w:type="pct"/>
            <w:shd w:val="clear" w:color="auto" w:fill="DBE5F1" w:themeFill="accent1" w:themeFillTint="33"/>
          </w:tcPr>
          <w:p w14:paraId="28AA8605" w14:textId="77777777" w:rsidR="00F90687" w:rsidRPr="00A83370" w:rsidRDefault="00F90687" w:rsidP="00EF0E26">
            <w:pPr>
              <w:pStyle w:val="Tabletext"/>
              <w:keepNext/>
              <w:keepLines/>
              <w:jc w:val="center"/>
              <w:rPr>
                <w:b/>
                <w:bCs/>
                <w:sz w:val="20"/>
                <w:lang w:val="es-ES"/>
              </w:rPr>
            </w:pPr>
            <w:r w:rsidRPr="00A83370">
              <w:rPr>
                <w:b/>
                <w:bCs/>
                <w:color w:val="000000"/>
                <w:sz w:val="20"/>
                <w:lang w:val="es-ES"/>
              </w:rPr>
              <w:t>Participación de V</w:t>
            </w:r>
            <w:r>
              <w:rPr>
                <w:b/>
                <w:bCs/>
                <w:color w:val="000000"/>
                <w:sz w:val="20"/>
                <w:lang w:val="es-ES"/>
              </w:rPr>
              <w:t>icepresidente</w:t>
            </w:r>
            <w:r w:rsidRPr="00A83370">
              <w:rPr>
                <w:b/>
                <w:bCs/>
                <w:color w:val="000000"/>
                <w:sz w:val="20"/>
                <w:lang w:val="es-ES"/>
              </w:rPr>
              <w:t xml:space="preserve"> por reunión en 2025</w:t>
            </w:r>
          </w:p>
        </w:tc>
        <w:tc>
          <w:tcPr>
            <w:tcW w:w="487" w:type="pct"/>
          </w:tcPr>
          <w:p w14:paraId="30E43BF8" w14:textId="092BBC26" w:rsidR="00F90687" w:rsidRPr="00A83370" w:rsidRDefault="00F90687" w:rsidP="00EF0E26">
            <w:pPr>
              <w:pStyle w:val="Tabletext"/>
              <w:keepNext/>
              <w:keepLines/>
              <w:jc w:val="center"/>
              <w:rPr>
                <w:sz w:val="20"/>
              </w:rPr>
            </w:pPr>
            <w:r w:rsidRPr="00A83370">
              <w:rPr>
                <w:color w:val="000000"/>
                <w:sz w:val="20"/>
                <w:lang w:val="es-ES"/>
              </w:rPr>
              <w:t>Jun</w:t>
            </w:r>
            <w:r>
              <w:rPr>
                <w:color w:val="000000"/>
                <w:sz w:val="20"/>
                <w:lang w:val="es-ES"/>
              </w:rPr>
              <w:t>.</w:t>
            </w:r>
            <w:r w:rsidRPr="00A83370">
              <w:rPr>
                <w:color w:val="000000"/>
                <w:sz w:val="20"/>
                <w:lang w:val="es-ES"/>
              </w:rPr>
              <w:t>:</w:t>
            </w:r>
            <w:r w:rsidR="00EF0E26">
              <w:rPr>
                <w:color w:val="000000"/>
                <w:sz w:val="20"/>
                <w:lang w:val="es-ES"/>
              </w:rPr>
              <w:br/>
            </w:r>
            <w:r w:rsidRPr="001644FB">
              <w:rPr>
                <w:b/>
                <w:bCs/>
                <w:color w:val="000000"/>
                <w:sz w:val="20"/>
                <w:lang w:val="es-ES"/>
              </w:rPr>
              <w:t>10/15</w:t>
            </w:r>
          </w:p>
        </w:tc>
        <w:tc>
          <w:tcPr>
            <w:tcW w:w="574" w:type="pct"/>
          </w:tcPr>
          <w:p w14:paraId="3EDD5DE1" w14:textId="2949BFAB" w:rsidR="00F90687" w:rsidRPr="00A83370" w:rsidRDefault="00F90687" w:rsidP="00EF0E26">
            <w:pPr>
              <w:pStyle w:val="Tabletext"/>
              <w:keepNext/>
              <w:keepLines/>
              <w:jc w:val="center"/>
              <w:rPr>
                <w:sz w:val="20"/>
              </w:rPr>
            </w:pPr>
            <w:r w:rsidRPr="00A83370">
              <w:rPr>
                <w:color w:val="000000"/>
                <w:sz w:val="20"/>
                <w:lang w:val="es-ES"/>
              </w:rPr>
              <w:t>Jun</w:t>
            </w:r>
            <w:r>
              <w:rPr>
                <w:color w:val="000000"/>
                <w:sz w:val="20"/>
                <w:lang w:val="es-ES"/>
              </w:rPr>
              <w:t>.</w:t>
            </w:r>
            <w:r w:rsidRPr="00A83370">
              <w:rPr>
                <w:color w:val="000000"/>
                <w:sz w:val="20"/>
                <w:lang w:val="es-ES"/>
              </w:rPr>
              <w:t>:</w:t>
            </w:r>
            <w:r w:rsidR="00EF0E26">
              <w:rPr>
                <w:color w:val="000000"/>
                <w:sz w:val="20"/>
                <w:lang w:val="es-ES"/>
              </w:rPr>
              <w:br/>
            </w:r>
            <w:r w:rsidRPr="001644FB">
              <w:rPr>
                <w:b/>
                <w:bCs/>
                <w:color w:val="000000"/>
                <w:sz w:val="20"/>
                <w:lang w:val="es-ES"/>
              </w:rPr>
              <w:t>8/11</w:t>
            </w:r>
          </w:p>
        </w:tc>
        <w:tc>
          <w:tcPr>
            <w:tcW w:w="606" w:type="pct"/>
          </w:tcPr>
          <w:p w14:paraId="4D6750D6" w14:textId="4F7E5779" w:rsidR="00F90687" w:rsidRPr="00A83370" w:rsidRDefault="00F90687" w:rsidP="00EF0E26">
            <w:pPr>
              <w:pStyle w:val="Tabletext"/>
              <w:keepNext/>
              <w:keepLines/>
              <w:jc w:val="center"/>
              <w:rPr>
                <w:sz w:val="20"/>
              </w:rPr>
            </w:pPr>
            <w:r w:rsidRPr="00A83370">
              <w:rPr>
                <w:color w:val="000000"/>
                <w:sz w:val="20"/>
                <w:lang w:val="es-ES"/>
              </w:rPr>
              <w:t>Nov.:</w:t>
            </w:r>
            <w:r w:rsidR="00EF0E26">
              <w:rPr>
                <w:color w:val="000000"/>
                <w:sz w:val="20"/>
                <w:lang w:val="es-ES"/>
              </w:rPr>
              <w:br/>
            </w:r>
            <w:r w:rsidRPr="001644FB">
              <w:rPr>
                <w:b/>
                <w:bCs/>
                <w:color w:val="000000"/>
                <w:sz w:val="20"/>
                <w:lang w:val="es-ES"/>
              </w:rPr>
              <w:t>17/19</w:t>
            </w:r>
          </w:p>
        </w:tc>
        <w:tc>
          <w:tcPr>
            <w:tcW w:w="605" w:type="pct"/>
          </w:tcPr>
          <w:p w14:paraId="0F950241" w14:textId="4FAB7A66" w:rsidR="00F90687" w:rsidRPr="00A83370" w:rsidRDefault="00F90687" w:rsidP="00EF0E26">
            <w:pPr>
              <w:pStyle w:val="Tabletext"/>
              <w:keepNext/>
              <w:keepLines/>
              <w:jc w:val="center"/>
              <w:rPr>
                <w:sz w:val="20"/>
              </w:rPr>
            </w:pPr>
            <w:r w:rsidRPr="00A83370">
              <w:rPr>
                <w:color w:val="000000"/>
                <w:sz w:val="20"/>
                <w:lang w:val="es-ES"/>
              </w:rPr>
              <w:t>Dic.:</w:t>
            </w:r>
            <w:r w:rsidR="00EF0E26">
              <w:rPr>
                <w:color w:val="000000"/>
                <w:sz w:val="20"/>
                <w:lang w:val="es-ES"/>
              </w:rPr>
              <w:br/>
            </w:r>
            <w:r w:rsidRPr="006D55CF">
              <w:rPr>
                <w:b/>
                <w:bCs/>
                <w:color w:val="000000"/>
                <w:sz w:val="20"/>
                <w:lang w:val="es-ES"/>
              </w:rPr>
              <w:t>13/19</w:t>
            </w:r>
          </w:p>
        </w:tc>
        <w:tc>
          <w:tcPr>
            <w:tcW w:w="620" w:type="pct"/>
          </w:tcPr>
          <w:p w14:paraId="6284294A" w14:textId="6FB5887E" w:rsidR="00F90687" w:rsidRPr="00A83370" w:rsidRDefault="00F90687" w:rsidP="00EF0E26">
            <w:pPr>
              <w:pStyle w:val="Tabletext"/>
              <w:keepNext/>
              <w:keepLines/>
              <w:jc w:val="center"/>
              <w:rPr>
                <w:sz w:val="20"/>
              </w:rPr>
            </w:pPr>
            <w:r w:rsidRPr="00A83370">
              <w:rPr>
                <w:color w:val="000000"/>
                <w:sz w:val="20"/>
                <w:lang w:val="es-ES"/>
              </w:rPr>
              <w:t>Mar</w:t>
            </w:r>
            <w:r>
              <w:rPr>
                <w:color w:val="000000"/>
                <w:sz w:val="20"/>
                <w:lang w:val="es-ES"/>
              </w:rPr>
              <w:t>.</w:t>
            </w:r>
            <w:r w:rsidRPr="00A83370">
              <w:rPr>
                <w:color w:val="000000"/>
                <w:sz w:val="20"/>
                <w:lang w:val="es-ES"/>
              </w:rPr>
              <w:t>:</w:t>
            </w:r>
            <w:r w:rsidR="00EF0E26">
              <w:rPr>
                <w:color w:val="000000"/>
                <w:sz w:val="20"/>
                <w:lang w:val="es-ES"/>
              </w:rPr>
              <w:br/>
            </w:r>
            <w:r w:rsidRPr="006D55CF">
              <w:rPr>
                <w:b/>
                <w:bCs/>
                <w:color w:val="000000"/>
                <w:sz w:val="20"/>
                <w:lang w:val="es-ES"/>
              </w:rPr>
              <w:t>7/14</w:t>
            </w:r>
          </w:p>
          <w:p w14:paraId="0330E623" w14:textId="64E044C5" w:rsidR="00F90687" w:rsidRPr="00A83370" w:rsidRDefault="00F90687" w:rsidP="00EF0E26">
            <w:pPr>
              <w:pStyle w:val="Tabletext"/>
              <w:keepNext/>
              <w:keepLines/>
              <w:jc w:val="center"/>
              <w:rPr>
                <w:sz w:val="20"/>
              </w:rPr>
            </w:pPr>
            <w:r w:rsidRPr="00A83370">
              <w:rPr>
                <w:color w:val="000000"/>
                <w:sz w:val="20"/>
                <w:lang w:val="es-ES"/>
              </w:rPr>
              <w:t>Sept.:</w:t>
            </w:r>
            <w:r w:rsidR="00EF0E26">
              <w:rPr>
                <w:color w:val="000000"/>
                <w:sz w:val="20"/>
                <w:lang w:val="es-ES"/>
              </w:rPr>
              <w:br/>
            </w:r>
            <w:r w:rsidRPr="006D55CF">
              <w:rPr>
                <w:b/>
                <w:bCs/>
                <w:color w:val="000000"/>
                <w:sz w:val="20"/>
                <w:lang w:val="es-ES"/>
              </w:rPr>
              <w:t>12/14</w:t>
            </w:r>
          </w:p>
        </w:tc>
        <w:tc>
          <w:tcPr>
            <w:tcW w:w="621" w:type="pct"/>
          </w:tcPr>
          <w:p w14:paraId="05F96F8F" w14:textId="4ADDB529" w:rsidR="00F90687" w:rsidRPr="00A83370" w:rsidRDefault="00F90687" w:rsidP="00EF0E26">
            <w:pPr>
              <w:pStyle w:val="Tabletext"/>
              <w:keepNext/>
              <w:keepLines/>
              <w:jc w:val="center"/>
              <w:rPr>
                <w:sz w:val="20"/>
              </w:rPr>
            </w:pPr>
            <w:r w:rsidRPr="00A83370">
              <w:rPr>
                <w:color w:val="000000"/>
                <w:sz w:val="20"/>
                <w:lang w:val="es-ES"/>
              </w:rPr>
              <w:t>Ma</w:t>
            </w:r>
            <w:r>
              <w:rPr>
                <w:color w:val="000000"/>
                <w:sz w:val="20"/>
                <w:lang w:val="es-ES"/>
              </w:rPr>
              <w:t>r.</w:t>
            </w:r>
            <w:r w:rsidRPr="00A83370">
              <w:rPr>
                <w:color w:val="000000"/>
                <w:sz w:val="20"/>
                <w:lang w:val="es-ES"/>
              </w:rPr>
              <w:t>:</w:t>
            </w:r>
            <w:r w:rsidR="00EF0E26">
              <w:rPr>
                <w:color w:val="000000"/>
                <w:sz w:val="20"/>
                <w:lang w:val="es-ES"/>
              </w:rPr>
              <w:br/>
            </w:r>
            <w:r w:rsidRPr="006D55CF">
              <w:rPr>
                <w:b/>
                <w:bCs/>
                <w:color w:val="000000"/>
                <w:sz w:val="20"/>
                <w:lang w:val="es-ES"/>
              </w:rPr>
              <w:t>8/10</w:t>
            </w:r>
          </w:p>
        </w:tc>
        <w:tc>
          <w:tcPr>
            <w:tcW w:w="603" w:type="pct"/>
          </w:tcPr>
          <w:p w14:paraId="4D39862F" w14:textId="77777777" w:rsidR="00F90687" w:rsidRPr="00A83370" w:rsidRDefault="00F90687" w:rsidP="00EF0E26">
            <w:pPr>
              <w:pStyle w:val="Tabletext"/>
              <w:keepNext/>
              <w:keepLines/>
              <w:jc w:val="center"/>
              <w:rPr>
                <w:sz w:val="20"/>
                <w:lang w:val="es-ES"/>
              </w:rPr>
            </w:pPr>
            <w:r w:rsidRPr="00A83370">
              <w:rPr>
                <w:color w:val="000000"/>
                <w:sz w:val="20"/>
                <w:lang w:val="es-ES"/>
              </w:rPr>
              <w:t xml:space="preserve">En.: </w:t>
            </w:r>
            <w:r w:rsidRPr="006D55CF">
              <w:rPr>
                <w:b/>
                <w:bCs/>
                <w:color w:val="000000"/>
                <w:sz w:val="20"/>
                <w:lang w:val="es-ES"/>
              </w:rPr>
              <w:t>3/7</w:t>
            </w:r>
          </w:p>
          <w:p w14:paraId="32DDA39D" w14:textId="77777777" w:rsidR="00F90687" w:rsidRPr="00A83370" w:rsidRDefault="00F90687" w:rsidP="00EF0E26">
            <w:pPr>
              <w:pStyle w:val="Tabletext"/>
              <w:keepNext/>
              <w:keepLines/>
              <w:jc w:val="center"/>
              <w:rPr>
                <w:sz w:val="20"/>
                <w:lang w:val="es-ES"/>
              </w:rPr>
            </w:pPr>
            <w:r w:rsidRPr="00A83370">
              <w:rPr>
                <w:color w:val="000000"/>
                <w:sz w:val="20"/>
                <w:lang w:val="es-ES"/>
              </w:rPr>
              <w:t>Ma</w:t>
            </w:r>
            <w:r>
              <w:rPr>
                <w:color w:val="000000"/>
                <w:sz w:val="20"/>
                <w:lang w:val="es-ES"/>
              </w:rPr>
              <w:t>r.</w:t>
            </w:r>
            <w:r w:rsidRPr="00A83370">
              <w:rPr>
                <w:color w:val="000000"/>
                <w:sz w:val="20"/>
                <w:lang w:val="es-ES"/>
              </w:rPr>
              <w:t xml:space="preserve">: </w:t>
            </w:r>
            <w:r w:rsidRPr="006D55CF">
              <w:rPr>
                <w:b/>
                <w:bCs/>
                <w:color w:val="000000"/>
                <w:sz w:val="20"/>
                <w:lang w:val="es-ES"/>
              </w:rPr>
              <w:t>3/7</w:t>
            </w:r>
          </w:p>
          <w:p w14:paraId="7BDA93D3" w14:textId="77777777" w:rsidR="00F90687" w:rsidRPr="00A83370" w:rsidRDefault="00F90687" w:rsidP="00EF0E26">
            <w:pPr>
              <w:pStyle w:val="Tabletext"/>
              <w:keepNext/>
              <w:keepLines/>
              <w:jc w:val="center"/>
              <w:rPr>
                <w:sz w:val="20"/>
                <w:lang w:val="es-ES"/>
              </w:rPr>
            </w:pPr>
            <w:r w:rsidRPr="00A83370">
              <w:rPr>
                <w:color w:val="000000"/>
                <w:sz w:val="20"/>
                <w:lang w:val="es-ES"/>
              </w:rPr>
              <w:t>May</w:t>
            </w:r>
            <w:r>
              <w:rPr>
                <w:color w:val="000000"/>
                <w:sz w:val="20"/>
                <w:lang w:val="es-ES"/>
              </w:rPr>
              <w:t>.</w:t>
            </w:r>
            <w:r w:rsidRPr="00A83370">
              <w:rPr>
                <w:color w:val="000000"/>
                <w:sz w:val="20"/>
                <w:lang w:val="es-ES"/>
              </w:rPr>
              <w:t xml:space="preserve">: </w:t>
            </w:r>
            <w:r w:rsidRPr="0022713F">
              <w:rPr>
                <w:b/>
                <w:bCs/>
                <w:color w:val="000000"/>
                <w:sz w:val="20"/>
                <w:lang w:val="es-ES"/>
              </w:rPr>
              <w:t>2/7</w:t>
            </w:r>
          </w:p>
          <w:p w14:paraId="0B660509" w14:textId="77777777" w:rsidR="00F90687" w:rsidRPr="00A83370" w:rsidRDefault="00F90687" w:rsidP="00EF0E26">
            <w:pPr>
              <w:pStyle w:val="Tabletext"/>
              <w:keepNext/>
              <w:keepLines/>
              <w:jc w:val="center"/>
              <w:rPr>
                <w:sz w:val="20"/>
                <w:lang w:val="es-ES"/>
              </w:rPr>
            </w:pPr>
            <w:r w:rsidRPr="00A83370">
              <w:rPr>
                <w:color w:val="000000"/>
                <w:sz w:val="20"/>
                <w:lang w:val="es-ES"/>
              </w:rPr>
              <w:t>Jul</w:t>
            </w:r>
            <w:r>
              <w:rPr>
                <w:color w:val="000000"/>
                <w:sz w:val="20"/>
                <w:lang w:val="es-ES"/>
              </w:rPr>
              <w:t>.</w:t>
            </w:r>
            <w:r w:rsidRPr="00A83370">
              <w:rPr>
                <w:color w:val="000000"/>
                <w:sz w:val="20"/>
                <w:lang w:val="es-ES"/>
              </w:rPr>
              <w:t xml:space="preserve">: </w:t>
            </w:r>
            <w:r w:rsidRPr="0022713F">
              <w:rPr>
                <w:b/>
                <w:bCs/>
                <w:color w:val="000000"/>
                <w:sz w:val="20"/>
                <w:lang w:val="es-ES"/>
              </w:rPr>
              <w:t>4/7</w:t>
            </w:r>
          </w:p>
          <w:p w14:paraId="63DBD5A7" w14:textId="77777777" w:rsidR="00F90687" w:rsidRPr="00A83370" w:rsidRDefault="00F90687" w:rsidP="00EF0E26">
            <w:pPr>
              <w:pStyle w:val="Tabletext"/>
              <w:keepNext/>
              <w:keepLines/>
              <w:jc w:val="center"/>
              <w:rPr>
                <w:sz w:val="20"/>
                <w:lang w:val="es-ES"/>
              </w:rPr>
            </w:pPr>
            <w:r w:rsidRPr="00A83370">
              <w:rPr>
                <w:color w:val="000000"/>
                <w:sz w:val="20"/>
                <w:lang w:val="es-ES"/>
              </w:rPr>
              <w:t>A</w:t>
            </w:r>
            <w:r>
              <w:rPr>
                <w:color w:val="000000"/>
                <w:sz w:val="20"/>
                <w:lang w:val="es-ES"/>
              </w:rPr>
              <w:t>gto</w:t>
            </w:r>
            <w:r w:rsidRPr="00A83370">
              <w:rPr>
                <w:color w:val="000000"/>
                <w:sz w:val="20"/>
                <w:lang w:val="es-ES"/>
              </w:rPr>
              <w:t xml:space="preserve">: </w:t>
            </w:r>
            <w:r w:rsidRPr="00E555B5">
              <w:rPr>
                <w:b/>
                <w:bCs/>
                <w:color w:val="000000"/>
                <w:sz w:val="20"/>
                <w:lang w:val="es-ES"/>
              </w:rPr>
              <w:t>3/7</w:t>
            </w:r>
          </w:p>
          <w:p w14:paraId="03A04808" w14:textId="77777777" w:rsidR="00F90687" w:rsidRPr="00A83370" w:rsidRDefault="00F90687" w:rsidP="00EF0E26">
            <w:pPr>
              <w:pStyle w:val="Tabletext"/>
              <w:keepNext/>
              <w:keepLines/>
              <w:jc w:val="center"/>
              <w:rPr>
                <w:sz w:val="20"/>
              </w:rPr>
            </w:pPr>
            <w:r w:rsidRPr="00A83370">
              <w:rPr>
                <w:color w:val="000000"/>
                <w:sz w:val="20"/>
                <w:lang w:val="es-ES"/>
              </w:rPr>
              <w:t xml:space="preserve">Sept.: </w:t>
            </w:r>
            <w:r w:rsidRPr="00E555B5">
              <w:rPr>
                <w:b/>
                <w:bCs/>
                <w:color w:val="000000"/>
                <w:sz w:val="20"/>
                <w:lang w:val="es-ES"/>
              </w:rPr>
              <w:t>0/7</w:t>
            </w:r>
          </w:p>
          <w:p w14:paraId="36F7FEA6" w14:textId="77777777" w:rsidR="00F90687" w:rsidRPr="00A83370" w:rsidRDefault="00F90687" w:rsidP="00EF0E26">
            <w:pPr>
              <w:pStyle w:val="Tabletext"/>
              <w:keepNext/>
              <w:keepLines/>
              <w:jc w:val="center"/>
              <w:rPr>
                <w:sz w:val="20"/>
              </w:rPr>
            </w:pPr>
            <w:r w:rsidRPr="00A83370">
              <w:rPr>
                <w:color w:val="000000"/>
                <w:sz w:val="20"/>
                <w:lang w:val="es-ES"/>
              </w:rPr>
              <w:t>D</w:t>
            </w:r>
            <w:r>
              <w:rPr>
                <w:color w:val="000000"/>
                <w:sz w:val="20"/>
                <w:lang w:val="es-ES"/>
              </w:rPr>
              <w:t>i</w:t>
            </w:r>
            <w:r w:rsidRPr="00A83370">
              <w:rPr>
                <w:color w:val="000000"/>
                <w:sz w:val="20"/>
                <w:lang w:val="es-ES"/>
              </w:rPr>
              <w:t xml:space="preserve">c.: </w:t>
            </w:r>
            <w:r w:rsidRPr="00E555B5">
              <w:rPr>
                <w:b/>
                <w:bCs/>
                <w:color w:val="000000"/>
                <w:sz w:val="20"/>
                <w:lang w:val="es-ES"/>
              </w:rPr>
              <w:t>4/7</w:t>
            </w:r>
          </w:p>
        </w:tc>
      </w:tr>
    </w:tbl>
    <w:p w14:paraId="509154C7" w14:textId="593A29F8" w:rsidR="00F90687" w:rsidRPr="00D01345" w:rsidRDefault="000E42B8" w:rsidP="00F90687">
      <w:pPr>
        <w:keepNext/>
        <w:keepLines/>
        <w:spacing w:after="240"/>
        <w:rPr>
          <w:lang w:val="es-ES"/>
        </w:rPr>
      </w:pPr>
      <w:r>
        <w:t>Asistieron 9 de los 11 Vicepresidentes del GAR a la 32.ª reunión del GAR, celebrada del 14 al 17 de abril de 2025.</w:t>
      </w:r>
    </w:p>
    <w:bookmarkEnd w:id="10"/>
    <w:p w14:paraId="726E48EE" w14:textId="77777777" w:rsidR="00F90687" w:rsidRPr="00D01345" w:rsidRDefault="00F90687" w:rsidP="00F90687">
      <w:pPr>
        <w:pStyle w:val="Heading2"/>
        <w:rPr>
          <w:lang w:val="es-ES"/>
        </w:rPr>
      </w:pPr>
      <w:r>
        <w:rPr>
          <w:bCs/>
          <w:lang w:val="es-ES"/>
        </w:rPr>
        <w:t>4.10</w:t>
      </w:r>
      <w:r>
        <w:rPr>
          <w:lang w:val="es-ES"/>
        </w:rPr>
        <w:tab/>
      </w:r>
      <w:r>
        <w:rPr>
          <w:bCs/>
          <w:lang w:val="es-ES"/>
        </w:rPr>
        <w:t>Actividades de la RPC-27 y preparación de la RPC27-2</w:t>
      </w:r>
    </w:p>
    <w:p w14:paraId="0BF0CF38" w14:textId="77777777" w:rsidR="00F90687" w:rsidRPr="00D01345" w:rsidRDefault="00F90687" w:rsidP="00F90687">
      <w:pPr>
        <w:rPr>
          <w:lang w:val="es-ES"/>
        </w:rPr>
      </w:pPr>
      <w:r>
        <w:rPr>
          <w:lang w:val="es-ES"/>
        </w:rPr>
        <w:t xml:space="preserve">En la sección 4.2 del Documento </w:t>
      </w:r>
      <w:hyperlink r:id="rId117" w:history="1">
        <w:r w:rsidRPr="007A5007">
          <w:rPr>
            <w:rStyle w:val="Hyperlink"/>
            <w:lang w:val="es-ES"/>
          </w:rPr>
          <w:t>RAG/58</w:t>
        </w:r>
      </w:hyperlink>
      <w:r>
        <w:rPr>
          <w:lang w:val="es-ES"/>
        </w:rPr>
        <w:t xml:space="preserve"> se resumen las actividades de la RPC-27 y los preparativos para la RPC27-2.</w:t>
      </w:r>
      <w:hyperlink r:id="rId118" w:history="1"/>
    </w:p>
    <w:p w14:paraId="304A5B74" w14:textId="77777777" w:rsidR="00F90687" w:rsidRPr="00D01345" w:rsidRDefault="00F90687" w:rsidP="00F90687">
      <w:pPr>
        <w:pStyle w:val="Heading1"/>
        <w:rPr>
          <w:lang w:val="es-ES"/>
        </w:rPr>
      </w:pPr>
      <w:r>
        <w:rPr>
          <w:bCs/>
          <w:lang w:val="es-ES"/>
        </w:rPr>
        <w:t>5</w:t>
      </w:r>
      <w:r>
        <w:rPr>
          <w:lang w:val="es-ES"/>
        </w:rPr>
        <w:tab/>
      </w:r>
      <w:r>
        <w:rPr>
          <w:bCs/>
          <w:lang w:val="es-ES"/>
        </w:rPr>
        <w:t>Medidas de seguimiento solicitadas por el GAR en su reunión de 2025</w:t>
      </w:r>
    </w:p>
    <w:p w14:paraId="2FA34F40" w14:textId="77777777" w:rsidR="00F90687" w:rsidRPr="00D01345" w:rsidRDefault="00F90687" w:rsidP="00F90687">
      <w:pPr>
        <w:rPr>
          <w:lang w:val="es-ES"/>
        </w:rPr>
      </w:pPr>
      <w:r>
        <w:rPr>
          <w:lang w:val="es-ES"/>
        </w:rPr>
        <w:t>La Oficina llevó a cabo las siguientes acciones, que han sido aprobadas por el Director de la BR sobre la base de las recomendaciones proporcionadas por el GAR durante su reunión de abril de 2025.</w:t>
      </w:r>
    </w:p>
    <w:p w14:paraId="2724297C" w14:textId="77777777" w:rsidR="00F90687" w:rsidRPr="00D01345" w:rsidRDefault="00F90687" w:rsidP="00F90687">
      <w:pPr>
        <w:pStyle w:val="enumlev1"/>
        <w:rPr>
          <w:lang w:val="es-ES"/>
        </w:rPr>
      </w:pPr>
      <w:r>
        <w:rPr>
          <w:lang w:val="es-ES"/>
        </w:rPr>
        <w:t>−</w:t>
      </w:r>
      <w:r>
        <w:rPr>
          <w:lang w:val="es-ES"/>
        </w:rPr>
        <w:tab/>
        <w:t xml:space="preserve">La Oficina envió un </w:t>
      </w:r>
      <w:hyperlink r:id="rId119" w:history="1">
        <w:r w:rsidRPr="00CB3157">
          <w:rPr>
            <w:rStyle w:val="Hyperlink"/>
            <w:lang w:val="es-ES"/>
          </w:rPr>
          <w:t>documento</w:t>
        </w:r>
      </w:hyperlink>
      <w:r>
        <w:rPr>
          <w:lang w:val="es-ES"/>
        </w:rPr>
        <w:t xml:space="preserve"> a todas las CE y GT del UIT-R y al CCV, señalando a la atención de las Comisiones de Estudio (CE) del UIT-R, sus grupos subordinados y sus Presidentes el Resumen de Conclusiones de la 32ª reunión del GAR, que figura en la Circular Administrativa </w:t>
      </w:r>
      <w:hyperlink r:id="rId120" w:history="1">
        <w:r w:rsidRPr="003602B5">
          <w:rPr>
            <w:rStyle w:val="Hyperlink"/>
            <w:lang w:val="es-ES"/>
          </w:rPr>
          <w:t>CA/277</w:t>
        </w:r>
      </w:hyperlink>
      <w:r>
        <w:rPr>
          <w:lang w:val="es-ES"/>
        </w:rPr>
        <w:t>, y proporcionó información adicional sobre varias de esas conclusiones relacionadas con las actividades de las CE. Todas las CE reconocieron este documento y actuaron en consecuencia.</w:t>
      </w:r>
      <w:hyperlink r:id="rId121" w:history="1"/>
      <w:hyperlink r:id="rId122" w:history="1"/>
    </w:p>
    <w:p w14:paraId="31584EB8" w14:textId="77777777" w:rsidR="00F90687" w:rsidRPr="00D01345" w:rsidRDefault="00F90687" w:rsidP="00F90687">
      <w:pPr>
        <w:pStyle w:val="enumlev1"/>
        <w:rPr>
          <w:lang w:val="es-ES"/>
        </w:rPr>
      </w:pPr>
      <w:r>
        <w:rPr>
          <w:lang w:val="es-ES"/>
        </w:rPr>
        <w:t>−</w:t>
      </w:r>
      <w:r>
        <w:rPr>
          <w:lang w:val="es-ES"/>
        </w:rPr>
        <w:tab/>
        <w:t>A petición de las administraciones, todas las reuniones de las CE del UIT-R contaron con servicios de interpretación en francés y ruso.</w:t>
      </w:r>
    </w:p>
    <w:p w14:paraId="23D0A610" w14:textId="77777777" w:rsidR="00F90687" w:rsidRPr="00D01345" w:rsidRDefault="00F90687" w:rsidP="00F90687">
      <w:pPr>
        <w:pStyle w:val="enumlev1"/>
        <w:rPr>
          <w:lang w:val="es-ES"/>
        </w:rPr>
      </w:pPr>
      <w:r>
        <w:rPr>
          <w:lang w:val="es-ES"/>
        </w:rPr>
        <w:t>−</w:t>
      </w:r>
      <w:r>
        <w:rPr>
          <w:lang w:val="es-ES"/>
        </w:rPr>
        <w:tab/>
        <w:t>Los informes de situación sobre la aplicación de las Resoluciones del UIT-R y C(A)MR proporcionados por cada Comisión de Estudio están disponibles en sus respectivas páginas web y/o se incluirán en los Informes del Presidente de la CE a la AR-27, según proceda. La información pertinente para el CCV figura en la sección 4.8 anterior.</w:t>
      </w:r>
    </w:p>
    <w:p w14:paraId="167F76A7" w14:textId="77777777" w:rsidR="00F90687" w:rsidRPr="00D01345" w:rsidRDefault="00F90687" w:rsidP="00F90687">
      <w:pPr>
        <w:pStyle w:val="enumlev1"/>
        <w:rPr>
          <w:lang w:val="es-ES"/>
        </w:rPr>
      </w:pPr>
      <w:r>
        <w:rPr>
          <w:lang w:val="es-ES"/>
        </w:rPr>
        <w:t>−</w:t>
      </w:r>
      <w:r>
        <w:rPr>
          <w:lang w:val="es-ES"/>
        </w:rPr>
        <w:tab/>
        <w:t xml:space="preserve">En el Documento </w:t>
      </w:r>
      <w:hyperlink r:id="rId123" w:history="1">
        <w:r w:rsidRPr="006655C9">
          <w:rPr>
            <w:rStyle w:val="Hyperlink"/>
            <w:lang w:val="es-ES"/>
          </w:rPr>
          <w:t>RAG/58</w:t>
        </w:r>
      </w:hyperlink>
      <w:r>
        <w:rPr>
          <w:lang w:val="es-ES"/>
        </w:rPr>
        <w:t xml:space="preserve"> (Anexo 1 al Add.1) figura una versión actualizada de las Directrices asociadas con la Resolución UIT-R 1-9 que contiene las modificaciones propuestas por algunas administraciones.</w:t>
      </w:r>
      <w:hyperlink r:id="rId124" w:history="1"/>
    </w:p>
    <w:p w14:paraId="32F7990B" w14:textId="5FEE44FA" w:rsidR="00F90687" w:rsidRPr="00D01345" w:rsidRDefault="00F90687" w:rsidP="00F90687">
      <w:pPr>
        <w:pStyle w:val="enumlev1"/>
        <w:rPr>
          <w:lang w:val="es-ES"/>
        </w:rPr>
      </w:pPr>
      <w:r>
        <w:rPr>
          <w:lang w:val="es-ES"/>
        </w:rPr>
        <w:t>−</w:t>
      </w:r>
      <w:r>
        <w:rPr>
          <w:lang w:val="es-ES"/>
        </w:rPr>
        <w:tab/>
        <w:t xml:space="preserve">La Oficina preparó un extracto del Reglamento General de las conferencias, asambleas y reuniones de la Unión relativo a la gestión de las reuniones de las CE y lo publicó </w:t>
      </w:r>
      <w:hyperlink r:id="rId125" w:history="1">
        <w:r w:rsidR="000E42B8">
          <w:rPr>
            <w:rStyle w:val="Hyperlink"/>
            <w:lang w:val="es-ES"/>
          </w:rPr>
          <w:t>en línea</w:t>
        </w:r>
      </w:hyperlink>
      <w:r>
        <w:rPr>
          <w:lang w:val="es-ES"/>
        </w:rPr>
        <w:t>.</w:t>
      </w:r>
      <w:hyperlink r:id="rId126" w:history="1"/>
    </w:p>
    <w:p w14:paraId="5FB7138F" w14:textId="06FED232" w:rsidR="00F90687" w:rsidRPr="00D01345" w:rsidRDefault="00F90687" w:rsidP="00F90687">
      <w:pPr>
        <w:pStyle w:val="enumlev1"/>
        <w:rPr>
          <w:lang w:val="es-ES"/>
        </w:rPr>
      </w:pPr>
      <w:r>
        <w:rPr>
          <w:lang w:val="es-ES"/>
        </w:rPr>
        <w:t>−</w:t>
      </w:r>
      <w:r>
        <w:rPr>
          <w:lang w:val="es-ES"/>
        </w:rPr>
        <w:tab/>
        <w:t xml:space="preserve">En cuanto al formato de los órdenes del día de los Grupos de Trabajo y los Informes de los Presidentes, la Oficina ha preparado ejemplos de ellos y los ha puesto a disposición </w:t>
      </w:r>
      <w:hyperlink r:id="rId127" w:history="1">
        <w:r w:rsidRPr="00851D19">
          <w:rPr>
            <w:rStyle w:val="Hyperlink"/>
            <w:lang w:val="es-ES"/>
          </w:rPr>
          <w:t>en línea</w:t>
        </w:r>
      </w:hyperlink>
      <w:r>
        <w:rPr>
          <w:lang w:val="es-ES"/>
        </w:rPr>
        <w:t>.</w:t>
      </w:r>
      <w:hyperlink r:id="rId128" w:history="1"/>
    </w:p>
    <w:p w14:paraId="0D76499E" w14:textId="77777777" w:rsidR="00F90687" w:rsidRPr="00D01345" w:rsidRDefault="00F90687" w:rsidP="00F90687">
      <w:pPr>
        <w:pStyle w:val="enumlev1"/>
        <w:rPr>
          <w:lang w:val="es-ES"/>
        </w:rPr>
      </w:pPr>
      <w:r>
        <w:rPr>
          <w:lang w:val="es-ES"/>
        </w:rPr>
        <w:lastRenderedPageBreak/>
        <w:t>−</w:t>
      </w:r>
      <w:r>
        <w:rPr>
          <w:lang w:val="es-ES"/>
        </w:rPr>
        <w:tab/>
        <w:t xml:space="preserve">En el Documento </w:t>
      </w:r>
      <w:hyperlink r:id="rId129" w:history="1">
        <w:r w:rsidRPr="00BC45DE">
          <w:rPr>
            <w:rStyle w:val="Hyperlink"/>
            <w:lang w:val="es-ES"/>
          </w:rPr>
          <w:t>RAG/58</w:t>
        </w:r>
      </w:hyperlink>
      <w:r>
        <w:rPr>
          <w:lang w:val="es-ES"/>
        </w:rPr>
        <w:t xml:space="preserve"> (Anexo 2 al Addéndum 1) figura un informe sobre los retos, solapamientos y oportunidades de mejora del ámbito de trabajo actual.</w:t>
      </w:r>
      <w:hyperlink r:id="rId130" w:history="1"/>
    </w:p>
    <w:p w14:paraId="0DF2DEC2" w14:textId="77777777" w:rsidR="00F90687" w:rsidRPr="00D01345" w:rsidRDefault="00F90687" w:rsidP="00F90687">
      <w:pPr>
        <w:pStyle w:val="enumlev1"/>
        <w:rPr>
          <w:lang w:val="es-ES"/>
        </w:rPr>
      </w:pPr>
      <w:r>
        <w:rPr>
          <w:lang w:val="es-ES"/>
        </w:rPr>
        <w:t>−</w:t>
      </w:r>
      <w:r>
        <w:rPr>
          <w:lang w:val="es-ES"/>
        </w:rPr>
        <w:tab/>
        <w:t xml:space="preserve">Se publicó una Carta Circular en la que se invita a las administraciones a alentar a expertos y científicos de las Instituciones Académicas y de investigación a participar y contribuir a los trabajos de la CE 3 (véase </w:t>
      </w:r>
      <w:hyperlink r:id="rId131" w:history="1">
        <w:r w:rsidRPr="00A75DBE">
          <w:rPr>
            <w:rStyle w:val="Hyperlink"/>
            <w:lang w:val="es-ES"/>
          </w:rPr>
          <w:t>CACE/1151</w:t>
        </w:r>
      </w:hyperlink>
      <w:r>
        <w:rPr>
          <w:lang w:val="es-ES"/>
        </w:rPr>
        <w:t>).</w:t>
      </w:r>
      <w:hyperlink r:id="rId132" w:history="1"/>
    </w:p>
    <w:p w14:paraId="5DFEC2DD" w14:textId="77777777" w:rsidR="00F90687" w:rsidRPr="00A32BE8" w:rsidRDefault="00F90687" w:rsidP="00411C49">
      <w:pPr>
        <w:pStyle w:val="Reasons"/>
        <w:rPr>
          <w:lang w:val="es-ES"/>
        </w:rPr>
      </w:pPr>
    </w:p>
    <w:p w14:paraId="3FBC0AE0" w14:textId="6F170FD0" w:rsidR="00F77D5F" w:rsidRDefault="00F90687" w:rsidP="00F90687">
      <w:pPr>
        <w:jc w:val="center"/>
      </w:pPr>
      <w:r>
        <w:t>______________</w:t>
      </w:r>
    </w:p>
    <w:sectPr w:rsidR="00F77D5F" w:rsidSect="004D6C09">
      <w:headerReference w:type="default" r:id="rId133"/>
      <w:footerReference w:type="first" r:id="rId13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5CCF" w14:textId="77777777" w:rsidR="00F90687" w:rsidRDefault="00F90687">
      <w:r>
        <w:separator/>
      </w:r>
    </w:p>
  </w:endnote>
  <w:endnote w:type="continuationSeparator" w:id="0">
    <w:p w14:paraId="60EF26B7" w14:textId="77777777" w:rsidR="00F90687" w:rsidRDefault="00F9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E86C" w14:textId="77777777" w:rsidR="00616601" w:rsidRDefault="00E72EA7" w:rsidP="00AB4BAD">
    <w:pPr>
      <w:pStyle w:val="Footer"/>
      <w:rPr>
        <w:lang w:val="en-US"/>
      </w:rPr>
    </w:pPr>
    <w:r>
      <w:fldChar w:fldCharType="begin"/>
    </w:r>
    <w:r w:rsidRPr="00E72EA7">
      <w:rPr>
        <w:lang w:val="en-US"/>
      </w:rPr>
      <w:instrText xml:space="preserve"> FILENAME \p \* MERGEFORMAT </w:instrText>
    </w:r>
    <w:r>
      <w:fldChar w:fldCharType="separate"/>
    </w:r>
    <w:r w:rsidR="00F90687">
      <w:rPr>
        <w:lang w:val="en-US"/>
      </w:rPr>
      <w:t>Document1</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510A" w14:textId="77777777" w:rsidR="00F90687" w:rsidRDefault="00F90687">
      <w:r>
        <w:t>____________________</w:t>
      </w:r>
    </w:p>
  </w:footnote>
  <w:footnote w:type="continuationSeparator" w:id="0">
    <w:p w14:paraId="701CBD6A" w14:textId="77777777" w:rsidR="00F90687" w:rsidRDefault="00F9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C62B"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55C148D2" w14:textId="40BED678" w:rsidR="00616601" w:rsidRDefault="0034043B" w:rsidP="00AB4BAD">
    <w:pPr>
      <w:pStyle w:val="Header"/>
      <w:rPr>
        <w:lang w:val="es-ES"/>
      </w:rPr>
    </w:pPr>
    <w:r>
      <w:rPr>
        <w:lang w:val="es-ES"/>
      </w:rPr>
      <w:t>RAG</w:t>
    </w:r>
    <w:r w:rsidR="00616601">
      <w:rPr>
        <w:lang w:val="es-ES"/>
      </w:rPr>
      <w:t>/</w:t>
    </w:r>
    <w:r w:rsidR="004160B4">
      <w:rPr>
        <w:lang w:val="es-ES"/>
      </w:rPr>
      <w:t>58(Add.1)</w:t>
    </w:r>
    <w:r w:rsidR="00616601">
      <w:rPr>
        <w:lang w:val="es-E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87"/>
    <w:rsid w:val="000345B6"/>
    <w:rsid w:val="000C24B9"/>
    <w:rsid w:val="000C62BA"/>
    <w:rsid w:val="000D756D"/>
    <w:rsid w:val="000E42B8"/>
    <w:rsid w:val="0012592F"/>
    <w:rsid w:val="0016116E"/>
    <w:rsid w:val="001F2F50"/>
    <w:rsid w:val="002B7E1E"/>
    <w:rsid w:val="0031432E"/>
    <w:rsid w:val="0034043B"/>
    <w:rsid w:val="00414D8B"/>
    <w:rsid w:val="004160B4"/>
    <w:rsid w:val="00482905"/>
    <w:rsid w:val="00494752"/>
    <w:rsid w:val="004D6C09"/>
    <w:rsid w:val="0057336B"/>
    <w:rsid w:val="005846ED"/>
    <w:rsid w:val="005A2195"/>
    <w:rsid w:val="005D3E02"/>
    <w:rsid w:val="005E658C"/>
    <w:rsid w:val="00610642"/>
    <w:rsid w:val="00616601"/>
    <w:rsid w:val="00646EEF"/>
    <w:rsid w:val="00663829"/>
    <w:rsid w:val="006A42AB"/>
    <w:rsid w:val="006B5313"/>
    <w:rsid w:val="006E291F"/>
    <w:rsid w:val="0070269C"/>
    <w:rsid w:val="008506C9"/>
    <w:rsid w:val="008F0106"/>
    <w:rsid w:val="00924B63"/>
    <w:rsid w:val="00982618"/>
    <w:rsid w:val="009C205E"/>
    <w:rsid w:val="00A0579C"/>
    <w:rsid w:val="00A32BE8"/>
    <w:rsid w:val="00A71E28"/>
    <w:rsid w:val="00A7663C"/>
    <w:rsid w:val="00AB4BAD"/>
    <w:rsid w:val="00AC0A45"/>
    <w:rsid w:val="00AD7E39"/>
    <w:rsid w:val="00B32E51"/>
    <w:rsid w:val="00B74B80"/>
    <w:rsid w:val="00C262FD"/>
    <w:rsid w:val="00C837F0"/>
    <w:rsid w:val="00CB7A43"/>
    <w:rsid w:val="00CC3262"/>
    <w:rsid w:val="00CF4CAC"/>
    <w:rsid w:val="00D51E1E"/>
    <w:rsid w:val="00DE77E6"/>
    <w:rsid w:val="00E72EA7"/>
    <w:rsid w:val="00EA4101"/>
    <w:rsid w:val="00EF0E26"/>
    <w:rsid w:val="00F23715"/>
    <w:rsid w:val="00F77D5F"/>
    <w:rsid w:val="00F90687"/>
    <w:rsid w:val="00FF7F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A112E"/>
  <w15:docId w15:val="{53D015A4-F5D6-4D55-99F4-47B06C72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link w:val="Heading2Char"/>
    <w:qFormat/>
    <w:rsid w:val="004D6C09"/>
    <w:pPr>
      <w:spacing w:before="240"/>
      <w:outlineLvl w:val="1"/>
    </w:pPr>
  </w:style>
  <w:style w:type="paragraph" w:styleId="Heading3">
    <w:name w:val="heading 3"/>
    <w:basedOn w:val="Heading1"/>
    <w:next w:val="Normal"/>
    <w:link w:val="Heading3Char"/>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link w:val="TableheadChar"/>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link w:val="enumlev1Char"/>
    <w:qFormat/>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link w:val="Title1Char"/>
    <w:qFormat/>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Title1Char">
    <w:name w:val="Title 1 Char"/>
    <w:link w:val="Title1"/>
    <w:qFormat/>
    <w:locked/>
    <w:rsid w:val="00F90687"/>
    <w:rPr>
      <w:rFonts w:ascii="Times New Roman" w:hAnsi="Times New Roman"/>
      <w:caps/>
      <w:sz w:val="28"/>
      <w:lang w:val="es-ES_tradnl"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qFormat/>
    <w:rsid w:val="00F90687"/>
    <w:rPr>
      <w:color w:val="0000FF"/>
      <w:u w:val="single"/>
    </w:rPr>
  </w:style>
  <w:style w:type="table" w:styleId="TableGrid">
    <w:name w:val="Table Grid"/>
    <w:basedOn w:val="TableNormal"/>
    <w:rsid w:val="00F906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F90687"/>
    <w:rPr>
      <w:rFonts w:ascii="Times New Roman" w:hAnsi="Times New Roman"/>
      <w:b/>
      <w:sz w:val="24"/>
      <w:lang w:val="es-ES_tradnl" w:eastAsia="en-US"/>
    </w:rPr>
  </w:style>
  <w:style w:type="character" w:customStyle="1" w:styleId="Heading2Char">
    <w:name w:val="Heading 2 Char"/>
    <w:basedOn w:val="DefaultParagraphFont"/>
    <w:link w:val="Heading2"/>
    <w:rsid w:val="00F90687"/>
    <w:rPr>
      <w:rFonts w:ascii="Times New Roman" w:hAnsi="Times New Roman"/>
      <w:b/>
      <w:sz w:val="24"/>
      <w:lang w:val="es-ES_tradnl" w:eastAsia="en-US"/>
    </w:rPr>
  </w:style>
  <w:style w:type="character" w:customStyle="1" w:styleId="Heading3Char">
    <w:name w:val="Heading 3 Char"/>
    <w:basedOn w:val="DefaultParagraphFont"/>
    <w:link w:val="Heading3"/>
    <w:rsid w:val="00F90687"/>
    <w:rPr>
      <w:rFonts w:ascii="Times New Roman" w:hAnsi="Times New Roman"/>
      <w:b/>
      <w:sz w:val="24"/>
      <w:lang w:val="es-ES_tradnl" w:eastAsia="en-US"/>
    </w:rPr>
  </w:style>
  <w:style w:type="character" w:customStyle="1" w:styleId="TabletextChar">
    <w:name w:val="Table_text Char"/>
    <w:basedOn w:val="DefaultParagraphFont"/>
    <w:link w:val="Tabletext"/>
    <w:locked/>
    <w:rsid w:val="00F90687"/>
    <w:rPr>
      <w:rFonts w:ascii="Times New Roman" w:hAnsi="Times New Roman"/>
      <w:sz w:val="22"/>
      <w:lang w:val="es-ES_tradnl" w:eastAsia="en-US"/>
    </w:rPr>
  </w:style>
  <w:style w:type="character" w:customStyle="1" w:styleId="enumlev1Char">
    <w:name w:val="enumlev1 Char"/>
    <w:basedOn w:val="DefaultParagraphFont"/>
    <w:link w:val="enumlev1"/>
    <w:locked/>
    <w:rsid w:val="00F90687"/>
    <w:rPr>
      <w:rFonts w:ascii="Times New Roman" w:hAnsi="Times New Roman"/>
      <w:sz w:val="24"/>
      <w:lang w:val="es-ES_tradnl" w:eastAsia="en-US"/>
    </w:rPr>
  </w:style>
  <w:style w:type="table" w:customStyle="1" w:styleId="TableGrid1">
    <w:name w:val="Table Grid1"/>
    <w:basedOn w:val="TableNormal"/>
    <w:next w:val="TableGrid"/>
    <w:rsid w:val="00F90687"/>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rsid w:val="00F90687"/>
    <w:rPr>
      <w:rFonts w:ascii="Times New Roman" w:hAnsi="Times New Roman"/>
      <w:b/>
      <w:sz w:val="22"/>
      <w:lang w:val="es-ES_tradnl" w:eastAsia="en-US"/>
    </w:rPr>
  </w:style>
  <w:style w:type="paragraph" w:customStyle="1" w:styleId="Tablefin">
    <w:name w:val="Table_fin"/>
    <w:basedOn w:val="Tabletext"/>
    <w:rsid w:val="00F90687"/>
    <w:rPr>
      <w:sz w:val="20"/>
      <w:lang w:val="en-GB"/>
    </w:rPr>
  </w:style>
  <w:style w:type="paragraph" w:customStyle="1" w:styleId="Figuretitle">
    <w:name w:val="Figure_title"/>
    <w:basedOn w:val="Normal"/>
    <w:next w:val="Normal"/>
    <w:rsid w:val="00F90687"/>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US"/>
    </w:rPr>
  </w:style>
  <w:style w:type="paragraph" w:customStyle="1" w:styleId="FigureNo">
    <w:name w:val="Figure_No"/>
    <w:basedOn w:val="Normal"/>
    <w:next w:val="Normal"/>
    <w:rsid w:val="00F90687"/>
    <w:pPr>
      <w:keepNext/>
      <w:keepLines/>
      <w:tabs>
        <w:tab w:val="clear" w:pos="794"/>
        <w:tab w:val="clear" w:pos="1191"/>
        <w:tab w:val="clear" w:pos="1588"/>
        <w:tab w:val="clear" w:pos="1985"/>
        <w:tab w:val="left" w:pos="1134"/>
        <w:tab w:val="left" w:pos="1871"/>
        <w:tab w:val="left" w:pos="2268"/>
      </w:tabs>
      <w:spacing w:before="480" w:after="120"/>
      <w:jc w:val="center"/>
    </w:pPr>
    <w:rPr>
      <w:sz w:val="20"/>
      <w:lang w:val="en-GB"/>
    </w:rPr>
  </w:style>
  <w:style w:type="paragraph" w:customStyle="1" w:styleId="Reasons">
    <w:name w:val="Reasons"/>
    <w:basedOn w:val="Normal"/>
    <w:qFormat/>
    <w:rsid w:val="00F90687"/>
    <w:pPr>
      <w:tabs>
        <w:tab w:val="clear" w:pos="794"/>
        <w:tab w:val="clear" w:pos="1191"/>
        <w:tab w:val="clear" w:pos="1588"/>
        <w:tab w:val="clear" w:pos="1985"/>
      </w:tabs>
      <w:overflowPunct/>
      <w:autoSpaceDE/>
      <w:autoSpaceDN/>
      <w:adjustRightInd/>
      <w:spacing w:before="0"/>
      <w:textAlignment w:val="auto"/>
    </w:pPr>
    <w:rPr>
      <w:lang w:val="en-US"/>
    </w:rPr>
  </w:style>
  <w:style w:type="character" w:styleId="UnresolvedMention">
    <w:name w:val="Unresolved Mention"/>
    <w:basedOn w:val="DefaultParagraphFont"/>
    <w:uiPriority w:val="99"/>
    <w:semiHidden/>
    <w:unhideWhenUsed/>
    <w:rsid w:val="000345B6"/>
    <w:rPr>
      <w:color w:val="605E5C"/>
      <w:shd w:val="clear" w:color="auto" w:fill="E1DFDD"/>
    </w:rPr>
  </w:style>
  <w:style w:type="character" w:styleId="FollowedHyperlink">
    <w:name w:val="FollowedHyperlink"/>
    <w:basedOn w:val="DefaultParagraphFont"/>
    <w:semiHidden/>
    <w:unhideWhenUsed/>
    <w:rsid w:val="000345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R23-RAG-C-0058/es" TargetMode="External"/><Relationship Id="rId21" Type="http://schemas.openxmlformats.org/officeDocument/2006/relationships/hyperlink" Target="https://www.itu.int/rec/R-REC-P.617/es" TargetMode="External"/><Relationship Id="rId42" Type="http://schemas.openxmlformats.org/officeDocument/2006/relationships/hyperlink" Target="https://www.itu.int/pub/R-REP-M.2560/es" TargetMode="External"/><Relationship Id="rId63" Type="http://schemas.openxmlformats.org/officeDocument/2006/relationships/hyperlink" Target="https://www.itu.int/pub/R-REP-BT.2400/es" TargetMode="External"/><Relationship Id="rId84" Type="http://schemas.openxmlformats.org/officeDocument/2006/relationships/hyperlink" Target="https://www.itu.int/md/R00-CACE-CIR-1131/en" TargetMode="External"/><Relationship Id="rId16" Type="http://schemas.openxmlformats.org/officeDocument/2006/relationships/hyperlink" Target="https://www.itu.int/rec/R-REC-P.310/es" TargetMode="External"/><Relationship Id="rId107" Type="http://schemas.openxmlformats.org/officeDocument/2006/relationships/hyperlink" Target="https://www.itu.int/oth/R0A0E000097/es" TargetMode="External"/><Relationship Id="rId11" Type="http://schemas.openxmlformats.org/officeDocument/2006/relationships/hyperlink" Target="https://www.itu.int/md/R23-RAG-C-0058/en" TargetMode="External"/><Relationship Id="rId32" Type="http://schemas.openxmlformats.org/officeDocument/2006/relationships/hyperlink" Target="https://www.itu.int/rec/R-REC-P.2170/es" TargetMode="External"/><Relationship Id="rId37" Type="http://schemas.openxmlformats.org/officeDocument/2006/relationships/hyperlink" Target="https://www.itu.int/pub/R-REP-M.2564/es" TargetMode="External"/><Relationship Id="rId53" Type="http://schemas.openxmlformats.org/officeDocument/2006/relationships/hyperlink" Target="https://www.itu.int/rec/R-REC-BT.2111/es" TargetMode="External"/><Relationship Id="rId58" Type="http://schemas.openxmlformats.org/officeDocument/2006/relationships/hyperlink" Target="https://www.itu.int/pub/R-REP-BT.2207/es" TargetMode="External"/><Relationship Id="rId74" Type="http://schemas.openxmlformats.org/officeDocument/2006/relationships/hyperlink" Target="https://www.itu.int/rec/R-REC-SA.2141/es" TargetMode="External"/><Relationship Id="rId79" Type="http://schemas.openxmlformats.org/officeDocument/2006/relationships/hyperlink" Target="https://www.itu.int/pub/R-REP-RS.2489/es" TargetMode="External"/><Relationship Id="rId102" Type="http://schemas.openxmlformats.org/officeDocument/2006/relationships/hyperlink" Target="https://www.itu.int/md/R00-CACE-CIR-1168/en" TargetMode="External"/><Relationship Id="rId123" Type="http://schemas.openxmlformats.org/officeDocument/2006/relationships/hyperlink" Target="https://www.itu.int/md/R23-RAG-C-0058/es" TargetMode="External"/><Relationship Id="rId128" Type="http://schemas.openxmlformats.org/officeDocument/2006/relationships/hyperlink" Target="https://www.itu.int/oth/R0A0D00002C" TargetMode="External"/><Relationship Id="rId5" Type="http://schemas.openxmlformats.org/officeDocument/2006/relationships/endnotes" Target="endnotes.xml"/><Relationship Id="rId90" Type="http://schemas.openxmlformats.org/officeDocument/2006/relationships/hyperlink" Target="https://www.itu.int/md/R00-CA-CIR-0277/en" TargetMode="External"/><Relationship Id="rId95" Type="http://schemas.openxmlformats.org/officeDocument/2006/relationships/hyperlink" Target="https://www.itu.int/en/ITU-R/seminars/ML-in-radio-prop/Pages/default.aspx" TargetMode="External"/><Relationship Id="rId22" Type="http://schemas.openxmlformats.org/officeDocument/2006/relationships/hyperlink" Target="https://www.itu.int/rec/R-REC-P.619/es" TargetMode="External"/><Relationship Id="rId27" Type="http://schemas.openxmlformats.org/officeDocument/2006/relationships/hyperlink" Target="https://www.itu.int/rec/R-REC-P.1411/es" TargetMode="External"/><Relationship Id="rId43" Type="http://schemas.openxmlformats.org/officeDocument/2006/relationships/hyperlink" Target="https://www.itu.int/pub/R-REP-M.2561/es" TargetMode="External"/><Relationship Id="rId48" Type="http://schemas.openxmlformats.org/officeDocument/2006/relationships/hyperlink" Target="https://www.itu.int/rec/R-REC-BS.1114/es" TargetMode="External"/><Relationship Id="rId64" Type="http://schemas.openxmlformats.org/officeDocument/2006/relationships/hyperlink" Target="https://www.itu.int/pub/R-REP-BT.2420/es" TargetMode="External"/><Relationship Id="rId69" Type="http://schemas.openxmlformats.org/officeDocument/2006/relationships/hyperlink" Target="https://www.itu.int/pub/R-REP-BT.2550/es" TargetMode="External"/><Relationship Id="rId113" Type="http://schemas.openxmlformats.org/officeDocument/2006/relationships/hyperlink" Target="https://www.itu.int/en/general-secretariat/Pages/coordination-committee-for-terminology.aspx" TargetMode="External"/><Relationship Id="rId118" Type="http://schemas.openxmlformats.org/officeDocument/2006/relationships/hyperlink" Target="https://www.itu.int/md/R23-RAG-C-0058/en" TargetMode="External"/><Relationship Id="rId134" Type="http://schemas.openxmlformats.org/officeDocument/2006/relationships/footer" Target="footer1.xml"/><Relationship Id="rId80" Type="http://schemas.openxmlformats.org/officeDocument/2006/relationships/hyperlink" Target="https://www.itu.int/pub/R-REP-SA.2553/es" TargetMode="External"/><Relationship Id="rId85" Type="http://schemas.openxmlformats.org/officeDocument/2006/relationships/hyperlink" Target="https://www.itu.int/md/R00-SG01-CIR-0113/en" TargetMode="External"/><Relationship Id="rId12" Type="http://schemas.openxmlformats.org/officeDocument/2006/relationships/hyperlink" Target="https://www.itu.int/rec/R-REC-SM.328/es" TargetMode="External"/><Relationship Id="rId17" Type="http://schemas.openxmlformats.org/officeDocument/2006/relationships/hyperlink" Target="https://www.itu.int/rec/R-REC-P.311/es" TargetMode="External"/><Relationship Id="rId33" Type="http://schemas.openxmlformats.org/officeDocument/2006/relationships/hyperlink" Target="https://www.itu.int/pub/R-REP-P.2345/es" TargetMode="External"/><Relationship Id="rId38" Type="http://schemas.openxmlformats.org/officeDocument/2006/relationships/hyperlink" Target="https://www.itu.int/pub/R-REP-S.2565/es" TargetMode="External"/><Relationship Id="rId59" Type="http://schemas.openxmlformats.org/officeDocument/2006/relationships/hyperlink" Target="https://www.itu.int/pub/R-REP-BT.2246/es" TargetMode="External"/><Relationship Id="rId103" Type="http://schemas.openxmlformats.org/officeDocument/2006/relationships/hyperlink" Target="https://www.itu.int/en/ITU-R/seminars/Fixed-Wireless-Service/Pages/default.aspx" TargetMode="External"/><Relationship Id="rId108" Type="http://schemas.openxmlformats.org/officeDocument/2006/relationships/hyperlink" Target="http://www.itu.int/oth/R0A0E000097" TargetMode="External"/><Relationship Id="rId124" Type="http://schemas.openxmlformats.org/officeDocument/2006/relationships/hyperlink" Target="https://www.itu.int/md/R23-RAG-C-0058/en" TargetMode="External"/><Relationship Id="rId129" Type="http://schemas.openxmlformats.org/officeDocument/2006/relationships/hyperlink" Target="https://www.itu.int/md/R23-RAG-C-0058/es" TargetMode="External"/><Relationship Id="rId54" Type="http://schemas.openxmlformats.org/officeDocument/2006/relationships/hyperlink" Target="https://www.itu.int/pub/R-REP-BS.2388/es" TargetMode="External"/><Relationship Id="rId70" Type="http://schemas.openxmlformats.org/officeDocument/2006/relationships/hyperlink" Target="https://www.itu.int/pub/R-REP-BT.2556/es" TargetMode="External"/><Relationship Id="rId75" Type="http://schemas.openxmlformats.org/officeDocument/2006/relationships/hyperlink" Target="https://www.itu.int/rec/R-REC-SA.2169/es" TargetMode="External"/><Relationship Id="rId91" Type="http://schemas.openxmlformats.org/officeDocument/2006/relationships/hyperlink" Target="https://www.itu.int/md/R23-SG01-C-0045/en" TargetMode="External"/><Relationship Id="rId96" Type="http://schemas.openxmlformats.org/officeDocument/2006/relationships/hyperlink" Target="https://www.itu.int/en/ITU-R/seminars/ML-in-radio-prop/Pages/default.aspx" TargetMode="External"/><Relationship Id="rId1" Type="http://schemas.openxmlformats.org/officeDocument/2006/relationships/styles" Target="styles.xml"/><Relationship Id="rId6" Type="http://schemas.openxmlformats.org/officeDocument/2006/relationships/image" Target="media/image1.jpeg"/><Relationship Id="rId23" Type="http://schemas.openxmlformats.org/officeDocument/2006/relationships/hyperlink" Target="https://www.itu.int/rec/R-REC-P.837/es" TargetMode="External"/><Relationship Id="rId28" Type="http://schemas.openxmlformats.org/officeDocument/2006/relationships/hyperlink" Target="https://www.itu.int/rec/R-REC-P.1812/es" TargetMode="External"/><Relationship Id="rId49" Type="http://schemas.openxmlformats.org/officeDocument/2006/relationships/hyperlink" Target="https://www.itu.int/rec/R-REC-BS.1514/es" TargetMode="External"/><Relationship Id="rId114" Type="http://schemas.openxmlformats.org/officeDocument/2006/relationships/hyperlink" Target="https://www.itu.int/en/general-secretariat/Pages/coordination-committee-for-terminology.aspx" TargetMode="External"/><Relationship Id="rId119" Type="http://schemas.openxmlformats.org/officeDocument/2006/relationships/hyperlink" Target="https://www.itu.int/md/R23-SG01-C-0045/es" TargetMode="External"/><Relationship Id="rId44" Type="http://schemas.openxmlformats.org/officeDocument/2006/relationships/hyperlink" Target="https://www.itu.int/pub/R-REP-M.2562/es" TargetMode="External"/><Relationship Id="rId60" Type="http://schemas.openxmlformats.org/officeDocument/2006/relationships/hyperlink" Target="https://www.itu.int/pub/R-REP-BT.22997/es" TargetMode="External"/><Relationship Id="rId65" Type="http://schemas.openxmlformats.org/officeDocument/2006/relationships/hyperlink" Target="https://www.itu.int/pub/R-REP-BT.2448/es" TargetMode="External"/><Relationship Id="rId81" Type="http://schemas.openxmlformats.org/officeDocument/2006/relationships/hyperlink" Target="https://www.itu.int/rec/R-REC-V.431/es" TargetMode="External"/><Relationship Id="rId86" Type="http://schemas.openxmlformats.org/officeDocument/2006/relationships/hyperlink" Target="https://www.itu.int/md/R23-SG01-C-0001/es" TargetMode="External"/><Relationship Id="rId130" Type="http://schemas.openxmlformats.org/officeDocument/2006/relationships/hyperlink" Target="https://www.itu.int/md/R23-RAG-C-0058/en" TargetMode="External"/><Relationship Id="rId135" Type="http://schemas.openxmlformats.org/officeDocument/2006/relationships/fontTable" Target="fontTable.xml"/><Relationship Id="rId13" Type="http://schemas.openxmlformats.org/officeDocument/2006/relationships/hyperlink" Target="https://www.itu.int/rec/R-REC-SM.2110/es" TargetMode="External"/><Relationship Id="rId18" Type="http://schemas.openxmlformats.org/officeDocument/2006/relationships/hyperlink" Target="https://www.itu.int/rec/R-REC-P.526/es" TargetMode="External"/><Relationship Id="rId39" Type="http://schemas.openxmlformats.org/officeDocument/2006/relationships/hyperlink" Target="https://www.itu.int/pub/R-REP-F.2558/es" TargetMode="External"/><Relationship Id="rId109" Type="http://schemas.openxmlformats.org/officeDocument/2006/relationships/hyperlink" Target="https://www.itu.int/en/ITU-R/study-groups/rsg7/Pages/Seminar-Science-Services-RR-WRC27-2025.aspx" TargetMode="External"/><Relationship Id="rId34" Type="http://schemas.openxmlformats.org/officeDocument/2006/relationships/hyperlink" Target="https://www.itu.int/pub/R-REP-P.2554/es" TargetMode="External"/><Relationship Id="rId50" Type="http://schemas.openxmlformats.org/officeDocument/2006/relationships/hyperlink" Target="https://www.itu.int/rec/R-REC-BS.1548/es" TargetMode="External"/><Relationship Id="rId55" Type="http://schemas.openxmlformats.org/officeDocument/2006/relationships/hyperlink" Target="https://www.itu.int/pub/R-REP-BS.2555/es" TargetMode="External"/><Relationship Id="rId76" Type="http://schemas.openxmlformats.org/officeDocument/2006/relationships/hyperlink" Target="https://www.itu.int/pub/R-REP-RA.2551/es" TargetMode="External"/><Relationship Id="rId97" Type="http://schemas.openxmlformats.org/officeDocument/2006/relationships/hyperlink" Target="https://www.itu.int/pub/R-HDB-52/es" TargetMode="External"/><Relationship Id="rId104" Type="http://schemas.openxmlformats.org/officeDocument/2006/relationships/hyperlink" Target="https://www.itu.int/en/ITU-R/seminars/Fixed-Wireless-Service/Pages/default.aspx" TargetMode="External"/><Relationship Id="rId120" Type="http://schemas.openxmlformats.org/officeDocument/2006/relationships/hyperlink" Target="https://www.itu.int/md/R00-CA-CIR-0277/es" TargetMode="External"/><Relationship Id="rId125" Type="http://schemas.openxmlformats.org/officeDocument/2006/relationships/hyperlink" Target="https://www.itu.int/dms_ties/itu-r/oth/0a/0d/R0A0D00002B0001PPTE.pptx" TargetMode="External"/><Relationship Id="rId7" Type="http://schemas.openxmlformats.org/officeDocument/2006/relationships/hyperlink" Target="https://www.itu.int/md/R00-CA-CIR-0280/es" TargetMode="External"/><Relationship Id="rId71" Type="http://schemas.openxmlformats.org/officeDocument/2006/relationships/hyperlink" Target="https://www.itu.int/pub/R-REP-BT.2557/es" TargetMode="External"/><Relationship Id="rId92" Type="http://schemas.openxmlformats.org/officeDocument/2006/relationships/hyperlink" Target="https://www.itu.int/online/mm/scripts/s/gensel90?_filtertxt2=%2CITU-R+Working+Party&amp;_filtertxt3=%2CVice+-+Chair&amp;_filtertxt4=%2CITU-R+Working+Party+1A%2CITU-R+Working+Party+1B%2CITU-R+Working+Party+1C&amp;_filtertxt=&amp;_campaigntype=ITU-R+Working+Party&amp;_descr=ITU-R+Working+Party+1A&amp;_descr=ITU-R+Working+Party+1B&amp;_descr=ITU-R+Working+Party+1C&amp;_roles=Vice+-+Chair&amp;studyperiod=M-00000291" TargetMode="External"/><Relationship Id="rId2" Type="http://schemas.openxmlformats.org/officeDocument/2006/relationships/settings" Target="settings.xml"/><Relationship Id="rId29" Type="http://schemas.openxmlformats.org/officeDocument/2006/relationships/hyperlink" Target="https://www.itu.int/rec/R-REC-P.1814/es" TargetMode="External"/><Relationship Id="rId24" Type="http://schemas.openxmlformats.org/officeDocument/2006/relationships/hyperlink" Target="https://www.itu.int/rec/R-REC-P.1144/es" TargetMode="External"/><Relationship Id="rId40" Type="http://schemas.openxmlformats.org/officeDocument/2006/relationships/hyperlink" Target="https://www.itu.int/pub/R-REP-M.2039/es" TargetMode="External"/><Relationship Id="rId45" Type="http://schemas.openxmlformats.org/officeDocument/2006/relationships/hyperlink" Target="https://www.itu.int/pub/R-REP-M.2563/es" TargetMode="External"/><Relationship Id="rId66" Type="http://schemas.openxmlformats.org/officeDocument/2006/relationships/hyperlink" Target="https://www.itu.int/pub/R-REP-BT.2526/es" TargetMode="External"/><Relationship Id="rId87" Type="http://schemas.openxmlformats.org/officeDocument/2006/relationships/hyperlink" Target="https://www.itu.int/md/R00-CA-CIR-0277/es" TargetMode="External"/><Relationship Id="rId110" Type="http://schemas.openxmlformats.org/officeDocument/2006/relationships/hyperlink" Target="https://www.itu.int/en/ITU-R/study-groups/rsg7/Pages/Seminar-Science-Services-RR-WRC27-2025.aspx" TargetMode="External"/><Relationship Id="rId115" Type="http://schemas.openxmlformats.org/officeDocument/2006/relationships/hyperlink" Target="https://www.itu.int/myworkspace/terminology" TargetMode="External"/><Relationship Id="rId131" Type="http://schemas.openxmlformats.org/officeDocument/2006/relationships/hyperlink" Target="https://www.itu.int/md/R00-CACE-CIR-1151/es" TargetMode="External"/><Relationship Id="rId136" Type="http://schemas.openxmlformats.org/officeDocument/2006/relationships/theme" Target="theme/theme1.xml"/><Relationship Id="rId61" Type="http://schemas.openxmlformats.org/officeDocument/2006/relationships/hyperlink" Target="https://www.itu.int/pub/R-REP-BT.2343" TargetMode="External"/><Relationship Id="rId82" Type="http://schemas.openxmlformats.org/officeDocument/2006/relationships/hyperlink" Target="https://www.itu.int/md/R00-CACE-CIR-1131/es" TargetMode="External"/><Relationship Id="rId19" Type="http://schemas.openxmlformats.org/officeDocument/2006/relationships/hyperlink" Target="https://www.itu.int/rec/R-REC-P.530/es" TargetMode="External"/><Relationship Id="rId14" Type="http://schemas.openxmlformats.org/officeDocument/2006/relationships/hyperlink" Target="https://www.itu.int/pub/R-REP-SM.2012/es" TargetMode="External"/><Relationship Id="rId30" Type="http://schemas.openxmlformats.org/officeDocument/2006/relationships/hyperlink" Target="https://www.itu.int/rec/R-REC-P.2001/es" TargetMode="External"/><Relationship Id="rId35" Type="http://schemas.openxmlformats.org/officeDocument/2006/relationships/hyperlink" Target="https://www.itu.int/pub/R-QUE-SG03.237/es" TargetMode="External"/><Relationship Id="rId56" Type="http://schemas.openxmlformats.org/officeDocument/2006/relationships/hyperlink" Target="https://www.itu.int/pub/R-REP-BT.2295/es" TargetMode="External"/><Relationship Id="rId77" Type="http://schemas.openxmlformats.org/officeDocument/2006/relationships/hyperlink" Target="https://www.itu.int/pub/R-REP-RA.2552/es" TargetMode="External"/><Relationship Id="rId100" Type="http://schemas.openxmlformats.org/officeDocument/2006/relationships/hyperlink" Target="https://www.itu.int/md/R00-CACE-CIR-1168/es" TargetMode="External"/><Relationship Id="rId105" Type="http://schemas.openxmlformats.org/officeDocument/2006/relationships/hyperlink" Target="https://www.itu.int/md/R23-SG05-C-0116/es" TargetMode="External"/><Relationship Id="rId126" Type="http://schemas.openxmlformats.org/officeDocument/2006/relationships/hyperlink" Target="https://www.itu.int/dms_ties/itu-r/oth/0a/0d/R0A0D00002B0001PPTE.pptx" TargetMode="External"/><Relationship Id="rId8" Type="http://schemas.openxmlformats.org/officeDocument/2006/relationships/hyperlink" Target="https://www.itu.int/md/R00-CA-CIR-0280/en" TargetMode="External"/><Relationship Id="rId51" Type="http://schemas.openxmlformats.org/officeDocument/2006/relationships/hyperlink" Target="https://www.itu.int/rec/R-REC-BS.2088/es" TargetMode="External"/><Relationship Id="rId72" Type="http://schemas.openxmlformats.org/officeDocument/2006/relationships/hyperlink" Target="https://www.itu.int/rec/R-REC-RS.1166/es" TargetMode="External"/><Relationship Id="rId93" Type="http://schemas.openxmlformats.org/officeDocument/2006/relationships/hyperlink" Target="https://www.itu.int/md/R00-SG01-CIR-0115/es" TargetMode="External"/><Relationship Id="rId98" Type="http://schemas.openxmlformats.org/officeDocument/2006/relationships/hyperlink" Target="https://www.itu.int/pub/R-HDB-52" TargetMode="External"/><Relationship Id="rId121" Type="http://schemas.openxmlformats.org/officeDocument/2006/relationships/hyperlink" Target="https://www.itu.int/md/R23-SG01-C-0045/en" TargetMode="External"/><Relationship Id="rId3" Type="http://schemas.openxmlformats.org/officeDocument/2006/relationships/webSettings" Target="webSettings.xml"/><Relationship Id="rId25" Type="http://schemas.openxmlformats.org/officeDocument/2006/relationships/hyperlink" Target="https://www.itu.int/rec/R-REC-P.1238/es" TargetMode="External"/><Relationship Id="rId46" Type="http://schemas.openxmlformats.org/officeDocument/2006/relationships/hyperlink" Target="https://www.itu.int/pub/R-HDB-52" TargetMode="External"/><Relationship Id="rId67" Type="http://schemas.openxmlformats.org/officeDocument/2006/relationships/hyperlink" Target="https://www.itu.int/pub/R-REP-BT.2539/es" TargetMode="External"/><Relationship Id="rId116" Type="http://schemas.openxmlformats.org/officeDocument/2006/relationships/hyperlink" Target="https://www.itu.int/br_tsb_terms/" TargetMode="External"/><Relationship Id="rId20" Type="http://schemas.openxmlformats.org/officeDocument/2006/relationships/hyperlink" Target="https://www.itu.int/rec/R-REC-P.531/es" TargetMode="External"/><Relationship Id="rId41" Type="http://schemas.openxmlformats.org/officeDocument/2006/relationships/hyperlink" Target="https://www.itu.int/pub/R-REP-M.2559/es" TargetMode="External"/><Relationship Id="rId62" Type="http://schemas.openxmlformats.org/officeDocument/2006/relationships/hyperlink" Target="https://www.itu.int/pub/R-REP-BT.2390/es" TargetMode="External"/><Relationship Id="rId83" Type="http://schemas.openxmlformats.org/officeDocument/2006/relationships/hyperlink" Target="https://www.itu.int/md/R00-SG01-CIR-0113/es" TargetMode="External"/><Relationship Id="rId88" Type="http://schemas.openxmlformats.org/officeDocument/2006/relationships/hyperlink" Target="https://www.itu.int/md/R23-SG01-C-0045/es" TargetMode="External"/><Relationship Id="rId111" Type="http://schemas.openxmlformats.org/officeDocument/2006/relationships/hyperlink" Target="https://www.itu.int/Global-ITU-WMO/use-and-management-of-radio-spectrum-for-meteorology/" TargetMode="External"/><Relationship Id="rId132" Type="http://schemas.openxmlformats.org/officeDocument/2006/relationships/hyperlink" Target="https://www.itu.int/md/R00-CACE-CIR-1151/en" TargetMode="External"/><Relationship Id="rId15" Type="http://schemas.openxmlformats.org/officeDocument/2006/relationships/hyperlink" Target="https://www.itu.int/pub/R-REP-SM.2015/es" TargetMode="External"/><Relationship Id="rId36" Type="http://schemas.openxmlformats.org/officeDocument/2006/relationships/hyperlink" Target="https://www.itu.int/pub/R-REP-M.2305/es" TargetMode="External"/><Relationship Id="rId57" Type="http://schemas.openxmlformats.org/officeDocument/2006/relationships/hyperlink" Target="https://www.itu.int/pub/R-REP-BT.2385/es" TargetMode="External"/><Relationship Id="rId106" Type="http://schemas.openxmlformats.org/officeDocument/2006/relationships/hyperlink" Target="https://www.itu.int/md/R23-SG05-C-0116/en" TargetMode="External"/><Relationship Id="rId127" Type="http://schemas.openxmlformats.org/officeDocument/2006/relationships/hyperlink" Target="https://www.itu.int/oth/R0A0D00002C/es" TargetMode="External"/><Relationship Id="rId10" Type="http://schemas.openxmlformats.org/officeDocument/2006/relationships/hyperlink" Target="https://www.itu.int/md/R23-RAG-C-0058/es" TargetMode="External"/><Relationship Id="rId31" Type="http://schemas.openxmlformats.org/officeDocument/2006/relationships/hyperlink" Target="https://www.itu.int/rec/R-REC-P.2040/es" TargetMode="External"/><Relationship Id="rId52" Type="http://schemas.openxmlformats.org/officeDocument/2006/relationships/hyperlink" Target="https://www.itu.int/rec/R-REC-BT.1774/es" TargetMode="External"/><Relationship Id="rId73" Type="http://schemas.openxmlformats.org/officeDocument/2006/relationships/hyperlink" Target="https://www.itu.int/rec/R-REC-RS.2105/es" TargetMode="External"/><Relationship Id="rId78" Type="http://schemas.openxmlformats.org/officeDocument/2006/relationships/hyperlink" Target="https://www.itu.int/pub/R-REP-RS.2310/es" TargetMode="External"/><Relationship Id="rId94" Type="http://schemas.openxmlformats.org/officeDocument/2006/relationships/hyperlink" Target="https://www.itu.int/md/R00-SG01-CIR-0115/en" TargetMode="External"/><Relationship Id="rId99" Type="http://schemas.openxmlformats.org/officeDocument/2006/relationships/hyperlink" Target="https://www.itu.int/md/R00-CACE-CIR-1165/es" TargetMode="External"/><Relationship Id="rId101" Type="http://schemas.openxmlformats.org/officeDocument/2006/relationships/hyperlink" Target="https://www.itu.int/md/R00-CACE-CIR-1165/en" TargetMode="External"/><Relationship Id="rId122" Type="http://schemas.openxmlformats.org/officeDocument/2006/relationships/hyperlink" Target="https://www.itu.int/md/R00-CA-CIR-0277/en" TargetMode="External"/><Relationship Id="rId4" Type="http://schemas.openxmlformats.org/officeDocument/2006/relationships/footnotes" Target="footnotes.xml"/><Relationship Id="rId9" Type="http://schemas.openxmlformats.org/officeDocument/2006/relationships/chart" Target="charts/chart1.xml"/><Relationship Id="rId26" Type="http://schemas.openxmlformats.org/officeDocument/2006/relationships/hyperlink" Target="https://www.itu.int/rec/R-REC-P.1409/es" TargetMode="External"/><Relationship Id="rId47" Type="http://schemas.openxmlformats.org/officeDocument/2006/relationships/hyperlink" Target="https://www.itu.int/rec/R-REC-BS.705/es" TargetMode="External"/><Relationship Id="rId68" Type="http://schemas.openxmlformats.org/officeDocument/2006/relationships/hyperlink" Target="https://www.itu.int/pub/R-REP-BT.2549/es" TargetMode="External"/><Relationship Id="rId89" Type="http://schemas.openxmlformats.org/officeDocument/2006/relationships/hyperlink" Target="https://www.itu.int/md/R23-SG01-C-0001/en" TargetMode="External"/><Relationship Id="rId112" Type="http://schemas.openxmlformats.org/officeDocument/2006/relationships/hyperlink" Target="https://www.itu.int/Global-ITU-WMO/use-and-management-of-radio-spectrum-for-meteorology/" TargetMode="External"/><Relationship Id="rId13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BR\PS_RAG.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c:v>
                </c:pt>
              </c:strCache>
            </c:strRef>
          </c:tx>
          <c:spPr>
            <a:solidFill>
              <a:schemeClr val="accent1"/>
            </a:solidFill>
            <a:ln>
              <a:noFill/>
            </a:ln>
            <a:effectLst/>
          </c:spPr>
          <c:invertIfNegative val="0"/>
          <c:dPt>
            <c:idx val="4"/>
            <c:invertIfNegative val="0"/>
            <c:bubble3D val="0"/>
            <c:spPr>
              <a:solidFill>
                <a:srgbClr val="B85410"/>
              </a:solidFill>
              <a:ln>
                <a:noFill/>
              </a:ln>
              <a:effectLst/>
            </c:spPr>
            <c:extLst>
              <c:ext xmlns:c16="http://schemas.microsoft.com/office/drawing/2014/chart" uri="{C3380CC4-5D6E-409C-BE32-E72D297353CC}">
                <c16:uniqueId val="{00000001-0CC8-44A8-B32A-9C06027317F1}"/>
              </c:ext>
            </c:extLst>
          </c:dPt>
          <c:dPt>
            <c:idx val="5"/>
            <c:invertIfNegative val="0"/>
            <c:bubble3D val="0"/>
            <c:spPr>
              <a:solidFill>
                <a:srgbClr val="ED7D31"/>
              </a:solidFill>
              <a:ln>
                <a:noFill/>
              </a:ln>
              <a:effectLst/>
            </c:spPr>
            <c:extLst>
              <c:ext xmlns:c16="http://schemas.microsoft.com/office/drawing/2014/chart" uri="{C3380CC4-5D6E-409C-BE32-E72D297353CC}">
                <c16:uniqueId val="{00000003-0CC8-44A8-B32A-9C06027317F1}"/>
              </c:ext>
            </c:extLst>
          </c:dPt>
          <c:dPt>
            <c:idx val="6"/>
            <c:invertIfNegative val="0"/>
            <c:bubble3D val="0"/>
            <c:spPr>
              <a:solidFill>
                <a:srgbClr val="ED7D31"/>
              </a:solidFill>
              <a:ln>
                <a:noFill/>
              </a:ln>
              <a:effectLst/>
            </c:spPr>
            <c:extLst>
              <c:ext xmlns:c16="http://schemas.microsoft.com/office/drawing/2014/chart" uri="{C3380CC4-5D6E-409C-BE32-E72D297353CC}">
                <c16:uniqueId val="{00000005-0CC8-44A8-B32A-9C06027317F1}"/>
              </c:ext>
            </c:extLst>
          </c:dPt>
          <c:dPt>
            <c:idx val="7"/>
            <c:invertIfNegative val="0"/>
            <c:bubble3D val="0"/>
            <c:spPr>
              <a:solidFill>
                <a:srgbClr val="ED7D31"/>
              </a:solidFill>
              <a:ln>
                <a:noFill/>
              </a:ln>
              <a:effectLst/>
            </c:spPr>
            <c:extLst>
              <c:ext xmlns:c16="http://schemas.microsoft.com/office/drawing/2014/chart" uri="{C3380CC4-5D6E-409C-BE32-E72D297353CC}">
                <c16:uniqueId val="{00000007-0CC8-44A8-B32A-9C06027317F1}"/>
              </c:ext>
            </c:extLst>
          </c:dPt>
          <c:dPt>
            <c:idx val="8"/>
            <c:invertIfNegative val="0"/>
            <c:bubble3D val="0"/>
            <c:spPr>
              <a:solidFill>
                <a:srgbClr val="ED7D31"/>
              </a:solidFill>
              <a:ln>
                <a:noFill/>
              </a:ln>
              <a:effectLst/>
            </c:spPr>
            <c:extLst>
              <c:ext xmlns:c16="http://schemas.microsoft.com/office/drawing/2014/chart" uri="{C3380CC4-5D6E-409C-BE32-E72D297353CC}">
                <c16:uniqueId val="{00000009-0CC8-44A8-B32A-9C06027317F1}"/>
              </c:ext>
            </c:extLst>
          </c:dPt>
          <c:dPt>
            <c:idx val="9"/>
            <c:invertIfNegative val="0"/>
            <c:bubble3D val="0"/>
            <c:spPr>
              <a:solidFill>
                <a:srgbClr val="00823B"/>
              </a:solidFill>
              <a:ln>
                <a:noFill/>
              </a:ln>
              <a:effectLst/>
            </c:spPr>
            <c:extLst>
              <c:ext xmlns:c16="http://schemas.microsoft.com/office/drawing/2014/chart" uri="{C3380CC4-5D6E-409C-BE32-E72D297353CC}">
                <c16:uniqueId val="{0000000B-0CC8-44A8-B32A-9C06027317F1}"/>
              </c:ext>
            </c:extLst>
          </c:dPt>
          <c:dPt>
            <c:idx val="10"/>
            <c:invertIfNegative val="0"/>
            <c:bubble3D val="0"/>
            <c:spPr>
              <a:solidFill>
                <a:srgbClr val="00B050"/>
              </a:solidFill>
              <a:ln>
                <a:noFill/>
              </a:ln>
              <a:effectLst/>
            </c:spPr>
            <c:extLst>
              <c:ext xmlns:c16="http://schemas.microsoft.com/office/drawing/2014/chart" uri="{C3380CC4-5D6E-409C-BE32-E72D297353CC}">
                <c16:uniqueId val="{0000000D-0CC8-44A8-B32A-9C06027317F1}"/>
              </c:ext>
            </c:extLst>
          </c:dPt>
          <c:dPt>
            <c:idx val="11"/>
            <c:invertIfNegative val="0"/>
            <c:bubble3D val="0"/>
            <c:spPr>
              <a:solidFill>
                <a:srgbClr val="00B050"/>
              </a:solidFill>
              <a:ln>
                <a:noFill/>
              </a:ln>
              <a:effectLst/>
            </c:spPr>
            <c:extLst>
              <c:ext xmlns:c16="http://schemas.microsoft.com/office/drawing/2014/chart" uri="{C3380CC4-5D6E-409C-BE32-E72D297353CC}">
                <c16:uniqueId val="{0000000F-0CC8-44A8-B32A-9C06027317F1}"/>
              </c:ext>
            </c:extLst>
          </c:dPt>
          <c:dPt>
            <c:idx val="12"/>
            <c:invertIfNegative val="0"/>
            <c:bubble3D val="0"/>
            <c:spPr>
              <a:solidFill>
                <a:srgbClr val="00B050"/>
              </a:solidFill>
              <a:ln>
                <a:noFill/>
              </a:ln>
              <a:effectLst/>
            </c:spPr>
            <c:extLst>
              <c:ext xmlns:c16="http://schemas.microsoft.com/office/drawing/2014/chart" uri="{C3380CC4-5D6E-409C-BE32-E72D297353CC}">
                <c16:uniqueId val="{00000011-0CC8-44A8-B32A-9C06027317F1}"/>
              </c:ext>
            </c:extLst>
          </c:dPt>
          <c:dPt>
            <c:idx val="13"/>
            <c:invertIfNegative val="0"/>
            <c:bubble3D val="0"/>
            <c:spPr>
              <a:solidFill>
                <a:srgbClr val="532476"/>
              </a:solidFill>
              <a:ln>
                <a:noFill/>
              </a:ln>
              <a:effectLst/>
            </c:spPr>
            <c:extLst>
              <c:ext xmlns:c16="http://schemas.microsoft.com/office/drawing/2014/chart" uri="{C3380CC4-5D6E-409C-BE32-E72D297353CC}">
                <c16:uniqueId val="{00000013-0CC8-44A8-B32A-9C06027317F1}"/>
              </c:ext>
            </c:extLst>
          </c:dPt>
          <c:dPt>
            <c:idx val="14"/>
            <c:invertIfNegative val="0"/>
            <c:bubble3D val="0"/>
            <c:spPr>
              <a:solidFill>
                <a:srgbClr val="7030A0"/>
              </a:solidFill>
              <a:ln>
                <a:noFill/>
              </a:ln>
              <a:effectLst/>
            </c:spPr>
            <c:extLst>
              <c:ext xmlns:c16="http://schemas.microsoft.com/office/drawing/2014/chart" uri="{C3380CC4-5D6E-409C-BE32-E72D297353CC}">
                <c16:uniqueId val="{00000015-0CC8-44A8-B32A-9C06027317F1}"/>
              </c:ext>
            </c:extLst>
          </c:dPt>
          <c:dPt>
            <c:idx val="15"/>
            <c:invertIfNegative val="0"/>
            <c:bubble3D val="0"/>
            <c:spPr>
              <a:solidFill>
                <a:srgbClr val="7030A0"/>
              </a:solidFill>
              <a:ln>
                <a:noFill/>
              </a:ln>
              <a:effectLst/>
            </c:spPr>
            <c:extLst>
              <c:ext xmlns:c16="http://schemas.microsoft.com/office/drawing/2014/chart" uri="{C3380CC4-5D6E-409C-BE32-E72D297353CC}">
                <c16:uniqueId val="{00000017-0CC8-44A8-B32A-9C06027317F1}"/>
              </c:ext>
            </c:extLst>
          </c:dPt>
          <c:dPt>
            <c:idx val="16"/>
            <c:invertIfNegative val="0"/>
            <c:bubble3D val="0"/>
            <c:spPr>
              <a:solidFill>
                <a:srgbClr val="7030A0"/>
              </a:solidFill>
              <a:ln>
                <a:noFill/>
              </a:ln>
              <a:effectLst/>
            </c:spPr>
            <c:extLst>
              <c:ext xmlns:c16="http://schemas.microsoft.com/office/drawing/2014/chart" uri="{C3380CC4-5D6E-409C-BE32-E72D297353CC}">
                <c16:uniqueId val="{00000019-0CC8-44A8-B32A-9C06027317F1}"/>
              </c:ext>
            </c:extLst>
          </c:dPt>
          <c:dPt>
            <c:idx val="17"/>
            <c:invertIfNegative val="0"/>
            <c:bubble3D val="0"/>
            <c:spPr>
              <a:solidFill>
                <a:srgbClr val="7030A0"/>
              </a:solidFill>
              <a:ln>
                <a:noFill/>
              </a:ln>
              <a:effectLst/>
            </c:spPr>
            <c:extLst>
              <c:ext xmlns:c16="http://schemas.microsoft.com/office/drawing/2014/chart" uri="{C3380CC4-5D6E-409C-BE32-E72D297353CC}">
                <c16:uniqueId val="{0000001B-0CC8-44A8-B32A-9C06027317F1}"/>
              </c:ext>
            </c:extLst>
          </c:dPt>
          <c:dPt>
            <c:idx val="18"/>
            <c:invertIfNegative val="0"/>
            <c:bubble3D val="0"/>
            <c:spPr>
              <a:solidFill>
                <a:srgbClr val="A80000"/>
              </a:solidFill>
              <a:ln>
                <a:noFill/>
              </a:ln>
              <a:effectLst/>
            </c:spPr>
            <c:extLst>
              <c:ext xmlns:c16="http://schemas.microsoft.com/office/drawing/2014/chart" uri="{C3380CC4-5D6E-409C-BE32-E72D297353CC}">
                <c16:uniqueId val="{0000001D-0CC8-44A8-B32A-9C06027317F1}"/>
              </c:ext>
            </c:extLst>
          </c:dPt>
          <c:dPt>
            <c:idx val="19"/>
            <c:invertIfNegative val="0"/>
            <c:bubble3D val="0"/>
            <c:spPr>
              <a:solidFill>
                <a:srgbClr val="C00000"/>
              </a:solidFill>
              <a:ln>
                <a:noFill/>
              </a:ln>
              <a:effectLst/>
            </c:spPr>
            <c:extLst>
              <c:ext xmlns:c16="http://schemas.microsoft.com/office/drawing/2014/chart" uri="{C3380CC4-5D6E-409C-BE32-E72D297353CC}">
                <c16:uniqueId val="{0000001F-0CC8-44A8-B32A-9C06027317F1}"/>
              </c:ext>
            </c:extLst>
          </c:dPt>
          <c:dPt>
            <c:idx val="20"/>
            <c:invertIfNegative val="0"/>
            <c:bubble3D val="0"/>
            <c:spPr>
              <a:solidFill>
                <a:srgbClr val="C00000"/>
              </a:solidFill>
              <a:ln>
                <a:noFill/>
              </a:ln>
              <a:effectLst/>
            </c:spPr>
            <c:extLst>
              <c:ext xmlns:c16="http://schemas.microsoft.com/office/drawing/2014/chart" uri="{C3380CC4-5D6E-409C-BE32-E72D297353CC}">
                <c16:uniqueId val="{00000021-0CC8-44A8-B32A-9C06027317F1}"/>
              </c:ext>
            </c:extLst>
          </c:dPt>
          <c:dPt>
            <c:idx val="21"/>
            <c:invertIfNegative val="0"/>
            <c:bubble3D val="0"/>
            <c:spPr>
              <a:solidFill>
                <a:srgbClr val="C00000"/>
              </a:solidFill>
              <a:ln>
                <a:noFill/>
              </a:ln>
              <a:effectLst/>
            </c:spPr>
            <c:extLst>
              <c:ext xmlns:c16="http://schemas.microsoft.com/office/drawing/2014/chart" uri="{C3380CC4-5D6E-409C-BE32-E72D297353CC}">
                <c16:uniqueId val="{00000023-0CC8-44A8-B32A-9C06027317F1}"/>
              </c:ext>
            </c:extLst>
          </c:dPt>
          <c:dPt>
            <c:idx val="22"/>
            <c:invertIfNegative val="0"/>
            <c:bubble3D val="0"/>
            <c:spPr>
              <a:solidFill>
                <a:schemeClr val="bg1">
                  <a:lumMod val="50000"/>
                </a:schemeClr>
              </a:solidFill>
              <a:ln>
                <a:noFill/>
              </a:ln>
              <a:effectLst/>
            </c:spPr>
            <c:extLst>
              <c:ext xmlns:c16="http://schemas.microsoft.com/office/drawing/2014/chart" uri="{C3380CC4-5D6E-409C-BE32-E72D297353CC}">
                <c16:uniqueId val="{00000025-0CC8-44A8-B32A-9C06027317F1}"/>
              </c:ext>
            </c:extLst>
          </c:dPt>
          <c:dPt>
            <c:idx val="23"/>
            <c:invertIfNegative val="0"/>
            <c:bubble3D val="0"/>
            <c:spPr>
              <a:solidFill>
                <a:schemeClr val="bg1">
                  <a:lumMod val="65000"/>
                </a:schemeClr>
              </a:solidFill>
              <a:ln>
                <a:noFill/>
              </a:ln>
              <a:effectLst/>
            </c:spPr>
            <c:extLst>
              <c:ext xmlns:c16="http://schemas.microsoft.com/office/drawing/2014/chart" uri="{C3380CC4-5D6E-409C-BE32-E72D297353CC}">
                <c16:uniqueId val="{00000027-0CC8-44A8-B32A-9C06027317F1}"/>
              </c:ext>
            </c:extLst>
          </c:dPt>
          <c:dPt>
            <c:idx val="24"/>
            <c:invertIfNegative val="0"/>
            <c:bubble3D val="0"/>
            <c:spPr>
              <a:solidFill>
                <a:schemeClr val="bg1">
                  <a:lumMod val="65000"/>
                </a:schemeClr>
              </a:solidFill>
              <a:ln>
                <a:noFill/>
              </a:ln>
              <a:effectLst/>
            </c:spPr>
            <c:extLst>
              <c:ext xmlns:c16="http://schemas.microsoft.com/office/drawing/2014/chart" uri="{C3380CC4-5D6E-409C-BE32-E72D297353CC}">
                <c16:uniqueId val="{00000029-0CC8-44A8-B32A-9C06027317F1}"/>
              </c:ext>
            </c:extLst>
          </c:dPt>
          <c:dPt>
            <c:idx val="25"/>
            <c:invertIfNegative val="0"/>
            <c:bubble3D val="0"/>
            <c:spPr>
              <a:solidFill>
                <a:schemeClr val="bg1">
                  <a:lumMod val="65000"/>
                </a:schemeClr>
              </a:solidFill>
              <a:ln>
                <a:noFill/>
              </a:ln>
              <a:effectLst/>
            </c:spPr>
            <c:extLst>
              <c:ext xmlns:c16="http://schemas.microsoft.com/office/drawing/2014/chart" uri="{C3380CC4-5D6E-409C-BE32-E72D297353CC}">
                <c16:uniqueId val="{0000002B-0CC8-44A8-B32A-9C06027317F1}"/>
              </c:ext>
            </c:extLst>
          </c:dPt>
          <c:dPt>
            <c:idx val="26"/>
            <c:invertIfNegative val="0"/>
            <c:bubble3D val="0"/>
            <c:spPr>
              <a:solidFill>
                <a:schemeClr val="bg1">
                  <a:lumMod val="65000"/>
                </a:schemeClr>
              </a:solidFill>
              <a:ln>
                <a:noFill/>
              </a:ln>
              <a:effectLst/>
            </c:spPr>
            <c:extLst>
              <c:ext xmlns:c16="http://schemas.microsoft.com/office/drawing/2014/chart" uri="{C3380CC4-5D6E-409C-BE32-E72D297353CC}">
                <c16:uniqueId val="{0000002D-0CC8-44A8-B32A-9C06027317F1}"/>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Sheet1!$A$2:$A$28</c:f>
              <c:strCache>
                <c:ptCount val="27"/>
                <c:pt idx="0">
                  <c:v>CE 1</c:v>
                </c:pt>
                <c:pt idx="1">
                  <c:v>GT 1A</c:v>
                </c:pt>
                <c:pt idx="2">
                  <c:v>GT 1B</c:v>
                </c:pt>
                <c:pt idx="3">
                  <c:v>GT 1C</c:v>
                </c:pt>
                <c:pt idx="4">
                  <c:v>CE 3</c:v>
                </c:pt>
                <c:pt idx="5">
                  <c:v>GT 3J</c:v>
                </c:pt>
                <c:pt idx="6">
                  <c:v>GT 3K</c:v>
                </c:pt>
                <c:pt idx="7">
                  <c:v>GT 3L</c:v>
                </c:pt>
                <c:pt idx="8">
                  <c:v>GT 3M</c:v>
                </c:pt>
                <c:pt idx="9">
                  <c:v>CE 4</c:v>
                </c:pt>
                <c:pt idx="10">
                  <c:v>GT 4A</c:v>
                </c:pt>
                <c:pt idx="11">
                  <c:v>GT 4B</c:v>
                </c:pt>
                <c:pt idx="12">
                  <c:v>GT 4C</c:v>
                </c:pt>
                <c:pt idx="13">
                  <c:v>CE 5</c:v>
                </c:pt>
                <c:pt idx="14">
                  <c:v>GT 5A</c:v>
                </c:pt>
                <c:pt idx="15">
                  <c:v>GT 5B</c:v>
                </c:pt>
                <c:pt idx="16">
                  <c:v>GT 5C</c:v>
                </c:pt>
                <c:pt idx="17">
                  <c:v>GT 5D</c:v>
                </c:pt>
                <c:pt idx="18">
                  <c:v>CE 6</c:v>
                </c:pt>
                <c:pt idx="19">
                  <c:v>GT 6A</c:v>
                </c:pt>
                <c:pt idx="20">
                  <c:v>GT 6B</c:v>
                </c:pt>
                <c:pt idx="21">
                  <c:v>GT 6C</c:v>
                </c:pt>
                <c:pt idx="22">
                  <c:v>CE 7</c:v>
                </c:pt>
                <c:pt idx="23">
                  <c:v>GT 7A</c:v>
                </c:pt>
                <c:pt idx="24">
                  <c:v>GT 7B</c:v>
                </c:pt>
                <c:pt idx="25">
                  <c:v>GT 7C</c:v>
                </c:pt>
                <c:pt idx="26">
                  <c:v>GT 7D</c:v>
                </c:pt>
              </c:strCache>
            </c:strRef>
          </c:cat>
          <c:val>
            <c:numRef>
              <c:f>Sheet1!$B$2:$B$28</c:f>
              <c:numCache>
                <c:formatCode>General</c:formatCode>
                <c:ptCount val="27"/>
                <c:pt idx="0">
                  <c:v>92</c:v>
                </c:pt>
                <c:pt idx="1">
                  <c:v>89</c:v>
                </c:pt>
                <c:pt idx="2">
                  <c:v>84</c:v>
                </c:pt>
                <c:pt idx="3">
                  <c:v>103</c:v>
                </c:pt>
                <c:pt idx="4">
                  <c:v>57</c:v>
                </c:pt>
                <c:pt idx="5">
                  <c:v>57</c:v>
                </c:pt>
                <c:pt idx="6">
                  <c:v>58</c:v>
                </c:pt>
                <c:pt idx="7">
                  <c:v>56</c:v>
                </c:pt>
                <c:pt idx="8">
                  <c:v>65</c:v>
                </c:pt>
                <c:pt idx="9">
                  <c:v>263</c:v>
                </c:pt>
                <c:pt idx="10">
                  <c:v>422</c:v>
                </c:pt>
                <c:pt idx="11">
                  <c:v>185</c:v>
                </c:pt>
                <c:pt idx="12">
                  <c:v>312</c:v>
                </c:pt>
                <c:pt idx="13">
                  <c:v>144</c:v>
                </c:pt>
                <c:pt idx="14">
                  <c:v>137</c:v>
                </c:pt>
                <c:pt idx="15">
                  <c:v>159</c:v>
                </c:pt>
                <c:pt idx="16">
                  <c:v>108</c:v>
                </c:pt>
                <c:pt idx="17">
                  <c:v>355</c:v>
                </c:pt>
                <c:pt idx="18">
                  <c:v>90</c:v>
                </c:pt>
                <c:pt idx="19">
                  <c:v>90</c:v>
                </c:pt>
                <c:pt idx="20">
                  <c:v>69</c:v>
                </c:pt>
                <c:pt idx="21">
                  <c:v>62</c:v>
                </c:pt>
                <c:pt idx="22">
                  <c:v>93</c:v>
                </c:pt>
                <c:pt idx="23">
                  <c:v>54</c:v>
                </c:pt>
                <c:pt idx="24">
                  <c:v>112</c:v>
                </c:pt>
                <c:pt idx="25">
                  <c:v>116</c:v>
                </c:pt>
                <c:pt idx="26">
                  <c:v>87</c:v>
                </c:pt>
              </c:numCache>
            </c:numRef>
          </c:val>
          <c:extLst>
            <c:ext xmlns:c16="http://schemas.microsoft.com/office/drawing/2014/chart" uri="{C3380CC4-5D6E-409C-BE32-E72D297353CC}">
              <c16:uniqueId val="{0000002E-0CC8-44A8-B32A-9C06027317F1}"/>
            </c:ext>
          </c:extLst>
        </c:ser>
        <c:dLbls>
          <c:dLblPos val="outEnd"/>
          <c:showLegendKey val="0"/>
          <c:showVal val="1"/>
          <c:showCatName val="0"/>
          <c:showSerName val="0"/>
          <c:showPercent val="0"/>
          <c:showBubbleSize val="0"/>
        </c:dLbls>
        <c:gapWidth val="444"/>
        <c:overlap val="-90"/>
        <c:axId val="883584144"/>
        <c:axId val="883574064"/>
      </c:barChart>
      <c:catAx>
        <c:axId val="883584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Comisión/Grupo</a:t>
                </a:r>
                <a:endParaRPr lang="en-GB" sz="800" dirty="0"/>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cap="all" spc="120" normalizeH="0" baseline="0">
                <a:solidFill>
                  <a:schemeClr val="tx1">
                    <a:lumMod val="65000"/>
                    <a:lumOff val="35000"/>
                  </a:schemeClr>
                </a:solidFill>
                <a:latin typeface="+mn-lt"/>
                <a:ea typeface="+mn-ea"/>
                <a:cs typeface="+mn-cs"/>
              </a:defRPr>
            </a:pPr>
            <a:endParaRPr lang="en-US"/>
          </a:p>
        </c:txPr>
        <c:crossAx val="883574064"/>
        <c:crosses val="autoZero"/>
        <c:auto val="1"/>
        <c:lblAlgn val="ctr"/>
        <c:lblOffset val="100"/>
        <c:noMultiLvlLbl val="0"/>
      </c:catAx>
      <c:valAx>
        <c:axId val="883574064"/>
        <c:scaling>
          <c:orientation val="minMax"/>
        </c:scaling>
        <c:delete val="1"/>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US" sz="800" b="0" i="0" u="none" strike="noStrike" cap="all" baseline="0"/>
                  <a:t>Número de participantes en formato presencial</a:t>
                </a:r>
                <a:endParaRPr lang="en-GB" sz="800" cap="none" dirty="0"/>
              </a:p>
            </c:rich>
          </c:tx>
          <c:layout>
            <c:manualLayout>
              <c:xMode val="edge"/>
              <c:yMode val="edge"/>
              <c:x val="1.6600954554886905E-2"/>
              <c:y val="0.11426891651681267"/>
            </c:manualLayout>
          </c:layout>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crossAx val="883584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84</TotalTime>
  <Pages>11</Pages>
  <Words>4790</Words>
  <Characters>24399</Characters>
  <Application>Microsoft Office Word</Application>
  <DocSecurity>0</DocSecurity>
  <Lines>510</Lines>
  <Paragraphs>181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 LA TRIGÉSIMA TERCERA REUNIÓN DEL GRUPO ASESOR DE RADIOCOMUNICACIONES ACTIVIDADES DE LAS COMISIONES DE ESTUDIO</dc:title>
  <dc:subject>GRUPO ASESOR DE RADIOCOMUNICACIONES</dc:subject>
  <dc:creator>Director de la Oficina de Radiocomunicaciones</dc:creator>
  <cp:keywords>RAG03-1</cp:keywords>
  <dc:description>Addéndum 1 al Documento RAG/58-S  For: _x000d_Document date: 19 de febrero de 2026_x000d_Saved by ITU51015594 at 13:13:56 on 23/02/2026</dc:description>
  <cp:lastModifiedBy>Spanish</cp:lastModifiedBy>
  <cp:revision>14</cp:revision>
  <cp:lastPrinted>1993-02-18T11:12:00Z</cp:lastPrinted>
  <dcterms:created xsi:type="dcterms:W3CDTF">2026-02-23T10:44:00Z</dcterms:created>
  <dcterms:modified xsi:type="dcterms:W3CDTF">2026-02-23T12:13:00Z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Addéndum 1 al Documento RAG/58-S</vt:lpwstr>
  </property>
  <property fmtid="{D5CDD505-2E9C-101B-9397-08002B2CF9AE}" pid="3" name="Docdate">
    <vt:lpwstr>19 de febrero de 2026</vt:lpwstr>
  </property>
  <property fmtid="{D5CDD505-2E9C-101B-9397-08002B2CF9AE}" pid="4" name="Docorlang">
    <vt:lpwstr>Original: inglés</vt:lpwstr>
  </property>
  <property fmtid="{D5CDD505-2E9C-101B-9397-08002B2CF9AE}" pid="5" name="Docauthor">
    <vt:lpwstr>Director de la Oficina de Radiocomunicaciones</vt:lpwstr>
  </property>
</Properties>
</file>