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626248" w14:paraId="083F7E09" w14:textId="77777777" w:rsidTr="00443261">
        <w:trPr>
          <w:cantSplit/>
        </w:trPr>
        <w:tc>
          <w:tcPr>
            <w:tcW w:w="6771" w:type="dxa"/>
            <w:vAlign w:val="center"/>
          </w:tcPr>
          <w:p w14:paraId="3333671F" w14:textId="77777777" w:rsidR="00443261" w:rsidRPr="00626248" w:rsidRDefault="00443261" w:rsidP="007711EA">
            <w:pPr>
              <w:shd w:val="solid" w:color="FFFFFF" w:fill="FFFFFF"/>
              <w:spacing w:before="360" w:after="240"/>
              <w:rPr>
                <w:rFonts w:ascii="Verdana" w:hAnsi="Verdana"/>
                <w:b/>
                <w:bCs/>
              </w:rPr>
            </w:pPr>
            <w:bookmarkStart w:id="0" w:name="_Hlk222922990"/>
            <w:bookmarkEnd w:id="0"/>
            <w:r w:rsidRPr="00626248">
              <w:rPr>
                <w:rFonts w:ascii="Verdana" w:hAnsi="Verdana" w:cs="Times New Roman Bold"/>
                <w:b/>
                <w:sz w:val="25"/>
                <w:szCs w:val="25"/>
              </w:rPr>
              <w:t>Groupe Consultatif des Radiocommunications</w:t>
            </w:r>
            <w:r w:rsidRPr="00626248">
              <w:rPr>
                <w:rFonts w:ascii="Verdana" w:hAnsi="Verdana"/>
                <w:b/>
                <w:sz w:val="25"/>
                <w:szCs w:val="25"/>
              </w:rPr>
              <w:br/>
            </w:r>
          </w:p>
        </w:tc>
        <w:tc>
          <w:tcPr>
            <w:tcW w:w="3118" w:type="dxa"/>
          </w:tcPr>
          <w:p w14:paraId="5607E741" w14:textId="77777777" w:rsidR="00443261" w:rsidRPr="00626248" w:rsidRDefault="007711EA" w:rsidP="004E76DF">
            <w:pPr>
              <w:shd w:val="solid" w:color="FFFFFF" w:fill="FFFFFF"/>
              <w:spacing w:before="0" w:line="240" w:lineRule="atLeast"/>
            </w:pPr>
            <w:r w:rsidRPr="00626248">
              <w:rPr>
                <w:lang w:eastAsia="zh-CN"/>
              </w:rPr>
              <w:drawing>
                <wp:inline distT="0" distB="0" distL="0" distR="0" wp14:anchorId="00B9B6DD" wp14:editId="6FA8E07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626248" w14:paraId="505AEBE7" w14:textId="77777777">
        <w:trPr>
          <w:cantSplit/>
        </w:trPr>
        <w:tc>
          <w:tcPr>
            <w:tcW w:w="6771" w:type="dxa"/>
            <w:tcBorders>
              <w:bottom w:val="single" w:sz="12" w:space="0" w:color="auto"/>
            </w:tcBorders>
          </w:tcPr>
          <w:p w14:paraId="06D2D572" w14:textId="77777777" w:rsidR="002D238A" w:rsidRPr="00626248"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61533667" w14:textId="77777777" w:rsidR="002D238A" w:rsidRPr="00626248" w:rsidRDefault="002D238A" w:rsidP="00773E5E">
            <w:pPr>
              <w:shd w:val="solid" w:color="FFFFFF" w:fill="FFFFFF"/>
              <w:spacing w:before="0" w:after="48" w:line="240" w:lineRule="atLeast"/>
              <w:rPr>
                <w:sz w:val="22"/>
                <w:szCs w:val="22"/>
              </w:rPr>
            </w:pPr>
          </w:p>
        </w:tc>
      </w:tr>
      <w:tr w:rsidR="002D238A" w:rsidRPr="00626248" w14:paraId="6C80BC75" w14:textId="77777777">
        <w:trPr>
          <w:cantSplit/>
        </w:trPr>
        <w:tc>
          <w:tcPr>
            <w:tcW w:w="6771" w:type="dxa"/>
            <w:tcBorders>
              <w:top w:val="single" w:sz="12" w:space="0" w:color="auto"/>
            </w:tcBorders>
          </w:tcPr>
          <w:p w14:paraId="4B18D8A1" w14:textId="77777777" w:rsidR="002D238A" w:rsidRPr="00626248"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33B7EEB" w14:textId="77777777" w:rsidR="002D238A" w:rsidRPr="00626248" w:rsidRDefault="002D238A" w:rsidP="00773E5E">
            <w:pPr>
              <w:shd w:val="solid" w:color="FFFFFF" w:fill="FFFFFF"/>
              <w:spacing w:before="0" w:after="48" w:line="240" w:lineRule="atLeast"/>
              <w:rPr>
                <w:rFonts w:ascii="Verdana" w:hAnsi="Verdana"/>
                <w:sz w:val="22"/>
                <w:szCs w:val="22"/>
              </w:rPr>
            </w:pPr>
          </w:p>
        </w:tc>
      </w:tr>
      <w:tr w:rsidR="00474509" w:rsidRPr="00626248" w14:paraId="6CECA723" w14:textId="77777777">
        <w:trPr>
          <w:cantSplit/>
        </w:trPr>
        <w:tc>
          <w:tcPr>
            <w:tcW w:w="6771" w:type="dxa"/>
            <w:vMerge w:val="restart"/>
          </w:tcPr>
          <w:p w14:paraId="21CAD276" w14:textId="77777777" w:rsidR="00474509" w:rsidRPr="00626248" w:rsidRDefault="00474509" w:rsidP="00474509">
            <w:pPr>
              <w:shd w:val="solid" w:color="FFFFFF" w:fill="FFFFFF"/>
              <w:spacing w:before="0" w:line="240" w:lineRule="atLeast"/>
              <w:rPr>
                <w:rFonts w:ascii="Verdana" w:hAnsi="Verdana"/>
                <w:sz w:val="20"/>
              </w:rPr>
            </w:pPr>
            <w:bookmarkStart w:id="1" w:name="dnum" w:colFirst="1" w:colLast="1"/>
          </w:p>
        </w:tc>
        <w:tc>
          <w:tcPr>
            <w:tcW w:w="3118" w:type="dxa"/>
          </w:tcPr>
          <w:p w14:paraId="7CF8B961" w14:textId="7E23078C" w:rsidR="00474509" w:rsidRPr="00626248" w:rsidRDefault="00474509" w:rsidP="00474509">
            <w:pPr>
              <w:shd w:val="solid" w:color="FFFFFF" w:fill="FFFFFF"/>
              <w:spacing w:before="0" w:line="240" w:lineRule="atLeast"/>
              <w:rPr>
                <w:rFonts w:ascii="Verdana" w:hAnsi="Verdana"/>
                <w:sz w:val="20"/>
              </w:rPr>
            </w:pPr>
            <w:r w:rsidRPr="00626248">
              <w:rPr>
                <w:rFonts w:ascii="Verdana" w:hAnsi="Verdana"/>
                <w:b/>
                <w:sz w:val="20"/>
              </w:rPr>
              <w:t xml:space="preserve">Addendum </w:t>
            </w:r>
            <w:r w:rsidR="008B0E6C" w:rsidRPr="00626248">
              <w:rPr>
                <w:rFonts w:ascii="Verdana" w:hAnsi="Verdana"/>
                <w:b/>
                <w:sz w:val="20"/>
              </w:rPr>
              <w:t>1</w:t>
            </w:r>
            <w:r w:rsidRPr="00626248">
              <w:rPr>
                <w:rFonts w:ascii="Verdana" w:hAnsi="Verdana"/>
                <w:b/>
                <w:sz w:val="20"/>
              </w:rPr>
              <w:t xml:space="preserve"> au</w:t>
            </w:r>
            <w:r w:rsidRPr="00626248">
              <w:rPr>
                <w:rFonts w:ascii="Verdana" w:hAnsi="Verdana"/>
                <w:b/>
                <w:sz w:val="20"/>
              </w:rPr>
              <w:br/>
              <w:t>Document RAG/</w:t>
            </w:r>
            <w:r w:rsidR="00CE69C2" w:rsidRPr="00626248">
              <w:rPr>
                <w:rFonts w:ascii="Verdana" w:hAnsi="Verdana"/>
                <w:b/>
                <w:sz w:val="20"/>
              </w:rPr>
              <w:t>58</w:t>
            </w:r>
            <w:r w:rsidRPr="00626248">
              <w:rPr>
                <w:rFonts w:ascii="Verdana" w:hAnsi="Verdana"/>
                <w:b/>
                <w:sz w:val="20"/>
              </w:rPr>
              <w:t>-F</w:t>
            </w:r>
          </w:p>
        </w:tc>
      </w:tr>
      <w:tr w:rsidR="00474509" w:rsidRPr="00626248" w14:paraId="2D05AC9E" w14:textId="77777777">
        <w:trPr>
          <w:cantSplit/>
        </w:trPr>
        <w:tc>
          <w:tcPr>
            <w:tcW w:w="6771" w:type="dxa"/>
            <w:vMerge/>
          </w:tcPr>
          <w:p w14:paraId="4DD4CEF1" w14:textId="77777777" w:rsidR="00474509" w:rsidRPr="00626248" w:rsidRDefault="00474509" w:rsidP="00474509">
            <w:pPr>
              <w:spacing w:before="60"/>
              <w:jc w:val="center"/>
              <w:rPr>
                <w:b/>
                <w:smallCaps/>
                <w:sz w:val="32"/>
              </w:rPr>
            </w:pPr>
            <w:bookmarkStart w:id="2" w:name="ddate" w:colFirst="1" w:colLast="1"/>
            <w:bookmarkEnd w:id="1"/>
          </w:p>
        </w:tc>
        <w:tc>
          <w:tcPr>
            <w:tcW w:w="3118" w:type="dxa"/>
          </w:tcPr>
          <w:p w14:paraId="7813DCAC" w14:textId="5CFB7A16" w:rsidR="00474509" w:rsidRPr="00626248" w:rsidRDefault="00CE69C2" w:rsidP="00474509">
            <w:pPr>
              <w:shd w:val="solid" w:color="FFFFFF" w:fill="FFFFFF"/>
              <w:spacing w:before="0" w:line="240" w:lineRule="atLeast"/>
              <w:rPr>
                <w:rFonts w:ascii="Verdana" w:hAnsi="Verdana"/>
                <w:sz w:val="20"/>
              </w:rPr>
            </w:pPr>
            <w:r w:rsidRPr="00626248">
              <w:rPr>
                <w:rFonts w:ascii="Verdana" w:hAnsi="Verdana"/>
                <w:b/>
                <w:sz w:val="20"/>
              </w:rPr>
              <w:t>19</w:t>
            </w:r>
            <w:r w:rsidR="00474509" w:rsidRPr="00626248">
              <w:rPr>
                <w:rFonts w:ascii="Verdana" w:hAnsi="Verdana"/>
                <w:b/>
                <w:sz w:val="20"/>
              </w:rPr>
              <w:t xml:space="preserve"> février 202</w:t>
            </w:r>
            <w:r w:rsidRPr="00626248">
              <w:rPr>
                <w:rFonts w:ascii="Verdana" w:hAnsi="Verdana"/>
                <w:b/>
                <w:sz w:val="20"/>
              </w:rPr>
              <w:t>6</w:t>
            </w:r>
          </w:p>
        </w:tc>
      </w:tr>
      <w:tr w:rsidR="00474509" w:rsidRPr="00626248" w14:paraId="035AAC66" w14:textId="77777777">
        <w:trPr>
          <w:cantSplit/>
        </w:trPr>
        <w:tc>
          <w:tcPr>
            <w:tcW w:w="6771" w:type="dxa"/>
            <w:vMerge/>
          </w:tcPr>
          <w:p w14:paraId="4DBC063C" w14:textId="77777777" w:rsidR="00474509" w:rsidRPr="00626248" w:rsidRDefault="00474509" w:rsidP="00474509">
            <w:pPr>
              <w:spacing w:before="60"/>
              <w:jc w:val="center"/>
              <w:rPr>
                <w:b/>
                <w:smallCaps/>
                <w:sz w:val="32"/>
              </w:rPr>
            </w:pPr>
            <w:bookmarkStart w:id="3" w:name="dorlang" w:colFirst="1" w:colLast="1"/>
            <w:bookmarkEnd w:id="2"/>
          </w:p>
        </w:tc>
        <w:tc>
          <w:tcPr>
            <w:tcW w:w="3118" w:type="dxa"/>
          </w:tcPr>
          <w:p w14:paraId="414807A9" w14:textId="12A2CE6F" w:rsidR="00474509" w:rsidRPr="00626248" w:rsidRDefault="00474509" w:rsidP="00474509">
            <w:pPr>
              <w:shd w:val="solid" w:color="FFFFFF" w:fill="FFFFFF"/>
              <w:spacing w:before="0" w:after="120" w:line="240" w:lineRule="atLeast"/>
              <w:rPr>
                <w:rFonts w:ascii="Verdana" w:hAnsi="Verdana"/>
                <w:sz w:val="20"/>
              </w:rPr>
            </w:pPr>
            <w:r w:rsidRPr="00626248">
              <w:rPr>
                <w:rFonts w:ascii="Verdana" w:hAnsi="Verdana"/>
                <w:b/>
                <w:sz w:val="20"/>
              </w:rPr>
              <w:t>Original: anglais</w:t>
            </w:r>
          </w:p>
        </w:tc>
      </w:tr>
      <w:tr w:rsidR="00474509" w:rsidRPr="00626248" w14:paraId="03622543" w14:textId="77777777">
        <w:trPr>
          <w:cantSplit/>
        </w:trPr>
        <w:tc>
          <w:tcPr>
            <w:tcW w:w="9889" w:type="dxa"/>
            <w:gridSpan w:val="2"/>
          </w:tcPr>
          <w:p w14:paraId="48947BE7" w14:textId="59B09BD2" w:rsidR="00474509" w:rsidRPr="00626248" w:rsidRDefault="00474509" w:rsidP="00474509">
            <w:pPr>
              <w:pStyle w:val="Source"/>
            </w:pPr>
            <w:bookmarkStart w:id="4" w:name="dsource" w:colFirst="0" w:colLast="0"/>
            <w:bookmarkEnd w:id="3"/>
            <w:r w:rsidRPr="00626248">
              <w:rPr>
                <w:bCs/>
                <w:color w:val="000000"/>
              </w:rPr>
              <w:t>Directeur du Bureau des radiocommunications</w:t>
            </w:r>
          </w:p>
        </w:tc>
      </w:tr>
      <w:tr w:rsidR="00474509" w:rsidRPr="00626248" w14:paraId="0BBFEF62" w14:textId="77777777">
        <w:trPr>
          <w:cantSplit/>
        </w:trPr>
        <w:tc>
          <w:tcPr>
            <w:tcW w:w="9889" w:type="dxa"/>
            <w:gridSpan w:val="2"/>
          </w:tcPr>
          <w:p w14:paraId="673C34BC" w14:textId="7940DD9C" w:rsidR="00474509" w:rsidRPr="00626248" w:rsidRDefault="00474509" w:rsidP="00474509">
            <w:pPr>
              <w:pStyle w:val="Title1"/>
            </w:pPr>
            <w:bookmarkStart w:id="5" w:name="dtitle1" w:colFirst="0" w:colLast="0"/>
            <w:bookmarkEnd w:id="4"/>
            <w:r w:rsidRPr="00626248">
              <w:rPr>
                <w:color w:val="000000"/>
              </w:rPr>
              <w:t>RAPPORT À LA TRENTE-</w:t>
            </w:r>
            <w:r w:rsidR="00CE69C2" w:rsidRPr="00626248">
              <w:rPr>
                <w:color w:val="000000"/>
              </w:rPr>
              <w:t>troisième</w:t>
            </w:r>
            <w:r w:rsidRPr="00626248">
              <w:rPr>
                <w:color w:val="000000"/>
              </w:rPr>
              <w:t xml:space="preserve"> RÉUNION DU GROUPE</w:t>
            </w:r>
            <w:r w:rsidR="00CF106B" w:rsidRPr="00626248">
              <w:rPr>
                <w:color w:val="000000"/>
              </w:rPr>
              <w:br/>
            </w:r>
            <w:r w:rsidRPr="00626248">
              <w:rPr>
                <w:color w:val="000000"/>
              </w:rPr>
              <w:t>CONSULTATIF DES RADIOCOMMUNICATIONS</w:t>
            </w:r>
          </w:p>
        </w:tc>
      </w:tr>
      <w:tr w:rsidR="00474509" w:rsidRPr="00626248" w14:paraId="7D8F78FA" w14:textId="77777777">
        <w:trPr>
          <w:cantSplit/>
        </w:trPr>
        <w:tc>
          <w:tcPr>
            <w:tcW w:w="9889" w:type="dxa"/>
            <w:gridSpan w:val="2"/>
          </w:tcPr>
          <w:p w14:paraId="098CE73B" w14:textId="2228CECC" w:rsidR="00474509" w:rsidRPr="00626248" w:rsidRDefault="00D736B9" w:rsidP="00474509">
            <w:pPr>
              <w:pStyle w:val="Title1"/>
              <w:rPr>
                <w:color w:val="000000"/>
              </w:rPr>
            </w:pPr>
            <w:r w:rsidRPr="00626248">
              <w:t>ACTIVITÉS DES COMMISSIONS D'ÉTUDES</w:t>
            </w:r>
          </w:p>
        </w:tc>
      </w:tr>
    </w:tbl>
    <w:bookmarkEnd w:id="5"/>
    <w:p w14:paraId="3FC9EA86" w14:textId="77777777" w:rsidR="00D736B9" w:rsidRPr="00626248" w:rsidRDefault="00D736B9" w:rsidP="00D736B9">
      <w:pPr>
        <w:pStyle w:val="Heading1"/>
        <w:rPr>
          <w:lang w:eastAsia="en-GB"/>
        </w:rPr>
      </w:pPr>
      <w:r w:rsidRPr="00626248">
        <w:rPr>
          <w:lang w:eastAsia="en-GB"/>
        </w:rPr>
        <w:t>1</w:t>
      </w:r>
      <w:r w:rsidRPr="00626248">
        <w:rPr>
          <w:lang w:eastAsia="en-GB"/>
        </w:rPr>
        <w:tab/>
        <w:t>Introduction</w:t>
      </w:r>
    </w:p>
    <w:p w14:paraId="4036ED86" w14:textId="72971F3E" w:rsidR="00D736B9" w:rsidRPr="00626248" w:rsidRDefault="00D736B9" w:rsidP="00D736B9">
      <w:pPr>
        <w:rPr>
          <w:lang w:eastAsia="en-GB"/>
        </w:rPr>
      </w:pPr>
      <w:r w:rsidRPr="00626248">
        <w:rPr>
          <w:lang w:eastAsia="en-GB"/>
        </w:rPr>
        <w:t xml:space="preserve">Le présent document vise à faire le point et à fournir des renseignements sur certaines des questions figurant dans le projet d'ordre du jour de la 33ème réunion du Groupe consultatif des radiocommunications (GCR) (voir la Circulaire administrative </w:t>
      </w:r>
      <w:hyperlink r:id="rId8" w:history="1">
        <w:r w:rsidRPr="00626248">
          <w:rPr>
            <w:rStyle w:val="Hyperlink"/>
            <w:lang w:eastAsia="en-GB"/>
          </w:rPr>
          <w:t>CA/280</w:t>
        </w:r>
      </w:hyperlink>
      <w:r w:rsidRPr="00626248">
        <w:rPr>
          <w:lang w:eastAsia="en-GB"/>
        </w:rPr>
        <w:t>).</w:t>
      </w:r>
    </w:p>
    <w:p w14:paraId="1642F52A" w14:textId="77777777" w:rsidR="00D736B9" w:rsidRPr="00626248" w:rsidRDefault="00D736B9" w:rsidP="00D736B9">
      <w:pPr>
        <w:rPr>
          <w:lang w:eastAsia="en-GB"/>
        </w:rPr>
      </w:pPr>
      <w:r w:rsidRPr="00626248">
        <w:rPr>
          <w:lang w:eastAsia="en-GB"/>
        </w:rPr>
        <w:t>Les activités et les réunions de toutes les commissions d'études (CE) et de tous les groupes de travail (GT) de l'UIT-R sont menées conformément aux méthodes de travail établies dans la Résolution UIT-R 1-9.</w:t>
      </w:r>
    </w:p>
    <w:p w14:paraId="21C40AAD" w14:textId="77777777" w:rsidR="00D736B9" w:rsidRPr="00626248" w:rsidRDefault="00D736B9" w:rsidP="00D736B9">
      <w:pPr>
        <w:pStyle w:val="Heading1"/>
        <w:rPr>
          <w:lang w:eastAsia="en-GB"/>
        </w:rPr>
      </w:pPr>
      <w:r w:rsidRPr="00626248">
        <w:rPr>
          <w:lang w:eastAsia="en-GB"/>
        </w:rPr>
        <w:t>2</w:t>
      </w:r>
      <w:r w:rsidRPr="00626248">
        <w:rPr>
          <w:lang w:eastAsia="en-GB"/>
        </w:rPr>
        <w:tab/>
        <w:t>Participation</w:t>
      </w:r>
    </w:p>
    <w:p w14:paraId="78DA4E16" w14:textId="77777777" w:rsidR="00D736B9" w:rsidRPr="00626248" w:rsidRDefault="00D736B9" w:rsidP="00D736B9">
      <w:pPr>
        <w:rPr>
          <w:lang w:eastAsia="en-GB"/>
        </w:rPr>
      </w:pPr>
      <w:r w:rsidRPr="00626248">
        <w:rPr>
          <w:lang w:eastAsia="en-GB"/>
        </w:rPr>
        <w:t>Pour toutes les commissions d'études et tous les groupes de travail, des réunions en présentiel avec des modalités de participation à distance via la plate-forme Zoom ont été organisées.</w:t>
      </w:r>
    </w:p>
    <w:p w14:paraId="69F28785" w14:textId="77777777" w:rsidR="00D736B9" w:rsidRPr="00626248" w:rsidRDefault="00D736B9" w:rsidP="00D736B9">
      <w:pPr>
        <w:rPr>
          <w:lang w:eastAsia="en-GB"/>
        </w:rPr>
      </w:pPr>
      <w:r w:rsidRPr="00626248">
        <w:rPr>
          <w:lang w:eastAsia="en-GB"/>
        </w:rPr>
        <w:t>L'interprétation dans les langues officielles de l'Union a été assurée à la demande des administrations, comme indiqué dans les lettres d'invitation aux réunions des CE. Toutes les réunions des CE organisées par l'UIT se sont tenues avec sous-titrage en direct en anglais. Toutefois, en raison des exigences techniques qui en découlent, cette fonctionnalité peut ne pas être fournie pour les réunions qui se tiennent en dehors des locaux de l'UIT.</w:t>
      </w:r>
    </w:p>
    <w:p w14:paraId="1845D7F4" w14:textId="77777777" w:rsidR="00D736B9" w:rsidRPr="00626248" w:rsidRDefault="00D736B9" w:rsidP="00D736B9">
      <w:pPr>
        <w:rPr>
          <w:lang w:eastAsia="en-GB"/>
        </w:rPr>
      </w:pPr>
      <w:r w:rsidRPr="00626248">
        <w:rPr>
          <w:lang w:eastAsia="en-GB"/>
        </w:rPr>
        <w:t>Depuis 2020, le niveau de participation globale aux réunions des CE et des GT de l'UIT-R a considérablement augmenté. Cette situation est très encourageante, même si elle n'a pas été sans créer des difficultés lorsqu'il s'agit de planifier des réunions en grands groupes.</w:t>
      </w:r>
    </w:p>
    <w:p w14:paraId="4A7A6EED" w14:textId="77777777" w:rsidR="00D736B9" w:rsidRPr="00626248" w:rsidRDefault="00D736B9" w:rsidP="00D736B9">
      <w:pPr>
        <w:rPr>
          <w:lang w:eastAsia="en-GB"/>
        </w:rPr>
      </w:pPr>
      <w:r w:rsidRPr="00626248">
        <w:rPr>
          <w:lang w:eastAsia="en-GB"/>
        </w:rPr>
        <w:t>La Figure 1 donne une vue d'ensemble de la participation physique par groupe en 2025.</w:t>
      </w:r>
    </w:p>
    <w:p w14:paraId="5D5F3142" w14:textId="77777777" w:rsidR="00D736B9" w:rsidRPr="00626248" w:rsidRDefault="00D736B9" w:rsidP="00D736B9">
      <w:pPr>
        <w:pStyle w:val="FigureNoBR"/>
        <w:rPr>
          <w:lang w:eastAsia="en-GB"/>
        </w:rPr>
      </w:pPr>
      <w:r w:rsidRPr="00626248">
        <w:rPr>
          <w:lang w:eastAsia="en-GB"/>
        </w:rPr>
        <w:lastRenderedPageBreak/>
        <w:t>FIGURE 1</w:t>
      </w:r>
    </w:p>
    <w:p w14:paraId="6A80A1F8" w14:textId="76B8DE50" w:rsidR="00D736B9" w:rsidRPr="00626248" w:rsidRDefault="00D736B9" w:rsidP="00D736B9">
      <w:pPr>
        <w:pStyle w:val="FiguretitleBR"/>
        <w:keepNext/>
        <w:spacing w:after="240"/>
        <w:rPr>
          <w:lang w:eastAsia="en-GB"/>
        </w:rPr>
      </w:pPr>
      <w:r w:rsidRPr="00626248">
        <w:rPr>
          <w:lang w:eastAsia="en-GB"/>
        </w:rPr>
        <w:t>Nombre total de participants en présentiel par réunion des commissions</w:t>
      </w:r>
      <w:r w:rsidRPr="00626248">
        <w:rPr>
          <w:lang w:eastAsia="en-GB"/>
        </w:rPr>
        <w:br/>
      </w:r>
      <w:r w:rsidRPr="00626248">
        <w:rPr>
          <w:lang w:eastAsia="en-GB"/>
        </w:rPr>
        <w:t>d'études</w:t>
      </w:r>
      <w:r w:rsidRPr="00626248">
        <w:rPr>
          <w:lang w:eastAsia="en-GB"/>
        </w:rPr>
        <w:t xml:space="preserve"> </w:t>
      </w:r>
      <w:r w:rsidRPr="00626248">
        <w:rPr>
          <w:lang w:eastAsia="en-GB"/>
        </w:rPr>
        <w:t>et des groupes de travail de l'UIT-R en 2025</w:t>
      </w:r>
    </w:p>
    <w:p w14:paraId="2D359747" w14:textId="7BF94E24" w:rsidR="00D736B9" w:rsidRPr="00626248" w:rsidRDefault="00D736B9" w:rsidP="00D736B9">
      <w:pPr>
        <w:pStyle w:val="Figure"/>
        <w:rPr>
          <w:lang w:eastAsia="en-GB"/>
        </w:rPr>
      </w:pPr>
      <w:r w:rsidRPr="00626248">
        <w:drawing>
          <wp:inline distT="0" distB="0" distL="0" distR="0" wp14:anchorId="2637A2A2" wp14:editId="3F66D587">
            <wp:extent cx="6120321" cy="2900275"/>
            <wp:effectExtent l="0" t="0" r="13970" b="14605"/>
            <wp:docPr id="1628302082"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2D310A" w14:textId="77777777" w:rsidR="00D736B9" w:rsidRPr="00626248" w:rsidRDefault="00D736B9" w:rsidP="00D736B9">
      <w:pPr>
        <w:pStyle w:val="Heading2"/>
        <w:rPr>
          <w:lang w:eastAsia="en-GB"/>
        </w:rPr>
      </w:pPr>
      <w:r w:rsidRPr="00626248">
        <w:rPr>
          <w:lang w:eastAsia="en-GB"/>
        </w:rPr>
        <w:t>2.1</w:t>
      </w:r>
      <w:r w:rsidRPr="00626248">
        <w:rPr>
          <w:lang w:eastAsia="en-GB"/>
        </w:rPr>
        <w:tab/>
        <w:t>Bourses destinées à faciliter la participation aux activités des commissions d'études de l'UIT-R</w:t>
      </w:r>
    </w:p>
    <w:p w14:paraId="23BF12C5" w14:textId="77777777" w:rsidR="00D736B9" w:rsidRPr="00626248" w:rsidRDefault="00D736B9" w:rsidP="00D736B9">
      <w:pPr>
        <w:rPr>
          <w:lang w:eastAsia="en-GB"/>
        </w:rPr>
      </w:pPr>
      <w:r w:rsidRPr="00626248">
        <w:rPr>
          <w:lang w:eastAsia="en-GB"/>
        </w:rPr>
        <w:t>Conformément au § A1.3.2.1</w:t>
      </w:r>
      <w:r w:rsidRPr="00626248">
        <w:rPr>
          <w:i/>
          <w:iCs/>
          <w:lang w:eastAsia="en-GB"/>
        </w:rPr>
        <w:t>quinquies</w:t>
      </w:r>
      <w:r w:rsidRPr="00626248">
        <w:rPr>
          <w:lang w:eastAsia="en-GB"/>
        </w:rPr>
        <w:t xml:space="preserve"> de la Résolution UIT-R 1-9, l'UIT devrait, dans la mesure du possible, faciliter et soutenir la participation aux travaux des commissions d'études de l'UIT-R, en particulier pour les personnes originaires de pays en développement. En raison de contraintes budgétaires, il n'est pas possible d'octroyer des bourses pour la participation aux activités des commissions d'études de l'UIT-R.</w:t>
      </w:r>
    </w:p>
    <w:p w14:paraId="743FC3A4" w14:textId="77777777" w:rsidR="00D736B9" w:rsidRPr="00626248" w:rsidRDefault="00D736B9" w:rsidP="00D736B9">
      <w:pPr>
        <w:pStyle w:val="Heading1"/>
        <w:rPr>
          <w:lang w:eastAsia="en-GB"/>
        </w:rPr>
      </w:pPr>
      <w:r w:rsidRPr="00626248">
        <w:rPr>
          <w:lang w:eastAsia="en-GB"/>
        </w:rPr>
        <w:t>3</w:t>
      </w:r>
      <w:r w:rsidRPr="00626248">
        <w:rPr>
          <w:lang w:eastAsia="en-GB"/>
        </w:rPr>
        <w:tab/>
        <w:t>Salles de réunion</w:t>
      </w:r>
    </w:p>
    <w:p w14:paraId="4D414DA2" w14:textId="77777777" w:rsidR="00D736B9" w:rsidRPr="00626248" w:rsidRDefault="00D736B9" w:rsidP="00D736B9">
      <w:pPr>
        <w:rPr>
          <w:lang w:eastAsia="en-GB"/>
        </w:rPr>
      </w:pPr>
      <w:r w:rsidRPr="00626248">
        <w:rPr>
          <w:lang w:eastAsia="en-GB"/>
        </w:rPr>
        <w:t>La pénurie de salles de réunion au siège de l'UIT a continué de compliquer la planification efficace des réunions. Ce problème a encore été aggravé par les facteurs suivants:</w:t>
      </w:r>
    </w:p>
    <w:p w14:paraId="5D4C1EC9" w14:textId="77777777" w:rsidR="00D736B9" w:rsidRPr="00626248" w:rsidRDefault="00D736B9" w:rsidP="00D736B9">
      <w:pPr>
        <w:pStyle w:val="enumlev1"/>
        <w:rPr>
          <w:lang w:eastAsia="en-GB"/>
        </w:rPr>
      </w:pPr>
      <w:r w:rsidRPr="00626248">
        <w:rPr>
          <w:lang w:eastAsia="en-GB"/>
        </w:rPr>
        <w:t>–</w:t>
      </w:r>
      <w:r w:rsidRPr="00626248">
        <w:rPr>
          <w:lang w:eastAsia="en-GB"/>
        </w:rPr>
        <w:tab/>
        <w:t>Le nombre croissant de réunions organisées par tous les Secteurs et le Secrétariat général de l'UIT.</w:t>
      </w:r>
    </w:p>
    <w:p w14:paraId="4C45E42E" w14:textId="77777777" w:rsidR="00D736B9" w:rsidRPr="00626248" w:rsidRDefault="00D736B9" w:rsidP="00D736B9">
      <w:pPr>
        <w:pStyle w:val="enumlev1"/>
        <w:rPr>
          <w:lang w:eastAsia="en-GB"/>
        </w:rPr>
      </w:pPr>
      <w:r w:rsidRPr="00626248">
        <w:rPr>
          <w:lang w:eastAsia="en-GB"/>
        </w:rPr>
        <w:t>–</w:t>
      </w:r>
      <w:r w:rsidRPr="00626248">
        <w:rPr>
          <w:lang w:eastAsia="en-GB"/>
        </w:rPr>
        <w:tab/>
        <w:t>Le nombre limité de salles de réunion pouvant accueillir plus de 120 participants.</w:t>
      </w:r>
    </w:p>
    <w:p w14:paraId="304F866A" w14:textId="77777777" w:rsidR="00D736B9" w:rsidRPr="00626248" w:rsidRDefault="00D736B9" w:rsidP="00D736B9">
      <w:pPr>
        <w:pStyle w:val="enumlev1"/>
        <w:rPr>
          <w:lang w:eastAsia="en-GB"/>
        </w:rPr>
      </w:pPr>
      <w:r w:rsidRPr="00626248">
        <w:rPr>
          <w:lang w:eastAsia="en-GB"/>
        </w:rPr>
        <w:t>–</w:t>
      </w:r>
      <w:r w:rsidRPr="00626248">
        <w:rPr>
          <w:lang w:eastAsia="en-GB"/>
        </w:rPr>
        <w:tab/>
        <w:t>La nécessité d'éviter les chevauchements entre les dates des réunions ainsi que la nécessité d'organiser les séances des groupes de l'UIT-R en parallèle.</w:t>
      </w:r>
    </w:p>
    <w:p w14:paraId="75E451D8" w14:textId="77777777" w:rsidR="00D736B9" w:rsidRPr="00626248" w:rsidRDefault="00D736B9" w:rsidP="00D736B9">
      <w:pPr>
        <w:pStyle w:val="enumlev1"/>
        <w:rPr>
          <w:lang w:eastAsia="en-GB"/>
        </w:rPr>
      </w:pPr>
      <w:r w:rsidRPr="00626248">
        <w:rPr>
          <w:lang w:eastAsia="en-GB"/>
        </w:rPr>
        <w:t>–</w:t>
      </w:r>
      <w:r w:rsidRPr="00626248">
        <w:rPr>
          <w:lang w:eastAsia="en-GB"/>
        </w:rPr>
        <w:tab/>
        <w:t>Les très longs délais nécessaires pour les réservations d'installations de remplacement et le nombre limité de ces installations, par exemple le CICG.</w:t>
      </w:r>
    </w:p>
    <w:p w14:paraId="5324B44B" w14:textId="77777777" w:rsidR="00D736B9" w:rsidRPr="00626248" w:rsidRDefault="00D736B9" w:rsidP="00D736B9">
      <w:pPr>
        <w:pStyle w:val="enumlev1"/>
        <w:rPr>
          <w:lang w:eastAsia="en-GB"/>
        </w:rPr>
      </w:pPr>
      <w:r w:rsidRPr="00626248">
        <w:rPr>
          <w:lang w:eastAsia="en-GB"/>
        </w:rPr>
        <w:t>–</w:t>
      </w:r>
      <w:r w:rsidRPr="00626248">
        <w:rPr>
          <w:lang w:eastAsia="en-GB"/>
        </w:rPr>
        <w:tab/>
        <w:t>En outre, les conditions contractuelles du CICG ont évolué et sont devenues plus strictes: ainsi, le CICG ne fournit plus automatiquement de salle de réunion à l'UIT ou à d'autres organisations internationales à titre gracieux, les salles de réunion étant attribuées gratuitement sous réserve de la disponibilité budgétaire du CICG, et toutes les demandes devant être soumises 18 mois à l'avance pour être examinées en vue d'être attribuées sans frais de location.</w:t>
      </w:r>
    </w:p>
    <w:p w14:paraId="42257F95" w14:textId="77777777" w:rsidR="00D736B9" w:rsidRPr="00626248" w:rsidRDefault="00D736B9" w:rsidP="00D736B9">
      <w:pPr>
        <w:pStyle w:val="enumlev1"/>
        <w:widowControl w:val="0"/>
        <w:rPr>
          <w:lang w:eastAsia="en-GB"/>
        </w:rPr>
      </w:pPr>
      <w:r w:rsidRPr="00626248">
        <w:rPr>
          <w:lang w:eastAsia="en-GB"/>
        </w:rPr>
        <w:t>–</w:t>
      </w:r>
      <w:r w:rsidRPr="00626248">
        <w:rPr>
          <w:lang w:eastAsia="en-GB"/>
        </w:rPr>
        <w:tab/>
        <w:t>La démolition future du bâtiment Varembé et la construction du nouveau bâtiment de l'UIT, qui auraient des incidences sur plusieurs salles de réunion.</w:t>
      </w:r>
    </w:p>
    <w:p w14:paraId="339C44E8" w14:textId="77777777" w:rsidR="00D736B9" w:rsidRPr="00626248" w:rsidRDefault="00D736B9" w:rsidP="00D736B9">
      <w:pPr>
        <w:rPr>
          <w:lang w:eastAsia="en-GB"/>
        </w:rPr>
      </w:pPr>
      <w:r w:rsidRPr="00626248">
        <w:rPr>
          <w:lang w:eastAsia="en-GB"/>
        </w:rPr>
        <w:lastRenderedPageBreak/>
        <w:t>Par conséquent, lorsque la démolition du bâtiment de Varembé aura débuté (au deuxième semestre de 2028, selon les prévisions), un nombre croissant de réunions devront être organisées ailleurs qu'au siège de l'UIT ou sous la forme de réunions mixtes, avec une participation en présentiel et une participation à distance. À cette fin, les membres sont particulièrement encouragés à proposer d'accueillir des réunions de CE ou de GT. En outre, il convient que de tels arrangements soient planifiés et préparés largement en amont.</w:t>
      </w:r>
    </w:p>
    <w:p w14:paraId="0D0C4097" w14:textId="34847212" w:rsidR="00D736B9" w:rsidRPr="00626248" w:rsidRDefault="00D736B9" w:rsidP="00D736B9">
      <w:pPr>
        <w:rPr>
          <w:lang w:eastAsia="en-GB"/>
        </w:rPr>
      </w:pPr>
      <w:r w:rsidRPr="00626248">
        <w:rPr>
          <w:lang w:eastAsia="en-GB"/>
        </w:rPr>
        <w:t>Les chevauchements avec les réunions des autres Secteurs de l'UIT et du Secrétariat général ont été évités dans toute la mesure du possible en 2025. Malheureusement, le nombre de manifestations autres que celles organisées par l'UIT-R a considérablement augmenté. Il est devenu difficile, et parfois impossible, d'éviter ces chevauchements. Une situation analogue est prévue en 2026 et une coordination régulière entre les Secteurs de l'UIT est en cours pour atténuer les effets associés (voir également le §</w:t>
      </w:r>
      <w:r w:rsidRPr="00626248">
        <w:rPr>
          <w:lang w:eastAsia="en-GB"/>
        </w:rPr>
        <w:t xml:space="preserve"> </w:t>
      </w:r>
      <w:r w:rsidRPr="00626248">
        <w:rPr>
          <w:lang w:eastAsia="en-GB"/>
        </w:rPr>
        <w:t xml:space="preserve">2.6 du Document </w:t>
      </w:r>
      <w:hyperlink r:id="rId10" w:history="1">
        <w:r w:rsidRPr="00626248">
          <w:rPr>
            <w:rStyle w:val="Hyperlink"/>
            <w:lang w:eastAsia="en-GB"/>
          </w:rPr>
          <w:t>RAG/58</w:t>
        </w:r>
      </w:hyperlink>
      <w:r w:rsidRPr="00626248">
        <w:rPr>
          <w:lang w:eastAsia="en-GB"/>
        </w:rPr>
        <w:t>).</w:t>
      </w:r>
    </w:p>
    <w:p w14:paraId="2A169F33" w14:textId="77777777" w:rsidR="00D736B9" w:rsidRPr="00626248" w:rsidRDefault="00D736B9" w:rsidP="00D736B9">
      <w:pPr>
        <w:pStyle w:val="Heading1"/>
        <w:rPr>
          <w:lang w:eastAsia="en-GB"/>
        </w:rPr>
      </w:pPr>
      <w:r w:rsidRPr="00626248">
        <w:rPr>
          <w:lang w:eastAsia="en-GB"/>
        </w:rPr>
        <w:t>4</w:t>
      </w:r>
      <w:r w:rsidRPr="00626248">
        <w:rPr>
          <w:lang w:eastAsia="en-GB"/>
        </w:rPr>
        <w:tab/>
        <w:t>Activités menées par les commissions d'études</w:t>
      </w:r>
    </w:p>
    <w:p w14:paraId="40E61FCC" w14:textId="77777777" w:rsidR="00D736B9" w:rsidRPr="00626248" w:rsidRDefault="00D736B9" w:rsidP="00D736B9">
      <w:pPr>
        <w:rPr>
          <w:lang w:eastAsia="en-GB"/>
        </w:rPr>
      </w:pPr>
      <w:r w:rsidRPr="00626248">
        <w:rPr>
          <w:lang w:eastAsia="en-GB"/>
        </w:rPr>
        <w:t>Les activités menées par chaque CE en 2025 sont présentées dans les paragraphes ci-après.</w:t>
      </w:r>
    </w:p>
    <w:p w14:paraId="575EBEC2" w14:textId="506E9BE2" w:rsidR="00D736B9" w:rsidRPr="00626248" w:rsidRDefault="00D736B9" w:rsidP="00D736B9">
      <w:pPr>
        <w:pStyle w:val="Heading2"/>
        <w:rPr>
          <w:lang w:eastAsia="en-GB"/>
        </w:rPr>
      </w:pPr>
      <w:r w:rsidRPr="00626248">
        <w:rPr>
          <w:lang w:eastAsia="en-GB"/>
        </w:rPr>
        <w:t>4</w:t>
      </w:r>
      <w:r w:rsidRPr="00626248">
        <w:rPr>
          <w:lang w:eastAsia="en-GB"/>
        </w:rPr>
        <w:t>.1</w:t>
      </w:r>
      <w:r w:rsidRPr="00626248">
        <w:rPr>
          <w:lang w:eastAsia="en-GB"/>
        </w:rPr>
        <w:tab/>
        <w:t>Produits des commissions d'études</w:t>
      </w:r>
    </w:p>
    <w:p w14:paraId="68C8F6A9" w14:textId="77777777" w:rsidR="00D736B9" w:rsidRPr="00626248" w:rsidRDefault="00D736B9" w:rsidP="00D736B9">
      <w:pPr>
        <w:spacing w:after="240"/>
        <w:rPr>
          <w:lang w:eastAsia="en-GB"/>
        </w:rPr>
      </w:pPr>
      <w:r w:rsidRPr="00626248">
        <w:rPr>
          <w:lang w:eastAsia="en-GB"/>
        </w:rPr>
        <w:t>La liste des produits élaborés par les commissions d'études depuis la 32ème réunion du GCR, qui s'est tenue en avril 2025 (RAG-25) est reproduite ci-dessous.</w:t>
      </w:r>
    </w:p>
    <w:tbl>
      <w:tblPr>
        <w:tblStyle w:val="TableGrid1"/>
        <w:tblW w:w="9719" w:type="dxa"/>
        <w:jc w:val="center"/>
        <w:tblLayout w:type="fixed"/>
        <w:tblLook w:val="04A0" w:firstRow="1" w:lastRow="0" w:firstColumn="1" w:lastColumn="0" w:noHBand="0" w:noVBand="1"/>
      </w:tblPr>
      <w:tblGrid>
        <w:gridCol w:w="1283"/>
        <w:gridCol w:w="2256"/>
        <w:gridCol w:w="2268"/>
        <w:gridCol w:w="1418"/>
        <w:gridCol w:w="1275"/>
        <w:gridCol w:w="1219"/>
      </w:tblGrid>
      <w:tr w:rsidR="00D736B9" w:rsidRPr="00626248" w14:paraId="183C6301" w14:textId="77777777" w:rsidTr="00D736B9">
        <w:trPr>
          <w:trHeight w:val="287"/>
          <w:tblHeader/>
          <w:jc w:val="center"/>
        </w:trPr>
        <w:tc>
          <w:tcPr>
            <w:tcW w:w="1283" w:type="dxa"/>
            <w:vMerge w:val="restart"/>
            <w:tcBorders>
              <w:right w:val="single" w:sz="4" w:space="0" w:color="000000" w:themeColor="text1"/>
            </w:tcBorders>
            <w:shd w:val="clear" w:color="auto" w:fill="DBE5F1" w:themeFill="accent1" w:themeFillTint="33"/>
            <w:vAlign w:val="center"/>
          </w:tcPr>
          <w:p w14:paraId="0C9CA532" w14:textId="77777777" w:rsidR="00D736B9" w:rsidRPr="00626248" w:rsidRDefault="00D736B9" w:rsidP="00FC75D6">
            <w:pPr>
              <w:pStyle w:val="Tablehead"/>
              <w:rPr>
                <w:sz w:val="20"/>
              </w:rPr>
            </w:pPr>
            <w:r w:rsidRPr="00626248">
              <w:rPr>
                <w:color w:val="000000"/>
                <w:sz w:val="20"/>
              </w:rPr>
              <w:t>Commission d'études</w:t>
            </w:r>
          </w:p>
        </w:tc>
        <w:tc>
          <w:tcPr>
            <w:tcW w:w="8436" w:type="dxa"/>
            <w:gridSpan w:val="5"/>
            <w:tcBorders>
              <w:left w:val="single" w:sz="4" w:space="0" w:color="000000" w:themeColor="text1"/>
            </w:tcBorders>
            <w:shd w:val="clear" w:color="auto" w:fill="DBE5F1" w:themeFill="accent1" w:themeFillTint="33"/>
            <w:vAlign w:val="center"/>
          </w:tcPr>
          <w:p w14:paraId="707A2077" w14:textId="77777777" w:rsidR="00D736B9" w:rsidRPr="00626248" w:rsidRDefault="00D736B9" w:rsidP="00FC75D6">
            <w:pPr>
              <w:pStyle w:val="Tablehead"/>
              <w:rPr>
                <w:sz w:val="20"/>
              </w:rPr>
            </w:pPr>
            <w:r w:rsidRPr="00626248">
              <w:rPr>
                <w:bCs/>
                <w:color w:val="000000"/>
                <w:sz w:val="20"/>
              </w:rPr>
              <w:t>État d'avancement des études</w:t>
            </w:r>
          </w:p>
        </w:tc>
      </w:tr>
      <w:tr w:rsidR="00D736B9" w:rsidRPr="00626248" w14:paraId="57A7A595" w14:textId="77777777" w:rsidTr="00D736B9">
        <w:trPr>
          <w:trHeight w:val="270"/>
          <w:tblHeader/>
          <w:jc w:val="center"/>
        </w:trPr>
        <w:tc>
          <w:tcPr>
            <w:tcW w:w="1283" w:type="dxa"/>
            <w:vMerge/>
            <w:vAlign w:val="center"/>
          </w:tcPr>
          <w:p w14:paraId="5FAED4E2" w14:textId="77777777" w:rsidR="00D736B9" w:rsidRPr="00626248" w:rsidDel="00A14716" w:rsidRDefault="00D736B9" w:rsidP="00FC75D6">
            <w:pPr>
              <w:pStyle w:val="Tablehead"/>
              <w:rPr>
                <w:sz w:val="20"/>
              </w:rPr>
            </w:pPr>
          </w:p>
        </w:tc>
        <w:tc>
          <w:tcPr>
            <w:tcW w:w="2256" w:type="dxa"/>
            <w:tcBorders>
              <w:left w:val="single" w:sz="4" w:space="0" w:color="000000" w:themeColor="text1"/>
            </w:tcBorders>
            <w:shd w:val="clear" w:color="auto" w:fill="DBE5F1" w:themeFill="accent1" w:themeFillTint="33"/>
            <w:vAlign w:val="center"/>
          </w:tcPr>
          <w:p w14:paraId="5129D2CB" w14:textId="77777777" w:rsidR="00D736B9" w:rsidRPr="00626248" w:rsidRDefault="00D736B9" w:rsidP="00FC75D6">
            <w:pPr>
              <w:pStyle w:val="Tablehead"/>
              <w:rPr>
                <w:sz w:val="20"/>
              </w:rPr>
            </w:pPr>
            <w:r w:rsidRPr="00626248">
              <w:rPr>
                <w:bCs/>
                <w:color w:val="000000"/>
                <w:sz w:val="20"/>
              </w:rPr>
              <w:t xml:space="preserve">Recommandations </w:t>
            </w:r>
            <w:r w:rsidRPr="00626248">
              <w:rPr>
                <w:bCs/>
                <w:color w:val="000000"/>
                <w:sz w:val="20"/>
              </w:rPr>
              <w:br/>
              <w:t xml:space="preserve">UIT-R </w:t>
            </w:r>
            <w:r w:rsidRPr="00626248">
              <w:rPr>
                <w:bCs/>
                <w:color w:val="000000"/>
                <w:sz w:val="20"/>
              </w:rPr>
              <w:br/>
              <w:t>approuvées</w:t>
            </w:r>
          </w:p>
        </w:tc>
        <w:tc>
          <w:tcPr>
            <w:tcW w:w="2268" w:type="dxa"/>
            <w:tcBorders>
              <w:left w:val="single" w:sz="4" w:space="0" w:color="000000" w:themeColor="text1"/>
            </w:tcBorders>
            <w:shd w:val="clear" w:color="auto" w:fill="DBE5F1" w:themeFill="accent1" w:themeFillTint="33"/>
          </w:tcPr>
          <w:p w14:paraId="4C8896C7" w14:textId="77777777" w:rsidR="00D736B9" w:rsidRPr="00626248" w:rsidRDefault="00D736B9" w:rsidP="00FC75D6">
            <w:pPr>
              <w:pStyle w:val="Tablehead"/>
              <w:rPr>
                <w:sz w:val="20"/>
              </w:rPr>
            </w:pPr>
            <w:r w:rsidRPr="00626248">
              <w:rPr>
                <w:bCs/>
                <w:color w:val="000000"/>
                <w:sz w:val="20"/>
              </w:rPr>
              <w:t xml:space="preserve">Rapports </w:t>
            </w:r>
            <w:r w:rsidRPr="00626248">
              <w:rPr>
                <w:bCs/>
                <w:color w:val="000000"/>
                <w:sz w:val="20"/>
              </w:rPr>
              <w:br/>
              <w:t xml:space="preserve">UIT-R </w:t>
            </w:r>
            <w:r w:rsidRPr="00626248">
              <w:rPr>
                <w:bCs/>
                <w:color w:val="000000"/>
                <w:sz w:val="20"/>
              </w:rPr>
              <w:br/>
              <w:t>approuvés</w:t>
            </w:r>
          </w:p>
        </w:tc>
        <w:tc>
          <w:tcPr>
            <w:tcW w:w="1418" w:type="dxa"/>
            <w:tcBorders>
              <w:left w:val="single" w:sz="4" w:space="0" w:color="000000" w:themeColor="text1"/>
            </w:tcBorders>
            <w:shd w:val="clear" w:color="auto" w:fill="DBE5F1" w:themeFill="accent1" w:themeFillTint="33"/>
          </w:tcPr>
          <w:p w14:paraId="2F0D32C0" w14:textId="77777777" w:rsidR="00D736B9" w:rsidRPr="00626248" w:rsidRDefault="00D736B9" w:rsidP="00FC75D6">
            <w:pPr>
              <w:pStyle w:val="Tablehead"/>
              <w:rPr>
                <w:sz w:val="20"/>
              </w:rPr>
            </w:pPr>
            <w:r w:rsidRPr="00626248">
              <w:rPr>
                <w:bCs/>
                <w:color w:val="000000"/>
                <w:sz w:val="20"/>
              </w:rPr>
              <w:t xml:space="preserve">Questions </w:t>
            </w:r>
            <w:r w:rsidRPr="00626248">
              <w:rPr>
                <w:bCs/>
                <w:color w:val="000000"/>
                <w:sz w:val="20"/>
              </w:rPr>
              <w:br/>
              <w:t>UIT-R approuvées</w:t>
            </w:r>
          </w:p>
        </w:tc>
        <w:tc>
          <w:tcPr>
            <w:tcW w:w="1275" w:type="dxa"/>
            <w:tcBorders>
              <w:left w:val="single" w:sz="4" w:space="0" w:color="000000" w:themeColor="text1"/>
            </w:tcBorders>
            <w:shd w:val="clear" w:color="auto" w:fill="DBE5F1" w:themeFill="accent1" w:themeFillTint="33"/>
          </w:tcPr>
          <w:p w14:paraId="2860BD27" w14:textId="77777777" w:rsidR="00D736B9" w:rsidRPr="00626248" w:rsidRDefault="00D736B9" w:rsidP="00FC75D6">
            <w:pPr>
              <w:pStyle w:val="Tablehead"/>
              <w:rPr>
                <w:sz w:val="20"/>
              </w:rPr>
            </w:pPr>
            <w:r w:rsidRPr="00626248">
              <w:rPr>
                <w:bCs/>
                <w:color w:val="000000"/>
                <w:sz w:val="20"/>
              </w:rPr>
              <w:t>Manuels UIT-R approuvés</w:t>
            </w:r>
          </w:p>
        </w:tc>
        <w:tc>
          <w:tcPr>
            <w:tcW w:w="1219" w:type="dxa"/>
            <w:tcBorders>
              <w:left w:val="single" w:sz="4" w:space="0" w:color="000000" w:themeColor="text1"/>
            </w:tcBorders>
            <w:shd w:val="clear" w:color="auto" w:fill="DBE5F1" w:themeFill="accent1" w:themeFillTint="33"/>
          </w:tcPr>
          <w:p w14:paraId="22454CFF" w14:textId="77777777" w:rsidR="00D736B9" w:rsidRPr="00626248" w:rsidRDefault="00D736B9" w:rsidP="00FC75D6">
            <w:pPr>
              <w:pStyle w:val="Tablehead"/>
              <w:rPr>
                <w:sz w:val="20"/>
              </w:rPr>
            </w:pPr>
            <w:r w:rsidRPr="00626248">
              <w:rPr>
                <w:bCs/>
                <w:color w:val="000000"/>
                <w:sz w:val="20"/>
              </w:rPr>
              <w:t xml:space="preserve">Vœux </w:t>
            </w:r>
            <w:r w:rsidRPr="00626248">
              <w:rPr>
                <w:bCs/>
                <w:color w:val="000000"/>
                <w:sz w:val="20"/>
              </w:rPr>
              <w:br/>
              <w:t>UIT-R approuvés</w:t>
            </w:r>
          </w:p>
        </w:tc>
      </w:tr>
      <w:tr w:rsidR="00D736B9" w:rsidRPr="00626248" w14:paraId="1648DFF4" w14:textId="77777777" w:rsidTr="00D736B9">
        <w:trPr>
          <w:trHeight w:val="270"/>
          <w:jc w:val="center"/>
        </w:trPr>
        <w:tc>
          <w:tcPr>
            <w:tcW w:w="1283" w:type="dxa"/>
            <w:tcBorders>
              <w:right w:val="single" w:sz="4" w:space="0" w:color="000000" w:themeColor="text1"/>
            </w:tcBorders>
          </w:tcPr>
          <w:p w14:paraId="558821E4" w14:textId="77777777" w:rsidR="00D736B9" w:rsidRPr="00626248" w:rsidDel="00A14716" w:rsidRDefault="00D736B9" w:rsidP="00FC75D6">
            <w:pPr>
              <w:pStyle w:val="Tabletext"/>
              <w:jc w:val="center"/>
              <w:rPr>
                <w:b/>
                <w:bCs/>
                <w:sz w:val="20"/>
              </w:rPr>
            </w:pPr>
            <w:r w:rsidRPr="00626248">
              <w:rPr>
                <w:b/>
                <w:bCs/>
                <w:color w:val="000000"/>
                <w:sz w:val="20"/>
              </w:rPr>
              <w:t>CE 1</w:t>
            </w:r>
          </w:p>
        </w:tc>
        <w:tc>
          <w:tcPr>
            <w:tcW w:w="2256" w:type="dxa"/>
            <w:tcBorders>
              <w:left w:val="single" w:sz="4" w:space="0" w:color="000000" w:themeColor="text1"/>
            </w:tcBorders>
          </w:tcPr>
          <w:p w14:paraId="6288FCB8" w14:textId="77777777" w:rsidR="00D736B9" w:rsidRPr="00626248" w:rsidRDefault="00D736B9" w:rsidP="00FC75D6">
            <w:pPr>
              <w:pStyle w:val="Tabletext"/>
              <w:rPr>
                <w:sz w:val="20"/>
              </w:rPr>
            </w:pPr>
            <w:hyperlink r:id="rId11" w:history="1">
              <w:r w:rsidRPr="00626248">
                <w:rPr>
                  <w:rStyle w:val="Hyperlink"/>
                  <w:rFonts w:asciiTheme="majorBidi" w:hAnsiTheme="majorBidi" w:cstheme="majorBidi"/>
                  <w:sz w:val="20"/>
                  <w:lang w:eastAsia="ja-JP"/>
                </w:rPr>
                <w:t>SM.328-12</w:t>
              </w:r>
            </w:hyperlink>
            <w:r w:rsidRPr="00626248">
              <w:rPr>
                <w:rFonts w:asciiTheme="majorBidi" w:hAnsiTheme="majorBidi" w:cstheme="majorBidi"/>
                <w:sz w:val="20"/>
                <w:lang w:eastAsia="ja-JP"/>
              </w:rPr>
              <w:t xml:space="preserve">, </w:t>
            </w:r>
            <w:hyperlink r:id="rId12" w:history="1">
              <w:r w:rsidRPr="00626248">
                <w:rPr>
                  <w:rStyle w:val="Hyperlink"/>
                  <w:rFonts w:asciiTheme="majorBidi" w:hAnsiTheme="majorBidi" w:cstheme="majorBidi"/>
                  <w:sz w:val="20"/>
                  <w:lang w:eastAsia="ja-JP"/>
                </w:rPr>
                <w:t>SM.2110-2</w:t>
              </w:r>
            </w:hyperlink>
          </w:p>
        </w:tc>
        <w:tc>
          <w:tcPr>
            <w:tcW w:w="2268" w:type="dxa"/>
            <w:tcBorders>
              <w:left w:val="single" w:sz="4" w:space="0" w:color="000000" w:themeColor="text1"/>
            </w:tcBorders>
          </w:tcPr>
          <w:p w14:paraId="3C541754" w14:textId="77777777" w:rsidR="00D736B9" w:rsidRPr="00626248" w:rsidRDefault="00D736B9" w:rsidP="00FC75D6">
            <w:pPr>
              <w:pStyle w:val="Tabletext"/>
              <w:rPr>
                <w:sz w:val="20"/>
              </w:rPr>
            </w:pPr>
            <w:hyperlink r:id="rId13" w:history="1">
              <w:r w:rsidRPr="00626248">
                <w:rPr>
                  <w:rStyle w:val="Hyperlink"/>
                  <w:sz w:val="20"/>
                </w:rPr>
                <w:t>SM.2012-7</w:t>
              </w:r>
            </w:hyperlink>
            <w:r w:rsidRPr="00626248">
              <w:rPr>
                <w:sz w:val="20"/>
              </w:rPr>
              <w:t xml:space="preserve">, </w:t>
            </w:r>
            <w:hyperlink r:id="rId14" w:history="1">
              <w:r w:rsidRPr="00626248">
                <w:rPr>
                  <w:rStyle w:val="Hyperlink"/>
                  <w:sz w:val="20"/>
                </w:rPr>
                <w:t>SM.2015</w:t>
              </w:r>
              <w:r w:rsidRPr="00626248">
                <w:rPr>
                  <w:rStyle w:val="Hyperlink"/>
                  <w:sz w:val="20"/>
                </w:rPr>
                <w:noBreakHyphen/>
                <w:t>3</w:t>
              </w:r>
            </w:hyperlink>
          </w:p>
        </w:tc>
        <w:tc>
          <w:tcPr>
            <w:tcW w:w="1418" w:type="dxa"/>
            <w:tcBorders>
              <w:left w:val="single" w:sz="4" w:space="0" w:color="000000" w:themeColor="text1"/>
            </w:tcBorders>
          </w:tcPr>
          <w:p w14:paraId="010FCE5B" w14:textId="77777777" w:rsidR="00D736B9" w:rsidRPr="00626248" w:rsidRDefault="00D736B9" w:rsidP="00FC75D6">
            <w:pPr>
              <w:pStyle w:val="Tabletext"/>
              <w:rPr>
                <w:sz w:val="20"/>
              </w:rPr>
            </w:pPr>
            <w:r w:rsidRPr="00626248">
              <w:t>–</w:t>
            </w:r>
          </w:p>
        </w:tc>
        <w:tc>
          <w:tcPr>
            <w:tcW w:w="1275" w:type="dxa"/>
            <w:tcBorders>
              <w:left w:val="single" w:sz="4" w:space="0" w:color="000000" w:themeColor="text1"/>
            </w:tcBorders>
          </w:tcPr>
          <w:p w14:paraId="566C2E8E" w14:textId="77777777" w:rsidR="00D736B9" w:rsidRPr="00626248" w:rsidRDefault="00D736B9" w:rsidP="00FC75D6">
            <w:pPr>
              <w:pStyle w:val="Tabletext"/>
              <w:rPr>
                <w:sz w:val="20"/>
              </w:rPr>
            </w:pPr>
            <w:r w:rsidRPr="00626248">
              <w:t>–</w:t>
            </w:r>
          </w:p>
        </w:tc>
        <w:tc>
          <w:tcPr>
            <w:tcW w:w="1219" w:type="dxa"/>
            <w:tcBorders>
              <w:left w:val="single" w:sz="4" w:space="0" w:color="000000" w:themeColor="text1"/>
            </w:tcBorders>
          </w:tcPr>
          <w:p w14:paraId="0F42F1F4" w14:textId="77777777" w:rsidR="00D736B9" w:rsidRPr="00626248" w:rsidRDefault="00D736B9" w:rsidP="00FC75D6">
            <w:pPr>
              <w:pStyle w:val="Tabletext"/>
              <w:rPr>
                <w:sz w:val="20"/>
              </w:rPr>
            </w:pPr>
            <w:r w:rsidRPr="00626248">
              <w:t>–</w:t>
            </w:r>
          </w:p>
        </w:tc>
      </w:tr>
      <w:tr w:rsidR="00D736B9" w:rsidRPr="00626248" w14:paraId="06705FF1" w14:textId="77777777" w:rsidTr="00D736B9">
        <w:trPr>
          <w:trHeight w:val="270"/>
          <w:jc w:val="center"/>
        </w:trPr>
        <w:tc>
          <w:tcPr>
            <w:tcW w:w="1283" w:type="dxa"/>
            <w:tcBorders>
              <w:right w:val="single" w:sz="4" w:space="0" w:color="000000" w:themeColor="text1"/>
            </w:tcBorders>
          </w:tcPr>
          <w:p w14:paraId="04C463F8" w14:textId="77777777" w:rsidR="00D736B9" w:rsidRPr="00626248" w:rsidDel="00A14716" w:rsidRDefault="00D736B9" w:rsidP="00FC75D6">
            <w:pPr>
              <w:pStyle w:val="Tabletext"/>
              <w:jc w:val="center"/>
              <w:rPr>
                <w:b/>
                <w:bCs/>
                <w:sz w:val="20"/>
              </w:rPr>
            </w:pPr>
            <w:r w:rsidRPr="00626248">
              <w:rPr>
                <w:b/>
                <w:bCs/>
                <w:color w:val="000000"/>
                <w:sz w:val="20"/>
              </w:rPr>
              <w:t>CE 3</w:t>
            </w:r>
          </w:p>
        </w:tc>
        <w:tc>
          <w:tcPr>
            <w:tcW w:w="2256" w:type="dxa"/>
            <w:tcBorders>
              <w:left w:val="single" w:sz="4" w:space="0" w:color="000000" w:themeColor="text1"/>
            </w:tcBorders>
          </w:tcPr>
          <w:p w14:paraId="7D3BC9C7" w14:textId="77777777" w:rsidR="00D736B9" w:rsidRPr="00626248" w:rsidRDefault="00D736B9" w:rsidP="00FC75D6">
            <w:pPr>
              <w:pStyle w:val="Tabletext"/>
              <w:rPr>
                <w:sz w:val="20"/>
              </w:rPr>
            </w:pPr>
            <w:hyperlink r:id="rId15" w:history="1">
              <w:r w:rsidRPr="00626248">
                <w:rPr>
                  <w:rStyle w:val="Hyperlink"/>
                  <w:sz w:val="20"/>
                </w:rPr>
                <w:t>P.310-11</w:t>
              </w:r>
            </w:hyperlink>
            <w:r w:rsidRPr="00626248">
              <w:rPr>
                <w:sz w:val="20"/>
              </w:rPr>
              <w:t xml:space="preserve">, </w:t>
            </w:r>
            <w:hyperlink r:id="rId16" w:history="1">
              <w:r w:rsidRPr="00626248">
                <w:rPr>
                  <w:rStyle w:val="Hyperlink"/>
                  <w:sz w:val="20"/>
                </w:rPr>
                <w:t>P.311-19</w:t>
              </w:r>
            </w:hyperlink>
            <w:r w:rsidRPr="00626248">
              <w:rPr>
                <w:sz w:val="20"/>
              </w:rPr>
              <w:t xml:space="preserve">, </w:t>
            </w:r>
            <w:hyperlink r:id="rId17" w:history="1">
              <w:r w:rsidRPr="00626248">
                <w:rPr>
                  <w:rStyle w:val="Hyperlink"/>
                  <w:sz w:val="20"/>
                </w:rPr>
                <w:t>P.526-16</w:t>
              </w:r>
            </w:hyperlink>
            <w:r w:rsidRPr="00626248">
              <w:rPr>
                <w:sz w:val="20"/>
              </w:rPr>
              <w:t xml:space="preserve">, </w:t>
            </w:r>
            <w:hyperlink r:id="rId18" w:history="1">
              <w:r w:rsidRPr="00626248">
                <w:rPr>
                  <w:rStyle w:val="Hyperlink"/>
                  <w:sz w:val="20"/>
                </w:rPr>
                <w:t>P.530-19</w:t>
              </w:r>
            </w:hyperlink>
            <w:r w:rsidRPr="00626248">
              <w:rPr>
                <w:sz w:val="20"/>
              </w:rPr>
              <w:t xml:space="preserve">, </w:t>
            </w:r>
            <w:hyperlink r:id="rId19" w:history="1">
              <w:r w:rsidRPr="00626248">
                <w:rPr>
                  <w:rStyle w:val="Hyperlink"/>
                  <w:sz w:val="20"/>
                </w:rPr>
                <w:t>P.531-16</w:t>
              </w:r>
            </w:hyperlink>
            <w:r w:rsidRPr="00626248">
              <w:rPr>
                <w:sz w:val="20"/>
              </w:rPr>
              <w:t xml:space="preserve">, </w:t>
            </w:r>
            <w:hyperlink r:id="rId20" w:history="1">
              <w:r w:rsidRPr="00626248">
                <w:rPr>
                  <w:rStyle w:val="Hyperlink"/>
                  <w:sz w:val="20"/>
                </w:rPr>
                <w:t>P.617-6</w:t>
              </w:r>
            </w:hyperlink>
            <w:r w:rsidRPr="00626248">
              <w:rPr>
                <w:sz w:val="20"/>
              </w:rPr>
              <w:t xml:space="preserve">, </w:t>
            </w:r>
            <w:hyperlink r:id="rId21" w:history="1">
              <w:r w:rsidRPr="00626248">
                <w:rPr>
                  <w:rStyle w:val="Hyperlink"/>
                  <w:sz w:val="20"/>
                </w:rPr>
                <w:t>P.619</w:t>
              </w:r>
              <w:r w:rsidRPr="00626248">
                <w:rPr>
                  <w:rStyle w:val="Hyperlink"/>
                  <w:sz w:val="20"/>
                </w:rPr>
                <w:noBreakHyphen/>
                <w:t>6</w:t>
              </w:r>
            </w:hyperlink>
            <w:r w:rsidRPr="00626248">
              <w:rPr>
                <w:sz w:val="20"/>
              </w:rPr>
              <w:t xml:space="preserve">, </w:t>
            </w:r>
            <w:hyperlink r:id="rId22" w:history="1">
              <w:r w:rsidRPr="00626248">
                <w:rPr>
                  <w:rStyle w:val="Hyperlink"/>
                  <w:sz w:val="20"/>
                </w:rPr>
                <w:t>P.837-8</w:t>
              </w:r>
            </w:hyperlink>
            <w:r w:rsidRPr="00626248">
              <w:rPr>
                <w:sz w:val="20"/>
              </w:rPr>
              <w:t xml:space="preserve">, </w:t>
            </w:r>
            <w:hyperlink r:id="rId23" w:history="1">
              <w:r w:rsidRPr="00626248">
                <w:rPr>
                  <w:rStyle w:val="Hyperlink"/>
                  <w:sz w:val="20"/>
                </w:rPr>
                <w:t>P.1144</w:t>
              </w:r>
              <w:r w:rsidRPr="00626248">
                <w:rPr>
                  <w:rStyle w:val="Hyperlink"/>
                  <w:sz w:val="20"/>
                </w:rPr>
                <w:noBreakHyphen/>
                <w:t>13</w:t>
              </w:r>
            </w:hyperlink>
            <w:r w:rsidRPr="00626248">
              <w:rPr>
                <w:sz w:val="20"/>
              </w:rPr>
              <w:t xml:space="preserve">, </w:t>
            </w:r>
            <w:hyperlink r:id="rId24" w:history="1">
              <w:r w:rsidRPr="00626248">
                <w:rPr>
                  <w:rStyle w:val="Hyperlink"/>
                  <w:sz w:val="20"/>
                </w:rPr>
                <w:t>P.1238-13</w:t>
              </w:r>
            </w:hyperlink>
            <w:r w:rsidRPr="00626248">
              <w:rPr>
                <w:sz w:val="20"/>
              </w:rPr>
              <w:t xml:space="preserve">, </w:t>
            </w:r>
            <w:hyperlink r:id="rId25" w:history="1">
              <w:r w:rsidRPr="00626248">
                <w:rPr>
                  <w:rStyle w:val="Hyperlink"/>
                  <w:sz w:val="20"/>
                </w:rPr>
                <w:t>P.1409-4</w:t>
              </w:r>
            </w:hyperlink>
            <w:r w:rsidRPr="00626248">
              <w:rPr>
                <w:sz w:val="20"/>
              </w:rPr>
              <w:t xml:space="preserve">, </w:t>
            </w:r>
            <w:hyperlink r:id="rId26" w:history="1">
              <w:r w:rsidRPr="00626248">
                <w:rPr>
                  <w:rStyle w:val="Hyperlink"/>
                  <w:sz w:val="20"/>
                </w:rPr>
                <w:t>P.1411-13</w:t>
              </w:r>
            </w:hyperlink>
            <w:r w:rsidRPr="00626248">
              <w:rPr>
                <w:sz w:val="20"/>
              </w:rPr>
              <w:t xml:space="preserve">, </w:t>
            </w:r>
            <w:hyperlink r:id="rId27" w:history="1">
              <w:r w:rsidRPr="00626248">
                <w:rPr>
                  <w:rStyle w:val="Hyperlink"/>
                  <w:sz w:val="20"/>
                </w:rPr>
                <w:t>P.1812-8</w:t>
              </w:r>
            </w:hyperlink>
            <w:r w:rsidRPr="00626248">
              <w:rPr>
                <w:sz w:val="20"/>
              </w:rPr>
              <w:t xml:space="preserve">, </w:t>
            </w:r>
            <w:hyperlink r:id="rId28" w:history="1">
              <w:r w:rsidRPr="00626248">
                <w:rPr>
                  <w:rStyle w:val="Hyperlink"/>
                  <w:sz w:val="20"/>
                </w:rPr>
                <w:t>P.1814-1</w:t>
              </w:r>
            </w:hyperlink>
            <w:r w:rsidRPr="00626248">
              <w:rPr>
                <w:sz w:val="20"/>
              </w:rPr>
              <w:t xml:space="preserve">, </w:t>
            </w:r>
            <w:hyperlink r:id="rId29" w:history="1">
              <w:r w:rsidRPr="00626248">
                <w:rPr>
                  <w:rStyle w:val="Hyperlink"/>
                  <w:sz w:val="20"/>
                </w:rPr>
                <w:t>P.2001-6</w:t>
              </w:r>
            </w:hyperlink>
            <w:r w:rsidRPr="00626248">
              <w:rPr>
                <w:sz w:val="20"/>
              </w:rPr>
              <w:t xml:space="preserve">, </w:t>
            </w:r>
            <w:hyperlink r:id="rId30" w:history="1">
              <w:r w:rsidRPr="00626248">
                <w:rPr>
                  <w:rStyle w:val="Hyperlink"/>
                  <w:sz w:val="20"/>
                </w:rPr>
                <w:t>P.2040-4</w:t>
              </w:r>
            </w:hyperlink>
            <w:r w:rsidRPr="00626248">
              <w:rPr>
                <w:sz w:val="20"/>
              </w:rPr>
              <w:t xml:space="preserve">, </w:t>
            </w:r>
            <w:hyperlink r:id="rId31" w:history="1">
              <w:r w:rsidRPr="00626248">
                <w:rPr>
                  <w:rStyle w:val="Hyperlink"/>
                  <w:sz w:val="20"/>
                </w:rPr>
                <w:t>P.2170-0</w:t>
              </w:r>
            </w:hyperlink>
          </w:p>
        </w:tc>
        <w:tc>
          <w:tcPr>
            <w:tcW w:w="2268" w:type="dxa"/>
            <w:tcBorders>
              <w:left w:val="single" w:sz="4" w:space="0" w:color="000000" w:themeColor="text1"/>
            </w:tcBorders>
          </w:tcPr>
          <w:p w14:paraId="79B8C955" w14:textId="77777777" w:rsidR="00D736B9" w:rsidRPr="00626248" w:rsidRDefault="00D736B9" w:rsidP="00FC75D6">
            <w:pPr>
              <w:pStyle w:val="Tabletext"/>
              <w:rPr>
                <w:rFonts w:asciiTheme="majorBidi" w:hAnsiTheme="majorBidi" w:cstheme="majorBidi"/>
                <w:sz w:val="20"/>
                <w:lang w:eastAsia="ja-JP"/>
              </w:rPr>
            </w:pPr>
            <w:hyperlink r:id="rId32" w:history="1">
              <w:r w:rsidRPr="00626248">
                <w:rPr>
                  <w:rStyle w:val="Hyperlink"/>
                  <w:rFonts w:asciiTheme="majorBidi" w:hAnsiTheme="majorBidi" w:cstheme="majorBidi"/>
                  <w:sz w:val="20"/>
                  <w:lang w:eastAsia="ja-JP"/>
                </w:rPr>
                <w:t>P.2345-3</w:t>
              </w:r>
            </w:hyperlink>
            <w:r w:rsidRPr="00626248">
              <w:rPr>
                <w:rFonts w:asciiTheme="majorBidi" w:hAnsiTheme="majorBidi" w:cstheme="majorBidi"/>
                <w:sz w:val="20"/>
                <w:lang w:eastAsia="ja-JP"/>
              </w:rPr>
              <w:t xml:space="preserve">, </w:t>
            </w:r>
            <w:hyperlink r:id="rId33" w:history="1">
              <w:r w:rsidRPr="00626248">
                <w:rPr>
                  <w:rStyle w:val="Hyperlink"/>
                  <w:rFonts w:asciiTheme="majorBidi" w:hAnsiTheme="majorBidi" w:cstheme="majorBidi"/>
                  <w:sz w:val="20"/>
                  <w:lang w:eastAsia="ja-JP"/>
                </w:rPr>
                <w:t>P.2554-0</w:t>
              </w:r>
            </w:hyperlink>
          </w:p>
        </w:tc>
        <w:tc>
          <w:tcPr>
            <w:tcW w:w="1418" w:type="dxa"/>
            <w:tcBorders>
              <w:left w:val="single" w:sz="4" w:space="0" w:color="000000" w:themeColor="text1"/>
            </w:tcBorders>
          </w:tcPr>
          <w:p w14:paraId="4110AD67" w14:textId="77777777" w:rsidR="00D736B9" w:rsidRPr="00626248" w:rsidRDefault="00D736B9" w:rsidP="00FC75D6">
            <w:pPr>
              <w:pStyle w:val="Tabletext"/>
              <w:rPr>
                <w:sz w:val="20"/>
              </w:rPr>
            </w:pPr>
            <w:hyperlink r:id="rId34" w:history="1">
              <w:r w:rsidRPr="00626248">
                <w:rPr>
                  <w:rStyle w:val="Hyperlink"/>
                  <w:sz w:val="20"/>
                </w:rPr>
                <w:t>237/3</w:t>
              </w:r>
            </w:hyperlink>
          </w:p>
        </w:tc>
        <w:tc>
          <w:tcPr>
            <w:tcW w:w="1275" w:type="dxa"/>
            <w:tcBorders>
              <w:left w:val="single" w:sz="4" w:space="0" w:color="000000" w:themeColor="text1"/>
            </w:tcBorders>
          </w:tcPr>
          <w:p w14:paraId="37D91512" w14:textId="77777777" w:rsidR="00D736B9" w:rsidRPr="00626248" w:rsidRDefault="00D736B9" w:rsidP="00FC75D6">
            <w:pPr>
              <w:pStyle w:val="Tabletext"/>
              <w:rPr>
                <w:sz w:val="20"/>
              </w:rPr>
            </w:pPr>
            <w:r w:rsidRPr="00626248">
              <w:t>–</w:t>
            </w:r>
          </w:p>
        </w:tc>
        <w:tc>
          <w:tcPr>
            <w:tcW w:w="1219" w:type="dxa"/>
            <w:tcBorders>
              <w:left w:val="single" w:sz="4" w:space="0" w:color="000000" w:themeColor="text1"/>
            </w:tcBorders>
          </w:tcPr>
          <w:p w14:paraId="1E0A266A" w14:textId="77777777" w:rsidR="00D736B9" w:rsidRPr="00626248" w:rsidRDefault="00D736B9" w:rsidP="00FC75D6">
            <w:pPr>
              <w:pStyle w:val="Tabletext"/>
              <w:rPr>
                <w:sz w:val="20"/>
              </w:rPr>
            </w:pPr>
            <w:r w:rsidRPr="00626248">
              <w:t>–</w:t>
            </w:r>
          </w:p>
        </w:tc>
      </w:tr>
      <w:tr w:rsidR="00D736B9" w:rsidRPr="00626248" w14:paraId="14B4AB3C" w14:textId="77777777" w:rsidTr="00D736B9">
        <w:trPr>
          <w:trHeight w:val="270"/>
          <w:jc w:val="center"/>
        </w:trPr>
        <w:tc>
          <w:tcPr>
            <w:tcW w:w="1283" w:type="dxa"/>
            <w:tcBorders>
              <w:right w:val="single" w:sz="4" w:space="0" w:color="000000" w:themeColor="text1"/>
            </w:tcBorders>
          </w:tcPr>
          <w:p w14:paraId="201D5334" w14:textId="77777777" w:rsidR="00D736B9" w:rsidRPr="00626248" w:rsidDel="00A14716" w:rsidRDefault="00D736B9" w:rsidP="00FC75D6">
            <w:pPr>
              <w:pStyle w:val="Tabletext"/>
              <w:jc w:val="center"/>
              <w:rPr>
                <w:b/>
                <w:bCs/>
                <w:sz w:val="20"/>
              </w:rPr>
            </w:pPr>
            <w:r w:rsidRPr="00626248">
              <w:rPr>
                <w:b/>
                <w:bCs/>
                <w:color w:val="000000"/>
                <w:sz w:val="20"/>
              </w:rPr>
              <w:t>CE 4</w:t>
            </w:r>
          </w:p>
        </w:tc>
        <w:tc>
          <w:tcPr>
            <w:tcW w:w="2256" w:type="dxa"/>
            <w:tcBorders>
              <w:left w:val="single" w:sz="4" w:space="0" w:color="000000" w:themeColor="text1"/>
            </w:tcBorders>
          </w:tcPr>
          <w:p w14:paraId="200DC3A4" w14:textId="77777777" w:rsidR="00D736B9" w:rsidRPr="00626248" w:rsidRDefault="00D736B9" w:rsidP="00FC75D6">
            <w:pPr>
              <w:pStyle w:val="Tabletext"/>
              <w:rPr>
                <w:sz w:val="20"/>
              </w:rPr>
            </w:pPr>
            <w:r w:rsidRPr="00626248">
              <w:t>–</w:t>
            </w:r>
          </w:p>
        </w:tc>
        <w:tc>
          <w:tcPr>
            <w:tcW w:w="2268" w:type="dxa"/>
            <w:tcBorders>
              <w:left w:val="single" w:sz="4" w:space="0" w:color="000000" w:themeColor="text1"/>
            </w:tcBorders>
          </w:tcPr>
          <w:p w14:paraId="4B172493" w14:textId="77777777" w:rsidR="00D736B9" w:rsidRPr="00626248" w:rsidRDefault="00D736B9" w:rsidP="00FC75D6">
            <w:pPr>
              <w:pStyle w:val="Tabletext"/>
              <w:rPr>
                <w:sz w:val="20"/>
              </w:rPr>
            </w:pPr>
            <w:hyperlink r:id="rId35" w:history="1">
              <w:r w:rsidRPr="00626248">
                <w:rPr>
                  <w:rStyle w:val="Hyperlink"/>
                  <w:sz w:val="20"/>
                </w:rPr>
                <w:t>M.230</w:t>
              </w:r>
              <w:r w:rsidRPr="00626248">
                <w:rPr>
                  <w:rStyle w:val="Hyperlink"/>
                  <w:sz w:val="20"/>
                </w:rPr>
                <w:t>5</w:t>
              </w:r>
              <w:r w:rsidRPr="00626248">
                <w:rPr>
                  <w:rStyle w:val="Hyperlink"/>
                  <w:sz w:val="20"/>
                </w:rPr>
                <w:t>-1</w:t>
              </w:r>
            </w:hyperlink>
            <w:r w:rsidRPr="00626248">
              <w:rPr>
                <w:sz w:val="20"/>
              </w:rPr>
              <w:t xml:space="preserve">, </w:t>
            </w:r>
            <w:hyperlink r:id="rId36" w:history="1">
              <w:r w:rsidRPr="00626248">
                <w:rPr>
                  <w:rStyle w:val="Hyperlink"/>
                  <w:sz w:val="20"/>
                </w:rPr>
                <w:t>M.2564-0</w:t>
              </w:r>
            </w:hyperlink>
            <w:r w:rsidRPr="00626248">
              <w:rPr>
                <w:sz w:val="20"/>
              </w:rPr>
              <w:t xml:space="preserve">, </w:t>
            </w:r>
            <w:hyperlink r:id="rId37" w:history="1">
              <w:r w:rsidRPr="00626248">
                <w:rPr>
                  <w:rStyle w:val="Hyperlink"/>
                  <w:sz w:val="20"/>
                </w:rPr>
                <w:t>S.2565-0</w:t>
              </w:r>
            </w:hyperlink>
          </w:p>
        </w:tc>
        <w:tc>
          <w:tcPr>
            <w:tcW w:w="1418" w:type="dxa"/>
            <w:tcBorders>
              <w:left w:val="single" w:sz="4" w:space="0" w:color="000000" w:themeColor="text1"/>
            </w:tcBorders>
          </w:tcPr>
          <w:p w14:paraId="51E2E581" w14:textId="77777777" w:rsidR="00D736B9" w:rsidRPr="00626248" w:rsidRDefault="00D736B9" w:rsidP="00FC75D6">
            <w:pPr>
              <w:pStyle w:val="Tabletext"/>
              <w:rPr>
                <w:sz w:val="20"/>
              </w:rPr>
            </w:pPr>
            <w:r w:rsidRPr="00626248">
              <w:t>–</w:t>
            </w:r>
          </w:p>
        </w:tc>
        <w:tc>
          <w:tcPr>
            <w:tcW w:w="1275" w:type="dxa"/>
            <w:tcBorders>
              <w:left w:val="single" w:sz="4" w:space="0" w:color="000000" w:themeColor="text1"/>
            </w:tcBorders>
          </w:tcPr>
          <w:p w14:paraId="088B785B" w14:textId="77777777" w:rsidR="00D736B9" w:rsidRPr="00626248" w:rsidRDefault="00D736B9" w:rsidP="00FC75D6">
            <w:pPr>
              <w:pStyle w:val="Tabletext"/>
              <w:rPr>
                <w:sz w:val="20"/>
              </w:rPr>
            </w:pPr>
            <w:r w:rsidRPr="00626248">
              <w:t>–</w:t>
            </w:r>
          </w:p>
        </w:tc>
        <w:tc>
          <w:tcPr>
            <w:tcW w:w="1219" w:type="dxa"/>
            <w:tcBorders>
              <w:left w:val="single" w:sz="4" w:space="0" w:color="000000" w:themeColor="text1"/>
            </w:tcBorders>
          </w:tcPr>
          <w:p w14:paraId="69950383" w14:textId="77777777" w:rsidR="00D736B9" w:rsidRPr="00626248" w:rsidRDefault="00D736B9" w:rsidP="00FC75D6">
            <w:pPr>
              <w:pStyle w:val="Tabletext"/>
              <w:rPr>
                <w:sz w:val="20"/>
              </w:rPr>
            </w:pPr>
            <w:r w:rsidRPr="00626248">
              <w:t>–</w:t>
            </w:r>
          </w:p>
        </w:tc>
      </w:tr>
      <w:tr w:rsidR="00D736B9" w:rsidRPr="00626248" w14:paraId="04C18BC3" w14:textId="77777777" w:rsidTr="00D736B9">
        <w:trPr>
          <w:trHeight w:val="270"/>
          <w:jc w:val="center"/>
        </w:trPr>
        <w:tc>
          <w:tcPr>
            <w:tcW w:w="1283" w:type="dxa"/>
            <w:tcBorders>
              <w:right w:val="single" w:sz="4" w:space="0" w:color="000000" w:themeColor="text1"/>
            </w:tcBorders>
          </w:tcPr>
          <w:p w14:paraId="7219CCD3" w14:textId="77777777" w:rsidR="00D736B9" w:rsidRPr="00626248" w:rsidDel="00A14716" w:rsidRDefault="00D736B9" w:rsidP="00FC75D6">
            <w:pPr>
              <w:pStyle w:val="Tabletext"/>
              <w:jc w:val="center"/>
              <w:rPr>
                <w:b/>
                <w:bCs/>
                <w:sz w:val="20"/>
              </w:rPr>
            </w:pPr>
            <w:r w:rsidRPr="00626248">
              <w:rPr>
                <w:b/>
                <w:bCs/>
                <w:color w:val="000000"/>
                <w:sz w:val="20"/>
              </w:rPr>
              <w:t>CE 5</w:t>
            </w:r>
          </w:p>
        </w:tc>
        <w:tc>
          <w:tcPr>
            <w:tcW w:w="2256" w:type="dxa"/>
            <w:tcBorders>
              <w:left w:val="single" w:sz="4" w:space="0" w:color="000000" w:themeColor="text1"/>
            </w:tcBorders>
          </w:tcPr>
          <w:p w14:paraId="62D3A50C" w14:textId="77777777" w:rsidR="00D736B9" w:rsidRPr="00626248" w:rsidRDefault="00D736B9" w:rsidP="00FC75D6">
            <w:pPr>
              <w:pStyle w:val="Tabletext"/>
              <w:rPr>
                <w:sz w:val="20"/>
              </w:rPr>
            </w:pPr>
            <w:r w:rsidRPr="00626248">
              <w:t>–</w:t>
            </w:r>
          </w:p>
        </w:tc>
        <w:tc>
          <w:tcPr>
            <w:tcW w:w="2268" w:type="dxa"/>
            <w:tcBorders>
              <w:left w:val="single" w:sz="4" w:space="0" w:color="000000" w:themeColor="text1"/>
            </w:tcBorders>
          </w:tcPr>
          <w:p w14:paraId="6C6FBADD" w14:textId="77777777" w:rsidR="00D736B9" w:rsidRPr="00626248" w:rsidRDefault="00D736B9" w:rsidP="00FC75D6">
            <w:pPr>
              <w:pStyle w:val="Tabletext"/>
              <w:rPr>
                <w:sz w:val="20"/>
              </w:rPr>
            </w:pPr>
            <w:hyperlink r:id="rId38" w:history="1">
              <w:r w:rsidRPr="00626248">
                <w:rPr>
                  <w:rStyle w:val="Hyperlink"/>
                  <w:rFonts w:asciiTheme="majorBidi" w:hAnsiTheme="majorBidi" w:cstheme="majorBidi"/>
                  <w:sz w:val="20"/>
                  <w:lang w:eastAsia="ja-JP"/>
                </w:rPr>
                <w:t>F.2558-0</w:t>
              </w:r>
            </w:hyperlink>
            <w:r w:rsidRPr="00626248">
              <w:rPr>
                <w:rFonts w:asciiTheme="majorBidi" w:hAnsiTheme="majorBidi" w:cstheme="majorBidi"/>
                <w:sz w:val="20"/>
                <w:lang w:eastAsia="ja-JP"/>
              </w:rPr>
              <w:t xml:space="preserve">, </w:t>
            </w:r>
            <w:hyperlink r:id="rId39" w:history="1">
              <w:r w:rsidRPr="00626248">
                <w:rPr>
                  <w:rStyle w:val="Hyperlink"/>
                  <w:rFonts w:asciiTheme="majorBidi" w:hAnsiTheme="majorBidi" w:cstheme="majorBidi"/>
                  <w:sz w:val="20"/>
                  <w:lang w:eastAsia="ja-JP"/>
                </w:rPr>
                <w:t>M.2039-4</w:t>
              </w:r>
            </w:hyperlink>
            <w:r w:rsidRPr="00626248">
              <w:rPr>
                <w:rFonts w:asciiTheme="majorBidi" w:hAnsiTheme="majorBidi" w:cstheme="majorBidi"/>
                <w:sz w:val="20"/>
                <w:lang w:eastAsia="ja-JP"/>
              </w:rPr>
              <w:t xml:space="preserve">, </w:t>
            </w:r>
            <w:hyperlink r:id="rId40" w:history="1">
              <w:r w:rsidRPr="00626248">
                <w:rPr>
                  <w:rStyle w:val="Hyperlink"/>
                  <w:rFonts w:asciiTheme="majorBidi" w:hAnsiTheme="majorBidi" w:cstheme="majorBidi"/>
                  <w:sz w:val="20"/>
                  <w:lang w:eastAsia="ja-JP"/>
                </w:rPr>
                <w:t>M.2559-0</w:t>
              </w:r>
            </w:hyperlink>
            <w:r w:rsidRPr="00626248">
              <w:rPr>
                <w:rFonts w:asciiTheme="majorBidi" w:hAnsiTheme="majorBidi" w:cstheme="majorBidi"/>
                <w:sz w:val="20"/>
                <w:lang w:eastAsia="ja-JP"/>
              </w:rPr>
              <w:t xml:space="preserve">, </w:t>
            </w:r>
            <w:hyperlink r:id="rId41" w:history="1">
              <w:r w:rsidRPr="00626248">
                <w:rPr>
                  <w:rStyle w:val="Hyperlink"/>
                  <w:rFonts w:asciiTheme="majorBidi" w:hAnsiTheme="majorBidi" w:cstheme="majorBidi"/>
                  <w:sz w:val="20"/>
                  <w:lang w:eastAsia="ja-JP"/>
                </w:rPr>
                <w:t>M.2560-0</w:t>
              </w:r>
            </w:hyperlink>
            <w:r w:rsidRPr="00626248">
              <w:rPr>
                <w:rFonts w:asciiTheme="majorBidi" w:hAnsiTheme="majorBidi" w:cstheme="majorBidi"/>
                <w:sz w:val="20"/>
                <w:lang w:eastAsia="ja-JP"/>
              </w:rPr>
              <w:t xml:space="preserve">, </w:t>
            </w:r>
            <w:hyperlink r:id="rId42" w:history="1">
              <w:r w:rsidRPr="00626248">
                <w:rPr>
                  <w:rStyle w:val="Hyperlink"/>
                  <w:rFonts w:asciiTheme="majorBidi" w:hAnsiTheme="majorBidi" w:cstheme="majorBidi"/>
                  <w:sz w:val="20"/>
                  <w:lang w:eastAsia="ja-JP"/>
                </w:rPr>
                <w:t>M.2561-0</w:t>
              </w:r>
            </w:hyperlink>
            <w:r w:rsidRPr="00626248">
              <w:rPr>
                <w:rFonts w:asciiTheme="majorBidi" w:hAnsiTheme="majorBidi" w:cstheme="majorBidi"/>
                <w:sz w:val="20"/>
                <w:lang w:eastAsia="ja-JP"/>
              </w:rPr>
              <w:t xml:space="preserve">, </w:t>
            </w:r>
            <w:hyperlink r:id="rId43" w:history="1">
              <w:r w:rsidRPr="00626248">
                <w:rPr>
                  <w:rStyle w:val="Hyperlink"/>
                  <w:rFonts w:asciiTheme="majorBidi" w:hAnsiTheme="majorBidi" w:cstheme="majorBidi"/>
                  <w:sz w:val="20"/>
                  <w:lang w:eastAsia="ja-JP"/>
                </w:rPr>
                <w:t>M.2562-0</w:t>
              </w:r>
            </w:hyperlink>
            <w:r w:rsidRPr="00626248">
              <w:rPr>
                <w:rFonts w:asciiTheme="majorBidi" w:hAnsiTheme="majorBidi" w:cstheme="majorBidi"/>
                <w:sz w:val="20"/>
                <w:lang w:eastAsia="ja-JP"/>
              </w:rPr>
              <w:t xml:space="preserve">, </w:t>
            </w:r>
            <w:hyperlink r:id="rId44" w:history="1">
              <w:r w:rsidRPr="00626248">
                <w:rPr>
                  <w:rStyle w:val="Hyperlink"/>
                  <w:rFonts w:asciiTheme="majorBidi" w:hAnsiTheme="majorBidi" w:cstheme="majorBidi"/>
                  <w:sz w:val="20"/>
                  <w:lang w:eastAsia="ja-JP"/>
                </w:rPr>
                <w:t>M.2563-0</w:t>
              </w:r>
            </w:hyperlink>
          </w:p>
        </w:tc>
        <w:tc>
          <w:tcPr>
            <w:tcW w:w="1418" w:type="dxa"/>
            <w:tcBorders>
              <w:left w:val="single" w:sz="4" w:space="0" w:color="000000" w:themeColor="text1"/>
            </w:tcBorders>
          </w:tcPr>
          <w:p w14:paraId="156093A5" w14:textId="77777777" w:rsidR="00D736B9" w:rsidRPr="00626248" w:rsidRDefault="00D736B9" w:rsidP="00FC75D6">
            <w:pPr>
              <w:pStyle w:val="Tabletext"/>
              <w:rPr>
                <w:sz w:val="20"/>
              </w:rPr>
            </w:pPr>
            <w:r w:rsidRPr="00626248">
              <w:t>–</w:t>
            </w:r>
          </w:p>
        </w:tc>
        <w:tc>
          <w:tcPr>
            <w:tcW w:w="1275" w:type="dxa"/>
            <w:tcBorders>
              <w:left w:val="single" w:sz="4" w:space="0" w:color="000000" w:themeColor="text1"/>
            </w:tcBorders>
          </w:tcPr>
          <w:p w14:paraId="350CCF06" w14:textId="1755A5F7" w:rsidR="00D736B9" w:rsidRPr="00626248" w:rsidRDefault="00D736B9" w:rsidP="00FC75D6">
            <w:pPr>
              <w:pStyle w:val="Tabletext"/>
              <w:rPr>
                <w:sz w:val="20"/>
              </w:rPr>
            </w:pPr>
            <w:hyperlink r:id="rId45" w:history="1">
              <w:r w:rsidRPr="00626248">
                <w:rPr>
                  <w:rStyle w:val="Hyperlink"/>
                  <w:sz w:val="20"/>
                </w:rPr>
                <w:t>Manuel sur les services d'amateur et d'amateur par satellite</w:t>
              </w:r>
            </w:hyperlink>
            <w:r w:rsidRPr="00626248">
              <w:rPr>
                <w:sz w:val="20"/>
              </w:rPr>
              <w:t xml:space="preserve"> (</w:t>
            </w:r>
            <w:r w:rsidRPr="00626248">
              <w:rPr>
                <w:sz w:val="20"/>
              </w:rPr>
              <w:t>É</w:t>
            </w:r>
            <w:r w:rsidRPr="00626248">
              <w:rPr>
                <w:sz w:val="20"/>
              </w:rPr>
              <w:t>dition de 2025)</w:t>
            </w:r>
          </w:p>
        </w:tc>
        <w:tc>
          <w:tcPr>
            <w:tcW w:w="1219" w:type="dxa"/>
            <w:tcBorders>
              <w:left w:val="single" w:sz="4" w:space="0" w:color="000000" w:themeColor="text1"/>
            </w:tcBorders>
          </w:tcPr>
          <w:p w14:paraId="476EE7DB" w14:textId="77777777" w:rsidR="00D736B9" w:rsidRPr="00626248" w:rsidRDefault="00D736B9" w:rsidP="00FC75D6">
            <w:pPr>
              <w:pStyle w:val="Tabletext"/>
              <w:rPr>
                <w:sz w:val="20"/>
              </w:rPr>
            </w:pPr>
            <w:r w:rsidRPr="00626248">
              <w:t>–</w:t>
            </w:r>
          </w:p>
        </w:tc>
      </w:tr>
      <w:tr w:rsidR="00D736B9" w:rsidRPr="00626248" w14:paraId="618912B1" w14:textId="77777777" w:rsidTr="00D736B9">
        <w:trPr>
          <w:trHeight w:val="270"/>
          <w:jc w:val="center"/>
        </w:trPr>
        <w:tc>
          <w:tcPr>
            <w:tcW w:w="1283" w:type="dxa"/>
            <w:tcBorders>
              <w:right w:val="single" w:sz="4" w:space="0" w:color="000000" w:themeColor="text1"/>
            </w:tcBorders>
          </w:tcPr>
          <w:p w14:paraId="101B6B18" w14:textId="77777777" w:rsidR="00D736B9" w:rsidRPr="00626248" w:rsidDel="00A14716" w:rsidRDefault="00D736B9" w:rsidP="00D736B9">
            <w:pPr>
              <w:pStyle w:val="Tabletext"/>
              <w:jc w:val="center"/>
              <w:rPr>
                <w:b/>
                <w:bCs/>
                <w:sz w:val="20"/>
              </w:rPr>
            </w:pPr>
            <w:r w:rsidRPr="00626248">
              <w:rPr>
                <w:b/>
                <w:bCs/>
                <w:color w:val="000000"/>
                <w:sz w:val="20"/>
              </w:rPr>
              <w:t>CE 6</w:t>
            </w:r>
          </w:p>
        </w:tc>
        <w:tc>
          <w:tcPr>
            <w:tcW w:w="2256" w:type="dxa"/>
            <w:tcBorders>
              <w:left w:val="single" w:sz="4" w:space="0" w:color="000000" w:themeColor="text1"/>
            </w:tcBorders>
          </w:tcPr>
          <w:p w14:paraId="06E8347D" w14:textId="77777777" w:rsidR="00D736B9" w:rsidRPr="00626248" w:rsidRDefault="00D736B9" w:rsidP="00D736B9">
            <w:pPr>
              <w:pStyle w:val="Tabletext"/>
              <w:rPr>
                <w:rFonts w:asciiTheme="majorBidi" w:hAnsiTheme="majorBidi" w:cstheme="majorBidi"/>
                <w:sz w:val="20"/>
                <w:lang w:eastAsia="ja-JP"/>
              </w:rPr>
            </w:pPr>
            <w:hyperlink r:id="rId46" w:history="1">
              <w:r w:rsidRPr="00626248">
                <w:rPr>
                  <w:rStyle w:val="Hyperlink"/>
                  <w:rFonts w:asciiTheme="majorBidi" w:hAnsiTheme="majorBidi" w:cstheme="majorBidi"/>
                  <w:sz w:val="20"/>
                  <w:lang w:eastAsia="ja-JP"/>
                </w:rPr>
                <w:t>BS.705-2</w:t>
              </w:r>
            </w:hyperlink>
            <w:r w:rsidRPr="00626248">
              <w:rPr>
                <w:rFonts w:asciiTheme="majorBidi" w:hAnsiTheme="majorBidi" w:cstheme="majorBidi"/>
                <w:sz w:val="20"/>
                <w:lang w:eastAsia="ja-JP"/>
              </w:rPr>
              <w:t xml:space="preserve">, </w:t>
            </w:r>
            <w:hyperlink r:id="rId47" w:history="1">
              <w:r w:rsidRPr="00626248">
                <w:rPr>
                  <w:rStyle w:val="Hyperlink"/>
                  <w:rFonts w:asciiTheme="majorBidi" w:hAnsiTheme="majorBidi" w:cstheme="majorBidi"/>
                  <w:sz w:val="20"/>
                  <w:lang w:eastAsia="ja-JP"/>
                </w:rPr>
                <w:t>BS.1114-13</w:t>
              </w:r>
            </w:hyperlink>
            <w:r w:rsidRPr="00626248">
              <w:rPr>
                <w:rFonts w:asciiTheme="majorBidi" w:hAnsiTheme="majorBidi" w:cstheme="majorBidi"/>
                <w:sz w:val="20"/>
                <w:lang w:eastAsia="ja-JP"/>
              </w:rPr>
              <w:t xml:space="preserve">, </w:t>
            </w:r>
            <w:hyperlink r:id="rId48" w:history="1">
              <w:r w:rsidRPr="00626248">
                <w:rPr>
                  <w:rStyle w:val="Hyperlink"/>
                  <w:rFonts w:asciiTheme="majorBidi" w:hAnsiTheme="majorBidi" w:cstheme="majorBidi"/>
                  <w:sz w:val="20"/>
                  <w:lang w:eastAsia="ja-JP"/>
                </w:rPr>
                <w:t>BS.1514-3</w:t>
              </w:r>
            </w:hyperlink>
            <w:r w:rsidRPr="00626248">
              <w:rPr>
                <w:rFonts w:asciiTheme="majorBidi" w:hAnsiTheme="majorBidi" w:cstheme="majorBidi"/>
                <w:sz w:val="20"/>
                <w:lang w:eastAsia="ja-JP"/>
              </w:rPr>
              <w:t xml:space="preserve">, </w:t>
            </w:r>
            <w:hyperlink r:id="rId49" w:history="1">
              <w:r w:rsidRPr="00626248">
                <w:rPr>
                  <w:rStyle w:val="Hyperlink"/>
                  <w:rFonts w:asciiTheme="majorBidi" w:hAnsiTheme="majorBidi" w:cstheme="majorBidi"/>
                  <w:sz w:val="20"/>
                  <w:lang w:eastAsia="ja-JP"/>
                </w:rPr>
                <w:t>BS.1548-8</w:t>
              </w:r>
            </w:hyperlink>
            <w:r w:rsidRPr="00626248">
              <w:rPr>
                <w:rFonts w:asciiTheme="majorBidi" w:hAnsiTheme="majorBidi" w:cstheme="majorBidi"/>
                <w:sz w:val="20"/>
                <w:lang w:eastAsia="ja-JP"/>
              </w:rPr>
              <w:t xml:space="preserve">, </w:t>
            </w:r>
            <w:hyperlink r:id="rId50" w:history="1">
              <w:r w:rsidRPr="00626248">
                <w:rPr>
                  <w:rStyle w:val="Hyperlink"/>
                  <w:rFonts w:asciiTheme="majorBidi" w:hAnsiTheme="majorBidi" w:cstheme="majorBidi"/>
                  <w:sz w:val="20"/>
                  <w:lang w:eastAsia="ja-JP"/>
                </w:rPr>
                <w:t>BS.2088-2</w:t>
              </w:r>
            </w:hyperlink>
            <w:r w:rsidRPr="00626248">
              <w:rPr>
                <w:rFonts w:asciiTheme="majorBidi" w:hAnsiTheme="majorBidi" w:cstheme="majorBidi"/>
                <w:sz w:val="20"/>
                <w:lang w:eastAsia="ja-JP"/>
              </w:rPr>
              <w:t xml:space="preserve">, </w:t>
            </w:r>
            <w:hyperlink r:id="rId51" w:history="1">
              <w:r w:rsidRPr="00626248">
                <w:rPr>
                  <w:rStyle w:val="Hyperlink"/>
                  <w:rFonts w:asciiTheme="majorBidi" w:hAnsiTheme="majorBidi" w:cstheme="majorBidi"/>
                  <w:sz w:val="20"/>
                  <w:lang w:eastAsia="ja-JP"/>
                </w:rPr>
                <w:t>BT.1774-3</w:t>
              </w:r>
            </w:hyperlink>
            <w:r w:rsidRPr="00626248">
              <w:rPr>
                <w:rFonts w:asciiTheme="majorBidi" w:hAnsiTheme="majorBidi" w:cstheme="majorBidi"/>
                <w:sz w:val="20"/>
                <w:lang w:eastAsia="ja-JP"/>
              </w:rPr>
              <w:t xml:space="preserve">, </w:t>
            </w:r>
            <w:hyperlink r:id="rId52" w:history="1">
              <w:r w:rsidRPr="00626248">
                <w:rPr>
                  <w:rStyle w:val="Hyperlink"/>
                  <w:rFonts w:asciiTheme="majorBidi" w:hAnsiTheme="majorBidi" w:cstheme="majorBidi"/>
                  <w:sz w:val="20"/>
                  <w:lang w:eastAsia="ja-JP"/>
                </w:rPr>
                <w:t>BT.2111-3</w:t>
              </w:r>
            </w:hyperlink>
          </w:p>
        </w:tc>
        <w:tc>
          <w:tcPr>
            <w:tcW w:w="2268" w:type="dxa"/>
            <w:tcBorders>
              <w:left w:val="single" w:sz="4" w:space="0" w:color="000000" w:themeColor="text1"/>
            </w:tcBorders>
          </w:tcPr>
          <w:p w14:paraId="0689D3F2" w14:textId="77777777" w:rsidR="00D736B9" w:rsidRPr="00626248" w:rsidRDefault="00D736B9" w:rsidP="00D736B9">
            <w:pPr>
              <w:pStyle w:val="Tabletext"/>
              <w:rPr>
                <w:sz w:val="20"/>
              </w:rPr>
            </w:pPr>
            <w:hyperlink r:id="rId53" w:history="1">
              <w:r w:rsidRPr="00626248">
                <w:rPr>
                  <w:rStyle w:val="Hyperlink"/>
                  <w:sz w:val="20"/>
                </w:rPr>
                <w:t>BS.2388</w:t>
              </w:r>
              <w:r w:rsidRPr="00626248">
                <w:rPr>
                  <w:rStyle w:val="Hyperlink"/>
                  <w:sz w:val="20"/>
                </w:rPr>
                <w:noBreakHyphen/>
                <w:t>6</w:t>
              </w:r>
            </w:hyperlink>
            <w:r w:rsidRPr="00626248">
              <w:rPr>
                <w:sz w:val="20"/>
              </w:rPr>
              <w:t xml:space="preserve">, </w:t>
            </w:r>
            <w:hyperlink r:id="rId54" w:history="1">
              <w:r w:rsidRPr="00626248">
                <w:rPr>
                  <w:rStyle w:val="Hyperlink"/>
                  <w:sz w:val="20"/>
                </w:rPr>
                <w:t>BS.2555</w:t>
              </w:r>
              <w:r w:rsidRPr="00626248">
                <w:rPr>
                  <w:rStyle w:val="Hyperlink"/>
                  <w:sz w:val="20"/>
                </w:rPr>
                <w:noBreakHyphen/>
                <w:t>0</w:t>
              </w:r>
            </w:hyperlink>
            <w:r w:rsidRPr="00626248">
              <w:rPr>
                <w:sz w:val="20"/>
              </w:rPr>
              <w:t xml:space="preserve">, </w:t>
            </w:r>
            <w:hyperlink r:id="rId55" w:history="1">
              <w:r w:rsidRPr="00626248">
                <w:rPr>
                  <w:rStyle w:val="Hyperlink"/>
                  <w:sz w:val="20"/>
                </w:rPr>
                <w:t>BS./BT.2295</w:t>
              </w:r>
              <w:r w:rsidRPr="00626248">
                <w:rPr>
                  <w:rStyle w:val="Hyperlink"/>
                  <w:sz w:val="20"/>
                </w:rPr>
                <w:noBreakHyphen/>
                <w:t>5</w:t>
              </w:r>
            </w:hyperlink>
            <w:r w:rsidRPr="00626248">
              <w:rPr>
                <w:sz w:val="20"/>
              </w:rPr>
              <w:t xml:space="preserve">, </w:t>
            </w:r>
            <w:hyperlink r:id="rId56" w:history="1">
              <w:r w:rsidRPr="00626248">
                <w:rPr>
                  <w:rStyle w:val="Hyperlink"/>
                  <w:sz w:val="20"/>
                </w:rPr>
                <w:t>BS</w:t>
              </w:r>
              <w:r w:rsidRPr="00626248">
                <w:rPr>
                  <w:rStyle w:val="Hyperlink"/>
                </w:rPr>
                <w:t>.</w:t>
              </w:r>
              <w:r w:rsidRPr="00626248">
                <w:rPr>
                  <w:rStyle w:val="Hyperlink"/>
                  <w:sz w:val="20"/>
                  <w:szCs w:val="18"/>
                </w:rPr>
                <w:t>/B</w:t>
              </w:r>
              <w:r w:rsidRPr="00626248">
                <w:rPr>
                  <w:rStyle w:val="Hyperlink"/>
                  <w:sz w:val="20"/>
                </w:rPr>
                <w:t>T.2385</w:t>
              </w:r>
              <w:r w:rsidRPr="00626248">
                <w:rPr>
                  <w:rStyle w:val="Hyperlink"/>
                  <w:sz w:val="20"/>
                </w:rPr>
                <w:noBreakHyphen/>
                <w:t>2</w:t>
              </w:r>
            </w:hyperlink>
            <w:r w:rsidRPr="00626248">
              <w:rPr>
                <w:sz w:val="20"/>
              </w:rPr>
              <w:t xml:space="preserve">, </w:t>
            </w:r>
            <w:hyperlink r:id="rId57" w:history="1">
              <w:r w:rsidRPr="00626248">
                <w:rPr>
                  <w:rStyle w:val="Hyperlink"/>
                  <w:sz w:val="20"/>
                </w:rPr>
                <w:t>BT.2207</w:t>
              </w:r>
              <w:r w:rsidRPr="00626248">
                <w:rPr>
                  <w:rStyle w:val="Hyperlink"/>
                  <w:sz w:val="20"/>
                </w:rPr>
                <w:noBreakHyphen/>
                <w:t>7</w:t>
              </w:r>
            </w:hyperlink>
            <w:r w:rsidRPr="00626248">
              <w:rPr>
                <w:sz w:val="20"/>
              </w:rPr>
              <w:t xml:space="preserve">, </w:t>
            </w:r>
            <w:hyperlink r:id="rId58" w:history="1">
              <w:r w:rsidRPr="00626248">
                <w:rPr>
                  <w:rStyle w:val="Hyperlink"/>
                  <w:sz w:val="20"/>
                </w:rPr>
                <w:t>BT.2246</w:t>
              </w:r>
              <w:r w:rsidRPr="00626248">
                <w:rPr>
                  <w:rStyle w:val="Hyperlink"/>
                  <w:sz w:val="20"/>
                </w:rPr>
                <w:noBreakHyphen/>
                <w:t>9</w:t>
              </w:r>
            </w:hyperlink>
            <w:r w:rsidRPr="00626248">
              <w:rPr>
                <w:sz w:val="20"/>
              </w:rPr>
              <w:t xml:space="preserve">, </w:t>
            </w:r>
            <w:hyperlink r:id="rId59" w:history="1">
              <w:r w:rsidRPr="00626248">
                <w:rPr>
                  <w:rStyle w:val="Hyperlink"/>
                  <w:sz w:val="20"/>
                </w:rPr>
                <w:t>BT.2299</w:t>
              </w:r>
              <w:r w:rsidRPr="00626248">
                <w:rPr>
                  <w:rStyle w:val="Hyperlink"/>
                  <w:sz w:val="20"/>
                </w:rPr>
                <w:noBreakHyphen/>
                <w:t>4</w:t>
              </w:r>
            </w:hyperlink>
            <w:r w:rsidRPr="00626248">
              <w:rPr>
                <w:sz w:val="20"/>
              </w:rPr>
              <w:t xml:space="preserve">, </w:t>
            </w:r>
            <w:hyperlink r:id="rId60" w:history="1">
              <w:r w:rsidRPr="00626248">
                <w:rPr>
                  <w:rStyle w:val="Hyperlink"/>
                  <w:sz w:val="20"/>
                </w:rPr>
                <w:t>BT.2343</w:t>
              </w:r>
              <w:r w:rsidRPr="00626248">
                <w:rPr>
                  <w:rStyle w:val="Hyperlink"/>
                  <w:sz w:val="20"/>
                </w:rPr>
                <w:noBreakHyphen/>
                <w:t>10</w:t>
              </w:r>
            </w:hyperlink>
            <w:r w:rsidRPr="00626248">
              <w:rPr>
                <w:sz w:val="20"/>
              </w:rPr>
              <w:t xml:space="preserve">, </w:t>
            </w:r>
            <w:hyperlink r:id="rId61" w:history="1">
              <w:r w:rsidRPr="00626248">
                <w:rPr>
                  <w:rStyle w:val="Hyperlink"/>
                  <w:sz w:val="20"/>
                </w:rPr>
                <w:t>BT.2390</w:t>
              </w:r>
              <w:r w:rsidRPr="00626248">
                <w:rPr>
                  <w:rStyle w:val="Hyperlink"/>
                  <w:sz w:val="20"/>
                </w:rPr>
                <w:noBreakHyphen/>
                <w:t>12</w:t>
              </w:r>
            </w:hyperlink>
            <w:r w:rsidRPr="00626248">
              <w:rPr>
                <w:sz w:val="20"/>
              </w:rPr>
              <w:t xml:space="preserve">, </w:t>
            </w:r>
            <w:hyperlink r:id="rId62" w:history="1">
              <w:r w:rsidRPr="00626248">
                <w:rPr>
                  <w:rStyle w:val="Hyperlink"/>
                  <w:sz w:val="20"/>
                </w:rPr>
                <w:t>BT.2400</w:t>
              </w:r>
              <w:r w:rsidRPr="00626248">
                <w:rPr>
                  <w:rStyle w:val="Hyperlink"/>
                  <w:sz w:val="20"/>
                </w:rPr>
                <w:noBreakHyphen/>
                <w:t>5</w:t>
              </w:r>
            </w:hyperlink>
            <w:r w:rsidRPr="00626248">
              <w:rPr>
                <w:sz w:val="20"/>
              </w:rPr>
              <w:t xml:space="preserve">, </w:t>
            </w:r>
            <w:hyperlink r:id="rId63" w:history="1">
              <w:r w:rsidRPr="00626248">
                <w:rPr>
                  <w:rStyle w:val="Hyperlink"/>
                  <w:sz w:val="20"/>
                </w:rPr>
                <w:t>BT.2420</w:t>
              </w:r>
              <w:r w:rsidRPr="00626248">
                <w:rPr>
                  <w:rStyle w:val="Hyperlink"/>
                  <w:sz w:val="20"/>
                </w:rPr>
                <w:noBreakHyphen/>
                <w:t>8</w:t>
              </w:r>
            </w:hyperlink>
            <w:r w:rsidRPr="00626248">
              <w:rPr>
                <w:sz w:val="20"/>
              </w:rPr>
              <w:t xml:space="preserve">, </w:t>
            </w:r>
            <w:hyperlink r:id="rId64" w:history="1">
              <w:r w:rsidRPr="00626248">
                <w:rPr>
                  <w:rStyle w:val="Hyperlink"/>
                  <w:sz w:val="20"/>
                </w:rPr>
                <w:t>BT.2448</w:t>
              </w:r>
              <w:r w:rsidRPr="00626248">
                <w:rPr>
                  <w:rStyle w:val="Hyperlink"/>
                  <w:sz w:val="20"/>
                </w:rPr>
                <w:noBreakHyphen/>
                <w:t>1</w:t>
              </w:r>
            </w:hyperlink>
            <w:r w:rsidRPr="00626248">
              <w:rPr>
                <w:sz w:val="20"/>
              </w:rPr>
              <w:t>,</w:t>
            </w:r>
          </w:p>
          <w:p w14:paraId="15325ECD" w14:textId="70949971" w:rsidR="00D736B9" w:rsidRPr="00626248" w:rsidRDefault="00D736B9" w:rsidP="00D736B9">
            <w:pPr>
              <w:pStyle w:val="Tabletext"/>
              <w:rPr>
                <w:sz w:val="20"/>
              </w:rPr>
            </w:pPr>
            <w:hyperlink r:id="rId65" w:history="1">
              <w:r w:rsidRPr="00626248">
                <w:rPr>
                  <w:rStyle w:val="Hyperlink"/>
                  <w:sz w:val="20"/>
                </w:rPr>
                <w:t>BT.2526</w:t>
              </w:r>
              <w:r w:rsidRPr="00626248">
                <w:rPr>
                  <w:rStyle w:val="Hyperlink"/>
                  <w:sz w:val="20"/>
                </w:rPr>
                <w:noBreakHyphen/>
                <w:t>2</w:t>
              </w:r>
            </w:hyperlink>
            <w:r w:rsidRPr="00626248">
              <w:rPr>
                <w:sz w:val="20"/>
              </w:rPr>
              <w:t xml:space="preserve">, </w:t>
            </w:r>
            <w:hyperlink r:id="rId66" w:history="1">
              <w:r w:rsidRPr="00626248">
                <w:rPr>
                  <w:rStyle w:val="Hyperlink"/>
                  <w:sz w:val="20"/>
                </w:rPr>
                <w:t>BT.2539</w:t>
              </w:r>
              <w:r w:rsidRPr="00626248">
                <w:rPr>
                  <w:rStyle w:val="Hyperlink"/>
                  <w:sz w:val="20"/>
                </w:rPr>
                <w:noBreakHyphen/>
                <w:t>1</w:t>
              </w:r>
            </w:hyperlink>
            <w:r w:rsidRPr="00626248">
              <w:rPr>
                <w:sz w:val="20"/>
              </w:rPr>
              <w:t xml:space="preserve">, </w:t>
            </w:r>
            <w:hyperlink r:id="rId67" w:history="1">
              <w:r w:rsidRPr="00626248">
                <w:rPr>
                  <w:rStyle w:val="Hyperlink"/>
                  <w:sz w:val="20"/>
                </w:rPr>
                <w:t>BT.2549</w:t>
              </w:r>
              <w:r w:rsidRPr="00626248">
                <w:rPr>
                  <w:rStyle w:val="Hyperlink"/>
                  <w:sz w:val="20"/>
                </w:rPr>
                <w:noBreakHyphen/>
                <w:t>0</w:t>
              </w:r>
            </w:hyperlink>
            <w:r w:rsidRPr="00626248">
              <w:rPr>
                <w:sz w:val="20"/>
              </w:rPr>
              <w:t xml:space="preserve">, </w:t>
            </w:r>
            <w:hyperlink r:id="rId68" w:history="1">
              <w:r w:rsidRPr="00626248">
                <w:rPr>
                  <w:rStyle w:val="Hyperlink"/>
                  <w:sz w:val="20"/>
                </w:rPr>
                <w:t>BT.2550</w:t>
              </w:r>
              <w:r w:rsidRPr="00626248">
                <w:rPr>
                  <w:rStyle w:val="Hyperlink"/>
                  <w:sz w:val="20"/>
                </w:rPr>
                <w:noBreakHyphen/>
                <w:t>0</w:t>
              </w:r>
            </w:hyperlink>
            <w:r w:rsidRPr="00626248">
              <w:rPr>
                <w:sz w:val="20"/>
              </w:rPr>
              <w:t xml:space="preserve">, </w:t>
            </w:r>
            <w:hyperlink r:id="rId69" w:history="1">
              <w:r w:rsidRPr="00626248">
                <w:rPr>
                  <w:rStyle w:val="Hyperlink"/>
                  <w:sz w:val="20"/>
                </w:rPr>
                <w:t>BT.2556</w:t>
              </w:r>
              <w:r w:rsidRPr="00626248">
                <w:rPr>
                  <w:rStyle w:val="Hyperlink"/>
                  <w:sz w:val="20"/>
                </w:rPr>
                <w:noBreakHyphen/>
                <w:t>0</w:t>
              </w:r>
            </w:hyperlink>
            <w:r w:rsidRPr="00626248">
              <w:rPr>
                <w:sz w:val="20"/>
              </w:rPr>
              <w:t xml:space="preserve">, </w:t>
            </w:r>
            <w:hyperlink r:id="rId70" w:history="1">
              <w:r w:rsidRPr="00626248">
                <w:rPr>
                  <w:rStyle w:val="Hyperlink"/>
                  <w:sz w:val="20"/>
                </w:rPr>
                <w:t>BT.2557-0</w:t>
              </w:r>
            </w:hyperlink>
          </w:p>
        </w:tc>
        <w:tc>
          <w:tcPr>
            <w:tcW w:w="1418" w:type="dxa"/>
            <w:tcBorders>
              <w:left w:val="single" w:sz="4" w:space="0" w:color="000000" w:themeColor="text1"/>
            </w:tcBorders>
          </w:tcPr>
          <w:p w14:paraId="486BAB93" w14:textId="77777777" w:rsidR="00D736B9" w:rsidRPr="00626248" w:rsidRDefault="00D736B9" w:rsidP="00D736B9">
            <w:pPr>
              <w:pStyle w:val="Tabletext"/>
              <w:rPr>
                <w:sz w:val="20"/>
              </w:rPr>
            </w:pPr>
            <w:r w:rsidRPr="00626248">
              <w:lastRenderedPageBreak/>
              <w:t>–</w:t>
            </w:r>
          </w:p>
        </w:tc>
        <w:tc>
          <w:tcPr>
            <w:tcW w:w="1275" w:type="dxa"/>
            <w:tcBorders>
              <w:left w:val="single" w:sz="4" w:space="0" w:color="000000" w:themeColor="text1"/>
            </w:tcBorders>
          </w:tcPr>
          <w:p w14:paraId="65A1FCB8" w14:textId="77777777" w:rsidR="00D736B9" w:rsidRPr="00626248" w:rsidRDefault="00D736B9" w:rsidP="00D736B9">
            <w:pPr>
              <w:pStyle w:val="Tabletext"/>
              <w:rPr>
                <w:rFonts w:asciiTheme="majorBidi" w:hAnsiTheme="majorBidi" w:cstheme="majorBidi"/>
                <w:sz w:val="20"/>
                <w:lang w:eastAsia="ja-JP"/>
              </w:rPr>
            </w:pPr>
            <w:r w:rsidRPr="00626248">
              <w:t>–</w:t>
            </w:r>
          </w:p>
        </w:tc>
        <w:tc>
          <w:tcPr>
            <w:tcW w:w="1219" w:type="dxa"/>
            <w:tcBorders>
              <w:left w:val="single" w:sz="4" w:space="0" w:color="000000" w:themeColor="text1"/>
            </w:tcBorders>
          </w:tcPr>
          <w:p w14:paraId="12690247" w14:textId="77777777" w:rsidR="00D736B9" w:rsidRPr="00626248" w:rsidRDefault="00D736B9" w:rsidP="00D736B9">
            <w:pPr>
              <w:pStyle w:val="Tabletext"/>
              <w:rPr>
                <w:rFonts w:asciiTheme="majorBidi" w:hAnsiTheme="majorBidi" w:cstheme="majorBidi"/>
                <w:sz w:val="20"/>
                <w:lang w:eastAsia="ja-JP"/>
              </w:rPr>
            </w:pPr>
            <w:r w:rsidRPr="00626248">
              <w:t>–</w:t>
            </w:r>
          </w:p>
        </w:tc>
      </w:tr>
      <w:tr w:rsidR="00D736B9" w:rsidRPr="00626248" w14:paraId="682CB89A" w14:textId="77777777" w:rsidTr="00D736B9">
        <w:trPr>
          <w:trHeight w:val="270"/>
          <w:jc w:val="center"/>
        </w:trPr>
        <w:tc>
          <w:tcPr>
            <w:tcW w:w="1283" w:type="dxa"/>
            <w:tcBorders>
              <w:right w:val="single" w:sz="4" w:space="0" w:color="000000" w:themeColor="text1"/>
            </w:tcBorders>
          </w:tcPr>
          <w:p w14:paraId="629EF347" w14:textId="77777777" w:rsidR="00D736B9" w:rsidRPr="00626248" w:rsidRDefault="00D736B9" w:rsidP="00FC75D6">
            <w:pPr>
              <w:pStyle w:val="Tabletext"/>
              <w:jc w:val="center"/>
              <w:rPr>
                <w:b/>
                <w:bCs/>
                <w:sz w:val="20"/>
              </w:rPr>
            </w:pPr>
            <w:r w:rsidRPr="00626248">
              <w:rPr>
                <w:b/>
                <w:bCs/>
                <w:color w:val="000000"/>
                <w:sz w:val="20"/>
              </w:rPr>
              <w:t>CE 7</w:t>
            </w:r>
          </w:p>
        </w:tc>
        <w:tc>
          <w:tcPr>
            <w:tcW w:w="2256" w:type="dxa"/>
            <w:tcBorders>
              <w:left w:val="single" w:sz="4" w:space="0" w:color="000000" w:themeColor="text1"/>
            </w:tcBorders>
          </w:tcPr>
          <w:p w14:paraId="06E7E8FA" w14:textId="77777777" w:rsidR="00D736B9" w:rsidRPr="00626248" w:rsidRDefault="00D736B9" w:rsidP="00FC75D6">
            <w:pPr>
              <w:pStyle w:val="Tabletext"/>
              <w:rPr>
                <w:sz w:val="20"/>
              </w:rPr>
            </w:pPr>
            <w:hyperlink r:id="rId71" w:history="1">
              <w:r w:rsidRPr="00626248">
                <w:rPr>
                  <w:rStyle w:val="Hyperlink"/>
                  <w:sz w:val="20"/>
                </w:rPr>
                <w:t>RS.1166-6</w:t>
              </w:r>
            </w:hyperlink>
            <w:r w:rsidRPr="00626248">
              <w:rPr>
                <w:sz w:val="20"/>
              </w:rPr>
              <w:t xml:space="preserve">, </w:t>
            </w:r>
            <w:hyperlink r:id="rId72" w:history="1">
              <w:r w:rsidRPr="00626248">
                <w:rPr>
                  <w:rStyle w:val="Hyperlink"/>
                  <w:sz w:val="20"/>
                </w:rPr>
                <w:t>RS.2105-3</w:t>
              </w:r>
            </w:hyperlink>
            <w:r w:rsidRPr="00626248">
              <w:rPr>
                <w:sz w:val="20"/>
              </w:rPr>
              <w:t xml:space="preserve">, </w:t>
            </w:r>
            <w:hyperlink r:id="rId73" w:history="1">
              <w:r w:rsidRPr="00626248">
                <w:rPr>
                  <w:rStyle w:val="Hyperlink"/>
                  <w:sz w:val="20"/>
                </w:rPr>
                <w:t>SA.2141-1</w:t>
              </w:r>
            </w:hyperlink>
            <w:r w:rsidRPr="00626248">
              <w:rPr>
                <w:sz w:val="20"/>
              </w:rPr>
              <w:t xml:space="preserve">, </w:t>
            </w:r>
            <w:hyperlink r:id="rId74" w:history="1">
              <w:r w:rsidRPr="00626248">
                <w:rPr>
                  <w:rStyle w:val="Hyperlink"/>
                  <w:sz w:val="20"/>
                </w:rPr>
                <w:t>SA.2169-0</w:t>
              </w:r>
            </w:hyperlink>
          </w:p>
        </w:tc>
        <w:tc>
          <w:tcPr>
            <w:tcW w:w="2268" w:type="dxa"/>
            <w:tcBorders>
              <w:left w:val="single" w:sz="4" w:space="0" w:color="000000" w:themeColor="text1"/>
            </w:tcBorders>
          </w:tcPr>
          <w:p w14:paraId="09E16DCE" w14:textId="77777777" w:rsidR="00D736B9" w:rsidRPr="00626248" w:rsidRDefault="00D736B9" w:rsidP="00FC75D6">
            <w:pPr>
              <w:pStyle w:val="Tabletext"/>
              <w:rPr>
                <w:sz w:val="20"/>
              </w:rPr>
            </w:pPr>
            <w:hyperlink r:id="rId75" w:history="1">
              <w:r w:rsidRPr="00626248">
                <w:rPr>
                  <w:rStyle w:val="Hyperlink"/>
                  <w:sz w:val="20"/>
                </w:rPr>
                <w:t>RA.2551-0</w:t>
              </w:r>
            </w:hyperlink>
            <w:r w:rsidRPr="00626248">
              <w:rPr>
                <w:sz w:val="20"/>
              </w:rPr>
              <w:t xml:space="preserve">, </w:t>
            </w:r>
            <w:hyperlink r:id="rId76" w:history="1">
              <w:r w:rsidRPr="00626248">
                <w:rPr>
                  <w:rStyle w:val="Hyperlink"/>
                  <w:sz w:val="20"/>
                </w:rPr>
                <w:t>RA.2552</w:t>
              </w:r>
              <w:r w:rsidRPr="00626248">
                <w:rPr>
                  <w:rStyle w:val="Hyperlink"/>
                  <w:sz w:val="20"/>
                </w:rPr>
                <w:noBreakHyphen/>
                <w:t>0</w:t>
              </w:r>
            </w:hyperlink>
            <w:r w:rsidRPr="00626248">
              <w:rPr>
                <w:sz w:val="20"/>
              </w:rPr>
              <w:t xml:space="preserve">, </w:t>
            </w:r>
            <w:hyperlink r:id="rId77" w:history="1">
              <w:r w:rsidRPr="00626248">
                <w:rPr>
                  <w:rStyle w:val="Hyperlink"/>
                  <w:sz w:val="20"/>
                </w:rPr>
                <w:t>RS.2310</w:t>
              </w:r>
              <w:r w:rsidRPr="00626248">
                <w:rPr>
                  <w:rStyle w:val="Hyperlink"/>
                  <w:sz w:val="20"/>
                </w:rPr>
                <w:noBreakHyphen/>
                <w:t>2</w:t>
              </w:r>
            </w:hyperlink>
            <w:r w:rsidRPr="00626248">
              <w:rPr>
                <w:sz w:val="20"/>
              </w:rPr>
              <w:t xml:space="preserve">, </w:t>
            </w:r>
            <w:hyperlink r:id="rId78" w:history="1">
              <w:r w:rsidRPr="00626248">
                <w:rPr>
                  <w:rStyle w:val="Hyperlink"/>
                  <w:sz w:val="20"/>
                </w:rPr>
                <w:t>RS.2489</w:t>
              </w:r>
              <w:r w:rsidRPr="00626248">
                <w:rPr>
                  <w:rStyle w:val="Hyperlink"/>
                  <w:sz w:val="20"/>
                </w:rPr>
                <w:noBreakHyphen/>
                <w:t>1</w:t>
              </w:r>
            </w:hyperlink>
            <w:r w:rsidRPr="00626248">
              <w:rPr>
                <w:sz w:val="20"/>
              </w:rPr>
              <w:t xml:space="preserve">, </w:t>
            </w:r>
            <w:hyperlink r:id="rId79" w:history="1">
              <w:r w:rsidRPr="00626248">
                <w:rPr>
                  <w:rStyle w:val="Hyperlink"/>
                  <w:sz w:val="20"/>
                </w:rPr>
                <w:t>SA.2553-0</w:t>
              </w:r>
            </w:hyperlink>
          </w:p>
        </w:tc>
        <w:tc>
          <w:tcPr>
            <w:tcW w:w="1418" w:type="dxa"/>
            <w:tcBorders>
              <w:left w:val="single" w:sz="4" w:space="0" w:color="000000" w:themeColor="text1"/>
            </w:tcBorders>
          </w:tcPr>
          <w:p w14:paraId="283E270B" w14:textId="77777777" w:rsidR="00D736B9" w:rsidRPr="00626248" w:rsidRDefault="00D736B9" w:rsidP="00FC75D6">
            <w:pPr>
              <w:pStyle w:val="Tabletext"/>
              <w:rPr>
                <w:sz w:val="20"/>
              </w:rPr>
            </w:pPr>
            <w:r w:rsidRPr="00626248">
              <w:t>–</w:t>
            </w:r>
          </w:p>
        </w:tc>
        <w:tc>
          <w:tcPr>
            <w:tcW w:w="1275" w:type="dxa"/>
            <w:tcBorders>
              <w:left w:val="single" w:sz="4" w:space="0" w:color="000000" w:themeColor="text1"/>
            </w:tcBorders>
          </w:tcPr>
          <w:p w14:paraId="736C951A" w14:textId="77777777" w:rsidR="00D736B9" w:rsidRPr="00626248" w:rsidRDefault="00D736B9" w:rsidP="00FC75D6">
            <w:pPr>
              <w:pStyle w:val="Tabletext"/>
              <w:rPr>
                <w:sz w:val="20"/>
              </w:rPr>
            </w:pPr>
            <w:r w:rsidRPr="00626248">
              <w:t>–</w:t>
            </w:r>
          </w:p>
        </w:tc>
        <w:tc>
          <w:tcPr>
            <w:tcW w:w="1219" w:type="dxa"/>
            <w:tcBorders>
              <w:left w:val="single" w:sz="4" w:space="0" w:color="000000" w:themeColor="text1"/>
            </w:tcBorders>
          </w:tcPr>
          <w:p w14:paraId="27A10AEC" w14:textId="77777777" w:rsidR="00D736B9" w:rsidRPr="00626248" w:rsidRDefault="00D736B9" w:rsidP="00FC75D6">
            <w:pPr>
              <w:pStyle w:val="Tabletext"/>
              <w:rPr>
                <w:sz w:val="20"/>
              </w:rPr>
            </w:pPr>
            <w:r w:rsidRPr="00626248">
              <w:t>–</w:t>
            </w:r>
          </w:p>
        </w:tc>
      </w:tr>
      <w:tr w:rsidR="00D736B9" w:rsidRPr="00626248" w14:paraId="7C979730" w14:textId="77777777" w:rsidTr="00D736B9">
        <w:trPr>
          <w:trHeight w:val="270"/>
          <w:jc w:val="center"/>
        </w:trPr>
        <w:tc>
          <w:tcPr>
            <w:tcW w:w="1283" w:type="dxa"/>
            <w:tcBorders>
              <w:bottom w:val="single" w:sz="4" w:space="0" w:color="000000" w:themeColor="text1"/>
              <w:right w:val="single" w:sz="4" w:space="0" w:color="000000" w:themeColor="text1"/>
            </w:tcBorders>
          </w:tcPr>
          <w:p w14:paraId="16B2E6FB" w14:textId="77777777" w:rsidR="00D736B9" w:rsidRPr="00626248" w:rsidRDefault="00D736B9" w:rsidP="00FC75D6">
            <w:pPr>
              <w:pStyle w:val="Tabletext"/>
              <w:jc w:val="center"/>
              <w:rPr>
                <w:b/>
                <w:bCs/>
                <w:color w:val="000000"/>
                <w:sz w:val="20"/>
              </w:rPr>
            </w:pPr>
            <w:r w:rsidRPr="00626248">
              <w:rPr>
                <w:b/>
                <w:bCs/>
                <w:color w:val="000000"/>
                <w:sz w:val="20"/>
              </w:rPr>
              <w:t>CCV/CCT</w:t>
            </w:r>
          </w:p>
        </w:tc>
        <w:tc>
          <w:tcPr>
            <w:tcW w:w="2256" w:type="dxa"/>
            <w:tcBorders>
              <w:left w:val="single" w:sz="4" w:space="0" w:color="000000" w:themeColor="text1"/>
            </w:tcBorders>
          </w:tcPr>
          <w:p w14:paraId="6853E866" w14:textId="77777777" w:rsidR="00D736B9" w:rsidRPr="00626248" w:rsidRDefault="00D736B9" w:rsidP="00FC75D6">
            <w:pPr>
              <w:pStyle w:val="Tabletext"/>
              <w:rPr>
                <w:sz w:val="20"/>
              </w:rPr>
            </w:pPr>
            <w:hyperlink r:id="rId80" w:history="1">
              <w:r w:rsidRPr="00626248">
                <w:rPr>
                  <w:rStyle w:val="Hyperlink"/>
                  <w:sz w:val="20"/>
                </w:rPr>
                <w:t>V.431-9</w:t>
              </w:r>
            </w:hyperlink>
          </w:p>
        </w:tc>
        <w:tc>
          <w:tcPr>
            <w:tcW w:w="2268" w:type="dxa"/>
            <w:tcBorders>
              <w:left w:val="single" w:sz="4" w:space="0" w:color="000000" w:themeColor="text1"/>
            </w:tcBorders>
          </w:tcPr>
          <w:p w14:paraId="76077A40" w14:textId="77777777" w:rsidR="00D736B9" w:rsidRPr="00626248" w:rsidRDefault="00D736B9" w:rsidP="00FC75D6">
            <w:pPr>
              <w:pStyle w:val="Tabletext"/>
              <w:rPr>
                <w:sz w:val="20"/>
              </w:rPr>
            </w:pPr>
            <w:r w:rsidRPr="00626248">
              <w:t>–</w:t>
            </w:r>
          </w:p>
        </w:tc>
        <w:tc>
          <w:tcPr>
            <w:tcW w:w="1418" w:type="dxa"/>
            <w:tcBorders>
              <w:left w:val="single" w:sz="4" w:space="0" w:color="000000" w:themeColor="text1"/>
            </w:tcBorders>
          </w:tcPr>
          <w:p w14:paraId="17E9EA5B" w14:textId="77777777" w:rsidR="00D736B9" w:rsidRPr="00626248" w:rsidRDefault="00D736B9" w:rsidP="00FC75D6">
            <w:pPr>
              <w:pStyle w:val="Tabletext"/>
              <w:rPr>
                <w:sz w:val="20"/>
              </w:rPr>
            </w:pPr>
            <w:r w:rsidRPr="00626248">
              <w:t>–</w:t>
            </w:r>
          </w:p>
        </w:tc>
        <w:tc>
          <w:tcPr>
            <w:tcW w:w="1275" w:type="dxa"/>
            <w:tcBorders>
              <w:left w:val="single" w:sz="4" w:space="0" w:color="000000" w:themeColor="text1"/>
            </w:tcBorders>
          </w:tcPr>
          <w:p w14:paraId="03D05757" w14:textId="77777777" w:rsidR="00D736B9" w:rsidRPr="00626248" w:rsidRDefault="00D736B9" w:rsidP="00FC75D6">
            <w:pPr>
              <w:pStyle w:val="Tabletext"/>
              <w:rPr>
                <w:sz w:val="20"/>
              </w:rPr>
            </w:pPr>
            <w:r w:rsidRPr="00626248">
              <w:t>–</w:t>
            </w:r>
          </w:p>
        </w:tc>
        <w:tc>
          <w:tcPr>
            <w:tcW w:w="1219" w:type="dxa"/>
            <w:tcBorders>
              <w:left w:val="single" w:sz="4" w:space="0" w:color="000000" w:themeColor="text1"/>
            </w:tcBorders>
          </w:tcPr>
          <w:p w14:paraId="6AB35382" w14:textId="77777777" w:rsidR="00D736B9" w:rsidRPr="00626248" w:rsidRDefault="00D736B9" w:rsidP="00FC75D6">
            <w:pPr>
              <w:pStyle w:val="Tabletext"/>
              <w:rPr>
                <w:sz w:val="20"/>
              </w:rPr>
            </w:pPr>
            <w:r w:rsidRPr="00626248">
              <w:t>–</w:t>
            </w:r>
          </w:p>
        </w:tc>
      </w:tr>
    </w:tbl>
    <w:p w14:paraId="210741FB" w14:textId="77777777" w:rsidR="00D736B9" w:rsidRPr="00626248" w:rsidRDefault="00D736B9" w:rsidP="00D54C78">
      <w:pPr>
        <w:pStyle w:val="Note"/>
      </w:pPr>
      <w:r w:rsidRPr="00626248">
        <w:rPr>
          <w:sz w:val="20"/>
          <w:szCs w:val="16"/>
        </w:rPr>
        <w:t>NOTE – Les produits énumérés ci-dessus ont été compilés au moment de l'élaboration du présent document.</w:t>
      </w:r>
    </w:p>
    <w:p w14:paraId="613D9ED4" w14:textId="5C15DC22" w:rsidR="00D736B9" w:rsidRPr="00626248" w:rsidRDefault="00D736B9" w:rsidP="00D736B9">
      <w:pPr>
        <w:rPr>
          <w:lang w:eastAsia="en-GB"/>
        </w:rPr>
      </w:pPr>
      <w:r w:rsidRPr="00626248">
        <w:rPr>
          <w:lang w:eastAsia="en-GB"/>
        </w:rPr>
        <w:t>Quelque 1</w:t>
      </w:r>
      <w:r w:rsidRPr="00626248">
        <w:rPr>
          <w:lang w:eastAsia="en-GB"/>
        </w:rPr>
        <w:t xml:space="preserve"> </w:t>
      </w:r>
      <w:r w:rsidRPr="00626248">
        <w:rPr>
          <w:lang w:eastAsia="en-GB"/>
        </w:rPr>
        <w:t>160 Recommandations UIT-R et 660 Rapports UIT-T sont actuellement en vigueur.</w:t>
      </w:r>
    </w:p>
    <w:p w14:paraId="0F25CAB7" w14:textId="572545F5" w:rsidR="00D736B9" w:rsidRPr="00626248" w:rsidRDefault="00D736B9" w:rsidP="00D736B9">
      <w:pPr>
        <w:pStyle w:val="Heading2"/>
        <w:rPr>
          <w:lang w:eastAsia="en-GB"/>
        </w:rPr>
      </w:pPr>
      <w:r w:rsidRPr="00626248">
        <w:rPr>
          <w:lang w:eastAsia="en-GB"/>
        </w:rPr>
        <w:t>4.</w:t>
      </w:r>
      <w:r w:rsidRPr="00626248">
        <w:rPr>
          <w:lang w:eastAsia="en-GB"/>
        </w:rPr>
        <w:t>2</w:t>
      </w:r>
      <w:r w:rsidRPr="00626248">
        <w:rPr>
          <w:lang w:eastAsia="en-GB"/>
        </w:rPr>
        <w:tab/>
        <w:t>Commission d'études 1</w:t>
      </w:r>
    </w:p>
    <w:p w14:paraId="37DE8D45" w14:textId="77777777" w:rsidR="00D736B9" w:rsidRPr="00626248" w:rsidRDefault="00D736B9" w:rsidP="00D736B9">
      <w:pPr>
        <w:rPr>
          <w:lang w:eastAsia="en-GB"/>
        </w:rPr>
      </w:pPr>
      <w:r w:rsidRPr="00626248">
        <w:rPr>
          <w:lang w:eastAsia="en-GB"/>
        </w:rPr>
        <w:t>La Commission d'études 1 a poursuivi l'élaboration de Recommandations, de Rapports et de Manuels de l'UIT-R concernant les principes et techniques applicables à la gestion du spectre, aux principes généraux en matière de partage, au contrôle du spectre, aux stratégies à long terme relatives à l'utilisation du spectre, aux approches économiques concernant la gestion du spectre au niveau national, aux techniques automatisées et à l'assistance apportée aux pays en développement en coopération avec le Secteur du développement des télécommunications. Les études menées par la CE 1 ont porté également sur les méthodes d'identification et d'élimination des brouillages, les rayonnements non désirés, la tenue à jour des dictionnaires de données, le redéploiement du spectre, la mesure de l'utilisation du spectre, les utilisations du spectre sans licence et en partage, l'accès dynamique au spectre, les réseaux électriques intelligents et la transmission d'énergie sans fil.</w:t>
      </w:r>
    </w:p>
    <w:p w14:paraId="6FDE7225" w14:textId="0FCF7C8A" w:rsidR="00D736B9" w:rsidRPr="00626248" w:rsidRDefault="00D736B9" w:rsidP="00D736B9">
      <w:pPr>
        <w:rPr>
          <w:lang w:eastAsia="en-GB"/>
        </w:rPr>
      </w:pPr>
      <w:r w:rsidRPr="00626248">
        <w:rPr>
          <w:lang w:eastAsia="en-GB"/>
        </w:rPr>
        <w:t>Les Groupes de travail 1A, 1B et 1C et la Commission d'études 1 ont tenu une série de réunions physiques avec participation à distance du 9 au 19 juin 2025 à Genève.</w:t>
      </w:r>
    </w:p>
    <w:p w14:paraId="43CDECBA" w14:textId="65956AC9" w:rsidR="00D736B9" w:rsidRPr="00626248" w:rsidRDefault="00D736B9" w:rsidP="00D736B9">
      <w:pPr>
        <w:rPr>
          <w:lang w:eastAsia="en-GB"/>
        </w:rPr>
      </w:pPr>
      <w:r w:rsidRPr="00626248">
        <w:rPr>
          <w:lang w:eastAsia="en-GB"/>
        </w:rPr>
        <w:t>Comme indiqué dans les circulaires d'invitation (</w:t>
      </w:r>
      <w:hyperlink r:id="rId81" w:history="1">
        <w:r w:rsidRPr="00626248">
          <w:rPr>
            <w:rStyle w:val="Hyperlink"/>
            <w:lang w:eastAsia="en-GB"/>
          </w:rPr>
          <w:t>CACE/1131</w:t>
        </w:r>
      </w:hyperlink>
      <w:r w:rsidRPr="00626248">
        <w:rPr>
          <w:lang w:eastAsia="en-GB"/>
        </w:rPr>
        <w:t xml:space="preserve"> et </w:t>
      </w:r>
      <w:hyperlink r:id="rId82" w:history="1">
        <w:r w:rsidRPr="00626248">
          <w:rPr>
            <w:rStyle w:val="Hyperlink"/>
            <w:lang w:eastAsia="en-GB"/>
          </w:rPr>
          <w:t>1/LCCE/113</w:t>
        </w:r>
      </w:hyperlink>
      <w:r w:rsidRPr="00626248">
        <w:rPr>
          <w:lang w:eastAsia="en-GB"/>
        </w:rPr>
        <w:t>), le GT 1C s'est réuni du 9 au 18 juin 2025, les deux premiers jours étant consacrés aux travaux relatifs à la prochaine édition du Manuel sur le contrôle du spectre radioélectrique de l'UIT-R, et les GT 1A et 1B se sont réunis du 11 au 18 juin 2025. La CE 1 a tenu sa réunion le 19 juin 2025. Ces réunions ont eu lieu au siège de l'UIT, à Genève.</w:t>
      </w:r>
    </w:p>
    <w:p w14:paraId="4DFF7C01" w14:textId="0E20E6E2" w:rsidR="00D736B9" w:rsidRPr="00626248" w:rsidRDefault="00D736B9" w:rsidP="00D736B9">
      <w:pPr>
        <w:rPr>
          <w:lang w:eastAsia="en-GB"/>
        </w:rPr>
      </w:pPr>
      <w:r w:rsidRPr="00626248">
        <w:rPr>
          <w:lang w:eastAsia="en-GB"/>
        </w:rPr>
        <w:t>Outre les publications approuvées indiquées dans le tableau ci-dessus, la CE 1 a également approuvé la révision, sur le plan rédactionnel, de la Recommandation UIT-R SM.337-6 «Séparations en fréquence et en distance». En outre, d</w:t>
      </w:r>
      <w:r w:rsidR="00B17215" w:rsidRPr="00626248">
        <w:rPr>
          <w:lang w:eastAsia="en-GB"/>
        </w:rPr>
        <w:t>'</w:t>
      </w:r>
      <w:r w:rsidRPr="00626248">
        <w:rPr>
          <w:lang w:eastAsia="en-GB"/>
        </w:rPr>
        <w:t>autres activités des GT de la CE 1 ont bien avancé.</w:t>
      </w:r>
    </w:p>
    <w:p w14:paraId="5D45036F" w14:textId="58C30D0E" w:rsidR="00D736B9" w:rsidRPr="00626248" w:rsidRDefault="00D736B9" w:rsidP="00D736B9">
      <w:pPr>
        <w:rPr>
          <w:lang w:eastAsia="en-GB"/>
        </w:rPr>
      </w:pPr>
      <w:r w:rsidRPr="00626248">
        <w:rPr>
          <w:lang w:eastAsia="en-GB"/>
        </w:rPr>
        <w:t>Lors des réunions tenues en juin 2025, des informations actualisées figurant dans les Pièces jointes</w:t>
      </w:r>
      <w:r w:rsidR="00B17215" w:rsidRPr="00626248">
        <w:rPr>
          <w:lang w:eastAsia="en-GB"/>
        </w:rPr>
        <w:t> </w:t>
      </w:r>
      <w:r w:rsidRPr="00626248">
        <w:rPr>
          <w:lang w:eastAsia="en-GB"/>
        </w:rPr>
        <w:t>2 (Recommandations UIT-R de la série SM), 3 (Rapports UIT-R de la série SM) et 5 (Résolutions pertinentes de l</w:t>
      </w:r>
      <w:r w:rsidR="00B17215" w:rsidRPr="00626248">
        <w:rPr>
          <w:lang w:eastAsia="en-GB"/>
        </w:rPr>
        <w:t>'</w:t>
      </w:r>
      <w:r w:rsidRPr="00626248">
        <w:rPr>
          <w:lang w:eastAsia="en-GB"/>
        </w:rPr>
        <w:t>UIT-R), ainsi que la mise à jour de la Pièce jointe 8 (points pertinents de l</w:t>
      </w:r>
      <w:r w:rsidR="00B17215" w:rsidRPr="00626248">
        <w:rPr>
          <w:lang w:eastAsia="en-GB"/>
        </w:rPr>
        <w:t>'</w:t>
      </w:r>
      <w:r w:rsidRPr="00626248">
        <w:rPr>
          <w:lang w:eastAsia="en-GB"/>
        </w:rPr>
        <w:t>ordre du jour de la CMR-27 et de l</w:t>
      </w:r>
      <w:r w:rsidR="00B17215" w:rsidRPr="00626248">
        <w:rPr>
          <w:lang w:eastAsia="en-GB"/>
        </w:rPr>
        <w:t>'</w:t>
      </w:r>
      <w:r w:rsidRPr="00626248">
        <w:rPr>
          <w:lang w:eastAsia="en-GB"/>
        </w:rPr>
        <w:t>ordre du jour préliminaire de la CMR-31) du Document</w:t>
      </w:r>
      <w:r w:rsidR="00B17215" w:rsidRPr="00626248">
        <w:rPr>
          <w:lang w:eastAsia="en-GB"/>
        </w:rPr>
        <w:t> </w:t>
      </w:r>
      <w:hyperlink r:id="rId83" w:history="1">
        <w:r w:rsidRPr="00626248">
          <w:rPr>
            <w:rStyle w:val="Hyperlink"/>
            <w:lang w:eastAsia="en-GB"/>
          </w:rPr>
          <w:t>1/1(Rév.1)</w:t>
        </w:r>
      </w:hyperlink>
      <w:r w:rsidRPr="00626248">
        <w:rPr>
          <w:lang w:eastAsia="en-GB"/>
        </w:rPr>
        <w:t xml:space="preserve">, ont été présentées et il en a été pris note. De même, le résumé des conclusions de la 32ème réunion du GCR (Document </w:t>
      </w:r>
      <w:hyperlink r:id="rId84" w:history="1">
        <w:r w:rsidRPr="00626248">
          <w:rPr>
            <w:rStyle w:val="Hyperlink"/>
            <w:lang w:eastAsia="en-GB"/>
          </w:rPr>
          <w:t>CA/277 du BR</w:t>
        </w:r>
      </w:hyperlink>
      <w:r w:rsidRPr="00626248">
        <w:rPr>
          <w:lang w:eastAsia="en-GB"/>
        </w:rPr>
        <w:t>) et les informations complémentaires connexes portées à l</w:t>
      </w:r>
      <w:r w:rsidR="00B17215" w:rsidRPr="00626248">
        <w:rPr>
          <w:lang w:eastAsia="en-GB"/>
        </w:rPr>
        <w:t>'</w:t>
      </w:r>
      <w:r w:rsidRPr="00626248">
        <w:rPr>
          <w:lang w:eastAsia="en-GB"/>
        </w:rPr>
        <w:t>attention de toutes les CE et de tous les GT de l</w:t>
      </w:r>
      <w:r w:rsidR="00B17215" w:rsidRPr="00626248">
        <w:rPr>
          <w:lang w:eastAsia="en-GB"/>
        </w:rPr>
        <w:t>'</w:t>
      </w:r>
      <w:r w:rsidRPr="00626248">
        <w:rPr>
          <w:lang w:eastAsia="en-GB"/>
        </w:rPr>
        <w:t xml:space="preserve">UIT-R (Document </w:t>
      </w:r>
      <w:hyperlink r:id="rId85" w:history="1">
        <w:r w:rsidRPr="00626248">
          <w:rPr>
            <w:rStyle w:val="Hyperlink"/>
            <w:lang w:eastAsia="en-GB"/>
          </w:rPr>
          <w:t>1/45</w:t>
        </w:r>
      </w:hyperlink>
      <w:r w:rsidRPr="00626248">
        <w:rPr>
          <w:lang w:eastAsia="en-GB"/>
        </w:rPr>
        <w:t>) ont été présentés et il en a été pris note.</w:t>
      </w:r>
    </w:p>
    <w:p w14:paraId="3BA1A7B2" w14:textId="7D441B62" w:rsidR="00D736B9" w:rsidRPr="00626248" w:rsidRDefault="00D736B9" w:rsidP="00D736B9">
      <w:pPr>
        <w:rPr>
          <w:lang w:eastAsia="en-GB"/>
        </w:rPr>
      </w:pPr>
      <w:r w:rsidRPr="00626248">
        <w:rPr>
          <w:lang w:eastAsia="en-GB"/>
        </w:rPr>
        <w:t xml:space="preserve">Également au cours de ces réunions de juin 2025, les Vice-Présidents des GT 1A, 1B et 1C ont été nommés, comme indiqué sur les </w:t>
      </w:r>
      <w:hyperlink r:id="rId86" w:history="1">
        <w:r w:rsidRPr="00626248">
          <w:rPr>
            <w:rStyle w:val="Hyperlink"/>
            <w:lang w:eastAsia="en-GB"/>
          </w:rPr>
          <w:t>sites web</w:t>
        </w:r>
      </w:hyperlink>
      <w:r w:rsidRPr="00626248">
        <w:rPr>
          <w:lang w:eastAsia="en-GB"/>
        </w:rPr>
        <w:t xml:space="preserve"> de la CE 1 et de ses GT.</w:t>
      </w:r>
    </w:p>
    <w:p w14:paraId="43AB207F" w14:textId="186B5BE4" w:rsidR="00D736B9" w:rsidRPr="00626248" w:rsidRDefault="00D736B9" w:rsidP="00D736B9">
      <w:pPr>
        <w:rPr>
          <w:lang w:eastAsia="en-GB"/>
        </w:rPr>
      </w:pPr>
      <w:r w:rsidRPr="00626248">
        <w:rPr>
          <w:lang w:eastAsia="en-GB"/>
        </w:rPr>
        <w:lastRenderedPageBreak/>
        <w:t>Le Groupe du Rapporteur du GT 1C sur le Manuel sur le contrôle du spectre radioélectrique a tenu sa deuxième réunion pour la période 2023-2027 du 10 au 14 novembre 2025, afin de faire progresser les travaux relatifs à la prochaine édition de ce manuel d'importance pour les régulateurs nationaux, les opérateurs et les fabricants d</w:t>
      </w:r>
      <w:r w:rsidR="00B17215" w:rsidRPr="00626248">
        <w:rPr>
          <w:lang w:eastAsia="en-GB"/>
        </w:rPr>
        <w:t>'</w:t>
      </w:r>
      <w:r w:rsidRPr="00626248">
        <w:rPr>
          <w:lang w:eastAsia="en-GB"/>
        </w:rPr>
        <w:t>équipements. Le Groupe a été très productif dans la poursuite du projet de révision de tous les chapitres et de l</w:t>
      </w:r>
      <w:r w:rsidR="00B17215" w:rsidRPr="00626248">
        <w:rPr>
          <w:lang w:eastAsia="en-GB"/>
        </w:rPr>
        <w:t>'</w:t>
      </w:r>
      <w:r w:rsidRPr="00626248">
        <w:rPr>
          <w:lang w:eastAsia="en-GB"/>
        </w:rPr>
        <w:t>annexe du Manuel ainsi que de l</w:t>
      </w:r>
      <w:r w:rsidR="00B17215" w:rsidRPr="00626248">
        <w:rPr>
          <w:lang w:eastAsia="en-GB"/>
        </w:rPr>
        <w:t>'</w:t>
      </w:r>
      <w:r w:rsidRPr="00626248">
        <w:rPr>
          <w:lang w:eastAsia="en-GB"/>
        </w:rPr>
        <w:t>élaboration d</w:t>
      </w:r>
      <w:r w:rsidR="00B17215" w:rsidRPr="00626248">
        <w:rPr>
          <w:lang w:eastAsia="en-GB"/>
        </w:rPr>
        <w:t>'</w:t>
      </w:r>
      <w:r w:rsidRPr="00626248">
        <w:rPr>
          <w:lang w:eastAsia="en-GB"/>
        </w:rPr>
        <w:t>un projet de nouveau chapitre sur les réseaux, les données et l</w:t>
      </w:r>
      <w:r w:rsidR="00B17215" w:rsidRPr="00626248">
        <w:rPr>
          <w:lang w:eastAsia="en-GB"/>
        </w:rPr>
        <w:t>'</w:t>
      </w:r>
      <w:r w:rsidRPr="00626248">
        <w:rPr>
          <w:lang w:eastAsia="en-GB"/>
        </w:rPr>
        <w:t xml:space="preserve">automatisation. Comme indiqué dans la Lettre circulaire </w:t>
      </w:r>
      <w:hyperlink r:id="rId87" w:history="1">
        <w:r w:rsidRPr="00626248">
          <w:rPr>
            <w:rStyle w:val="Hyperlink"/>
            <w:lang w:eastAsia="en-GB"/>
          </w:rPr>
          <w:t>1/LCCE/115</w:t>
        </w:r>
      </w:hyperlink>
      <w:r w:rsidRPr="00626248">
        <w:rPr>
          <w:lang w:eastAsia="en-GB"/>
        </w:rPr>
        <w:t>, la prochaine réunion du Groupe du Rapporteur du GT 1C sur le Manuel sur le contrôle du spectre radioélectrique est prévue du</w:t>
      </w:r>
      <w:r w:rsidR="00B17215" w:rsidRPr="00626248">
        <w:rPr>
          <w:lang w:eastAsia="en-GB"/>
        </w:rPr>
        <w:t> </w:t>
      </w:r>
      <w:r w:rsidRPr="00626248">
        <w:rPr>
          <w:lang w:eastAsia="en-GB"/>
        </w:rPr>
        <w:t>23</w:t>
      </w:r>
      <w:r w:rsidR="00B17215" w:rsidRPr="00626248">
        <w:rPr>
          <w:lang w:eastAsia="en-GB"/>
        </w:rPr>
        <w:t> </w:t>
      </w:r>
      <w:r w:rsidRPr="00626248">
        <w:rPr>
          <w:lang w:eastAsia="en-GB"/>
        </w:rPr>
        <w:t>au</w:t>
      </w:r>
      <w:r w:rsidR="00B17215" w:rsidRPr="00626248">
        <w:rPr>
          <w:lang w:eastAsia="en-GB"/>
        </w:rPr>
        <w:t> </w:t>
      </w:r>
      <w:r w:rsidRPr="00626248">
        <w:rPr>
          <w:lang w:eastAsia="en-GB"/>
        </w:rPr>
        <w:t>27 mars 2026 à Munich (Allemagne), à l</w:t>
      </w:r>
      <w:r w:rsidR="00B17215" w:rsidRPr="00626248">
        <w:rPr>
          <w:lang w:eastAsia="en-GB"/>
        </w:rPr>
        <w:t>'</w:t>
      </w:r>
      <w:r w:rsidRPr="00626248">
        <w:rPr>
          <w:lang w:eastAsia="en-GB"/>
        </w:rPr>
        <w:t>aimable invitation de Rohde &amp; Schwarz GmbH &amp; Co. KG et avec le soutien de l</w:t>
      </w:r>
      <w:r w:rsidR="00B17215" w:rsidRPr="00626248">
        <w:rPr>
          <w:lang w:eastAsia="en-GB"/>
        </w:rPr>
        <w:t>'</w:t>
      </w:r>
      <w:r w:rsidRPr="00626248">
        <w:rPr>
          <w:lang w:eastAsia="en-GB"/>
        </w:rPr>
        <w:t>Administration de l</w:t>
      </w:r>
      <w:r w:rsidR="00B17215" w:rsidRPr="00626248">
        <w:rPr>
          <w:lang w:eastAsia="en-GB"/>
        </w:rPr>
        <w:t>'</w:t>
      </w:r>
      <w:r w:rsidRPr="00626248">
        <w:rPr>
          <w:lang w:eastAsia="en-GB"/>
        </w:rPr>
        <w:t>Allemagne (République fédérale d'). L'échéance prévue pour l</w:t>
      </w:r>
      <w:r w:rsidR="00B17215" w:rsidRPr="00626248">
        <w:rPr>
          <w:lang w:eastAsia="en-GB"/>
        </w:rPr>
        <w:t>'</w:t>
      </w:r>
      <w:r w:rsidRPr="00626248">
        <w:rPr>
          <w:lang w:eastAsia="en-GB"/>
        </w:rPr>
        <w:t>achèvement des travaux du GT 1C et l</w:t>
      </w:r>
      <w:r w:rsidR="00B17215" w:rsidRPr="00626248">
        <w:rPr>
          <w:lang w:eastAsia="en-GB"/>
        </w:rPr>
        <w:t>'</w:t>
      </w:r>
      <w:r w:rsidRPr="00626248">
        <w:rPr>
          <w:lang w:eastAsia="en-GB"/>
        </w:rPr>
        <w:t>approbation par la CE 1 de la prochaine édition de cet important Manuel est fixée à juin 2026.</w:t>
      </w:r>
    </w:p>
    <w:p w14:paraId="170A70E5" w14:textId="77777777" w:rsidR="00D736B9" w:rsidRPr="00626248" w:rsidRDefault="00D736B9" w:rsidP="00D736B9">
      <w:pPr>
        <w:rPr>
          <w:lang w:eastAsia="en-GB"/>
        </w:rPr>
      </w:pPr>
      <w:r w:rsidRPr="00626248">
        <w:rPr>
          <w:lang w:eastAsia="en-GB"/>
        </w:rPr>
        <w:t xml:space="preserve">Les prochaines réunions des GT 1A, 1B et 1C sont prévues du 3 au 10 juin 2026, et la prochaine réunion de la CE 1 est prévue le 11 juin 2026. </w:t>
      </w:r>
    </w:p>
    <w:p w14:paraId="53D9DD17" w14:textId="58F28744" w:rsidR="00D736B9" w:rsidRPr="00626248" w:rsidRDefault="00D736B9" w:rsidP="00B17215">
      <w:pPr>
        <w:pStyle w:val="Heading2"/>
        <w:rPr>
          <w:lang w:eastAsia="en-GB"/>
        </w:rPr>
      </w:pPr>
      <w:r w:rsidRPr="00626248">
        <w:rPr>
          <w:lang w:eastAsia="en-GB"/>
        </w:rPr>
        <w:t>4.</w:t>
      </w:r>
      <w:r w:rsidR="00B17215" w:rsidRPr="00626248">
        <w:rPr>
          <w:lang w:eastAsia="en-GB"/>
        </w:rPr>
        <w:t>3</w:t>
      </w:r>
      <w:r w:rsidRPr="00626248">
        <w:rPr>
          <w:lang w:eastAsia="en-GB"/>
        </w:rPr>
        <w:tab/>
        <w:t>Commission d'études 3</w:t>
      </w:r>
    </w:p>
    <w:p w14:paraId="6803A740" w14:textId="77777777" w:rsidR="00D736B9" w:rsidRPr="00626248" w:rsidRDefault="00D736B9" w:rsidP="00D736B9">
      <w:pPr>
        <w:rPr>
          <w:lang w:eastAsia="en-GB"/>
        </w:rPr>
      </w:pPr>
      <w:r w:rsidRPr="00626248">
        <w:rPr>
          <w:lang w:eastAsia="en-GB"/>
        </w:rPr>
        <w:t>La Commission d'études 3 a continué d'entreprendre des recherches approfondies sur les mesures de propagation, l'analyse de données et l'élaboration de modèles afin d'élargir l'applicabilité des méthodes de prévision de la propagation des ondes radioélectriques dans les parties concernées du spectre jusqu'à 375 THz. En outre, la Commission d'études 3 a continué de réviser ou d'élaborer de nouvelles Recommandations, de nouveaux Rapports et de nouveaux Manuels relevant de sa compétence, afin de faciliter la conception des systèmes de radiocommunication et l'évaluation des brouillages. Cette évaluation était souvent nécessaire pour les études de partage et de compatibilité à l'appui des travaux relatifs aux points de l'ordre du jour des CMR.</w:t>
      </w:r>
    </w:p>
    <w:p w14:paraId="6F3431AA" w14:textId="5DCC26C7" w:rsidR="00D736B9" w:rsidRPr="00626248" w:rsidRDefault="00D736B9" w:rsidP="00D736B9">
      <w:pPr>
        <w:rPr>
          <w:lang w:eastAsia="en-GB"/>
        </w:rPr>
      </w:pPr>
      <w:r w:rsidRPr="00626248">
        <w:rPr>
          <w:lang w:eastAsia="en-GB"/>
        </w:rPr>
        <w:t>La Commission d</w:t>
      </w:r>
      <w:r w:rsidR="00B17215" w:rsidRPr="00626248">
        <w:rPr>
          <w:lang w:eastAsia="en-GB"/>
        </w:rPr>
        <w:t>'</w:t>
      </w:r>
      <w:r w:rsidRPr="00626248">
        <w:rPr>
          <w:lang w:eastAsia="en-GB"/>
        </w:rPr>
        <w:t>études 3 a tenu deux réunions, le 26 mai 2025 (matin) et le 6 juin 2025, parallèlement aux réunions des GT 3J, 3K, 3L et 3M tenues du 26 mai 2025 (après-midi) au</w:t>
      </w:r>
      <w:r w:rsidR="00B17215" w:rsidRPr="00626248">
        <w:rPr>
          <w:lang w:eastAsia="en-GB"/>
        </w:rPr>
        <w:t> </w:t>
      </w:r>
      <w:r w:rsidRPr="00626248">
        <w:rPr>
          <w:lang w:eastAsia="en-GB"/>
        </w:rPr>
        <w:t>5</w:t>
      </w:r>
      <w:r w:rsidR="00B17215" w:rsidRPr="00626248">
        <w:rPr>
          <w:lang w:eastAsia="en-GB"/>
        </w:rPr>
        <w:t> </w:t>
      </w:r>
      <w:r w:rsidRPr="00626248">
        <w:rPr>
          <w:lang w:eastAsia="en-GB"/>
        </w:rPr>
        <w:t>juin</w:t>
      </w:r>
      <w:r w:rsidR="00B17215" w:rsidRPr="00626248">
        <w:rPr>
          <w:lang w:eastAsia="en-GB"/>
        </w:rPr>
        <w:t> </w:t>
      </w:r>
      <w:r w:rsidRPr="00626248">
        <w:rPr>
          <w:lang w:eastAsia="en-GB"/>
        </w:rPr>
        <w:t>2025. À sa première réunion, la CE 3 a approuvé la structure de travail et le mandat des GT et a confirmé leurs présidents et vice-présidents. À sa deuxième réunion, la CE 3 a examiné les travaux des GT qui lui avaient été soumis pour examen et a élu M. L. CASTANET (France) à la présidence du GT 3J, en remplacement du Président sortant du GT 3J, M. C. RIVA (Italie), et a élu M. Eric HILL (États-Unis) et M. Seok-Hee BAE (République de Corée) à la vice-présidence des</w:t>
      </w:r>
      <w:r w:rsidR="00B17215" w:rsidRPr="00626248">
        <w:rPr>
          <w:lang w:eastAsia="en-GB"/>
        </w:rPr>
        <w:t> </w:t>
      </w:r>
      <w:r w:rsidRPr="00626248">
        <w:rPr>
          <w:lang w:eastAsia="en-GB"/>
        </w:rPr>
        <w:t>GT 3J et 3L, respectivement.</w:t>
      </w:r>
    </w:p>
    <w:p w14:paraId="40624AC8" w14:textId="6B900412" w:rsidR="00D736B9" w:rsidRPr="00626248" w:rsidRDefault="00D736B9" w:rsidP="00D736B9">
      <w:pPr>
        <w:rPr>
          <w:lang w:eastAsia="en-GB"/>
        </w:rPr>
      </w:pPr>
      <w:r w:rsidRPr="00626248">
        <w:rPr>
          <w:lang w:eastAsia="en-GB"/>
        </w:rPr>
        <w:t xml:space="preserve">Un </w:t>
      </w:r>
      <w:hyperlink r:id="rId88" w:history="1">
        <w:r w:rsidRPr="00626248">
          <w:rPr>
            <w:rStyle w:val="Hyperlink"/>
            <w:lang w:eastAsia="en-GB"/>
          </w:rPr>
          <w:t>atelier sur le thème «Applications de l</w:t>
        </w:r>
        <w:r w:rsidR="00B17215" w:rsidRPr="00626248">
          <w:rPr>
            <w:rStyle w:val="Hyperlink"/>
            <w:lang w:eastAsia="en-GB"/>
          </w:rPr>
          <w:t>'</w:t>
        </w:r>
        <w:r w:rsidRPr="00626248">
          <w:rPr>
            <w:rStyle w:val="Hyperlink"/>
            <w:lang w:eastAsia="en-GB"/>
          </w:rPr>
          <w:t>apprentissage automatique dans la prévision de la propagation des ondes radioélectriques»</w:t>
        </w:r>
      </w:hyperlink>
      <w:r w:rsidRPr="00626248">
        <w:rPr>
          <w:lang w:eastAsia="en-GB"/>
        </w:rPr>
        <w:t xml:space="preserve"> s</w:t>
      </w:r>
      <w:r w:rsidR="00B17215" w:rsidRPr="00626248">
        <w:rPr>
          <w:lang w:eastAsia="en-GB"/>
        </w:rPr>
        <w:t>'</w:t>
      </w:r>
      <w:r w:rsidRPr="00626248">
        <w:rPr>
          <w:lang w:eastAsia="en-GB"/>
        </w:rPr>
        <w:t>est tenu le 27 mai 2025. Les participants à l</w:t>
      </w:r>
      <w:r w:rsidR="00B17215" w:rsidRPr="00626248">
        <w:rPr>
          <w:lang w:eastAsia="en-GB"/>
        </w:rPr>
        <w:t>'</w:t>
      </w:r>
      <w:r w:rsidRPr="00626248">
        <w:rPr>
          <w:lang w:eastAsia="en-GB"/>
        </w:rPr>
        <w:t>atelier ont examiné l</w:t>
      </w:r>
      <w:r w:rsidR="00B17215" w:rsidRPr="00626248">
        <w:rPr>
          <w:lang w:eastAsia="en-GB"/>
        </w:rPr>
        <w:t>'</w:t>
      </w:r>
      <w:r w:rsidRPr="00626248">
        <w:rPr>
          <w:lang w:eastAsia="en-GB"/>
        </w:rPr>
        <w:t>application de l</w:t>
      </w:r>
      <w:r w:rsidR="00B17215" w:rsidRPr="00626248">
        <w:rPr>
          <w:lang w:eastAsia="en-GB"/>
        </w:rPr>
        <w:t>'</w:t>
      </w:r>
      <w:r w:rsidRPr="00626248">
        <w:rPr>
          <w:lang w:eastAsia="en-GB"/>
        </w:rPr>
        <w:t>apprentissage automatique (ML) à la modélisation de la prévision de la propagation des ondes radioélectriques, ainsi que son utilisation pour élaborer des modèles de paramètres ou de phénomènes pertinents pour la prévision de la propagation des ondes radioélectriques. L</w:t>
      </w:r>
      <w:r w:rsidR="00B17215" w:rsidRPr="00626248">
        <w:rPr>
          <w:lang w:eastAsia="en-GB"/>
        </w:rPr>
        <w:t>'</w:t>
      </w:r>
      <w:r w:rsidRPr="00626248">
        <w:rPr>
          <w:lang w:eastAsia="en-GB"/>
        </w:rPr>
        <w:t>atelier a réuni 117 participants et neuf experts invités ont donné des informations sur leurs recherches et leur utilisation de l</w:t>
      </w:r>
      <w:r w:rsidR="00B17215" w:rsidRPr="00626248">
        <w:rPr>
          <w:lang w:eastAsia="en-GB"/>
        </w:rPr>
        <w:t>'</w:t>
      </w:r>
      <w:r w:rsidRPr="00626248">
        <w:rPr>
          <w:lang w:eastAsia="en-GB"/>
        </w:rPr>
        <w:t>apprentissage automatique appliqué à la prévision de la propagation des ondes radioélectriques.</w:t>
      </w:r>
    </w:p>
    <w:p w14:paraId="15DBB699" w14:textId="0EF924B9" w:rsidR="00D736B9" w:rsidRPr="00626248" w:rsidRDefault="00D736B9" w:rsidP="00D736B9">
      <w:pPr>
        <w:rPr>
          <w:lang w:eastAsia="en-GB"/>
        </w:rPr>
      </w:pPr>
      <w:r w:rsidRPr="00626248">
        <w:rPr>
          <w:lang w:eastAsia="en-GB"/>
        </w:rPr>
        <w:t>La Commission d</w:t>
      </w:r>
      <w:r w:rsidR="00B17215" w:rsidRPr="00626248">
        <w:rPr>
          <w:lang w:eastAsia="en-GB"/>
        </w:rPr>
        <w:t>'</w:t>
      </w:r>
      <w:r w:rsidRPr="00626248">
        <w:rPr>
          <w:lang w:eastAsia="en-GB"/>
        </w:rPr>
        <w:t>études 3 a fourni des données modélisant la propagation des ondes radioélectriques dans les délais convenus pour la RPC aux GT de l</w:t>
      </w:r>
      <w:r w:rsidR="00B17215" w:rsidRPr="00626248">
        <w:rPr>
          <w:lang w:eastAsia="en-GB"/>
        </w:rPr>
        <w:t>'</w:t>
      </w:r>
      <w:r w:rsidRPr="00626248">
        <w:rPr>
          <w:lang w:eastAsia="en-GB"/>
        </w:rPr>
        <w:t>UIT-R chargés de réaliser les études de partage et de compatibilité nécessaires à la préparation de la CMR-27.</w:t>
      </w:r>
    </w:p>
    <w:p w14:paraId="28F8BA30" w14:textId="07027C31" w:rsidR="00D736B9" w:rsidRPr="00626248" w:rsidRDefault="00D736B9" w:rsidP="00D736B9">
      <w:pPr>
        <w:rPr>
          <w:lang w:eastAsia="en-GB"/>
        </w:rPr>
      </w:pPr>
      <w:r w:rsidRPr="00626248">
        <w:rPr>
          <w:lang w:eastAsia="en-GB"/>
        </w:rPr>
        <w:t>La liste des produits adoptés par la CE 3, puis approuvés par les États Membres depuis la réunion de 2025 du GCR, figure dans le tableau ci-dessus. Trois Recommandations UIT-R ont également été modifiées sur le plan rédactionnel.</w:t>
      </w:r>
    </w:p>
    <w:p w14:paraId="7D80BFC1" w14:textId="05631302" w:rsidR="00D736B9" w:rsidRPr="00626248" w:rsidRDefault="00D736B9" w:rsidP="00D736B9">
      <w:pPr>
        <w:rPr>
          <w:lang w:eastAsia="en-GB"/>
        </w:rPr>
      </w:pPr>
      <w:r w:rsidRPr="00626248">
        <w:rPr>
          <w:lang w:eastAsia="en-GB"/>
        </w:rPr>
        <w:lastRenderedPageBreak/>
        <w:t>Au total, 38 groupes de travail par correspondance des GT 3J, 3K, 3L et 3M ont effectué une part importante des travaux, donnant lieu à des progrès considérables entre les réunions des GT. Les GT de la CE 3 utilisent les groupes de travail par correspondance de cette manière depuis plus d'une décennie, étant entendu que les quatre GT ne se réunissent généralement qu'une fois par an et que l'achèvement de certains thèmes à l'étude pourrait s'étendre sur des périodes de plus de cinq, voire de dix ans.</w:t>
      </w:r>
    </w:p>
    <w:p w14:paraId="4F4951B6" w14:textId="77777777" w:rsidR="00D736B9" w:rsidRPr="00626248" w:rsidRDefault="00D736B9" w:rsidP="00D736B9">
      <w:pPr>
        <w:rPr>
          <w:lang w:eastAsia="en-GB"/>
        </w:rPr>
      </w:pPr>
      <w:r w:rsidRPr="00626248">
        <w:rPr>
          <w:lang w:eastAsia="en-GB"/>
        </w:rPr>
        <w:t>En 2025, comme cela avait été le cas au cours des quatre années précédentes, les Recommandations de la série P sont restées les plus consultées parmi toutes les séries de Recommandations UIT-R, avec plus de 210 500 téléchargements de plus que pour la deuxième série la plus consultée, ce qui montre encore l'importance qu'elles revêtent pour tous les utilisateurs des systèmes radioélectriques au sein de l'UIT et de la communauté des radiocommunications en général.</w:t>
      </w:r>
    </w:p>
    <w:p w14:paraId="4AD0A409" w14:textId="6C1CAADA" w:rsidR="00D736B9" w:rsidRPr="00626248" w:rsidRDefault="00D736B9" w:rsidP="00D736B9">
      <w:pPr>
        <w:rPr>
          <w:lang w:eastAsia="en-GB"/>
        </w:rPr>
      </w:pPr>
      <w:r w:rsidRPr="00626248">
        <w:rPr>
          <w:lang w:eastAsia="en-GB"/>
        </w:rPr>
        <w:t>Les prochaines réunions des GT 3J, 3K, 3L et 3M sont prévues du 15 au 25 juin 2026 et celle de la</w:t>
      </w:r>
      <w:r w:rsidR="00B17215" w:rsidRPr="00626248">
        <w:rPr>
          <w:lang w:eastAsia="en-GB"/>
        </w:rPr>
        <w:t> </w:t>
      </w:r>
      <w:r w:rsidRPr="00626248">
        <w:rPr>
          <w:lang w:eastAsia="en-GB"/>
        </w:rPr>
        <w:t>CE 3 est prévue le 26 juin 2026.</w:t>
      </w:r>
    </w:p>
    <w:p w14:paraId="4131BCD8" w14:textId="77777777" w:rsidR="00D736B9" w:rsidRPr="00626248" w:rsidRDefault="00D736B9" w:rsidP="00B17215">
      <w:pPr>
        <w:pStyle w:val="Heading2"/>
        <w:rPr>
          <w:lang w:eastAsia="en-GB"/>
        </w:rPr>
      </w:pPr>
      <w:r w:rsidRPr="00626248">
        <w:rPr>
          <w:lang w:eastAsia="en-GB"/>
        </w:rPr>
        <w:t>4.4</w:t>
      </w:r>
      <w:r w:rsidRPr="00626248">
        <w:rPr>
          <w:lang w:eastAsia="en-GB"/>
        </w:rPr>
        <w:tab/>
        <w:t>Commission d'études 4</w:t>
      </w:r>
    </w:p>
    <w:p w14:paraId="2C268090" w14:textId="77777777" w:rsidR="00D736B9" w:rsidRPr="00626248" w:rsidRDefault="00D736B9" w:rsidP="00D736B9">
      <w:pPr>
        <w:rPr>
          <w:lang w:eastAsia="en-GB"/>
        </w:rPr>
      </w:pPr>
      <w:r w:rsidRPr="00626248">
        <w:rPr>
          <w:lang w:eastAsia="en-GB"/>
        </w:rPr>
        <w:t>La CE 4 a poursuivi l'étude des caractéristiques des systèmes et des réseaux des services fixe, mobile, de radiodiffusion et de radiorepérage par satellite, y compris l'utilisation connexe des liaisons du service inter-satellites, selon le cas, les interfaces radioélectriques, les objectifs de qualité de fonctionnement et de disponibilité ainsi que le partage des ressources orbites/spectre entre les systèmes à satellites OSG et non OSG, pour assurer le développement durable de l'écosystème spatial.</w:t>
      </w:r>
    </w:p>
    <w:p w14:paraId="5C1EE2D6" w14:textId="37A0FCF8" w:rsidR="00D736B9" w:rsidRPr="00626248" w:rsidRDefault="00D736B9" w:rsidP="00D736B9">
      <w:pPr>
        <w:rPr>
          <w:lang w:eastAsia="en-GB"/>
        </w:rPr>
      </w:pPr>
      <w:r w:rsidRPr="00626248">
        <w:rPr>
          <w:lang w:eastAsia="en-GB"/>
        </w:rPr>
        <w:t>Les Groupes de travail 4A, 4B et 4C se sont réunis deux fois en 2025. L</w:t>
      </w:r>
      <w:r w:rsidR="00B17215" w:rsidRPr="00626248">
        <w:rPr>
          <w:lang w:eastAsia="en-GB"/>
        </w:rPr>
        <w:t>a</w:t>
      </w:r>
      <w:r w:rsidRPr="00626248">
        <w:rPr>
          <w:lang w:eastAsia="en-GB"/>
        </w:rPr>
        <w:t xml:space="preserve"> première réunion a eu lieu du 23 avril au 16 mai 2025 à Shanghai, à l'aimable invitation du Ministère de l</w:t>
      </w:r>
      <w:r w:rsidR="00B17215" w:rsidRPr="00626248">
        <w:rPr>
          <w:lang w:eastAsia="en-GB"/>
        </w:rPr>
        <w:t>'</w:t>
      </w:r>
      <w:r w:rsidRPr="00626248">
        <w:rPr>
          <w:lang w:eastAsia="en-GB"/>
        </w:rPr>
        <w:t>industrie et des technologies de l</w:t>
      </w:r>
      <w:r w:rsidR="00B17215" w:rsidRPr="00626248">
        <w:rPr>
          <w:lang w:eastAsia="en-GB"/>
        </w:rPr>
        <w:t>'</w:t>
      </w:r>
      <w:r w:rsidRPr="00626248">
        <w:rPr>
          <w:lang w:eastAsia="en-GB"/>
        </w:rPr>
        <w:t>information de la République populaire de Chine et du Gouvernement populaire municipal de Shanghai. La deuxième réunion des GT 4A, 4B et 4C s</w:t>
      </w:r>
      <w:r w:rsidR="00B17215" w:rsidRPr="00626248">
        <w:rPr>
          <w:lang w:eastAsia="en-GB"/>
        </w:rPr>
        <w:t>'</w:t>
      </w:r>
      <w:r w:rsidRPr="00626248">
        <w:rPr>
          <w:lang w:eastAsia="en-GB"/>
        </w:rPr>
        <w:t>est tenue du 15 octobre au</w:t>
      </w:r>
      <w:r w:rsidR="00B17215" w:rsidRPr="00626248">
        <w:rPr>
          <w:lang w:eastAsia="en-GB"/>
        </w:rPr>
        <w:t> </w:t>
      </w:r>
      <w:r w:rsidRPr="00626248">
        <w:rPr>
          <w:lang w:eastAsia="en-GB"/>
        </w:rPr>
        <w:t>6</w:t>
      </w:r>
      <w:r w:rsidR="00B17215" w:rsidRPr="00626248">
        <w:rPr>
          <w:lang w:eastAsia="en-GB"/>
        </w:rPr>
        <w:t> </w:t>
      </w:r>
      <w:r w:rsidRPr="00626248">
        <w:rPr>
          <w:lang w:eastAsia="en-GB"/>
        </w:rPr>
        <w:t>novembre 2025 et la CE 4 s</w:t>
      </w:r>
      <w:r w:rsidR="00B17215" w:rsidRPr="00626248">
        <w:rPr>
          <w:lang w:eastAsia="en-GB"/>
        </w:rPr>
        <w:t>'</w:t>
      </w:r>
      <w:r w:rsidRPr="00626248">
        <w:rPr>
          <w:lang w:eastAsia="en-GB"/>
        </w:rPr>
        <w:t>est réunie le 7 novembre 2025 au siège de l</w:t>
      </w:r>
      <w:r w:rsidR="00B17215" w:rsidRPr="00626248">
        <w:rPr>
          <w:lang w:eastAsia="en-GB"/>
        </w:rPr>
        <w:t>'</w:t>
      </w:r>
      <w:r w:rsidRPr="00626248">
        <w:rPr>
          <w:lang w:eastAsia="en-GB"/>
        </w:rPr>
        <w:t>UIT à Genève. Il convient de noter qu'un nombre considérable de documents de travail ont été soumis aux réunions et que de nombreux documents ont été produits, en particulier pour les GT 4A et 4C, qui sont les groupes responsables de plusieurs points de l</w:t>
      </w:r>
      <w:r w:rsidR="00B17215" w:rsidRPr="00626248">
        <w:rPr>
          <w:lang w:eastAsia="en-GB"/>
        </w:rPr>
        <w:t>'</w:t>
      </w:r>
      <w:r w:rsidRPr="00626248">
        <w:rPr>
          <w:lang w:eastAsia="en-GB"/>
        </w:rPr>
        <w:t>ordre du jour de la CMR-27. Cette augmentation constante du nombre de contributions témoigne de l</w:t>
      </w:r>
      <w:r w:rsidR="00B17215" w:rsidRPr="00626248">
        <w:rPr>
          <w:lang w:eastAsia="en-GB"/>
        </w:rPr>
        <w:t>'</w:t>
      </w:r>
      <w:r w:rsidRPr="00626248">
        <w:rPr>
          <w:lang w:eastAsia="en-GB"/>
        </w:rPr>
        <w:t>intérêt croissant porté aux questions liées à l</w:t>
      </w:r>
      <w:r w:rsidR="00B17215" w:rsidRPr="00626248">
        <w:rPr>
          <w:lang w:eastAsia="en-GB"/>
        </w:rPr>
        <w:t>'</w:t>
      </w:r>
      <w:r w:rsidRPr="00626248">
        <w:rPr>
          <w:lang w:eastAsia="en-GB"/>
        </w:rPr>
        <w:t>utilisation efficace de l</w:t>
      </w:r>
      <w:r w:rsidR="00B17215" w:rsidRPr="00626248">
        <w:rPr>
          <w:lang w:eastAsia="en-GB"/>
        </w:rPr>
        <w:t>'</w:t>
      </w:r>
      <w:r w:rsidRPr="00626248">
        <w:rPr>
          <w:lang w:eastAsia="en-GB"/>
        </w:rPr>
        <w:t>orbite et du spectre pour le service fixe par satellite (SFS), le service de radiodiffusion par satellite (SRS) et le service mobile par satellite (SMS). Toutefois, les équipes de direction des GT ont également beaucoup de difficultés à gérer efficacement le peu de temps dont disposent les GT pour effectuer leurs travaux (présentation et examen de ces contributions, puis rédaction des documents finals, examen et approbation). Il est également très difficile pour les administrations d</w:t>
      </w:r>
      <w:r w:rsidR="00B17215" w:rsidRPr="00626248">
        <w:rPr>
          <w:lang w:eastAsia="en-GB"/>
        </w:rPr>
        <w:t>'</w:t>
      </w:r>
      <w:r w:rsidRPr="00626248">
        <w:rPr>
          <w:lang w:eastAsia="en-GB"/>
        </w:rPr>
        <w:t>engager des discussions, formelles ou informelles, qui sont cruciales pour parvenir à la convergence et trouver des solutions de compromis.</w:t>
      </w:r>
    </w:p>
    <w:p w14:paraId="27F1135F" w14:textId="77777777" w:rsidR="00D736B9" w:rsidRPr="00626248" w:rsidRDefault="00D736B9" w:rsidP="00D736B9">
      <w:pPr>
        <w:rPr>
          <w:lang w:eastAsia="en-GB"/>
        </w:rPr>
      </w:pPr>
      <w:r w:rsidRPr="00626248">
        <w:rPr>
          <w:lang w:eastAsia="en-GB"/>
        </w:rPr>
        <w:t xml:space="preserve">Le Groupe de travail 4A a poursuivi ses travaux concernant la Résolution UIT-R 74 sur les </w:t>
      </w:r>
      <w:r w:rsidRPr="00626248">
        <w:rPr>
          <w:i/>
          <w:iCs/>
          <w:lang w:eastAsia="en-GB"/>
        </w:rPr>
        <w:t>activités relatives à l'utilisation durable des ressources que sont le spectre des fréquences radioélectriques et les orbites de satellites associées utilisées par les services spatiaux</w:t>
      </w:r>
      <w:r w:rsidRPr="00626248">
        <w:rPr>
          <w:lang w:eastAsia="en-GB"/>
        </w:rPr>
        <w:t>. L'élaboration du Manuel de l'UIT-R sur les bonnes pratiques a bien avancé.</w:t>
      </w:r>
    </w:p>
    <w:p w14:paraId="6680DF01" w14:textId="3DC75840" w:rsidR="00D736B9" w:rsidRPr="00626248" w:rsidRDefault="00D736B9" w:rsidP="00D736B9">
      <w:pPr>
        <w:rPr>
          <w:lang w:eastAsia="en-GB"/>
        </w:rPr>
      </w:pPr>
      <w:r w:rsidRPr="00626248">
        <w:rPr>
          <w:lang w:eastAsia="en-GB"/>
        </w:rPr>
        <w:t>Le Groupe de travail 4B a achevé l'élaboration de la Recommandation sur les spécifications des composantes satellite des IMT-2020, qui a été adoptée par la CE 4 à sa réunion de novembre 2025. Il s</w:t>
      </w:r>
      <w:r w:rsidR="00B17215" w:rsidRPr="00626248">
        <w:rPr>
          <w:lang w:eastAsia="en-GB"/>
        </w:rPr>
        <w:t>'</w:t>
      </w:r>
      <w:r w:rsidRPr="00626248">
        <w:rPr>
          <w:lang w:eastAsia="en-GB"/>
        </w:rPr>
        <w:t>agit d</w:t>
      </w:r>
      <w:r w:rsidR="00B17215" w:rsidRPr="00626248">
        <w:rPr>
          <w:lang w:eastAsia="en-GB"/>
        </w:rPr>
        <w:t>'</w:t>
      </w:r>
      <w:r w:rsidRPr="00626248">
        <w:rPr>
          <w:lang w:eastAsia="en-GB"/>
        </w:rPr>
        <w:t>une étape importante dans la progression de l</w:t>
      </w:r>
      <w:r w:rsidR="00B17215" w:rsidRPr="00626248">
        <w:rPr>
          <w:lang w:eastAsia="en-GB"/>
        </w:rPr>
        <w:t>'</w:t>
      </w:r>
      <w:r w:rsidRPr="00626248">
        <w:rPr>
          <w:lang w:eastAsia="en-GB"/>
        </w:rPr>
        <w:t>intégration des composantes satellite et de Terre dans l</w:t>
      </w:r>
      <w:r w:rsidR="00B17215" w:rsidRPr="00626248">
        <w:rPr>
          <w:lang w:eastAsia="en-GB"/>
        </w:rPr>
        <w:t>'</w:t>
      </w:r>
      <w:r w:rsidRPr="00626248">
        <w:rPr>
          <w:lang w:eastAsia="en-GB"/>
        </w:rPr>
        <w:t>écosystème des IMT-2020.</w:t>
      </w:r>
    </w:p>
    <w:p w14:paraId="78F80BBE" w14:textId="22A4B9CF" w:rsidR="00D736B9" w:rsidRPr="00626248" w:rsidRDefault="00D736B9" w:rsidP="00204C61">
      <w:pPr>
        <w:keepLines/>
        <w:rPr>
          <w:lang w:eastAsia="en-GB"/>
        </w:rPr>
      </w:pPr>
      <w:r w:rsidRPr="00626248">
        <w:rPr>
          <w:lang w:eastAsia="en-GB"/>
        </w:rPr>
        <w:lastRenderedPageBreak/>
        <w:t>La liste des produits élaborés par la CE 4 de l</w:t>
      </w:r>
      <w:r w:rsidR="00B17215" w:rsidRPr="00626248">
        <w:rPr>
          <w:lang w:eastAsia="en-GB"/>
        </w:rPr>
        <w:t>'</w:t>
      </w:r>
      <w:r w:rsidRPr="00626248">
        <w:rPr>
          <w:lang w:eastAsia="en-GB"/>
        </w:rPr>
        <w:t>UIT-R figure dans le tableau ci-dessus. En outre, il a été décidé de supprimer la Recommandation UIT-R M.632 «Caractéristiques d'émission d'un système de radiobalises de localisation des sinistres par satellite (RLS par satellite) fonctionnant par l'intermédiaire de satellites géostationnaires dans la bande des 1,6 GHz».</w:t>
      </w:r>
    </w:p>
    <w:p w14:paraId="5EE764D1" w14:textId="77777777" w:rsidR="00D736B9" w:rsidRPr="00626248" w:rsidRDefault="00D736B9" w:rsidP="00D736B9">
      <w:pPr>
        <w:rPr>
          <w:lang w:eastAsia="en-GB"/>
        </w:rPr>
      </w:pPr>
      <w:r w:rsidRPr="00626248">
        <w:rPr>
          <w:lang w:eastAsia="en-GB"/>
        </w:rPr>
        <w:t>Les prochaines réunions des GT 4A, 4B et 4C sont prévues du 22 avril au 14 mai 2026. La CE 4 se réunira le 15 mai 2026.</w:t>
      </w:r>
    </w:p>
    <w:p w14:paraId="6E139C3C" w14:textId="77777777" w:rsidR="00D736B9" w:rsidRPr="00626248" w:rsidRDefault="00D736B9" w:rsidP="00204C61">
      <w:pPr>
        <w:pStyle w:val="Heading2"/>
        <w:rPr>
          <w:lang w:eastAsia="en-GB"/>
        </w:rPr>
      </w:pPr>
      <w:r w:rsidRPr="00626248">
        <w:rPr>
          <w:lang w:eastAsia="en-GB"/>
        </w:rPr>
        <w:t>4.5</w:t>
      </w:r>
      <w:r w:rsidRPr="00626248">
        <w:rPr>
          <w:lang w:eastAsia="en-GB"/>
        </w:rPr>
        <w:tab/>
        <w:t>Commission d'études 5</w:t>
      </w:r>
    </w:p>
    <w:p w14:paraId="015DA2BC" w14:textId="77777777" w:rsidR="00D736B9" w:rsidRPr="00626248" w:rsidRDefault="00D736B9" w:rsidP="00D736B9">
      <w:pPr>
        <w:rPr>
          <w:lang w:eastAsia="en-GB"/>
        </w:rPr>
      </w:pPr>
      <w:r w:rsidRPr="00626248">
        <w:rPr>
          <w:lang w:eastAsia="en-GB"/>
        </w:rPr>
        <w:t>La Commission d'études 5 a poursuivi ses études sur les systèmes et les réseaux des services fixe, mobile (de Terre, aéronautiques et maritimes), de radiorepérage (y compris de radiolocalisation et de radionavigation), d'amateur et d'amateur par satellite, afin de favoriser le développement continu de tous ces services, y compris les systèmes IMT, HAPS/HIBS, ITS et PPDR.</w:t>
      </w:r>
    </w:p>
    <w:p w14:paraId="0038C05F" w14:textId="033422D5" w:rsidR="00D736B9" w:rsidRPr="00626248" w:rsidRDefault="00D736B9" w:rsidP="00D736B9">
      <w:pPr>
        <w:rPr>
          <w:lang w:eastAsia="en-GB"/>
        </w:rPr>
      </w:pPr>
      <w:r w:rsidRPr="00626248">
        <w:rPr>
          <w:lang w:eastAsia="en-GB"/>
        </w:rPr>
        <w:t>Les GT 5A, 5B et 5C se sont réunis à deux reprises, en mai et novembre 2025, tandis que le GT 5D s</w:t>
      </w:r>
      <w:r w:rsidR="00B17215" w:rsidRPr="00626248">
        <w:rPr>
          <w:lang w:eastAsia="en-GB"/>
        </w:rPr>
        <w:t>'</w:t>
      </w:r>
      <w:r w:rsidRPr="00626248">
        <w:rPr>
          <w:lang w:eastAsia="en-GB"/>
        </w:rPr>
        <w:t>est réuni à trois reprises, en février et octobre 2025 à Genève et en juin 2025 à Kobe, à l</w:t>
      </w:r>
      <w:r w:rsidR="00B17215" w:rsidRPr="00626248">
        <w:rPr>
          <w:lang w:eastAsia="en-GB"/>
        </w:rPr>
        <w:t>'</w:t>
      </w:r>
      <w:r w:rsidRPr="00626248">
        <w:rPr>
          <w:lang w:eastAsia="en-GB"/>
        </w:rPr>
        <w:t>aimable invitation de l</w:t>
      </w:r>
      <w:r w:rsidR="00B17215" w:rsidRPr="00626248">
        <w:rPr>
          <w:lang w:eastAsia="en-GB"/>
        </w:rPr>
        <w:t>'</w:t>
      </w:r>
      <w:r w:rsidRPr="00626248">
        <w:rPr>
          <w:lang w:eastAsia="en-GB"/>
        </w:rPr>
        <w:t>Administration japonaise.</w:t>
      </w:r>
    </w:p>
    <w:p w14:paraId="1C38A739" w14:textId="77AF8EFD" w:rsidR="00D736B9" w:rsidRPr="00626248" w:rsidRDefault="00D736B9" w:rsidP="00D736B9">
      <w:pPr>
        <w:rPr>
          <w:lang w:eastAsia="en-GB"/>
        </w:rPr>
      </w:pPr>
      <w:r w:rsidRPr="00626248">
        <w:rPr>
          <w:lang w:eastAsia="en-GB"/>
        </w:rPr>
        <w:t xml:space="preserve">Le GT 5A a élaboré une version révisée du </w:t>
      </w:r>
      <w:r w:rsidRPr="00626248">
        <w:rPr>
          <w:i/>
          <w:iCs/>
          <w:lang w:eastAsia="en-GB"/>
        </w:rPr>
        <w:t>Manuel sur les services d</w:t>
      </w:r>
      <w:r w:rsidR="00B17215" w:rsidRPr="00626248">
        <w:rPr>
          <w:i/>
          <w:iCs/>
          <w:lang w:eastAsia="en-GB"/>
        </w:rPr>
        <w:t>'</w:t>
      </w:r>
      <w:r w:rsidRPr="00626248">
        <w:rPr>
          <w:i/>
          <w:iCs/>
          <w:lang w:eastAsia="en-GB"/>
        </w:rPr>
        <w:t>amateur et d</w:t>
      </w:r>
      <w:r w:rsidR="00B17215" w:rsidRPr="00626248">
        <w:rPr>
          <w:i/>
          <w:iCs/>
          <w:lang w:eastAsia="en-GB"/>
        </w:rPr>
        <w:t>'</w:t>
      </w:r>
      <w:r w:rsidRPr="00626248">
        <w:rPr>
          <w:i/>
          <w:iCs/>
          <w:lang w:eastAsia="en-GB"/>
        </w:rPr>
        <w:t>amateur par satellite</w:t>
      </w:r>
      <w:r w:rsidRPr="00626248">
        <w:rPr>
          <w:lang w:eastAsia="en-GB"/>
        </w:rPr>
        <w:t>, qui a été approuvée par la CE 5 en décembre 2025. Cette version qui remplacera la version précédente publiée en 2014 (voir i</w:t>
      </w:r>
      <w:hyperlink r:id="rId89" w:history="1">
        <w:r w:rsidRPr="00626248">
          <w:rPr>
            <w:rStyle w:val="Hyperlink"/>
            <w:lang w:eastAsia="en-GB"/>
          </w:rPr>
          <w:t>ci</w:t>
        </w:r>
      </w:hyperlink>
      <w:r w:rsidRPr="00626248">
        <w:rPr>
          <w:lang w:eastAsia="en-GB"/>
        </w:rPr>
        <w:t>).</w:t>
      </w:r>
    </w:p>
    <w:p w14:paraId="44740936" w14:textId="26595074" w:rsidR="00D736B9" w:rsidRPr="00626248" w:rsidRDefault="00D736B9" w:rsidP="00D736B9">
      <w:pPr>
        <w:rPr>
          <w:lang w:eastAsia="en-GB"/>
        </w:rPr>
      </w:pPr>
      <w:r w:rsidRPr="00626248">
        <w:rPr>
          <w:lang w:eastAsia="en-GB"/>
        </w:rPr>
        <w:t>Le GT 5B a élaboré un projet de nouvelle Recommandation, cinq projets de Recommandation révisée et un projet de nouveau Rapport. Ces produits ont été approuvés/adoptés par la Commission d</w:t>
      </w:r>
      <w:r w:rsidR="00B17215" w:rsidRPr="00626248">
        <w:rPr>
          <w:lang w:eastAsia="en-GB"/>
        </w:rPr>
        <w:t>'</w:t>
      </w:r>
      <w:r w:rsidRPr="00626248">
        <w:rPr>
          <w:lang w:eastAsia="en-GB"/>
        </w:rPr>
        <w:t>études 5 à sa vingt-troisième réunion (Genève, 1er-2 décembre 2025) et ont été communiqués aux membres, selon qu</w:t>
      </w:r>
      <w:r w:rsidR="00B17215" w:rsidRPr="00626248">
        <w:rPr>
          <w:lang w:eastAsia="en-GB"/>
        </w:rPr>
        <w:t>'</w:t>
      </w:r>
      <w:r w:rsidRPr="00626248">
        <w:rPr>
          <w:lang w:eastAsia="en-GB"/>
        </w:rPr>
        <w:t xml:space="preserve">il conviendra, dans les Circulaires </w:t>
      </w:r>
      <w:hyperlink r:id="rId90" w:history="1">
        <w:r w:rsidRPr="00626248">
          <w:rPr>
            <w:rStyle w:val="Hyperlink"/>
            <w:lang w:eastAsia="en-GB"/>
          </w:rPr>
          <w:t>CACE/1165</w:t>
        </w:r>
      </w:hyperlink>
      <w:r w:rsidRPr="00626248">
        <w:rPr>
          <w:lang w:eastAsia="en-GB"/>
        </w:rPr>
        <w:t xml:space="preserve"> et </w:t>
      </w:r>
      <w:hyperlink r:id="rId91" w:history="1">
        <w:r w:rsidRPr="00626248">
          <w:rPr>
            <w:rStyle w:val="Hyperlink"/>
            <w:lang w:eastAsia="en-GB"/>
          </w:rPr>
          <w:t>CACE/1168</w:t>
        </w:r>
      </w:hyperlink>
      <w:r w:rsidRPr="00626248">
        <w:rPr>
          <w:lang w:eastAsia="en-GB"/>
        </w:rPr>
        <w:t>.</w:t>
      </w:r>
    </w:p>
    <w:p w14:paraId="32924658" w14:textId="2FF23A48" w:rsidR="00D736B9" w:rsidRPr="00626248" w:rsidRDefault="00D736B9" w:rsidP="00D736B9">
      <w:pPr>
        <w:rPr>
          <w:lang w:eastAsia="en-GB"/>
        </w:rPr>
      </w:pPr>
      <w:r w:rsidRPr="00626248">
        <w:rPr>
          <w:lang w:eastAsia="en-GB"/>
        </w:rPr>
        <w:t xml:space="preserve">Dans le cadre des activités du GT 5C, un </w:t>
      </w:r>
      <w:hyperlink r:id="rId92" w:history="1">
        <w:r w:rsidRPr="00626248">
          <w:rPr>
            <w:rStyle w:val="Hyperlink"/>
            <w:lang w:eastAsia="en-GB"/>
          </w:rPr>
          <w:t>atelier sur le thème «Systèmes hertziens fixes: technologie, réglementation, mise en œuvre et évolution future»</w:t>
        </w:r>
      </w:hyperlink>
      <w:r w:rsidRPr="00626248">
        <w:rPr>
          <w:lang w:eastAsia="en-GB"/>
        </w:rPr>
        <w:t xml:space="preserve"> a été organisé le</w:t>
      </w:r>
      <w:r w:rsidR="00204C61" w:rsidRPr="00626248">
        <w:rPr>
          <w:lang w:eastAsia="en-GB"/>
        </w:rPr>
        <w:t> </w:t>
      </w:r>
      <w:r w:rsidRPr="00626248">
        <w:rPr>
          <w:lang w:eastAsia="en-GB"/>
        </w:rPr>
        <w:t>21</w:t>
      </w:r>
      <w:r w:rsidR="00204C61" w:rsidRPr="00626248">
        <w:rPr>
          <w:lang w:eastAsia="en-GB"/>
        </w:rPr>
        <w:t> </w:t>
      </w:r>
      <w:r w:rsidRPr="00626248">
        <w:rPr>
          <w:lang w:eastAsia="en-GB"/>
        </w:rPr>
        <w:t>novembre</w:t>
      </w:r>
      <w:r w:rsidR="00204C61" w:rsidRPr="00626248">
        <w:rPr>
          <w:lang w:eastAsia="en-GB"/>
        </w:rPr>
        <w:t> </w:t>
      </w:r>
      <w:r w:rsidRPr="00626248">
        <w:rPr>
          <w:lang w:eastAsia="en-GB"/>
        </w:rPr>
        <w:t>2025. L</w:t>
      </w:r>
      <w:r w:rsidR="00B17215" w:rsidRPr="00626248">
        <w:rPr>
          <w:lang w:eastAsia="en-GB"/>
        </w:rPr>
        <w:t>'</w:t>
      </w:r>
      <w:r w:rsidRPr="00626248">
        <w:rPr>
          <w:lang w:eastAsia="en-GB"/>
        </w:rPr>
        <w:t>objectif de l</w:t>
      </w:r>
      <w:r w:rsidR="00B17215" w:rsidRPr="00626248">
        <w:rPr>
          <w:lang w:eastAsia="en-GB"/>
        </w:rPr>
        <w:t>'</w:t>
      </w:r>
      <w:r w:rsidRPr="00626248">
        <w:rPr>
          <w:lang w:eastAsia="en-GB"/>
        </w:rPr>
        <w:t>atelier était de fournir une plate-forme d</w:t>
      </w:r>
      <w:r w:rsidR="00B17215" w:rsidRPr="00626248">
        <w:rPr>
          <w:lang w:eastAsia="en-GB"/>
        </w:rPr>
        <w:t>'</w:t>
      </w:r>
      <w:r w:rsidRPr="00626248">
        <w:rPr>
          <w:lang w:eastAsia="en-GB"/>
        </w:rPr>
        <w:t>échange et de discussion d</w:t>
      </w:r>
      <w:r w:rsidR="00B17215" w:rsidRPr="00626248">
        <w:rPr>
          <w:lang w:eastAsia="en-GB"/>
        </w:rPr>
        <w:t>'</w:t>
      </w:r>
      <w:r w:rsidRPr="00626248">
        <w:rPr>
          <w:lang w:eastAsia="en-GB"/>
        </w:rPr>
        <w:t>informations, de donner un aperçu des technologies et de faciliter la compréhension de la réglementation, de la mise en œuvre, des activités et des initiatives en vigueur dans le monde concernant les systèmes hertziens fixes (FWS), ainsi que de leur évolution future.</w:t>
      </w:r>
    </w:p>
    <w:p w14:paraId="30A15CC3" w14:textId="713425EF" w:rsidR="00D736B9" w:rsidRPr="00626248" w:rsidRDefault="00D736B9" w:rsidP="00D736B9">
      <w:pPr>
        <w:rPr>
          <w:lang w:eastAsia="en-GB"/>
        </w:rPr>
      </w:pPr>
      <w:r w:rsidRPr="00626248">
        <w:rPr>
          <w:lang w:eastAsia="en-GB"/>
        </w:rPr>
        <w:t>Dans le cadre du développement des IMT-2030, le GT 5D a approuvé, le 12 février 2026, le rapport d</w:t>
      </w:r>
      <w:r w:rsidR="00B17215" w:rsidRPr="00626248">
        <w:rPr>
          <w:lang w:eastAsia="en-GB"/>
        </w:rPr>
        <w:t>'</w:t>
      </w:r>
      <w:r w:rsidRPr="00626248">
        <w:rPr>
          <w:lang w:eastAsia="en-GB"/>
        </w:rPr>
        <w:t xml:space="preserve">étape contenant les «Exigences minimales relatives aux performances techniques des interfaces radioélectriques des IMT-2020», qui a été soumis à la CE 5 (voir le Document </w:t>
      </w:r>
      <w:hyperlink r:id="rId93" w:history="1">
        <w:r w:rsidRPr="00626248">
          <w:rPr>
            <w:rStyle w:val="Hyperlink"/>
            <w:lang w:eastAsia="en-GB"/>
          </w:rPr>
          <w:t>5/116</w:t>
        </w:r>
      </w:hyperlink>
      <w:r w:rsidRPr="00626248">
        <w:rPr>
          <w:lang w:eastAsia="en-GB"/>
        </w:rPr>
        <w:t>) pour examen en novembre/décembre 2026.</w:t>
      </w:r>
    </w:p>
    <w:p w14:paraId="3970608F" w14:textId="6E920B76" w:rsidR="00D736B9" w:rsidRPr="00626248" w:rsidRDefault="00D736B9" w:rsidP="00D736B9">
      <w:pPr>
        <w:rPr>
          <w:lang w:eastAsia="en-GB"/>
        </w:rPr>
      </w:pPr>
      <w:r w:rsidRPr="00626248">
        <w:rPr>
          <w:lang w:eastAsia="en-GB"/>
        </w:rPr>
        <w:t>Au cours de plusieurs réunions, il a été suggéré de réorganiser l</w:t>
      </w:r>
      <w:r w:rsidR="00B17215" w:rsidRPr="00626248">
        <w:rPr>
          <w:lang w:eastAsia="en-GB"/>
        </w:rPr>
        <w:t>'</w:t>
      </w:r>
      <w:r w:rsidRPr="00626248">
        <w:rPr>
          <w:lang w:eastAsia="en-GB"/>
        </w:rPr>
        <w:t>ordre des sections du préambule dans les Recommandations UIT-R. L</w:t>
      </w:r>
      <w:r w:rsidR="00B17215" w:rsidRPr="00626248">
        <w:rPr>
          <w:lang w:eastAsia="en-GB"/>
        </w:rPr>
        <w:t>'</w:t>
      </w:r>
      <w:r w:rsidRPr="00626248">
        <w:rPr>
          <w:lang w:eastAsia="en-GB"/>
        </w:rPr>
        <w:t xml:space="preserve">ordre des sections du préambule fait actuellement partie du </w:t>
      </w:r>
      <w:hyperlink r:id="rId94" w:history="1">
        <w:r w:rsidRPr="00626248">
          <w:rPr>
            <w:rStyle w:val="Hyperlink"/>
            <w:lang w:eastAsia="en-GB"/>
          </w:rPr>
          <w:t>format commun obligatoire</w:t>
        </w:r>
      </w:hyperlink>
      <w:r w:rsidRPr="00626248">
        <w:rPr>
          <w:lang w:eastAsia="en-GB"/>
        </w:rPr>
        <w:t xml:space="preserve"> des Recommandations UIT-R.</w:t>
      </w:r>
    </w:p>
    <w:p w14:paraId="27351EE0" w14:textId="77777777" w:rsidR="00D736B9" w:rsidRPr="00626248" w:rsidRDefault="00D736B9" w:rsidP="00D736B9">
      <w:pPr>
        <w:rPr>
          <w:lang w:eastAsia="en-GB"/>
        </w:rPr>
      </w:pPr>
      <w:r w:rsidRPr="00626248">
        <w:rPr>
          <w:lang w:eastAsia="en-GB"/>
        </w:rPr>
        <w:t>La prochaine réunion du GT 5D est prévue du 3 au 12 février 2026. Les GT 5A, 5B et 5C se réuniront du 18 au 26 mai 2026. La CE 5 se réunira les 30 novembre et 1er décembre 2026.</w:t>
      </w:r>
    </w:p>
    <w:p w14:paraId="3BEE3172" w14:textId="77777777" w:rsidR="00D736B9" w:rsidRPr="00626248" w:rsidRDefault="00D736B9" w:rsidP="00204C61">
      <w:pPr>
        <w:pStyle w:val="Heading2"/>
        <w:rPr>
          <w:lang w:eastAsia="en-GB"/>
        </w:rPr>
      </w:pPr>
      <w:r w:rsidRPr="00626248">
        <w:rPr>
          <w:lang w:eastAsia="en-GB"/>
        </w:rPr>
        <w:t>4.6</w:t>
      </w:r>
      <w:r w:rsidRPr="00626248">
        <w:rPr>
          <w:lang w:eastAsia="en-GB"/>
        </w:rPr>
        <w:tab/>
        <w:t>Commission d'études 6</w:t>
      </w:r>
    </w:p>
    <w:p w14:paraId="12A51BD2" w14:textId="49EFB35D" w:rsidR="00204C61" w:rsidRPr="00626248" w:rsidRDefault="00D736B9" w:rsidP="00204C61">
      <w:pPr>
        <w:rPr>
          <w:lang w:eastAsia="en-GB"/>
        </w:rPr>
      </w:pPr>
      <w:r w:rsidRPr="00626248">
        <w:rPr>
          <w:lang w:eastAsia="en-GB"/>
        </w:rPr>
        <w:t>La Commission d'études 6 a poursuivi ses études sur la radiodiffusion, en particulier sur les nouvelles questions qui se font jour telles que les technologies évoluées utilisées pour la radiodiffusion numérique de Terre, une plate-forme mondiale pour le service de radiodiffusion, les systèmes de télévision à grande plage dynamique (TV-HDR), les systèmes de radiodiffusion large bande intégrés (IBB), les nouveaux codecs audio et vidéo utilisés pour la radiodiffusion numérique,</w:t>
      </w:r>
      <w:r w:rsidR="00204C61" w:rsidRPr="00626248">
        <w:rPr>
          <w:lang w:eastAsia="en-GB"/>
        </w:rPr>
        <w:br w:type="page"/>
      </w:r>
    </w:p>
    <w:p w14:paraId="3BEBB37D" w14:textId="0BC0D87F" w:rsidR="00D736B9" w:rsidRPr="00626248" w:rsidRDefault="00D736B9" w:rsidP="00D736B9">
      <w:pPr>
        <w:rPr>
          <w:lang w:eastAsia="en-GB"/>
        </w:rPr>
      </w:pPr>
      <w:r w:rsidRPr="00626248">
        <w:rPr>
          <w:lang w:eastAsia="en-GB"/>
        </w:rPr>
        <w:lastRenderedPageBreak/>
        <w:t>les systèmes audiovisuels en immersion évolués (AIAV), les spécifications des systèmes de restitution des systèmes sonores évolués, l'utilisation de l'intelligence artificielle en radiodiffusion et l'accessibilité des supports audiovisuels (AVA).</w:t>
      </w:r>
    </w:p>
    <w:p w14:paraId="5C518A6A" w14:textId="6C7FE904" w:rsidR="00D736B9" w:rsidRPr="00626248" w:rsidRDefault="00D736B9" w:rsidP="00D736B9">
      <w:pPr>
        <w:rPr>
          <w:lang w:eastAsia="en-GB"/>
        </w:rPr>
      </w:pPr>
      <w:r w:rsidRPr="00626248">
        <w:rPr>
          <w:lang w:eastAsia="en-GB"/>
        </w:rPr>
        <w:t>La Commission d'études 6 s'est aussi activement employée à coordonner les travaux sur les questions d'intérêt mutuel avec les Commissions d'études 21 et 12 de l'UIT-T, par l'intermédiaire des Groupes du Rapporteur intersectoriels (GRI) sur l'accessibilité des supports audiovisuels (GRI</w:t>
      </w:r>
      <w:r w:rsidR="00204C61" w:rsidRPr="00626248">
        <w:rPr>
          <w:lang w:eastAsia="en-GB"/>
        </w:rPr>
        <w:noBreakHyphen/>
      </w:r>
      <w:r w:rsidRPr="00626248">
        <w:rPr>
          <w:lang w:eastAsia="en-GB"/>
        </w:rPr>
        <w:t>AVA) et sur l'évaluation de la qualité audiovisuelle (GRI AVQA), respectivement.</w:t>
      </w:r>
    </w:p>
    <w:p w14:paraId="3F37F3B4" w14:textId="38D3A9DE" w:rsidR="00D736B9" w:rsidRPr="00626248" w:rsidRDefault="00D736B9" w:rsidP="00D736B9">
      <w:pPr>
        <w:rPr>
          <w:lang w:eastAsia="en-GB"/>
        </w:rPr>
      </w:pPr>
      <w:r w:rsidRPr="00626248">
        <w:rPr>
          <w:lang w:eastAsia="en-GB"/>
        </w:rPr>
        <w:t>La Commission d</w:t>
      </w:r>
      <w:r w:rsidR="00B17215" w:rsidRPr="00626248">
        <w:rPr>
          <w:lang w:eastAsia="en-GB"/>
        </w:rPr>
        <w:t>'</w:t>
      </w:r>
      <w:r w:rsidRPr="00626248">
        <w:rPr>
          <w:lang w:eastAsia="en-GB"/>
        </w:rPr>
        <w:t>études 6 de l</w:t>
      </w:r>
      <w:r w:rsidR="00B17215" w:rsidRPr="00626248">
        <w:rPr>
          <w:lang w:eastAsia="en-GB"/>
        </w:rPr>
        <w:t>'</w:t>
      </w:r>
      <w:r w:rsidRPr="00626248">
        <w:rPr>
          <w:lang w:eastAsia="en-GB"/>
        </w:rPr>
        <w:t>UIT-R est consciente des problèmes que posent les chevauchements d</w:t>
      </w:r>
      <w:r w:rsidR="00B17215" w:rsidRPr="00626248">
        <w:rPr>
          <w:lang w:eastAsia="en-GB"/>
        </w:rPr>
        <w:t>'</w:t>
      </w:r>
      <w:r w:rsidRPr="00626248">
        <w:rPr>
          <w:lang w:eastAsia="en-GB"/>
        </w:rPr>
        <w:t>études entre les Secteurs de l</w:t>
      </w:r>
      <w:r w:rsidR="00B17215" w:rsidRPr="00626248">
        <w:rPr>
          <w:lang w:eastAsia="en-GB"/>
        </w:rPr>
        <w:t>'</w:t>
      </w:r>
      <w:r w:rsidRPr="00626248">
        <w:rPr>
          <w:lang w:eastAsia="en-GB"/>
        </w:rPr>
        <w:t>UIT-D, de l</w:t>
      </w:r>
      <w:r w:rsidR="00B17215" w:rsidRPr="00626248">
        <w:rPr>
          <w:lang w:eastAsia="en-GB"/>
        </w:rPr>
        <w:t>'</w:t>
      </w:r>
      <w:r w:rsidRPr="00626248">
        <w:rPr>
          <w:lang w:eastAsia="en-GB"/>
        </w:rPr>
        <w:t>UIT-R et de l</w:t>
      </w:r>
      <w:r w:rsidR="00B17215" w:rsidRPr="00626248">
        <w:rPr>
          <w:lang w:eastAsia="en-GB"/>
        </w:rPr>
        <w:t>'</w:t>
      </w:r>
      <w:r w:rsidRPr="00626248">
        <w:rPr>
          <w:lang w:eastAsia="en-GB"/>
        </w:rPr>
        <w:t xml:space="preserve">UIT-T et joue un rôle actif au sein du Groupe de coordination intersectorielle. </w:t>
      </w:r>
    </w:p>
    <w:p w14:paraId="608D0925" w14:textId="4E1381CA" w:rsidR="00D736B9" w:rsidRPr="00626248" w:rsidRDefault="00D736B9" w:rsidP="00D736B9">
      <w:pPr>
        <w:rPr>
          <w:lang w:eastAsia="en-GB"/>
        </w:rPr>
      </w:pPr>
      <w:r w:rsidRPr="00626248">
        <w:rPr>
          <w:lang w:eastAsia="en-GB"/>
        </w:rPr>
        <w:t>La liste des produits élaborés par la CE 6 de l</w:t>
      </w:r>
      <w:r w:rsidR="00B17215" w:rsidRPr="00626248">
        <w:rPr>
          <w:lang w:eastAsia="en-GB"/>
        </w:rPr>
        <w:t>'</w:t>
      </w:r>
      <w:r w:rsidRPr="00626248">
        <w:rPr>
          <w:lang w:eastAsia="en-GB"/>
        </w:rPr>
        <w:t>UIT-R figure dans le tableau ci-dessus. En outre, une recommandation a fait l</w:t>
      </w:r>
      <w:r w:rsidR="00B17215" w:rsidRPr="00626248">
        <w:rPr>
          <w:lang w:eastAsia="en-GB"/>
        </w:rPr>
        <w:t>'</w:t>
      </w:r>
      <w:r w:rsidRPr="00626248">
        <w:rPr>
          <w:lang w:eastAsia="en-GB"/>
        </w:rPr>
        <w:t>objet d</w:t>
      </w:r>
      <w:r w:rsidR="00B17215" w:rsidRPr="00626248">
        <w:rPr>
          <w:lang w:eastAsia="en-GB"/>
        </w:rPr>
        <w:t>'</w:t>
      </w:r>
      <w:r w:rsidRPr="00626248">
        <w:rPr>
          <w:lang w:eastAsia="en-GB"/>
        </w:rPr>
        <w:t>une mise à jour rédactionnelle.</w:t>
      </w:r>
    </w:p>
    <w:p w14:paraId="1DA4B898" w14:textId="7CE223FC" w:rsidR="00D736B9" w:rsidRPr="00626248" w:rsidRDefault="00D736B9" w:rsidP="00D736B9">
      <w:pPr>
        <w:rPr>
          <w:lang w:eastAsia="en-GB"/>
        </w:rPr>
      </w:pPr>
      <w:r w:rsidRPr="00626248">
        <w:rPr>
          <w:lang w:eastAsia="en-GB"/>
        </w:rPr>
        <w:t>Thiago Soares n'ayant pas été en mesure de continuer d</w:t>
      </w:r>
      <w:r w:rsidR="00B17215" w:rsidRPr="00626248">
        <w:rPr>
          <w:lang w:eastAsia="en-GB"/>
        </w:rPr>
        <w:t>'</w:t>
      </w:r>
      <w:r w:rsidRPr="00626248">
        <w:rPr>
          <w:lang w:eastAsia="en-GB"/>
        </w:rPr>
        <w:t>exercer ses fonctions de Président de la</w:t>
      </w:r>
      <w:r w:rsidR="00204C61" w:rsidRPr="00626248">
        <w:rPr>
          <w:lang w:eastAsia="en-GB"/>
        </w:rPr>
        <w:t> </w:t>
      </w:r>
      <w:r w:rsidRPr="00626248">
        <w:rPr>
          <w:lang w:eastAsia="en-GB"/>
        </w:rPr>
        <w:t>CE</w:t>
      </w:r>
      <w:r w:rsidR="00204C61" w:rsidRPr="00626248">
        <w:rPr>
          <w:lang w:eastAsia="en-GB"/>
        </w:rPr>
        <w:t> </w:t>
      </w:r>
      <w:r w:rsidRPr="00626248">
        <w:rPr>
          <w:lang w:eastAsia="en-GB"/>
        </w:rPr>
        <w:t>6 à compter de mai 2025, M. Paolo Lazzarini a été élu en tant que nouveau Président à la réunion de septembre 2025 de la CE 6, conformément à l</w:t>
      </w:r>
      <w:r w:rsidR="00B17215" w:rsidRPr="00626248">
        <w:rPr>
          <w:lang w:eastAsia="en-GB"/>
        </w:rPr>
        <w:t>'</w:t>
      </w:r>
      <w:r w:rsidRPr="00626248">
        <w:rPr>
          <w:lang w:eastAsia="en-GB"/>
        </w:rPr>
        <w:t>article 20 de la Convention de l</w:t>
      </w:r>
      <w:r w:rsidR="00B17215" w:rsidRPr="00626248">
        <w:rPr>
          <w:lang w:eastAsia="en-GB"/>
        </w:rPr>
        <w:t>'</w:t>
      </w:r>
      <w:r w:rsidRPr="00626248">
        <w:rPr>
          <w:lang w:eastAsia="en-GB"/>
        </w:rPr>
        <w:t xml:space="preserve">UIT. Par conséquent, un poste de vice-président est devenu vacant. La CE 6 a donc élu M. Paulo Eduardo dos Reis Cardoso (Brésil) comme nouveau Vice-Président. </w:t>
      </w:r>
    </w:p>
    <w:p w14:paraId="534A6520" w14:textId="77777777" w:rsidR="00D736B9" w:rsidRPr="00626248" w:rsidRDefault="00D736B9" w:rsidP="00D736B9">
      <w:pPr>
        <w:rPr>
          <w:lang w:eastAsia="en-GB"/>
        </w:rPr>
      </w:pPr>
      <w:r w:rsidRPr="00626248">
        <w:rPr>
          <w:lang w:eastAsia="en-GB"/>
        </w:rPr>
        <w:t>Les réunions des GT 6A, 6B et 6C sont prévues du 16 au 26 mai 2026 et seront suivies de la réunion de la CE 6 le 27 mars 2026.</w:t>
      </w:r>
    </w:p>
    <w:p w14:paraId="68166885" w14:textId="77777777" w:rsidR="00D736B9" w:rsidRPr="00626248" w:rsidRDefault="00D736B9" w:rsidP="00204C61">
      <w:pPr>
        <w:pStyle w:val="Heading2"/>
        <w:rPr>
          <w:lang w:eastAsia="en-GB"/>
        </w:rPr>
      </w:pPr>
      <w:r w:rsidRPr="00626248">
        <w:rPr>
          <w:lang w:eastAsia="en-GB"/>
        </w:rPr>
        <w:t>4.7</w:t>
      </w:r>
      <w:r w:rsidRPr="00626248">
        <w:rPr>
          <w:lang w:eastAsia="en-GB"/>
        </w:rPr>
        <w:tab/>
        <w:t>Commission d'études 7</w:t>
      </w:r>
    </w:p>
    <w:p w14:paraId="3EB4A5BC" w14:textId="77777777" w:rsidR="00D736B9" w:rsidRPr="00626248" w:rsidRDefault="00D736B9" w:rsidP="00D736B9">
      <w:pPr>
        <w:rPr>
          <w:lang w:eastAsia="en-GB"/>
        </w:rPr>
      </w:pPr>
      <w:r w:rsidRPr="00626248">
        <w:rPr>
          <w:lang w:eastAsia="en-GB"/>
        </w:rPr>
        <w:t>La Commission d'études 7 a poursuivi l'élaboration de Recommandations, de Rapports et de Manuels de l'UIT-R qui sont utilisés pour concevoir et garantir l'exploitation exempte de brouillage des systèmes des services d'exploitation spatiale, de recherche spatiale, d'exploration de la Terre, de météorologie (y compris l'utilisation de liaisons du service inter-satellites), pour la radioastronomie et l'astronomie radar, et pour la diffusion, la réception et la coordination des services de fréquences étalon et de signaux horaires, y compris l'application des techniques par satellite, à l'échelon mondial. Ses travaux portent également sur les systèmes de communication destinés à être utilisés à bord d'engins spatiaux habités et non habités, les liaisons de communication entre les planètes, l'utilisation de satellites relais de données.</w:t>
      </w:r>
    </w:p>
    <w:p w14:paraId="3346FAF5" w14:textId="77777777" w:rsidR="00D736B9" w:rsidRPr="00626248" w:rsidRDefault="00D736B9" w:rsidP="00D736B9">
      <w:pPr>
        <w:rPr>
          <w:lang w:eastAsia="en-GB"/>
        </w:rPr>
      </w:pPr>
      <w:r w:rsidRPr="00626248">
        <w:rPr>
          <w:lang w:eastAsia="en-GB"/>
        </w:rPr>
        <w:t>Les systèmes examinés par la CE 7 sont utilisés dans des activités essentielles de notre vie quotidienne, notamment pour:</w:t>
      </w:r>
    </w:p>
    <w:p w14:paraId="451664CB" w14:textId="77777777" w:rsidR="00D736B9" w:rsidRPr="00626248" w:rsidRDefault="00D736B9" w:rsidP="00204C61">
      <w:pPr>
        <w:pStyle w:val="enumlev1"/>
        <w:rPr>
          <w:lang w:eastAsia="en-GB"/>
        </w:rPr>
      </w:pPr>
      <w:r w:rsidRPr="00626248">
        <w:rPr>
          <w:lang w:eastAsia="en-GB"/>
        </w:rPr>
        <w:t>–</w:t>
      </w:r>
      <w:r w:rsidRPr="00626248">
        <w:rPr>
          <w:lang w:eastAsia="en-GB"/>
        </w:rPr>
        <w:tab/>
        <w:t>la définition et la diffusion du temps universel coordonné (UTC);</w:t>
      </w:r>
    </w:p>
    <w:p w14:paraId="072586C8" w14:textId="77777777" w:rsidR="00D736B9" w:rsidRPr="00626248" w:rsidRDefault="00D736B9" w:rsidP="00204C61">
      <w:pPr>
        <w:pStyle w:val="enumlev1"/>
        <w:rPr>
          <w:lang w:eastAsia="en-GB"/>
        </w:rPr>
      </w:pPr>
      <w:r w:rsidRPr="00626248">
        <w:rPr>
          <w:lang w:eastAsia="en-GB"/>
        </w:rPr>
        <w:t>–</w:t>
      </w:r>
      <w:r w:rsidRPr="00626248">
        <w:rPr>
          <w:lang w:eastAsia="en-GB"/>
        </w:rPr>
        <w:tab/>
        <w:t>la surveillance de l'environnement à l'échelle mondiale – atmosphère (émissions de gaz à effet de serre), océans, surface terrestre, biomasse, etc.;</w:t>
      </w:r>
    </w:p>
    <w:p w14:paraId="45B061A0" w14:textId="77777777" w:rsidR="00D736B9" w:rsidRPr="00626248" w:rsidRDefault="00D736B9" w:rsidP="00204C61">
      <w:pPr>
        <w:pStyle w:val="enumlev1"/>
        <w:rPr>
          <w:lang w:eastAsia="en-GB"/>
        </w:rPr>
      </w:pPr>
      <w:r w:rsidRPr="00626248">
        <w:rPr>
          <w:lang w:eastAsia="en-GB"/>
        </w:rPr>
        <w:t>–</w:t>
      </w:r>
      <w:r w:rsidRPr="00626248">
        <w:rPr>
          <w:lang w:eastAsia="en-GB"/>
        </w:rPr>
        <w:tab/>
        <w:t>les prévisions météorologiques et le suivi et la prévision des changements climatiques;</w:t>
      </w:r>
    </w:p>
    <w:p w14:paraId="1A9E0F18" w14:textId="25454CC8" w:rsidR="00D736B9" w:rsidRPr="00626248" w:rsidRDefault="00D736B9" w:rsidP="00204C61">
      <w:pPr>
        <w:pStyle w:val="enumlev1"/>
        <w:rPr>
          <w:lang w:eastAsia="en-GB"/>
        </w:rPr>
      </w:pPr>
      <w:r w:rsidRPr="00626248">
        <w:rPr>
          <w:lang w:eastAsia="en-GB"/>
        </w:rPr>
        <w:t>–</w:t>
      </w:r>
      <w:r w:rsidRPr="00626248">
        <w:rPr>
          <w:lang w:eastAsia="en-GB"/>
        </w:rPr>
        <w:tab/>
      </w:r>
      <w:r w:rsidR="00204C61" w:rsidRPr="00626248">
        <w:rPr>
          <w:lang w:eastAsia="en-GB"/>
        </w:rPr>
        <w:t xml:space="preserve">la </w:t>
      </w:r>
      <w:r w:rsidRPr="00626248">
        <w:rPr>
          <w:lang w:eastAsia="en-GB"/>
        </w:rPr>
        <w:t xml:space="preserve">détection et </w:t>
      </w:r>
      <w:r w:rsidR="00204C61" w:rsidRPr="00626248">
        <w:rPr>
          <w:lang w:eastAsia="en-GB"/>
        </w:rPr>
        <w:t xml:space="preserve">le </w:t>
      </w:r>
      <w:r w:rsidRPr="00626248">
        <w:rPr>
          <w:lang w:eastAsia="en-GB"/>
        </w:rPr>
        <w:t>suivi de nombreuses catastrophes naturelles ou induites par l'homme (tremblements de terre, tsunamis, ouragans, feux de forêt, marées noires, etc.);</w:t>
      </w:r>
    </w:p>
    <w:p w14:paraId="3CB5C8A3" w14:textId="77777777" w:rsidR="00D736B9" w:rsidRPr="00626248" w:rsidRDefault="00D736B9" w:rsidP="00204C61">
      <w:pPr>
        <w:pStyle w:val="enumlev1"/>
        <w:rPr>
          <w:lang w:eastAsia="en-GB"/>
        </w:rPr>
      </w:pPr>
      <w:r w:rsidRPr="00626248">
        <w:rPr>
          <w:lang w:eastAsia="en-GB"/>
        </w:rPr>
        <w:t>–</w:t>
      </w:r>
      <w:r w:rsidRPr="00626248">
        <w:rPr>
          <w:lang w:eastAsia="en-GB"/>
        </w:rPr>
        <w:tab/>
        <w:t>les alertes et avis en cas de catastrophe;</w:t>
      </w:r>
    </w:p>
    <w:p w14:paraId="24DEE28B" w14:textId="77777777" w:rsidR="00D736B9" w:rsidRPr="00626248" w:rsidRDefault="00D736B9" w:rsidP="00204C61">
      <w:pPr>
        <w:pStyle w:val="enumlev1"/>
        <w:rPr>
          <w:lang w:eastAsia="en-GB"/>
        </w:rPr>
      </w:pPr>
      <w:r w:rsidRPr="00626248">
        <w:rPr>
          <w:lang w:eastAsia="en-GB"/>
        </w:rPr>
        <w:t>–</w:t>
      </w:r>
      <w:r w:rsidRPr="00626248">
        <w:rPr>
          <w:lang w:eastAsia="en-GB"/>
        </w:rPr>
        <w:tab/>
        <w:t>l'évaluation des dommages et la planification des opérations de secours; et</w:t>
      </w:r>
    </w:p>
    <w:p w14:paraId="15A5B35C" w14:textId="77777777" w:rsidR="00D736B9" w:rsidRPr="00626248" w:rsidRDefault="00D736B9" w:rsidP="00204C61">
      <w:pPr>
        <w:pStyle w:val="enumlev1"/>
        <w:rPr>
          <w:lang w:eastAsia="en-GB"/>
        </w:rPr>
      </w:pPr>
      <w:r w:rsidRPr="00626248">
        <w:rPr>
          <w:lang w:eastAsia="en-GB"/>
        </w:rPr>
        <w:t>–</w:t>
      </w:r>
      <w:r w:rsidRPr="00626248">
        <w:rPr>
          <w:lang w:eastAsia="en-GB"/>
        </w:rPr>
        <w:tab/>
        <w:t>la surveillance et l'atténuation des effets des phénomènes de météorologie spatiale.</w:t>
      </w:r>
    </w:p>
    <w:p w14:paraId="10DE8121" w14:textId="77777777" w:rsidR="00D736B9" w:rsidRPr="00626248" w:rsidRDefault="00D736B9" w:rsidP="00204C61">
      <w:pPr>
        <w:keepNext/>
        <w:keepLines/>
        <w:rPr>
          <w:lang w:eastAsia="en-GB"/>
        </w:rPr>
      </w:pPr>
      <w:r w:rsidRPr="00626248">
        <w:rPr>
          <w:lang w:eastAsia="en-GB"/>
        </w:rPr>
        <w:t>La CE 7 effectue également des travaux sur les systèmes utilisés pour étudier l'espace extra atmosphérique, à savoir:</w:t>
      </w:r>
    </w:p>
    <w:p w14:paraId="430C8503" w14:textId="77777777" w:rsidR="00D736B9" w:rsidRPr="00626248" w:rsidRDefault="00D736B9" w:rsidP="00204C61">
      <w:pPr>
        <w:pStyle w:val="enumlev1"/>
        <w:rPr>
          <w:lang w:eastAsia="en-GB"/>
        </w:rPr>
      </w:pPr>
      <w:r w:rsidRPr="00626248">
        <w:rPr>
          <w:lang w:eastAsia="en-GB"/>
        </w:rPr>
        <w:t>–</w:t>
      </w:r>
      <w:r w:rsidRPr="00626248">
        <w:rPr>
          <w:lang w:eastAsia="en-GB"/>
        </w:rPr>
        <w:tab/>
        <w:t>les satellites utilisés pour étudier le soleil, la magnétosphère et tous les éléments de notre système solaire;</w:t>
      </w:r>
    </w:p>
    <w:p w14:paraId="52579C81" w14:textId="77777777" w:rsidR="00D736B9" w:rsidRPr="00626248" w:rsidRDefault="00D736B9" w:rsidP="00204C61">
      <w:pPr>
        <w:pStyle w:val="enumlev1"/>
        <w:rPr>
          <w:lang w:eastAsia="en-GB"/>
        </w:rPr>
      </w:pPr>
      <w:r w:rsidRPr="00626248">
        <w:rPr>
          <w:lang w:eastAsia="en-GB"/>
        </w:rPr>
        <w:lastRenderedPageBreak/>
        <w:t>–</w:t>
      </w:r>
      <w:r w:rsidRPr="00626248">
        <w:rPr>
          <w:lang w:eastAsia="en-GB"/>
        </w:rPr>
        <w:tab/>
        <w:t>les engins spatiaux pour l'exploration habitée et robotisée des corps extraterrestres;</w:t>
      </w:r>
    </w:p>
    <w:p w14:paraId="061BE798" w14:textId="77777777" w:rsidR="00D736B9" w:rsidRPr="00626248" w:rsidRDefault="00D736B9" w:rsidP="00204C61">
      <w:pPr>
        <w:pStyle w:val="enumlev1"/>
        <w:rPr>
          <w:lang w:eastAsia="en-GB"/>
        </w:rPr>
      </w:pPr>
      <w:r w:rsidRPr="00626248">
        <w:rPr>
          <w:lang w:eastAsia="en-GB"/>
        </w:rPr>
        <w:t>–</w:t>
      </w:r>
      <w:r w:rsidRPr="00626248">
        <w:rPr>
          <w:lang w:eastAsia="en-GB"/>
        </w:rPr>
        <w:tab/>
        <w:t>les systèmes de recherche lunaire, de Lagrange, de recherche dans l'espace lointain et l'interférométrie spatiale à très grande base, y compris leurs stations terriennes associées;</w:t>
      </w:r>
    </w:p>
    <w:p w14:paraId="779066D1" w14:textId="77777777" w:rsidR="00D736B9" w:rsidRPr="00626248" w:rsidRDefault="00D736B9" w:rsidP="00204C61">
      <w:pPr>
        <w:pStyle w:val="enumlev1"/>
        <w:rPr>
          <w:lang w:eastAsia="en-GB"/>
        </w:rPr>
      </w:pPr>
      <w:r w:rsidRPr="00626248">
        <w:rPr>
          <w:lang w:eastAsia="en-GB"/>
        </w:rPr>
        <w:t>–</w:t>
      </w:r>
      <w:r w:rsidRPr="00626248">
        <w:rPr>
          <w:lang w:eastAsia="en-GB"/>
        </w:rPr>
        <w:tab/>
        <w:t>la radioastronomie sur Terre et par satellite pour étudier l'univers et ses phénomènes.</w:t>
      </w:r>
    </w:p>
    <w:p w14:paraId="79C54D65" w14:textId="635201FF" w:rsidR="00D736B9" w:rsidRPr="00626248" w:rsidRDefault="00D736B9" w:rsidP="00D736B9">
      <w:pPr>
        <w:rPr>
          <w:lang w:eastAsia="en-GB"/>
        </w:rPr>
      </w:pPr>
      <w:r w:rsidRPr="00626248">
        <w:rPr>
          <w:lang w:eastAsia="en-GB"/>
        </w:rPr>
        <w:t>Le Groupe de travail 7A s'est réuni du 17 au 21 mars 2025. Les Groupes de travail 7B, 7C et 7D se sont réunis du 16 au 27 mars 2025 et du 15 au 25 septembre 2025. La Commission d'études 7 a tenu sa réunion le 27 mars 2025. Toutes les réunions ont eu lieu au siège de l'UIT, à Genève.</w:t>
      </w:r>
    </w:p>
    <w:p w14:paraId="21370412" w14:textId="5C237471" w:rsidR="00D736B9" w:rsidRPr="00626248" w:rsidRDefault="00D736B9" w:rsidP="00D736B9">
      <w:pPr>
        <w:rPr>
          <w:lang w:eastAsia="en-GB"/>
        </w:rPr>
      </w:pPr>
      <w:r w:rsidRPr="00626248">
        <w:rPr>
          <w:lang w:eastAsia="en-GB"/>
        </w:rPr>
        <w:t>Dans le cadre des activités de la CE 7, les manifestations suivantes ont également eu lieu:</w:t>
      </w:r>
    </w:p>
    <w:p w14:paraId="56A3DB10" w14:textId="25448959" w:rsidR="00D736B9" w:rsidRPr="00626248" w:rsidRDefault="00D736B9" w:rsidP="00204C61">
      <w:pPr>
        <w:pStyle w:val="enumlev1"/>
        <w:rPr>
          <w:lang w:eastAsia="en-GB"/>
        </w:rPr>
      </w:pPr>
      <w:r w:rsidRPr="00626248">
        <w:rPr>
          <w:lang w:eastAsia="en-GB"/>
        </w:rPr>
        <w:t>–</w:t>
      </w:r>
      <w:r w:rsidRPr="00626248">
        <w:rPr>
          <w:lang w:eastAsia="en-GB"/>
        </w:rPr>
        <w:tab/>
      </w:r>
      <w:hyperlink r:id="rId95" w:history="1">
        <w:r w:rsidRPr="00626248">
          <w:rPr>
            <w:rStyle w:val="Hyperlink"/>
            <w:lang w:eastAsia="en-GB"/>
          </w:rPr>
          <w:t xml:space="preserve">Séminaire MCMC/UIT intitulé </w:t>
        </w:r>
        <w:r w:rsidR="00204C61" w:rsidRPr="00626248">
          <w:rPr>
            <w:rStyle w:val="Hyperlink"/>
            <w:lang w:eastAsia="en-GB"/>
          </w:rPr>
          <w:t>«</w:t>
        </w:r>
        <w:r w:rsidRPr="00626248">
          <w:rPr>
            <w:rStyle w:val="Hyperlink"/>
            <w:lang w:eastAsia="en-GB"/>
          </w:rPr>
          <w:t>Les services scientifiques, le Règlement des radiocommunications et la CMR-27</w:t>
        </w:r>
        <w:r w:rsidR="00204C61" w:rsidRPr="00626248">
          <w:rPr>
            <w:rStyle w:val="Hyperlink"/>
            <w:lang w:eastAsia="en-GB"/>
          </w:rPr>
          <w:t>»</w:t>
        </w:r>
      </w:hyperlink>
      <w:r w:rsidRPr="00626248">
        <w:rPr>
          <w:lang w:eastAsia="en-GB"/>
        </w:rPr>
        <w:t>, Centre d'excellence MCMC, Cyberjaya, Selangor (Malaisie), 9 et 10 décembre 2025;</w:t>
      </w:r>
    </w:p>
    <w:p w14:paraId="6717DB50" w14:textId="015FEB85" w:rsidR="00D736B9" w:rsidRPr="00626248" w:rsidRDefault="00D736B9" w:rsidP="00204C61">
      <w:pPr>
        <w:pStyle w:val="enumlev1"/>
        <w:rPr>
          <w:lang w:eastAsia="en-GB"/>
        </w:rPr>
      </w:pPr>
      <w:r w:rsidRPr="00626248">
        <w:rPr>
          <w:lang w:eastAsia="en-GB"/>
        </w:rPr>
        <w:t>–</w:t>
      </w:r>
      <w:r w:rsidRPr="00626248">
        <w:rPr>
          <w:lang w:eastAsia="en-GB"/>
        </w:rPr>
        <w:tab/>
      </w:r>
      <w:hyperlink r:id="rId96" w:history="1">
        <w:r w:rsidRPr="00626248">
          <w:rPr>
            <w:rStyle w:val="Hyperlink"/>
            <w:lang w:eastAsia="en-GB"/>
          </w:rPr>
          <w:t xml:space="preserve">Séminaire OMM-UIT intitulé </w:t>
        </w:r>
        <w:r w:rsidR="00204C61" w:rsidRPr="00626248">
          <w:rPr>
            <w:rStyle w:val="Hyperlink"/>
            <w:lang w:eastAsia="en-GB"/>
          </w:rPr>
          <w:t>«</w:t>
        </w:r>
        <w:r w:rsidRPr="00626248">
          <w:rPr>
            <w:rStyle w:val="Hyperlink"/>
            <w:lang w:eastAsia="en-GB"/>
          </w:rPr>
          <w:t>Atelier de formation sur l'utilisation et la gestion du spectre radioélectrique pour la météorologie</w:t>
        </w:r>
        <w:r w:rsidR="00204C61" w:rsidRPr="00626248">
          <w:rPr>
            <w:rStyle w:val="Hyperlink"/>
            <w:lang w:eastAsia="en-GB"/>
          </w:rPr>
          <w:t>»</w:t>
        </w:r>
      </w:hyperlink>
      <w:r w:rsidRPr="00626248">
        <w:rPr>
          <w:lang w:eastAsia="en-GB"/>
        </w:rPr>
        <w:t>, Singapour (République de Singapour), 3</w:t>
      </w:r>
      <w:r w:rsidR="00204C61" w:rsidRPr="00626248">
        <w:rPr>
          <w:lang w:eastAsia="en-GB"/>
        </w:rPr>
        <w:t> </w:t>
      </w:r>
      <w:r w:rsidRPr="00626248">
        <w:rPr>
          <w:lang w:eastAsia="en-GB"/>
        </w:rPr>
        <w:t>et</w:t>
      </w:r>
      <w:r w:rsidR="00204C61" w:rsidRPr="00626248">
        <w:rPr>
          <w:lang w:eastAsia="en-GB"/>
        </w:rPr>
        <w:t> </w:t>
      </w:r>
      <w:r w:rsidRPr="00626248">
        <w:rPr>
          <w:lang w:eastAsia="en-GB"/>
        </w:rPr>
        <w:t>4</w:t>
      </w:r>
      <w:r w:rsidR="00204C61" w:rsidRPr="00626248">
        <w:rPr>
          <w:lang w:eastAsia="en-GB"/>
        </w:rPr>
        <w:t> </w:t>
      </w:r>
      <w:r w:rsidRPr="00626248">
        <w:rPr>
          <w:lang w:eastAsia="en-GB"/>
        </w:rPr>
        <w:t>mars</w:t>
      </w:r>
      <w:r w:rsidR="00204C61" w:rsidRPr="00626248">
        <w:rPr>
          <w:lang w:eastAsia="en-GB"/>
        </w:rPr>
        <w:t> </w:t>
      </w:r>
      <w:r w:rsidRPr="00626248">
        <w:rPr>
          <w:lang w:eastAsia="en-GB"/>
        </w:rPr>
        <w:t>2025.</w:t>
      </w:r>
    </w:p>
    <w:p w14:paraId="1945787D" w14:textId="77777777" w:rsidR="00D736B9" w:rsidRPr="00626248" w:rsidRDefault="00D736B9" w:rsidP="00D736B9">
      <w:pPr>
        <w:rPr>
          <w:lang w:eastAsia="en-GB"/>
        </w:rPr>
      </w:pPr>
      <w:r w:rsidRPr="00626248">
        <w:rPr>
          <w:lang w:eastAsia="en-GB"/>
        </w:rPr>
        <w:t>La prochaine réunion de la Commission d'études 7 est prévue le 13 mars 2026, tandis que les réunions des GT 7A, 7B, 7C et 7D sont prévues du 2 au 12 mars 2026.</w:t>
      </w:r>
    </w:p>
    <w:p w14:paraId="192C0085" w14:textId="77777777" w:rsidR="00D736B9" w:rsidRPr="00626248" w:rsidRDefault="00D736B9" w:rsidP="00204C61">
      <w:pPr>
        <w:pStyle w:val="Heading2"/>
        <w:rPr>
          <w:lang w:eastAsia="en-GB"/>
        </w:rPr>
      </w:pPr>
      <w:r w:rsidRPr="00626248">
        <w:rPr>
          <w:lang w:eastAsia="en-GB"/>
        </w:rPr>
        <w:t>4.8</w:t>
      </w:r>
      <w:r w:rsidRPr="00626248">
        <w:rPr>
          <w:lang w:eastAsia="en-GB"/>
        </w:rPr>
        <w:tab/>
        <w:t>Comité de coordination pour le vocabulaire</w:t>
      </w:r>
    </w:p>
    <w:p w14:paraId="481CAF21" w14:textId="77777777" w:rsidR="00D736B9" w:rsidRPr="00626248" w:rsidRDefault="00D736B9" w:rsidP="00D736B9">
      <w:pPr>
        <w:rPr>
          <w:lang w:eastAsia="en-GB"/>
        </w:rPr>
      </w:pPr>
      <w:r w:rsidRPr="00626248">
        <w:rPr>
          <w:lang w:eastAsia="en-GB"/>
        </w:rPr>
        <w:t>Le Comité de coordination de l'UIT pour la terminologie (CCT de l'UIT) est composé:</w:t>
      </w:r>
    </w:p>
    <w:p w14:paraId="0F776367" w14:textId="77777777" w:rsidR="00D736B9" w:rsidRPr="00626248" w:rsidRDefault="00D736B9" w:rsidP="00204C61">
      <w:pPr>
        <w:pStyle w:val="enumlev1"/>
        <w:rPr>
          <w:lang w:eastAsia="en-GB"/>
        </w:rPr>
      </w:pPr>
      <w:r w:rsidRPr="00626248">
        <w:rPr>
          <w:lang w:eastAsia="en-GB"/>
        </w:rPr>
        <w:t>−</w:t>
      </w:r>
      <w:r w:rsidRPr="00626248">
        <w:rPr>
          <w:lang w:eastAsia="en-GB"/>
        </w:rPr>
        <w:tab/>
        <w:t>du Comité de coordination pour le vocabulaire (CCV) de l'UIT-R, fonctionnant conformément à la Résolution UIT-R 36;</w:t>
      </w:r>
    </w:p>
    <w:p w14:paraId="722D14CC" w14:textId="77777777" w:rsidR="00D736B9" w:rsidRPr="00626248" w:rsidRDefault="00D736B9" w:rsidP="00204C61">
      <w:pPr>
        <w:pStyle w:val="enumlev1"/>
        <w:rPr>
          <w:lang w:eastAsia="en-GB"/>
        </w:rPr>
      </w:pPr>
      <w:r w:rsidRPr="00626248">
        <w:rPr>
          <w:lang w:eastAsia="en-GB"/>
        </w:rPr>
        <w:t>−</w:t>
      </w:r>
      <w:r w:rsidRPr="00626248">
        <w:rPr>
          <w:lang w:eastAsia="en-GB"/>
        </w:rPr>
        <w:tab/>
        <w:t>du Comité de normalisation pour le vocabulaire (SCV) de l'UIT-T, fonctionnant conformément à la Résolution 67 (Rév. New Delhi, 2024) de l'AMNT; et</w:t>
      </w:r>
    </w:p>
    <w:p w14:paraId="4683C0A8" w14:textId="77777777" w:rsidR="00D736B9" w:rsidRPr="00626248" w:rsidRDefault="00D736B9" w:rsidP="00204C61">
      <w:pPr>
        <w:pStyle w:val="enumlev1"/>
        <w:rPr>
          <w:lang w:eastAsia="en-GB"/>
        </w:rPr>
      </w:pPr>
      <w:r w:rsidRPr="00626248">
        <w:rPr>
          <w:lang w:eastAsia="en-GB"/>
        </w:rPr>
        <w:t>−</w:t>
      </w:r>
      <w:r w:rsidRPr="00626248">
        <w:rPr>
          <w:lang w:eastAsia="en-GB"/>
        </w:rPr>
        <w:tab/>
        <w:t>de représentants de l'UIT-D.</w:t>
      </w:r>
    </w:p>
    <w:p w14:paraId="4782D242" w14:textId="77777777" w:rsidR="00D736B9" w:rsidRPr="00626248" w:rsidRDefault="00D736B9" w:rsidP="00D736B9">
      <w:pPr>
        <w:rPr>
          <w:lang w:eastAsia="en-GB"/>
        </w:rPr>
      </w:pPr>
      <w:r w:rsidRPr="00626248">
        <w:rPr>
          <w:lang w:eastAsia="en-GB"/>
        </w:rPr>
        <w:t>Une version actualisée de la Résolution 1386 du Conseil de l'UIT, relative au Comité de coordination de l'UIT pour la terminologie, a été approuvée par le Conseil de l'UIT en juin 2025, afin de refléter les tâches confiées aux rapporteurs pour le vocabulaire.</w:t>
      </w:r>
    </w:p>
    <w:p w14:paraId="00C91708" w14:textId="5733648D" w:rsidR="00D736B9" w:rsidRPr="00626248" w:rsidRDefault="00D736B9" w:rsidP="00D736B9">
      <w:pPr>
        <w:rPr>
          <w:lang w:eastAsia="en-GB"/>
        </w:rPr>
      </w:pPr>
      <w:r w:rsidRPr="00626248">
        <w:rPr>
          <w:lang w:eastAsia="en-GB"/>
        </w:rPr>
        <w:t xml:space="preserve">Le CCT de l'UIT a poursuivi ses travaux d'harmonisation de la terminologie et des définitions au sein de l'UIT, compte tenu des propositions soumises en anglais par les commissions d'études de l'UIT, et en validant leur traduction dans les cinq autres langues officielles de l'Union. Les travaux du CCT ont été conduits par les présidents du CCV et du SCV, avec le soutien actif des </w:t>
      </w:r>
      <w:r w:rsidR="00204C61" w:rsidRPr="00626248">
        <w:rPr>
          <w:lang w:eastAsia="en-GB"/>
        </w:rPr>
        <w:t>vice</w:t>
      </w:r>
      <w:r w:rsidR="00204C61" w:rsidRPr="00626248">
        <w:rPr>
          <w:lang w:eastAsia="en-GB"/>
        </w:rPr>
        <w:noBreakHyphen/>
        <w:t>présidents</w:t>
      </w:r>
      <w:r w:rsidRPr="00626248">
        <w:rPr>
          <w:lang w:eastAsia="en-GB"/>
        </w:rPr>
        <w:t>, des Rapporteurs pour le vocabulaire et d'autres représentants des trois Secteurs de l'UIT.</w:t>
      </w:r>
    </w:p>
    <w:p w14:paraId="3D853458" w14:textId="156C81EB" w:rsidR="00D736B9" w:rsidRPr="00626248" w:rsidRDefault="00D736B9" w:rsidP="00D736B9">
      <w:pPr>
        <w:rPr>
          <w:lang w:eastAsia="en-GB"/>
        </w:rPr>
      </w:pPr>
      <w:r w:rsidRPr="00626248">
        <w:rPr>
          <w:lang w:eastAsia="en-GB"/>
        </w:rPr>
        <w:t xml:space="preserve">La </w:t>
      </w:r>
      <w:hyperlink r:id="rId97" w:anchor="/fr" w:history="1">
        <w:r w:rsidRPr="00626248">
          <w:rPr>
            <w:rStyle w:val="Hyperlink"/>
            <w:lang w:eastAsia="en-GB"/>
          </w:rPr>
          <w:t>page web du CCT de l'UIT</w:t>
        </w:r>
      </w:hyperlink>
      <w:r w:rsidRPr="00626248">
        <w:rPr>
          <w:lang w:eastAsia="en-GB"/>
        </w:rPr>
        <w:t xml:space="preserve"> a été mise à jour et harmonisée avec les sites web des CE/GT de l'UIT, y compris quant à la façon de télécharger les documents.</w:t>
      </w:r>
    </w:p>
    <w:p w14:paraId="3A35F4C7" w14:textId="77777777" w:rsidR="00D736B9" w:rsidRPr="00626248" w:rsidRDefault="00D736B9" w:rsidP="00D736B9">
      <w:pPr>
        <w:rPr>
          <w:lang w:eastAsia="en-GB"/>
        </w:rPr>
      </w:pPr>
      <w:r w:rsidRPr="00626248">
        <w:rPr>
          <w:lang w:eastAsia="en-GB"/>
        </w:rPr>
        <w:t>La prochaine réunion du CCT est prévue le 23 avril 2026.</w:t>
      </w:r>
    </w:p>
    <w:p w14:paraId="42FC4F4F" w14:textId="3B20BB7D" w:rsidR="00D736B9" w:rsidRPr="00626248" w:rsidRDefault="00D736B9" w:rsidP="00204C61">
      <w:pPr>
        <w:pStyle w:val="Heading3"/>
        <w:rPr>
          <w:lang w:eastAsia="en-GB"/>
        </w:rPr>
      </w:pPr>
      <w:r w:rsidRPr="00626248">
        <w:rPr>
          <w:lang w:eastAsia="en-GB"/>
        </w:rPr>
        <w:t>4.8.1</w:t>
      </w:r>
      <w:r w:rsidRPr="00626248">
        <w:rPr>
          <w:lang w:eastAsia="en-GB"/>
        </w:rPr>
        <w:tab/>
        <w:t xml:space="preserve">Rapport d'activité sur la mise en </w:t>
      </w:r>
      <w:r w:rsidR="00D54C78" w:rsidRPr="00626248">
        <w:rPr>
          <w:lang w:eastAsia="en-GB"/>
        </w:rPr>
        <w:t>œ</w:t>
      </w:r>
      <w:r w:rsidRPr="00626248">
        <w:rPr>
          <w:lang w:eastAsia="en-GB"/>
        </w:rPr>
        <w:t>uvre des Résolutions de l'UIT-R présentant un intérêt particulier pour le CCV</w:t>
      </w:r>
    </w:p>
    <w:p w14:paraId="647B5B72" w14:textId="11DD60E2" w:rsidR="00D736B9" w:rsidRPr="00626248" w:rsidRDefault="00D736B9" w:rsidP="00D736B9">
      <w:pPr>
        <w:rPr>
          <w:lang w:eastAsia="en-GB"/>
        </w:rPr>
      </w:pPr>
      <w:r w:rsidRPr="00626248">
        <w:rPr>
          <w:lang w:eastAsia="en-GB"/>
        </w:rPr>
        <w:t xml:space="preserve">Conformément à la Résolution 36-6 de l'UIT-R, le CCV est chargé de revoir et réviser si nécessaire les Recommandations existantes de la série V. </w:t>
      </w:r>
      <w:r w:rsidR="00204C61" w:rsidRPr="00626248">
        <w:rPr>
          <w:lang w:eastAsia="en-GB"/>
        </w:rPr>
        <w:t>À</w:t>
      </w:r>
      <w:r w:rsidRPr="00626248">
        <w:rPr>
          <w:lang w:eastAsia="en-GB"/>
        </w:rPr>
        <w:t xml:space="preserve"> cet égard, la Recommandation UIT-R V.431, intitulée </w:t>
      </w:r>
      <w:r w:rsidR="00204C61" w:rsidRPr="00626248">
        <w:rPr>
          <w:lang w:eastAsia="en-GB"/>
        </w:rPr>
        <w:t>«</w:t>
      </w:r>
      <w:r w:rsidRPr="00626248">
        <w:rPr>
          <w:lang w:eastAsia="en-GB"/>
        </w:rPr>
        <w:t>Nomenclature des bandes de fréquences et de longueurs d'onde employées en télécommunication</w:t>
      </w:r>
      <w:r w:rsidR="00204C61" w:rsidRPr="00626248">
        <w:rPr>
          <w:lang w:eastAsia="en-GB"/>
        </w:rPr>
        <w:t>»</w:t>
      </w:r>
      <w:r w:rsidRPr="00626248">
        <w:rPr>
          <w:lang w:eastAsia="en-GB"/>
        </w:rPr>
        <w:t xml:space="preserve"> a été révisée par le CCV/CCT et approuvée par la suite par les États Membres.</w:t>
      </w:r>
    </w:p>
    <w:p w14:paraId="6B7004C5" w14:textId="7A629570" w:rsidR="00D736B9" w:rsidRPr="00626248" w:rsidRDefault="00D736B9" w:rsidP="00D736B9">
      <w:pPr>
        <w:rPr>
          <w:lang w:eastAsia="en-GB"/>
        </w:rPr>
      </w:pPr>
      <w:r w:rsidRPr="00626248">
        <w:rPr>
          <w:lang w:eastAsia="en-GB"/>
        </w:rPr>
        <w:lastRenderedPageBreak/>
        <w:t xml:space="preserve">En 2025, le CCT a tenu sept visioconférences et examiné 337 termes et leur définitions, dont 260 ont été validés et soumis pour traduction dans les cinq autres langues officielles de l'Union avant d'être inclus dans la </w:t>
      </w:r>
      <w:hyperlink r:id="rId98" w:history="1">
        <w:r w:rsidRPr="00626248">
          <w:rPr>
            <w:rStyle w:val="Hyperlink"/>
            <w:lang w:eastAsia="en-GB"/>
          </w:rPr>
          <w:t>base de données des termes et définitions de l'UIT</w:t>
        </w:r>
      </w:hyperlink>
      <w:r w:rsidRPr="00626248">
        <w:rPr>
          <w:lang w:eastAsia="en-GB"/>
        </w:rPr>
        <w:t>.</w:t>
      </w:r>
    </w:p>
    <w:p w14:paraId="4373EA09" w14:textId="77777777" w:rsidR="00D736B9" w:rsidRPr="00626248" w:rsidRDefault="00D736B9" w:rsidP="00204C61">
      <w:pPr>
        <w:pStyle w:val="Heading2"/>
        <w:rPr>
          <w:lang w:eastAsia="en-GB"/>
        </w:rPr>
      </w:pPr>
      <w:r w:rsidRPr="00626248">
        <w:rPr>
          <w:lang w:eastAsia="en-GB"/>
        </w:rPr>
        <w:t>4.9</w:t>
      </w:r>
      <w:r w:rsidRPr="00626248">
        <w:rPr>
          <w:lang w:eastAsia="en-GB"/>
        </w:rPr>
        <w:tab/>
        <w:t>Participation des vice-présidents aux travaux de leurs commissions d'études respectives</w:t>
      </w:r>
    </w:p>
    <w:p w14:paraId="50E62779" w14:textId="4877F2CA" w:rsidR="00D736B9" w:rsidRPr="00626248" w:rsidRDefault="00D736B9" w:rsidP="00204C61">
      <w:pPr>
        <w:spacing w:after="120"/>
        <w:rPr>
          <w:lang w:eastAsia="en-GB"/>
        </w:rPr>
      </w:pPr>
      <w:r w:rsidRPr="00626248">
        <w:rPr>
          <w:lang w:eastAsia="en-GB"/>
        </w:rPr>
        <w:t xml:space="preserve">Conformément au § A1.4.5 de la Résolution 1-9, le GCR doit être informé de l'absence des </w:t>
      </w:r>
      <w:r w:rsidR="00204C61" w:rsidRPr="00626248">
        <w:rPr>
          <w:lang w:eastAsia="en-GB"/>
        </w:rPr>
        <w:t>vice</w:t>
      </w:r>
      <w:r w:rsidR="00204C61" w:rsidRPr="00626248">
        <w:rPr>
          <w:lang w:eastAsia="en-GB"/>
        </w:rPr>
        <w:noBreakHyphen/>
        <w:t>présidents</w:t>
      </w:r>
      <w:r w:rsidRPr="00626248">
        <w:rPr>
          <w:lang w:eastAsia="en-GB"/>
        </w:rPr>
        <w:t xml:space="preserve"> aux réunions des CE. Le tableau ci-dessous rend compte de la participation des </w:t>
      </w:r>
      <w:r w:rsidR="00204C61" w:rsidRPr="00626248">
        <w:rPr>
          <w:lang w:eastAsia="en-GB"/>
        </w:rPr>
        <w:t>vice-présidents</w:t>
      </w:r>
      <w:r w:rsidRPr="00626248">
        <w:rPr>
          <w:lang w:eastAsia="en-GB"/>
        </w:rPr>
        <w:t xml:space="preserve"> aux réunions les concernant pour l'année 2025.</w:t>
      </w:r>
    </w:p>
    <w:tbl>
      <w:tblPr>
        <w:tblStyle w:val="TableGrid"/>
        <w:tblW w:w="5000" w:type="pct"/>
        <w:tblLook w:val="04A0" w:firstRow="1" w:lastRow="0" w:firstColumn="1" w:lastColumn="0" w:noHBand="0" w:noVBand="1"/>
      </w:tblPr>
      <w:tblGrid>
        <w:gridCol w:w="1843"/>
        <w:gridCol w:w="1237"/>
        <w:gridCol w:w="1031"/>
        <w:gridCol w:w="1195"/>
        <w:gridCol w:w="1160"/>
        <w:gridCol w:w="1189"/>
        <w:gridCol w:w="954"/>
        <w:gridCol w:w="1025"/>
      </w:tblGrid>
      <w:tr w:rsidR="00204C61" w:rsidRPr="00626248" w14:paraId="7619B7B2" w14:textId="77777777" w:rsidTr="00204C61">
        <w:tc>
          <w:tcPr>
            <w:tcW w:w="957" w:type="pct"/>
            <w:tcBorders>
              <w:top w:val="nil"/>
              <w:left w:val="nil"/>
            </w:tcBorders>
          </w:tcPr>
          <w:p w14:paraId="2D419BF8" w14:textId="77777777" w:rsidR="00204C61" w:rsidRPr="00626248" w:rsidRDefault="00204C61" w:rsidP="00FC75D6">
            <w:pPr>
              <w:keepNext/>
              <w:keepLines/>
              <w:rPr>
                <w:sz w:val="20"/>
                <w:szCs w:val="18"/>
              </w:rPr>
            </w:pPr>
          </w:p>
        </w:tc>
        <w:tc>
          <w:tcPr>
            <w:tcW w:w="642" w:type="pct"/>
            <w:shd w:val="clear" w:color="auto" w:fill="DBE5F1" w:themeFill="accent1" w:themeFillTint="33"/>
          </w:tcPr>
          <w:p w14:paraId="4909449F" w14:textId="77777777" w:rsidR="00204C61" w:rsidRPr="00626248" w:rsidRDefault="00204C61" w:rsidP="00FC75D6">
            <w:pPr>
              <w:pStyle w:val="Tablehead"/>
              <w:keepLines/>
              <w:rPr>
                <w:b w:val="0"/>
                <w:sz w:val="20"/>
                <w:szCs w:val="18"/>
              </w:rPr>
            </w:pPr>
            <w:r w:rsidRPr="00626248">
              <w:rPr>
                <w:sz w:val="20"/>
                <w:szCs w:val="18"/>
              </w:rPr>
              <w:t>CE 1</w:t>
            </w:r>
          </w:p>
        </w:tc>
        <w:tc>
          <w:tcPr>
            <w:tcW w:w="535" w:type="pct"/>
            <w:shd w:val="clear" w:color="auto" w:fill="DBE5F1" w:themeFill="accent1" w:themeFillTint="33"/>
          </w:tcPr>
          <w:p w14:paraId="039A6534" w14:textId="77777777" w:rsidR="00204C61" w:rsidRPr="00626248" w:rsidRDefault="00204C61" w:rsidP="00FC75D6">
            <w:pPr>
              <w:pStyle w:val="Tablehead"/>
              <w:keepLines/>
              <w:rPr>
                <w:b w:val="0"/>
                <w:sz w:val="20"/>
                <w:szCs w:val="18"/>
              </w:rPr>
            </w:pPr>
            <w:r w:rsidRPr="00626248">
              <w:rPr>
                <w:sz w:val="20"/>
                <w:szCs w:val="18"/>
              </w:rPr>
              <w:t>CE 3</w:t>
            </w:r>
          </w:p>
        </w:tc>
        <w:tc>
          <w:tcPr>
            <w:tcW w:w="620" w:type="pct"/>
            <w:shd w:val="clear" w:color="auto" w:fill="DBE5F1" w:themeFill="accent1" w:themeFillTint="33"/>
          </w:tcPr>
          <w:p w14:paraId="55291C69" w14:textId="77777777" w:rsidR="00204C61" w:rsidRPr="00626248" w:rsidRDefault="00204C61" w:rsidP="00FC75D6">
            <w:pPr>
              <w:pStyle w:val="Tablehead"/>
              <w:keepLines/>
              <w:rPr>
                <w:b w:val="0"/>
                <w:sz w:val="20"/>
                <w:szCs w:val="18"/>
              </w:rPr>
            </w:pPr>
            <w:r w:rsidRPr="00626248">
              <w:rPr>
                <w:sz w:val="20"/>
                <w:szCs w:val="18"/>
              </w:rPr>
              <w:t>CE 4</w:t>
            </w:r>
          </w:p>
        </w:tc>
        <w:tc>
          <w:tcPr>
            <w:tcW w:w="602" w:type="pct"/>
            <w:shd w:val="clear" w:color="auto" w:fill="DBE5F1" w:themeFill="accent1" w:themeFillTint="33"/>
          </w:tcPr>
          <w:p w14:paraId="2533BB8B" w14:textId="77777777" w:rsidR="00204C61" w:rsidRPr="00626248" w:rsidRDefault="00204C61" w:rsidP="00FC75D6">
            <w:pPr>
              <w:pStyle w:val="Tablehead"/>
              <w:keepLines/>
              <w:rPr>
                <w:b w:val="0"/>
                <w:sz w:val="20"/>
                <w:szCs w:val="18"/>
              </w:rPr>
            </w:pPr>
            <w:r w:rsidRPr="00626248">
              <w:rPr>
                <w:sz w:val="20"/>
                <w:szCs w:val="18"/>
              </w:rPr>
              <w:t>CE 5</w:t>
            </w:r>
          </w:p>
        </w:tc>
        <w:tc>
          <w:tcPr>
            <w:tcW w:w="617" w:type="pct"/>
            <w:shd w:val="clear" w:color="auto" w:fill="DBE5F1" w:themeFill="accent1" w:themeFillTint="33"/>
          </w:tcPr>
          <w:p w14:paraId="4CAE7D57" w14:textId="77777777" w:rsidR="00204C61" w:rsidRPr="00626248" w:rsidRDefault="00204C61" w:rsidP="00FC75D6">
            <w:pPr>
              <w:pStyle w:val="Tablehead"/>
              <w:keepLines/>
              <w:rPr>
                <w:b w:val="0"/>
                <w:sz w:val="20"/>
                <w:szCs w:val="18"/>
              </w:rPr>
            </w:pPr>
            <w:r w:rsidRPr="00626248">
              <w:rPr>
                <w:sz w:val="20"/>
                <w:szCs w:val="18"/>
              </w:rPr>
              <w:t>CE 6</w:t>
            </w:r>
          </w:p>
        </w:tc>
        <w:tc>
          <w:tcPr>
            <w:tcW w:w="495" w:type="pct"/>
            <w:shd w:val="clear" w:color="auto" w:fill="DBE5F1" w:themeFill="accent1" w:themeFillTint="33"/>
          </w:tcPr>
          <w:p w14:paraId="5D0B5522" w14:textId="77777777" w:rsidR="00204C61" w:rsidRPr="00626248" w:rsidRDefault="00204C61" w:rsidP="00FC75D6">
            <w:pPr>
              <w:pStyle w:val="Tablehead"/>
              <w:keepLines/>
              <w:rPr>
                <w:b w:val="0"/>
                <w:sz w:val="20"/>
                <w:szCs w:val="18"/>
              </w:rPr>
            </w:pPr>
            <w:r w:rsidRPr="00626248">
              <w:rPr>
                <w:sz w:val="20"/>
                <w:szCs w:val="18"/>
              </w:rPr>
              <w:t>CE 7</w:t>
            </w:r>
          </w:p>
        </w:tc>
        <w:tc>
          <w:tcPr>
            <w:tcW w:w="532" w:type="pct"/>
            <w:shd w:val="clear" w:color="auto" w:fill="DBE5F1" w:themeFill="accent1" w:themeFillTint="33"/>
          </w:tcPr>
          <w:p w14:paraId="16CDF416" w14:textId="77777777" w:rsidR="00204C61" w:rsidRPr="00626248" w:rsidRDefault="00204C61" w:rsidP="00FC75D6">
            <w:pPr>
              <w:pStyle w:val="Tablehead"/>
              <w:keepLines/>
              <w:rPr>
                <w:b w:val="0"/>
                <w:sz w:val="20"/>
                <w:szCs w:val="18"/>
              </w:rPr>
            </w:pPr>
            <w:r w:rsidRPr="00626248">
              <w:rPr>
                <w:sz w:val="20"/>
                <w:szCs w:val="18"/>
              </w:rPr>
              <w:t>CCV</w:t>
            </w:r>
          </w:p>
        </w:tc>
      </w:tr>
      <w:tr w:rsidR="00204C61" w:rsidRPr="00626248" w14:paraId="0CBD10AA" w14:textId="77777777" w:rsidTr="00204C61">
        <w:tc>
          <w:tcPr>
            <w:tcW w:w="957" w:type="pct"/>
            <w:shd w:val="clear" w:color="auto" w:fill="DBE5F1" w:themeFill="accent1" w:themeFillTint="33"/>
          </w:tcPr>
          <w:p w14:paraId="53A92159" w14:textId="77777777" w:rsidR="00204C61" w:rsidRPr="00626248" w:rsidRDefault="00204C61" w:rsidP="00FC75D6">
            <w:pPr>
              <w:pStyle w:val="Tabletext"/>
              <w:keepNext/>
              <w:keepLines/>
              <w:rPr>
                <w:b/>
                <w:bCs/>
                <w:sz w:val="20"/>
                <w:szCs w:val="18"/>
              </w:rPr>
            </w:pPr>
            <w:r w:rsidRPr="00626248">
              <w:rPr>
                <w:b/>
                <w:bCs/>
                <w:sz w:val="20"/>
                <w:szCs w:val="18"/>
              </w:rPr>
              <w:t>Nombre total de vice-présidents</w:t>
            </w:r>
          </w:p>
        </w:tc>
        <w:tc>
          <w:tcPr>
            <w:tcW w:w="642" w:type="pct"/>
            <w:shd w:val="clear" w:color="auto" w:fill="DBE5F1" w:themeFill="accent1" w:themeFillTint="33"/>
          </w:tcPr>
          <w:p w14:paraId="1A712C93" w14:textId="77777777" w:rsidR="00204C61" w:rsidRPr="00626248" w:rsidRDefault="00204C61" w:rsidP="00FC75D6">
            <w:pPr>
              <w:pStyle w:val="Tabletext"/>
              <w:keepNext/>
              <w:keepLines/>
              <w:jc w:val="center"/>
              <w:rPr>
                <w:b/>
                <w:bCs/>
                <w:sz w:val="20"/>
                <w:szCs w:val="18"/>
              </w:rPr>
            </w:pPr>
            <w:r w:rsidRPr="00626248">
              <w:rPr>
                <w:b/>
                <w:bCs/>
                <w:sz w:val="20"/>
                <w:szCs w:val="18"/>
              </w:rPr>
              <w:t>15</w:t>
            </w:r>
          </w:p>
        </w:tc>
        <w:tc>
          <w:tcPr>
            <w:tcW w:w="535" w:type="pct"/>
            <w:shd w:val="clear" w:color="auto" w:fill="DBE5F1" w:themeFill="accent1" w:themeFillTint="33"/>
          </w:tcPr>
          <w:p w14:paraId="02C7C3B2" w14:textId="77777777" w:rsidR="00204C61" w:rsidRPr="00626248" w:rsidRDefault="00204C61" w:rsidP="00FC75D6">
            <w:pPr>
              <w:pStyle w:val="Tabletext"/>
              <w:keepNext/>
              <w:keepLines/>
              <w:jc w:val="center"/>
              <w:rPr>
                <w:b/>
                <w:bCs/>
                <w:sz w:val="20"/>
                <w:szCs w:val="18"/>
              </w:rPr>
            </w:pPr>
            <w:r w:rsidRPr="00626248">
              <w:rPr>
                <w:b/>
                <w:bCs/>
                <w:sz w:val="20"/>
                <w:szCs w:val="18"/>
              </w:rPr>
              <w:t>11</w:t>
            </w:r>
          </w:p>
        </w:tc>
        <w:tc>
          <w:tcPr>
            <w:tcW w:w="620" w:type="pct"/>
            <w:shd w:val="clear" w:color="auto" w:fill="DBE5F1" w:themeFill="accent1" w:themeFillTint="33"/>
          </w:tcPr>
          <w:p w14:paraId="44AB314C" w14:textId="77777777" w:rsidR="00204C61" w:rsidRPr="00626248" w:rsidRDefault="00204C61" w:rsidP="00FC75D6">
            <w:pPr>
              <w:pStyle w:val="Tabletext"/>
              <w:keepNext/>
              <w:keepLines/>
              <w:jc w:val="center"/>
              <w:rPr>
                <w:b/>
                <w:bCs/>
                <w:sz w:val="20"/>
                <w:szCs w:val="18"/>
              </w:rPr>
            </w:pPr>
            <w:r w:rsidRPr="00626248">
              <w:rPr>
                <w:b/>
                <w:bCs/>
                <w:sz w:val="20"/>
                <w:szCs w:val="18"/>
              </w:rPr>
              <w:t>19</w:t>
            </w:r>
          </w:p>
        </w:tc>
        <w:tc>
          <w:tcPr>
            <w:tcW w:w="602" w:type="pct"/>
            <w:shd w:val="clear" w:color="auto" w:fill="DBE5F1" w:themeFill="accent1" w:themeFillTint="33"/>
          </w:tcPr>
          <w:p w14:paraId="768EFBD6" w14:textId="77777777" w:rsidR="00204C61" w:rsidRPr="00626248" w:rsidRDefault="00204C61" w:rsidP="00FC75D6">
            <w:pPr>
              <w:pStyle w:val="Tabletext"/>
              <w:keepNext/>
              <w:keepLines/>
              <w:jc w:val="center"/>
              <w:rPr>
                <w:b/>
                <w:bCs/>
                <w:sz w:val="20"/>
                <w:szCs w:val="18"/>
              </w:rPr>
            </w:pPr>
            <w:r w:rsidRPr="00626248">
              <w:rPr>
                <w:b/>
                <w:bCs/>
                <w:sz w:val="20"/>
                <w:szCs w:val="18"/>
              </w:rPr>
              <w:t>19</w:t>
            </w:r>
          </w:p>
        </w:tc>
        <w:tc>
          <w:tcPr>
            <w:tcW w:w="617" w:type="pct"/>
            <w:shd w:val="clear" w:color="auto" w:fill="DBE5F1" w:themeFill="accent1" w:themeFillTint="33"/>
          </w:tcPr>
          <w:p w14:paraId="66603FAB" w14:textId="77777777" w:rsidR="00204C61" w:rsidRPr="00626248" w:rsidRDefault="00204C61" w:rsidP="00FC75D6">
            <w:pPr>
              <w:pStyle w:val="Tabletext"/>
              <w:keepNext/>
              <w:keepLines/>
              <w:jc w:val="center"/>
              <w:rPr>
                <w:b/>
                <w:bCs/>
                <w:sz w:val="20"/>
                <w:szCs w:val="18"/>
              </w:rPr>
            </w:pPr>
            <w:r w:rsidRPr="00626248">
              <w:rPr>
                <w:b/>
                <w:bCs/>
                <w:sz w:val="20"/>
                <w:szCs w:val="18"/>
              </w:rPr>
              <w:t>14</w:t>
            </w:r>
          </w:p>
        </w:tc>
        <w:tc>
          <w:tcPr>
            <w:tcW w:w="495" w:type="pct"/>
            <w:shd w:val="clear" w:color="auto" w:fill="DBE5F1" w:themeFill="accent1" w:themeFillTint="33"/>
          </w:tcPr>
          <w:p w14:paraId="157777F0" w14:textId="77777777" w:rsidR="00204C61" w:rsidRPr="00626248" w:rsidRDefault="00204C61" w:rsidP="00FC75D6">
            <w:pPr>
              <w:pStyle w:val="Tabletext"/>
              <w:keepNext/>
              <w:keepLines/>
              <w:jc w:val="center"/>
              <w:rPr>
                <w:b/>
                <w:bCs/>
                <w:sz w:val="20"/>
                <w:szCs w:val="18"/>
              </w:rPr>
            </w:pPr>
            <w:r w:rsidRPr="00626248">
              <w:rPr>
                <w:b/>
                <w:bCs/>
                <w:sz w:val="20"/>
                <w:szCs w:val="18"/>
              </w:rPr>
              <w:t>10</w:t>
            </w:r>
          </w:p>
        </w:tc>
        <w:tc>
          <w:tcPr>
            <w:tcW w:w="532" w:type="pct"/>
            <w:shd w:val="clear" w:color="auto" w:fill="DBE5F1" w:themeFill="accent1" w:themeFillTint="33"/>
          </w:tcPr>
          <w:p w14:paraId="2340EC7C" w14:textId="77777777" w:rsidR="00204C61" w:rsidRPr="00626248" w:rsidRDefault="00204C61" w:rsidP="00FC75D6">
            <w:pPr>
              <w:pStyle w:val="Tabletext"/>
              <w:keepNext/>
              <w:keepLines/>
              <w:jc w:val="center"/>
              <w:rPr>
                <w:b/>
                <w:bCs/>
                <w:sz w:val="20"/>
                <w:szCs w:val="18"/>
              </w:rPr>
            </w:pPr>
            <w:r w:rsidRPr="00626248">
              <w:rPr>
                <w:b/>
                <w:bCs/>
                <w:sz w:val="20"/>
                <w:szCs w:val="18"/>
              </w:rPr>
              <w:t>7</w:t>
            </w:r>
          </w:p>
        </w:tc>
      </w:tr>
      <w:tr w:rsidR="00204C61" w:rsidRPr="00626248" w14:paraId="06186E19" w14:textId="77777777" w:rsidTr="00204C61">
        <w:tc>
          <w:tcPr>
            <w:tcW w:w="957" w:type="pct"/>
            <w:shd w:val="clear" w:color="auto" w:fill="DBE5F1" w:themeFill="accent1" w:themeFillTint="33"/>
          </w:tcPr>
          <w:p w14:paraId="4C350566" w14:textId="1A998200" w:rsidR="00204C61" w:rsidRPr="00626248" w:rsidRDefault="00204C61" w:rsidP="00FC75D6">
            <w:pPr>
              <w:pStyle w:val="Tabletext"/>
              <w:keepNext/>
              <w:keepLines/>
              <w:rPr>
                <w:b/>
                <w:bCs/>
                <w:sz w:val="20"/>
                <w:szCs w:val="18"/>
              </w:rPr>
            </w:pPr>
            <w:r w:rsidRPr="00626248">
              <w:rPr>
                <w:b/>
                <w:bCs/>
                <w:sz w:val="20"/>
                <w:szCs w:val="18"/>
              </w:rPr>
              <w:t>Participation des vice-présidents par réunion en</w:t>
            </w:r>
            <w:r w:rsidRPr="00626248">
              <w:rPr>
                <w:b/>
                <w:bCs/>
                <w:sz w:val="20"/>
                <w:szCs w:val="18"/>
              </w:rPr>
              <w:t> </w:t>
            </w:r>
            <w:r w:rsidRPr="00626248">
              <w:rPr>
                <w:b/>
                <w:bCs/>
                <w:sz w:val="20"/>
                <w:szCs w:val="18"/>
              </w:rPr>
              <w:t>2025</w:t>
            </w:r>
          </w:p>
        </w:tc>
        <w:tc>
          <w:tcPr>
            <w:tcW w:w="642" w:type="pct"/>
          </w:tcPr>
          <w:p w14:paraId="291D0A60" w14:textId="77777777" w:rsidR="00204C61" w:rsidRPr="00626248" w:rsidRDefault="00204C61" w:rsidP="00FC75D6">
            <w:pPr>
              <w:pStyle w:val="Tabletext"/>
              <w:keepNext/>
              <w:keepLines/>
              <w:rPr>
                <w:sz w:val="20"/>
                <w:szCs w:val="18"/>
              </w:rPr>
            </w:pPr>
            <w:r w:rsidRPr="00626248">
              <w:rPr>
                <w:sz w:val="20"/>
                <w:szCs w:val="18"/>
              </w:rPr>
              <w:t xml:space="preserve">Juin: </w:t>
            </w:r>
            <w:r w:rsidRPr="00626248">
              <w:rPr>
                <w:b/>
                <w:bCs/>
                <w:sz w:val="20"/>
                <w:szCs w:val="18"/>
              </w:rPr>
              <w:t>10/15</w:t>
            </w:r>
          </w:p>
        </w:tc>
        <w:tc>
          <w:tcPr>
            <w:tcW w:w="535" w:type="pct"/>
          </w:tcPr>
          <w:p w14:paraId="5A23C310" w14:textId="77777777" w:rsidR="00204C61" w:rsidRPr="00626248" w:rsidRDefault="00204C61" w:rsidP="00FC75D6">
            <w:pPr>
              <w:pStyle w:val="Tabletext"/>
              <w:keepNext/>
              <w:keepLines/>
              <w:rPr>
                <w:sz w:val="20"/>
                <w:szCs w:val="18"/>
              </w:rPr>
            </w:pPr>
            <w:r w:rsidRPr="00626248">
              <w:rPr>
                <w:sz w:val="20"/>
                <w:szCs w:val="18"/>
              </w:rPr>
              <w:t xml:space="preserve">Juin: </w:t>
            </w:r>
            <w:r w:rsidRPr="00626248">
              <w:rPr>
                <w:b/>
                <w:bCs/>
                <w:sz w:val="20"/>
                <w:szCs w:val="18"/>
              </w:rPr>
              <w:t>8/11</w:t>
            </w:r>
          </w:p>
        </w:tc>
        <w:tc>
          <w:tcPr>
            <w:tcW w:w="620" w:type="pct"/>
          </w:tcPr>
          <w:p w14:paraId="28FF33E0" w14:textId="77777777" w:rsidR="00204C61" w:rsidRPr="00626248" w:rsidRDefault="00204C61" w:rsidP="00FC75D6">
            <w:pPr>
              <w:pStyle w:val="Tabletext"/>
              <w:keepNext/>
              <w:keepLines/>
              <w:rPr>
                <w:sz w:val="20"/>
                <w:szCs w:val="18"/>
              </w:rPr>
            </w:pPr>
            <w:r w:rsidRPr="00626248">
              <w:rPr>
                <w:sz w:val="20"/>
                <w:szCs w:val="18"/>
              </w:rPr>
              <w:t xml:space="preserve">Nov.: </w:t>
            </w:r>
            <w:r w:rsidRPr="00626248">
              <w:rPr>
                <w:b/>
                <w:bCs/>
                <w:sz w:val="20"/>
                <w:szCs w:val="18"/>
              </w:rPr>
              <w:t>17/19</w:t>
            </w:r>
          </w:p>
        </w:tc>
        <w:tc>
          <w:tcPr>
            <w:tcW w:w="602" w:type="pct"/>
          </w:tcPr>
          <w:p w14:paraId="6175E3E7" w14:textId="77777777" w:rsidR="00204C61" w:rsidRPr="00626248" w:rsidRDefault="00204C61" w:rsidP="00FC75D6">
            <w:pPr>
              <w:pStyle w:val="Tabletext"/>
              <w:keepNext/>
              <w:keepLines/>
              <w:rPr>
                <w:sz w:val="20"/>
                <w:szCs w:val="18"/>
              </w:rPr>
            </w:pPr>
            <w:r w:rsidRPr="00626248">
              <w:rPr>
                <w:sz w:val="20"/>
                <w:szCs w:val="18"/>
              </w:rPr>
              <w:t xml:space="preserve">Déc.: </w:t>
            </w:r>
            <w:r w:rsidRPr="00626248">
              <w:rPr>
                <w:b/>
                <w:bCs/>
                <w:sz w:val="20"/>
                <w:szCs w:val="18"/>
              </w:rPr>
              <w:t>13/19</w:t>
            </w:r>
          </w:p>
        </w:tc>
        <w:tc>
          <w:tcPr>
            <w:tcW w:w="617" w:type="pct"/>
          </w:tcPr>
          <w:p w14:paraId="02B4F25C" w14:textId="77777777" w:rsidR="00204C61" w:rsidRPr="00626248" w:rsidRDefault="00204C61" w:rsidP="00FC75D6">
            <w:pPr>
              <w:pStyle w:val="Tabletext"/>
              <w:keepNext/>
              <w:keepLines/>
              <w:rPr>
                <w:sz w:val="20"/>
                <w:szCs w:val="18"/>
              </w:rPr>
            </w:pPr>
            <w:r w:rsidRPr="00626248">
              <w:rPr>
                <w:sz w:val="20"/>
                <w:szCs w:val="18"/>
              </w:rPr>
              <w:t xml:space="preserve">Mars: </w:t>
            </w:r>
            <w:r w:rsidRPr="00626248">
              <w:rPr>
                <w:b/>
                <w:bCs/>
                <w:sz w:val="20"/>
                <w:szCs w:val="18"/>
              </w:rPr>
              <w:t>7/14</w:t>
            </w:r>
          </w:p>
          <w:p w14:paraId="72C253F0" w14:textId="77777777" w:rsidR="00204C61" w:rsidRPr="00626248" w:rsidRDefault="00204C61" w:rsidP="00FC75D6">
            <w:pPr>
              <w:pStyle w:val="Tabletext"/>
              <w:keepNext/>
              <w:keepLines/>
              <w:rPr>
                <w:sz w:val="20"/>
                <w:szCs w:val="18"/>
              </w:rPr>
            </w:pPr>
            <w:r w:rsidRPr="00626248">
              <w:rPr>
                <w:sz w:val="20"/>
                <w:szCs w:val="18"/>
              </w:rPr>
              <w:t xml:space="preserve">Sept.: </w:t>
            </w:r>
            <w:r w:rsidRPr="00626248">
              <w:rPr>
                <w:b/>
                <w:bCs/>
                <w:sz w:val="20"/>
                <w:szCs w:val="18"/>
              </w:rPr>
              <w:t>12/14</w:t>
            </w:r>
          </w:p>
        </w:tc>
        <w:tc>
          <w:tcPr>
            <w:tcW w:w="495" w:type="pct"/>
          </w:tcPr>
          <w:p w14:paraId="241B17F3" w14:textId="77777777" w:rsidR="00204C61" w:rsidRPr="00626248" w:rsidRDefault="00204C61" w:rsidP="00FC75D6">
            <w:pPr>
              <w:pStyle w:val="Tabletext"/>
              <w:keepNext/>
              <w:keepLines/>
              <w:rPr>
                <w:sz w:val="20"/>
                <w:szCs w:val="18"/>
              </w:rPr>
            </w:pPr>
            <w:r w:rsidRPr="00626248">
              <w:rPr>
                <w:sz w:val="20"/>
                <w:szCs w:val="18"/>
              </w:rPr>
              <w:t xml:space="preserve">Mars: </w:t>
            </w:r>
            <w:r w:rsidRPr="00626248">
              <w:rPr>
                <w:b/>
                <w:bCs/>
                <w:sz w:val="20"/>
                <w:szCs w:val="18"/>
              </w:rPr>
              <w:t>8/10</w:t>
            </w:r>
          </w:p>
        </w:tc>
        <w:tc>
          <w:tcPr>
            <w:tcW w:w="532" w:type="pct"/>
          </w:tcPr>
          <w:p w14:paraId="3E729620" w14:textId="77777777" w:rsidR="00204C61" w:rsidRPr="00626248" w:rsidRDefault="00204C61" w:rsidP="00FC75D6">
            <w:pPr>
              <w:pStyle w:val="Tabletext"/>
              <w:keepNext/>
              <w:keepLines/>
              <w:rPr>
                <w:sz w:val="20"/>
                <w:szCs w:val="18"/>
              </w:rPr>
            </w:pPr>
            <w:r w:rsidRPr="00626248">
              <w:rPr>
                <w:sz w:val="20"/>
                <w:szCs w:val="18"/>
              </w:rPr>
              <w:t xml:space="preserve">Janv.: </w:t>
            </w:r>
            <w:r w:rsidRPr="00626248">
              <w:rPr>
                <w:b/>
                <w:bCs/>
                <w:sz w:val="20"/>
                <w:szCs w:val="18"/>
              </w:rPr>
              <w:t>3/7</w:t>
            </w:r>
          </w:p>
          <w:p w14:paraId="4CF62317" w14:textId="77777777" w:rsidR="00204C61" w:rsidRPr="00626248" w:rsidRDefault="00204C61" w:rsidP="00FC75D6">
            <w:pPr>
              <w:pStyle w:val="Tabletext"/>
              <w:keepNext/>
              <w:keepLines/>
              <w:rPr>
                <w:sz w:val="20"/>
                <w:szCs w:val="18"/>
              </w:rPr>
            </w:pPr>
            <w:r w:rsidRPr="00626248">
              <w:rPr>
                <w:sz w:val="20"/>
                <w:szCs w:val="18"/>
              </w:rPr>
              <w:t xml:space="preserve">Mars: </w:t>
            </w:r>
            <w:r w:rsidRPr="00626248">
              <w:rPr>
                <w:b/>
                <w:bCs/>
                <w:sz w:val="20"/>
                <w:szCs w:val="18"/>
              </w:rPr>
              <w:t>3/7</w:t>
            </w:r>
          </w:p>
          <w:p w14:paraId="19ACFE8D" w14:textId="77777777" w:rsidR="00204C61" w:rsidRPr="00626248" w:rsidRDefault="00204C61" w:rsidP="00FC75D6">
            <w:pPr>
              <w:pStyle w:val="Tabletext"/>
              <w:keepNext/>
              <w:keepLines/>
              <w:rPr>
                <w:sz w:val="20"/>
                <w:szCs w:val="18"/>
              </w:rPr>
            </w:pPr>
            <w:r w:rsidRPr="00626248">
              <w:rPr>
                <w:sz w:val="20"/>
                <w:szCs w:val="18"/>
              </w:rPr>
              <w:t xml:space="preserve">Mai: </w:t>
            </w:r>
            <w:r w:rsidRPr="00626248">
              <w:rPr>
                <w:b/>
                <w:bCs/>
                <w:sz w:val="20"/>
                <w:szCs w:val="18"/>
              </w:rPr>
              <w:t>2/7</w:t>
            </w:r>
          </w:p>
          <w:p w14:paraId="1CAE2EDB" w14:textId="28556A88" w:rsidR="00204C61" w:rsidRPr="00626248" w:rsidRDefault="00204C61" w:rsidP="00FC75D6">
            <w:pPr>
              <w:pStyle w:val="Tabletext"/>
              <w:keepNext/>
              <w:keepLines/>
              <w:rPr>
                <w:sz w:val="20"/>
                <w:szCs w:val="18"/>
              </w:rPr>
            </w:pPr>
            <w:r w:rsidRPr="00626248">
              <w:rPr>
                <w:sz w:val="20"/>
                <w:szCs w:val="18"/>
              </w:rPr>
              <w:t>Juil</w:t>
            </w:r>
            <w:r w:rsidRPr="00626248">
              <w:rPr>
                <w:sz w:val="20"/>
                <w:szCs w:val="18"/>
              </w:rPr>
              <w:t>.</w:t>
            </w:r>
            <w:r w:rsidRPr="00626248">
              <w:rPr>
                <w:sz w:val="20"/>
                <w:szCs w:val="18"/>
              </w:rPr>
              <w:t xml:space="preserve">: </w:t>
            </w:r>
            <w:r w:rsidRPr="00626248">
              <w:rPr>
                <w:b/>
                <w:bCs/>
                <w:sz w:val="20"/>
                <w:szCs w:val="18"/>
              </w:rPr>
              <w:t>4/7</w:t>
            </w:r>
          </w:p>
          <w:p w14:paraId="614853E9" w14:textId="6FE4A6C4" w:rsidR="00204C61" w:rsidRPr="00626248" w:rsidRDefault="00204C61" w:rsidP="00FC75D6">
            <w:pPr>
              <w:pStyle w:val="Tabletext"/>
              <w:keepNext/>
              <w:keepLines/>
              <w:rPr>
                <w:sz w:val="20"/>
                <w:szCs w:val="18"/>
              </w:rPr>
            </w:pPr>
            <w:r w:rsidRPr="00626248">
              <w:rPr>
                <w:sz w:val="20"/>
                <w:szCs w:val="18"/>
              </w:rPr>
              <w:t xml:space="preserve">Août: </w:t>
            </w:r>
            <w:r w:rsidRPr="00626248">
              <w:rPr>
                <w:b/>
                <w:bCs/>
                <w:sz w:val="20"/>
                <w:szCs w:val="18"/>
              </w:rPr>
              <w:t>3/7</w:t>
            </w:r>
          </w:p>
          <w:p w14:paraId="2EC7EF02" w14:textId="77777777" w:rsidR="00204C61" w:rsidRPr="00626248" w:rsidRDefault="00204C61" w:rsidP="00FC75D6">
            <w:pPr>
              <w:pStyle w:val="Tabletext"/>
              <w:keepNext/>
              <w:keepLines/>
              <w:rPr>
                <w:sz w:val="20"/>
                <w:szCs w:val="18"/>
              </w:rPr>
            </w:pPr>
            <w:r w:rsidRPr="00626248">
              <w:rPr>
                <w:sz w:val="20"/>
                <w:szCs w:val="18"/>
              </w:rPr>
              <w:t xml:space="preserve">Sept.: </w:t>
            </w:r>
            <w:r w:rsidRPr="00626248">
              <w:rPr>
                <w:b/>
                <w:bCs/>
                <w:sz w:val="20"/>
                <w:szCs w:val="18"/>
              </w:rPr>
              <w:t>0/7</w:t>
            </w:r>
          </w:p>
          <w:p w14:paraId="4728DFA4" w14:textId="77777777" w:rsidR="00204C61" w:rsidRPr="00626248" w:rsidRDefault="00204C61" w:rsidP="00FC75D6">
            <w:pPr>
              <w:pStyle w:val="Tabletext"/>
              <w:keepNext/>
              <w:keepLines/>
              <w:rPr>
                <w:sz w:val="20"/>
                <w:szCs w:val="18"/>
              </w:rPr>
            </w:pPr>
            <w:r w:rsidRPr="00626248">
              <w:rPr>
                <w:sz w:val="20"/>
                <w:szCs w:val="18"/>
              </w:rPr>
              <w:t xml:space="preserve">Déc.: </w:t>
            </w:r>
            <w:r w:rsidRPr="00626248">
              <w:rPr>
                <w:b/>
                <w:bCs/>
                <w:sz w:val="20"/>
                <w:szCs w:val="18"/>
              </w:rPr>
              <w:t>4/7</w:t>
            </w:r>
          </w:p>
        </w:tc>
      </w:tr>
    </w:tbl>
    <w:p w14:paraId="11A7C834" w14:textId="71E08421" w:rsidR="00D736B9" w:rsidRPr="00626248" w:rsidRDefault="00D736B9" w:rsidP="00D736B9">
      <w:pPr>
        <w:rPr>
          <w:lang w:eastAsia="en-GB"/>
        </w:rPr>
      </w:pPr>
      <w:r w:rsidRPr="00626248">
        <w:rPr>
          <w:lang w:eastAsia="en-GB"/>
        </w:rPr>
        <w:t>Nombre de Vice-Présidents du GCR ayant participé à la 32ème réunion du GCR du 14 au</w:t>
      </w:r>
      <w:r w:rsidR="00204C61" w:rsidRPr="00626248">
        <w:rPr>
          <w:lang w:eastAsia="en-GB"/>
        </w:rPr>
        <w:t> </w:t>
      </w:r>
      <w:r w:rsidRPr="00626248">
        <w:rPr>
          <w:lang w:eastAsia="en-GB"/>
        </w:rPr>
        <w:t>17</w:t>
      </w:r>
      <w:r w:rsidR="00204C61" w:rsidRPr="00626248">
        <w:rPr>
          <w:lang w:eastAsia="en-GB"/>
        </w:rPr>
        <w:t> </w:t>
      </w:r>
      <w:r w:rsidRPr="00626248">
        <w:rPr>
          <w:lang w:eastAsia="en-GB"/>
        </w:rPr>
        <w:t>avril</w:t>
      </w:r>
      <w:r w:rsidR="00204C61" w:rsidRPr="00626248">
        <w:rPr>
          <w:lang w:eastAsia="en-GB"/>
        </w:rPr>
        <w:t> </w:t>
      </w:r>
      <w:r w:rsidRPr="00626248">
        <w:rPr>
          <w:lang w:eastAsia="en-GB"/>
        </w:rPr>
        <w:t>2025: 9/11.</w:t>
      </w:r>
    </w:p>
    <w:p w14:paraId="6CB82EFB" w14:textId="77777777" w:rsidR="00D736B9" w:rsidRPr="00626248" w:rsidRDefault="00D736B9" w:rsidP="00204C61">
      <w:pPr>
        <w:pStyle w:val="Heading2"/>
        <w:rPr>
          <w:lang w:eastAsia="en-GB"/>
        </w:rPr>
      </w:pPr>
      <w:r w:rsidRPr="00626248">
        <w:rPr>
          <w:lang w:eastAsia="en-GB"/>
        </w:rPr>
        <w:t>4.10</w:t>
      </w:r>
      <w:r w:rsidRPr="00626248">
        <w:rPr>
          <w:lang w:eastAsia="en-GB"/>
        </w:rPr>
        <w:tab/>
        <w:t>Activités de la RPC-27 et travaux préparatoires en vue de la RPC27-2</w:t>
      </w:r>
    </w:p>
    <w:p w14:paraId="70EF46F2" w14:textId="31B64BA4" w:rsidR="00D736B9" w:rsidRPr="00626248" w:rsidRDefault="00D736B9" w:rsidP="00D736B9">
      <w:pPr>
        <w:rPr>
          <w:lang w:eastAsia="en-GB"/>
        </w:rPr>
      </w:pPr>
      <w:r w:rsidRPr="00626248">
        <w:rPr>
          <w:lang w:eastAsia="en-GB"/>
        </w:rPr>
        <w:t xml:space="preserve">Un résumé des activités de la RPC-27 et des travaux préparatoires en vue de la RPC27-2 est donné au § 4.2 du Document </w:t>
      </w:r>
      <w:hyperlink r:id="rId99" w:history="1">
        <w:r w:rsidRPr="00626248">
          <w:rPr>
            <w:rStyle w:val="Hyperlink"/>
            <w:lang w:eastAsia="en-GB"/>
          </w:rPr>
          <w:t>RAG/58</w:t>
        </w:r>
      </w:hyperlink>
      <w:r w:rsidRPr="00626248">
        <w:rPr>
          <w:lang w:eastAsia="en-GB"/>
        </w:rPr>
        <w:t>.</w:t>
      </w:r>
    </w:p>
    <w:p w14:paraId="2681A42E" w14:textId="77777777" w:rsidR="00D736B9" w:rsidRPr="00626248" w:rsidRDefault="00D736B9" w:rsidP="00D54C78">
      <w:pPr>
        <w:pStyle w:val="Heading1"/>
        <w:rPr>
          <w:lang w:eastAsia="en-GB"/>
        </w:rPr>
      </w:pPr>
      <w:r w:rsidRPr="00626248">
        <w:rPr>
          <w:lang w:eastAsia="en-GB"/>
        </w:rPr>
        <w:t>5</w:t>
      </w:r>
      <w:r w:rsidRPr="00626248">
        <w:rPr>
          <w:lang w:eastAsia="en-GB"/>
        </w:rPr>
        <w:tab/>
        <w:t>Mesures de suivi demandées par le GCR à sa réunion en 2025</w:t>
      </w:r>
    </w:p>
    <w:p w14:paraId="568452B3" w14:textId="3980A107" w:rsidR="00D736B9" w:rsidRPr="00626248" w:rsidRDefault="00D736B9" w:rsidP="00D736B9">
      <w:pPr>
        <w:rPr>
          <w:lang w:eastAsia="en-GB"/>
        </w:rPr>
      </w:pPr>
      <w:r w:rsidRPr="00626248">
        <w:rPr>
          <w:lang w:eastAsia="en-GB"/>
        </w:rPr>
        <w:t>Le Bureau a mis en œuvre les mesures suivantes, qui ont été entérinées par le Directeur du BR sur la base de l</w:t>
      </w:r>
      <w:r w:rsidR="00B17215" w:rsidRPr="00626248">
        <w:rPr>
          <w:lang w:eastAsia="en-GB"/>
        </w:rPr>
        <w:t>'</w:t>
      </w:r>
      <w:r w:rsidRPr="00626248">
        <w:rPr>
          <w:lang w:eastAsia="en-GB"/>
        </w:rPr>
        <w:t>avis formulé par le GCR lors de sa réunion d</w:t>
      </w:r>
      <w:r w:rsidR="00B17215" w:rsidRPr="00626248">
        <w:rPr>
          <w:lang w:eastAsia="en-GB"/>
        </w:rPr>
        <w:t>'</w:t>
      </w:r>
      <w:r w:rsidRPr="00626248">
        <w:rPr>
          <w:lang w:eastAsia="en-GB"/>
        </w:rPr>
        <w:t>avril 2025.</w:t>
      </w:r>
    </w:p>
    <w:p w14:paraId="2D657CA3" w14:textId="445E86D5"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 xml:space="preserve">Le Bureau a envoyé un </w:t>
      </w:r>
      <w:hyperlink r:id="rId100" w:history="1">
        <w:r w:rsidRPr="00626248">
          <w:rPr>
            <w:rStyle w:val="Hyperlink"/>
            <w:lang w:eastAsia="en-GB"/>
          </w:rPr>
          <w:t>document</w:t>
        </w:r>
      </w:hyperlink>
      <w:r w:rsidRPr="00626248">
        <w:rPr>
          <w:lang w:eastAsia="en-GB"/>
        </w:rPr>
        <w:t xml:space="preserve"> à toutes les commissions d</w:t>
      </w:r>
      <w:r w:rsidR="00B17215" w:rsidRPr="00626248">
        <w:rPr>
          <w:lang w:eastAsia="en-GB"/>
        </w:rPr>
        <w:t>'</w:t>
      </w:r>
      <w:r w:rsidRPr="00626248">
        <w:rPr>
          <w:lang w:eastAsia="en-GB"/>
        </w:rPr>
        <w:t>études (CE) et à tous les groupes de travail (GT) de l</w:t>
      </w:r>
      <w:r w:rsidR="00B17215" w:rsidRPr="00626248">
        <w:rPr>
          <w:lang w:eastAsia="en-GB"/>
        </w:rPr>
        <w:t>'</w:t>
      </w:r>
      <w:r w:rsidRPr="00626248">
        <w:rPr>
          <w:lang w:eastAsia="en-GB"/>
        </w:rPr>
        <w:t>UIT-R ainsi qu</w:t>
      </w:r>
      <w:r w:rsidR="00B17215" w:rsidRPr="00626248">
        <w:rPr>
          <w:lang w:eastAsia="en-GB"/>
        </w:rPr>
        <w:t>'</w:t>
      </w:r>
      <w:r w:rsidRPr="00626248">
        <w:rPr>
          <w:lang w:eastAsia="en-GB"/>
        </w:rPr>
        <w:t>au CCV, et a appelé l</w:t>
      </w:r>
      <w:r w:rsidR="00B17215" w:rsidRPr="00626248">
        <w:rPr>
          <w:lang w:eastAsia="en-GB"/>
        </w:rPr>
        <w:t>'</w:t>
      </w:r>
      <w:r w:rsidRPr="00626248">
        <w:rPr>
          <w:lang w:eastAsia="en-GB"/>
        </w:rPr>
        <w:t>attention des commissions d</w:t>
      </w:r>
      <w:r w:rsidR="00B17215" w:rsidRPr="00626248">
        <w:rPr>
          <w:lang w:eastAsia="en-GB"/>
        </w:rPr>
        <w:t>'</w:t>
      </w:r>
      <w:r w:rsidRPr="00626248">
        <w:rPr>
          <w:lang w:eastAsia="en-GB"/>
        </w:rPr>
        <w:t>études (CE) de l</w:t>
      </w:r>
      <w:r w:rsidR="00B17215" w:rsidRPr="00626248">
        <w:rPr>
          <w:lang w:eastAsia="en-GB"/>
        </w:rPr>
        <w:t>'</w:t>
      </w:r>
      <w:r w:rsidRPr="00626248">
        <w:rPr>
          <w:lang w:eastAsia="en-GB"/>
        </w:rPr>
        <w:t>UIT-R, de leurs groupes subordonnés et de leurs présidents sur le Résumé des conclusions de la 32</w:t>
      </w:r>
      <w:r w:rsidR="00D54C78" w:rsidRPr="00626248">
        <w:rPr>
          <w:lang w:eastAsia="en-GB"/>
        </w:rPr>
        <w:t>ème</w:t>
      </w:r>
      <w:r w:rsidRPr="00626248">
        <w:rPr>
          <w:lang w:eastAsia="en-GB"/>
        </w:rPr>
        <w:t xml:space="preserve"> réunion du GCR, figurant dans la Circulaire</w:t>
      </w:r>
      <w:r w:rsidR="00D54C78" w:rsidRPr="00626248">
        <w:rPr>
          <w:lang w:eastAsia="en-GB"/>
        </w:rPr>
        <w:t> </w:t>
      </w:r>
      <w:r w:rsidRPr="00626248">
        <w:rPr>
          <w:lang w:eastAsia="en-GB"/>
        </w:rPr>
        <w:t xml:space="preserve">administrative </w:t>
      </w:r>
      <w:hyperlink r:id="rId101" w:history="1">
        <w:r w:rsidRPr="00626248">
          <w:rPr>
            <w:rStyle w:val="Hyperlink"/>
            <w:lang w:eastAsia="en-GB"/>
          </w:rPr>
          <w:t>CA/277</w:t>
        </w:r>
      </w:hyperlink>
      <w:r w:rsidRPr="00626248">
        <w:rPr>
          <w:lang w:eastAsia="en-GB"/>
        </w:rPr>
        <w:t>. Le Bureau a également fourni des informations complémentaires sur plusieurs de ces conclusions relatives aux activités des CE. Toutes les CE ont pris acte de ce document et ont agi en conséquence.</w:t>
      </w:r>
    </w:p>
    <w:p w14:paraId="296B4A5D" w14:textId="33203EF8"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Conformément aux demandes des administrations, toutes les réunions des CE de l</w:t>
      </w:r>
      <w:r w:rsidR="00B17215" w:rsidRPr="00626248">
        <w:rPr>
          <w:lang w:eastAsia="en-GB"/>
        </w:rPr>
        <w:t>'</w:t>
      </w:r>
      <w:r w:rsidRPr="00626248">
        <w:rPr>
          <w:lang w:eastAsia="en-GB"/>
        </w:rPr>
        <w:t>UIT-R ont bénéficié d</w:t>
      </w:r>
      <w:r w:rsidR="00B17215" w:rsidRPr="00626248">
        <w:rPr>
          <w:lang w:eastAsia="en-GB"/>
        </w:rPr>
        <w:t>'</w:t>
      </w:r>
      <w:r w:rsidRPr="00626248">
        <w:rPr>
          <w:lang w:eastAsia="en-GB"/>
        </w:rPr>
        <w:t xml:space="preserve">une interprétation en français et en russe. </w:t>
      </w:r>
    </w:p>
    <w:p w14:paraId="1410A0C3" w14:textId="79677B88"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Les rapports d'activité sur la mise en œuvre des Résolutions de l</w:t>
      </w:r>
      <w:r w:rsidR="00B17215" w:rsidRPr="00626248">
        <w:rPr>
          <w:lang w:eastAsia="en-GB"/>
        </w:rPr>
        <w:t>'</w:t>
      </w:r>
      <w:r w:rsidRPr="00626248">
        <w:rPr>
          <w:lang w:eastAsia="en-GB"/>
        </w:rPr>
        <w:t>UIT-R et des C(A)MR, fournis par chaque commission d</w:t>
      </w:r>
      <w:r w:rsidR="00B17215" w:rsidRPr="00626248">
        <w:rPr>
          <w:lang w:eastAsia="en-GB"/>
        </w:rPr>
        <w:t>'</w:t>
      </w:r>
      <w:r w:rsidRPr="00626248">
        <w:rPr>
          <w:lang w:eastAsia="en-GB"/>
        </w:rPr>
        <w:t>études, sont disponibles sur leurs pages web respectives et/ou figureront, selon le cas, dans les rapports des présidents des CE à l</w:t>
      </w:r>
      <w:r w:rsidR="00B17215" w:rsidRPr="00626248">
        <w:rPr>
          <w:lang w:eastAsia="en-GB"/>
        </w:rPr>
        <w:t>'</w:t>
      </w:r>
      <w:r w:rsidRPr="00626248">
        <w:rPr>
          <w:lang w:eastAsia="en-GB"/>
        </w:rPr>
        <w:t>AR-27. On trouvera les informations pertinentes pour le CCV au § 4.8 ci-dessus.</w:t>
      </w:r>
    </w:p>
    <w:p w14:paraId="5CF41D8C" w14:textId="156E8CDD"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 xml:space="preserve">Une version mise à jour des lignes directrices associées à la Résolution UIT-R 1-9, intégrant les modifications proposées par certaines administrations, est présentée dans le Doc. </w:t>
      </w:r>
      <w:hyperlink r:id="rId102" w:history="1">
        <w:r w:rsidRPr="00626248">
          <w:rPr>
            <w:rStyle w:val="Hyperlink"/>
            <w:lang w:eastAsia="en-GB"/>
          </w:rPr>
          <w:t>RAG/58</w:t>
        </w:r>
      </w:hyperlink>
      <w:r w:rsidRPr="00626248">
        <w:rPr>
          <w:lang w:eastAsia="en-GB"/>
        </w:rPr>
        <w:t xml:space="preserve"> (Annexe 1 de l</w:t>
      </w:r>
      <w:r w:rsidR="00B17215" w:rsidRPr="00626248">
        <w:rPr>
          <w:lang w:eastAsia="en-GB"/>
        </w:rPr>
        <w:t>'</w:t>
      </w:r>
      <w:r w:rsidRPr="00626248">
        <w:rPr>
          <w:lang w:eastAsia="en-GB"/>
        </w:rPr>
        <w:t>Addendum 1).</w:t>
      </w:r>
    </w:p>
    <w:p w14:paraId="1C1E735B" w14:textId="280FA069" w:rsidR="00D736B9" w:rsidRPr="00626248" w:rsidRDefault="00D736B9" w:rsidP="00D54C78">
      <w:pPr>
        <w:pStyle w:val="enumlev1"/>
        <w:rPr>
          <w:lang w:eastAsia="en-GB"/>
        </w:rPr>
      </w:pPr>
      <w:r w:rsidRPr="00626248">
        <w:rPr>
          <w:lang w:eastAsia="en-GB"/>
        </w:rPr>
        <w:lastRenderedPageBreak/>
        <w:t>–</w:t>
      </w:r>
      <w:r w:rsidR="00D54C78" w:rsidRPr="00626248">
        <w:rPr>
          <w:lang w:eastAsia="en-GB"/>
        </w:rPr>
        <w:tab/>
      </w:r>
      <w:r w:rsidRPr="00626248">
        <w:rPr>
          <w:lang w:eastAsia="en-GB"/>
        </w:rPr>
        <w:t>Le Bureau a préparé un extrait des Règles générales régissant les conférences, assemblées et réunions de l</w:t>
      </w:r>
      <w:r w:rsidR="00B17215" w:rsidRPr="00626248">
        <w:rPr>
          <w:lang w:eastAsia="en-GB"/>
        </w:rPr>
        <w:t>'</w:t>
      </w:r>
      <w:r w:rsidRPr="00626248">
        <w:rPr>
          <w:lang w:eastAsia="en-GB"/>
        </w:rPr>
        <w:t>Union, relatif à la gestion des réunions des CE, et l</w:t>
      </w:r>
      <w:r w:rsidR="00B17215" w:rsidRPr="00626248">
        <w:rPr>
          <w:lang w:eastAsia="en-GB"/>
        </w:rPr>
        <w:t>'</w:t>
      </w:r>
      <w:r w:rsidRPr="00626248">
        <w:rPr>
          <w:lang w:eastAsia="en-GB"/>
        </w:rPr>
        <w:t xml:space="preserve">a mis à disposition </w:t>
      </w:r>
      <w:hyperlink r:id="rId103" w:history="1">
        <w:r w:rsidRPr="00626248">
          <w:rPr>
            <w:rStyle w:val="Hyperlink"/>
            <w:lang w:eastAsia="en-GB"/>
          </w:rPr>
          <w:t>en ligne</w:t>
        </w:r>
      </w:hyperlink>
      <w:r w:rsidRPr="00626248">
        <w:rPr>
          <w:lang w:eastAsia="en-GB"/>
        </w:rPr>
        <w:t>.</w:t>
      </w:r>
    </w:p>
    <w:p w14:paraId="573C2853" w14:textId="423EF017"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 xml:space="preserve">En ce qui concerne le format des ordres du jour des groupes de travail et des rapports des présidents, le Bureau a préparé des exemples et les a mis à disposition </w:t>
      </w:r>
      <w:hyperlink r:id="rId104" w:history="1">
        <w:r w:rsidRPr="00626248">
          <w:rPr>
            <w:rStyle w:val="Hyperlink"/>
            <w:lang w:eastAsia="en-GB"/>
          </w:rPr>
          <w:t>en ligne</w:t>
        </w:r>
      </w:hyperlink>
      <w:r w:rsidRPr="00626248">
        <w:rPr>
          <w:lang w:eastAsia="en-GB"/>
        </w:rPr>
        <w:t>.</w:t>
      </w:r>
    </w:p>
    <w:p w14:paraId="39E3CFD2" w14:textId="1DBD6C00"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Un rapport sur les difficultés, les chevauchements et les possibilités d</w:t>
      </w:r>
      <w:r w:rsidR="00B17215" w:rsidRPr="00626248">
        <w:rPr>
          <w:lang w:eastAsia="en-GB"/>
        </w:rPr>
        <w:t>'</w:t>
      </w:r>
      <w:r w:rsidRPr="00626248">
        <w:rPr>
          <w:lang w:eastAsia="en-GB"/>
        </w:rPr>
        <w:t xml:space="preserve">amélioration de la portée actuelle des travaux est présenté dans le Document </w:t>
      </w:r>
      <w:hyperlink r:id="rId105" w:history="1">
        <w:r w:rsidRPr="00626248">
          <w:rPr>
            <w:rStyle w:val="Hyperlink"/>
            <w:lang w:eastAsia="en-GB"/>
          </w:rPr>
          <w:t>RAG/58</w:t>
        </w:r>
      </w:hyperlink>
      <w:r w:rsidRPr="00626248">
        <w:rPr>
          <w:lang w:eastAsia="en-GB"/>
        </w:rPr>
        <w:t xml:space="preserve"> (Annexe 2 de l</w:t>
      </w:r>
      <w:r w:rsidR="00B17215" w:rsidRPr="00626248">
        <w:rPr>
          <w:lang w:eastAsia="en-GB"/>
        </w:rPr>
        <w:t>'</w:t>
      </w:r>
      <w:r w:rsidRPr="00626248">
        <w:rPr>
          <w:lang w:eastAsia="en-GB"/>
        </w:rPr>
        <w:t>Addendum 1).</w:t>
      </w:r>
    </w:p>
    <w:p w14:paraId="73A872B1" w14:textId="6A7A5244" w:rsidR="00D736B9" w:rsidRPr="00626248" w:rsidRDefault="00D736B9" w:rsidP="00D54C78">
      <w:pPr>
        <w:pStyle w:val="enumlev1"/>
        <w:rPr>
          <w:lang w:eastAsia="en-GB"/>
        </w:rPr>
      </w:pPr>
      <w:r w:rsidRPr="00626248">
        <w:rPr>
          <w:lang w:eastAsia="en-GB"/>
        </w:rPr>
        <w:t>–</w:t>
      </w:r>
      <w:r w:rsidR="00D54C78" w:rsidRPr="00626248">
        <w:rPr>
          <w:lang w:eastAsia="en-GB"/>
        </w:rPr>
        <w:tab/>
      </w:r>
      <w:r w:rsidRPr="00626248">
        <w:rPr>
          <w:lang w:eastAsia="en-GB"/>
        </w:rPr>
        <w:t xml:space="preserve">Une lettre circulaire invitant les administrations à encourager les experts et les scientifiques des établissements universitaires et des instituts de recherche à participer et à contribuer aux travaux de la CE 3 a été publiée (voir </w:t>
      </w:r>
      <w:hyperlink r:id="rId106" w:history="1">
        <w:r w:rsidRPr="00626248">
          <w:rPr>
            <w:rStyle w:val="Hyperlink"/>
            <w:lang w:eastAsia="en-GB"/>
          </w:rPr>
          <w:t>CACE/1151</w:t>
        </w:r>
      </w:hyperlink>
      <w:r w:rsidRPr="00626248">
        <w:rPr>
          <w:lang w:eastAsia="en-GB"/>
        </w:rPr>
        <w:t>).</w:t>
      </w:r>
    </w:p>
    <w:p w14:paraId="43C50770" w14:textId="77777777" w:rsidR="00474509" w:rsidRPr="00626248" w:rsidRDefault="00474509">
      <w:pPr>
        <w:jc w:val="center"/>
      </w:pPr>
      <w:r w:rsidRPr="00626248">
        <w:t>______________</w:t>
      </w:r>
    </w:p>
    <w:sectPr w:rsidR="00474509" w:rsidRPr="00626248">
      <w:headerReference w:type="even" r:id="rId107"/>
      <w:headerReference w:type="default" r:id="rId108"/>
      <w:footerReference w:type="even" r:id="rId10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8FDC" w14:textId="77777777" w:rsidR="00B07FD4" w:rsidRDefault="00B07FD4">
      <w:r>
        <w:separator/>
      </w:r>
    </w:p>
  </w:endnote>
  <w:endnote w:type="continuationSeparator" w:id="0">
    <w:p w14:paraId="43B4BBDE" w14:textId="77777777" w:rsidR="00B07FD4" w:rsidRDefault="00B0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5F6E" w14:textId="158D0D9B"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F958A8">
      <w:rPr>
        <w:lang w:val="en-US"/>
      </w:rPr>
      <w:t>P:\FRA\gDoc\BR\RAG\2500417V2F.docx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8B0E6C">
      <w:t>25.02.26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F958A8">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0B4D" w14:textId="77777777" w:rsidR="00B07FD4" w:rsidRDefault="00B07FD4">
      <w:r>
        <w:t>____________________</w:t>
      </w:r>
    </w:p>
  </w:footnote>
  <w:footnote w:type="continuationSeparator" w:id="0">
    <w:p w14:paraId="7414FEEB" w14:textId="77777777" w:rsidR="00B07FD4" w:rsidRDefault="00B0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61EB"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8AE0"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0ECB6E1F" w14:textId="08E6DB65" w:rsidR="00847AAC" w:rsidRDefault="0097156E" w:rsidP="007711EA">
    <w:pPr>
      <w:pStyle w:val="Header"/>
      <w:rPr>
        <w:lang w:val="es-ES"/>
      </w:rPr>
    </w:pPr>
    <w:r>
      <w:rPr>
        <w:lang w:val="es-ES"/>
      </w:rPr>
      <w:t>RAG</w:t>
    </w:r>
    <w:r w:rsidR="00847AAC">
      <w:rPr>
        <w:lang w:val="es-ES"/>
      </w:rPr>
      <w:t>/</w:t>
    </w:r>
    <w:r w:rsidR="004C7CD9">
      <w:rPr>
        <w:lang w:val="es-ES"/>
      </w:rPr>
      <w:t>58</w:t>
    </w:r>
    <w:r w:rsidR="00474509">
      <w:rPr>
        <w:lang w:val="es-ES"/>
      </w:rPr>
      <w:t>(Add.</w:t>
    </w:r>
    <w:r w:rsidR="00D54C78">
      <w:rPr>
        <w:lang w:val="es-ES"/>
      </w:rPr>
      <w:t>1</w:t>
    </w:r>
    <w:r w:rsidR="00474509">
      <w:rPr>
        <w:lang w:val="es-ES"/>
      </w:rPr>
      <w:t>)</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420"/>
    <w:multiLevelType w:val="hybridMultilevel"/>
    <w:tmpl w:val="6226E028"/>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 w15:restartNumberingAfterBreak="0">
    <w:nsid w:val="2CF73D69"/>
    <w:multiLevelType w:val="hybridMultilevel"/>
    <w:tmpl w:val="3D08D768"/>
    <w:lvl w:ilvl="0" w:tplc="47526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251B3"/>
    <w:multiLevelType w:val="hybridMultilevel"/>
    <w:tmpl w:val="F8521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2C3696"/>
    <w:multiLevelType w:val="hybridMultilevel"/>
    <w:tmpl w:val="48A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44435"/>
    <w:multiLevelType w:val="hybridMultilevel"/>
    <w:tmpl w:val="B5225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2D7F10"/>
    <w:multiLevelType w:val="hybridMultilevel"/>
    <w:tmpl w:val="20AC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2058C"/>
    <w:multiLevelType w:val="hybridMultilevel"/>
    <w:tmpl w:val="113EE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1456894">
    <w:abstractNumId w:val="5"/>
  </w:num>
  <w:num w:numId="2" w16cid:durableId="1789545520">
    <w:abstractNumId w:val="1"/>
  </w:num>
  <w:num w:numId="3" w16cid:durableId="1427920469">
    <w:abstractNumId w:val="3"/>
  </w:num>
  <w:num w:numId="4" w16cid:durableId="1620601932">
    <w:abstractNumId w:val="0"/>
  </w:num>
  <w:num w:numId="5" w16cid:durableId="756513467">
    <w:abstractNumId w:val="2"/>
  </w:num>
  <w:num w:numId="6" w16cid:durableId="1385564339">
    <w:abstractNumId w:val="4"/>
  </w:num>
  <w:num w:numId="7" w16cid:durableId="26101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09"/>
    <w:rsid w:val="000C06D8"/>
    <w:rsid w:val="000D029B"/>
    <w:rsid w:val="001059B8"/>
    <w:rsid w:val="00140AE6"/>
    <w:rsid w:val="00141C28"/>
    <w:rsid w:val="001D1915"/>
    <w:rsid w:val="00204C61"/>
    <w:rsid w:val="00222A1C"/>
    <w:rsid w:val="002968A1"/>
    <w:rsid w:val="002A5F9A"/>
    <w:rsid w:val="002C23A6"/>
    <w:rsid w:val="002D238A"/>
    <w:rsid w:val="003000D2"/>
    <w:rsid w:val="0033185E"/>
    <w:rsid w:val="003A6CEE"/>
    <w:rsid w:val="003E3D09"/>
    <w:rsid w:val="00405FBE"/>
    <w:rsid w:val="00443261"/>
    <w:rsid w:val="00460261"/>
    <w:rsid w:val="00474509"/>
    <w:rsid w:val="004C373C"/>
    <w:rsid w:val="004C7CD9"/>
    <w:rsid w:val="004E1CCF"/>
    <w:rsid w:val="004E76DF"/>
    <w:rsid w:val="005031C8"/>
    <w:rsid w:val="00504980"/>
    <w:rsid w:val="005207F5"/>
    <w:rsid w:val="00531D70"/>
    <w:rsid w:val="005430E4"/>
    <w:rsid w:val="00550B38"/>
    <w:rsid w:val="00576F04"/>
    <w:rsid w:val="00591373"/>
    <w:rsid w:val="005F20F2"/>
    <w:rsid w:val="00626248"/>
    <w:rsid w:val="00637279"/>
    <w:rsid w:val="00647E5A"/>
    <w:rsid w:val="0067019B"/>
    <w:rsid w:val="00677EE5"/>
    <w:rsid w:val="00694DEF"/>
    <w:rsid w:val="006B3457"/>
    <w:rsid w:val="007711EA"/>
    <w:rsid w:val="00773E5E"/>
    <w:rsid w:val="007B50D2"/>
    <w:rsid w:val="007F4AA9"/>
    <w:rsid w:val="00800C1F"/>
    <w:rsid w:val="008069E9"/>
    <w:rsid w:val="00847AAC"/>
    <w:rsid w:val="008B0E6C"/>
    <w:rsid w:val="00902253"/>
    <w:rsid w:val="00921F1A"/>
    <w:rsid w:val="00925627"/>
    <w:rsid w:val="0093101F"/>
    <w:rsid w:val="00933494"/>
    <w:rsid w:val="0097156E"/>
    <w:rsid w:val="009F1CBB"/>
    <w:rsid w:val="00A72835"/>
    <w:rsid w:val="00A9055C"/>
    <w:rsid w:val="00AB7F92"/>
    <w:rsid w:val="00AC39EE"/>
    <w:rsid w:val="00AF2EDC"/>
    <w:rsid w:val="00B02D69"/>
    <w:rsid w:val="00B07FD4"/>
    <w:rsid w:val="00B17215"/>
    <w:rsid w:val="00B41432"/>
    <w:rsid w:val="00B41D84"/>
    <w:rsid w:val="00BA0C7B"/>
    <w:rsid w:val="00BC4591"/>
    <w:rsid w:val="00C1357E"/>
    <w:rsid w:val="00C61C3D"/>
    <w:rsid w:val="00C72A86"/>
    <w:rsid w:val="00C90E74"/>
    <w:rsid w:val="00CA6457"/>
    <w:rsid w:val="00CC5B9E"/>
    <w:rsid w:val="00CC7208"/>
    <w:rsid w:val="00CD6447"/>
    <w:rsid w:val="00CE6184"/>
    <w:rsid w:val="00CE69C2"/>
    <w:rsid w:val="00CF106B"/>
    <w:rsid w:val="00D03280"/>
    <w:rsid w:val="00D228F7"/>
    <w:rsid w:val="00D24424"/>
    <w:rsid w:val="00D34E1C"/>
    <w:rsid w:val="00D54C78"/>
    <w:rsid w:val="00D736B9"/>
    <w:rsid w:val="00D95965"/>
    <w:rsid w:val="00DD55EB"/>
    <w:rsid w:val="00E2659D"/>
    <w:rsid w:val="00EC0F12"/>
    <w:rsid w:val="00ED59FA"/>
    <w:rsid w:val="00EE27E8"/>
    <w:rsid w:val="00F017EB"/>
    <w:rsid w:val="00F65F0D"/>
    <w:rsid w:val="00F775D5"/>
    <w:rsid w:val="00F958A8"/>
    <w:rsid w:val="00FA0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4EA3"/>
  <w15:docId w15:val="{0DD0A2E2-23A4-439B-B206-425ED07B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styleId="ListParagraph">
    <w:name w:val="List Paragraph"/>
    <w:aliases w:val="Recommendation,List Paragraph11,O5,Para_sk,Resume Title,- Bullets"/>
    <w:basedOn w:val="Normal"/>
    <w:link w:val="ListParagraphChar"/>
    <w:uiPriority w:val="34"/>
    <w:qFormat/>
    <w:rsid w:val="0047450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474509"/>
    <w:rPr>
      <w:rFonts w:ascii="Times New Roman" w:eastAsiaTheme="minorEastAsia" w:hAnsi="Times New Roman"/>
      <w:sz w:val="24"/>
      <w:szCs w:val="24"/>
      <w:lang w:val="en-GB" w:eastAsia="ja-JP"/>
    </w:rPr>
  </w:style>
  <w:style w:type="character" w:customStyle="1" w:styleId="Heading1Char">
    <w:name w:val="Heading 1 Char"/>
    <w:basedOn w:val="DefaultParagraphFont"/>
    <w:link w:val="Heading1"/>
    <w:rsid w:val="00474509"/>
    <w:rPr>
      <w:rFonts w:ascii="Times New Roman" w:hAnsi="Times New Roman"/>
      <w:b/>
      <w:sz w:val="24"/>
      <w:lang w:val="fr-FR" w:eastAsia="en-US"/>
    </w:rPr>
  </w:style>
  <w:style w:type="character" w:customStyle="1" w:styleId="enumlev1Char">
    <w:name w:val="enumlev1 Char"/>
    <w:basedOn w:val="DefaultParagraphFont"/>
    <w:link w:val="enumlev1"/>
    <w:locked/>
    <w:rsid w:val="00474509"/>
    <w:rPr>
      <w:rFonts w:ascii="Times New Roman" w:hAnsi="Times New Roman"/>
      <w:sz w:val="24"/>
      <w:lang w:val="fr-FR" w:eastAsia="en-US"/>
    </w:rPr>
  </w:style>
  <w:style w:type="paragraph" w:styleId="NormalWeb">
    <w:name w:val="Normal (Web)"/>
    <w:basedOn w:val="Normal"/>
    <w:uiPriority w:val="99"/>
    <w:unhideWhenUsed/>
    <w:rsid w:val="0047450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customStyle="1" w:styleId="paragraph">
    <w:name w:val="paragraph"/>
    <w:basedOn w:val="Normal"/>
    <w:rsid w:val="0047450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474509"/>
  </w:style>
  <w:style w:type="character" w:customStyle="1" w:styleId="scxw8478885">
    <w:name w:val="scxw8478885"/>
    <w:basedOn w:val="DefaultParagraphFont"/>
    <w:rsid w:val="00474509"/>
  </w:style>
  <w:style w:type="paragraph" w:customStyle="1" w:styleId="Reasons">
    <w:name w:val="Reasons"/>
    <w:basedOn w:val="Normal"/>
    <w:qFormat/>
    <w:rsid w:val="00474509"/>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Hyp">
    <w:name w:val="Hyp"/>
    <w:basedOn w:val="enumlev1"/>
    <w:rsid w:val="00A72835"/>
  </w:style>
  <w:style w:type="character" w:styleId="Hyperlink">
    <w:name w:val="Hyperlink"/>
    <w:basedOn w:val="DefaultParagraphFont"/>
    <w:unhideWhenUsed/>
    <w:rsid w:val="00A72835"/>
    <w:rPr>
      <w:color w:val="0000FF" w:themeColor="hyperlink"/>
      <w:u w:val="single"/>
    </w:rPr>
  </w:style>
  <w:style w:type="character" w:styleId="FollowedHyperlink">
    <w:name w:val="FollowedHyperlink"/>
    <w:basedOn w:val="DefaultParagraphFont"/>
    <w:semiHidden/>
    <w:unhideWhenUsed/>
    <w:rsid w:val="00A72835"/>
    <w:rPr>
      <w:color w:val="800080" w:themeColor="followedHyperlink"/>
      <w:u w:val="single"/>
    </w:rPr>
  </w:style>
  <w:style w:type="character" w:styleId="UnresolvedMention">
    <w:name w:val="Unresolved Mention"/>
    <w:basedOn w:val="DefaultParagraphFont"/>
    <w:uiPriority w:val="99"/>
    <w:semiHidden/>
    <w:unhideWhenUsed/>
    <w:rsid w:val="00A72835"/>
    <w:rPr>
      <w:color w:val="605E5C"/>
      <w:shd w:val="clear" w:color="auto" w:fill="E1DFDD"/>
    </w:rPr>
  </w:style>
  <w:style w:type="character" w:customStyle="1" w:styleId="TabletextChar">
    <w:name w:val="Table_text Char"/>
    <w:basedOn w:val="DefaultParagraphFont"/>
    <w:link w:val="Tabletext"/>
    <w:locked/>
    <w:rsid w:val="00D736B9"/>
    <w:rPr>
      <w:rFonts w:ascii="Times New Roman" w:hAnsi="Times New Roman"/>
      <w:sz w:val="22"/>
      <w:lang w:val="fr-FR" w:eastAsia="en-US"/>
    </w:rPr>
  </w:style>
  <w:style w:type="table" w:customStyle="1" w:styleId="TableGrid1">
    <w:name w:val="Table Grid1"/>
    <w:basedOn w:val="TableNormal"/>
    <w:next w:val="TableGrid"/>
    <w:rsid w:val="00D736B9"/>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D736B9"/>
    <w:rPr>
      <w:rFonts w:ascii="Times New Roman" w:hAnsi="Times New Roman"/>
      <w:b/>
      <w:sz w:val="22"/>
      <w:lang w:val="fr-FR" w:eastAsia="en-US"/>
    </w:rPr>
  </w:style>
  <w:style w:type="table" w:styleId="TableGrid">
    <w:name w:val="Table Grid"/>
    <w:basedOn w:val="TableNormal"/>
    <w:rsid w:val="00D7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te"/>
    <w:rsid w:val="00D54C78"/>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P.1411/en" TargetMode="External"/><Relationship Id="rId21" Type="http://schemas.openxmlformats.org/officeDocument/2006/relationships/hyperlink" Target="https://www.itu.int/rec/R-REC-P.619/en" TargetMode="External"/><Relationship Id="rId42" Type="http://schemas.openxmlformats.org/officeDocument/2006/relationships/hyperlink" Target="https://www.itu.int/pub/R-REP-M.2561" TargetMode="External"/><Relationship Id="rId47" Type="http://schemas.openxmlformats.org/officeDocument/2006/relationships/hyperlink" Target="https://www.itu.int/rec/R-REC-BS.1114/en" TargetMode="External"/><Relationship Id="rId63" Type="http://schemas.openxmlformats.org/officeDocument/2006/relationships/hyperlink" Target="https://www.itu.int/pub/R-REP-BT.2420" TargetMode="External"/><Relationship Id="rId68" Type="http://schemas.openxmlformats.org/officeDocument/2006/relationships/hyperlink" Target="https://www.itu.int/pub/R-REP-BT.2550" TargetMode="External"/><Relationship Id="rId84" Type="http://schemas.openxmlformats.org/officeDocument/2006/relationships/hyperlink" Target="https://www.itu.int/md/R00-CA-CIR-0277/fr" TargetMode="External"/><Relationship Id="rId89" Type="http://schemas.openxmlformats.org/officeDocument/2006/relationships/hyperlink" Target="https://www.itu.int/pub/R-HDB-52/fr" TargetMode="External"/><Relationship Id="rId16" Type="http://schemas.openxmlformats.org/officeDocument/2006/relationships/hyperlink" Target="https://www.itu.int/rec/R-REC-P.311/en" TargetMode="External"/><Relationship Id="rId107" Type="http://schemas.openxmlformats.org/officeDocument/2006/relationships/header" Target="header1.xml"/><Relationship Id="rId11" Type="http://schemas.openxmlformats.org/officeDocument/2006/relationships/hyperlink" Target="https://www.itu.int/rec/R-REC-SM.328/en" TargetMode="External"/><Relationship Id="rId32" Type="http://schemas.openxmlformats.org/officeDocument/2006/relationships/hyperlink" Target="https://www.itu.int/pub/R-REP-P.2345" TargetMode="External"/><Relationship Id="rId37" Type="http://schemas.openxmlformats.org/officeDocument/2006/relationships/hyperlink" Target="https://www.itu.int/pub/R-REP-S.2565" TargetMode="External"/><Relationship Id="rId53" Type="http://schemas.openxmlformats.org/officeDocument/2006/relationships/hyperlink" Target="https://www.itu.int/pub/R-REP-BS.2388" TargetMode="External"/><Relationship Id="rId58" Type="http://schemas.openxmlformats.org/officeDocument/2006/relationships/hyperlink" Target="https://www.itu.int/pub/R-REP-BT.2246" TargetMode="External"/><Relationship Id="rId74" Type="http://schemas.openxmlformats.org/officeDocument/2006/relationships/hyperlink" Target="https://www.itu.int/rec/R-REC-SA.2169/en" TargetMode="External"/><Relationship Id="rId79" Type="http://schemas.openxmlformats.org/officeDocument/2006/relationships/hyperlink" Target="https://www.itu.int/pub/R-REP-SA.2553" TargetMode="External"/><Relationship Id="rId102" Type="http://schemas.openxmlformats.org/officeDocument/2006/relationships/hyperlink" Target="https://www.itu.int/md/R23-RAG-C-0058/fr" TargetMode="External"/><Relationship Id="rId5" Type="http://schemas.openxmlformats.org/officeDocument/2006/relationships/footnotes" Target="footnotes.xml"/><Relationship Id="rId90" Type="http://schemas.openxmlformats.org/officeDocument/2006/relationships/hyperlink" Target="https://www.itu.int/md/R00-CACE-CIR-1165/fr" TargetMode="External"/><Relationship Id="rId95" Type="http://schemas.openxmlformats.org/officeDocument/2006/relationships/hyperlink" Target="https://www.itu.int/en/ITU-R/study-groups/rsg7/Pages/Seminar-Science-Services-RR-WRC27-2025.aspx" TargetMode="External"/><Relationship Id="rId22" Type="http://schemas.openxmlformats.org/officeDocument/2006/relationships/hyperlink" Target="https://www.itu.int/rec/R-REC-P.837/en" TargetMode="External"/><Relationship Id="rId27" Type="http://schemas.openxmlformats.org/officeDocument/2006/relationships/hyperlink" Target="https://www.itu.int/rec/R-REC-P.1812/en" TargetMode="External"/><Relationship Id="rId43" Type="http://schemas.openxmlformats.org/officeDocument/2006/relationships/hyperlink" Target="https://www.itu.int/pub/R-REP-M.2562" TargetMode="External"/><Relationship Id="rId48" Type="http://schemas.openxmlformats.org/officeDocument/2006/relationships/hyperlink" Target="https://www.itu.int/rec/R-REC-BS.1514/en" TargetMode="External"/><Relationship Id="rId64" Type="http://schemas.openxmlformats.org/officeDocument/2006/relationships/hyperlink" Target="https://www.itu.int/pub/R-REP-BT.2448" TargetMode="External"/><Relationship Id="rId69" Type="http://schemas.openxmlformats.org/officeDocument/2006/relationships/hyperlink" Target="https://www.itu.int/pub/R-REP-BT.2556" TargetMode="External"/><Relationship Id="rId80" Type="http://schemas.openxmlformats.org/officeDocument/2006/relationships/hyperlink" Target="https://www.itu.int/rec/R-REC-V.431/en" TargetMode="External"/><Relationship Id="rId85" Type="http://schemas.openxmlformats.org/officeDocument/2006/relationships/hyperlink" Target="https://www.itu.int/md/R23-SG01-C-0045/fr" TargetMode="External"/><Relationship Id="rId12" Type="http://schemas.openxmlformats.org/officeDocument/2006/relationships/hyperlink" Target="https://www.itu.int/rec/R-REC-SM.2110/en" TargetMode="External"/><Relationship Id="rId17" Type="http://schemas.openxmlformats.org/officeDocument/2006/relationships/hyperlink" Target="https://www.itu.int/rec/R-REC-P.526/en" TargetMode="External"/><Relationship Id="rId33" Type="http://schemas.openxmlformats.org/officeDocument/2006/relationships/hyperlink" Target="https://www.itu.int/pub/R-REP-P.2554" TargetMode="External"/><Relationship Id="rId38" Type="http://schemas.openxmlformats.org/officeDocument/2006/relationships/hyperlink" Target="https://www.itu.int/pub/R-REP-F.2558" TargetMode="External"/><Relationship Id="rId59" Type="http://schemas.openxmlformats.org/officeDocument/2006/relationships/hyperlink" Target="https://www.itu.int/pub/R-REP-BT.2299" TargetMode="External"/><Relationship Id="rId103" Type="http://schemas.openxmlformats.org/officeDocument/2006/relationships/hyperlink" Target="https://www.itu.int/md/R23-RAG-C-0058/fr" TargetMode="External"/><Relationship Id="rId108" Type="http://schemas.openxmlformats.org/officeDocument/2006/relationships/header" Target="header2.xml"/><Relationship Id="rId54" Type="http://schemas.openxmlformats.org/officeDocument/2006/relationships/hyperlink" Target="https://www.itu.int/pub/R-REP-BS.2555" TargetMode="External"/><Relationship Id="rId70" Type="http://schemas.openxmlformats.org/officeDocument/2006/relationships/hyperlink" Target="https://www.itu.int/pub/R-REP-BT.2557" TargetMode="External"/><Relationship Id="rId75" Type="http://schemas.openxmlformats.org/officeDocument/2006/relationships/hyperlink" Target="https://www.itu.int/pub/R-REP-RA.2551" TargetMode="External"/><Relationship Id="rId91" Type="http://schemas.openxmlformats.org/officeDocument/2006/relationships/hyperlink" Target="https://www.itu.int/md/R00-CACE-CIR-1168/fr" TargetMode="External"/><Relationship Id="rId96" Type="http://schemas.openxmlformats.org/officeDocument/2006/relationships/hyperlink" Target="https://www.itu.int/Global-ITU-WMO/use-and-management-of-radio-spectrum-for-meteorolog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rec/R-REC-P.310/en" TargetMode="External"/><Relationship Id="rId23" Type="http://schemas.openxmlformats.org/officeDocument/2006/relationships/hyperlink" Target="https://www.itu.int/rec/R-REC-P.1144/en" TargetMode="External"/><Relationship Id="rId28" Type="http://schemas.openxmlformats.org/officeDocument/2006/relationships/hyperlink" Target="https://www.itu.int/rec/R-REC-P.1814/en" TargetMode="External"/><Relationship Id="rId36" Type="http://schemas.openxmlformats.org/officeDocument/2006/relationships/hyperlink" Target="https://www.itu.int/pub/R-REP-M.2564" TargetMode="External"/><Relationship Id="rId49" Type="http://schemas.openxmlformats.org/officeDocument/2006/relationships/hyperlink" Target="https://www.itu.int/rec/R-REC-BS.1548/en" TargetMode="External"/><Relationship Id="rId57" Type="http://schemas.openxmlformats.org/officeDocument/2006/relationships/hyperlink" Target="https://www.itu.int/pub/R-REP-BT.2207" TargetMode="External"/><Relationship Id="rId106" Type="http://schemas.openxmlformats.org/officeDocument/2006/relationships/hyperlink" Target="https://www.itu.int/md/R00-CACE-CIR-1151/fr" TargetMode="External"/><Relationship Id="rId10" Type="http://schemas.openxmlformats.org/officeDocument/2006/relationships/hyperlink" Target="https://www.itu.int/md/R23-RAG-C-0058/fr" TargetMode="External"/><Relationship Id="rId31" Type="http://schemas.openxmlformats.org/officeDocument/2006/relationships/hyperlink" Target="https://www.itu.int/rec/R-REC-P.2170/en" TargetMode="External"/><Relationship Id="rId44" Type="http://schemas.openxmlformats.org/officeDocument/2006/relationships/hyperlink" Target="https://www.itu.int/pub/R-REP-M.2563" TargetMode="External"/><Relationship Id="rId52" Type="http://schemas.openxmlformats.org/officeDocument/2006/relationships/hyperlink" Target="https://www.itu.int/rec/R-REC-BT.2111/en" TargetMode="External"/><Relationship Id="rId60" Type="http://schemas.openxmlformats.org/officeDocument/2006/relationships/hyperlink" Target="https://www.itu.int/pub/R-REP-BT.2343" TargetMode="External"/><Relationship Id="rId65" Type="http://schemas.openxmlformats.org/officeDocument/2006/relationships/hyperlink" Target="https://www.itu.int/pub/R-REP-BT.2526" TargetMode="External"/><Relationship Id="rId73" Type="http://schemas.openxmlformats.org/officeDocument/2006/relationships/hyperlink" Target="https://www.itu.int/rec/R-REC-SA.2141/en" TargetMode="External"/><Relationship Id="rId78" Type="http://schemas.openxmlformats.org/officeDocument/2006/relationships/hyperlink" Target="https://www.itu.int/pub/R-REP-RS.2489" TargetMode="External"/><Relationship Id="rId81" Type="http://schemas.openxmlformats.org/officeDocument/2006/relationships/hyperlink" Target="https://www.itu.int/md/R00-CACE-CIR-1131/fr" TargetMode="External"/><Relationship Id="rId86" Type="http://schemas.openxmlformats.org/officeDocument/2006/relationships/hyperlink" Target="https://www.itu.int/online/mm/scripts/s/gensel90?_filtertxt2=%2CITU-R+Working+Party&amp;_filtertxt3=%2CVice+-+Chair&amp;_filtertxt4=%2CITU-R+Working+Party+1A%2CITU-R+Working+Party+1B%2CITU-R+Working+Party+1C&amp;_filtertxt=&amp;_campaigntype=ITU-R+Working+Party&amp;_descr=ITU-R+Working+Party+1A&amp;_descr=ITU-R+Working+Party+1B&amp;_descr=ITU-R+Working+Party+1C&amp;_roles=Vice+-+Chair&amp;studyperiod=M-00000291" TargetMode="External"/><Relationship Id="rId94" Type="http://schemas.openxmlformats.org/officeDocument/2006/relationships/hyperlink" Target="https://www.itu.int/oth/R0A0E000097/fr" TargetMode="External"/><Relationship Id="rId99" Type="http://schemas.openxmlformats.org/officeDocument/2006/relationships/hyperlink" Target="https://www.itu.int/md/R23-RAG-C-0058/fr" TargetMode="External"/><Relationship Id="rId101" Type="http://schemas.openxmlformats.org/officeDocument/2006/relationships/hyperlink" Target="https://www.itu.int/md/R00-CA-CIR-0277/fr" TargetMode="Externa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hyperlink" Target="https://www.itu.int/pub/R-REP-SM.2012" TargetMode="External"/><Relationship Id="rId18" Type="http://schemas.openxmlformats.org/officeDocument/2006/relationships/hyperlink" Target="https://www.itu.int/rec/R-REC-P.530/en" TargetMode="External"/><Relationship Id="rId39" Type="http://schemas.openxmlformats.org/officeDocument/2006/relationships/hyperlink" Target="https://www.itu.int/pub/R-REP-M.2039" TargetMode="External"/><Relationship Id="rId109" Type="http://schemas.openxmlformats.org/officeDocument/2006/relationships/footer" Target="footer1.xml"/><Relationship Id="rId34" Type="http://schemas.openxmlformats.org/officeDocument/2006/relationships/hyperlink" Target="https://www.itu.int/pub/R-QUE-SG03.237" TargetMode="External"/><Relationship Id="rId50" Type="http://schemas.openxmlformats.org/officeDocument/2006/relationships/hyperlink" Target="https://www.itu.int/rec/R-REC-BS.2088/en" TargetMode="External"/><Relationship Id="rId55" Type="http://schemas.openxmlformats.org/officeDocument/2006/relationships/hyperlink" Target="https://www.itu.int/pub/R-REP-BT.2295" TargetMode="External"/><Relationship Id="rId76" Type="http://schemas.openxmlformats.org/officeDocument/2006/relationships/hyperlink" Target="https://www.itu.int/pub/R-REP-RA.2552" TargetMode="External"/><Relationship Id="rId97" Type="http://schemas.openxmlformats.org/officeDocument/2006/relationships/hyperlink" Target="https://www.itu.int/en/general-secretariat/Pages/coordination-committee-for-terminology.aspx" TargetMode="External"/><Relationship Id="rId104" Type="http://schemas.openxmlformats.org/officeDocument/2006/relationships/hyperlink" Target="https://www.itu.int/oth/R0A0D00002C/fr" TargetMode="External"/><Relationship Id="rId7" Type="http://schemas.openxmlformats.org/officeDocument/2006/relationships/image" Target="media/image1.jpeg"/><Relationship Id="rId71" Type="http://schemas.openxmlformats.org/officeDocument/2006/relationships/hyperlink" Target="https://www.itu.int/rec/R-REC-RS.1166/en" TargetMode="External"/><Relationship Id="rId92" Type="http://schemas.openxmlformats.org/officeDocument/2006/relationships/hyperlink" Target="https://www.itu.int/en/ITU-R/seminars/Fixed-Wireless-Service/Pages/default.aspx" TargetMode="External"/><Relationship Id="rId2" Type="http://schemas.openxmlformats.org/officeDocument/2006/relationships/styles" Target="styles.xml"/><Relationship Id="rId29" Type="http://schemas.openxmlformats.org/officeDocument/2006/relationships/hyperlink" Target="https://www.itu.int/rec/R-REC-P.2001/en" TargetMode="External"/><Relationship Id="rId24" Type="http://schemas.openxmlformats.org/officeDocument/2006/relationships/hyperlink" Target="https://www.itu.int/rec/R-REC-P.1238/en" TargetMode="External"/><Relationship Id="rId40" Type="http://schemas.openxmlformats.org/officeDocument/2006/relationships/hyperlink" Target="https://www.itu.int/pub/R-REP-M.2559" TargetMode="External"/><Relationship Id="rId45" Type="http://schemas.openxmlformats.org/officeDocument/2006/relationships/hyperlink" Target="https://www.itu.int/pub/R-HDB-52" TargetMode="External"/><Relationship Id="rId66" Type="http://schemas.openxmlformats.org/officeDocument/2006/relationships/hyperlink" Target="https://www.itu.int/pub/R-REP-BT.2539" TargetMode="External"/><Relationship Id="rId87" Type="http://schemas.openxmlformats.org/officeDocument/2006/relationships/hyperlink" Target="https://www.itu.int/md/R00-SG01-CIR-0115/fr" TargetMode="External"/><Relationship Id="rId110" Type="http://schemas.openxmlformats.org/officeDocument/2006/relationships/fontTable" Target="fontTable.xml"/><Relationship Id="rId61" Type="http://schemas.openxmlformats.org/officeDocument/2006/relationships/hyperlink" Target="https://www.itu.int/pub/R-REP-BT.2390" TargetMode="External"/><Relationship Id="rId82" Type="http://schemas.openxmlformats.org/officeDocument/2006/relationships/hyperlink" Target="https://www.itu.int/md/R00-SG01-CIR-0113/fr" TargetMode="External"/><Relationship Id="rId19" Type="http://schemas.openxmlformats.org/officeDocument/2006/relationships/hyperlink" Target="https://www.itu.int/rec/R-REC-P.531/en" TargetMode="External"/><Relationship Id="rId14" Type="http://schemas.openxmlformats.org/officeDocument/2006/relationships/hyperlink" Target="https://www.itu.int/pub/R-REP-SM.2015" TargetMode="External"/><Relationship Id="rId30" Type="http://schemas.openxmlformats.org/officeDocument/2006/relationships/hyperlink" Target="https://www.itu.int/rec/R-REC-P.2040/en" TargetMode="External"/><Relationship Id="rId35" Type="http://schemas.openxmlformats.org/officeDocument/2006/relationships/hyperlink" Target="https://www.itu.int/pub/R-REP-M.2305" TargetMode="External"/><Relationship Id="rId56" Type="http://schemas.openxmlformats.org/officeDocument/2006/relationships/hyperlink" Target="https://www.itu.int/pub/R-REP-BT.2385" TargetMode="External"/><Relationship Id="rId77" Type="http://schemas.openxmlformats.org/officeDocument/2006/relationships/hyperlink" Target="https://www.itu.int/pub/R-REP-RS.2310" TargetMode="External"/><Relationship Id="rId100" Type="http://schemas.openxmlformats.org/officeDocument/2006/relationships/hyperlink" Target="https://www.itu.int/md/R23-SG01-C-0045/fr" TargetMode="External"/><Relationship Id="rId105" Type="http://schemas.openxmlformats.org/officeDocument/2006/relationships/hyperlink" Target="https://www.itu.int/md/R23-RAG-C-0058/fr" TargetMode="External"/><Relationship Id="rId8" Type="http://schemas.openxmlformats.org/officeDocument/2006/relationships/hyperlink" Target="https://www.itu.int/md/R00-CA-CIR-0280/fr" TargetMode="External"/><Relationship Id="rId51" Type="http://schemas.openxmlformats.org/officeDocument/2006/relationships/hyperlink" Target="https://www.itu.int/rec/R-REC-BT.1774/en" TargetMode="External"/><Relationship Id="rId72" Type="http://schemas.openxmlformats.org/officeDocument/2006/relationships/hyperlink" Target="https://www.itu.int/rec/R-REC-RS.2105/en" TargetMode="External"/><Relationship Id="rId93" Type="http://schemas.openxmlformats.org/officeDocument/2006/relationships/hyperlink" Target="https://www.itu.int/md/R23-SG05-C-0116/fr" TargetMode="External"/><Relationship Id="rId98" Type="http://schemas.openxmlformats.org/officeDocument/2006/relationships/hyperlink" Target="https://www.itu.int/myworkspace/terminology" TargetMode="External"/><Relationship Id="rId3" Type="http://schemas.openxmlformats.org/officeDocument/2006/relationships/settings" Target="settings.xml"/><Relationship Id="rId25" Type="http://schemas.openxmlformats.org/officeDocument/2006/relationships/hyperlink" Target="https://www.itu.int/rec/R-REC-P.1409/en" TargetMode="External"/><Relationship Id="rId46" Type="http://schemas.openxmlformats.org/officeDocument/2006/relationships/hyperlink" Target="https://www.itu.int/rec/R-REC-BS.705/en" TargetMode="External"/><Relationship Id="rId67" Type="http://schemas.openxmlformats.org/officeDocument/2006/relationships/hyperlink" Target="https://www.itu.int/pub/R-REP-BT.2549" TargetMode="External"/><Relationship Id="rId20" Type="http://schemas.openxmlformats.org/officeDocument/2006/relationships/hyperlink" Target="https://www.itu.int/rec/R-REC-P.617/en" TargetMode="External"/><Relationship Id="rId41" Type="http://schemas.openxmlformats.org/officeDocument/2006/relationships/hyperlink" Target="https://www.itu.int/pub/R-REP-M.2560" TargetMode="External"/><Relationship Id="rId62" Type="http://schemas.openxmlformats.org/officeDocument/2006/relationships/hyperlink" Target="https://www.itu.int/pub/R-REP-BT.2400" TargetMode="External"/><Relationship Id="rId83" Type="http://schemas.openxmlformats.org/officeDocument/2006/relationships/hyperlink" Target="https://www.itu.int/md/R23-SG01-C-0001/fr" TargetMode="External"/><Relationship Id="rId88" Type="http://schemas.openxmlformats.org/officeDocument/2006/relationships/hyperlink" Target="https://www.itu.int/en/ITU-R/seminars/ML-in-radio-prop/Pages/default.aspx"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BE2D-4694-B60C-461F16BFAA8A}"/>
              </c:ext>
            </c:extLst>
          </c:dPt>
          <c:dPt>
            <c:idx val="5"/>
            <c:invertIfNegative val="0"/>
            <c:bubble3D val="0"/>
            <c:spPr>
              <a:solidFill>
                <a:srgbClr val="ED7D31"/>
              </a:solidFill>
              <a:ln>
                <a:noFill/>
              </a:ln>
              <a:effectLst/>
            </c:spPr>
            <c:extLst>
              <c:ext xmlns:c16="http://schemas.microsoft.com/office/drawing/2014/chart" uri="{C3380CC4-5D6E-409C-BE32-E72D297353CC}">
                <c16:uniqueId val="{00000003-BE2D-4694-B60C-461F16BFAA8A}"/>
              </c:ext>
            </c:extLst>
          </c:dPt>
          <c:dPt>
            <c:idx val="6"/>
            <c:invertIfNegative val="0"/>
            <c:bubble3D val="0"/>
            <c:spPr>
              <a:solidFill>
                <a:srgbClr val="ED7D31"/>
              </a:solidFill>
              <a:ln>
                <a:noFill/>
              </a:ln>
              <a:effectLst/>
            </c:spPr>
            <c:extLst>
              <c:ext xmlns:c16="http://schemas.microsoft.com/office/drawing/2014/chart" uri="{C3380CC4-5D6E-409C-BE32-E72D297353CC}">
                <c16:uniqueId val="{00000005-BE2D-4694-B60C-461F16BFAA8A}"/>
              </c:ext>
            </c:extLst>
          </c:dPt>
          <c:dPt>
            <c:idx val="7"/>
            <c:invertIfNegative val="0"/>
            <c:bubble3D val="0"/>
            <c:spPr>
              <a:solidFill>
                <a:srgbClr val="ED7D31"/>
              </a:solidFill>
              <a:ln>
                <a:noFill/>
              </a:ln>
              <a:effectLst/>
            </c:spPr>
            <c:extLst>
              <c:ext xmlns:c16="http://schemas.microsoft.com/office/drawing/2014/chart" uri="{C3380CC4-5D6E-409C-BE32-E72D297353CC}">
                <c16:uniqueId val="{00000007-BE2D-4694-B60C-461F16BFAA8A}"/>
              </c:ext>
            </c:extLst>
          </c:dPt>
          <c:dPt>
            <c:idx val="8"/>
            <c:invertIfNegative val="0"/>
            <c:bubble3D val="0"/>
            <c:spPr>
              <a:solidFill>
                <a:srgbClr val="ED7D31"/>
              </a:solidFill>
              <a:ln>
                <a:noFill/>
              </a:ln>
              <a:effectLst/>
            </c:spPr>
            <c:extLst>
              <c:ext xmlns:c16="http://schemas.microsoft.com/office/drawing/2014/chart" uri="{C3380CC4-5D6E-409C-BE32-E72D297353CC}">
                <c16:uniqueId val="{00000009-BE2D-4694-B60C-461F16BFAA8A}"/>
              </c:ext>
            </c:extLst>
          </c:dPt>
          <c:dPt>
            <c:idx val="9"/>
            <c:invertIfNegative val="0"/>
            <c:bubble3D val="0"/>
            <c:spPr>
              <a:solidFill>
                <a:srgbClr val="00823B"/>
              </a:solidFill>
              <a:ln>
                <a:noFill/>
              </a:ln>
              <a:effectLst/>
            </c:spPr>
            <c:extLst>
              <c:ext xmlns:c16="http://schemas.microsoft.com/office/drawing/2014/chart" uri="{C3380CC4-5D6E-409C-BE32-E72D297353CC}">
                <c16:uniqueId val="{0000000B-BE2D-4694-B60C-461F16BFAA8A}"/>
              </c:ext>
            </c:extLst>
          </c:dPt>
          <c:dPt>
            <c:idx val="10"/>
            <c:invertIfNegative val="0"/>
            <c:bubble3D val="0"/>
            <c:spPr>
              <a:solidFill>
                <a:srgbClr val="00B050"/>
              </a:solidFill>
              <a:ln>
                <a:noFill/>
              </a:ln>
              <a:effectLst/>
            </c:spPr>
            <c:extLst>
              <c:ext xmlns:c16="http://schemas.microsoft.com/office/drawing/2014/chart" uri="{C3380CC4-5D6E-409C-BE32-E72D297353CC}">
                <c16:uniqueId val="{0000000D-BE2D-4694-B60C-461F16BFAA8A}"/>
              </c:ext>
            </c:extLst>
          </c:dPt>
          <c:dPt>
            <c:idx val="11"/>
            <c:invertIfNegative val="0"/>
            <c:bubble3D val="0"/>
            <c:spPr>
              <a:solidFill>
                <a:srgbClr val="00B050"/>
              </a:solidFill>
              <a:ln>
                <a:noFill/>
              </a:ln>
              <a:effectLst/>
            </c:spPr>
            <c:extLst>
              <c:ext xmlns:c16="http://schemas.microsoft.com/office/drawing/2014/chart" uri="{C3380CC4-5D6E-409C-BE32-E72D297353CC}">
                <c16:uniqueId val="{0000000F-BE2D-4694-B60C-461F16BFAA8A}"/>
              </c:ext>
            </c:extLst>
          </c:dPt>
          <c:dPt>
            <c:idx val="12"/>
            <c:invertIfNegative val="0"/>
            <c:bubble3D val="0"/>
            <c:spPr>
              <a:solidFill>
                <a:srgbClr val="00B050"/>
              </a:solidFill>
              <a:ln>
                <a:noFill/>
              </a:ln>
              <a:effectLst/>
            </c:spPr>
            <c:extLst>
              <c:ext xmlns:c16="http://schemas.microsoft.com/office/drawing/2014/chart" uri="{C3380CC4-5D6E-409C-BE32-E72D297353CC}">
                <c16:uniqueId val="{00000011-BE2D-4694-B60C-461F16BFAA8A}"/>
              </c:ext>
            </c:extLst>
          </c:dPt>
          <c:dPt>
            <c:idx val="13"/>
            <c:invertIfNegative val="0"/>
            <c:bubble3D val="0"/>
            <c:spPr>
              <a:solidFill>
                <a:srgbClr val="532476"/>
              </a:solidFill>
              <a:ln>
                <a:noFill/>
              </a:ln>
              <a:effectLst/>
            </c:spPr>
            <c:extLst>
              <c:ext xmlns:c16="http://schemas.microsoft.com/office/drawing/2014/chart" uri="{C3380CC4-5D6E-409C-BE32-E72D297353CC}">
                <c16:uniqueId val="{00000013-BE2D-4694-B60C-461F16BFAA8A}"/>
              </c:ext>
            </c:extLst>
          </c:dPt>
          <c:dPt>
            <c:idx val="14"/>
            <c:invertIfNegative val="0"/>
            <c:bubble3D val="0"/>
            <c:spPr>
              <a:solidFill>
                <a:srgbClr val="7030A0"/>
              </a:solidFill>
              <a:ln>
                <a:noFill/>
              </a:ln>
              <a:effectLst/>
            </c:spPr>
            <c:extLst>
              <c:ext xmlns:c16="http://schemas.microsoft.com/office/drawing/2014/chart" uri="{C3380CC4-5D6E-409C-BE32-E72D297353CC}">
                <c16:uniqueId val="{00000015-BE2D-4694-B60C-461F16BFAA8A}"/>
              </c:ext>
            </c:extLst>
          </c:dPt>
          <c:dPt>
            <c:idx val="15"/>
            <c:invertIfNegative val="0"/>
            <c:bubble3D val="0"/>
            <c:spPr>
              <a:solidFill>
                <a:srgbClr val="7030A0"/>
              </a:solidFill>
              <a:ln>
                <a:noFill/>
              </a:ln>
              <a:effectLst/>
            </c:spPr>
            <c:extLst>
              <c:ext xmlns:c16="http://schemas.microsoft.com/office/drawing/2014/chart" uri="{C3380CC4-5D6E-409C-BE32-E72D297353CC}">
                <c16:uniqueId val="{00000017-BE2D-4694-B60C-461F16BFAA8A}"/>
              </c:ext>
            </c:extLst>
          </c:dPt>
          <c:dPt>
            <c:idx val="16"/>
            <c:invertIfNegative val="0"/>
            <c:bubble3D val="0"/>
            <c:spPr>
              <a:solidFill>
                <a:srgbClr val="7030A0"/>
              </a:solidFill>
              <a:ln>
                <a:noFill/>
              </a:ln>
              <a:effectLst/>
            </c:spPr>
            <c:extLst>
              <c:ext xmlns:c16="http://schemas.microsoft.com/office/drawing/2014/chart" uri="{C3380CC4-5D6E-409C-BE32-E72D297353CC}">
                <c16:uniqueId val="{00000019-BE2D-4694-B60C-461F16BFAA8A}"/>
              </c:ext>
            </c:extLst>
          </c:dPt>
          <c:dPt>
            <c:idx val="17"/>
            <c:invertIfNegative val="0"/>
            <c:bubble3D val="0"/>
            <c:spPr>
              <a:solidFill>
                <a:srgbClr val="7030A0"/>
              </a:solidFill>
              <a:ln>
                <a:noFill/>
              </a:ln>
              <a:effectLst/>
            </c:spPr>
            <c:extLst>
              <c:ext xmlns:c16="http://schemas.microsoft.com/office/drawing/2014/chart" uri="{C3380CC4-5D6E-409C-BE32-E72D297353CC}">
                <c16:uniqueId val="{0000001B-BE2D-4694-B60C-461F16BFAA8A}"/>
              </c:ext>
            </c:extLst>
          </c:dPt>
          <c:dPt>
            <c:idx val="18"/>
            <c:invertIfNegative val="0"/>
            <c:bubble3D val="0"/>
            <c:spPr>
              <a:solidFill>
                <a:srgbClr val="A80000"/>
              </a:solidFill>
              <a:ln>
                <a:noFill/>
              </a:ln>
              <a:effectLst/>
            </c:spPr>
            <c:extLst>
              <c:ext xmlns:c16="http://schemas.microsoft.com/office/drawing/2014/chart" uri="{C3380CC4-5D6E-409C-BE32-E72D297353CC}">
                <c16:uniqueId val="{0000001D-BE2D-4694-B60C-461F16BFAA8A}"/>
              </c:ext>
            </c:extLst>
          </c:dPt>
          <c:dPt>
            <c:idx val="19"/>
            <c:invertIfNegative val="0"/>
            <c:bubble3D val="0"/>
            <c:spPr>
              <a:solidFill>
                <a:srgbClr val="C00000"/>
              </a:solidFill>
              <a:ln>
                <a:noFill/>
              </a:ln>
              <a:effectLst/>
            </c:spPr>
            <c:extLst>
              <c:ext xmlns:c16="http://schemas.microsoft.com/office/drawing/2014/chart" uri="{C3380CC4-5D6E-409C-BE32-E72D297353CC}">
                <c16:uniqueId val="{0000001F-BE2D-4694-B60C-461F16BFAA8A}"/>
              </c:ext>
            </c:extLst>
          </c:dPt>
          <c:dPt>
            <c:idx val="20"/>
            <c:invertIfNegative val="0"/>
            <c:bubble3D val="0"/>
            <c:spPr>
              <a:solidFill>
                <a:srgbClr val="C00000"/>
              </a:solidFill>
              <a:ln>
                <a:noFill/>
              </a:ln>
              <a:effectLst/>
            </c:spPr>
            <c:extLst>
              <c:ext xmlns:c16="http://schemas.microsoft.com/office/drawing/2014/chart" uri="{C3380CC4-5D6E-409C-BE32-E72D297353CC}">
                <c16:uniqueId val="{00000021-BE2D-4694-B60C-461F16BFAA8A}"/>
              </c:ext>
            </c:extLst>
          </c:dPt>
          <c:dPt>
            <c:idx val="21"/>
            <c:invertIfNegative val="0"/>
            <c:bubble3D val="0"/>
            <c:spPr>
              <a:solidFill>
                <a:srgbClr val="C00000"/>
              </a:solidFill>
              <a:ln>
                <a:noFill/>
              </a:ln>
              <a:effectLst/>
            </c:spPr>
            <c:extLst>
              <c:ext xmlns:c16="http://schemas.microsoft.com/office/drawing/2014/chart" uri="{C3380CC4-5D6E-409C-BE32-E72D297353CC}">
                <c16:uniqueId val="{00000023-BE2D-4694-B60C-461F16BFAA8A}"/>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BE2D-4694-B60C-461F16BFAA8A}"/>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BE2D-4694-B60C-461F16BFAA8A}"/>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BE2D-4694-B60C-461F16BFAA8A}"/>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BE2D-4694-B60C-461F16BFAA8A}"/>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BE2D-4694-B60C-461F16BFAA8A}"/>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CE 1</c:v>
                </c:pt>
                <c:pt idx="1">
                  <c:v>GT 1A</c:v>
                </c:pt>
                <c:pt idx="2">
                  <c:v>GT 1B</c:v>
                </c:pt>
                <c:pt idx="3">
                  <c:v>GT 1C</c:v>
                </c:pt>
                <c:pt idx="4">
                  <c:v>CE 3</c:v>
                </c:pt>
                <c:pt idx="5">
                  <c:v>GT 3J</c:v>
                </c:pt>
                <c:pt idx="6">
                  <c:v>GT 3K</c:v>
                </c:pt>
                <c:pt idx="7">
                  <c:v>GT 3L</c:v>
                </c:pt>
                <c:pt idx="8">
                  <c:v>GT 3M</c:v>
                </c:pt>
                <c:pt idx="9">
                  <c:v>CE 4</c:v>
                </c:pt>
                <c:pt idx="10">
                  <c:v>GT 4A</c:v>
                </c:pt>
                <c:pt idx="11">
                  <c:v>GT 4B</c:v>
                </c:pt>
                <c:pt idx="12">
                  <c:v>GT 4C</c:v>
                </c:pt>
                <c:pt idx="13">
                  <c:v>CE 5</c:v>
                </c:pt>
                <c:pt idx="14">
                  <c:v>GT 5A</c:v>
                </c:pt>
                <c:pt idx="15">
                  <c:v>GT 5B</c:v>
                </c:pt>
                <c:pt idx="16">
                  <c:v>GT 5C</c:v>
                </c:pt>
                <c:pt idx="17">
                  <c:v>GT 5D</c:v>
                </c:pt>
                <c:pt idx="18">
                  <c:v>CE 6</c:v>
                </c:pt>
                <c:pt idx="19">
                  <c:v>GT 6A</c:v>
                </c:pt>
                <c:pt idx="20">
                  <c:v>GT 6B</c:v>
                </c:pt>
                <c:pt idx="21">
                  <c:v>GT 6C</c:v>
                </c:pt>
                <c:pt idx="22">
                  <c:v>CE 7</c:v>
                </c:pt>
                <c:pt idx="23">
                  <c:v>GT 7A</c:v>
                </c:pt>
                <c:pt idx="24">
                  <c:v>GT 7B</c:v>
                </c:pt>
                <c:pt idx="25">
                  <c:v>GT 7C</c:v>
                </c:pt>
                <c:pt idx="26">
                  <c:v>GT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BE2D-4694-B60C-461F16BFAA8A}"/>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Groupe</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b="0" i="0" u="none" strike="noStrike" kern="1200" cap="none" baseline="0" dirty="0">
                    <a:solidFill>
                      <a:sysClr val="windowText" lastClr="000000">
                        <a:lumMod val="65000"/>
                        <a:lumOff val="35000"/>
                      </a:sysClr>
                    </a:solidFill>
                  </a:rPr>
                  <a:t>Nombre de participants en présentiel</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70</TotalTime>
  <Pages>11</Pages>
  <Words>4839</Words>
  <Characters>25618</Characters>
  <Application>Microsoft Office Word</Application>
  <DocSecurity>0</DocSecurity>
  <Lines>507</Lines>
  <Paragraphs>183</Paragraphs>
  <ScaleCrop>false</ScaleCrop>
  <HeadingPairs>
    <vt:vector size="2" baseType="variant">
      <vt:variant>
        <vt:lpstr>Title</vt:lpstr>
      </vt:variant>
      <vt:variant>
        <vt:i4>1</vt:i4>
      </vt:variant>
    </vt:vector>
  </HeadingPairs>
  <TitlesOfParts>
    <vt:vector size="1" baseType="lpstr">
      <vt:lpstr>RAPPORT À LA TRENTE-TROISIÈME RÉUNION DU GROUPE CONSULTATIF DES RADIOCOMMUNICATIONS</vt:lpstr>
    </vt:vector>
  </TitlesOfParts>
  <Manager>General Secretariat - Pool</Manager>
  <Company>International Telecommunication Union (ITU)</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TRENTE-TROISIÈME RÉUNION DU GROUPE CONSULTATIF DES RADIOCOMMUNICATIONS</dc:title>
  <dc:subject>GROUPE CONSULTATIF DES RADIOCOMMUNICATIONS</dc:subject>
  <dc:creator>Directeur du Bureau des radiocommunications</dc:creator>
  <cp:keywords>RAG03-1</cp:keywords>
  <dc:description>Addendum 1 au Document RAG/58-F  For: _x000d_Document date: 19 février 2026_x000d_Saved by ITU51014351 at 08:29:22 on 27/02/2026</dc:description>
  <cp:lastModifiedBy>French</cp:lastModifiedBy>
  <cp:revision>8</cp:revision>
  <cp:lastPrinted>1999-10-11T14:58:00Z</cp:lastPrinted>
  <dcterms:created xsi:type="dcterms:W3CDTF">2026-02-27T06:19:00Z</dcterms:created>
  <dcterms:modified xsi:type="dcterms:W3CDTF">2026-02-27T07:29:00Z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1 au Document RAG/58-F</vt:lpwstr>
  </property>
  <property fmtid="{D5CDD505-2E9C-101B-9397-08002B2CF9AE}" pid="3" name="Docdate">
    <vt:lpwstr>19 février 2026</vt:lpwstr>
  </property>
  <property fmtid="{D5CDD505-2E9C-101B-9397-08002B2CF9AE}" pid="4" name="Docorlang">
    <vt:lpwstr>Original: anglais</vt:lpwstr>
  </property>
  <property fmtid="{D5CDD505-2E9C-101B-9397-08002B2CF9AE}" pid="5" name="Docauthor">
    <vt:lpwstr>Directeur du Bureau des radiocommunications</vt:lpwstr>
  </property>
</Properties>
</file>