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50CEA242" w:rsidR="0051782D" w:rsidRPr="001A0041" w:rsidRDefault="003A7B7A" w:rsidP="001A0041">
            <w:pPr>
              <w:shd w:val="solid" w:color="FFFFFF" w:fill="FFFFFF"/>
              <w:spacing w:before="0" w:line="240" w:lineRule="atLeast"/>
              <w:rPr>
                <w:rFonts w:ascii="Verdana" w:hAnsi="Verdana"/>
                <w:sz w:val="20"/>
              </w:rPr>
            </w:pPr>
            <w:r>
              <w:rPr>
                <w:rFonts w:ascii="Verdana" w:hAnsi="Verdana"/>
                <w:b/>
                <w:sz w:val="20"/>
              </w:rPr>
              <w:t xml:space="preserve">Addendum 1 to </w:t>
            </w:r>
            <w:r>
              <w:rPr>
                <w:rFonts w:ascii="Verdana" w:hAnsi="Verdana"/>
                <w:b/>
                <w:sz w:val="20"/>
              </w:rPr>
              <w:br/>
            </w:r>
            <w:r w:rsidR="001A0041">
              <w:rPr>
                <w:rFonts w:ascii="Verdana" w:hAnsi="Verdana"/>
                <w:b/>
                <w:sz w:val="20"/>
              </w:rPr>
              <w:t>Document RAG/</w:t>
            </w:r>
            <w:r w:rsidR="00A4545E">
              <w:rPr>
                <w:rFonts w:ascii="Verdana" w:hAnsi="Verdana"/>
                <w:b/>
                <w:sz w:val="20"/>
              </w:rPr>
              <w:t>58</w:t>
            </w:r>
            <w:r w:rsidR="001A0041">
              <w:rPr>
                <w:rFonts w:ascii="Verdana" w:hAnsi="Verdana"/>
                <w:b/>
                <w:sz w:val="20"/>
              </w:rPr>
              <w:t>-E</w:t>
            </w:r>
          </w:p>
        </w:tc>
      </w:tr>
      <w:tr w:rsidR="0051782D" w14:paraId="73C3C199" w14:textId="77777777" w:rsidTr="00B35BE4">
        <w:trPr>
          <w:cantSplit/>
        </w:trPr>
        <w:tc>
          <w:tcPr>
            <w:tcW w:w="6487" w:type="dxa"/>
            <w:gridSpan w:val="2"/>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78AE2C48" w:rsidR="0051782D" w:rsidRPr="001A0041" w:rsidRDefault="006C2069" w:rsidP="001A0041">
            <w:pPr>
              <w:shd w:val="solid" w:color="FFFFFF" w:fill="FFFFFF"/>
              <w:spacing w:before="0" w:line="240" w:lineRule="atLeast"/>
              <w:rPr>
                <w:rFonts w:ascii="Verdana" w:hAnsi="Verdana"/>
                <w:sz w:val="20"/>
              </w:rPr>
            </w:pPr>
            <w:r>
              <w:rPr>
                <w:rFonts w:ascii="Verdana" w:hAnsi="Verdana"/>
                <w:b/>
                <w:sz w:val="20"/>
              </w:rPr>
              <w:t>19</w:t>
            </w:r>
            <w:r w:rsidR="00A4545E" w:rsidRPr="001B3781">
              <w:rPr>
                <w:rFonts w:ascii="Verdana" w:hAnsi="Verdana"/>
                <w:b/>
                <w:sz w:val="20"/>
              </w:rPr>
              <w:t xml:space="preserve"> </w:t>
            </w:r>
            <w:r w:rsidR="00C17522" w:rsidRPr="001B3781">
              <w:rPr>
                <w:rFonts w:ascii="Verdana" w:hAnsi="Verdana"/>
                <w:b/>
                <w:sz w:val="20"/>
              </w:rPr>
              <w:t>February</w:t>
            </w:r>
            <w:r w:rsidR="00C17522">
              <w:rPr>
                <w:rFonts w:ascii="Verdana" w:hAnsi="Verdana"/>
                <w:b/>
                <w:sz w:val="20"/>
              </w:rPr>
              <w:t xml:space="preserve"> </w:t>
            </w:r>
            <w:r w:rsidR="00762732">
              <w:rPr>
                <w:rFonts w:ascii="Verdana" w:hAnsi="Verdana"/>
                <w:b/>
                <w:sz w:val="20"/>
              </w:rPr>
              <w:t>202</w:t>
            </w:r>
            <w:r w:rsidR="00A4545E">
              <w:rPr>
                <w:rFonts w:ascii="Verdana" w:hAnsi="Verdana"/>
                <w:b/>
                <w:sz w:val="20"/>
              </w:rPr>
              <w:t>6</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0BC24AA7" w:rsidR="0051782D" w:rsidRPr="001A0041" w:rsidRDefault="00C17522" w:rsidP="001A0041">
            <w:pPr>
              <w:shd w:val="solid" w:color="FFFFFF" w:fill="FFFFFF"/>
              <w:spacing w:before="0" w:after="120" w:line="240" w:lineRule="atLeast"/>
              <w:rPr>
                <w:rFonts w:ascii="Verdana" w:hAnsi="Verdana"/>
                <w:sz w:val="20"/>
              </w:rPr>
            </w:pPr>
            <w:r>
              <w:rPr>
                <w:rFonts w:ascii="Verdana" w:hAnsi="Verdana"/>
                <w:b/>
                <w:sz w:val="20"/>
              </w:rPr>
              <w:t>Original: E</w:t>
            </w:r>
            <w:r w:rsidR="00762732">
              <w:rPr>
                <w:rFonts w:ascii="Verdana" w:hAnsi="Verdana"/>
                <w:b/>
                <w:sz w:val="20"/>
              </w:rPr>
              <w:t>nglish</w:t>
            </w:r>
          </w:p>
        </w:tc>
      </w:tr>
      <w:tr w:rsidR="00093C73" w14:paraId="67CF20AF" w14:textId="77777777" w:rsidTr="00B35BE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E757EA">
              <w:trPr>
                <w:cantSplit/>
              </w:trPr>
              <w:tc>
                <w:tcPr>
                  <w:tcW w:w="9889" w:type="dxa"/>
                </w:tcPr>
                <w:p w14:paraId="259F3C61" w14:textId="1CDB2DF8" w:rsidR="00762732" w:rsidRPr="00254FAC" w:rsidRDefault="0069388B" w:rsidP="00762732">
                  <w:pPr>
                    <w:pStyle w:val="Source"/>
                  </w:pPr>
                  <w:bookmarkStart w:id="3" w:name="dsource" w:colFirst="0" w:colLast="0"/>
                  <w:bookmarkEnd w:id="2"/>
                  <w:r w:rsidRPr="0069388B">
                    <w:t>Director, Radiocommunication Bureau</w:t>
                  </w:r>
                </w:p>
              </w:tc>
            </w:tr>
            <w:tr w:rsidR="00CA4427" w14:paraId="7F8F9ADC" w14:textId="77777777" w:rsidTr="00E757EA">
              <w:trPr>
                <w:cantSplit/>
              </w:trPr>
              <w:tc>
                <w:tcPr>
                  <w:tcW w:w="9889" w:type="dxa"/>
                </w:tcPr>
                <w:p w14:paraId="0996F708" w14:textId="09C3E088" w:rsidR="00CA4427" w:rsidRPr="00F46533" w:rsidRDefault="00697A44" w:rsidP="00762732">
                  <w:pPr>
                    <w:pStyle w:val="Title1"/>
                  </w:pPr>
                  <w:r w:rsidRPr="00F46533">
                    <w:t>report TO the tHIRT</w:t>
                  </w:r>
                  <w:r>
                    <w:t>Y-THIRD</w:t>
                  </w:r>
                  <w:r w:rsidRPr="00F46533">
                    <w:t xml:space="preserve"> meeting </w:t>
                  </w:r>
                  <w:r w:rsidRPr="00F46533">
                    <w:br/>
                    <w:t>of the radiocommunication advisory group</w:t>
                  </w:r>
                </w:p>
              </w:tc>
            </w:tr>
            <w:tr w:rsidR="00762732" w14:paraId="3CCAA1A5" w14:textId="77777777" w:rsidTr="00E757EA">
              <w:trPr>
                <w:cantSplit/>
              </w:trPr>
              <w:tc>
                <w:tcPr>
                  <w:tcW w:w="9889" w:type="dxa"/>
                </w:tcPr>
                <w:p w14:paraId="6B51D0F8" w14:textId="0C09D9BD" w:rsidR="00762732" w:rsidRPr="00CA4427" w:rsidRDefault="00CA4427" w:rsidP="005678CE">
                  <w:pPr>
                    <w:jc w:val="center"/>
                    <w:rPr>
                      <w:caps/>
                      <w:sz w:val="28"/>
                    </w:rPr>
                  </w:pPr>
                  <w:r w:rsidRPr="00CA4427">
                    <w:rPr>
                      <w:caps/>
                      <w:sz w:val="28"/>
                    </w:rPr>
                    <w:t>STUDY GROUPS ACTIVITIES</w:t>
                  </w:r>
                </w:p>
              </w:tc>
            </w:tr>
          </w:tbl>
          <w:p w14:paraId="48EDD9F3" w14:textId="77777777" w:rsidR="00093C73" w:rsidRDefault="00093C73" w:rsidP="005B2C58">
            <w:pPr>
              <w:pStyle w:val="Source"/>
            </w:pPr>
          </w:p>
        </w:tc>
      </w:tr>
      <w:bookmarkEnd w:id="3"/>
    </w:tbl>
    <w:p w14:paraId="2C795854" w14:textId="77777777" w:rsidR="00C04B16" w:rsidRDefault="00C04B16">
      <w:pPr>
        <w:tabs>
          <w:tab w:val="clear" w:pos="794"/>
          <w:tab w:val="clear" w:pos="1191"/>
          <w:tab w:val="clear" w:pos="1588"/>
          <w:tab w:val="clear" w:pos="1985"/>
        </w:tabs>
        <w:overflowPunct/>
        <w:autoSpaceDE/>
        <w:autoSpaceDN/>
        <w:adjustRightInd/>
        <w:spacing w:before="0"/>
        <w:textAlignment w:val="auto"/>
      </w:pPr>
    </w:p>
    <w:p w14:paraId="45C98404" w14:textId="53AB1DD9" w:rsidR="00B316F4" w:rsidRDefault="00B316F4" w:rsidP="00B316F4">
      <w:pPr>
        <w:pStyle w:val="Heading1"/>
        <w:rPr>
          <w:lang w:val="en-US"/>
        </w:rPr>
      </w:pPr>
      <w:bookmarkStart w:id="4" w:name="_Toc445972794"/>
      <w:r>
        <w:t>1</w:t>
      </w:r>
      <w:r w:rsidRPr="00745008">
        <w:tab/>
      </w:r>
      <w:r>
        <w:t>Introduction</w:t>
      </w:r>
    </w:p>
    <w:p w14:paraId="55D6ED75" w14:textId="3DF5D231" w:rsidR="00385DB8" w:rsidRDefault="00385DB8" w:rsidP="00385DB8">
      <w:pPr>
        <w:rPr>
          <w:lang w:val="en-US"/>
        </w:rPr>
      </w:pPr>
      <w:r w:rsidRPr="00745008">
        <w:rPr>
          <w:lang w:val="en-US"/>
        </w:rPr>
        <w:t xml:space="preserve">This document provides status reports and information on some of the issues </w:t>
      </w:r>
      <w:r>
        <w:rPr>
          <w:lang w:val="en-US"/>
        </w:rPr>
        <w:t>included</w:t>
      </w:r>
      <w:r w:rsidRPr="00745008">
        <w:rPr>
          <w:lang w:val="en-US"/>
        </w:rPr>
        <w:t xml:space="preserve"> on the draft agenda for the</w:t>
      </w:r>
      <w:r>
        <w:rPr>
          <w:lang w:val="en-US"/>
        </w:rPr>
        <w:t xml:space="preserve"> 33</w:t>
      </w:r>
      <w:r w:rsidRPr="00B86552">
        <w:rPr>
          <w:vertAlign w:val="superscript"/>
          <w:lang w:val="en-US"/>
        </w:rPr>
        <w:t>rd</w:t>
      </w:r>
      <w:r>
        <w:rPr>
          <w:lang w:val="en-US"/>
        </w:rPr>
        <w:t xml:space="preserve"> </w:t>
      </w:r>
      <w:r w:rsidRPr="00745008">
        <w:rPr>
          <w:lang w:val="en-US"/>
        </w:rPr>
        <w:t xml:space="preserve">meeting of RAG (see </w:t>
      </w:r>
      <w:hyperlink r:id="rId12">
        <w:r w:rsidRPr="00B86552">
          <w:rPr>
            <w:rStyle w:val="Hyperlink"/>
            <w:lang w:val="en-US"/>
          </w:rPr>
          <w:t>CA/280</w:t>
        </w:r>
      </w:hyperlink>
      <w:r w:rsidRPr="00745008">
        <w:rPr>
          <w:lang w:val="en-US"/>
        </w:rPr>
        <w:t>).</w:t>
      </w:r>
    </w:p>
    <w:p w14:paraId="2D1EB913" w14:textId="2836C504" w:rsidR="00385DB8" w:rsidRPr="00745008" w:rsidRDefault="00385DB8" w:rsidP="00385DB8">
      <w:r>
        <w:t>The activities and meetings of all ITU-R Study Groups (</w:t>
      </w:r>
      <w:r w:rsidRPr="00745008">
        <w:t>SG</w:t>
      </w:r>
      <w:r>
        <w:t>s) and Working Parties (</w:t>
      </w:r>
      <w:r w:rsidRPr="00745008">
        <w:t>WP</w:t>
      </w:r>
      <w:r>
        <w:t>s)</w:t>
      </w:r>
      <w:r w:rsidRPr="00745008">
        <w:t xml:space="preserve"> </w:t>
      </w:r>
      <w:r w:rsidR="000470B8">
        <w:t xml:space="preserve">are undertaken in accordance </w:t>
      </w:r>
      <w:r>
        <w:t>with the working methods established in Resolution ITU-R 1-9.</w:t>
      </w:r>
    </w:p>
    <w:p w14:paraId="38ACAB22" w14:textId="24AB2E9E" w:rsidR="00385DB8" w:rsidRPr="00745008" w:rsidRDefault="00385DB8" w:rsidP="00385DB8">
      <w:pPr>
        <w:pStyle w:val="Heading1"/>
      </w:pPr>
      <w:r>
        <w:t>2</w:t>
      </w:r>
      <w:r w:rsidRPr="00745008">
        <w:tab/>
      </w:r>
      <w:r w:rsidRPr="001732C2">
        <w:t>Participation</w:t>
      </w:r>
    </w:p>
    <w:p w14:paraId="532DF744" w14:textId="77777777" w:rsidR="00385DB8" w:rsidRDefault="00385DB8" w:rsidP="00385DB8">
      <w:r w:rsidRPr="001F752B">
        <w:t xml:space="preserve">Physical meetings with remote participation via Zoom </w:t>
      </w:r>
      <w:r>
        <w:t>we</w:t>
      </w:r>
      <w:r w:rsidRPr="001F752B">
        <w:t>re organized for all the meetings of SGs and WPs.</w:t>
      </w:r>
      <w:r w:rsidRPr="002F7897">
        <w:t xml:space="preserve"> </w:t>
      </w:r>
    </w:p>
    <w:p w14:paraId="65151B2D" w14:textId="6F693953" w:rsidR="00385DB8" w:rsidRDefault="00385DB8" w:rsidP="00385DB8">
      <w:r>
        <w:t>I</w:t>
      </w:r>
      <w:r w:rsidRPr="00745008">
        <w:t xml:space="preserve">nterpretation into the official languages of the Union </w:t>
      </w:r>
      <w:r>
        <w:t>was provided upon administrations' request, as indicated in the invitation letters to SG meetings. A</w:t>
      </w:r>
      <w:r w:rsidRPr="00745008">
        <w:t>ll SG meetings</w:t>
      </w:r>
      <w:r>
        <w:t xml:space="preserve"> hosted in ITU</w:t>
      </w:r>
      <w:r w:rsidRPr="00745008">
        <w:t xml:space="preserve"> </w:t>
      </w:r>
      <w:r>
        <w:t xml:space="preserve">were </w:t>
      </w:r>
      <w:r w:rsidRPr="00745008">
        <w:t>provided with live captioning in English.</w:t>
      </w:r>
      <w:r>
        <w:t xml:space="preserve"> However, due to the related technical requirements, th</w:t>
      </w:r>
      <w:r w:rsidR="00FF77C4">
        <w:t>is</w:t>
      </w:r>
      <w:r>
        <w:t xml:space="preserve"> feature might not be available for meetings </w:t>
      </w:r>
      <w:r w:rsidR="00FF77C4">
        <w:t xml:space="preserve">held </w:t>
      </w:r>
      <w:r>
        <w:t>outside ITU premises.</w:t>
      </w:r>
    </w:p>
    <w:p w14:paraId="75C07366" w14:textId="5C8ED49E" w:rsidR="00385DB8" w:rsidRPr="00745008" w:rsidRDefault="00CF2149" w:rsidP="00385DB8">
      <w:r>
        <w:t>Since 2020 there has been a</w:t>
      </w:r>
      <w:r w:rsidR="00385DB8" w:rsidRPr="00745008">
        <w:t xml:space="preserve"> </w:t>
      </w:r>
      <w:r w:rsidR="00385DB8">
        <w:t xml:space="preserve">significant </w:t>
      </w:r>
      <w:r w:rsidR="00385DB8" w:rsidRPr="00745008">
        <w:t xml:space="preserve">increase in the level of </w:t>
      </w:r>
      <w:r w:rsidR="00385DB8">
        <w:t xml:space="preserve">overall </w:t>
      </w:r>
      <w:r w:rsidR="00385DB8" w:rsidRPr="00745008">
        <w:t>participation in ITU-R SGs and WPs meetings</w:t>
      </w:r>
      <w:r w:rsidR="00542C86">
        <w:t xml:space="preserve">, which </w:t>
      </w:r>
      <w:r w:rsidR="00385DB8">
        <w:t>wa</w:t>
      </w:r>
      <w:r w:rsidR="00385DB8" w:rsidRPr="00745008">
        <w:t>s very encouraging</w:t>
      </w:r>
      <w:r w:rsidR="00542C86">
        <w:t>. However,</w:t>
      </w:r>
      <w:r w:rsidR="007526A0">
        <w:t xml:space="preserve"> the increased participation has</w:t>
      </w:r>
      <w:r w:rsidR="00385DB8" w:rsidRPr="00745008">
        <w:t xml:space="preserve"> create</w:t>
      </w:r>
      <w:r w:rsidR="00385DB8">
        <w:t>d</w:t>
      </w:r>
      <w:r w:rsidR="00385DB8" w:rsidRPr="00745008">
        <w:t xml:space="preserve"> difficulties </w:t>
      </w:r>
      <w:r w:rsidR="00385DB8">
        <w:t>when planning meetings of large groups</w:t>
      </w:r>
      <w:r w:rsidR="00385DB8" w:rsidRPr="00745008">
        <w:t>.</w:t>
      </w:r>
    </w:p>
    <w:p w14:paraId="7317F907" w14:textId="0C5DB769" w:rsidR="00385DB8" w:rsidRPr="00745008" w:rsidRDefault="00385DB8" w:rsidP="00385DB8">
      <w:r w:rsidRPr="00745008">
        <w:t>Figure 1</w:t>
      </w:r>
      <w:r>
        <w:t xml:space="preserve"> </w:t>
      </w:r>
      <w:r w:rsidR="00F923C4">
        <w:t xml:space="preserve">provides an overview </w:t>
      </w:r>
      <w:r w:rsidR="00FA1AF4">
        <w:t xml:space="preserve">of in-person </w:t>
      </w:r>
      <w:r>
        <w:t>participation per group in 2025</w:t>
      </w:r>
      <w:r w:rsidRPr="00745008">
        <w:t>.</w:t>
      </w:r>
    </w:p>
    <w:p w14:paraId="79B96DD0" w14:textId="77777777" w:rsidR="00385DB8" w:rsidRPr="00745008" w:rsidRDefault="00385DB8" w:rsidP="00385DB8">
      <w:pPr>
        <w:pStyle w:val="FigureNo"/>
      </w:pPr>
      <w:r w:rsidRPr="00745008">
        <w:lastRenderedPageBreak/>
        <w:t>Figure 1</w:t>
      </w:r>
    </w:p>
    <w:p w14:paraId="59B6B088" w14:textId="5E0BC421" w:rsidR="00385DB8" w:rsidRDefault="00385DB8" w:rsidP="00385DB8">
      <w:pPr>
        <w:pStyle w:val="Figuretitle"/>
      </w:pPr>
      <w:r>
        <w:t>Total number of in-person</w:t>
      </w:r>
      <w:r w:rsidRPr="00745008">
        <w:t xml:space="preserve"> participation </w:t>
      </w:r>
      <w:r>
        <w:t>per</w:t>
      </w:r>
      <w:r w:rsidRPr="00745008">
        <w:t xml:space="preserve"> ITU-R Study Group/</w:t>
      </w:r>
      <w:r w:rsidRPr="00745008">
        <w:br/>
        <w:t>Working Part</w:t>
      </w:r>
      <w:r>
        <w:t>y</w:t>
      </w:r>
      <w:r w:rsidRPr="00745008">
        <w:t xml:space="preserve"> meeting</w:t>
      </w:r>
      <w:r>
        <w:t>s</w:t>
      </w:r>
      <w:r w:rsidRPr="00745008">
        <w:t xml:space="preserve"> </w:t>
      </w:r>
      <w:r>
        <w:t>in 2025</w:t>
      </w:r>
    </w:p>
    <w:p w14:paraId="0994F029" w14:textId="77777777" w:rsidR="00385DB8" w:rsidRPr="007935B5" w:rsidRDefault="00385DB8" w:rsidP="00385DB8">
      <w:r w:rsidRPr="00C01E41">
        <w:rPr>
          <w:noProof/>
        </w:rPr>
        <w:drawing>
          <wp:inline distT="0" distB="0" distL="0" distR="0" wp14:anchorId="729C94DD" wp14:editId="37D9C1AF">
            <wp:extent cx="6120321" cy="2900275"/>
            <wp:effectExtent l="0" t="0" r="13970" b="14605"/>
            <wp:docPr id="1677447098"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CE0693" w14:textId="46C70722" w:rsidR="00385DB8" w:rsidRDefault="00385DB8" w:rsidP="00385DB8">
      <w:pPr>
        <w:pStyle w:val="Heading2"/>
      </w:pPr>
      <w:r>
        <w:t>2.1</w:t>
      </w:r>
      <w:r>
        <w:tab/>
        <w:t>Fellowships to support participation in ITU-R Study Groups activities</w:t>
      </w:r>
    </w:p>
    <w:p w14:paraId="47DEF94A" w14:textId="0117BD32" w:rsidR="00385DB8" w:rsidRDefault="00385DB8" w:rsidP="00385DB8">
      <w:r>
        <w:t xml:space="preserve">In accordance with section </w:t>
      </w:r>
      <w:r w:rsidRPr="009E317D">
        <w:t>A1.3.2.1</w:t>
      </w:r>
      <w:r w:rsidRPr="009E317D">
        <w:rPr>
          <w:i/>
          <w:iCs/>
        </w:rPr>
        <w:t>quinquies </w:t>
      </w:r>
      <w:r>
        <w:t xml:space="preserve">of Resolution ITU-R 1-9, ITU should provide support and </w:t>
      </w:r>
      <w:r w:rsidRPr="009E317D">
        <w:t>facilitate</w:t>
      </w:r>
      <w:r w:rsidRPr="007D71B2">
        <w:t xml:space="preserve"> </w:t>
      </w:r>
      <w:r w:rsidRPr="009E317D">
        <w:t xml:space="preserve">participation in the work of the </w:t>
      </w:r>
      <w:r>
        <w:t>ITU-R Study Groups,</w:t>
      </w:r>
      <w:r w:rsidRPr="009E317D">
        <w:t xml:space="preserve"> especially for persons originating from developing countries, as far as possible and practicable</w:t>
      </w:r>
      <w:r>
        <w:t>. Budget constraints precluded granting of fellowships for participation in ITU-R SGs' activities.</w:t>
      </w:r>
    </w:p>
    <w:p w14:paraId="500E5516" w14:textId="06C1DD44" w:rsidR="00385DB8" w:rsidRPr="00745008" w:rsidRDefault="00385DB8" w:rsidP="00385DB8">
      <w:pPr>
        <w:pStyle w:val="Heading1"/>
      </w:pPr>
      <w:r>
        <w:t>3</w:t>
      </w:r>
      <w:r w:rsidRPr="00745008">
        <w:tab/>
        <w:t>Meeting rooms</w:t>
      </w:r>
    </w:p>
    <w:p w14:paraId="50E31897" w14:textId="565232B9" w:rsidR="00385DB8" w:rsidRPr="00745008" w:rsidRDefault="00385DB8" w:rsidP="00385DB8">
      <w:r w:rsidRPr="00745008">
        <w:t>The shortage of meeting rooms at ITU Headquarters continue</w:t>
      </w:r>
      <w:r>
        <w:t>d</w:t>
      </w:r>
      <w:r w:rsidRPr="00745008">
        <w:t xml:space="preserve"> to </w:t>
      </w:r>
      <w:r>
        <w:t xml:space="preserve">complicate </w:t>
      </w:r>
      <w:r w:rsidRPr="00745008">
        <w:t xml:space="preserve">the effective planning of meetings. This problem </w:t>
      </w:r>
      <w:r>
        <w:t xml:space="preserve">was </w:t>
      </w:r>
      <w:r w:rsidRPr="00745008">
        <w:t>exacerbated by the following factors:</w:t>
      </w:r>
    </w:p>
    <w:p w14:paraId="33332C67" w14:textId="12D3DDF0" w:rsidR="00385DB8" w:rsidRPr="009E4F77" w:rsidRDefault="00385DB8" w:rsidP="00385DB8">
      <w:pPr>
        <w:pStyle w:val="enumlev1"/>
      </w:pPr>
      <w:r w:rsidRPr="00745008">
        <w:t>–</w:t>
      </w:r>
      <w:r w:rsidRPr="00745008">
        <w:tab/>
        <w:t xml:space="preserve">the increased </w:t>
      </w:r>
      <w:r w:rsidRPr="009E4F77">
        <w:t>number of meetings being arranged by all of the</w:t>
      </w:r>
      <w:r w:rsidR="00CB7495">
        <w:t xml:space="preserve"> ITU</w:t>
      </w:r>
      <w:r w:rsidRPr="009E4F77">
        <w:t xml:space="preserve"> Sectors and the General Secretariat;</w:t>
      </w:r>
    </w:p>
    <w:p w14:paraId="4D3B3333" w14:textId="451AD403" w:rsidR="00385DB8" w:rsidRPr="009E4F77" w:rsidRDefault="00385DB8" w:rsidP="00385DB8">
      <w:pPr>
        <w:pStyle w:val="enumlev1"/>
      </w:pPr>
      <w:r w:rsidRPr="009E4F77">
        <w:t>–</w:t>
      </w:r>
      <w:r w:rsidRPr="009E4F77">
        <w:tab/>
        <w:t xml:space="preserve">the </w:t>
      </w:r>
      <w:r w:rsidR="009C5B19">
        <w:t xml:space="preserve">limited number </w:t>
      </w:r>
      <w:r w:rsidRPr="009E4F77">
        <w:t xml:space="preserve">of meeting rooms with a capacity </w:t>
      </w:r>
      <w:r w:rsidR="009C5B19">
        <w:t xml:space="preserve">for </w:t>
      </w:r>
      <w:r w:rsidRPr="009E4F77">
        <w:t>more than 120 participants;</w:t>
      </w:r>
    </w:p>
    <w:p w14:paraId="732805D0" w14:textId="77777777" w:rsidR="00385DB8" w:rsidRPr="009E4F77" w:rsidRDefault="00385DB8" w:rsidP="00385DB8">
      <w:pPr>
        <w:pStyle w:val="enumlev1"/>
      </w:pPr>
      <w:r w:rsidRPr="009E4F77">
        <w:t>–</w:t>
      </w:r>
      <w:r w:rsidRPr="009E4F77">
        <w:tab/>
        <w:t>the need to avoid overlap of meeting dates as well as the requirement of having meetings of ITU-R Groups in parallel;</w:t>
      </w:r>
    </w:p>
    <w:p w14:paraId="6173F80B" w14:textId="31444AC9" w:rsidR="00385DB8" w:rsidRPr="009E4F77" w:rsidRDefault="00385DB8" w:rsidP="00385DB8">
      <w:pPr>
        <w:pStyle w:val="enumlev1"/>
      </w:pPr>
      <w:r w:rsidRPr="009E4F77">
        <w:t>–</w:t>
      </w:r>
      <w:r w:rsidRPr="009E4F77">
        <w:tab/>
        <w:t xml:space="preserve">the limited availability and very long lead times required for bookings </w:t>
      </w:r>
      <w:r w:rsidR="007A6BCD">
        <w:t xml:space="preserve">of </w:t>
      </w:r>
      <w:r w:rsidRPr="009E4F77">
        <w:t>alternative facilities, such as CICG;</w:t>
      </w:r>
    </w:p>
    <w:p w14:paraId="38FFA506" w14:textId="1AE526BF" w:rsidR="00385DB8" w:rsidRPr="009E4F77" w:rsidRDefault="00385DB8" w:rsidP="00385DB8">
      <w:pPr>
        <w:pStyle w:val="enumlev1"/>
      </w:pPr>
      <w:r w:rsidRPr="009E4F77">
        <w:t>–</w:t>
      </w:r>
      <w:r w:rsidRPr="009E4F77">
        <w:tab/>
        <w:t>additionally, CICG contract conditions have changed and became more stringent:  CICG no longer automatically provides meeting room space free of rental charge to ITU or other international organizations</w:t>
      </w:r>
      <w:r w:rsidR="002D0E3A">
        <w:t xml:space="preserve">. The </w:t>
      </w:r>
      <w:r w:rsidRPr="009E4F77">
        <w:t>allocation of meeting space free of rental charges </w:t>
      </w:r>
      <w:r w:rsidR="00C30AA9">
        <w:t xml:space="preserve">is </w:t>
      </w:r>
      <w:r w:rsidRPr="009E4F77">
        <w:t xml:space="preserve">subject to CICG’s budgetary availability and all requests </w:t>
      </w:r>
      <w:r w:rsidR="00F23342">
        <w:t xml:space="preserve">should </w:t>
      </w:r>
      <w:r w:rsidRPr="009E4F77">
        <w:t xml:space="preserve">be submitted 18 months in advance </w:t>
      </w:r>
      <w:r w:rsidR="00F23342">
        <w:t xml:space="preserve">in order </w:t>
      </w:r>
      <w:r w:rsidRPr="009E4F77">
        <w:t>to be considered for free of rental charge;</w:t>
      </w:r>
    </w:p>
    <w:p w14:paraId="426AA7A7" w14:textId="77777777" w:rsidR="00385DB8" w:rsidRPr="00745008" w:rsidRDefault="00385DB8" w:rsidP="00385DB8">
      <w:pPr>
        <w:pStyle w:val="enumlev1"/>
      </w:pPr>
      <w:r w:rsidRPr="009E4F77">
        <w:t>–</w:t>
      </w:r>
      <w:r w:rsidRPr="009E4F77">
        <w:tab/>
        <w:t>the future demolition of Varembé building and the construction of the new ITU building, which would have an impact on several</w:t>
      </w:r>
      <w:r w:rsidRPr="00745008">
        <w:t xml:space="preserve"> meeting rooms.</w:t>
      </w:r>
    </w:p>
    <w:p w14:paraId="10AE8EA8" w14:textId="38932EE3" w:rsidR="00385DB8" w:rsidRDefault="00385DB8" w:rsidP="00385DB8">
      <w:r w:rsidRPr="00745008">
        <w:t xml:space="preserve">Consequently, </w:t>
      </w:r>
      <w:r>
        <w:t xml:space="preserve">when the demolition of the Varembé building would begin (foreseen in the second half of 2028), all </w:t>
      </w:r>
      <w:r w:rsidRPr="00745008">
        <w:t xml:space="preserve">meetings </w:t>
      </w:r>
      <w:r>
        <w:t>would</w:t>
      </w:r>
      <w:r w:rsidRPr="00745008">
        <w:t xml:space="preserve"> need to be held outside ITU </w:t>
      </w:r>
      <w:r>
        <w:t>Headquarters</w:t>
      </w:r>
      <w:r w:rsidRPr="00745008">
        <w:t xml:space="preserve">. To that end, offers from the membership to host SGs/WPs meetings during this period </w:t>
      </w:r>
      <w:r>
        <w:t>would</w:t>
      </w:r>
      <w:r w:rsidRPr="00745008">
        <w:t xml:space="preserve"> be particularly welcome.</w:t>
      </w:r>
      <w:r>
        <w:t xml:space="preserve"> </w:t>
      </w:r>
      <w:r w:rsidRPr="00366A48">
        <w:t>Furthermore, such arrangements</w:t>
      </w:r>
      <w:r>
        <w:t xml:space="preserve"> would</w:t>
      </w:r>
      <w:r w:rsidRPr="00366A48">
        <w:t xml:space="preserve"> require considerable advance planning and preparation.</w:t>
      </w:r>
    </w:p>
    <w:p w14:paraId="13A38678" w14:textId="141360EE" w:rsidR="00385DB8" w:rsidRPr="00745008" w:rsidRDefault="00385DB8" w:rsidP="00385DB8">
      <w:pPr>
        <w:rPr>
          <w:sz w:val="22"/>
          <w:szCs w:val="22"/>
        </w:rPr>
      </w:pPr>
      <w:r>
        <w:lastRenderedPageBreak/>
        <w:t xml:space="preserve">Overlaps with meetings of other ITU Sectors and the General Secretariat were avoided in 2025, to the extent possible. Unfortunately, the number of non-ITU-R events increased significantly. It became difficult and sometimes impossible to avoid such overlaps. A similar situation is foreseen in 2026, however regular coordination among the ITU Sectors </w:t>
      </w:r>
      <w:r w:rsidR="00093E90">
        <w:t>is</w:t>
      </w:r>
      <w:r>
        <w:t xml:space="preserve"> ongoing to mitigate the impact.</w:t>
      </w:r>
      <w:r w:rsidR="003D08F7">
        <w:t xml:space="preserve"> </w:t>
      </w:r>
      <w:r w:rsidR="00655E47">
        <w:t xml:space="preserve">(See also section 2.6 of Doc. </w:t>
      </w:r>
      <w:hyperlink r:id="rId14" w:history="1">
        <w:r w:rsidR="00655E47" w:rsidRPr="00655E47">
          <w:rPr>
            <w:rStyle w:val="Hyperlink"/>
          </w:rPr>
          <w:t>RAG/58</w:t>
        </w:r>
      </w:hyperlink>
      <w:r w:rsidR="00655E47">
        <w:t>).</w:t>
      </w:r>
    </w:p>
    <w:p w14:paraId="036A6F5B" w14:textId="33E5509D" w:rsidR="00385DB8" w:rsidRPr="00745008" w:rsidRDefault="00385DB8" w:rsidP="00385DB8">
      <w:pPr>
        <w:pStyle w:val="Heading1"/>
      </w:pPr>
      <w:bookmarkStart w:id="5" w:name="_Toc445972792"/>
      <w:r>
        <w:t>4</w:t>
      </w:r>
      <w:r w:rsidRPr="00745008">
        <w:tab/>
        <w:t xml:space="preserve">Activities in the </w:t>
      </w:r>
      <w:r w:rsidRPr="001732C2">
        <w:t>Study</w:t>
      </w:r>
      <w:r w:rsidRPr="00745008">
        <w:t xml:space="preserve"> Groups</w:t>
      </w:r>
    </w:p>
    <w:p w14:paraId="1417C513" w14:textId="4F7A5536" w:rsidR="004E1911" w:rsidRPr="004E1911" w:rsidRDefault="004B55DB" w:rsidP="00A1238C">
      <w:r>
        <w:t>The a</w:t>
      </w:r>
      <w:r w:rsidR="00185432">
        <w:t>ctivities of each SG in 2025 are summarised in the following sections.</w:t>
      </w:r>
    </w:p>
    <w:p w14:paraId="32898E6E" w14:textId="5E8AF64D" w:rsidR="00385DB8" w:rsidRDefault="00385DB8" w:rsidP="00A1238C">
      <w:pPr>
        <w:pStyle w:val="Heading2"/>
      </w:pPr>
      <w:r>
        <w:t>4.1</w:t>
      </w:r>
      <w:r>
        <w:tab/>
        <w:t>Study Groups</w:t>
      </w:r>
      <w:r w:rsidRPr="009E4F77">
        <w:t>’</w:t>
      </w:r>
      <w:r>
        <w:t xml:space="preserve"> outputs</w:t>
      </w:r>
    </w:p>
    <w:p w14:paraId="6229CE6D" w14:textId="6499C13D" w:rsidR="00385DB8" w:rsidRDefault="00385DB8" w:rsidP="00A1238C">
      <w:pPr>
        <w:spacing w:after="240"/>
      </w:pPr>
      <w:r>
        <w:t>T</w:t>
      </w:r>
      <w:r w:rsidRPr="00745008">
        <w:t xml:space="preserve">he </w:t>
      </w:r>
      <w:r>
        <w:t>outputs of SGs, produced</w:t>
      </w:r>
      <w:r w:rsidRPr="00745008">
        <w:t xml:space="preserve"> since </w:t>
      </w:r>
      <w:r w:rsidRPr="00FB3FE2">
        <w:t xml:space="preserve">the </w:t>
      </w:r>
      <w:r w:rsidRPr="00FB3FE2">
        <w:rPr>
          <w:lang w:val="en-US"/>
        </w:rPr>
        <w:t>32</w:t>
      </w:r>
      <w:r w:rsidRPr="00A1238C">
        <w:rPr>
          <w:vertAlign w:val="superscript"/>
          <w:lang w:val="en-US"/>
        </w:rPr>
        <w:t>nd</w:t>
      </w:r>
      <w:r w:rsidRPr="00FB3FE2">
        <w:rPr>
          <w:lang w:val="en-US"/>
        </w:rPr>
        <w:t xml:space="preserve"> meeting of </w:t>
      </w:r>
      <w:r w:rsidRPr="00FB3FE2">
        <w:t>RAG in April 2025 (RAG-25), are listed below</w:t>
      </w:r>
      <w:r w:rsidRPr="00745008">
        <w:t>.</w:t>
      </w:r>
    </w:p>
    <w:tbl>
      <w:tblPr>
        <w:tblStyle w:val="TableGrid1"/>
        <w:tblW w:w="0" w:type="auto"/>
        <w:jc w:val="center"/>
        <w:tblLook w:val="04A0" w:firstRow="1" w:lastRow="0" w:firstColumn="1" w:lastColumn="0" w:noHBand="0" w:noVBand="1"/>
      </w:tblPr>
      <w:tblGrid>
        <w:gridCol w:w="1219"/>
        <w:gridCol w:w="2330"/>
        <w:gridCol w:w="2250"/>
        <w:gridCol w:w="1316"/>
        <w:gridCol w:w="1485"/>
        <w:gridCol w:w="1109"/>
      </w:tblGrid>
      <w:tr w:rsidR="00385DB8" w:rsidRPr="00745008" w14:paraId="6B5EA439" w14:textId="77777777" w:rsidTr="00A1238C">
        <w:trPr>
          <w:trHeight w:val="287"/>
          <w:tblHeader/>
          <w:jc w:val="center"/>
        </w:trPr>
        <w:tc>
          <w:tcPr>
            <w:tcW w:w="1219" w:type="dxa"/>
            <w:vMerge w:val="restart"/>
            <w:tcBorders>
              <w:right w:val="single" w:sz="4" w:space="0" w:color="000000" w:themeColor="text1"/>
            </w:tcBorders>
            <w:shd w:val="clear" w:color="auto" w:fill="DBE5F1" w:themeFill="accent1" w:themeFillTint="33"/>
            <w:vAlign w:val="center"/>
          </w:tcPr>
          <w:p w14:paraId="6A532F31" w14:textId="77777777" w:rsidR="00385DB8" w:rsidRPr="00745008" w:rsidRDefault="00385DB8" w:rsidP="00ED4B65">
            <w:pPr>
              <w:pStyle w:val="Tablehead"/>
            </w:pPr>
            <w:r w:rsidRPr="00745008">
              <w:t>Study Group</w:t>
            </w:r>
          </w:p>
        </w:tc>
        <w:tc>
          <w:tcPr>
            <w:tcW w:w="8490" w:type="dxa"/>
            <w:gridSpan w:val="5"/>
            <w:tcBorders>
              <w:left w:val="single" w:sz="4" w:space="0" w:color="000000" w:themeColor="text1"/>
            </w:tcBorders>
            <w:shd w:val="clear" w:color="auto" w:fill="DBE5F1" w:themeFill="accent1" w:themeFillTint="33"/>
            <w:vAlign w:val="center"/>
          </w:tcPr>
          <w:p w14:paraId="1446635D" w14:textId="77777777" w:rsidR="00385DB8" w:rsidRPr="00745008" w:rsidRDefault="00385DB8" w:rsidP="00ED4B65">
            <w:pPr>
              <w:pStyle w:val="Tablehead"/>
            </w:pPr>
            <w:r w:rsidRPr="00745008">
              <w:t>Status of studies</w:t>
            </w:r>
          </w:p>
        </w:tc>
      </w:tr>
      <w:tr w:rsidR="00385DB8" w:rsidRPr="00745008" w14:paraId="7E589B94" w14:textId="77777777" w:rsidTr="00A1238C">
        <w:trPr>
          <w:trHeight w:val="270"/>
          <w:tblHeader/>
          <w:jc w:val="center"/>
        </w:trPr>
        <w:tc>
          <w:tcPr>
            <w:tcW w:w="1219" w:type="dxa"/>
            <w:vMerge/>
            <w:vAlign w:val="center"/>
          </w:tcPr>
          <w:p w14:paraId="28CF1CD0" w14:textId="77777777" w:rsidR="00385DB8" w:rsidRPr="00745008" w:rsidDel="00A14716" w:rsidRDefault="00385DB8" w:rsidP="00ED4B65">
            <w:pPr>
              <w:pStyle w:val="Tablehead"/>
            </w:pPr>
          </w:p>
        </w:tc>
        <w:tc>
          <w:tcPr>
            <w:tcW w:w="2330" w:type="dxa"/>
            <w:tcBorders>
              <w:left w:val="single" w:sz="4" w:space="0" w:color="000000" w:themeColor="text1"/>
            </w:tcBorders>
            <w:shd w:val="clear" w:color="auto" w:fill="DBE5F1" w:themeFill="accent1" w:themeFillTint="33"/>
          </w:tcPr>
          <w:p w14:paraId="2C912604" w14:textId="77777777" w:rsidR="00385DB8" w:rsidRPr="00745008" w:rsidRDefault="00385DB8" w:rsidP="0072259B">
            <w:pPr>
              <w:pStyle w:val="Tablehead"/>
            </w:pPr>
            <w:r w:rsidRPr="00745008">
              <w:t>Recommendations ITU-R approved</w:t>
            </w:r>
          </w:p>
        </w:tc>
        <w:tc>
          <w:tcPr>
            <w:tcW w:w="2250" w:type="dxa"/>
            <w:tcBorders>
              <w:left w:val="single" w:sz="4" w:space="0" w:color="000000" w:themeColor="text1"/>
            </w:tcBorders>
            <w:shd w:val="clear" w:color="auto" w:fill="DBE5F1" w:themeFill="accent1" w:themeFillTint="33"/>
          </w:tcPr>
          <w:p w14:paraId="576C21BF" w14:textId="77777777" w:rsidR="00385DB8" w:rsidRPr="00745008" w:rsidRDefault="00385DB8" w:rsidP="00ED4B65">
            <w:pPr>
              <w:pStyle w:val="Tablehead"/>
            </w:pPr>
            <w:r w:rsidRPr="00745008">
              <w:t>Reports ITU-R approved</w:t>
            </w:r>
          </w:p>
        </w:tc>
        <w:tc>
          <w:tcPr>
            <w:tcW w:w="1316" w:type="dxa"/>
            <w:tcBorders>
              <w:left w:val="single" w:sz="4" w:space="0" w:color="000000" w:themeColor="text1"/>
            </w:tcBorders>
            <w:shd w:val="clear" w:color="auto" w:fill="DBE5F1" w:themeFill="accent1" w:themeFillTint="33"/>
          </w:tcPr>
          <w:p w14:paraId="6A57825D" w14:textId="77777777" w:rsidR="00385DB8" w:rsidRPr="00745008" w:rsidRDefault="00385DB8" w:rsidP="00ED4B65">
            <w:pPr>
              <w:pStyle w:val="Tablehead"/>
            </w:pPr>
            <w:r w:rsidRPr="00745008">
              <w:t>Questions ITU-R approved</w:t>
            </w:r>
          </w:p>
        </w:tc>
        <w:tc>
          <w:tcPr>
            <w:tcW w:w="1485" w:type="dxa"/>
            <w:tcBorders>
              <w:left w:val="single" w:sz="4" w:space="0" w:color="000000" w:themeColor="text1"/>
            </w:tcBorders>
            <w:shd w:val="clear" w:color="auto" w:fill="DBE5F1" w:themeFill="accent1" w:themeFillTint="33"/>
          </w:tcPr>
          <w:p w14:paraId="3A310BCB" w14:textId="77777777" w:rsidR="00385DB8" w:rsidRPr="00745008" w:rsidRDefault="00385DB8" w:rsidP="00ED4B65">
            <w:pPr>
              <w:pStyle w:val="Tablehead"/>
            </w:pPr>
            <w:r w:rsidRPr="00745008">
              <w:t>Handbooks ITU-R approved</w:t>
            </w:r>
          </w:p>
        </w:tc>
        <w:tc>
          <w:tcPr>
            <w:tcW w:w="1109" w:type="dxa"/>
            <w:tcBorders>
              <w:left w:val="single" w:sz="4" w:space="0" w:color="000000" w:themeColor="text1"/>
            </w:tcBorders>
            <w:shd w:val="clear" w:color="auto" w:fill="DBE5F1" w:themeFill="accent1" w:themeFillTint="33"/>
          </w:tcPr>
          <w:p w14:paraId="069E34B4" w14:textId="77777777" w:rsidR="00385DB8" w:rsidRPr="00745008" w:rsidRDefault="00385DB8" w:rsidP="00ED4B65">
            <w:pPr>
              <w:pStyle w:val="Tablehead"/>
            </w:pPr>
            <w:r w:rsidRPr="00745008">
              <w:t>Opinions ITU-R approved</w:t>
            </w:r>
          </w:p>
        </w:tc>
      </w:tr>
      <w:tr w:rsidR="00385DB8" w:rsidRPr="00745008" w14:paraId="3F106C87" w14:textId="77777777" w:rsidTr="00ED4B65">
        <w:trPr>
          <w:trHeight w:val="270"/>
          <w:jc w:val="center"/>
        </w:trPr>
        <w:tc>
          <w:tcPr>
            <w:tcW w:w="1219" w:type="dxa"/>
            <w:tcBorders>
              <w:right w:val="single" w:sz="4" w:space="0" w:color="000000" w:themeColor="text1"/>
            </w:tcBorders>
          </w:tcPr>
          <w:p w14:paraId="285573D4" w14:textId="77777777" w:rsidR="00385DB8" w:rsidRPr="00745008" w:rsidDel="00A14716" w:rsidRDefault="00385DB8" w:rsidP="00ED4B65">
            <w:pPr>
              <w:pStyle w:val="Tabletext"/>
              <w:jc w:val="center"/>
              <w:rPr>
                <w:b/>
                <w:bCs/>
              </w:rPr>
            </w:pPr>
            <w:r w:rsidRPr="00745008">
              <w:rPr>
                <w:b/>
                <w:bCs/>
              </w:rPr>
              <w:t>SG 1</w:t>
            </w:r>
          </w:p>
        </w:tc>
        <w:tc>
          <w:tcPr>
            <w:tcW w:w="2330" w:type="dxa"/>
            <w:tcBorders>
              <w:left w:val="single" w:sz="4" w:space="0" w:color="000000" w:themeColor="text1"/>
            </w:tcBorders>
          </w:tcPr>
          <w:p w14:paraId="7149579E" w14:textId="7064A7AA" w:rsidR="00385DB8" w:rsidRPr="00745008" w:rsidRDefault="00385DB8" w:rsidP="00ED4B65">
            <w:pPr>
              <w:pStyle w:val="Tabletext"/>
            </w:pPr>
            <w:hyperlink r:id="rId15" w:history="1">
              <w:r w:rsidRPr="00B2358F">
                <w:rPr>
                  <w:rStyle w:val="Hyperlink"/>
                  <w:rFonts w:asciiTheme="majorBidi" w:hAnsiTheme="majorBidi" w:cstheme="majorBidi"/>
                  <w:sz w:val="20"/>
                  <w:lang w:eastAsia="ja-JP"/>
                </w:rPr>
                <w:t>SM.328-12</w:t>
              </w:r>
            </w:hyperlink>
            <w:r>
              <w:rPr>
                <w:rFonts w:asciiTheme="majorBidi" w:hAnsiTheme="majorBidi" w:cstheme="majorBidi"/>
                <w:sz w:val="20"/>
                <w:lang w:eastAsia="ja-JP"/>
              </w:rPr>
              <w:t xml:space="preserve">, </w:t>
            </w:r>
            <w:hyperlink r:id="rId16" w:history="1">
              <w:r w:rsidRPr="00B2358F">
                <w:rPr>
                  <w:rStyle w:val="Hyperlink"/>
                  <w:rFonts w:asciiTheme="majorBidi" w:hAnsiTheme="majorBidi" w:cstheme="majorBidi"/>
                  <w:sz w:val="20"/>
                  <w:lang w:eastAsia="ja-JP"/>
                </w:rPr>
                <w:t>SM.2110-2</w:t>
              </w:r>
            </w:hyperlink>
          </w:p>
        </w:tc>
        <w:tc>
          <w:tcPr>
            <w:tcW w:w="2250" w:type="dxa"/>
            <w:tcBorders>
              <w:left w:val="single" w:sz="4" w:space="0" w:color="000000" w:themeColor="text1"/>
            </w:tcBorders>
          </w:tcPr>
          <w:p w14:paraId="25B32CCE" w14:textId="608106C3" w:rsidR="00385DB8" w:rsidRPr="00BE6491" w:rsidRDefault="00385DB8" w:rsidP="00ED4B65">
            <w:pPr>
              <w:pStyle w:val="Tabletext"/>
              <w:rPr>
                <w:sz w:val="20"/>
              </w:rPr>
            </w:pPr>
            <w:hyperlink r:id="rId17" w:history="1">
              <w:r w:rsidRPr="00611138">
                <w:rPr>
                  <w:rStyle w:val="Hyperlink"/>
                  <w:sz w:val="20"/>
                </w:rPr>
                <w:t>SM.2012-7</w:t>
              </w:r>
            </w:hyperlink>
            <w:r>
              <w:rPr>
                <w:sz w:val="20"/>
              </w:rPr>
              <w:t xml:space="preserve">, </w:t>
            </w:r>
            <w:hyperlink r:id="rId18" w:history="1">
              <w:r w:rsidRPr="00611138">
                <w:rPr>
                  <w:rStyle w:val="Hyperlink"/>
                  <w:sz w:val="20"/>
                </w:rPr>
                <w:t>SM.2015</w:t>
              </w:r>
              <w:r w:rsidRPr="00611138">
                <w:rPr>
                  <w:rStyle w:val="Hyperlink"/>
                  <w:sz w:val="20"/>
                </w:rPr>
                <w:noBreakHyphen/>
                <w:t>3</w:t>
              </w:r>
            </w:hyperlink>
          </w:p>
        </w:tc>
        <w:tc>
          <w:tcPr>
            <w:tcW w:w="1316" w:type="dxa"/>
            <w:tcBorders>
              <w:left w:val="single" w:sz="4" w:space="0" w:color="000000" w:themeColor="text1"/>
            </w:tcBorders>
          </w:tcPr>
          <w:p w14:paraId="65CA9D98" w14:textId="77777777" w:rsidR="00385DB8" w:rsidRPr="00745008" w:rsidRDefault="00385DB8" w:rsidP="00ED4B65">
            <w:pPr>
              <w:pStyle w:val="Tabletext"/>
            </w:pPr>
            <w:r w:rsidRPr="002D2DED">
              <w:t>–</w:t>
            </w:r>
          </w:p>
        </w:tc>
        <w:tc>
          <w:tcPr>
            <w:tcW w:w="1485" w:type="dxa"/>
            <w:tcBorders>
              <w:left w:val="single" w:sz="4" w:space="0" w:color="000000" w:themeColor="text1"/>
            </w:tcBorders>
          </w:tcPr>
          <w:p w14:paraId="290CCA5B" w14:textId="77777777" w:rsidR="00385DB8" w:rsidRPr="00745008" w:rsidRDefault="00385DB8" w:rsidP="00ED4B65">
            <w:pPr>
              <w:pStyle w:val="Tabletext"/>
              <w:rPr>
                <w:sz w:val="20"/>
              </w:rPr>
            </w:pPr>
            <w:r w:rsidRPr="002D2DED">
              <w:t>–</w:t>
            </w:r>
          </w:p>
        </w:tc>
        <w:tc>
          <w:tcPr>
            <w:tcW w:w="1109" w:type="dxa"/>
            <w:tcBorders>
              <w:left w:val="single" w:sz="4" w:space="0" w:color="000000" w:themeColor="text1"/>
            </w:tcBorders>
          </w:tcPr>
          <w:p w14:paraId="6ABBBB61" w14:textId="77777777" w:rsidR="00385DB8" w:rsidRPr="00745008" w:rsidRDefault="00385DB8" w:rsidP="00ED4B65">
            <w:pPr>
              <w:pStyle w:val="Tabletext"/>
              <w:rPr>
                <w:sz w:val="20"/>
              </w:rPr>
            </w:pPr>
            <w:r w:rsidRPr="002D2DED">
              <w:t>–</w:t>
            </w:r>
          </w:p>
        </w:tc>
      </w:tr>
      <w:tr w:rsidR="00385DB8" w:rsidRPr="00745008" w14:paraId="3809E94B" w14:textId="77777777" w:rsidTr="00ED4B65">
        <w:trPr>
          <w:trHeight w:val="270"/>
          <w:jc w:val="center"/>
        </w:trPr>
        <w:tc>
          <w:tcPr>
            <w:tcW w:w="1219" w:type="dxa"/>
            <w:tcBorders>
              <w:right w:val="single" w:sz="4" w:space="0" w:color="000000" w:themeColor="text1"/>
            </w:tcBorders>
          </w:tcPr>
          <w:p w14:paraId="74204D48" w14:textId="77777777" w:rsidR="00385DB8" w:rsidRPr="00745008" w:rsidDel="00A14716" w:rsidRDefault="00385DB8" w:rsidP="00ED4B65">
            <w:pPr>
              <w:pStyle w:val="Tabletext"/>
              <w:jc w:val="center"/>
              <w:rPr>
                <w:b/>
                <w:bCs/>
              </w:rPr>
            </w:pPr>
            <w:r w:rsidRPr="00745008">
              <w:rPr>
                <w:b/>
                <w:bCs/>
              </w:rPr>
              <w:t>SG 3</w:t>
            </w:r>
          </w:p>
        </w:tc>
        <w:tc>
          <w:tcPr>
            <w:tcW w:w="2330" w:type="dxa"/>
            <w:tcBorders>
              <w:left w:val="single" w:sz="4" w:space="0" w:color="000000" w:themeColor="text1"/>
            </w:tcBorders>
          </w:tcPr>
          <w:p w14:paraId="1641C5FC" w14:textId="50ED5728" w:rsidR="00385DB8" w:rsidRPr="00745008" w:rsidRDefault="00385DB8" w:rsidP="00ED4B65">
            <w:pPr>
              <w:pStyle w:val="Tabletext"/>
            </w:pPr>
            <w:hyperlink r:id="rId19" w:history="1">
              <w:r w:rsidRPr="00B2358F">
                <w:rPr>
                  <w:rStyle w:val="Hyperlink"/>
                  <w:sz w:val="20"/>
                </w:rPr>
                <w:t>P.310-11</w:t>
              </w:r>
            </w:hyperlink>
            <w:r>
              <w:rPr>
                <w:sz w:val="20"/>
              </w:rPr>
              <w:t xml:space="preserve">, </w:t>
            </w:r>
            <w:hyperlink r:id="rId20" w:history="1">
              <w:r w:rsidRPr="00B2358F">
                <w:rPr>
                  <w:rStyle w:val="Hyperlink"/>
                  <w:sz w:val="20"/>
                </w:rPr>
                <w:t>P.311-19</w:t>
              </w:r>
            </w:hyperlink>
            <w:r>
              <w:rPr>
                <w:sz w:val="20"/>
              </w:rPr>
              <w:t xml:space="preserve">, </w:t>
            </w:r>
            <w:hyperlink r:id="rId21" w:history="1">
              <w:r w:rsidRPr="00B2358F">
                <w:rPr>
                  <w:rStyle w:val="Hyperlink"/>
                  <w:sz w:val="20"/>
                </w:rPr>
                <w:t>P.526-16</w:t>
              </w:r>
            </w:hyperlink>
            <w:r>
              <w:rPr>
                <w:sz w:val="20"/>
              </w:rPr>
              <w:t xml:space="preserve">, </w:t>
            </w:r>
            <w:hyperlink r:id="rId22" w:history="1">
              <w:r w:rsidRPr="00B2358F">
                <w:rPr>
                  <w:rStyle w:val="Hyperlink"/>
                  <w:sz w:val="20"/>
                </w:rPr>
                <w:t>P.530-19</w:t>
              </w:r>
            </w:hyperlink>
            <w:r>
              <w:rPr>
                <w:sz w:val="20"/>
              </w:rPr>
              <w:t xml:space="preserve">, </w:t>
            </w:r>
            <w:hyperlink r:id="rId23" w:history="1">
              <w:r w:rsidRPr="00B2358F">
                <w:rPr>
                  <w:rStyle w:val="Hyperlink"/>
                  <w:sz w:val="20"/>
                </w:rPr>
                <w:t>P.531-16</w:t>
              </w:r>
            </w:hyperlink>
            <w:r>
              <w:rPr>
                <w:sz w:val="20"/>
              </w:rPr>
              <w:t xml:space="preserve">, </w:t>
            </w:r>
            <w:hyperlink r:id="rId24" w:history="1">
              <w:r w:rsidRPr="00B2358F">
                <w:rPr>
                  <w:rStyle w:val="Hyperlink"/>
                  <w:sz w:val="20"/>
                </w:rPr>
                <w:t>P.617-6</w:t>
              </w:r>
            </w:hyperlink>
            <w:r>
              <w:rPr>
                <w:sz w:val="20"/>
              </w:rPr>
              <w:t xml:space="preserve">, </w:t>
            </w:r>
            <w:hyperlink r:id="rId25" w:history="1">
              <w:r w:rsidRPr="00B2358F">
                <w:rPr>
                  <w:rStyle w:val="Hyperlink"/>
                  <w:sz w:val="20"/>
                </w:rPr>
                <w:t>P.619</w:t>
              </w:r>
              <w:r w:rsidRPr="00B2358F">
                <w:rPr>
                  <w:rStyle w:val="Hyperlink"/>
                  <w:sz w:val="20"/>
                </w:rPr>
                <w:noBreakHyphen/>
                <w:t>6</w:t>
              </w:r>
            </w:hyperlink>
            <w:r>
              <w:rPr>
                <w:sz w:val="20"/>
              </w:rPr>
              <w:t xml:space="preserve">, </w:t>
            </w:r>
            <w:hyperlink r:id="rId26" w:history="1">
              <w:r w:rsidRPr="00B2358F">
                <w:rPr>
                  <w:rStyle w:val="Hyperlink"/>
                  <w:sz w:val="20"/>
                </w:rPr>
                <w:t>P.837-8</w:t>
              </w:r>
            </w:hyperlink>
            <w:r>
              <w:rPr>
                <w:sz w:val="20"/>
              </w:rPr>
              <w:t xml:space="preserve">, </w:t>
            </w:r>
            <w:hyperlink r:id="rId27" w:history="1">
              <w:r w:rsidRPr="00B2358F">
                <w:rPr>
                  <w:rStyle w:val="Hyperlink"/>
                  <w:sz w:val="20"/>
                </w:rPr>
                <w:t>P.1144</w:t>
              </w:r>
              <w:r w:rsidRPr="00B2358F">
                <w:rPr>
                  <w:rStyle w:val="Hyperlink"/>
                  <w:sz w:val="20"/>
                </w:rPr>
                <w:noBreakHyphen/>
                <w:t>13</w:t>
              </w:r>
            </w:hyperlink>
            <w:r>
              <w:rPr>
                <w:sz w:val="20"/>
              </w:rPr>
              <w:t xml:space="preserve">, </w:t>
            </w:r>
            <w:hyperlink r:id="rId28" w:history="1">
              <w:r w:rsidRPr="00B2358F">
                <w:rPr>
                  <w:rStyle w:val="Hyperlink"/>
                  <w:sz w:val="20"/>
                </w:rPr>
                <w:t>P.1238-13</w:t>
              </w:r>
            </w:hyperlink>
            <w:r>
              <w:rPr>
                <w:sz w:val="20"/>
              </w:rPr>
              <w:t xml:space="preserve">, </w:t>
            </w:r>
            <w:hyperlink r:id="rId29" w:history="1">
              <w:r w:rsidRPr="00B2358F">
                <w:rPr>
                  <w:rStyle w:val="Hyperlink"/>
                  <w:sz w:val="20"/>
                </w:rPr>
                <w:t>P.1409-4</w:t>
              </w:r>
            </w:hyperlink>
            <w:r>
              <w:rPr>
                <w:sz w:val="20"/>
              </w:rPr>
              <w:t xml:space="preserve">, </w:t>
            </w:r>
            <w:hyperlink r:id="rId30" w:history="1">
              <w:r w:rsidRPr="00B2358F">
                <w:rPr>
                  <w:rStyle w:val="Hyperlink"/>
                  <w:sz w:val="20"/>
                </w:rPr>
                <w:t>P.1411-13</w:t>
              </w:r>
            </w:hyperlink>
            <w:r>
              <w:rPr>
                <w:sz w:val="20"/>
              </w:rPr>
              <w:t xml:space="preserve">, </w:t>
            </w:r>
            <w:hyperlink r:id="rId31" w:history="1">
              <w:r w:rsidRPr="00B2358F">
                <w:rPr>
                  <w:rStyle w:val="Hyperlink"/>
                  <w:sz w:val="20"/>
                </w:rPr>
                <w:t>P.1812-8</w:t>
              </w:r>
            </w:hyperlink>
            <w:r>
              <w:rPr>
                <w:sz w:val="20"/>
              </w:rPr>
              <w:t xml:space="preserve">, </w:t>
            </w:r>
            <w:hyperlink r:id="rId32" w:history="1">
              <w:r w:rsidRPr="00B2358F">
                <w:rPr>
                  <w:rStyle w:val="Hyperlink"/>
                  <w:sz w:val="20"/>
                </w:rPr>
                <w:t>P.1814-1</w:t>
              </w:r>
            </w:hyperlink>
            <w:r>
              <w:rPr>
                <w:sz w:val="20"/>
              </w:rPr>
              <w:t xml:space="preserve">, </w:t>
            </w:r>
            <w:hyperlink r:id="rId33" w:history="1">
              <w:r w:rsidRPr="00B2358F">
                <w:rPr>
                  <w:rStyle w:val="Hyperlink"/>
                  <w:sz w:val="20"/>
                </w:rPr>
                <w:t>P.2001-6</w:t>
              </w:r>
            </w:hyperlink>
            <w:r>
              <w:rPr>
                <w:sz w:val="20"/>
              </w:rPr>
              <w:t xml:space="preserve">, </w:t>
            </w:r>
            <w:hyperlink r:id="rId34" w:history="1">
              <w:r w:rsidRPr="00B2358F">
                <w:rPr>
                  <w:rStyle w:val="Hyperlink"/>
                  <w:sz w:val="20"/>
                </w:rPr>
                <w:t>P.2040-4</w:t>
              </w:r>
            </w:hyperlink>
            <w:r>
              <w:rPr>
                <w:sz w:val="20"/>
              </w:rPr>
              <w:t xml:space="preserve">, </w:t>
            </w:r>
            <w:hyperlink r:id="rId35" w:history="1">
              <w:r w:rsidRPr="00B2358F">
                <w:rPr>
                  <w:rStyle w:val="Hyperlink"/>
                  <w:sz w:val="20"/>
                </w:rPr>
                <w:t>P.2170-0</w:t>
              </w:r>
            </w:hyperlink>
          </w:p>
        </w:tc>
        <w:tc>
          <w:tcPr>
            <w:tcW w:w="2250" w:type="dxa"/>
            <w:tcBorders>
              <w:left w:val="single" w:sz="4" w:space="0" w:color="000000" w:themeColor="text1"/>
            </w:tcBorders>
          </w:tcPr>
          <w:p w14:paraId="74550DB7" w14:textId="77777777" w:rsidR="00385DB8" w:rsidRPr="00035AF0" w:rsidRDefault="00385DB8" w:rsidP="00ED4B65">
            <w:pPr>
              <w:pStyle w:val="Tabletext"/>
              <w:rPr>
                <w:rFonts w:asciiTheme="majorBidi" w:hAnsiTheme="majorBidi" w:cstheme="majorBidi"/>
                <w:sz w:val="20"/>
                <w:lang w:eastAsia="ja-JP"/>
              </w:rPr>
            </w:pPr>
            <w:hyperlink r:id="rId36" w:history="1">
              <w:r w:rsidRPr="00611138">
                <w:rPr>
                  <w:rStyle w:val="Hyperlink"/>
                  <w:rFonts w:asciiTheme="majorBidi" w:hAnsiTheme="majorBidi" w:cstheme="majorBidi"/>
                  <w:sz w:val="20"/>
                  <w:lang w:eastAsia="ja-JP"/>
                </w:rPr>
                <w:t>P.2345-3</w:t>
              </w:r>
            </w:hyperlink>
            <w:r>
              <w:rPr>
                <w:rFonts w:asciiTheme="majorBidi" w:hAnsiTheme="majorBidi" w:cstheme="majorBidi"/>
                <w:sz w:val="20"/>
                <w:lang w:eastAsia="ja-JP"/>
              </w:rPr>
              <w:t xml:space="preserve">, </w:t>
            </w:r>
            <w:hyperlink r:id="rId37" w:history="1">
              <w:r w:rsidRPr="00611138">
                <w:rPr>
                  <w:rStyle w:val="Hyperlink"/>
                  <w:rFonts w:asciiTheme="majorBidi" w:hAnsiTheme="majorBidi" w:cstheme="majorBidi"/>
                  <w:sz w:val="20"/>
                  <w:lang w:eastAsia="ja-JP"/>
                </w:rPr>
                <w:t>P.2554-0</w:t>
              </w:r>
            </w:hyperlink>
          </w:p>
        </w:tc>
        <w:tc>
          <w:tcPr>
            <w:tcW w:w="1316" w:type="dxa"/>
            <w:tcBorders>
              <w:left w:val="single" w:sz="4" w:space="0" w:color="000000" w:themeColor="text1"/>
            </w:tcBorders>
          </w:tcPr>
          <w:p w14:paraId="7DFC1605" w14:textId="77777777" w:rsidR="00385DB8" w:rsidRPr="003153E6" w:rsidRDefault="00385DB8" w:rsidP="00ED4B65">
            <w:pPr>
              <w:pStyle w:val="Tabletext"/>
              <w:rPr>
                <w:sz w:val="20"/>
              </w:rPr>
            </w:pPr>
            <w:hyperlink r:id="rId38" w:history="1">
              <w:r w:rsidRPr="00561785">
                <w:rPr>
                  <w:rStyle w:val="Hyperlink"/>
                  <w:sz w:val="20"/>
                </w:rPr>
                <w:t>237/3</w:t>
              </w:r>
            </w:hyperlink>
          </w:p>
        </w:tc>
        <w:tc>
          <w:tcPr>
            <w:tcW w:w="1485" w:type="dxa"/>
            <w:tcBorders>
              <w:left w:val="single" w:sz="4" w:space="0" w:color="000000" w:themeColor="text1"/>
            </w:tcBorders>
          </w:tcPr>
          <w:p w14:paraId="4AE5B76D" w14:textId="77777777" w:rsidR="00385DB8" w:rsidRPr="00745008" w:rsidRDefault="00385DB8" w:rsidP="00ED4B65">
            <w:pPr>
              <w:pStyle w:val="Tabletext"/>
            </w:pPr>
            <w:r w:rsidRPr="002D2DED">
              <w:t>–</w:t>
            </w:r>
          </w:p>
        </w:tc>
        <w:tc>
          <w:tcPr>
            <w:tcW w:w="1109" w:type="dxa"/>
            <w:tcBorders>
              <w:left w:val="single" w:sz="4" w:space="0" w:color="000000" w:themeColor="text1"/>
            </w:tcBorders>
          </w:tcPr>
          <w:p w14:paraId="69BAA2F1" w14:textId="77777777" w:rsidR="00385DB8" w:rsidRPr="00745008" w:rsidRDefault="00385DB8" w:rsidP="00ED4B65">
            <w:pPr>
              <w:pStyle w:val="Tabletext"/>
            </w:pPr>
            <w:r w:rsidRPr="002D2DED">
              <w:t>–</w:t>
            </w:r>
          </w:p>
        </w:tc>
      </w:tr>
      <w:tr w:rsidR="00385DB8" w:rsidRPr="00745008" w14:paraId="157184DD" w14:textId="77777777" w:rsidTr="00ED4B65">
        <w:trPr>
          <w:trHeight w:val="270"/>
          <w:jc w:val="center"/>
        </w:trPr>
        <w:tc>
          <w:tcPr>
            <w:tcW w:w="1219" w:type="dxa"/>
            <w:tcBorders>
              <w:right w:val="single" w:sz="4" w:space="0" w:color="000000" w:themeColor="text1"/>
            </w:tcBorders>
          </w:tcPr>
          <w:p w14:paraId="6F47B1BE" w14:textId="77777777" w:rsidR="00385DB8" w:rsidRPr="00745008" w:rsidDel="00A14716" w:rsidRDefault="00385DB8" w:rsidP="00ED4B65">
            <w:pPr>
              <w:pStyle w:val="Tabletext"/>
              <w:jc w:val="center"/>
              <w:rPr>
                <w:b/>
                <w:bCs/>
              </w:rPr>
            </w:pPr>
            <w:r w:rsidRPr="00745008">
              <w:rPr>
                <w:b/>
                <w:bCs/>
              </w:rPr>
              <w:t>SG 4</w:t>
            </w:r>
          </w:p>
        </w:tc>
        <w:tc>
          <w:tcPr>
            <w:tcW w:w="2330" w:type="dxa"/>
            <w:tcBorders>
              <w:left w:val="single" w:sz="4" w:space="0" w:color="000000" w:themeColor="text1"/>
            </w:tcBorders>
          </w:tcPr>
          <w:p w14:paraId="2C7ABB83" w14:textId="6B32E2B0" w:rsidR="00385DB8" w:rsidRPr="00745008" w:rsidRDefault="00385DB8" w:rsidP="00ED4B65">
            <w:pPr>
              <w:pStyle w:val="Tabletext"/>
              <w:rPr>
                <w:sz w:val="20"/>
              </w:rPr>
            </w:pPr>
            <w:r w:rsidRPr="002D2DED">
              <w:t>–</w:t>
            </w:r>
          </w:p>
        </w:tc>
        <w:tc>
          <w:tcPr>
            <w:tcW w:w="2250" w:type="dxa"/>
            <w:tcBorders>
              <w:left w:val="single" w:sz="4" w:space="0" w:color="000000" w:themeColor="text1"/>
            </w:tcBorders>
          </w:tcPr>
          <w:p w14:paraId="7B78633C" w14:textId="28488174" w:rsidR="00385DB8" w:rsidRPr="00BE6491" w:rsidRDefault="00385DB8" w:rsidP="00ED4B65">
            <w:pPr>
              <w:pStyle w:val="Tabletext"/>
              <w:rPr>
                <w:sz w:val="20"/>
              </w:rPr>
            </w:pPr>
            <w:hyperlink r:id="rId39" w:history="1">
              <w:r w:rsidRPr="00611138">
                <w:rPr>
                  <w:rStyle w:val="Hyperlink"/>
                  <w:sz w:val="20"/>
                  <w:lang w:val="pt-BR"/>
                </w:rPr>
                <w:t>M.2305-1</w:t>
              </w:r>
            </w:hyperlink>
            <w:r>
              <w:rPr>
                <w:sz w:val="20"/>
                <w:lang w:val="pt-BR"/>
              </w:rPr>
              <w:t xml:space="preserve">, </w:t>
            </w:r>
            <w:hyperlink r:id="rId40" w:history="1">
              <w:r w:rsidRPr="00611138">
                <w:rPr>
                  <w:rStyle w:val="Hyperlink"/>
                  <w:sz w:val="20"/>
                  <w:lang w:val="pt-BR"/>
                </w:rPr>
                <w:t>M.2564-0</w:t>
              </w:r>
            </w:hyperlink>
            <w:r>
              <w:rPr>
                <w:sz w:val="20"/>
                <w:lang w:val="pt-BR"/>
              </w:rPr>
              <w:t xml:space="preserve">, </w:t>
            </w:r>
            <w:hyperlink r:id="rId41" w:history="1">
              <w:r w:rsidRPr="00611138">
                <w:rPr>
                  <w:rStyle w:val="Hyperlink"/>
                  <w:sz w:val="20"/>
                  <w:lang w:val="pt-BR"/>
                </w:rPr>
                <w:t>S.2565-0</w:t>
              </w:r>
            </w:hyperlink>
          </w:p>
        </w:tc>
        <w:tc>
          <w:tcPr>
            <w:tcW w:w="1316" w:type="dxa"/>
            <w:tcBorders>
              <w:left w:val="single" w:sz="4" w:space="0" w:color="000000" w:themeColor="text1"/>
            </w:tcBorders>
          </w:tcPr>
          <w:p w14:paraId="5483DC0C" w14:textId="77777777" w:rsidR="00385DB8" w:rsidRPr="003153E6" w:rsidRDefault="00385DB8" w:rsidP="00ED4B65">
            <w:pPr>
              <w:pStyle w:val="Tabletext"/>
              <w:rPr>
                <w:sz w:val="20"/>
              </w:rPr>
            </w:pPr>
            <w:r w:rsidRPr="002D2DED">
              <w:t>–</w:t>
            </w:r>
          </w:p>
        </w:tc>
        <w:tc>
          <w:tcPr>
            <w:tcW w:w="1485" w:type="dxa"/>
            <w:tcBorders>
              <w:left w:val="single" w:sz="4" w:space="0" w:color="000000" w:themeColor="text1"/>
            </w:tcBorders>
          </w:tcPr>
          <w:p w14:paraId="619D9DE3" w14:textId="77777777" w:rsidR="00385DB8" w:rsidRPr="00745008" w:rsidRDefault="00385DB8" w:rsidP="00ED4B65">
            <w:pPr>
              <w:pStyle w:val="Tabletext"/>
            </w:pPr>
            <w:r w:rsidRPr="002D2DED">
              <w:t>–</w:t>
            </w:r>
          </w:p>
        </w:tc>
        <w:tc>
          <w:tcPr>
            <w:tcW w:w="1109" w:type="dxa"/>
            <w:tcBorders>
              <w:left w:val="single" w:sz="4" w:space="0" w:color="000000" w:themeColor="text1"/>
            </w:tcBorders>
          </w:tcPr>
          <w:p w14:paraId="76BEEC05" w14:textId="77777777" w:rsidR="00385DB8" w:rsidRPr="00745008" w:rsidRDefault="00385DB8" w:rsidP="00ED4B65">
            <w:pPr>
              <w:pStyle w:val="Tabletext"/>
            </w:pPr>
            <w:r w:rsidRPr="002D2DED">
              <w:t>–</w:t>
            </w:r>
          </w:p>
        </w:tc>
      </w:tr>
      <w:tr w:rsidR="00385DB8" w:rsidRPr="00745008" w14:paraId="055359E7" w14:textId="77777777" w:rsidTr="00ED4B65">
        <w:trPr>
          <w:trHeight w:val="270"/>
          <w:jc w:val="center"/>
        </w:trPr>
        <w:tc>
          <w:tcPr>
            <w:tcW w:w="1219" w:type="dxa"/>
            <w:tcBorders>
              <w:right w:val="single" w:sz="4" w:space="0" w:color="000000" w:themeColor="text1"/>
            </w:tcBorders>
          </w:tcPr>
          <w:p w14:paraId="3F02CE4E" w14:textId="77777777" w:rsidR="00385DB8" w:rsidRPr="00745008" w:rsidDel="00A14716" w:rsidRDefault="00385DB8" w:rsidP="00ED4B65">
            <w:pPr>
              <w:pStyle w:val="Tabletext"/>
              <w:jc w:val="center"/>
              <w:rPr>
                <w:b/>
                <w:bCs/>
              </w:rPr>
            </w:pPr>
            <w:r w:rsidRPr="00745008">
              <w:rPr>
                <w:b/>
                <w:bCs/>
              </w:rPr>
              <w:t>SG 5</w:t>
            </w:r>
          </w:p>
        </w:tc>
        <w:tc>
          <w:tcPr>
            <w:tcW w:w="2330" w:type="dxa"/>
            <w:tcBorders>
              <w:left w:val="single" w:sz="4" w:space="0" w:color="000000" w:themeColor="text1"/>
            </w:tcBorders>
          </w:tcPr>
          <w:p w14:paraId="69B14CC4" w14:textId="009B0607" w:rsidR="00385DB8" w:rsidRPr="00745008" w:rsidRDefault="00385DB8" w:rsidP="00ED4B65">
            <w:pPr>
              <w:pStyle w:val="Tabletext"/>
            </w:pPr>
            <w:r w:rsidRPr="002D2DED">
              <w:t>–</w:t>
            </w:r>
          </w:p>
        </w:tc>
        <w:tc>
          <w:tcPr>
            <w:tcW w:w="2250" w:type="dxa"/>
            <w:tcBorders>
              <w:left w:val="single" w:sz="4" w:space="0" w:color="000000" w:themeColor="text1"/>
            </w:tcBorders>
          </w:tcPr>
          <w:p w14:paraId="51DAF184" w14:textId="5FBAD29C" w:rsidR="00385DB8" w:rsidRPr="00BE6491" w:rsidRDefault="00385DB8" w:rsidP="00ED4B65">
            <w:pPr>
              <w:pStyle w:val="Tabletext"/>
              <w:rPr>
                <w:sz w:val="20"/>
              </w:rPr>
            </w:pPr>
            <w:hyperlink r:id="rId42" w:history="1">
              <w:r w:rsidRPr="00611138">
                <w:rPr>
                  <w:rStyle w:val="Hyperlink"/>
                  <w:rFonts w:asciiTheme="majorBidi" w:hAnsiTheme="majorBidi" w:cstheme="majorBidi"/>
                  <w:sz w:val="20"/>
                  <w:lang w:val="de-DE" w:eastAsia="ja-JP"/>
                </w:rPr>
                <w:t>F.2558-0</w:t>
              </w:r>
            </w:hyperlink>
            <w:r>
              <w:rPr>
                <w:rFonts w:asciiTheme="majorBidi" w:hAnsiTheme="majorBidi" w:cstheme="majorBidi"/>
                <w:sz w:val="20"/>
                <w:lang w:val="de-DE" w:eastAsia="ja-JP"/>
              </w:rPr>
              <w:t xml:space="preserve">, </w:t>
            </w:r>
            <w:hyperlink r:id="rId43" w:history="1">
              <w:r w:rsidRPr="002B779C">
                <w:rPr>
                  <w:rStyle w:val="Hyperlink"/>
                  <w:rFonts w:asciiTheme="majorBidi" w:hAnsiTheme="majorBidi" w:cstheme="majorBidi"/>
                  <w:sz w:val="20"/>
                  <w:lang w:val="de-DE" w:eastAsia="ja-JP"/>
                </w:rPr>
                <w:t>M.2039-4</w:t>
              </w:r>
            </w:hyperlink>
            <w:r>
              <w:rPr>
                <w:rFonts w:asciiTheme="majorBidi" w:hAnsiTheme="majorBidi" w:cstheme="majorBidi"/>
                <w:sz w:val="20"/>
                <w:lang w:val="de-DE" w:eastAsia="ja-JP"/>
              </w:rPr>
              <w:t xml:space="preserve">, </w:t>
            </w:r>
            <w:hyperlink r:id="rId44" w:history="1">
              <w:r w:rsidRPr="002B779C">
                <w:rPr>
                  <w:rStyle w:val="Hyperlink"/>
                  <w:rFonts w:asciiTheme="majorBidi" w:hAnsiTheme="majorBidi" w:cstheme="majorBidi"/>
                  <w:sz w:val="20"/>
                  <w:lang w:val="de-DE" w:eastAsia="ja-JP"/>
                </w:rPr>
                <w:t>M.2559-0</w:t>
              </w:r>
            </w:hyperlink>
            <w:r>
              <w:rPr>
                <w:rFonts w:asciiTheme="majorBidi" w:hAnsiTheme="majorBidi" w:cstheme="majorBidi"/>
                <w:sz w:val="20"/>
                <w:lang w:val="de-DE" w:eastAsia="ja-JP"/>
              </w:rPr>
              <w:t xml:space="preserve">, </w:t>
            </w:r>
            <w:hyperlink r:id="rId45" w:history="1">
              <w:r w:rsidRPr="002B779C">
                <w:rPr>
                  <w:rStyle w:val="Hyperlink"/>
                  <w:rFonts w:asciiTheme="majorBidi" w:hAnsiTheme="majorBidi" w:cstheme="majorBidi"/>
                  <w:sz w:val="20"/>
                  <w:lang w:val="de-DE" w:eastAsia="ja-JP"/>
                </w:rPr>
                <w:t>M.2560-0</w:t>
              </w:r>
            </w:hyperlink>
            <w:r>
              <w:rPr>
                <w:rFonts w:asciiTheme="majorBidi" w:hAnsiTheme="majorBidi" w:cstheme="majorBidi"/>
                <w:sz w:val="20"/>
                <w:lang w:val="de-DE" w:eastAsia="ja-JP"/>
              </w:rPr>
              <w:t xml:space="preserve">, </w:t>
            </w:r>
            <w:hyperlink r:id="rId46" w:history="1">
              <w:r w:rsidRPr="002B779C">
                <w:rPr>
                  <w:rStyle w:val="Hyperlink"/>
                  <w:rFonts w:asciiTheme="majorBidi" w:hAnsiTheme="majorBidi" w:cstheme="majorBidi"/>
                  <w:sz w:val="20"/>
                  <w:lang w:val="de-DE" w:eastAsia="ja-JP"/>
                </w:rPr>
                <w:t>M.2561-0</w:t>
              </w:r>
            </w:hyperlink>
            <w:r>
              <w:rPr>
                <w:rFonts w:asciiTheme="majorBidi" w:hAnsiTheme="majorBidi" w:cstheme="majorBidi"/>
                <w:sz w:val="20"/>
                <w:lang w:val="de-DE" w:eastAsia="ja-JP"/>
              </w:rPr>
              <w:t xml:space="preserve">, </w:t>
            </w:r>
            <w:hyperlink r:id="rId47" w:history="1">
              <w:r w:rsidRPr="002B779C">
                <w:rPr>
                  <w:rStyle w:val="Hyperlink"/>
                  <w:rFonts w:asciiTheme="majorBidi" w:hAnsiTheme="majorBidi" w:cstheme="majorBidi"/>
                  <w:sz w:val="20"/>
                  <w:lang w:val="de-DE" w:eastAsia="ja-JP"/>
                </w:rPr>
                <w:t>M.2562-0</w:t>
              </w:r>
            </w:hyperlink>
            <w:r>
              <w:rPr>
                <w:rFonts w:asciiTheme="majorBidi" w:hAnsiTheme="majorBidi" w:cstheme="majorBidi"/>
                <w:sz w:val="20"/>
                <w:lang w:val="de-DE" w:eastAsia="ja-JP"/>
              </w:rPr>
              <w:t xml:space="preserve">, </w:t>
            </w:r>
            <w:hyperlink r:id="rId48" w:history="1">
              <w:r w:rsidRPr="002B779C">
                <w:rPr>
                  <w:rStyle w:val="Hyperlink"/>
                  <w:rFonts w:asciiTheme="majorBidi" w:hAnsiTheme="majorBidi" w:cstheme="majorBidi"/>
                  <w:sz w:val="20"/>
                  <w:lang w:val="de-DE" w:eastAsia="ja-JP"/>
                </w:rPr>
                <w:t>M.2563-0</w:t>
              </w:r>
            </w:hyperlink>
          </w:p>
        </w:tc>
        <w:tc>
          <w:tcPr>
            <w:tcW w:w="1316" w:type="dxa"/>
            <w:tcBorders>
              <w:left w:val="single" w:sz="4" w:space="0" w:color="000000" w:themeColor="text1"/>
            </w:tcBorders>
          </w:tcPr>
          <w:p w14:paraId="57702786" w14:textId="1FA3A47A" w:rsidR="00385DB8" w:rsidRPr="003153E6" w:rsidRDefault="00385DB8" w:rsidP="00ED4B65">
            <w:pPr>
              <w:pStyle w:val="Tabletext"/>
              <w:rPr>
                <w:sz w:val="20"/>
              </w:rPr>
            </w:pPr>
            <w:r w:rsidRPr="002D2DED">
              <w:t>–</w:t>
            </w:r>
          </w:p>
        </w:tc>
        <w:tc>
          <w:tcPr>
            <w:tcW w:w="1485" w:type="dxa"/>
            <w:tcBorders>
              <w:left w:val="single" w:sz="4" w:space="0" w:color="000000" w:themeColor="text1"/>
            </w:tcBorders>
          </w:tcPr>
          <w:p w14:paraId="04A91FF7" w14:textId="77777777" w:rsidR="00385DB8" w:rsidRPr="00745008" w:rsidRDefault="00385DB8" w:rsidP="00ED4B65">
            <w:pPr>
              <w:pStyle w:val="Tabletext"/>
              <w:rPr>
                <w:sz w:val="20"/>
              </w:rPr>
            </w:pPr>
            <w:hyperlink r:id="rId49" w:history="1">
              <w:r w:rsidRPr="00883FBC">
                <w:rPr>
                  <w:rStyle w:val="Hyperlink"/>
                  <w:sz w:val="20"/>
                </w:rPr>
                <w:t>Handbook on Amateur service and amateur-satellite services</w:t>
              </w:r>
            </w:hyperlink>
            <w:r>
              <w:rPr>
                <w:sz w:val="20"/>
              </w:rPr>
              <w:t xml:space="preserve"> (Edition of 2025)</w:t>
            </w:r>
          </w:p>
        </w:tc>
        <w:tc>
          <w:tcPr>
            <w:tcW w:w="1109" w:type="dxa"/>
            <w:tcBorders>
              <w:left w:val="single" w:sz="4" w:space="0" w:color="000000" w:themeColor="text1"/>
            </w:tcBorders>
          </w:tcPr>
          <w:p w14:paraId="673C09DD" w14:textId="77777777" w:rsidR="00385DB8" w:rsidRPr="00745008" w:rsidRDefault="00385DB8" w:rsidP="00ED4B65">
            <w:pPr>
              <w:pStyle w:val="Tabletext"/>
              <w:rPr>
                <w:sz w:val="20"/>
                <w:szCs w:val="18"/>
              </w:rPr>
            </w:pPr>
            <w:r w:rsidRPr="002D2DED">
              <w:t>–</w:t>
            </w:r>
          </w:p>
        </w:tc>
      </w:tr>
      <w:tr w:rsidR="00385DB8" w:rsidRPr="00745008" w14:paraId="2E6FE7EB" w14:textId="77777777" w:rsidTr="00ED4B65">
        <w:trPr>
          <w:trHeight w:val="270"/>
          <w:jc w:val="center"/>
        </w:trPr>
        <w:tc>
          <w:tcPr>
            <w:tcW w:w="1219" w:type="dxa"/>
            <w:tcBorders>
              <w:right w:val="single" w:sz="4" w:space="0" w:color="000000" w:themeColor="text1"/>
            </w:tcBorders>
          </w:tcPr>
          <w:p w14:paraId="69AC94A2" w14:textId="77777777" w:rsidR="00385DB8" w:rsidRPr="00745008" w:rsidDel="00A14716" w:rsidRDefault="00385DB8" w:rsidP="00ED4B65">
            <w:pPr>
              <w:pStyle w:val="Tabletext"/>
              <w:jc w:val="center"/>
              <w:rPr>
                <w:b/>
                <w:bCs/>
              </w:rPr>
            </w:pPr>
            <w:r w:rsidRPr="00745008">
              <w:rPr>
                <w:b/>
                <w:bCs/>
              </w:rPr>
              <w:t>SG 6</w:t>
            </w:r>
          </w:p>
        </w:tc>
        <w:tc>
          <w:tcPr>
            <w:tcW w:w="2330" w:type="dxa"/>
            <w:tcBorders>
              <w:left w:val="single" w:sz="4" w:space="0" w:color="000000" w:themeColor="text1"/>
            </w:tcBorders>
          </w:tcPr>
          <w:p w14:paraId="4C66BB16" w14:textId="61E55296" w:rsidR="00385DB8" w:rsidRPr="00745008" w:rsidRDefault="00385DB8" w:rsidP="00ED4B65">
            <w:pPr>
              <w:pStyle w:val="Tabletext"/>
            </w:pPr>
            <w:hyperlink r:id="rId50" w:history="1">
              <w:r w:rsidRPr="008074F1">
                <w:rPr>
                  <w:rStyle w:val="Hyperlink"/>
                  <w:rFonts w:asciiTheme="majorBidi" w:hAnsiTheme="majorBidi" w:cstheme="majorBidi"/>
                  <w:sz w:val="20"/>
                  <w:lang w:eastAsia="ja-JP"/>
                </w:rPr>
                <w:t>BS.705-2</w:t>
              </w:r>
            </w:hyperlink>
            <w:r>
              <w:rPr>
                <w:rFonts w:asciiTheme="majorBidi" w:hAnsiTheme="majorBidi" w:cstheme="majorBidi"/>
                <w:sz w:val="20"/>
                <w:lang w:eastAsia="ja-JP"/>
              </w:rPr>
              <w:t xml:space="preserve">, </w:t>
            </w:r>
            <w:hyperlink r:id="rId51" w:history="1">
              <w:r w:rsidRPr="008074F1">
                <w:rPr>
                  <w:rStyle w:val="Hyperlink"/>
                  <w:rFonts w:asciiTheme="majorBidi" w:hAnsiTheme="majorBidi" w:cstheme="majorBidi"/>
                  <w:sz w:val="20"/>
                  <w:lang w:eastAsia="ja-JP"/>
                </w:rPr>
                <w:t>BS.1114-13</w:t>
              </w:r>
            </w:hyperlink>
            <w:r>
              <w:rPr>
                <w:rFonts w:asciiTheme="majorBidi" w:hAnsiTheme="majorBidi" w:cstheme="majorBidi"/>
                <w:sz w:val="20"/>
                <w:lang w:eastAsia="ja-JP"/>
              </w:rPr>
              <w:t xml:space="preserve">, </w:t>
            </w:r>
            <w:hyperlink r:id="rId52" w:history="1">
              <w:r w:rsidRPr="008074F1">
                <w:rPr>
                  <w:rStyle w:val="Hyperlink"/>
                  <w:rFonts w:asciiTheme="majorBidi" w:hAnsiTheme="majorBidi" w:cstheme="majorBidi"/>
                  <w:sz w:val="20"/>
                  <w:lang w:eastAsia="ja-JP"/>
                </w:rPr>
                <w:t>BS.1514-3</w:t>
              </w:r>
            </w:hyperlink>
            <w:r>
              <w:rPr>
                <w:rFonts w:asciiTheme="majorBidi" w:hAnsiTheme="majorBidi" w:cstheme="majorBidi"/>
                <w:sz w:val="20"/>
                <w:lang w:eastAsia="ja-JP"/>
              </w:rPr>
              <w:t xml:space="preserve">, </w:t>
            </w:r>
            <w:hyperlink r:id="rId53" w:history="1">
              <w:r w:rsidRPr="008074F1">
                <w:rPr>
                  <w:rStyle w:val="Hyperlink"/>
                  <w:rFonts w:asciiTheme="majorBidi" w:hAnsiTheme="majorBidi" w:cstheme="majorBidi"/>
                  <w:sz w:val="20"/>
                  <w:lang w:eastAsia="ja-JP"/>
                </w:rPr>
                <w:t>BS.1548-8</w:t>
              </w:r>
            </w:hyperlink>
            <w:r>
              <w:rPr>
                <w:rFonts w:asciiTheme="majorBidi" w:hAnsiTheme="majorBidi" w:cstheme="majorBidi"/>
                <w:sz w:val="20"/>
                <w:lang w:eastAsia="ja-JP"/>
              </w:rPr>
              <w:t xml:space="preserve">, </w:t>
            </w:r>
            <w:hyperlink r:id="rId54" w:history="1">
              <w:r w:rsidRPr="008074F1">
                <w:rPr>
                  <w:rStyle w:val="Hyperlink"/>
                  <w:rFonts w:asciiTheme="majorBidi" w:hAnsiTheme="majorBidi" w:cstheme="majorBidi"/>
                  <w:sz w:val="20"/>
                  <w:lang w:eastAsia="ja-JP"/>
                </w:rPr>
                <w:t>BS.2088-2</w:t>
              </w:r>
            </w:hyperlink>
            <w:r>
              <w:rPr>
                <w:rFonts w:asciiTheme="majorBidi" w:hAnsiTheme="majorBidi" w:cstheme="majorBidi"/>
                <w:sz w:val="20"/>
                <w:lang w:eastAsia="ja-JP"/>
              </w:rPr>
              <w:t xml:space="preserve">, </w:t>
            </w:r>
            <w:hyperlink r:id="rId55" w:history="1">
              <w:r w:rsidRPr="008074F1">
                <w:rPr>
                  <w:rStyle w:val="Hyperlink"/>
                  <w:rFonts w:asciiTheme="majorBidi" w:hAnsiTheme="majorBidi" w:cstheme="majorBidi"/>
                  <w:sz w:val="20"/>
                  <w:lang w:eastAsia="ja-JP"/>
                </w:rPr>
                <w:t>BT.1774-3</w:t>
              </w:r>
            </w:hyperlink>
            <w:r>
              <w:rPr>
                <w:rFonts w:asciiTheme="majorBidi" w:hAnsiTheme="majorBidi" w:cstheme="majorBidi"/>
                <w:sz w:val="20"/>
                <w:lang w:eastAsia="ja-JP"/>
              </w:rPr>
              <w:t xml:space="preserve">, </w:t>
            </w:r>
            <w:hyperlink r:id="rId56" w:history="1">
              <w:r w:rsidRPr="008074F1">
                <w:rPr>
                  <w:rStyle w:val="Hyperlink"/>
                  <w:rFonts w:asciiTheme="majorBidi" w:hAnsiTheme="majorBidi" w:cstheme="majorBidi"/>
                  <w:sz w:val="20"/>
                  <w:lang w:eastAsia="ja-JP"/>
                </w:rPr>
                <w:t>BT.2111-3</w:t>
              </w:r>
            </w:hyperlink>
          </w:p>
        </w:tc>
        <w:tc>
          <w:tcPr>
            <w:tcW w:w="2250" w:type="dxa"/>
            <w:tcBorders>
              <w:left w:val="single" w:sz="4" w:space="0" w:color="000000" w:themeColor="text1"/>
            </w:tcBorders>
          </w:tcPr>
          <w:p w14:paraId="1C242385" w14:textId="359E2D9E" w:rsidR="00385DB8" w:rsidRPr="00BE6491" w:rsidRDefault="00385DB8" w:rsidP="00ED4B65">
            <w:pPr>
              <w:pStyle w:val="Tabletext"/>
              <w:rPr>
                <w:sz w:val="20"/>
              </w:rPr>
            </w:pPr>
            <w:hyperlink r:id="rId57" w:history="1">
              <w:r w:rsidRPr="004F49F0">
                <w:rPr>
                  <w:rStyle w:val="Hyperlink"/>
                  <w:sz w:val="20"/>
                </w:rPr>
                <w:t>BS.2388</w:t>
              </w:r>
              <w:r w:rsidRPr="004F49F0">
                <w:rPr>
                  <w:rStyle w:val="Hyperlink"/>
                  <w:sz w:val="20"/>
                </w:rPr>
                <w:noBreakHyphen/>
                <w:t>6</w:t>
              </w:r>
            </w:hyperlink>
            <w:r>
              <w:rPr>
                <w:sz w:val="20"/>
              </w:rPr>
              <w:t xml:space="preserve">, </w:t>
            </w:r>
            <w:hyperlink r:id="rId58" w:history="1">
              <w:r w:rsidRPr="004F49F0">
                <w:rPr>
                  <w:rStyle w:val="Hyperlink"/>
                  <w:sz w:val="20"/>
                </w:rPr>
                <w:t>BS.2555</w:t>
              </w:r>
              <w:r w:rsidRPr="004F49F0">
                <w:rPr>
                  <w:rStyle w:val="Hyperlink"/>
                  <w:sz w:val="20"/>
                </w:rPr>
                <w:noBreakHyphen/>
                <w:t>0</w:t>
              </w:r>
            </w:hyperlink>
            <w:r>
              <w:rPr>
                <w:sz w:val="20"/>
              </w:rPr>
              <w:t xml:space="preserve">, </w:t>
            </w:r>
            <w:hyperlink r:id="rId59" w:history="1">
              <w:r w:rsidRPr="00EF22D6">
                <w:rPr>
                  <w:rStyle w:val="Hyperlink"/>
                  <w:sz w:val="20"/>
                </w:rPr>
                <w:t>BS./</w:t>
              </w:r>
              <w:r w:rsidRPr="00123CFA">
                <w:rPr>
                  <w:rStyle w:val="Hyperlink"/>
                  <w:sz w:val="20"/>
                </w:rPr>
                <w:t>BT.2295</w:t>
              </w:r>
              <w:r w:rsidRPr="00123CFA">
                <w:rPr>
                  <w:rStyle w:val="Hyperlink"/>
                  <w:sz w:val="20"/>
                </w:rPr>
                <w:noBreakHyphen/>
                <w:t>5</w:t>
              </w:r>
            </w:hyperlink>
            <w:r>
              <w:rPr>
                <w:sz w:val="20"/>
              </w:rPr>
              <w:t xml:space="preserve">, </w:t>
            </w:r>
            <w:hyperlink r:id="rId60" w:history="1">
              <w:r w:rsidRPr="00A95AB0">
                <w:rPr>
                  <w:rStyle w:val="Hyperlink"/>
                  <w:sz w:val="20"/>
                </w:rPr>
                <w:t>B</w:t>
              </w:r>
              <w:r>
                <w:rPr>
                  <w:rStyle w:val="Hyperlink"/>
                  <w:sz w:val="20"/>
                </w:rPr>
                <w:t>S</w:t>
              </w:r>
              <w:r>
                <w:rPr>
                  <w:rStyle w:val="Hyperlink"/>
                </w:rPr>
                <w:t>.</w:t>
              </w:r>
              <w:r w:rsidRPr="00123CFA">
                <w:rPr>
                  <w:rStyle w:val="Hyperlink"/>
                  <w:sz w:val="20"/>
                  <w:szCs w:val="18"/>
                </w:rPr>
                <w:t>/B</w:t>
              </w:r>
              <w:r w:rsidRPr="00A95AB0">
                <w:rPr>
                  <w:rStyle w:val="Hyperlink"/>
                  <w:sz w:val="20"/>
                </w:rPr>
                <w:t>T.2385</w:t>
              </w:r>
              <w:r w:rsidRPr="00A95AB0">
                <w:rPr>
                  <w:rStyle w:val="Hyperlink"/>
                  <w:sz w:val="20"/>
                </w:rPr>
                <w:noBreakHyphen/>
                <w:t>2</w:t>
              </w:r>
            </w:hyperlink>
            <w:r>
              <w:rPr>
                <w:sz w:val="20"/>
              </w:rPr>
              <w:t xml:space="preserve">, </w:t>
            </w:r>
            <w:hyperlink r:id="rId61" w:history="1">
              <w:r w:rsidRPr="00A95AB0">
                <w:rPr>
                  <w:rStyle w:val="Hyperlink"/>
                  <w:sz w:val="20"/>
                </w:rPr>
                <w:t>BT.2207</w:t>
              </w:r>
              <w:r w:rsidRPr="00A95AB0">
                <w:rPr>
                  <w:rStyle w:val="Hyperlink"/>
                  <w:sz w:val="20"/>
                </w:rPr>
                <w:noBreakHyphen/>
                <w:t>7</w:t>
              </w:r>
            </w:hyperlink>
            <w:r>
              <w:rPr>
                <w:sz w:val="20"/>
              </w:rPr>
              <w:t xml:space="preserve">, </w:t>
            </w:r>
            <w:hyperlink r:id="rId62" w:history="1">
              <w:r w:rsidRPr="00A95AB0">
                <w:rPr>
                  <w:rStyle w:val="Hyperlink"/>
                  <w:sz w:val="20"/>
                </w:rPr>
                <w:t>BT.2246</w:t>
              </w:r>
              <w:r w:rsidRPr="00A95AB0">
                <w:rPr>
                  <w:rStyle w:val="Hyperlink"/>
                  <w:sz w:val="20"/>
                </w:rPr>
                <w:noBreakHyphen/>
                <w:t>9</w:t>
              </w:r>
            </w:hyperlink>
            <w:r>
              <w:rPr>
                <w:sz w:val="20"/>
              </w:rPr>
              <w:t xml:space="preserve">, </w:t>
            </w:r>
            <w:hyperlink r:id="rId63" w:history="1">
              <w:r w:rsidRPr="00A95AB0">
                <w:rPr>
                  <w:rStyle w:val="Hyperlink"/>
                  <w:sz w:val="20"/>
                </w:rPr>
                <w:t>BT.2299</w:t>
              </w:r>
              <w:r w:rsidRPr="00A95AB0">
                <w:rPr>
                  <w:rStyle w:val="Hyperlink"/>
                  <w:sz w:val="20"/>
                </w:rPr>
                <w:noBreakHyphen/>
                <w:t>4</w:t>
              </w:r>
            </w:hyperlink>
            <w:r>
              <w:rPr>
                <w:sz w:val="20"/>
              </w:rPr>
              <w:t xml:space="preserve">, </w:t>
            </w:r>
            <w:hyperlink r:id="rId64" w:history="1">
              <w:r w:rsidRPr="00A95AB0">
                <w:rPr>
                  <w:rStyle w:val="Hyperlink"/>
                  <w:sz w:val="20"/>
                </w:rPr>
                <w:t>BT.2343</w:t>
              </w:r>
              <w:r w:rsidRPr="00A95AB0">
                <w:rPr>
                  <w:rStyle w:val="Hyperlink"/>
                  <w:sz w:val="20"/>
                </w:rPr>
                <w:noBreakHyphen/>
                <w:t>10</w:t>
              </w:r>
            </w:hyperlink>
            <w:r>
              <w:rPr>
                <w:sz w:val="20"/>
              </w:rPr>
              <w:t xml:space="preserve">, </w:t>
            </w:r>
            <w:hyperlink r:id="rId65" w:history="1">
              <w:r w:rsidRPr="00A95AB0">
                <w:rPr>
                  <w:rStyle w:val="Hyperlink"/>
                  <w:sz w:val="20"/>
                </w:rPr>
                <w:t>BT.2390</w:t>
              </w:r>
              <w:r w:rsidRPr="00A95AB0">
                <w:rPr>
                  <w:rStyle w:val="Hyperlink"/>
                  <w:sz w:val="20"/>
                </w:rPr>
                <w:noBreakHyphen/>
                <w:t>12</w:t>
              </w:r>
            </w:hyperlink>
            <w:r>
              <w:rPr>
                <w:sz w:val="20"/>
              </w:rPr>
              <w:t xml:space="preserve">, </w:t>
            </w:r>
            <w:hyperlink r:id="rId66" w:history="1">
              <w:r w:rsidRPr="00A95AB0">
                <w:rPr>
                  <w:rStyle w:val="Hyperlink"/>
                  <w:sz w:val="20"/>
                </w:rPr>
                <w:t>BT.2400</w:t>
              </w:r>
              <w:r w:rsidRPr="00A95AB0">
                <w:rPr>
                  <w:rStyle w:val="Hyperlink"/>
                  <w:sz w:val="20"/>
                </w:rPr>
                <w:noBreakHyphen/>
                <w:t>5</w:t>
              </w:r>
            </w:hyperlink>
            <w:r>
              <w:rPr>
                <w:sz w:val="20"/>
              </w:rPr>
              <w:t xml:space="preserve">, </w:t>
            </w:r>
            <w:hyperlink r:id="rId67" w:history="1">
              <w:r w:rsidRPr="00A95AB0">
                <w:rPr>
                  <w:rStyle w:val="Hyperlink"/>
                  <w:sz w:val="20"/>
                </w:rPr>
                <w:t>BT.2420</w:t>
              </w:r>
              <w:r w:rsidRPr="00A95AB0">
                <w:rPr>
                  <w:rStyle w:val="Hyperlink"/>
                  <w:sz w:val="20"/>
                </w:rPr>
                <w:noBreakHyphen/>
                <w:t>8</w:t>
              </w:r>
            </w:hyperlink>
            <w:r>
              <w:rPr>
                <w:sz w:val="20"/>
              </w:rPr>
              <w:t xml:space="preserve">, </w:t>
            </w:r>
            <w:hyperlink r:id="rId68" w:history="1">
              <w:r w:rsidRPr="00A95AB0">
                <w:rPr>
                  <w:rStyle w:val="Hyperlink"/>
                  <w:sz w:val="20"/>
                </w:rPr>
                <w:t>BT.2448</w:t>
              </w:r>
              <w:r w:rsidRPr="00A95AB0">
                <w:rPr>
                  <w:rStyle w:val="Hyperlink"/>
                  <w:sz w:val="20"/>
                </w:rPr>
                <w:noBreakHyphen/>
                <w:t>1</w:t>
              </w:r>
            </w:hyperlink>
            <w:r>
              <w:rPr>
                <w:sz w:val="20"/>
              </w:rPr>
              <w:t xml:space="preserve">, </w:t>
            </w:r>
            <w:hyperlink r:id="rId69" w:history="1">
              <w:r w:rsidRPr="00A95AB0">
                <w:rPr>
                  <w:rStyle w:val="Hyperlink"/>
                  <w:sz w:val="20"/>
                </w:rPr>
                <w:t>BT.2526</w:t>
              </w:r>
              <w:r w:rsidRPr="00A95AB0">
                <w:rPr>
                  <w:rStyle w:val="Hyperlink"/>
                  <w:sz w:val="20"/>
                </w:rPr>
                <w:noBreakHyphen/>
                <w:t>2</w:t>
              </w:r>
            </w:hyperlink>
            <w:r>
              <w:rPr>
                <w:sz w:val="20"/>
              </w:rPr>
              <w:t xml:space="preserve">, </w:t>
            </w:r>
            <w:hyperlink r:id="rId70" w:history="1">
              <w:r w:rsidRPr="00A95AB0">
                <w:rPr>
                  <w:rStyle w:val="Hyperlink"/>
                  <w:sz w:val="20"/>
                </w:rPr>
                <w:t>BT.2539</w:t>
              </w:r>
              <w:r w:rsidRPr="00A95AB0">
                <w:rPr>
                  <w:rStyle w:val="Hyperlink"/>
                  <w:sz w:val="20"/>
                </w:rPr>
                <w:noBreakHyphen/>
                <w:t>1</w:t>
              </w:r>
            </w:hyperlink>
            <w:r>
              <w:rPr>
                <w:sz w:val="20"/>
              </w:rPr>
              <w:t xml:space="preserve">, </w:t>
            </w:r>
            <w:hyperlink r:id="rId71" w:history="1">
              <w:r w:rsidRPr="00A95AB0">
                <w:rPr>
                  <w:rStyle w:val="Hyperlink"/>
                  <w:sz w:val="20"/>
                </w:rPr>
                <w:t>BT.2549</w:t>
              </w:r>
              <w:r w:rsidRPr="00A95AB0">
                <w:rPr>
                  <w:rStyle w:val="Hyperlink"/>
                  <w:sz w:val="20"/>
                </w:rPr>
                <w:noBreakHyphen/>
                <w:t>0</w:t>
              </w:r>
            </w:hyperlink>
            <w:r>
              <w:rPr>
                <w:sz w:val="20"/>
              </w:rPr>
              <w:t xml:space="preserve">, </w:t>
            </w:r>
            <w:hyperlink r:id="rId72" w:history="1">
              <w:r w:rsidRPr="00A95AB0">
                <w:rPr>
                  <w:rStyle w:val="Hyperlink"/>
                  <w:sz w:val="20"/>
                </w:rPr>
                <w:t>BT.2550</w:t>
              </w:r>
              <w:r w:rsidRPr="00A95AB0">
                <w:rPr>
                  <w:rStyle w:val="Hyperlink"/>
                  <w:sz w:val="20"/>
                </w:rPr>
                <w:noBreakHyphen/>
                <w:t>0</w:t>
              </w:r>
            </w:hyperlink>
            <w:r>
              <w:rPr>
                <w:sz w:val="20"/>
              </w:rPr>
              <w:t xml:space="preserve">, </w:t>
            </w:r>
            <w:hyperlink r:id="rId73" w:history="1">
              <w:r w:rsidRPr="00A95AB0">
                <w:rPr>
                  <w:rStyle w:val="Hyperlink"/>
                  <w:sz w:val="20"/>
                </w:rPr>
                <w:t>BT.2556</w:t>
              </w:r>
              <w:r w:rsidRPr="00A95AB0">
                <w:rPr>
                  <w:rStyle w:val="Hyperlink"/>
                  <w:sz w:val="20"/>
                </w:rPr>
                <w:noBreakHyphen/>
                <w:t>0</w:t>
              </w:r>
            </w:hyperlink>
            <w:r>
              <w:rPr>
                <w:sz w:val="20"/>
              </w:rPr>
              <w:t xml:space="preserve">, </w:t>
            </w:r>
            <w:hyperlink r:id="rId74" w:history="1">
              <w:r w:rsidRPr="00A95AB0">
                <w:rPr>
                  <w:rStyle w:val="Hyperlink"/>
                  <w:sz w:val="20"/>
                </w:rPr>
                <w:t>BT.2557-0</w:t>
              </w:r>
            </w:hyperlink>
          </w:p>
        </w:tc>
        <w:tc>
          <w:tcPr>
            <w:tcW w:w="1316" w:type="dxa"/>
            <w:tcBorders>
              <w:left w:val="single" w:sz="4" w:space="0" w:color="000000" w:themeColor="text1"/>
            </w:tcBorders>
          </w:tcPr>
          <w:p w14:paraId="317367B4" w14:textId="06D524A1" w:rsidR="00385DB8" w:rsidRPr="003153E6" w:rsidRDefault="00385DB8" w:rsidP="00ED4B65">
            <w:pPr>
              <w:pStyle w:val="Tabletext"/>
              <w:rPr>
                <w:sz w:val="20"/>
              </w:rPr>
            </w:pPr>
            <w:r w:rsidRPr="002D2DED">
              <w:t>–</w:t>
            </w:r>
          </w:p>
        </w:tc>
        <w:tc>
          <w:tcPr>
            <w:tcW w:w="1485" w:type="dxa"/>
            <w:tcBorders>
              <w:left w:val="single" w:sz="4" w:space="0" w:color="000000" w:themeColor="text1"/>
            </w:tcBorders>
          </w:tcPr>
          <w:p w14:paraId="335E3BAF" w14:textId="77777777" w:rsidR="00385DB8" w:rsidRPr="00745008" w:rsidRDefault="00385DB8" w:rsidP="00ED4B65">
            <w:pPr>
              <w:pStyle w:val="Tabletext"/>
              <w:rPr>
                <w:rFonts w:asciiTheme="majorBidi" w:hAnsiTheme="majorBidi" w:cstheme="majorBidi"/>
                <w:sz w:val="20"/>
                <w:lang w:eastAsia="ja-JP"/>
              </w:rPr>
            </w:pPr>
            <w:r w:rsidRPr="002D2DED">
              <w:t>–</w:t>
            </w:r>
          </w:p>
        </w:tc>
        <w:tc>
          <w:tcPr>
            <w:tcW w:w="1109" w:type="dxa"/>
            <w:tcBorders>
              <w:left w:val="single" w:sz="4" w:space="0" w:color="000000" w:themeColor="text1"/>
            </w:tcBorders>
          </w:tcPr>
          <w:p w14:paraId="41247381" w14:textId="77777777" w:rsidR="00385DB8" w:rsidRPr="00745008" w:rsidRDefault="00385DB8" w:rsidP="00ED4B65">
            <w:pPr>
              <w:pStyle w:val="Tabletext"/>
              <w:rPr>
                <w:rFonts w:asciiTheme="majorBidi" w:hAnsiTheme="majorBidi" w:cstheme="majorBidi"/>
                <w:sz w:val="20"/>
                <w:lang w:eastAsia="ja-JP"/>
              </w:rPr>
            </w:pPr>
            <w:r w:rsidRPr="002D2DED">
              <w:t>–</w:t>
            </w:r>
          </w:p>
        </w:tc>
      </w:tr>
      <w:tr w:rsidR="00385DB8" w:rsidRPr="00BF4DFC" w14:paraId="70AD9751" w14:textId="77777777" w:rsidTr="00ED4B65">
        <w:trPr>
          <w:trHeight w:val="270"/>
          <w:jc w:val="center"/>
        </w:trPr>
        <w:tc>
          <w:tcPr>
            <w:tcW w:w="1219" w:type="dxa"/>
            <w:tcBorders>
              <w:right w:val="single" w:sz="4" w:space="0" w:color="000000" w:themeColor="text1"/>
            </w:tcBorders>
          </w:tcPr>
          <w:p w14:paraId="1620E3DC" w14:textId="77777777" w:rsidR="00385DB8" w:rsidRPr="00745008" w:rsidRDefault="00385DB8" w:rsidP="00ED4B65">
            <w:pPr>
              <w:pStyle w:val="Tabletext"/>
              <w:jc w:val="center"/>
              <w:rPr>
                <w:b/>
                <w:bCs/>
              </w:rPr>
            </w:pPr>
            <w:r w:rsidRPr="00745008">
              <w:rPr>
                <w:b/>
                <w:bCs/>
              </w:rPr>
              <w:t>SG 7</w:t>
            </w:r>
          </w:p>
        </w:tc>
        <w:tc>
          <w:tcPr>
            <w:tcW w:w="2330" w:type="dxa"/>
            <w:tcBorders>
              <w:left w:val="single" w:sz="4" w:space="0" w:color="000000" w:themeColor="text1"/>
            </w:tcBorders>
          </w:tcPr>
          <w:p w14:paraId="06D23F53" w14:textId="77777777" w:rsidR="00385DB8" w:rsidRPr="00745008" w:rsidRDefault="00385DB8" w:rsidP="00ED4B65">
            <w:pPr>
              <w:pStyle w:val="Tabletext"/>
              <w:rPr>
                <w:sz w:val="20"/>
                <w:lang w:val="fr-FR"/>
              </w:rPr>
            </w:pPr>
            <w:hyperlink r:id="rId75" w:history="1">
              <w:r w:rsidRPr="00F24D57">
                <w:rPr>
                  <w:rStyle w:val="Hyperlink"/>
                  <w:sz w:val="20"/>
                  <w:lang w:val="fr-FR"/>
                </w:rPr>
                <w:t>RS.1166-6</w:t>
              </w:r>
            </w:hyperlink>
            <w:r>
              <w:rPr>
                <w:sz w:val="20"/>
                <w:lang w:val="fr-FR"/>
              </w:rPr>
              <w:t xml:space="preserve">, </w:t>
            </w:r>
            <w:hyperlink r:id="rId76" w:history="1">
              <w:r w:rsidRPr="00F24D57">
                <w:rPr>
                  <w:rStyle w:val="Hyperlink"/>
                  <w:sz w:val="20"/>
                  <w:lang w:val="fr-FR"/>
                </w:rPr>
                <w:t>RS.2105-3</w:t>
              </w:r>
            </w:hyperlink>
            <w:r>
              <w:rPr>
                <w:sz w:val="20"/>
                <w:lang w:val="fr-FR"/>
              </w:rPr>
              <w:t xml:space="preserve">, </w:t>
            </w:r>
            <w:hyperlink r:id="rId77" w:history="1">
              <w:r w:rsidRPr="00F24D57">
                <w:rPr>
                  <w:rStyle w:val="Hyperlink"/>
                  <w:sz w:val="20"/>
                  <w:lang w:val="fr-FR"/>
                </w:rPr>
                <w:t>SA.2141-1</w:t>
              </w:r>
            </w:hyperlink>
            <w:r>
              <w:rPr>
                <w:sz w:val="20"/>
                <w:lang w:val="fr-FR"/>
              </w:rPr>
              <w:t xml:space="preserve">, </w:t>
            </w:r>
            <w:hyperlink r:id="rId78" w:history="1">
              <w:r w:rsidRPr="00F24D57">
                <w:rPr>
                  <w:rStyle w:val="Hyperlink"/>
                  <w:sz w:val="20"/>
                  <w:lang w:val="fr-FR"/>
                </w:rPr>
                <w:t>SA.2169-0</w:t>
              </w:r>
            </w:hyperlink>
          </w:p>
        </w:tc>
        <w:tc>
          <w:tcPr>
            <w:tcW w:w="2250" w:type="dxa"/>
            <w:tcBorders>
              <w:left w:val="single" w:sz="4" w:space="0" w:color="000000" w:themeColor="text1"/>
            </w:tcBorders>
          </w:tcPr>
          <w:p w14:paraId="4AD402CE" w14:textId="77777777" w:rsidR="00385DB8" w:rsidRPr="00035AF0" w:rsidRDefault="00385DB8" w:rsidP="00ED4B65">
            <w:pPr>
              <w:pStyle w:val="Tabletext"/>
              <w:rPr>
                <w:sz w:val="20"/>
                <w:lang w:val="fr-FR"/>
              </w:rPr>
            </w:pPr>
            <w:hyperlink r:id="rId79" w:history="1">
              <w:r w:rsidRPr="002B779C">
                <w:rPr>
                  <w:rStyle w:val="Hyperlink"/>
                  <w:sz w:val="20"/>
                  <w:lang w:val="fr-FR"/>
                </w:rPr>
                <w:t>RA.2551-0</w:t>
              </w:r>
            </w:hyperlink>
            <w:r>
              <w:rPr>
                <w:sz w:val="20"/>
                <w:lang w:val="fr-FR"/>
              </w:rPr>
              <w:t xml:space="preserve">, </w:t>
            </w:r>
            <w:hyperlink r:id="rId80" w:history="1">
              <w:r w:rsidRPr="002B779C">
                <w:rPr>
                  <w:rStyle w:val="Hyperlink"/>
                  <w:sz w:val="20"/>
                  <w:lang w:val="fr-FR"/>
                </w:rPr>
                <w:t>RA.2552</w:t>
              </w:r>
              <w:r w:rsidRPr="002B779C">
                <w:rPr>
                  <w:rStyle w:val="Hyperlink"/>
                  <w:sz w:val="20"/>
                  <w:lang w:val="fr-FR"/>
                </w:rPr>
                <w:noBreakHyphen/>
                <w:t>0</w:t>
              </w:r>
            </w:hyperlink>
            <w:r>
              <w:rPr>
                <w:sz w:val="20"/>
                <w:lang w:val="fr-FR"/>
              </w:rPr>
              <w:t xml:space="preserve">, </w:t>
            </w:r>
            <w:hyperlink r:id="rId81" w:history="1">
              <w:r w:rsidRPr="002B779C">
                <w:rPr>
                  <w:rStyle w:val="Hyperlink"/>
                  <w:sz w:val="20"/>
                  <w:lang w:val="fr-FR"/>
                </w:rPr>
                <w:t>RS.2310</w:t>
              </w:r>
              <w:r w:rsidRPr="002B779C">
                <w:rPr>
                  <w:rStyle w:val="Hyperlink"/>
                  <w:sz w:val="20"/>
                  <w:lang w:val="fr-FR"/>
                </w:rPr>
                <w:noBreakHyphen/>
                <w:t>2</w:t>
              </w:r>
            </w:hyperlink>
            <w:r>
              <w:rPr>
                <w:sz w:val="20"/>
                <w:lang w:val="fr-FR"/>
              </w:rPr>
              <w:t xml:space="preserve">, </w:t>
            </w:r>
            <w:hyperlink r:id="rId82" w:history="1">
              <w:r w:rsidRPr="00482FDB">
                <w:rPr>
                  <w:rStyle w:val="Hyperlink"/>
                  <w:sz w:val="20"/>
                  <w:lang w:val="fr-FR"/>
                </w:rPr>
                <w:t>RS.2489</w:t>
              </w:r>
              <w:r w:rsidRPr="00482FDB">
                <w:rPr>
                  <w:rStyle w:val="Hyperlink"/>
                  <w:sz w:val="20"/>
                  <w:lang w:val="fr-FR"/>
                </w:rPr>
                <w:noBreakHyphen/>
                <w:t>1</w:t>
              </w:r>
            </w:hyperlink>
            <w:r>
              <w:rPr>
                <w:sz w:val="20"/>
                <w:lang w:val="fr-FR"/>
              </w:rPr>
              <w:t xml:space="preserve">, </w:t>
            </w:r>
            <w:hyperlink r:id="rId83" w:history="1">
              <w:r w:rsidRPr="00482FDB">
                <w:rPr>
                  <w:rStyle w:val="Hyperlink"/>
                  <w:sz w:val="20"/>
                  <w:lang w:val="fr-FR"/>
                </w:rPr>
                <w:t>SA.2553-0</w:t>
              </w:r>
            </w:hyperlink>
          </w:p>
        </w:tc>
        <w:tc>
          <w:tcPr>
            <w:tcW w:w="1316" w:type="dxa"/>
            <w:tcBorders>
              <w:left w:val="single" w:sz="4" w:space="0" w:color="000000" w:themeColor="text1"/>
            </w:tcBorders>
          </w:tcPr>
          <w:p w14:paraId="427C86C2" w14:textId="77777777" w:rsidR="00385DB8" w:rsidRPr="00A1238C" w:rsidRDefault="00385DB8" w:rsidP="00ED4B65">
            <w:pPr>
              <w:pStyle w:val="Tabletext"/>
              <w:rPr>
                <w:sz w:val="20"/>
                <w:lang w:val="fr-FR"/>
              </w:rPr>
            </w:pPr>
            <w:r w:rsidRPr="002D2DED">
              <w:t>–</w:t>
            </w:r>
          </w:p>
        </w:tc>
        <w:tc>
          <w:tcPr>
            <w:tcW w:w="1485" w:type="dxa"/>
            <w:tcBorders>
              <w:left w:val="single" w:sz="4" w:space="0" w:color="000000" w:themeColor="text1"/>
            </w:tcBorders>
          </w:tcPr>
          <w:p w14:paraId="3E4A85DC" w14:textId="77777777" w:rsidR="00385DB8" w:rsidRPr="00A1238C" w:rsidRDefault="00385DB8" w:rsidP="00ED4B65">
            <w:pPr>
              <w:pStyle w:val="Tabletext"/>
              <w:rPr>
                <w:sz w:val="20"/>
                <w:lang w:val="fr-FR"/>
              </w:rPr>
            </w:pPr>
            <w:r w:rsidRPr="002D2DED">
              <w:t>–</w:t>
            </w:r>
          </w:p>
        </w:tc>
        <w:tc>
          <w:tcPr>
            <w:tcW w:w="1109" w:type="dxa"/>
            <w:tcBorders>
              <w:left w:val="single" w:sz="4" w:space="0" w:color="000000" w:themeColor="text1"/>
            </w:tcBorders>
          </w:tcPr>
          <w:p w14:paraId="4BFE2A67" w14:textId="77777777" w:rsidR="00385DB8" w:rsidRPr="00A1238C" w:rsidRDefault="00385DB8" w:rsidP="00ED4B65">
            <w:pPr>
              <w:pStyle w:val="Tabletext"/>
              <w:rPr>
                <w:sz w:val="20"/>
                <w:lang w:val="fr-FR"/>
              </w:rPr>
            </w:pPr>
            <w:r w:rsidRPr="002D2DED">
              <w:t>–</w:t>
            </w:r>
          </w:p>
        </w:tc>
      </w:tr>
      <w:tr w:rsidR="00385DB8" w:rsidRPr="00745008" w14:paraId="5D009BC0" w14:textId="77777777" w:rsidTr="00ED4B65">
        <w:trPr>
          <w:trHeight w:val="270"/>
          <w:jc w:val="center"/>
        </w:trPr>
        <w:tc>
          <w:tcPr>
            <w:tcW w:w="1219" w:type="dxa"/>
            <w:tcBorders>
              <w:bottom w:val="single" w:sz="4" w:space="0" w:color="000000" w:themeColor="text1"/>
              <w:right w:val="single" w:sz="4" w:space="0" w:color="000000" w:themeColor="text1"/>
            </w:tcBorders>
          </w:tcPr>
          <w:p w14:paraId="4E92FFD4" w14:textId="77777777" w:rsidR="00385DB8" w:rsidRPr="00745008" w:rsidRDefault="00385DB8" w:rsidP="00ED4B65">
            <w:pPr>
              <w:pStyle w:val="Tabletext"/>
              <w:jc w:val="center"/>
              <w:rPr>
                <w:b/>
                <w:bCs/>
              </w:rPr>
            </w:pPr>
            <w:r>
              <w:rPr>
                <w:b/>
                <w:bCs/>
              </w:rPr>
              <w:t>CCV/CCT</w:t>
            </w:r>
          </w:p>
        </w:tc>
        <w:tc>
          <w:tcPr>
            <w:tcW w:w="2330" w:type="dxa"/>
            <w:tcBorders>
              <w:left w:val="single" w:sz="4" w:space="0" w:color="000000" w:themeColor="text1"/>
            </w:tcBorders>
          </w:tcPr>
          <w:p w14:paraId="786D362A" w14:textId="77777777" w:rsidR="00385DB8" w:rsidRPr="00745008" w:rsidRDefault="00385DB8" w:rsidP="00ED4B65">
            <w:pPr>
              <w:pStyle w:val="Tabletext"/>
              <w:rPr>
                <w:sz w:val="20"/>
                <w:lang w:val="fr-FR"/>
              </w:rPr>
            </w:pPr>
            <w:hyperlink r:id="rId84" w:history="1">
              <w:r w:rsidRPr="00F24D57">
                <w:rPr>
                  <w:rStyle w:val="Hyperlink"/>
                  <w:sz w:val="20"/>
                  <w:lang w:val="fr-FR"/>
                </w:rPr>
                <w:t>V.431-9</w:t>
              </w:r>
            </w:hyperlink>
          </w:p>
        </w:tc>
        <w:tc>
          <w:tcPr>
            <w:tcW w:w="2250" w:type="dxa"/>
            <w:tcBorders>
              <w:left w:val="single" w:sz="4" w:space="0" w:color="000000" w:themeColor="text1"/>
            </w:tcBorders>
          </w:tcPr>
          <w:p w14:paraId="10C3D469" w14:textId="77777777" w:rsidR="00385DB8" w:rsidRPr="00035AF0" w:rsidRDefault="00385DB8" w:rsidP="00ED4B65">
            <w:pPr>
              <w:pStyle w:val="Tabletext"/>
              <w:rPr>
                <w:sz w:val="20"/>
                <w:lang w:val="fr-FR"/>
              </w:rPr>
            </w:pPr>
            <w:r w:rsidRPr="002D2DED">
              <w:t>–</w:t>
            </w:r>
          </w:p>
        </w:tc>
        <w:tc>
          <w:tcPr>
            <w:tcW w:w="1316" w:type="dxa"/>
            <w:tcBorders>
              <w:left w:val="single" w:sz="4" w:space="0" w:color="000000" w:themeColor="text1"/>
            </w:tcBorders>
          </w:tcPr>
          <w:p w14:paraId="43B86A08" w14:textId="77777777" w:rsidR="00385DB8" w:rsidRPr="003153E6" w:rsidRDefault="00385DB8" w:rsidP="00ED4B65">
            <w:pPr>
              <w:pStyle w:val="Tabletext"/>
              <w:rPr>
                <w:sz w:val="20"/>
              </w:rPr>
            </w:pPr>
            <w:r w:rsidRPr="002D2DED">
              <w:t>–</w:t>
            </w:r>
          </w:p>
        </w:tc>
        <w:tc>
          <w:tcPr>
            <w:tcW w:w="1485" w:type="dxa"/>
            <w:tcBorders>
              <w:left w:val="single" w:sz="4" w:space="0" w:color="000000" w:themeColor="text1"/>
            </w:tcBorders>
          </w:tcPr>
          <w:p w14:paraId="14C87CFD" w14:textId="77777777" w:rsidR="00385DB8" w:rsidRPr="00745008" w:rsidRDefault="00385DB8" w:rsidP="00ED4B65">
            <w:pPr>
              <w:pStyle w:val="Tabletext"/>
              <w:rPr>
                <w:sz w:val="20"/>
              </w:rPr>
            </w:pPr>
            <w:r w:rsidRPr="002D2DED">
              <w:t>–</w:t>
            </w:r>
          </w:p>
        </w:tc>
        <w:tc>
          <w:tcPr>
            <w:tcW w:w="1109" w:type="dxa"/>
            <w:tcBorders>
              <w:left w:val="single" w:sz="4" w:space="0" w:color="000000" w:themeColor="text1"/>
            </w:tcBorders>
          </w:tcPr>
          <w:p w14:paraId="6A6FC5B5" w14:textId="77777777" w:rsidR="00385DB8" w:rsidRPr="00745008" w:rsidRDefault="00385DB8" w:rsidP="00ED4B65">
            <w:pPr>
              <w:pStyle w:val="Tabletext"/>
              <w:rPr>
                <w:sz w:val="20"/>
              </w:rPr>
            </w:pPr>
            <w:r w:rsidRPr="002D2DED">
              <w:t>–</w:t>
            </w:r>
          </w:p>
        </w:tc>
      </w:tr>
    </w:tbl>
    <w:bookmarkEnd w:id="5"/>
    <w:p w14:paraId="7B63FD46" w14:textId="2062BE47" w:rsidR="00385DB8" w:rsidRDefault="00385DB8" w:rsidP="00385DB8">
      <w:pPr>
        <w:pStyle w:val="Tablefin"/>
      </w:pPr>
      <w:r>
        <w:t>NOTE: The outputs listed above were compiled at the time of the preparation of this document.</w:t>
      </w:r>
    </w:p>
    <w:p w14:paraId="62026F27" w14:textId="5FF53B30" w:rsidR="00385DB8" w:rsidRPr="00745008" w:rsidRDefault="00385DB8" w:rsidP="00385DB8">
      <w:r>
        <w:t>There are 1 160 ITU-R Recommendations and 660 ITU-R Reports currently in force.</w:t>
      </w:r>
    </w:p>
    <w:p w14:paraId="3814060B" w14:textId="55A8759E" w:rsidR="003C1E67" w:rsidRPr="00745008" w:rsidRDefault="003C1E67" w:rsidP="003C1E67">
      <w:pPr>
        <w:pStyle w:val="Heading2"/>
      </w:pPr>
      <w:bookmarkStart w:id="6" w:name="_Toc445972795"/>
      <w:bookmarkEnd w:id="4"/>
      <w:r>
        <w:lastRenderedPageBreak/>
        <w:t>4.2</w:t>
      </w:r>
      <w:r w:rsidRPr="00745008">
        <w:tab/>
        <w:t>Study Group 1</w:t>
      </w:r>
    </w:p>
    <w:p w14:paraId="73389DCC" w14:textId="77777777" w:rsidR="003C1E67" w:rsidRPr="00745008" w:rsidRDefault="003C1E67" w:rsidP="003C1E67">
      <w:bookmarkStart w:id="7" w:name="_Toc445972793"/>
      <w:r w:rsidRPr="00745008">
        <w:t>Study Group 1 continu</w:t>
      </w:r>
      <w:r>
        <w:t>ed</w:t>
      </w:r>
      <w:r w:rsidRPr="00745008">
        <w:t xml:space="preserve"> to develop ITU-R Recommendations, Reports and Handbooks related to spectrum management principles and techniques, general principles of sharing, spectrum monitoring, long-term strategies for spectrum utilization, economic approaches to national spectrum management, automated techniques and assistance to developing countries in cooperation with the Telecommunication Development Sector. Its studies also include</w:t>
      </w:r>
      <w:r>
        <w:t>d</w:t>
      </w:r>
      <w:r w:rsidRPr="00745008">
        <w:t xml:space="preserve"> methods for identification and elimination of interference, unwanted emissions, maintenance of data dictionary, spectrum redeployment, spectrum use measurement, unlicensed and shared uses of spectrum, dynamic spectrum access, smart grids and wireless power transmission.</w:t>
      </w:r>
    </w:p>
    <w:p w14:paraId="5E0A9817" w14:textId="25775DD3" w:rsidR="003C1E67" w:rsidRDefault="003C1E67" w:rsidP="003C1E67">
      <w:r w:rsidRPr="00745008">
        <w:t>Working Parties 1A, 1B and 1C</w:t>
      </w:r>
      <w:r>
        <w:t xml:space="preserve"> and Study Group 1</w:t>
      </w:r>
      <w:r w:rsidRPr="00745008">
        <w:t xml:space="preserve"> held a </w:t>
      </w:r>
      <w:r>
        <w:t xml:space="preserve">block of </w:t>
      </w:r>
      <w:r w:rsidRPr="00745008">
        <w:t>physical meeting</w:t>
      </w:r>
      <w:r>
        <w:t>s</w:t>
      </w:r>
      <w:r w:rsidRPr="00745008">
        <w:t xml:space="preserve"> with remote participation </w:t>
      </w:r>
      <w:r>
        <w:t>from 9 to 19 June</w:t>
      </w:r>
      <w:r w:rsidRPr="00745008">
        <w:t xml:space="preserve"> </w:t>
      </w:r>
      <w:r>
        <w:t>2025 in Geneva.</w:t>
      </w:r>
      <w:r w:rsidRPr="00745008">
        <w:t xml:space="preserve"> </w:t>
      </w:r>
    </w:p>
    <w:p w14:paraId="5779834B" w14:textId="77777777" w:rsidR="003C1E67" w:rsidRDefault="003C1E67" w:rsidP="003C1E67">
      <w:pPr>
        <w:rPr>
          <w:lang w:val="en-US"/>
        </w:rPr>
      </w:pPr>
      <w:r>
        <w:rPr>
          <w:lang w:val="en-US"/>
        </w:rPr>
        <w:t>As indicated in the invitation circulars (</w:t>
      </w:r>
      <w:hyperlink r:id="rId85" w:history="1">
        <w:r w:rsidRPr="000C7234">
          <w:rPr>
            <w:rStyle w:val="Hyperlink"/>
            <w:lang w:val="en-US"/>
          </w:rPr>
          <w:t>CACE</w:t>
        </w:r>
        <w:r>
          <w:rPr>
            <w:rStyle w:val="Hyperlink"/>
            <w:lang w:val="en-US"/>
          </w:rPr>
          <w:t>/</w:t>
        </w:r>
        <w:r w:rsidRPr="000C7234">
          <w:rPr>
            <w:rStyle w:val="Hyperlink"/>
            <w:lang w:val="en-US"/>
          </w:rPr>
          <w:t>1131</w:t>
        </w:r>
      </w:hyperlink>
      <w:r>
        <w:rPr>
          <w:lang w:val="en-US"/>
        </w:rPr>
        <w:t xml:space="preserve"> and </w:t>
      </w:r>
      <w:hyperlink r:id="rId86" w:history="1">
        <w:r w:rsidRPr="000C7234">
          <w:rPr>
            <w:rStyle w:val="Hyperlink"/>
            <w:lang w:val="en-US"/>
          </w:rPr>
          <w:t>1/LCCE/113</w:t>
        </w:r>
      </w:hyperlink>
      <w:r>
        <w:rPr>
          <w:lang w:val="en-US"/>
        </w:rPr>
        <w:t>), WP 1C met</w:t>
      </w:r>
      <w:r w:rsidRPr="00745008">
        <w:rPr>
          <w:lang w:val="en-US"/>
        </w:rPr>
        <w:t xml:space="preserve"> from </w:t>
      </w:r>
      <w:r>
        <w:rPr>
          <w:lang w:val="en-US"/>
        </w:rPr>
        <w:t>9 to 18</w:t>
      </w:r>
      <w:r w:rsidRPr="00745008">
        <w:rPr>
          <w:lang w:val="en-US"/>
        </w:rPr>
        <w:t xml:space="preserve"> June 20</w:t>
      </w:r>
      <w:r>
        <w:rPr>
          <w:lang w:val="en-US"/>
        </w:rPr>
        <w:t xml:space="preserve">25 with the first two days dedicated to the work on the </w:t>
      </w:r>
      <w:r w:rsidRPr="001D5855">
        <w:rPr>
          <w:lang w:val="en-US"/>
        </w:rPr>
        <w:t>next edition</w:t>
      </w:r>
      <w:r w:rsidRPr="00276DFD">
        <w:rPr>
          <w:lang w:val="en-US"/>
        </w:rPr>
        <w:t xml:space="preserve"> of the </w:t>
      </w:r>
      <w:r w:rsidRPr="001D5855">
        <w:t>ITU-R</w:t>
      </w:r>
      <w:r w:rsidRPr="009E4F77">
        <w:t xml:space="preserve"> Spectrum Monitoring Handbook (</w:t>
      </w:r>
      <w:r>
        <w:rPr>
          <w:lang w:val="en-US"/>
        </w:rPr>
        <w:t xml:space="preserve">SMH), while </w:t>
      </w:r>
      <w:r w:rsidRPr="00745008">
        <w:rPr>
          <w:lang w:val="en-US"/>
        </w:rPr>
        <w:t xml:space="preserve">WPs 1A </w:t>
      </w:r>
      <w:r>
        <w:rPr>
          <w:lang w:val="en-US"/>
        </w:rPr>
        <w:t xml:space="preserve">and </w:t>
      </w:r>
      <w:r w:rsidRPr="00745008">
        <w:rPr>
          <w:lang w:val="en-US"/>
        </w:rPr>
        <w:t xml:space="preserve">1B </w:t>
      </w:r>
      <w:r>
        <w:rPr>
          <w:lang w:val="en-US"/>
        </w:rPr>
        <w:t>met</w:t>
      </w:r>
      <w:r w:rsidRPr="00745008">
        <w:rPr>
          <w:lang w:val="en-US"/>
        </w:rPr>
        <w:t xml:space="preserve"> from </w:t>
      </w:r>
      <w:r>
        <w:rPr>
          <w:lang w:val="en-US"/>
        </w:rPr>
        <w:t>11 to 18</w:t>
      </w:r>
      <w:r w:rsidRPr="00745008">
        <w:rPr>
          <w:lang w:val="en-US"/>
        </w:rPr>
        <w:t xml:space="preserve"> June 20</w:t>
      </w:r>
      <w:r>
        <w:rPr>
          <w:lang w:val="en-US"/>
        </w:rPr>
        <w:t>25</w:t>
      </w:r>
      <w:r w:rsidRPr="00745008">
        <w:rPr>
          <w:lang w:val="en-US"/>
        </w:rPr>
        <w:t xml:space="preserve">. SG 1 </w:t>
      </w:r>
      <w:r>
        <w:rPr>
          <w:lang w:val="en-US"/>
        </w:rPr>
        <w:t>held its meeting</w:t>
      </w:r>
      <w:r w:rsidRPr="00745008">
        <w:rPr>
          <w:lang w:val="en-US"/>
        </w:rPr>
        <w:t xml:space="preserve"> on </w:t>
      </w:r>
      <w:r>
        <w:rPr>
          <w:lang w:val="en-US"/>
        </w:rPr>
        <w:t>19</w:t>
      </w:r>
      <w:r w:rsidRPr="00745008">
        <w:rPr>
          <w:lang w:val="en-US"/>
        </w:rPr>
        <w:t xml:space="preserve"> June 20</w:t>
      </w:r>
      <w:r>
        <w:rPr>
          <w:lang w:val="en-US"/>
        </w:rPr>
        <w:t>25</w:t>
      </w:r>
      <w:r w:rsidRPr="00745008">
        <w:rPr>
          <w:lang w:val="en-US"/>
        </w:rPr>
        <w:t>.</w:t>
      </w:r>
      <w:r>
        <w:rPr>
          <w:lang w:val="en-US"/>
        </w:rPr>
        <w:t xml:space="preserve"> These meetings took place at the ITU Headquarters in Geneva.</w:t>
      </w:r>
    </w:p>
    <w:p w14:paraId="6BAEC563" w14:textId="186B82B8" w:rsidR="003C1E67" w:rsidRDefault="003C1E67" w:rsidP="003C1E67">
      <w:pPr>
        <w:rPr>
          <w:lang w:eastAsia="ja-JP"/>
        </w:rPr>
      </w:pPr>
      <w:r>
        <w:t>In addition to the approved publications indicated in the table above, SG 1 also approved the editorial revision of e</w:t>
      </w:r>
      <w:r w:rsidRPr="00AD13BE">
        <w:t xml:space="preserve">ditorial revision of </w:t>
      </w:r>
      <w:r>
        <w:t xml:space="preserve">Recommendation </w:t>
      </w:r>
      <w:r w:rsidRPr="00AD13BE">
        <w:t xml:space="preserve">ITU-R </w:t>
      </w:r>
      <w:r w:rsidRPr="00483A48">
        <w:t>SM.337-6</w:t>
      </w:r>
      <w:r>
        <w:t xml:space="preserve"> </w:t>
      </w:r>
      <w:r w:rsidRPr="00A1238C">
        <w:rPr>
          <w:i/>
          <w:iCs/>
        </w:rPr>
        <w:t>“</w:t>
      </w:r>
      <w:r w:rsidRPr="00483A48">
        <w:rPr>
          <w:i/>
          <w:iCs/>
        </w:rPr>
        <w:t>Frequency and distance separations</w:t>
      </w:r>
      <w:r w:rsidRPr="00022658">
        <w:rPr>
          <w:i/>
          <w:iCs/>
        </w:rPr>
        <w:t>”</w:t>
      </w:r>
      <w:r>
        <w:t xml:space="preserve">. Moreover, good progress was </w:t>
      </w:r>
      <w:r w:rsidRPr="00276DFD">
        <w:t xml:space="preserve">also made on other activities </w:t>
      </w:r>
      <w:r w:rsidRPr="001D5855">
        <w:t xml:space="preserve">of SG 1 </w:t>
      </w:r>
      <w:r w:rsidRPr="00276DFD">
        <w:t>WP</w:t>
      </w:r>
      <w:r w:rsidRPr="001D5855">
        <w:t>s</w:t>
      </w:r>
      <w:r w:rsidRPr="00276DFD">
        <w:t xml:space="preserve">. </w:t>
      </w:r>
    </w:p>
    <w:p w14:paraId="2AD74B72" w14:textId="77777777" w:rsidR="003C1E67" w:rsidRPr="00276DFD" w:rsidRDefault="003C1E67" w:rsidP="003C1E67">
      <w:r w:rsidRPr="00276DFD">
        <w:t xml:space="preserve">During these June 2025 meetings, the </w:t>
      </w:r>
      <w:r w:rsidRPr="001D5855">
        <w:rPr>
          <w:lang w:eastAsia="zh-CN"/>
        </w:rPr>
        <w:t>updated information contained in Attachment</w:t>
      </w:r>
      <w:r w:rsidRPr="00276DFD">
        <w:rPr>
          <w:lang w:eastAsia="zh-CN"/>
        </w:rPr>
        <w:t>s</w:t>
      </w:r>
      <w:r w:rsidRPr="001D5855">
        <w:rPr>
          <w:lang w:eastAsia="zh-CN"/>
        </w:rPr>
        <w:t xml:space="preserve"> 2</w:t>
      </w:r>
      <w:r w:rsidRPr="00276DFD">
        <w:rPr>
          <w:lang w:eastAsia="zh-CN"/>
        </w:rPr>
        <w:t xml:space="preserve"> (ITU-R SM Rec.)</w:t>
      </w:r>
      <w:r w:rsidRPr="001D5855">
        <w:rPr>
          <w:lang w:eastAsia="zh-CN"/>
        </w:rPr>
        <w:t>, 3</w:t>
      </w:r>
      <w:r w:rsidRPr="00276DFD">
        <w:rPr>
          <w:lang w:eastAsia="zh-CN"/>
        </w:rPr>
        <w:t xml:space="preserve"> (ITU-R SM Rep.)</w:t>
      </w:r>
      <w:r w:rsidRPr="001D5855">
        <w:rPr>
          <w:lang w:eastAsia="zh-CN"/>
        </w:rPr>
        <w:t xml:space="preserve"> and 5</w:t>
      </w:r>
      <w:r w:rsidRPr="00276DFD">
        <w:rPr>
          <w:lang w:eastAsia="zh-CN"/>
        </w:rPr>
        <w:t xml:space="preserve"> (relevant ITU-R Res.)</w:t>
      </w:r>
      <w:r w:rsidRPr="001D5855">
        <w:rPr>
          <w:lang w:eastAsia="zh-CN"/>
        </w:rPr>
        <w:t xml:space="preserve">, as well as the update of Attachment 8 </w:t>
      </w:r>
      <w:r w:rsidRPr="00276DFD">
        <w:rPr>
          <w:lang w:eastAsia="zh-CN"/>
        </w:rPr>
        <w:t xml:space="preserve">(relevant items on WRC-27 agenda and WRC-31 preliminary agenda) </w:t>
      </w:r>
      <w:r w:rsidRPr="001D5855">
        <w:rPr>
          <w:lang w:eastAsia="zh-CN"/>
        </w:rPr>
        <w:t xml:space="preserve">to Document </w:t>
      </w:r>
      <w:hyperlink r:id="rId87" w:history="1">
        <w:r w:rsidRPr="001D5855">
          <w:rPr>
            <w:rStyle w:val="Hyperlink"/>
            <w:spacing w:val="-6"/>
            <w:lang w:eastAsia="zh-CN"/>
          </w:rPr>
          <w:t>1/1(Rev.1)</w:t>
        </w:r>
      </w:hyperlink>
      <w:r w:rsidRPr="001D5855">
        <w:rPr>
          <w:lang w:eastAsia="zh-CN"/>
        </w:rPr>
        <w:t xml:space="preserve"> were presented and noted</w:t>
      </w:r>
      <w:r w:rsidRPr="00276DFD">
        <w:rPr>
          <w:lang w:eastAsia="zh-CN"/>
        </w:rPr>
        <w:t xml:space="preserve">. Likewise, </w:t>
      </w:r>
      <w:r w:rsidRPr="001D5855">
        <w:t xml:space="preserve">the </w:t>
      </w:r>
      <w:r w:rsidRPr="00276DFD">
        <w:rPr>
          <w:lang w:eastAsia="zh-CN"/>
        </w:rPr>
        <w:t>s</w:t>
      </w:r>
      <w:r w:rsidRPr="001D5855">
        <w:rPr>
          <w:lang w:eastAsia="zh-CN"/>
        </w:rPr>
        <w:t>ummary of conclusions of the 32</w:t>
      </w:r>
      <w:r w:rsidRPr="001D5855">
        <w:rPr>
          <w:vertAlign w:val="superscript"/>
          <w:lang w:eastAsia="zh-CN"/>
        </w:rPr>
        <w:t>nd</w:t>
      </w:r>
      <w:r w:rsidRPr="001D5855">
        <w:rPr>
          <w:lang w:eastAsia="zh-CN"/>
        </w:rPr>
        <w:t xml:space="preserve"> RAG meeting in </w:t>
      </w:r>
      <w:hyperlink r:id="rId88" w:history="1">
        <w:r w:rsidRPr="001D5855">
          <w:rPr>
            <w:rStyle w:val="Hyperlink"/>
            <w:lang w:eastAsia="zh-CN"/>
          </w:rPr>
          <w:t>BR CA/277</w:t>
        </w:r>
      </w:hyperlink>
      <w:r w:rsidRPr="001D5855">
        <w:rPr>
          <w:lang w:eastAsia="zh-CN"/>
        </w:rPr>
        <w:t xml:space="preserve"> and t</w:t>
      </w:r>
      <w:r w:rsidRPr="00276DFD">
        <w:rPr>
          <w:lang w:eastAsia="zh-CN"/>
        </w:rPr>
        <w:t xml:space="preserve">he </w:t>
      </w:r>
      <w:r w:rsidRPr="001D5855">
        <w:rPr>
          <w:lang w:eastAsia="zh-CN"/>
        </w:rPr>
        <w:t xml:space="preserve">related additional information brought to the attention of all ITU-R SGs and WPs in </w:t>
      </w:r>
      <w:r>
        <w:rPr>
          <w:lang w:eastAsia="zh-CN"/>
        </w:rPr>
        <w:t>Doc. </w:t>
      </w:r>
      <w:hyperlink r:id="rId89" w:history="1">
        <w:r w:rsidRPr="00276DFD">
          <w:rPr>
            <w:rStyle w:val="Hyperlink"/>
            <w:lang w:eastAsia="zh-CN"/>
          </w:rPr>
          <w:t>1/45</w:t>
        </w:r>
      </w:hyperlink>
      <w:r w:rsidRPr="00276DFD">
        <w:rPr>
          <w:lang w:eastAsia="zh-CN"/>
        </w:rPr>
        <w:t xml:space="preserve"> were presented </w:t>
      </w:r>
      <w:r>
        <w:rPr>
          <w:lang w:eastAsia="zh-CN"/>
        </w:rPr>
        <w:t xml:space="preserve">and </w:t>
      </w:r>
      <w:r w:rsidRPr="00276DFD">
        <w:rPr>
          <w:lang w:eastAsia="zh-CN"/>
        </w:rPr>
        <w:t>noted.</w:t>
      </w:r>
    </w:p>
    <w:p w14:paraId="20761E38" w14:textId="77777777" w:rsidR="003C1E67" w:rsidRDefault="003C1E67" w:rsidP="003C1E67">
      <w:r w:rsidRPr="00276DFD">
        <w:t xml:space="preserve">Also during these June 2025 meetings, Vice-Chairs for WP 1A, WP 1B and WP 1C were appointed as indicated </w:t>
      </w:r>
      <w:hyperlink r:id="rId90" w:history="1">
        <w:r w:rsidRPr="00276DFD">
          <w:rPr>
            <w:rStyle w:val="Hyperlink"/>
          </w:rPr>
          <w:t>here</w:t>
        </w:r>
      </w:hyperlink>
      <w:r w:rsidRPr="00276DFD">
        <w:t xml:space="preserve"> on the websites of SG 1 and its WPs.</w:t>
      </w:r>
    </w:p>
    <w:p w14:paraId="2B67564F" w14:textId="5DEC22BD" w:rsidR="003C1E67" w:rsidRDefault="003C1E67" w:rsidP="00A1238C">
      <w:pPr>
        <w:rPr>
          <w:lang w:eastAsia="ja-JP"/>
        </w:rPr>
      </w:pPr>
      <w:r w:rsidRPr="008407C2">
        <w:t>WP 1C Rapporteur Group (RG) on the SMH held its second 2023-2027 meeting from 10 to 14 November 2025 to progress the work on the next edition of this important Handbook for national regulators, operators</w:t>
      </w:r>
      <w:r w:rsidRPr="008407C2">
        <w:rPr>
          <w:lang w:eastAsia="ja-JP"/>
        </w:rPr>
        <w:t xml:space="preserve"> and for the manufacturers providing equipment to them. The WP 1C RG-SMH was very productive in continuing the draft revision of all the Chapters and the Annex of the Handbook as well as in continuing the development of a draft new Chapter on </w:t>
      </w:r>
      <w:r w:rsidRPr="00A1238C">
        <w:rPr>
          <w:lang w:eastAsia="zh-CN"/>
        </w:rPr>
        <w:t>Networking,</w:t>
      </w:r>
      <w:r w:rsidRPr="008407C2">
        <w:rPr>
          <w:b/>
          <w:lang w:eastAsia="zh-CN"/>
        </w:rPr>
        <w:t xml:space="preserve"> </w:t>
      </w:r>
      <w:r w:rsidRPr="008407C2">
        <w:rPr>
          <w:lang w:eastAsia="ja-JP"/>
        </w:rPr>
        <w:t xml:space="preserve">Data and Automation. As indicated in Circular Letter </w:t>
      </w:r>
      <w:hyperlink r:id="rId91" w:history="1">
        <w:r w:rsidRPr="008407C2">
          <w:rPr>
            <w:rStyle w:val="Hyperlink"/>
            <w:lang w:eastAsia="ja-JP"/>
          </w:rPr>
          <w:t>1/LCCE/115</w:t>
        </w:r>
      </w:hyperlink>
      <w:r w:rsidRPr="008407C2">
        <w:rPr>
          <w:lang w:eastAsia="ja-JP"/>
        </w:rPr>
        <w:t>, the next meeting of the WP 1C RG-SMH is scheduled from 23 to 27 March 2026 in Munich, Germany, at the kind invitation of Rohde &amp; Schwarz GmbH &amp; Co. KG and with the support of the Administration of Germany (Federal Republic of).</w:t>
      </w:r>
      <w:r w:rsidRPr="008407C2">
        <w:t xml:space="preserve"> The targeted deadline for the completion by WP 1C and approval by SG 1 of the next edition of this important Handbook is June 2026.</w:t>
      </w:r>
    </w:p>
    <w:p w14:paraId="49FC13D7" w14:textId="7F0A5E5A" w:rsidR="003C1E67" w:rsidRPr="00B23B6C" w:rsidRDefault="003C1E67" w:rsidP="003C1E67">
      <w:r w:rsidRPr="008407C2">
        <w:rPr>
          <w:lang w:val="en-US"/>
        </w:rPr>
        <w:t xml:space="preserve">The next meetings of WPs 1A, 1B and 1C are scheduled from 3 to 10 June 2026, and the next SG 1 meeting on 11 June 2026. </w:t>
      </w:r>
    </w:p>
    <w:p w14:paraId="6691EE61" w14:textId="159397A6" w:rsidR="003C1E67" w:rsidRPr="00745008" w:rsidRDefault="003C1E67" w:rsidP="003C1E67">
      <w:pPr>
        <w:pStyle w:val="Heading2"/>
      </w:pPr>
      <w:r>
        <w:t>4.3</w:t>
      </w:r>
      <w:r w:rsidRPr="00745008">
        <w:tab/>
        <w:t>Study Group 3</w:t>
      </w:r>
      <w:bookmarkEnd w:id="7"/>
    </w:p>
    <w:p w14:paraId="0772DFD3" w14:textId="7EE24AAE" w:rsidR="003C1E67" w:rsidRDefault="003C1E67" w:rsidP="003C1E67">
      <w:r w:rsidRPr="00B30B44">
        <w:rPr>
          <w:rStyle w:val="ui-provider"/>
        </w:rPr>
        <w:t>Study Group 3 continue</w:t>
      </w:r>
      <w:r>
        <w:rPr>
          <w:rStyle w:val="ui-provider"/>
        </w:rPr>
        <w:t>d</w:t>
      </w:r>
      <w:r w:rsidRPr="00B30B44">
        <w:rPr>
          <w:rStyle w:val="ui-provider"/>
        </w:rPr>
        <w:t xml:space="preserve"> to undertake extensive research using</w:t>
      </w:r>
      <w:r w:rsidRPr="00B30B44">
        <w:t xml:space="preserve"> propagation measurements, data analysis and model development to extend the applicability of radio</w:t>
      </w:r>
      <w:r>
        <w:t>-</w:t>
      </w:r>
      <w:r w:rsidRPr="00B30B44">
        <w:t xml:space="preserve">wave propagation prediction methods in relevant parts of the spectrum up to </w:t>
      </w:r>
      <w:r w:rsidRPr="00995F25">
        <w:t>375</w:t>
      </w:r>
      <w:r w:rsidRPr="00B30B44">
        <w:t xml:space="preserve"> THz. Study Group 3 also continue</w:t>
      </w:r>
      <w:r>
        <w:t>d</w:t>
      </w:r>
      <w:r w:rsidRPr="00B30B44">
        <w:t xml:space="preserve"> to revise or develop new recommendations, reports and handbooks under its purview to support the design of radiocommunication systems and the assessment of interference. The latter </w:t>
      </w:r>
      <w:r>
        <w:t>wa</w:t>
      </w:r>
      <w:r w:rsidRPr="00B30B44">
        <w:t>s often required for sharing and compatibility studies in support of work on WRC agenda items.</w:t>
      </w:r>
    </w:p>
    <w:p w14:paraId="5D015A4C" w14:textId="77777777" w:rsidR="003C1E67" w:rsidRDefault="003C1E67" w:rsidP="003C1E67">
      <w:pPr>
        <w:jc w:val="both"/>
        <w:rPr>
          <w:lang w:eastAsia="zh-CN"/>
        </w:rPr>
      </w:pPr>
      <w:r>
        <w:rPr>
          <w:lang w:eastAsia="zh-CN"/>
        </w:rPr>
        <w:t>Study Group</w:t>
      </w:r>
      <w:r w:rsidRPr="00E1075A">
        <w:rPr>
          <w:lang w:eastAsia="zh-CN"/>
        </w:rPr>
        <w:t xml:space="preserve"> 3 </w:t>
      </w:r>
      <w:r>
        <w:rPr>
          <w:lang w:eastAsia="zh-CN"/>
        </w:rPr>
        <w:t xml:space="preserve">held two meetings on 26 May 2025 (morning) and 6 June 2025 in association with the WPs 3J, 3K, 3L and 3M meetings held from 26 May 2025 (afternoon) to 5 June 2025.  The first SG 3 </w:t>
      </w:r>
      <w:r>
        <w:rPr>
          <w:lang w:eastAsia="zh-CN"/>
        </w:rPr>
        <w:lastRenderedPageBreak/>
        <w:t>meeting</w:t>
      </w:r>
      <w:r w:rsidRPr="00E1075A">
        <w:rPr>
          <w:lang w:eastAsia="zh-CN"/>
        </w:rPr>
        <w:t xml:space="preserve"> </w:t>
      </w:r>
      <w:r>
        <w:rPr>
          <w:lang w:eastAsia="zh-CN"/>
        </w:rPr>
        <w:t>approved</w:t>
      </w:r>
      <w:r w:rsidRPr="00E1075A">
        <w:rPr>
          <w:lang w:eastAsia="zh-CN"/>
        </w:rPr>
        <w:t xml:space="preserve"> the working structure</w:t>
      </w:r>
      <w:r>
        <w:rPr>
          <w:lang w:eastAsia="zh-CN"/>
        </w:rPr>
        <w:t xml:space="preserve"> and terms of reference of the WPs,</w:t>
      </w:r>
      <w:r w:rsidRPr="00E1075A">
        <w:rPr>
          <w:lang w:eastAsia="zh-CN"/>
        </w:rPr>
        <w:t xml:space="preserve"> </w:t>
      </w:r>
      <w:r>
        <w:rPr>
          <w:lang w:eastAsia="zh-CN"/>
        </w:rPr>
        <w:t>and confirmed the WP Chairs and Vice-Chairs.  The second</w:t>
      </w:r>
      <w:r w:rsidRPr="00E1075A">
        <w:rPr>
          <w:lang w:eastAsia="zh-CN"/>
        </w:rPr>
        <w:t xml:space="preserve"> SG 3 meeting address</w:t>
      </w:r>
      <w:r>
        <w:rPr>
          <w:lang w:eastAsia="zh-CN"/>
        </w:rPr>
        <w:t>ed</w:t>
      </w:r>
      <w:r w:rsidRPr="00E1075A">
        <w:rPr>
          <w:lang w:eastAsia="zh-CN"/>
        </w:rPr>
        <w:t xml:space="preserve"> the work of the WPs</w:t>
      </w:r>
      <w:r>
        <w:rPr>
          <w:lang w:eastAsia="zh-CN"/>
        </w:rPr>
        <w:t xml:space="preserve"> submitted for its consideration, and elected Dr L. CASTANET (France) as WP 3J Chair, replacing the outgoing WP 3J Chair Prof C. RIVA (Italy), and also elected </w:t>
      </w:r>
      <w:r w:rsidRPr="00E1075A">
        <w:rPr>
          <w:rFonts w:eastAsia="SimSun"/>
          <w:lang w:eastAsia="zh-CN"/>
        </w:rPr>
        <w:t>Mr Eric HILL (United States) and Dr Seok-Hee BAE (</w:t>
      </w:r>
      <w:r>
        <w:rPr>
          <w:rFonts w:eastAsia="SimSun"/>
          <w:lang w:eastAsia="zh-CN"/>
        </w:rPr>
        <w:t xml:space="preserve">Republic of </w:t>
      </w:r>
      <w:r w:rsidRPr="00E1075A">
        <w:rPr>
          <w:rFonts w:eastAsia="SimSun"/>
          <w:lang w:eastAsia="zh-CN"/>
        </w:rPr>
        <w:t>Korea) as Vice</w:t>
      </w:r>
      <w:r w:rsidRPr="00E1075A">
        <w:rPr>
          <w:rFonts w:eastAsia="SimSun"/>
          <w:lang w:eastAsia="zh-CN"/>
        </w:rPr>
        <w:noBreakHyphen/>
        <w:t xml:space="preserve">Chairs </w:t>
      </w:r>
      <w:r>
        <w:rPr>
          <w:rFonts w:eastAsia="SimSun"/>
          <w:lang w:eastAsia="zh-CN"/>
        </w:rPr>
        <w:t>of</w:t>
      </w:r>
      <w:r w:rsidRPr="00E1075A">
        <w:rPr>
          <w:rFonts w:eastAsia="SimSun"/>
          <w:lang w:eastAsia="zh-CN"/>
        </w:rPr>
        <w:t xml:space="preserve"> WPs 3J and 3L</w:t>
      </w:r>
      <w:r>
        <w:rPr>
          <w:rFonts w:eastAsia="SimSun"/>
          <w:lang w:eastAsia="zh-CN"/>
        </w:rPr>
        <w:t>,</w:t>
      </w:r>
      <w:r w:rsidRPr="00E1075A">
        <w:rPr>
          <w:rFonts w:eastAsia="SimSun"/>
          <w:lang w:eastAsia="zh-CN"/>
        </w:rPr>
        <w:t xml:space="preserve"> respectively</w:t>
      </w:r>
      <w:r w:rsidRPr="00E1075A">
        <w:rPr>
          <w:lang w:eastAsia="zh-CN"/>
        </w:rPr>
        <w:t>.</w:t>
      </w:r>
    </w:p>
    <w:p w14:paraId="17F1FBBD" w14:textId="77777777" w:rsidR="003C1E67" w:rsidRDefault="003C1E67" w:rsidP="003C1E67">
      <w:pPr>
        <w:jc w:val="both"/>
        <w:rPr>
          <w:lang w:eastAsia="zh-CN"/>
        </w:rPr>
      </w:pPr>
      <w:r>
        <w:rPr>
          <w:lang w:eastAsia="zh-CN"/>
        </w:rPr>
        <w:t xml:space="preserve">A </w:t>
      </w:r>
      <w:hyperlink r:id="rId92" w:history="1">
        <w:r>
          <w:rPr>
            <w:rStyle w:val="Hyperlink"/>
            <w:lang w:eastAsia="zh-CN"/>
          </w:rPr>
          <w:t>w</w:t>
        </w:r>
        <w:r w:rsidRPr="00A301F4">
          <w:rPr>
            <w:rStyle w:val="Hyperlink"/>
            <w:lang w:eastAsia="zh-CN"/>
          </w:rPr>
          <w:t>orkshop on “Applications of machine learning in radio-wave propagation prediction”</w:t>
        </w:r>
      </w:hyperlink>
      <w:r w:rsidRPr="006116F1">
        <w:rPr>
          <w:i/>
          <w:iCs/>
          <w:lang w:eastAsia="zh-CN"/>
        </w:rPr>
        <w:t xml:space="preserve"> </w:t>
      </w:r>
      <w:r>
        <w:rPr>
          <w:lang w:eastAsia="zh-CN"/>
        </w:rPr>
        <w:t xml:space="preserve">was held on 27 May 2025. </w:t>
      </w:r>
      <w:r w:rsidRPr="00522613">
        <w:rPr>
          <w:lang w:eastAsia="zh-CN"/>
        </w:rPr>
        <w:t>The workshop consider</w:t>
      </w:r>
      <w:r>
        <w:rPr>
          <w:lang w:eastAsia="zh-CN"/>
        </w:rPr>
        <w:t>ed</w:t>
      </w:r>
      <w:r w:rsidRPr="00522613">
        <w:rPr>
          <w:lang w:eastAsia="zh-CN"/>
        </w:rPr>
        <w:t xml:space="preserve"> and discuss</w:t>
      </w:r>
      <w:r>
        <w:rPr>
          <w:lang w:eastAsia="zh-CN"/>
        </w:rPr>
        <w:t>ed</w:t>
      </w:r>
      <w:r w:rsidRPr="00522613">
        <w:rPr>
          <w:lang w:eastAsia="zh-CN"/>
        </w:rPr>
        <w:t xml:space="preserve"> machine learning (ML) as applied in modelling radio-wave propagation prediction, as well as its use in developing models of parameters or phenomena relevant in the prediction of radio-wave propagation.</w:t>
      </w:r>
      <w:r>
        <w:rPr>
          <w:lang w:eastAsia="zh-CN"/>
        </w:rPr>
        <w:t xml:space="preserve">  The workshop was attended by 117 participants and nine invited experts provided information on their research and use of ML as applied to radio-wave propagation prediction.</w:t>
      </w:r>
    </w:p>
    <w:p w14:paraId="39534B3E" w14:textId="77777777" w:rsidR="003C1E67" w:rsidRDefault="003C1E67" w:rsidP="003C1E67">
      <w:pPr>
        <w:jc w:val="both"/>
        <w:rPr>
          <w:lang w:eastAsia="zh-CN"/>
        </w:rPr>
      </w:pPr>
      <w:r w:rsidRPr="00E1075A">
        <w:rPr>
          <w:lang w:eastAsia="zh-CN"/>
        </w:rPr>
        <w:t>S</w:t>
      </w:r>
      <w:r>
        <w:rPr>
          <w:lang w:eastAsia="zh-CN"/>
        </w:rPr>
        <w:t xml:space="preserve">tudy </w:t>
      </w:r>
      <w:r w:rsidRPr="00E1075A">
        <w:rPr>
          <w:lang w:eastAsia="zh-CN"/>
        </w:rPr>
        <w:t>G</w:t>
      </w:r>
      <w:r>
        <w:rPr>
          <w:lang w:eastAsia="zh-CN"/>
        </w:rPr>
        <w:t>roup</w:t>
      </w:r>
      <w:r w:rsidRPr="00E1075A">
        <w:rPr>
          <w:lang w:eastAsia="zh-CN"/>
        </w:rPr>
        <w:t xml:space="preserve"> 3</w:t>
      </w:r>
      <w:r>
        <w:rPr>
          <w:lang w:eastAsia="zh-CN"/>
        </w:rPr>
        <w:t xml:space="preserve"> </w:t>
      </w:r>
      <w:r w:rsidRPr="00E1075A">
        <w:rPr>
          <w:lang w:eastAsia="zh-CN"/>
        </w:rPr>
        <w:t>provid</w:t>
      </w:r>
      <w:r>
        <w:rPr>
          <w:lang w:eastAsia="zh-CN"/>
        </w:rPr>
        <w:t>ed</w:t>
      </w:r>
      <w:r w:rsidRPr="00E1075A">
        <w:rPr>
          <w:lang w:eastAsia="zh-CN"/>
        </w:rPr>
        <w:t xml:space="preserve"> </w:t>
      </w:r>
      <w:r>
        <w:rPr>
          <w:lang w:eastAsia="zh-CN"/>
        </w:rPr>
        <w:t xml:space="preserve">radio-wave propagation modelling </w:t>
      </w:r>
      <w:r w:rsidRPr="00E1075A">
        <w:rPr>
          <w:lang w:eastAsia="zh-CN"/>
        </w:rPr>
        <w:t xml:space="preserve">information </w:t>
      </w:r>
      <w:r>
        <w:rPr>
          <w:lang w:eastAsia="zh-CN"/>
        </w:rPr>
        <w:t xml:space="preserve">within the agreed CPM deadlines </w:t>
      </w:r>
      <w:r w:rsidRPr="00E1075A">
        <w:rPr>
          <w:lang w:eastAsia="zh-CN"/>
        </w:rPr>
        <w:t xml:space="preserve">to </w:t>
      </w:r>
      <w:r>
        <w:rPr>
          <w:lang w:eastAsia="zh-CN"/>
        </w:rPr>
        <w:t>ITU-R WPs responsible for performing</w:t>
      </w:r>
      <w:r w:rsidRPr="00E1075A">
        <w:rPr>
          <w:lang w:eastAsia="zh-CN"/>
        </w:rPr>
        <w:t xml:space="preserve"> </w:t>
      </w:r>
      <w:r>
        <w:rPr>
          <w:lang w:eastAsia="zh-CN"/>
        </w:rPr>
        <w:t>sharing and compatibility</w:t>
      </w:r>
      <w:r w:rsidRPr="00E1075A">
        <w:rPr>
          <w:lang w:eastAsia="zh-CN"/>
        </w:rPr>
        <w:t xml:space="preserve"> studies</w:t>
      </w:r>
      <w:r>
        <w:rPr>
          <w:lang w:eastAsia="zh-CN"/>
        </w:rPr>
        <w:t xml:space="preserve"> required in the preparation for WRC-27</w:t>
      </w:r>
      <w:r w:rsidRPr="00E1075A">
        <w:rPr>
          <w:lang w:eastAsia="zh-CN"/>
        </w:rPr>
        <w:t>.</w:t>
      </w:r>
    </w:p>
    <w:p w14:paraId="4B7A4B3C" w14:textId="1E60B0B8" w:rsidR="003C1E67" w:rsidRPr="00745008" w:rsidRDefault="003C1E67" w:rsidP="003C1E67">
      <w:r>
        <w:t>The list of deliverables adopted by SG 3 and subsequently approved by Member States s</w:t>
      </w:r>
      <w:r w:rsidRPr="00745008">
        <w:t>ince RAG-2</w:t>
      </w:r>
      <w:r>
        <w:t>5 is provided in the table above</w:t>
      </w:r>
      <w:r w:rsidRPr="00745008">
        <w:t xml:space="preserve">. </w:t>
      </w:r>
      <w:r>
        <w:t>Three</w:t>
      </w:r>
      <w:r w:rsidRPr="00745008">
        <w:t xml:space="preserve"> ITU</w:t>
      </w:r>
      <w:r w:rsidRPr="00745008">
        <w:noBreakHyphen/>
        <w:t>R Recommendations were also editorially amended.</w:t>
      </w:r>
    </w:p>
    <w:p w14:paraId="2DA5221A" w14:textId="5DC237E7" w:rsidR="003C1E67" w:rsidRPr="00E07CF3" w:rsidRDefault="003C1E67" w:rsidP="003C1E67">
      <w:r>
        <w:t xml:space="preserve">A total of </w:t>
      </w:r>
      <w:r w:rsidRPr="001455A3">
        <w:t>38</w:t>
      </w:r>
      <w:r>
        <w:t xml:space="preserve"> Correspondence Groups (CGs) of </w:t>
      </w:r>
      <w:r w:rsidRPr="00E07CF3">
        <w:t xml:space="preserve">WPs 3J, 3K, 3L and 3M conducted a significant proportion of the work </w:t>
      </w:r>
      <w:r>
        <w:t xml:space="preserve"> resulting in vital progress between WP meetings.</w:t>
      </w:r>
      <w:r w:rsidRPr="00E07CF3">
        <w:t xml:space="preserve">  Working Parties of SG 3 had used CGs in this manner for more than a decade, particularly noting the fact that the four WPs met usually only once a year and that the completion of some topics of work </w:t>
      </w:r>
      <w:r>
        <w:t xml:space="preserve">could </w:t>
      </w:r>
      <w:r w:rsidRPr="00E07CF3">
        <w:t>span longer than five or even ten years.</w:t>
      </w:r>
    </w:p>
    <w:p w14:paraId="1B94E886" w14:textId="0EB945D5" w:rsidR="003C1E67" w:rsidRDefault="003C1E67" w:rsidP="003C1E67">
      <w:r w:rsidRPr="00E07CF3">
        <w:t>In 202</w:t>
      </w:r>
      <w:r>
        <w:t>5</w:t>
      </w:r>
      <w:r w:rsidRPr="00256CBE">
        <w:t xml:space="preserve">, as had been the case in the previous </w:t>
      </w:r>
      <w:r>
        <w:t xml:space="preserve">four </w:t>
      </w:r>
      <w:r w:rsidRPr="00256CBE">
        <w:t xml:space="preserve">years, the P-series recommendations remained the most popular of all ITU-R series of recommendations, with over </w:t>
      </w:r>
      <w:r>
        <w:t>210 500</w:t>
      </w:r>
      <w:r w:rsidRPr="00256CBE">
        <w:t xml:space="preserve"> downloads more than the second most popular series, thus </w:t>
      </w:r>
      <w:r w:rsidRPr="00BE6491">
        <w:t>continu</w:t>
      </w:r>
      <w:r w:rsidRPr="00256CBE">
        <w:t>ing</w:t>
      </w:r>
      <w:r w:rsidRPr="00BE6491">
        <w:t xml:space="preserve"> to </w:t>
      </w:r>
      <w:r w:rsidRPr="00256CBE">
        <w:t>reflect its importance to all users of radio systems within the ITU and the greater radiocommunications community.</w:t>
      </w:r>
    </w:p>
    <w:p w14:paraId="3AA92BA8" w14:textId="77777777" w:rsidR="003C1E67" w:rsidRDefault="003C1E67" w:rsidP="006116F1">
      <w:r>
        <w:t xml:space="preserve">The next meetings of </w:t>
      </w:r>
      <w:r w:rsidRPr="00CE113D">
        <w:t>WPs 3J, 3K, 3L and 3M</w:t>
      </w:r>
      <w:r>
        <w:t xml:space="preserve"> were scheduled from 15 to 25 June 2026 and that of SG 3 on 26 June 2026.</w:t>
      </w:r>
    </w:p>
    <w:p w14:paraId="1D5885E6" w14:textId="6C843320" w:rsidR="002763E5" w:rsidRPr="00751E88" w:rsidRDefault="002763E5" w:rsidP="002763E5">
      <w:pPr>
        <w:pStyle w:val="Heading2"/>
      </w:pPr>
      <w:r>
        <w:t>4.4</w:t>
      </w:r>
      <w:r w:rsidRPr="00751E88">
        <w:tab/>
      </w:r>
      <w:r w:rsidRPr="001732C2">
        <w:t>Study</w:t>
      </w:r>
      <w:r w:rsidRPr="00751E88">
        <w:t xml:space="preserve"> Group 4</w:t>
      </w:r>
    </w:p>
    <w:bookmarkEnd w:id="6"/>
    <w:p w14:paraId="25394648" w14:textId="77777777" w:rsidR="00F97B7D" w:rsidRDefault="00F97B7D" w:rsidP="00F97B7D">
      <w:r w:rsidRPr="00751E88">
        <w:t>Study Group 4 is continuing to study fixed, mobile, broadcasting and radiodetermination-satellite systems and networks characteristics</w:t>
      </w:r>
      <w:r>
        <w:t>, including the related use of links in the inter-satellite service, as applicable</w:t>
      </w:r>
      <w:r w:rsidRPr="00751E88">
        <w:t xml:space="preserve">, </w:t>
      </w:r>
      <w:r w:rsidRPr="00751E88">
        <w:rPr>
          <w:lang w:val="en-US"/>
        </w:rPr>
        <w:t>air interfaces, performance and availability objectives</w:t>
      </w:r>
      <w:r w:rsidRPr="00751E88">
        <w:t xml:space="preserve"> as well as sharing of orbit/spectrum resources among GSO and non-GSO satellite systems, enabling the sustainable development of the space ecosystem.</w:t>
      </w:r>
    </w:p>
    <w:p w14:paraId="41C6CE2F" w14:textId="4257438C" w:rsidR="00F97B7D" w:rsidRDefault="00F97B7D" w:rsidP="00F97B7D">
      <w:r>
        <w:t xml:space="preserve">Working Parties 4A, 4B and 4C met twice in 2025. The first meeting was held from 23 April to </w:t>
      </w:r>
      <w:r w:rsidRPr="006A49C1">
        <w:t xml:space="preserve">16 May 2025 </w:t>
      </w:r>
      <w:r>
        <w:t xml:space="preserve">in </w:t>
      </w:r>
      <w:r w:rsidRPr="006A49C1">
        <w:t>Shanghai</w:t>
      </w:r>
      <w:r>
        <w:t xml:space="preserve"> at the kind invitation of </w:t>
      </w:r>
      <w:r w:rsidRPr="00D44AA8">
        <w:t>the Ministry of Industry and Information Technology of the People’s Republic of China and Shanghai Municipal People’s Government</w:t>
      </w:r>
      <w:r>
        <w:t xml:space="preserve">. The second meeting of WPs 4A, 4B and 4C took place from </w:t>
      </w:r>
      <w:r w:rsidRPr="00344F1B">
        <w:t xml:space="preserve">15 October </w:t>
      </w:r>
      <w:r>
        <w:t xml:space="preserve">to </w:t>
      </w:r>
      <w:r w:rsidRPr="00344F1B">
        <w:t>6 November 2025</w:t>
      </w:r>
      <w:r>
        <w:t xml:space="preserve"> and SG 4 met on 7 November 2025 at the ITU Headquarters in </w:t>
      </w:r>
      <w:r w:rsidRPr="006A49C1">
        <w:t>Geneva</w:t>
      </w:r>
      <w:r>
        <w:t xml:space="preserve">. </w:t>
      </w:r>
      <w:r w:rsidRPr="00552632">
        <w:t xml:space="preserve">It is to be noted that </w:t>
      </w:r>
      <w:r w:rsidRPr="00552632">
        <w:rPr>
          <w:lang w:val="en-US"/>
        </w:rPr>
        <w:t xml:space="preserve">the meetings received a huge number of input documents, and numerous outputs were issued, particularly for WPs 4A and 4C, which are identified as the responsible groups for several WRC-27 agenda items. </w:t>
      </w:r>
      <w:r w:rsidRPr="00552632">
        <w:rPr>
          <w:szCs w:val="24"/>
          <w:lang w:eastAsia="zh-CN"/>
        </w:rPr>
        <w:t>This continuous increase of the number of input contributions reflects a growing interest on matters related to the efficient orbit/spectrum utilization for the fixed-satellite service (FSS), the broadcasting-satellite service (BSS) and the mobile-satellite service (MSS). However</w:t>
      </w:r>
      <w:r w:rsidR="00552632" w:rsidRPr="006116F1">
        <w:rPr>
          <w:szCs w:val="24"/>
          <w:lang w:eastAsia="zh-CN"/>
        </w:rPr>
        <w:t>,</w:t>
      </w:r>
      <w:r w:rsidRPr="00552632">
        <w:rPr>
          <w:szCs w:val="24"/>
          <w:lang w:eastAsia="zh-CN"/>
        </w:rPr>
        <w:t xml:space="preserve"> it also presents significant challenges to the WPs management teams to efficiently manage the limited time available to the WPs to perform their work (presentation and discussions of these contributions followed by the drafting output documents, and their consideration and approval). It is also a notable difficulty for administrations to engage into discussions, formal and informal, that are crucial to achieve convergence and find compromise solutions.</w:t>
      </w:r>
    </w:p>
    <w:p w14:paraId="02E0AB8F" w14:textId="1A3BDFED" w:rsidR="00F97B7D" w:rsidRDefault="00F97B7D" w:rsidP="00F97B7D">
      <w:r>
        <w:lastRenderedPageBreak/>
        <w:t xml:space="preserve">The work in response to </w:t>
      </w:r>
      <w:r w:rsidRPr="006C00B5">
        <w:t>Res</w:t>
      </w:r>
      <w:r>
        <w:t>olution</w:t>
      </w:r>
      <w:r w:rsidRPr="006C00B5">
        <w:t xml:space="preserve"> ITU-R 74</w:t>
      </w:r>
      <w:r>
        <w:t xml:space="preserve"> </w:t>
      </w:r>
      <w:r w:rsidRPr="00BE6491">
        <w:rPr>
          <w:i/>
          <w:iCs/>
        </w:rPr>
        <w:t>“Activities related to the sustainable use of radio-frequency spectrum and associated satellite-orbit resources used by space services”</w:t>
      </w:r>
      <w:r>
        <w:t xml:space="preserve"> continues in Working Party 4A with good progress on the </w:t>
      </w:r>
      <w:r w:rsidRPr="00CC1672">
        <w:rPr>
          <w:lang w:val="en-US"/>
        </w:rPr>
        <w:t>development of the Best Practices Handbook</w:t>
      </w:r>
      <w:r>
        <w:t xml:space="preserve">.  </w:t>
      </w:r>
    </w:p>
    <w:p w14:paraId="00222F32" w14:textId="1D5012B3" w:rsidR="00F97B7D" w:rsidRDefault="00F97B7D" w:rsidP="00F97B7D">
      <w:pPr>
        <w:rPr>
          <w:rFonts w:asciiTheme="majorBidi" w:hAnsiTheme="majorBidi" w:cstheme="majorBidi"/>
        </w:rPr>
      </w:pPr>
      <w:r>
        <w:t>W</w:t>
      </w:r>
      <w:r w:rsidR="00F47738">
        <w:t xml:space="preserve">orking </w:t>
      </w:r>
      <w:r>
        <w:t>P</w:t>
      </w:r>
      <w:r w:rsidR="00F47738">
        <w:t>arty</w:t>
      </w:r>
      <w:r>
        <w:t xml:space="preserve"> 4B finalized the </w:t>
      </w:r>
      <w:r w:rsidRPr="006116F1">
        <w:t>Recommendation on specifications of IMT-2020 satellite components</w:t>
      </w:r>
      <w:r>
        <w:t xml:space="preserve"> that was adopted by SG 4 in its November 2025 meeting</w:t>
      </w:r>
      <w:r w:rsidRPr="006116F1">
        <w:t>. This is a significant milestone in advancing the integration of satellite and terrestrial components within the IMT-2020 ecosystem.</w:t>
      </w:r>
    </w:p>
    <w:p w14:paraId="3A794504" w14:textId="2923C75F" w:rsidR="00F97B7D" w:rsidRDefault="00F97B7D" w:rsidP="00F97B7D">
      <w:r w:rsidRPr="00E922F7">
        <w:rPr>
          <w:rFonts w:asciiTheme="majorBidi" w:hAnsiTheme="majorBidi" w:cstheme="majorBidi"/>
        </w:rPr>
        <w:t xml:space="preserve">The list of deliverables produced by ITU-R SG </w:t>
      </w:r>
      <w:r>
        <w:rPr>
          <w:rFonts w:asciiTheme="majorBidi" w:hAnsiTheme="majorBidi" w:cstheme="majorBidi"/>
        </w:rPr>
        <w:t>4</w:t>
      </w:r>
      <w:r w:rsidRPr="00E922F7">
        <w:rPr>
          <w:rFonts w:asciiTheme="majorBidi" w:hAnsiTheme="majorBidi" w:cstheme="majorBidi"/>
        </w:rPr>
        <w:t xml:space="preserve"> is provided in the table above.</w:t>
      </w:r>
      <w:r>
        <w:rPr>
          <w:rFonts w:asciiTheme="majorBidi" w:hAnsiTheme="majorBidi" w:cstheme="majorBidi"/>
        </w:rPr>
        <w:t xml:space="preserve"> In addition, </w:t>
      </w:r>
      <w:r w:rsidRPr="0048315E">
        <w:t xml:space="preserve">Recommendation ITU-R M.632 </w:t>
      </w:r>
      <w:r w:rsidRPr="006116F1">
        <w:rPr>
          <w:i/>
          <w:iCs/>
        </w:rPr>
        <w:t>“Transmission characteristics of a satellite emergency position-indicating radio beacon (satellite EPIRB) system operating through geostationary satellites in the 1.6 GHz band”</w:t>
      </w:r>
      <w:r>
        <w:t xml:space="preserve"> was </w:t>
      </w:r>
      <w:r w:rsidRPr="00C11328">
        <w:t>agreed</w:t>
      </w:r>
      <w:r>
        <w:t xml:space="preserve"> to be suppressed.</w:t>
      </w:r>
    </w:p>
    <w:p w14:paraId="5C9585D6" w14:textId="6A448455" w:rsidR="00F97B7D" w:rsidRPr="00745008" w:rsidRDefault="00F97B7D" w:rsidP="00F97B7D">
      <w:pPr>
        <w:rPr>
          <w:lang w:eastAsia="ja-JP"/>
        </w:rPr>
      </w:pPr>
      <w:r w:rsidRPr="00751E88">
        <w:rPr>
          <w:lang w:eastAsia="ja-JP"/>
        </w:rPr>
        <w:t xml:space="preserve">The next meetings of WPs 4A, 4B and 4C are </w:t>
      </w:r>
      <w:r>
        <w:rPr>
          <w:lang w:eastAsia="ja-JP"/>
        </w:rPr>
        <w:t>scheduled</w:t>
      </w:r>
      <w:r w:rsidRPr="00751E88">
        <w:rPr>
          <w:lang w:eastAsia="ja-JP"/>
        </w:rPr>
        <w:t xml:space="preserve"> from </w:t>
      </w:r>
      <w:r w:rsidRPr="00F97B7D">
        <w:rPr>
          <w:lang w:eastAsia="ja-JP"/>
        </w:rPr>
        <w:t>22 April to 1</w:t>
      </w:r>
      <w:r w:rsidRPr="006116F1">
        <w:rPr>
          <w:lang w:eastAsia="ja-JP"/>
        </w:rPr>
        <w:t>4</w:t>
      </w:r>
      <w:r w:rsidRPr="00F97B7D">
        <w:rPr>
          <w:lang w:eastAsia="ja-JP"/>
        </w:rPr>
        <w:t xml:space="preserve"> May 2026. SG 4 will meet in  </w:t>
      </w:r>
      <w:r w:rsidRPr="006116F1">
        <w:rPr>
          <w:lang w:eastAsia="ja-JP"/>
        </w:rPr>
        <w:t xml:space="preserve">on 15 May </w:t>
      </w:r>
      <w:r w:rsidRPr="00F97B7D">
        <w:rPr>
          <w:lang w:eastAsia="ja-JP"/>
        </w:rPr>
        <w:t>2026.</w:t>
      </w:r>
    </w:p>
    <w:p w14:paraId="138EE929" w14:textId="425076FF" w:rsidR="0068216E" w:rsidRPr="00745008" w:rsidRDefault="0068216E" w:rsidP="0068216E">
      <w:pPr>
        <w:pStyle w:val="Heading2"/>
      </w:pPr>
      <w:r>
        <w:t>4.5</w:t>
      </w:r>
      <w:r w:rsidRPr="00745008">
        <w:tab/>
        <w:t>Study Group 5</w:t>
      </w:r>
    </w:p>
    <w:p w14:paraId="25B6C613" w14:textId="77777777" w:rsidR="005254B8" w:rsidRDefault="005254B8" w:rsidP="005254B8">
      <w:r w:rsidRPr="00745008">
        <w:t>Study Group 5 continu</w:t>
      </w:r>
      <w:r>
        <w:t>ed</w:t>
      </w:r>
      <w:r w:rsidRPr="00745008">
        <w:t xml:space="preserve"> studies on systems and networks for the fixed, mobile (terrestrial, maritime and aeronautical), radiodetermination (including both, radiolocation and radionavigation), amateur and amateur-satellite services, paving the way for the continuing development of all these services, including IMT, HAPS</w:t>
      </w:r>
      <w:r>
        <w:t>/HIBS</w:t>
      </w:r>
      <w:r w:rsidRPr="00745008">
        <w:t>, ITS and PPDR.</w:t>
      </w:r>
    </w:p>
    <w:p w14:paraId="45F19A5E" w14:textId="7A449393" w:rsidR="009F6FAB" w:rsidRDefault="009F6FAB" w:rsidP="009F6FAB">
      <w:r>
        <w:t xml:space="preserve">WPs 5A,5B and 5C met twice in Geneva – May and November 2025, while WP 5D met three times, February and October 2025 in Geneva and June 2025 in </w:t>
      </w:r>
      <w:r w:rsidR="00DC3DEC">
        <w:t xml:space="preserve">Kobe at </w:t>
      </w:r>
      <w:r>
        <w:t>the kind invitation by the Japanese Administration.</w:t>
      </w:r>
    </w:p>
    <w:p w14:paraId="60BBD7F2" w14:textId="77777777" w:rsidR="009F6FAB" w:rsidRDefault="009F6FAB" w:rsidP="009F6FAB">
      <w:r>
        <w:t>WP 5A developed a revision of the “</w:t>
      </w:r>
      <w:r w:rsidRPr="006116F1">
        <w:rPr>
          <w:i/>
          <w:iCs/>
        </w:rPr>
        <w:t>Amateur and amateur-satellite services Handbook</w:t>
      </w:r>
      <w:r>
        <w:t xml:space="preserve">” and was approved by SG 5 in December 2025, which will replace the previous version which was published in 2014 (see </w:t>
      </w:r>
      <w:hyperlink r:id="rId93" w:history="1">
        <w:r w:rsidRPr="00512A6D">
          <w:rPr>
            <w:rStyle w:val="Hyperlink"/>
          </w:rPr>
          <w:t>here</w:t>
        </w:r>
      </w:hyperlink>
      <w:r>
        <w:t>).</w:t>
      </w:r>
    </w:p>
    <w:p w14:paraId="30F75BCA" w14:textId="62CF513C" w:rsidR="00A332D3" w:rsidRDefault="00A332D3" w:rsidP="00A332D3">
      <w:r w:rsidRPr="00A332D3">
        <w:t xml:space="preserve">WP 5B developed one draft new Recommendation, five draft revised Recommendations, and one draft new Report. These outputs were agreed/adopted by Study Group 5 at its twenty-third meeting (Geneva, 1-2 December 2025) and have been corresponded to the </w:t>
      </w:r>
      <w:r w:rsidR="00D16B2F" w:rsidRPr="00A332D3">
        <w:t>m</w:t>
      </w:r>
      <w:r w:rsidRPr="00A332D3">
        <w:t xml:space="preserve">embership as appropriate, in </w:t>
      </w:r>
      <w:hyperlink r:id="rId94" w:history="1">
        <w:r w:rsidRPr="00A332D3">
          <w:rPr>
            <w:rStyle w:val="Hyperlink"/>
          </w:rPr>
          <w:t>CACE/1165</w:t>
        </w:r>
      </w:hyperlink>
      <w:r w:rsidRPr="00A332D3">
        <w:t xml:space="preserve"> and </w:t>
      </w:r>
      <w:hyperlink r:id="rId95" w:history="1">
        <w:r w:rsidRPr="00A332D3">
          <w:rPr>
            <w:rStyle w:val="Hyperlink"/>
          </w:rPr>
          <w:t>CACE/1168</w:t>
        </w:r>
      </w:hyperlink>
      <w:r w:rsidRPr="00A332D3">
        <w:t>.</w:t>
      </w:r>
    </w:p>
    <w:p w14:paraId="6FD99FFD" w14:textId="77777777" w:rsidR="005254B8" w:rsidRPr="00745008" w:rsidRDefault="005254B8" w:rsidP="005254B8">
      <w:r>
        <w:t xml:space="preserve">As part of the activities of WP 5C, a </w:t>
      </w:r>
      <w:hyperlink r:id="rId96" w:history="1">
        <w:r w:rsidRPr="005B6387">
          <w:rPr>
            <w:rStyle w:val="Hyperlink"/>
          </w:rPr>
          <w:t>Workshop on “Fixed Wireless Systems: Technology, Regulation, Implementation, and Future Development</w:t>
        </w:r>
        <w:r w:rsidRPr="00D40F89">
          <w:rPr>
            <w:rStyle w:val="Hyperlink"/>
          </w:rPr>
          <w:t>”</w:t>
        </w:r>
      </w:hyperlink>
      <w:r>
        <w:t xml:space="preserve"> was organized</w:t>
      </w:r>
      <w:r w:rsidRPr="002B06FD">
        <w:t xml:space="preserve"> on 21 November 2025</w:t>
      </w:r>
      <w:r>
        <w:t xml:space="preserve">. </w:t>
      </w:r>
      <w:r w:rsidRPr="002D0784">
        <w:t>The objective of the workshop</w:t>
      </w:r>
      <w:r>
        <w:t xml:space="preserve"> was</w:t>
      </w:r>
      <w:r w:rsidRPr="002D0784">
        <w:t xml:space="preserve"> to provide a platform to exchange and discuss information, deliver an overview of technology, and help in the understanding of ongoing worldwide regulation, implementation, activities, and initiatives related to fixed wireless systems (FWS), as well as their future development.</w:t>
      </w:r>
    </w:p>
    <w:p w14:paraId="362C546D" w14:textId="6ECF6FE9" w:rsidR="00A362AD" w:rsidRDefault="00A362AD" w:rsidP="005254B8">
      <w:r>
        <w:t>As part of the development of IMT-2030, WP 5D approved the milestone Report containing the “</w:t>
      </w:r>
      <w:r w:rsidRPr="006116F1">
        <w:rPr>
          <w:i/>
          <w:iCs/>
        </w:rPr>
        <w:t>Minimum requirements related to technical performance for IMT-2030 radio interface(s)</w:t>
      </w:r>
      <w:r>
        <w:t>” on 12 February 2026, which has been submitted to SG 5 (</w:t>
      </w:r>
      <w:r w:rsidR="00746A34">
        <w:t xml:space="preserve">see Doc. </w:t>
      </w:r>
      <w:hyperlink r:id="rId97" w:history="1">
        <w:r w:rsidRPr="00512A6D">
          <w:rPr>
            <w:rStyle w:val="Hyperlink"/>
          </w:rPr>
          <w:t>5/116</w:t>
        </w:r>
      </w:hyperlink>
      <w:r>
        <w:t>) for its consideration in November/December 2026.</w:t>
      </w:r>
    </w:p>
    <w:p w14:paraId="621785A5" w14:textId="288546C8" w:rsidR="005E31E0" w:rsidRDefault="005E31E0" w:rsidP="003B5A77">
      <w:r>
        <w:t xml:space="preserve">A </w:t>
      </w:r>
      <w:r w:rsidR="004C461F">
        <w:t>suggestion</w:t>
      </w:r>
      <w:r w:rsidR="002368A0">
        <w:t xml:space="preserve"> </w:t>
      </w:r>
      <w:r w:rsidR="004C461F">
        <w:t>to rearrange</w:t>
      </w:r>
      <w:r w:rsidR="002368A0">
        <w:t xml:space="preserve"> </w:t>
      </w:r>
      <w:r>
        <w:t>the order of the preamble sections within ITU-R Recommendations</w:t>
      </w:r>
      <w:r w:rsidR="004C461F" w:rsidRPr="004C461F">
        <w:t xml:space="preserve"> </w:t>
      </w:r>
      <w:r w:rsidR="004C461F">
        <w:t xml:space="preserve">was </w:t>
      </w:r>
      <w:r w:rsidR="00D66666">
        <w:t>made</w:t>
      </w:r>
      <w:r w:rsidR="004C461F">
        <w:t xml:space="preserve"> during a few meetings</w:t>
      </w:r>
      <w:r w:rsidR="00DD1436">
        <w:t xml:space="preserve">. Currently the order </w:t>
      </w:r>
      <w:r w:rsidR="00D66666">
        <w:t xml:space="preserve">of the preamble sections </w:t>
      </w:r>
      <w:r w:rsidR="00DD1436">
        <w:t xml:space="preserve">is contained in the </w:t>
      </w:r>
      <w:hyperlink r:id="rId98" w:history="1">
        <w:r w:rsidR="00DD1436" w:rsidRPr="00580A32">
          <w:rPr>
            <w:rStyle w:val="Hyperlink"/>
          </w:rPr>
          <w:t xml:space="preserve">mandatory </w:t>
        </w:r>
        <w:r w:rsidR="00DD1436">
          <w:rPr>
            <w:rStyle w:val="Hyperlink"/>
          </w:rPr>
          <w:t xml:space="preserve">common </w:t>
        </w:r>
        <w:r w:rsidR="00DD1436" w:rsidRPr="00580A32">
          <w:rPr>
            <w:rStyle w:val="Hyperlink"/>
          </w:rPr>
          <w:t>format</w:t>
        </w:r>
      </w:hyperlink>
      <w:r w:rsidR="00DD1436">
        <w:t xml:space="preserve"> of ITU-R Recommendations.</w:t>
      </w:r>
    </w:p>
    <w:p w14:paraId="4A38A828" w14:textId="77777777" w:rsidR="005254B8" w:rsidRDefault="005254B8" w:rsidP="005254B8">
      <w:r>
        <w:t>The next meeting of WP 5D is scheduled from 3 to 12 February 2026. WPs 5A, 5B and 5C will meet from 18 to 26 May 2026. SG 5 will meet on 30 November and 1 December 2026.</w:t>
      </w:r>
    </w:p>
    <w:p w14:paraId="648448B0" w14:textId="01C48E61" w:rsidR="007D453C" w:rsidRPr="00745008" w:rsidRDefault="007D453C" w:rsidP="007D453C">
      <w:pPr>
        <w:pStyle w:val="Heading2"/>
      </w:pPr>
      <w:r>
        <w:t>4.6</w:t>
      </w:r>
      <w:r w:rsidRPr="00745008">
        <w:tab/>
      </w:r>
      <w:r w:rsidRPr="001732C2">
        <w:t>Study</w:t>
      </w:r>
      <w:r w:rsidRPr="00745008">
        <w:t xml:space="preserve"> Group 6</w:t>
      </w:r>
    </w:p>
    <w:p w14:paraId="41E5751C" w14:textId="77777777" w:rsidR="007D453C" w:rsidRPr="00745008" w:rsidRDefault="007D453C" w:rsidP="007D453C">
      <w:r w:rsidRPr="00745008">
        <w:t xml:space="preserve">Study Group 6 is continuing studies on radiocommunication broadcasting, particularly on emerging topics including advanced technologies for terrestrial digital broadcasting, a global platform for the broadcasting service, high dynamic range television (HDR-TV), integrated broadcast-broadband </w:t>
      </w:r>
      <w:r w:rsidRPr="00745008">
        <w:rPr>
          <w:lang w:eastAsia="ja-JP"/>
        </w:rPr>
        <w:lastRenderedPageBreak/>
        <w:t xml:space="preserve">(IBB) </w:t>
      </w:r>
      <w:r w:rsidRPr="00745008">
        <w:t xml:space="preserve">systems, new audio and video codecs for digital broadcasting, </w:t>
      </w:r>
      <w:r w:rsidRPr="00745008">
        <w:rPr>
          <w:lang w:eastAsia="ja-JP"/>
        </w:rPr>
        <w:t>Advanced Immersive Audio</w:t>
      </w:r>
      <w:r w:rsidRPr="00745008">
        <w:rPr>
          <w:lang w:eastAsia="ja-JP"/>
        </w:rPr>
        <w:noBreakHyphen/>
        <w:t>Visual (AIAV) systems, renderer specifications for advanced sound systems, application of Artificial Intelligence for broadcasting, audio</w:t>
      </w:r>
      <w:r w:rsidRPr="00745008">
        <w:rPr>
          <w:lang w:eastAsia="ja-JP"/>
        </w:rPr>
        <w:noBreakHyphen/>
        <w:t>visual accessibility (AVA)</w:t>
      </w:r>
      <w:r w:rsidRPr="00745008">
        <w:t>.</w:t>
      </w:r>
    </w:p>
    <w:p w14:paraId="1ACA7F9A" w14:textId="71AB61D1" w:rsidR="007D453C" w:rsidRDefault="007D453C" w:rsidP="007D453C">
      <w:pPr>
        <w:rPr>
          <w:rFonts w:asciiTheme="majorBidi" w:hAnsiTheme="majorBidi" w:cstheme="majorBidi"/>
        </w:rPr>
      </w:pPr>
      <w:r w:rsidRPr="00745008">
        <w:t xml:space="preserve">Study Group 6 has also been actively coordinating the work of mutual interest with ITU-T SGs </w:t>
      </w:r>
      <w:r>
        <w:t xml:space="preserve">21 </w:t>
      </w:r>
      <w:r w:rsidRPr="00745008">
        <w:t xml:space="preserve">and </w:t>
      </w:r>
      <w:r>
        <w:t>12</w:t>
      </w:r>
      <w:r w:rsidRPr="00745008">
        <w:t xml:space="preserve"> through the </w:t>
      </w:r>
      <w:r w:rsidRPr="00745008">
        <w:rPr>
          <w:rFonts w:asciiTheme="majorBidi" w:hAnsiTheme="majorBidi" w:cstheme="majorBidi"/>
        </w:rPr>
        <w:t>Intersector Rapporteur Group (IRG) on Audio-Visual Accessibility (IRG</w:t>
      </w:r>
      <w:r w:rsidRPr="00745008">
        <w:rPr>
          <w:rFonts w:asciiTheme="majorBidi" w:hAnsiTheme="majorBidi" w:cstheme="majorBidi"/>
          <w:szCs w:val="24"/>
        </w:rPr>
        <w:noBreakHyphen/>
      </w:r>
      <w:r w:rsidRPr="00745008">
        <w:rPr>
          <w:rFonts w:asciiTheme="majorBidi" w:hAnsiTheme="majorBidi" w:cstheme="majorBidi"/>
        </w:rPr>
        <w:t>AVA)</w:t>
      </w:r>
      <w:r>
        <w:rPr>
          <w:rFonts w:asciiTheme="majorBidi" w:hAnsiTheme="majorBidi" w:cstheme="majorBidi"/>
        </w:rPr>
        <w:t xml:space="preserve"> and </w:t>
      </w:r>
      <w:r w:rsidRPr="00981C69">
        <w:rPr>
          <w:rFonts w:asciiTheme="majorBidi" w:hAnsiTheme="majorBidi" w:cstheme="majorBidi"/>
        </w:rPr>
        <w:t>Intersector Rapporteur Group Audiovisual Quality Assessment</w:t>
      </w:r>
      <w:r>
        <w:rPr>
          <w:rFonts w:asciiTheme="majorBidi" w:hAnsiTheme="majorBidi" w:cstheme="majorBidi"/>
        </w:rPr>
        <w:t xml:space="preserve"> (</w:t>
      </w:r>
      <w:r w:rsidRPr="00981C69">
        <w:t>IRG-AVQA</w:t>
      </w:r>
      <w:r>
        <w:t>)</w:t>
      </w:r>
      <w:r w:rsidRPr="00981C69">
        <w:t xml:space="preserve"> </w:t>
      </w:r>
      <w:r>
        <w:t>respectively</w:t>
      </w:r>
      <w:r w:rsidRPr="00745008">
        <w:rPr>
          <w:rFonts w:asciiTheme="majorBidi" w:hAnsiTheme="majorBidi" w:cstheme="majorBidi"/>
        </w:rPr>
        <w:t>.</w:t>
      </w:r>
    </w:p>
    <w:p w14:paraId="658DF4E9" w14:textId="77777777" w:rsidR="007D453C" w:rsidRPr="00385436" w:rsidRDefault="007D453C" w:rsidP="007D453C">
      <w:pPr>
        <w:jc w:val="both"/>
        <w:rPr>
          <w:lang w:eastAsia="zh-CN"/>
        </w:rPr>
      </w:pPr>
      <w:r w:rsidRPr="00385436">
        <w:rPr>
          <w:lang w:eastAsia="zh-CN"/>
        </w:rPr>
        <w:t>ITU-R Study Group 6 is aware of the challenge</w:t>
      </w:r>
      <w:r w:rsidRPr="00385436">
        <w:rPr>
          <w:lang w:eastAsia="ja-JP"/>
        </w:rPr>
        <w:t>s</w:t>
      </w:r>
      <w:r w:rsidRPr="00385436">
        <w:rPr>
          <w:lang w:eastAsia="zh-CN"/>
        </w:rPr>
        <w:t xml:space="preserve"> faced by overlaps of studies between the ITU-D, ITU-R and ITU-T sectors and takes an active role in the intersector coordination group.</w:t>
      </w:r>
    </w:p>
    <w:p w14:paraId="11F970CE" w14:textId="77777777" w:rsidR="007D453C" w:rsidRDefault="007D453C" w:rsidP="007D453C">
      <w:pPr>
        <w:rPr>
          <w:rFonts w:asciiTheme="majorBidi" w:hAnsiTheme="majorBidi" w:cstheme="majorBidi"/>
        </w:rPr>
      </w:pPr>
      <w:r w:rsidRPr="00E922F7">
        <w:rPr>
          <w:rFonts w:asciiTheme="majorBidi" w:hAnsiTheme="majorBidi" w:cstheme="majorBidi"/>
        </w:rPr>
        <w:t>The list of deliverables produced by ITU-R SG 6 is provided in the table above. Additionally, one</w:t>
      </w:r>
      <w:r>
        <w:rPr>
          <w:rFonts w:asciiTheme="majorBidi" w:hAnsiTheme="majorBidi" w:cstheme="majorBidi"/>
        </w:rPr>
        <w:t xml:space="preserve"> recommendation was editorially updated.</w:t>
      </w:r>
    </w:p>
    <w:p w14:paraId="07B6563A" w14:textId="77777777" w:rsidR="007D453C" w:rsidRDefault="007D453C" w:rsidP="007D453C">
      <w:pPr>
        <w:pStyle w:val="enumlev1"/>
        <w:ind w:left="0" w:firstLine="0"/>
      </w:pPr>
      <w:bookmarkStart w:id="8" w:name="_Toc445972797"/>
      <w:r>
        <w:t>S</w:t>
      </w:r>
      <w:r w:rsidRPr="0024119F">
        <w:t xml:space="preserve">ince Mr Thiago Soares </w:t>
      </w:r>
      <w:r>
        <w:t>was unable to continue his duties as</w:t>
      </w:r>
      <w:r w:rsidRPr="0024119F">
        <w:t xml:space="preserve"> SG 6</w:t>
      </w:r>
      <w:r>
        <w:t xml:space="preserve"> Chair</w:t>
      </w:r>
      <w:r w:rsidRPr="0024119F">
        <w:t xml:space="preserve"> </w:t>
      </w:r>
      <w:r>
        <w:t xml:space="preserve">as of </w:t>
      </w:r>
      <w:r w:rsidRPr="0024119F">
        <w:t>May 2025</w:t>
      </w:r>
      <w:r>
        <w:t xml:space="preserve">, Mr Paolo Lazzarini was elected as the new Chair at the September 2025 meeting of SG 6, in accordance with Article 20 of the ITU Convention. Consequently, a position of </w:t>
      </w:r>
      <w:r w:rsidRPr="0024119F">
        <w:t xml:space="preserve">Vice-Chair </w:t>
      </w:r>
      <w:r>
        <w:t xml:space="preserve">became vacant. Therefore, SG 6 elected </w:t>
      </w:r>
      <w:r w:rsidRPr="0024119F">
        <w:t>Mr Paulo Eduardo dos Reis Cardoso</w:t>
      </w:r>
      <w:r>
        <w:t xml:space="preserve"> (Brazil) as a new Vice-Chair.</w:t>
      </w:r>
    </w:p>
    <w:p w14:paraId="7916ADEF" w14:textId="77777777" w:rsidR="007D453C" w:rsidRDefault="007D453C" w:rsidP="007D453C">
      <w:pPr>
        <w:pStyle w:val="enumlev1"/>
        <w:ind w:left="0" w:firstLine="0"/>
      </w:pPr>
      <w:r w:rsidRPr="006116F1">
        <w:t>WPs 6A, 6B and 6C meetings are scheduled from 16 to 26 March 2026 followed by SG 6 meeting on 27 March 2026.</w:t>
      </w:r>
    </w:p>
    <w:p w14:paraId="761B92DF" w14:textId="3BAD2A54" w:rsidR="007D453C" w:rsidRPr="00745008" w:rsidRDefault="007D453C" w:rsidP="007D453C">
      <w:pPr>
        <w:pStyle w:val="Heading2"/>
      </w:pPr>
      <w:r>
        <w:t>4.7</w:t>
      </w:r>
      <w:r w:rsidRPr="00745008">
        <w:tab/>
        <w:t>Study Group 7</w:t>
      </w:r>
      <w:bookmarkEnd w:id="8"/>
    </w:p>
    <w:p w14:paraId="08E8C971" w14:textId="5EF9CF7F" w:rsidR="0025739A" w:rsidRPr="001732C2" w:rsidRDefault="0025739A" w:rsidP="001732C2">
      <w:r w:rsidRPr="00745008">
        <w:t xml:space="preserve">Study Group 7 is continuing to </w:t>
      </w:r>
      <w:r w:rsidRPr="001732C2">
        <w:t>develop ITU-R Recommendations, Reports and Handbooks that are used for development and for ensuring non-interference into the operation of space operation, space research, Earth-exploration and meteorological systems (including the related use of links in the inter-satellite service), radio astronomy and radar astronomy; and for the dissemination, reception and coordination of standard-frequency and time-signal services (including the application of satellite techniques) on a worldwide basis.</w:t>
      </w:r>
      <w:r w:rsidR="00EC7D83" w:rsidRPr="001732C2">
        <w:t xml:space="preserve"> It studies as well radiocommunication systems for use with manned and unmanned spacecraft, communication links between planetary bodies and the use of data relay satellites.</w:t>
      </w:r>
    </w:p>
    <w:p w14:paraId="65849E3C" w14:textId="77777777" w:rsidR="0025739A" w:rsidRPr="00745008" w:rsidRDefault="0025739A" w:rsidP="001732C2">
      <w:r w:rsidRPr="00745008">
        <w:t>The systems addressed by SG 7 are used in activities that are a critical part of our everyday life such as:</w:t>
      </w:r>
    </w:p>
    <w:p w14:paraId="2BB747C1" w14:textId="77777777" w:rsidR="0025739A" w:rsidRPr="009E4F77" w:rsidRDefault="0025739A" w:rsidP="009E4F77">
      <w:pPr>
        <w:pStyle w:val="enumlev1"/>
      </w:pPr>
      <w:r w:rsidRPr="00745008">
        <w:t>–</w:t>
      </w:r>
      <w:r w:rsidRPr="00745008">
        <w:tab/>
        <w:t xml:space="preserve">definition </w:t>
      </w:r>
      <w:r w:rsidRPr="009E4F77">
        <w:t>and dissemination of Coordinated Universal Time;</w:t>
      </w:r>
    </w:p>
    <w:p w14:paraId="3148766E" w14:textId="77777777" w:rsidR="0025739A" w:rsidRPr="009E4F77" w:rsidRDefault="0025739A" w:rsidP="009E4F77">
      <w:pPr>
        <w:pStyle w:val="enumlev1"/>
      </w:pPr>
      <w:r w:rsidRPr="009E4F77">
        <w:t>–</w:t>
      </w:r>
      <w:r w:rsidRPr="009E4F77">
        <w:tab/>
        <w:t>global environment monitoring – atmosphere (including greenhouse gases emissions), oceans, land surface, biomass, etc.;</w:t>
      </w:r>
    </w:p>
    <w:p w14:paraId="43F42018" w14:textId="77777777" w:rsidR="0025739A" w:rsidRPr="009E4F77" w:rsidRDefault="0025739A" w:rsidP="009E4F77">
      <w:pPr>
        <w:pStyle w:val="enumlev1"/>
      </w:pPr>
      <w:r w:rsidRPr="009E4F77">
        <w:t>–</w:t>
      </w:r>
      <w:r w:rsidRPr="009E4F77">
        <w:tab/>
        <w:t>weather forecasting and climate change monitoring and prediction;</w:t>
      </w:r>
    </w:p>
    <w:p w14:paraId="07801329" w14:textId="58D08692" w:rsidR="0025739A" w:rsidRPr="009E4F77" w:rsidRDefault="0025739A" w:rsidP="009E4F77">
      <w:pPr>
        <w:pStyle w:val="enumlev1"/>
      </w:pPr>
      <w:r w:rsidRPr="009E4F77">
        <w:t>–</w:t>
      </w:r>
      <w:r w:rsidRPr="009E4F77">
        <w:tab/>
        <w:t>detection and tracking of many natural and man-made disasters (earthquakes, tsunamis, hurricanes, forest fires, oil leaks, etc</w:t>
      </w:r>
      <w:r w:rsidR="003A6BF8" w:rsidRPr="009E4F77">
        <w:t>.</w:t>
      </w:r>
      <w:r w:rsidRPr="009E4F77">
        <w:t>);</w:t>
      </w:r>
    </w:p>
    <w:p w14:paraId="576BC896" w14:textId="77777777" w:rsidR="0025739A" w:rsidRPr="009E4F77" w:rsidRDefault="0025739A" w:rsidP="009E4F77">
      <w:pPr>
        <w:pStyle w:val="enumlev1"/>
      </w:pPr>
      <w:r w:rsidRPr="009E4F77">
        <w:t>–</w:t>
      </w:r>
      <w:r w:rsidRPr="009E4F77">
        <w:tab/>
        <w:t>providing alerting/warning information;</w:t>
      </w:r>
    </w:p>
    <w:p w14:paraId="5CFB0146" w14:textId="77777777" w:rsidR="0025739A" w:rsidRPr="009E4F77" w:rsidRDefault="0025739A" w:rsidP="009E4F77">
      <w:pPr>
        <w:pStyle w:val="enumlev1"/>
      </w:pPr>
      <w:r w:rsidRPr="009E4F77">
        <w:t>–</w:t>
      </w:r>
      <w:r w:rsidRPr="009E4F77">
        <w:tab/>
        <w:t>damage assessment and planning relief operations;</w:t>
      </w:r>
    </w:p>
    <w:p w14:paraId="246CD204" w14:textId="77777777" w:rsidR="0025739A" w:rsidRDefault="0025739A" w:rsidP="009E4F77">
      <w:pPr>
        <w:pStyle w:val="enumlev1"/>
      </w:pPr>
      <w:r w:rsidRPr="009E4F77">
        <w:t>–</w:t>
      </w:r>
      <w:r w:rsidRPr="009E4F77">
        <w:tab/>
        <w:t>monitoring and</w:t>
      </w:r>
      <w:r w:rsidRPr="00745008">
        <w:t xml:space="preserve"> mitigation of space weather events.</w:t>
      </w:r>
    </w:p>
    <w:p w14:paraId="0030212C" w14:textId="77777777" w:rsidR="00E711A8" w:rsidRDefault="00E711A8" w:rsidP="001732C2">
      <w:r>
        <w:t>SG 7 also encompasses systems for the study of outer space:</w:t>
      </w:r>
    </w:p>
    <w:p w14:paraId="517553C6" w14:textId="0E1CC952" w:rsidR="00E711A8" w:rsidRPr="009E4F77" w:rsidRDefault="00646775" w:rsidP="009E4F77">
      <w:pPr>
        <w:pStyle w:val="enumlev1"/>
      </w:pPr>
      <w:r w:rsidRPr="00745008">
        <w:t>–</w:t>
      </w:r>
      <w:r w:rsidRPr="00745008">
        <w:tab/>
      </w:r>
      <w:r w:rsidR="00E711A8" w:rsidRPr="009E4F77">
        <w:t>satellites for studying the sun, the magnetosphere and all the elements of our solar system;</w:t>
      </w:r>
    </w:p>
    <w:p w14:paraId="1D1BB504" w14:textId="6B1F964D" w:rsidR="00E711A8" w:rsidRPr="009E4F77" w:rsidRDefault="00646775" w:rsidP="009E4F77">
      <w:pPr>
        <w:pStyle w:val="enumlev1"/>
      </w:pPr>
      <w:r w:rsidRPr="009E4F77">
        <w:t>–</w:t>
      </w:r>
      <w:r w:rsidRPr="009E4F77">
        <w:tab/>
      </w:r>
      <w:r w:rsidR="00E711A8" w:rsidRPr="009E4F77">
        <w:t>spacecraft for human and robotic exploration of extraterrestrial bodies;</w:t>
      </w:r>
    </w:p>
    <w:p w14:paraId="4AFC1366" w14:textId="56655F4A" w:rsidR="00E711A8" w:rsidRPr="009E4F77" w:rsidRDefault="00646775" w:rsidP="009E4F77">
      <w:pPr>
        <w:pStyle w:val="enumlev1"/>
      </w:pPr>
      <w:r w:rsidRPr="009E4F77">
        <w:t>–</w:t>
      </w:r>
      <w:r w:rsidRPr="009E4F77">
        <w:tab/>
      </w:r>
      <w:r w:rsidR="00E711A8" w:rsidRPr="009E4F77">
        <w:t>lunar, Lagrangian, deep space research systems and space‑very long baseline interferometry, including their associated earth stations;</w:t>
      </w:r>
    </w:p>
    <w:p w14:paraId="50DAF441" w14:textId="4B2E258D" w:rsidR="00E711A8" w:rsidRPr="00745008" w:rsidRDefault="00646775" w:rsidP="009E4F77">
      <w:pPr>
        <w:pStyle w:val="enumlev1"/>
      </w:pPr>
      <w:r w:rsidRPr="009E4F77">
        <w:t>–</w:t>
      </w:r>
      <w:r w:rsidRPr="009E4F77">
        <w:tab/>
      </w:r>
      <w:r w:rsidR="00E711A8" w:rsidRPr="009E4F77">
        <w:t>Earth and</w:t>
      </w:r>
      <w:r w:rsidR="00E711A8">
        <w:t xml:space="preserve"> satellite-based radioastronomy to study the universe and its phenomena.</w:t>
      </w:r>
    </w:p>
    <w:p w14:paraId="16061850" w14:textId="09927A5F" w:rsidR="007759E5" w:rsidRDefault="007759E5" w:rsidP="007759E5">
      <w:r>
        <w:t>Working Party 7A met from 17-21 March 2025.Working Parties 7B, 7C and 7D met from 16 to 27 March 2026 and from 15 to 25 September 2025. Study Group 7 met on 27 March 2025. All the meetings were held at the ITU Headquarters in Geneva.</w:t>
      </w:r>
    </w:p>
    <w:p w14:paraId="02DF7F2C" w14:textId="22301FFF" w:rsidR="007759E5" w:rsidRDefault="009855D2" w:rsidP="007759E5">
      <w:r>
        <w:lastRenderedPageBreak/>
        <w:t>As part of SG 7 activities, t</w:t>
      </w:r>
      <w:r w:rsidR="007759E5">
        <w:t>he following events also took place:</w:t>
      </w:r>
    </w:p>
    <w:p w14:paraId="531E60BF" w14:textId="1D991771" w:rsidR="007759E5" w:rsidRDefault="007759E5" w:rsidP="006116F1">
      <w:pPr>
        <w:pStyle w:val="enumlev1"/>
      </w:pPr>
      <w:r>
        <w:t>–</w:t>
      </w:r>
      <w:r>
        <w:tab/>
      </w:r>
      <w:hyperlink r:id="rId99" w:history="1">
        <w:r>
          <w:rPr>
            <w:rStyle w:val="Hyperlink"/>
          </w:rPr>
          <w:t>MCMC/ITU Seminar on “Science Services in relation to ITU Radio Regulations and WRC</w:t>
        </w:r>
        <w:r>
          <w:rPr>
            <w:rStyle w:val="Hyperlink"/>
          </w:rPr>
          <w:noBreakHyphen/>
          <w:t>27”</w:t>
        </w:r>
      </w:hyperlink>
      <w:r w:rsidRPr="00281D36">
        <w:t>, MCMC Centre of Excellence, Cyberjaya, Selangor, Malaysia, 9-10 December 2025</w:t>
      </w:r>
      <w:r w:rsidR="00746A34">
        <w:t>;</w:t>
      </w:r>
    </w:p>
    <w:p w14:paraId="4F726E35" w14:textId="210ADE46" w:rsidR="007759E5" w:rsidRPr="009E4F77" w:rsidRDefault="007759E5" w:rsidP="007759E5">
      <w:pPr>
        <w:pStyle w:val="enumlev1"/>
      </w:pPr>
      <w:r>
        <w:t>–</w:t>
      </w:r>
      <w:r>
        <w:tab/>
      </w:r>
      <w:hyperlink r:id="rId100" w:history="1">
        <w:r w:rsidRPr="00492FA8">
          <w:rPr>
            <w:rStyle w:val="Hyperlink"/>
          </w:rPr>
          <w:t>WMO-ITU Seminar “Training Workshop on Use and Management of Radio Spectrum for Meteorology”</w:t>
        </w:r>
      </w:hyperlink>
      <w:r w:rsidRPr="009E4F77">
        <w:t>,</w:t>
      </w:r>
      <w:r>
        <w:t xml:space="preserve"> </w:t>
      </w:r>
      <w:r w:rsidRPr="001059C7">
        <w:t>Singapore, the Republic of Singapore</w:t>
      </w:r>
      <w:r>
        <w:t>, 3-</w:t>
      </w:r>
      <w:r w:rsidRPr="001059C7">
        <w:t>4 March 2025</w:t>
      </w:r>
      <w:r w:rsidRPr="009E4F77">
        <w:t>.</w:t>
      </w:r>
    </w:p>
    <w:p w14:paraId="7738B718" w14:textId="1E88ADF7" w:rsidR="007759E5" w:rsidRPr="00745008" w:rsidRDefault="007759E5" w:rsidP="007759E5">
      <w:r w:rsidRPr="00745008">
        <w:t>The next meeting of Study Group 7 is scheduled for</w:t>
      </w:r>
      <w:r w:rsidRPr="00745008" w:rsidDel="00416CDB">
        <w:rPr>
          <w:szCs w:val="24"/>
        </w:rPr>
        <w:t xml:space="preserve"> </w:t>
      </w:r>
      <w:r>
        <w:rPr>
          <w:szCs w:val="24"/>
        </w:rPr>
        <w:t>13 March 2026</w:t>
      </w:r>
      <w:r w:rsidRPr="00745008">
        <w:t xml:space="preserve">, while WPs </w:t>
      </w:r>
      <w:r>
        <w:t xml:space="preserve">7A, </w:t>
      </w:r>
      <w:r w:rsidRPr="00745008">
        <w:t xml:space="preserve">7B, 7C and 7D are planned to meet from </w:t>
      </w:r>
      <w:r>
        <w:t xml:space="preserve">2 </w:t>
      </w:r>
      <w:r w:rsidRPr="00745008">
        <w:t xml:space="preserve">to </w:t>
      </w:r>
      <w:r>
        <w:t>12</w:t>
      </w:r>
      <w:r w:rsidRPr="00745008">
        <w:t xml:space="preserve"> </w:t>
      </w:r>
      <w:r>
        <w:t>March</w:t>
      </w:r>
      <w:r w:rsidRPr="00745008">
        <w:t xml:space="preserve"> 202</w:t>
      </w:r>
      <w:r>
        <w:t>6</w:t>
      </w:r>
      <w:r w:rsidRPr="00745008">
        <w:t>.</w:t>
      </w:r>
    </w:p>
    <w:p w14:paraId="718CCDCD" w14:textId="562B1B51" w:rsidR="00590A41" w:rsidRPr="00745008" w:rsidRDefault="00590A41" w:rsidP="00590A41">
      <w:pPr>
        <w:pStyle w:val="Heading2"/>
      </w:pPr>
      <w:r>
        <w:t>4.8</w:t>
      </w:r>
      <w:r w:rsidRPr="00745008">
        <w:tab/>
      </w:r>
      <w:r w:rsidRPr="001732C2">
        <w:t>Coordination</w:t>
      </w:r>
      <w:r w:rsidRPr="00745008">
        <w:t xml:space="preserve"> Committee for Vocabulary</w:t>
      </w:r>
    </w:p>
    <w:p w14:paraId="41C015F4" w14:textId="77777777" w:rsidR="00590A41" w:rsidRPr="00745008" w:rsidRDefault="00590A41" w:rsidP="00590A41">
      <w:r w:rsidRPr="00745008">
        <w:t xml:space="preserve">The ITU </w:t>
      </w:r>
      <w:r w:rsidRPr="00C91AD1">
        <w:t xml:space="preserve">Coordination Committee for Terminology (CCT) </w:t>
      </w:r>
      <w:r w:rsidRPr="00745008">
        <w:t>is composed of:</w:t>
      </w:r>
    </w:p>
    <w:p w14:paraId="0116FB73" w14:textId="77777777" w:rsidR="00590A41" w:rsidRPr="009E4F77" w:rsidRDefault="00590A41" w:rsidP="00590A41">
      <w:pPr>
        <w:pStyle w:val="enumlev1"/>
      </w:pPr>
      <w:r w:rsidRPr="00745008">
        <w:t>−</w:t>
      </w:r>
      <w:r w:rsidRPr="00745008">
        <w:tab/>
        <w:t xml:space="preserve">ITU-R </w:t>
      </w:r>
      <w:r w:rsidRPr="009E4F77">
        <w:t>Coordination Committee for Vocabulary (CCV) functioning in accordance with Resolution ITU-R 36;</w:t>
      </w:r>
    </w:p>
    <w:p w14:paraId="69B91B07" w14:textId="77777777" w:rsidR="00590A41" w:rsidRPr="009E4F77" w:rsidRDefault="00590A41" w:rsidP="00590A41">
      <w:pPr>
        <w:pStyle w:val="enumlev1"/>
      </w:pPr>
      <w:r w:rsidRPr="009E4F77">
        <w:t>−</w:t>
      </w:r>
      <w:r w:rsidRPr="009E4F77">
        <w:tab/>
        <w:t xml:space="preserve">ITU-T Standardization Committee for Vocabulary (SCV) functioning in accordance with WTSA Resolution 67 (Rev. New Delhi, 2024); and </w:t>
      </w:r>
    </w:p>
    <w:p w14:paraId="7D4EDAD8" w14:textId="77777777" w:rsidR="00590A41" w:rsidRDefault="00590A41" w:rsidP="00590A41">
      <w:pPr>
        <w:pStyle w:val="enumlev1"/>
      </w:pPr>
      <w:r w:rsidRPr="009E4F77">
        <w:t>−</w:t>
      </w:r>
      <w:r w:rsidRPr="009E4F77">
        <w:tab/>
        <w:t>representatives</w:t>
      </w:r>
      <w:r w:rsidRPr="00745008">
        <w:t xml:space="preserve"> of ITU-D.</w:t>
      </w:r>
    </w:p>
    <w:p w14:paraId="552E8D13" w14:textId="77777777" w:rsidR="00590A41" w:rsidRPr="00C91AD1" w:rsidRDefault="00590A41" w:rsidP="00590A41">
      <w:pPr>
        <w:rPr>
          <w:color w:val="222A35"/>
        </w:rPr>
      </w:pPr>
      <w:r w:rsidRPr="00C91AD1">
        <w:t>An updated version of Council Resolution 1386 on the ITU Coordination Committee for Terminology was approved in ITU Council in June 202</w:t>
      </w:r>
      <w:r>
        <w:t>5</w:t>
      </w:r>
      <w:r w:rsidRPr="00C91AD1">
        <w:t xml:space="preserve">, </w:t>
      </w:r>
      <w:r>
        <w:t>in order to include</w:t>
      </w:r>
      <w:r w:rsidRPr="00C91AD1">
        <w:t xml:space="preserve"> </w:t>
      </w:r>
      <w:r>
        <w:t>the responsibilities of the rapporteurs for vocabulary</w:t>
      </w:r>
      <w:r w:rsidRPr="00C91AD1">
        <w:t>.</w:t>
      </w:r>
    </w:p>
    <w:p w14:paraId="75E6EE70" w14:textId="77777777" w:rsidR="00590A41" w:rsidRPr="00C91AD1" w:rsidRDefault="00590A41" w:rsidP="00590A41">
      <w:r w:rsidRPr="00C91AD1">
        <w:t>The ITU CCT is continuing its work in harmonizing terminology and definitions within ITU, based on proposals submitted by ITU study groups in English</w:t>
      </w:r>
      <w:r>
        <w:t>,</w:t>
      </w:r>
      <w:r w:rsidRPr="00C91AD1">
        <w:t xml:space="preserve"> and validating their translation into the other five official languages of the Union. The work of the CCT has been </w:t>
      </w:r>
      <w:r>
        <w:t xml:space="preserve">led </w:t>
      </w:r>
      <w:r w:rsidRPr="00C91AD1">
        <w:t>by the Chairs of the CCV and the SCV</w:t>
      </w:r>
      <w:r>
        <w:t xml:space="preserve"> with the active support</w:t>
      </w:r>
      <w:r w:rsidRPr="00C91AD1">
        <w:t xml:space="preserve"> </w:t>
      </w:r>
      <w:r>
        <w:t xml:space="preserve">of the </w:t>
      </w:r>
      <w:r w:rsidRPr="00C91AD1">
        <w:t>Vice-Chairs</w:t>
      </w:r>
      <w:r>
        <w:t>,</w:t>
      </w:r>
      <w:r w:rsidRPr="00C91AD1">
        <w:t xml:space="preserve"> the Rapporteurs for Vocabulary </w:t>
      </w:r>
      <w:r>
        <w:t xml:space="preserve">and other representatives </w:t>
      </w:r>
      <w:r w:rsidRPr="00C91AD1">
        <w:t xml:space="preserve">of the three ITU Sectors. </w:t>
      </w:r>
    </w:p>
    <w:p w14:paraId="3756250A" w14:textId="434ED1B0" w:rsidR="00590A41" w:rsidRPr="00745008" w:rsidRDefault="00590A41" w:rsidP="00590A41">
      <w:r w:rsidRPr="00C91AD1">
        <w:t xml:space="preserve">The </w:t>
      </w:r>
      <w:hyperlink r:id="rId101" w:history="1">
        <w:r w:rsidRPr="00C91AD1">
          <w:rPr>
            <w:rStyle w:val="Hyperlink"/>
          </w:rPr>
          <w:t>ITU CCT webpage</w:t>
        </w:r>
      </w:hyperlink>
      <w:r>
        <w:t xml:space="preserve"> was updated and fully harmonized to the websites of ITU SGs/WPs as well as the way of downloading documents.</w:t>
      </w:r>
    </w:p>
    <w:p w14:paraId="24CD8E38" w14:textId="77777777" w:rsidR="008F3659" w:rsidRPr="00745008" w:rsidRDefault="008F3659" w:rsidP="008F3659">
      <w:pPr>
        <w:rPr>
          <w:lang w:val="en-US" w:bidi="en-US"/>
        </w:rPr>
      </w:pPr>
      <w:r w:rsidRPr="00745008">
        <w:rPr>
          <w:lang w:val="en-US"/>
        </w:rPr>
        <w:t xml:space="preserve">The next meeting of CCT </w:t>
      </w:r>
      <w:r>
        <w:rPr>
          <w:lang w:val="en-US"/>
        </w:rPr>
        <w:t>was</w:t>
      </w:r>
      <w:r w:rsidRPr="00745008">
        <w:rPr>
          <w:lang w:val="en-US"/>
        </w:rPr>
        <w:t xml:space="preserve"> scheduled </w:t>
      </w:r>
      <w:r>
        <w:rPr>
          <w:lang w:val="en-US"/>
        </w:rPr>
        <w:t>on 23 April</w:t>
      </w:r>
      <w:r w:rsidRPr="00745008">
        <w:rPr>
          <w:lang w:val="en-US"/>
        </w:rPr>
        <w:t xml:space="preserve"> 20</w:t>
      </w:r>
      <w:r>
        <w:rPr>
          <w:lang w:val="en-US"/>
        </w:rPr>
        <w:t>26</w:t>
      </w:r>
      <w:r w:rsidRPr="00745008">
        <w:rPr>
          <w:lang w:val="en-US"/>
        </w:rPr>
        <w:t>.</w:t>
      </w:r>
    </w:p>
    <w:p w14:paraId="3C9F5408" w14:textId="2863C96A" w:rsidR="00590A41" w:rsidRPr="007E2C74" w:rsidRDefault="008F3659" w:rsidP="006116F1">
      <w:pPr>
        <w:pStyle w:val="Heading3"/>
        <w:rPr>
          <w:lang w:val="en-US"/>
        </w:rPr>
      </w:pPr>
      <w:r>
        <w:rPr>
          <w:lang w:val="en-US"/>
        </w:rPr>
        <w:t>4.8.1</w:t>
      </w:r>
      <w:r>
        <w:rPr>
          <w:lang w:val="en-US"/>
        </w:rPr>
        <w:tab/>
      </w:r>
      <w:r w:rsidR="00590A41" w:rsidRPr="007E2C74">
        <w:rPr>
          <w:lang w:val="en-US"/>
        </w:rPr>
        <w:t xml:space="preserve">Progress report on implementation of ITU-R Resolutions of specific concern </w:t>
      </w:r>
      <w:r w:rsidR="00590A41">
        <w:rPr>
          <w:lang w:val="en-US"/>
        </w:rPr>
        <w:t>to</w:t>
      </w:r>
      <w:r w:rsidR="00590A41" w:rsidRPr="007E2C74">
        <w:rPr>
          <w:lang w:val="en-US"/>
        </w:rPr>
        <w:t xml:space="preserve"> the CCV</w:t>
      </w:r>
    </w:p>
    <w:p w14:paraId="476784AF" w14:textId="77777777" w:rsidR="00590A41" w:rsidRPr="00745008" w:rsidRDefault="00590A41" w:rsidP="00590A41">
      <w:pPr>
        <w:rPr>
          <w:lang w:val="en-US"/>
        </w:rPr>
      </w:pPr>
      <w:r>
        <w:rPr>
          <w:lang w:val="en-US"/>
        </w:rPr>
        <w:t>In accordance with Resolution ITU-R 36-6, the CCV is responsible t</w:t>
      </w:r>
      <w:r w:rsidRPr="00B773E9">
        <w:rPr>
          <w:lang w:val="en-US"/>
        </w:rPr>
        <w:t>o review and revise, where necessary, the existing ITU-R Recommendations of the V series</w:t>
      </w:r>
      <w:r>
        <w:rPr>
          <w:lang w:val="en-US"/>
        </w:rPr>
        <w:t xml:space="preserve">. In this respect, Recommendation ITU-R V.431 </w:t>
      </w:r>
      <w:r w:rsidRPr="009D7010">
        <w:rPr>
          <w:i/>
          <w:iCs/>
          <w:lang w:val="en-US"/>
        </w:rPr>
        <w:t>“Nomenclature of the frequency and wavelength bands used in telecommunications”</w:t>
      </w:r>
      <w:r w:rsidRPr="00124407">
        <w:rPr>
          <w:lang w:val="en-US"/>
        </w:rPr>
        <w:t xml:space="preserve"> </w:t>
      </w:r>
      <w:r>
        <w:rPr>
          <w:lang w:val="en-US"/>
        </w:rPr>
        <w:t>was revised by the CCV/CCT and subsequently approved by Member States.</w:t>
      </w:r>
    </w:p>
    <w:p w14:paraId="6959F5E1" w14:textId="05DECACF" w:rsidR="00590A41" w:rsidRDefault="00590A41" w:rsidP="00590A41">
      <w:r>
        <w:t xml:space="preserve">During 2025, the CCT held seven conference calls and considered 337 terms and their definitions, of which 260 were validated and sent for translation into the other five official languages of the Union before introducing them into the </w:t>
      </w:r>
      <w:hyperlink r:id="rId102" w:anchor="/" w:history="1">
        <w:r w:rsidRPr="00745008">
          <w:rPr>
            <w:rStyle w:val="Hyperlink"/>
          </w:rPr>
          <w:t>ITU Terms and definitions database</w:t>
        </w:r>
      </w:hyperlink>
      <w:r w:rsidRPr="00745008">
        <w:t>.</w:t>
      </w:r>
    </w:p>
    <w:p w14:paraId="59486F18" w14:textId="4B183735" w:rsidR="00590A41" w:rsidRDefault="00590A41" w:rsidP="005C79BE">
      <w:pPr>
        <w:pStyle w:val="Heading2"/>
      </w:pPr>
      <w:bookmarkStart w:id="9" w:name="_Hlk140676786"/>
      <w:r>
        <w:lastRenderedPageBreak/>
        <w:t>4.9</w:t>
      </w:r>
      <w:r>
        <w:tab/>
        <w:t>Participation of Vice-Chairs in the work of their respective Groups</w:t>
      </w:r>
    </w:p>
    <w:p w14:paraId="4ADAD18C" w14:textId="0F2E49E3" w:rsidR="00590A41" w:rsidRDefault="00590A41" w:rsidP="0096603E">
      <w:pPr>
        <w:keepNext/>
        <w:keepLines/>
        <w:spacing w:after="240"/>
      </w:pPr>
      <w:r w:rsidRPr="00E757EA">
        <w:t xml:space="preserve">In accordance with </w:t>
      </w:r>
      <w:r w:rsidRPr="00E233D9">
        <w:t>§ A1.4.5 of Resolution 1-9</w:t>
      </w:r>
      <w:r w:rsidRPr="00E757EA">
        <w:t>,</w:t>
      </w:r>
      <w:r w:rsidRPr="00E233D9">
        <w:t xml:space="preserve"> RAG shall be made aware of the non-attendance of Vice</w:t>
      </w:r>
      <w:r>
        <w:t>-</w:t>
      </w:r>
      <w:r w:rsidRPr="00E233D9">
        <w:t>Chairs</w:t>
      </w:r>
      <w:r w:rsidR="00C14EF1">
        <w:t xml:space="preserve"> at</w:t>
      </w:r>
      <w:r w:rsidRPr="00E233D9">
        <w:t xml:space="preserve"> SG meetings</w:t>
      </w:r>
      <w:r>
        <w:t>. The</w:t>
      </w:r>
      <w:r w:rsidR="00CD569D">
        <w:t xml:space="preserve"> following lists the</w:t>
      </w:r>
      <w:r>
        <w:t xml:space="preserve"> participation of Vice-Chairs to the meetings of their concern during the year 2025.</w:t>
      </w:r>
    </w:p>
    <w:tbl>
      <w:tblPr>
        <w:tblStyle w:val="TableGrid"/>
        <w:tblW w:w="5000" w:type="pct"/>
        <w:tblLook w:val="04A0" w:firstRow="1" w:lastRow="0" w:firstColumn="1" w:lastColumn="0" w:noHBand="0" w:noVBand="1"/>
      </w:tblPr>
      <w:tblGrid>
        <w:gridCol w:w="1419"/>
        <w:gridCol w:w="1245"/>
        <w:gridCol w:w="1115"/>
        <w:gridCol w:w="1177"/>
        <w:gridCol w:w="1175"/>
        <w:gridCol w:w="1205"/>
        <w:gridCol w:w="1206"/>
        <w:gridCol w:w="1172"/>
      </w:tblGrid>
      <w:tr w:rsidR="00B910DE" w:rsidRPr="00945134" w14:paraId="09027F92" w14:textId="77777777" w:rsidTr="00ED4B65">
        <w:tc>
          <w:tcPr>
            <w:tcW w:w="730" w:type="pct"/>
            <w:tcBorders>
              <w:top w:val="nil"/>
              <w:left w:val="nil"/>
            </w:tcBorders>
          </w:tcPr>
          <w:p w14:paraId="47A5BBEE" w14:textId="77777777" w:rsidR="00590A41" w:rsidRPr="0096603E" w:rsidRDefault="00590A41" w:rsidP="005C79BE">
            <w:pPr>
              <w:keepNext/>
              <w:keepLines/>
              <w:rPr>
                <w:sz w:val="20"/>
                <w:szCs w:val="18"/>
              </w:rPr>
            </w:pPr>
          </w:p>
        </w:tc>
        <w:tc>
          <w:tcPr>
            <w:tcW w:w="641" w:type="pct"/>
            <w:shd w:val="clear" w:color="auto" w:fill="DBE5F1" w:themeFill="accent1" w:themeFillTint="33"/>
          </w:tcPr>
          <w:p w14:paraId="3C276BA8" w14:textId="77777777" w:rsidR="00590A41" w:rsidRPr="0096603E" w:rsidRDefault="00590A41" w:rsidP="0096603E">
            <w:pPr>
              <w:pStyle w:val="Tablehead"/>
              <w:keepLines/>
              <w:rPr>
                <w:b w:val="0"/>
                <w:sz w:val="20"/>
                <w:szCs w:val="18"/>
              </w:rPr>
            </w:pPr>
            <w:r w:rsidRPr="0096603E">
              <w:rPr>
                <w:sz w:val="20"/>
                <w:szCs w:val="18"/>
              </w:rPr>
              <w:t>SG 1</w:t>
            </w:r>
          </w:p>
        </w:tc>
        <w:tc>
          <w:tcPr>
            <w:tcW w:w="574" w:type="pct"/>
            <w:shd w:val="clear" w:color="auto" w:fill="DBE5F1" w:themeFill="accent1" w:themeFillTint="33"/>
          </w:tcPr>
          <w:p w14:paraId="4F59EFD6" w14:textId="77777777" w:rsidR="00590A41" w:rsidRPr="0096603E" w:rsidRDefault="00590A41" w:rsidP="0096603E">
            <w:pPr>
              <w:pStyle w:val="Tablehead"/>
              <w:keepLines/>
              <w:rPr>
                <w:b w:val="0"/>
                <w:sz w:val="20"/>
                <w:szCs w:val="18"/>
              </w:rPr>
            </w:pPr>
            <w:r w:rsidRPr="0096603E">
              <w:rPr>
                <w:sz w:val="20"/>
                <w:szCs w:val="18"/>
              </w:rPr>
              <w:t>SG 3</w:t>
            </w:r>
          </w:p>
        </w:tc>
        <w:tc>
          <w:tcPr>
            <w:tcW w:w="606" w:type="pct"/>
            <w:shd w:val="clear" w:color="auto" w:fill="DBE5F1" w:themeFill="accent1" w:themeFillTint="33"/>
          </w:tcPr>
          <w:p w14:paraId="4852BC7C" w14:textId="77777777" w:rsidR="00590A41" w:rsidRPr="0096603E" w:rsidRDefault="00590A41" w:rsidP="0096603E">
            <w:pPr>
              <w:pStyle w:val="Tablehead"/>
              <w:keepLines/>
              <w:rPr>
                <w:b w:val="0"/>
                <w:sz w:val="20"/>
                <w:szCs w:val="18"/>
              </w:rPr>
            </w:pPr>
            <w:r w:rsidRPr="0096603E">
              <w:rPr>
                <w:sz w:val="20"/>
                <w:szCs w:val="18"/>
              </w:rPr>
              <w:t>SG 4</w:t>
            </w:r>
          </w:p>
        </w:tc>
        <w:tc>
          <w:tcPr>
            <w:tcW w:w="605" w:type="pct"/>
            <w:shd w:val="clear" w:color="auto" w:fill="DBE5F1" w:themeFill="accent1" w:themeFillTint="33"/>
          </w:tcPr>
          <w:p w14:paraId="2915AF6C" w14:textId="77777777" w:rsidR="00590A41" w:rsidRPr="0096603E" w:rsidRDefault="00590A41" w:rsidP="0096603E">
            <w:pPr>
              <w:pStyle w:val="Tablehead"/>
              <w:keepLines/>
              <w:rPr>
                <w:b w:val="0"/>
                <w:sz w:val="20"/>
                <w:szCs w:val="18"/>
              </w:rPr>
            </w:pPr>
            <w:r w:rsidRPr="0096603E">
              <w:rPr>
                <w:sz w:val="20"/>
                <w:szCs w:val="18"/>
              </w:rPr>
              <w:t>SG 5</w:t>
            </w:r>
          </w:p>
        </w:tc>
        <w:tc>
          <w:tcPr>
            <w:tcW w:w="620" w:type="pct"/>
            <w:shd w:val="clear" w:color="auto" w:fill="DBE5F1" w:themeFill="accent1" w:themeFillTint="33"/>
          </w:tcPr>
          <w:p w14:paraId="3FF79BED" w14:textId="77777777" w:rsidR="00590A41" w:rsidRPr="0096603E" w:rsidRDefault="00590A41" w:rsidP="0096603E">
            <w:pPr>
              <w:pStyle w:val="Tablehead"/>
              <w:keepLines/>
              <w:rPr>
                <w:b w:val="0"/>
                <w:sz w:val="20"/>
                <w:szCs w:val="18"/>
              </w:rPr>
            </w:pPr>
            <w:r w:rsidRPr="0096603E">
              <w:rPr>
                <w:sz w:val="20"/>
                <w:szCs w:val="18"/>
              </w:rPr>
              <w:t>SG 6</w:t>
            </w:r>
          </w:p>
        </w:tc>
        <w:tc>
          <w:tcPr>
            <w:tcW w:w="621" w:type="pct"/>
            <w:shd w:val="clear" w:color="auto" w:fill="DBE5F1" w:themeFill="accent1" w:themeFillTint="33"/>
          </w:tcPr>
          <w:p w14:paraId="192596D6" w14:textId="77777777" w:rsidR="00590A41" w:rsidRPr="0096603E" w:rsidRDefault="00590A41" w:rsidP="0096603E">
            <w:pPr>
              <w:pStyle w:val="Tablehead"/>
              <w:keepLines/>
              <w:rPr>
                <w:b w:val="0"/>
                <w:sz w:val="20"/>
                <w:szCs w:val="18"/>
              </w:rPr>
            </w:pPr>
            <w:r w:rsidRPr="0096603E">
              <w:rPr>
                <w:sz w:val="20"/>
                <w:szCs w:val="18"/>
              </w:rPr>
              <w:t>SG 7</w:t>
            </w:r>
          </w:p>
        </w:tc>
        <w:tc>
          <w:tcPr>
            <w:tcW w:w="604" w:type="pct"/>
            <w:shd w:val="clear" w:color="auto" w:fill="DBE5F1" w:themeFill="accent1" w:themeFillTint="33"/>
          </w:tcPr>
          <w:p w14:paraId="52184B02" w14:textId="77777777" w:rsidR="00590A41" w:rsidRPr="0096603E" w:rsidRDefault="00590A41" w:rsidP="0096603E">
            <w:pPr>
              <w:pStyle w:val="Tablehead"/>
              <w:keepLines/>
              <w:rPr>
                <w:b w:val="0"/>
                <w:sz w:val="20"/>
                <w:szCs w:val="18"/>
              </w:rPr>
            </w:pPr>
            <w:r w:rsidRPr="0096603E">
              <w:rPr>
                <w:sz w:val="20"/>
                <w:szCs w:val="18"/>
              </w:rPr>
              <w:t>CCV</w:t>
            </w:r>
          </w:p>
        </w:tc>
      </w:tr>
      <w:tr w:rsidR="00B910DE" w:rsidRPr="00945134" w14:paraId="44DCE09B" w14:textId="77777777" w:rsidTr="00ED4B65">
        <w:tc>
          <w:tcPr>
            <w:tcW w:w="730" w:type="pct"/>
            <w:shd w:val="clear" w:color="auto" w:fill="DBE5F1" w:themeFill="accent1" w:themeFillTint="33"/>
          </w:tcPr>
          <w:p w14:paraId="3FE4B079" w14:textId="77777777" w:rsidR="00590A41" w:rsidRPr="0096603E" w:rsidRDefault="00590A41" w:rsidP="0096603E">
            <w:pPr>
              <w:pStyle w:val="Tabletext"/>
              <w:keepNext/>
              <w:keepLines/>
              <w:rPr>
                <w:b/>
                <w:bCs/>
                <w:sz w:val="20"/>
                <w:szCs w:val="18"/>
              </w:rPr>
            </w:pPr>
            <w:r w:rsidRPr="0096603E">
              <w:rPr>
                <w:b/>
                <w:bCs/>
                <w:sz w:val="20"/>
                <w:szCs w:val="18"/>
              </w:rPr>
              <w:t>Total number of VC</w:t>
            </w:r>
          </w:p>
        </w:tc>
        <w:tc>
          <w:tcPr>
            <w:tcW w:w="641" w:type="pct"/>
            <w:shd w:val="clear" w:color="auto" w:fill="DBE5F1" w:themeFill="accent1" w:themeFillTint="33"/>
          </w:tcPr>
          <w:p w14:paraId="4352E0C8" w14:textId="77777777" w:rsidR="00590A41" w:rsidRPr="0096603E" w:rsidRDefault="00590A41" w:rsidP="0096603E">
            <w:pPr>
              <w:pStyle w:val="Tabletext"/>
              <w:keepNext/>
              <w:keepLines/>
              <w:jc w:val="center"/>
              <w:rPr>
                <w:b/>
                <w:bCs/>
                <w:sz w:val="20"/>
                <w:szCs w:val="18"/>
              </w:rPr>
            </w:pPr>
            <w:r w:rsidRPr="0096603E">
              <w:rPr>
                <w:b/>
                <w:bCs/>
                <w:sz w:val="20"/>
                <w:szCs w:val="18"/>
              </w:rPr>
              <w:t>15</w:t>
            </w:r>
          </w:p>
        </w:tc>
        <w:tc>
          <w:tcPr>
            <w:tcW w:w="574" w:type="pct"/>
            <w:shd w:val="clear" w:color="auto" w:fill="DBE5F1" w:themeFill="accent1" w:themeFillTint="33"/>
          </w:tcPr>
          <w:p w14:paraId="5D8635CA" w14:textId="77777777" w:rsidR="00590A41" w:rsidRPr="0096603E" w:rsidRDefault="00590A41" w:rsidP="0096603E">
            <w:pPr>
              <w:pStyle w:val="Tabletext"/>
              <w:keepNext/>
              <w:keepLines/>
              <w:jc w:val="center"/>
              <w:rPr>
                <w:b/>
                <w:bCs/>
                <w:sz w:val="20"/>
                <w:szCs w:val="18"/>
              </w:rPr>
            </w:pPr>
            <w:r w:rsidRPr="0096603E">
              <w:rPr>
                <w:b/>
                <w:bCs/>
                <w:sz w:val="20"/>
                <w:szCs w:val="18"/>
              </w:rPr>
              <w:t>11</w:t>
            </w:r>
          </w:p>
        </w:tc>
        <w:tc>
          <w:tcPr>
            <w:tcW w:w="606" w:type="pct"/>
            <w:shd w:val="clear" w:color="auto" w:fill="DBE5F1" w:themeFill="accent1" w:themeFillTint="33"/>
          </w:tcPr>
          <w:p w14:paraId="00CA7E1F" w14:textId="77777777" w:rsidR="00590A41" w:rsidRPr="0096603E" w:rsidRDefault="00590A41" w:rsidP="0096603E">
            <w:pPr>
              <w:pStyle w:val="Tabletext"/>
              <w:keepNext/>
              <w:keepLines/>
              <w:jc w:val="center"/>
              <w:rPr>
                <w:b/>
                <w:bCs/>
                <w:sz w:val="20"/>
                <w:szCs w:val="18"/>
              </w:rPr>
            </w:pPr>
            <w:r w:rsidRPr="0096603E">
              <w:rPr>
                <w:b/>
                <w:bCs/>
                <w:sz w:val="20"/>
                <w:szCs w:val="18"/>
              </w:rPr>
              <w:t>19</w:t>
            </w:r>
          </w:p>
        </w:tc>
        <w:tc>
          <w:tcPr>
            <w:tcW w:w="605" w:type="pct"/>
            <w:shd w:val="clear" w:color="auto" w:fill="DBE5F1" w:themeFill="accent1" w:themeFillTint="33"/>
          </w:tcPr>
          <w:p w14:paraId="735528C6" w14:textId="77777777" w:rsidR="00590A41" w:rsidRPr="0096603E" w:rsidRDefault="00590A41" w:rsidP="0096603E">
            <w:pPr>
              <w:pStyle w:val="Tabletext"/>
              <w:keepNext/>
              <w:keepLines/>
              <w:jc w:val="center"/>
              <w:rPr>
                <w:b/>
                <w:bCs/>
                <w:sz w:val="20"/>
                <w:szCs w:val="18"/>
              </w:rPr>
            </w:pPr>
            <w:r w:rsidRPr="0096603E">
              <w:rPr>
                <w:b/>
                <w:bCs/>
                <w:sz w:val="20"/>
                <w:szCs w:val="18"/>
              </w:rPr>
              <w:t>19</w:t>
            </w:r>
          </w:p>
        </w:tc>
        <w:tc>
          <w:tcPr>
            <w:tcW w:w="620" w:type="pct"/>
            <w:shd w:val="clear" w:color="auto" w:fill="DBE5F1" w:themeFill="accent1" w:themeFillTint="33"/>
          </w:tcPr>
          <w:p w14:paraId="250A3901" w14:textId="77777777" w:rsidR="00590A41" w:rsidRPr="0096603E" w:rsidRDefault="00590A41" w:rsidP="0096603E">
            <w:pPr>
              <w:pStyle w:val="Tabletext"/>
              <w:keepNext/>
              <w:keepLines/>
              <w:jc w:val="center"/>
              <w:rPr>
                <w:b/>
                <w:bCs/>
                <w:sz w:val="20"/>
                <w:szCs w:val="18"/>
              </w:rPr>
            </w:pPr>
            <w:r w:rsidRPr="0096603E">
              <w:rPr>
                <w:b/>
                <w:bCs/>
                <w:sz w:val="20"/>
                <w:szCs w:val="18"/>
              </w:rPr>
              <w:t>14</w:t>
            </w:r>
          </w:p>
        </w:tc>
        <w:tc>
          <w:tcPr>
            <w:tcW w:w="621" w:type="pct"/>
            <w:shd w:val="clear" w:color="auto" w:fill="DBE5F1" w:themeFill="accent1" w:themeFillTint="33"/>
          </w:tcPr>
          <w:p w14:paraId="1439B129" w14:textId="77777777" w:rsidR="00590A41" w:rsidRPr="0096603E" w:rsidRDefault="00590A41" w:rsidP="0096603E">
            <w:pPr>
              <w:pStyle w:val="Tabletext"/>
              <w:keepNext/>
              <w:keepLines/>
              <w:jc w:val="center"/>
              <w:rPr>
                <w:b/>
                <w:bCs/>
                <w:sz w:val="20"/>
                <w:szCs w:val="18"/>
              </w:rPr>
            </w:pPr>
            <w:r w:rsidRPr="0096603E">
              <w:rPr>
                <w:b/>
                <w:bCs/>
                <w:sz w:val="20"/>
                <w:szCs w:val="18"/>
              </w:rPr>
              <w:t>10</w:t>
            </w:r>
          </w:p>
        </w:tc>
        <w:tc>
          <w:tcPr>
            <w:tcW w:w="604" w:type="pct"/>
            <w:shd w:val="clear" w:color="auto" w:fill="DBE5F1" w:themeFill="accent1" w:themeFillTint="33"/>
          </w:tcPr>
          <w:p w14:paraId="044E248D" w14:textId="77777777" w:rsidR="00590A41" w:rsidRPr="0096603E" w:rsidRDefault="00590A41" w:rsidP="0096603E">
            <w:pPr>
              <w:pStyle w:val="Tabletext"/>
              <w:keepNext/>
              <w:keepLines/>
              <w:jc w:val="center"/>
              <w:rPr>
                <w:b/>
                <w:bCs/>
                <w:sz w:val="20"/>
                <w:szCs w:val="18"/>
              </w:rPr>
            </w:pPr>
            <w:r w:rsidRPr="0096603E">
              <w:rPr>
                <w:b/>
                <w:bCs/>
                <w:sz w:val="20"/>
                <w:szCs w:val="18"/>
              </w:rPr>
              <w:t>7</w:t>
            </w:r>
          </w:p>
        </w:tc>
      </w:tr>
      <w:tr w:rsidR="00030014" w:rsidRPr="00945134" w14:paraId="1223A585" w14:textId="77777777" w:rsidTr="00ED4B65">
        <w:tc>
          <w:tcPr>
            <w:tcW w:w="730" w:type="pct"/>
            <w:shd w:val="clear" w:color="auto" w:fill="DBE5F1" w:themeFill="accent1" w:themeFillTint="33"/>
          </w:tcPr>
          <w:p w14:paraId="68A17AAA" w14:textId="77777777" w:rsidR="00590A41" w:rsidRPr="0096603E" w:rsidRDefault="00590A41" w:rsidP="0096603E">
            <w:pPr>
              <w:pStyle w:val="Tabletext"/>
              <w:keepNext/>
              <w:keepLines/>
              <w:rPr>
                <w:b/>
                <w:bCs/>
                <w:sz w:val="20"/>
                <w:szCs w:val="18"/>
              </w:rPr>
            </w:pPr>
            <w:r w:rsidRPr="0096603E">
              <w:rPr>
                <w:b/>
                <w:bCs/>
                <w:sz w:val="20"/>
                <w:szCs w:val="18"/>
              </w:rPr>
              <w:t>VC participation per meeting in 2025</w:t>
            </w:r>
          </w:p>
        </w:tc>
        <w:tc>
          <w:tcPr>
            <w:tcW w:w="641" w:type="pct"/>
          </w:tcPr>
          <w:p w14:paraId="15EBBC3A" w14:textId="77777777" w:rsidR="00590A41" w:rsidRPr="0096603E" w:rsidRDefault="00590A41" w:rsidP="0096603E">
            <w:pPr>
              <w:pStyle w:val="Tabletext"/>
              <w:keepNext/>
              <w:keepLines/>
              <w:rPr>
                <w:sz w:val="20"/>
                <w:szCs w:val="18"/>
              </w:rPr>
            </w:pPr>
            <w:r w:rsidRPr="0096603E">
              <w:rPr>
                <w:sz w:val="20"/>
                <w:szCs w:val="18"/>
              </w:rPr>
              <w:t xml:space="preserve">June: </w:t>
            </w:r>
            <w:r w:rsidRPr="0096603E">
              <w:rPr>
                <w:b/>
                <w:bCs/>
                <w:sz w:val="20"/>
                <w:szCs w:val="18"/>
              </w:rPr>
              <w:t>10/15</w:t>
            </w:r>
          </w:p>
        </w:tc>
        <w:tc>
          <w:tcPr>
            <w:tcW w:w="574" w:type="pct"/>
          </w:tcPr>
          <w:p w14:paraId="0FA0C933" w14:textId="77777777" w:rsidR="00590A41" w:rsidRPr="0096603E" w:rsidRDefault="00590A41" w:rsidP="0096603E">
            <w:pPr>
              <w:pStyle w:val="Tabletext"/>
              <w:keepNext/>
              <w:keepLines/>
              <w:rPr>
                <w:sz w:val="20"/>
                <w:szCs w:val="18"/>
              </w:rPr>
            </w:pPr>
            <w:r w:rsidRPr="0096603E">
              <w:rPr>
                <w:sz w:val="20"/>
                <w:szCs w:val="18"/>
              </w:rPr>
              <w:t xml:space="preserve">June: </w:t>
            </w:r>
            <w:r w:rsidRPr="0096603E">
              <w:rPr>
                <w:b/>
                <w:bCs/>
                <w:sz w:val="20"/>
                <w:szCs w:val="18"/>
              </w:rPr>
              <w:t>8/11</w:t>
            </w:r>
          </w:p>
        </w:tc>
        <w:tc>
          <w:tcPr>
            <w:tcW w:w="606" w:type="pct"/>
          </w:tcPr>
          <w:p w14:paraId="265371FC" w14:textId="77777777" w:rsidR="00590A41" w:rsidRPr="0096603E" w:rsidRDefault="00590A41" w:rsidP="0096603E">
            <w:pPr>
              <w:pStyle w:val="Tabletext"/>
              <w:keepNext/>
              <w:keepLines/>
              <w:rPr>
                <w:sz w:val="20"/>
                <w:szCs w:val="18"/>
              </w:rPr>
            </w:pPr>
            <w:r w:rsidRPr="0096603E">
              <w:rPr>
                <w:sz w:val="20"/>
                <w:szCs w:val="18"/>
              </w:rPr>
              <w:t xml:space="preserve">Nov.: </w:t>
            </w:r>
            <w:r w:rsidRPr="0096603E">
              <w:rPr>
                <w:b/>
                <w:bCs/>
                <w:sz w:val="20"/>
                <w:szCs w:val="18"/>
              </w:rPr>
              <w:t>17/19</w:t>
            </w:r>
          </w:p>
        </w:tc>
        <w:tc>
          <w:tcPr>
            <w:tcW w:w="605" w:type="pct"/>
          </w:tcPr>
          <w:p w14:paraId="6A489CD2" w14:textId="77777777" w:rsidR="00590A41" w:rsidRPr="0096603E" w:rsidRDefault="00590A41" w:rsidP="0096603E">
            <w:pPr>
              <w:pStyle w:val="Tabletext"/>
              <w:keepNext/>
              <w:keepLines/>
              <w:rPr>
                <w:sz w:val="20"/>
                <w:szCs w:val="18"/>
              </w:rPr>
            </w:pPr>
            <w:r w:rsidRPr="0096603E">
              <w:rPr>
                <w:sz w:val="20"/>
                <w:szCs w:val="18"/>
              </w:rPr>
              <w:t xml:space="preserve">Dec.: </w:t>
            </w:r>
            <w:r w:rsidRPr="0096603E">
              <w:rPr>
                <w:b/>
                <w:bCs/>
                <w:sz w:val="20"/>
                <w:szCs w:val="18"/>
              </w:rPr>
              <w:t>13/19</w:t>
            </w:r>
          </w:p>
        </w:tc>
        <w:tc>
          <w:tcPr>
            <w:tcW w:w="620" w:type="pct"/>
          </w:tcPr>
          <w:p w14:paraId="7EB5210B" w14:textId="77777777" w:rsidR="00590A41" w:rsidRPr="0096603E" w:rsidRDefault="00590A41" w:rsidP="0096603E">
            <w:pPr>
              <w:pStyle w:val="Tabletext"/>
              <w:keepNext/>
              <w:keepLines/>
              <w:rPr>
                <w:sz w:val="20"/>
                <w:szCs w:val="18"/>
              </w:rPr>
            </w:pPr>
            <w:r w:rsidRPr="0096603E">
              <w:rPr>
                <w:sz w:val="20"/>
                <w:szCs w:val="18"/>
              </w:rPr>
              <w:t xml:space="preserve">March: </w:t>
            </w:r>
            <w:r w:rsidRPr="0096603E">
              <w:rPr>
                <w:b/>
                <w:bCs/>
                <w:sz w:val="20"/>
                <w:szCs w:val="18"/>
              </w:rPr>
              <w:t>7/14</w:t>
            </w:r>
          </w:p>
          <w:p w14:paraId="05C18D66" w14:textId="77777777" w:rsidR="00590A41" w:rsidRPr="0096603E" w:rsidRDefault="00590A41" w:rsidP="0096603E">
            <w:pPr>
              <w:pStyle w:val="Tabletext"/>
              <w:keepNext/>
              <w:keepLines/>
              <w:rPr>
                <w:sz w:val="20"/>
                <w:szCs w:val="18"/>
              </w:rPr>
            </w:pPr>
            <w:r w:rsidRPr="0096603E">
              <w:rPr>
                <w:sz w:val="20"/>
                <w:szCs w:val="18"/>
              </w:rPr>
              <w:t xml:space="preserve">Sept.: </w:t>
            </w:r>
            <w:r w:rsidRPr="0096603E">
              <w:rPr>
                <w:b/>
                <w:bCs/>
                <w:sz w:val="20"/>
                <w:szCs w:val="18"/>
              </w:rPr>
              <w:t>12/14</w:t>
            </w:r>
          </w:p>
        </w:tc>
        <w:tc>
          <w:tcPr>
            <w:tcW w:w="621" w:type="pct"/>
          </w:tcPr>
          <w:p w14:paraId="6D5A32D5" w14:textId="77777777" w:rsidR="00590A41" w:rsidRPr="0096603E" w:rsidRDefault="00590A41" w:rsidP="0096603E">
            <w:pPr>
              <w:pStyle w:val="Tabletext"/>
              <w:keepNext/>
              <w:keepLines/>
              <w:rPr>
                <w:sz w:val="20"/>
                <w:szCs w:val="18"/>
              </w:rPr>
            </w:pPr>
            <w:r w:rsidRPr="0096603E">
              <w:rPr>
                <w:sz w:val="20"/>
                <w:szCs w:val="18"/>
              </w:rPr>
              <w:t xml:space="preserve">March: </w:t>
            </w:r>
            <w:r w:rsidRPr="0096603E">
              <w:rPr>
                <w:b/>
                <w:bCs/>
                <w:sz w:val="20"/>
                <w:szCs w:val="18"/>
              </w:rPr>
              <w:t>8/10</w:t>
            </w:r>
          </w:p>
        </w:tc>
        <w:tc>
          <w:tcPr>
            <w:tcW w:w="604" w:type="pct"/>
          </w:tcPr>
          <w:p w14:paraId="385CF8BC" w14:textId="77777777" w:rsidR="00590A41" w:rsidRPr="0096603E" w:rsidRDefault="00590A41" w:rsidP="0096603E">
            <w:pPr>
              <w:pStyle w:val="Tabletext"/>
              <w:keepNext/>
              <w:keepLines/>
              <w:rPr>
                <w:sz w:val="20"/>
                <w:szCs w:val="18"/>
              </w:rPr>
            </w:pPr>
            <w:r w:rsidRPr="0096603E">
              <w:rPr>
                <w:sz w:val="20"/>
                <w:szCs w:val="18"/>
              </w:rPr>
              <w:t xml:space="preserve">Jan.: </w:t>
            </w:r>
            <w:r w:rsidRPr="0096603E">
              <w:rPr>
                <w:b/>
                <w:bCs/>
                <w:sz w:val="20"/>
                <w:szCs w:val="18"/>
              </w:rPr>
              <w:t>3/7</w:t>
            </w:r>
          </w:p>
          <w:p w14:paraId="61BF18BD" w14:textId="77777777" w:rsidR="00590A41" w:rsidRPr="0096603E" w:rsidRDefault="00590A41" w:rsidP="0096603E">
            <w:pPr>
              <w:pStyle w:val="Tabletext"/>
              <w:keepNext/>
              <w:keepLines/>
              <w:rPr>
                <w:sz w:val="20"/>
                <w:szCs w:val="18"/>
              </w:rPr>
            </w:pPr>
            <w:r w:rsidRPr="0096603E">
              <w:rPr>
                <w:sz w:val="20"/>
                <w:szCs w:val="18"/>
              </w:rPr>
              <w:t xml:space="preserve">March: </w:t>
            </w:r>
            <w:r w:rsidRPr="0096603E">
              <w:rPr>
                <w:b/>
                <w:bCs/>
                <w:sz w:val="20"/>
                <w:szCs w:val="18"/>
              </w:rPr>
              <w:t>3/7</w:t>
            </w:r>
          </w:p>
          <w:p w14:paraId="7B24FFB2" w14:textId="77777777" w:rsidR="00590A41" w:rsidRPr="0096603E" w:rsidRDefault="00590A41" w:rsidP="0096603E">
            <w:pPr>
              <w:pStyle w:val="Tabletext"/>
              <w:keepNext/>
              <w:keepLines/>
              <w:rPr>
                <w:sz w:val="20"/>
                <w:szCs w:val="18"/>
              </w:rPr>
            </w:pPr>
            <w:r w:rsidRPr="0096603E">
              <w:rPr>
                <w:sz w:val="20"/>
                <w:szCs w:val="18"/>
              </w:rPr>
              <w:t xml:space="preserve">May: </w:t>
            </w:r>
            <w:r w:rsidRPr="0096603E">
              <w:rPr>
                <w:b/>
                <w:bCs/>
                <w:sz w:val="20"/>
                <w:szCs w:val="18"/>
              </w:rPr>
              <w:t>2/7</w:t>
            </w:r>
          </w:p>
          <w:p w14:paraId="5572453A" w14:textId="77777777" w:rsidR="00590A41" w:rsidRPr="0096603E" w:rsidRDefault="00590A41" w:rsidP="0096603E">
            <w:pPr>
              <w:pStyle w:val="Tabletext"/>
              <w:keepNext/>
              <w:keepLines/>
              <w:rPr>
                <w:sz w:val="20"/>
                <w:szCs w:val="18"/>
              </w:rPr>
            </w:pPr>
            <w:r w:rsidRPr="0096603E">
              <w:rPr>
                <w:sz w:val="20"/>
                <w:szCs w:val="18"/>
              </w:rPr>
              <w:t xml:space="preserve">July: </w:t>
            </w:r>
            <w:r w:rsidRPr="0096603E">
              <w:rPr>
                <w:b/>
                <w:bCs/>
                <w:sz w:val="20"/>
                <w:szCs w:val="18"/>
              </w:rPr>
              <w:t>4/7</w:t>
            </w:r>
          </w:p>
          <w:p w14:paraId="1BD69BC3" w14:textId="77777777" w:rsidR="00590A41" w:rsidRPr="0096603E" w:rsidRDefault="00590A41" w:rsidP="0096603E">
            <w:pPr>
              <w:pStyle w:val="Tabletext"/>
              <w:keepNext/>
              <w:keepLines/>
              <w:rPr>
                <w:sz w:val="20"/>
                <w:szCs w:val="18"/>
              </w:rPr>
            </w:pPr>
            <w:r w:rsidRPr="0096603E">
              <w:rPr>
                <w:sz w:val="20"/>
                <w:szCs w:val="18"/>
              </w:rPr>
              <w:t xml:space="preserve">Aug.: </w:t>
            </w:r>
            <w:r w:rsidRPr="0096603E">
              <w:rPr>
                <w:b/>
                <w:bCs/>
                <w:sz w:val="20"/>
                <w:szCs w:val="18"/>
              </w:rPr>
              <w:t>3/7</w:t>
            </w:r>
          </w:p>
          <w:p w14:paraId="13224B94" w14:textId="77777777" w:rsidR="00590A41" w:rsidRPr="0096603E" w:rsidRDefault="00590A41" w:rsidP="0096603E">
            <w:pPr>
              <w:pStyle w:val="Tabletext"/>
              <w:keepNext/>
              <w:keepLines/>
              <w:rPr>
                <w:sz w:val="20"/>
                <w:szCs w:val="18"/>
              </w:rPr>
            </w:pPr>
            <w:r w:rsidRPr="0096603E">
              <w:rPr>
                <w:sz w:val="20"/>
                <w:szCs w:val="18"/>
              </w:rPr>
              <w:t xml:space="preserve">Sept.: </w:t>
            </w:r>
            <w:r w:rsidRPr="0096603E">
              <w:rPr>
                <w:b/>
                <w:bCs/>
                <w:sz w:val="20"/>
                <w:szCs w:val="18"/>
              </w:rPr>
              <w:t>0/7</w:t>
            </w:r>
          </w:p>
          <w:p w14:paraId="25BA2809" w14:textId="77777777" w:rsidR="00590A41" w:rsidRPr="0096603E" w:rsidRDefault="00590A41" w:rsidP="0096603E">
            <w:pPr>
              <w:pStyle w:val="Tabletext"/>
              <w:keepNext/>
              <w:keepLines/>
              <w:rPr>
                <w:sz w:val="20"/>
                <w:szCs w:val="18"/>
              </w:rPr>
            </w:pPr>
            <w:r w:rsidRPr="0096603E">
              <w:rPr>
                <w:sz w:val="20"/>
                <w:szCs w:val="18"/>
              </w:rPr>
              <w:t xml:space="preserve">Dec.: </w:t>
            </w:r>
            <w:r w:rsidRPr="0096603E">
              <w:rPr>
                <w:b/>
                <w:bCs/>
                <w:sz w:val="20"/>
                <w:szCs w:val="18"/>
              </w:rPr>
              <w:t>4/7</w:t>
            </w:r>
          </w:p>
        </w:tc>
      </w:tr>
    </w:tbl>
    <w:p w14:paraId="40D9341A" w14:textId="799FA183" w:rsidR="00664FAC" w:rsidRDefault="00664FAC" w:rsidP="00664FAC">
      <w:pPr>
        <w:keepNext/>
        <w:keepLines/>
        <w:spacing w:after="240"/>
      </w:pPr>
      <w:r w:rsidRPr="00664FAC">
        <w:t xml:space="preserve">RAG </w:t>
      </w:r>
      <w:r w:rsidR="008A1044">
        <w:t>V</w:t>
      </w:r>
      <w:r w:rsidRPr="00664FAC">
        <w:t>ice-</w:t>
      </w:r>
      <w:r w:rsidR="008A1044">
        <w:t>C</w:t>
      </w:r>
      <w:r w:rsidRPr="00664FAC">
        <w:t>hairs attendance at the 32nd Meeting of the RAG, 14-17 April 2025, was 9</w:t>
      </w:r>
      <w:r w:rsidR="008A1044">
        <w:t>/11.</w:t>
      </w:r>
    </w:p>
    <w:bookmarkEnd w:id="9"/>
    <w:p w14:paraId="6998CDE5" w14:textId="064B3083" w:rsidR="00590A41" w:rsidRPr="00745008" w:rsidRDefault="00590A41" w:rsidP="00590A41">
      <w:pPr>
        <w:pStyle w:val="Heading2"/>
      </w:pPr>
      <w:r>
        <w:t>4.10</w:t>
      </w:r>
      <w:r>
        <w:tab/>
        <w:t xml:space="preserve">CPM-27 </w:t>
      </w:r>
      <w:r w:rsidRPr="00577624">
        <w:t>activities</w:t>
      </w:r>
      <w:r>
        <w:t xml:space="preserve"> and preparation for CPM27-2</w:t>
      </w:r>
    </w:p>
    <w:p w14:paraId="2210B114" w14:textId="38D16ED9" w:rsidR="00446A43" w:rsidRPr="00446A43" w:rsidRDefault="00D54BD1" w:rsidP="00446A43">
      <w:r>
        <w:t xml:space="preserve">A summary of the </w:t>
      </w:r>
      <w:r w:rsidRPr="009E76D7">
        <w:t>CPM-27 activities and preparation for CPM27-2</w:t>
      </w:r>
      <w:r>
        <w:t xml:space="preserve"> is provided in s</w:t>
      </w:r>
      <w:r w:rsidRPr="00745008">
        <w:t xml:space="preserve">ection </w:t>
      </w:r>
      <w:r w:rsidRPr="00654631">
        <w:t>4</w:t>
      </w:r>
      <w:r w:rsidRPr="0096603E">
        <w:t>.2</w:t>
      </w:r>
      <w:r w:rsidRPr="00745008">
        <w:t xml:space="preserve"> of Doc.</w:t>
      </w:r>
      <w:r w:rsidR="00446A43">
        <w:t> </w:t>
      </w:r>
      <w:hyperlink r:id="rId103" w:history="1">
        <w:r w:rsidRPr="0096603E">
          <w:rPr>
            <w:rStyle w:val="Hyperlink"/>
          </w:rPr>
          <w:t>RAG/58</w:t>
        </w:r>
      </w:hyperlink>
      <w:r w:rsidRPr="00985FD8">
        <w:t>.</w:t>
      </w:r>
    </w:p>
    <w:p w14:paraId="7287605C" w14:textId="5C13DC73" w:rsidR="00131369" w:rsidRPr="000623D1" w:rsidRDefault="00131369" w:rsidP="00131369">
      <w:pPr>
        <w:pStyle w:val="Heading1"/>
      </w:pPr>
      <w:r>
        <w:t>5</w:t>
      </w:r>
      <w:r w:rsidRPr="003D5E5A">
        <w:tab/>
        <w:t>Follow-up actions requested by the RAG at its meeting in 202</w:t>
      </w:r>
      <w:r>
        <w:t>5</w:t>
      </w:r>
    </w:p>
    <w:p w14:paraId="79949554" w14:textId="5B89D51B" w:rsidR="00446A43" w:rsidRDefault="00131369" w:rsidP="00446A43">
      <w:r w:rsidRPr="000623D1">
        <w:t xml:space="preserve">The Bureau </w:t>
      </w:r>
      <w:r>
        <w:t xml:space="preserve">implemented </w:t>
      </w:r>
      <w:r w:rsidRPr="000623D1">
        <w:t>the follow</w:t>
      </w:r>
      <w:r>
        <w:t>ing</w:t>
      </w:r>
      <w:r w:rsidRPr="000623D1">
        <w:t xml:space="preserve"> actions</w:t>
      </w:r>
      <w:r>
        <w:t xml:space="preserve">, which had been endorsed by the BR Director based on </w:t>
      </w:r>
      <w:r w:rsidRPr="000623D1">
        <w:t>RAG</w:t>
      </w:r>
      <w:r w:rsidRPr="009E4F77">
        <w:t>’</w:t>
      </w:r>
      <w:r>
        <w:t>s</w:t>
      </w:r>
      <w:r w:rsidRPr="000623D1">
        <w:t xml:space="preserve"> </w:t>
      </w:r>
      <w:r>
        <w:t xml:space="preserve">advice provided </w:t>
      </w:r>
      <w:r w:rsidRPr="000623D1">
        <w:t xml:space="preserve">during its meeting </w:t>
      </w:r>
      <w:r>
        <w:t xml:space="preserve">of April </w:t>
      </w:r>
      <w:r w:rsidRPr="000623D1">
        <w:t>202</w:t>
      </w:r>
      <w:r>
        <w:t>5</w:t>
      </w:r>
      <w:r w:rsidRPr="00E55215">
        <w:t>.</w:t>
      </w:r>
    </w:p>
    <w:p w14:paraId="6CE8A4F9" w14:textId="38F3BC89" w:rsidR="00131369" w:rsidRPr="00E55215" w:rsidRDefault="00131369" w:rsidP="00446A43">
      <w:pPr>
        <w:pStyle w:val="enumlev1"/>
      </w:pPr>
      <w:r w:rsidRPr="00E55215">
        <w:t>−</w:t>
      </w:r>
      <w:r w:rsidRPr="00E55215">
        <w:tab/>
        <w:t xml:space="preserve">The Bureau dispatched a </w:t>
      </w:r>
      <w:hyperlink r:id="rId104" w:history="1">
        <w:r w:rsidRPr="00E0223E">
          <w:rPr>
            <w:rStyle w:val="Hyperlink"/>
          </w:rPr>
          <w:t>document</w:t>
        </w:r>
      </w:hyperlink>
      <w:r w:rsidRPr="00E55215">
        <w:t xml:space="preserve"> to all ITU-R SGs, WPs and the CCV </w:t>
      </w:r>
      <w:r w:rsidRPr="00E55215">
        <w:rPr>
          <w:lang w:eastAsia="zh-CN"/>
        </w:rPr>
        <w:t>drawing the attention of the ITU-R Study Groups (SGs), their subordinated groups and their Chairs to the Summary of Conclusions of the 32</w:t>
      </w:r>
      <w:r w:rsidRPr="00E55215">
        <w:rPr>
          <w:vertAlign w:val="superscript"/>
          <w:lang w:eastAsia="zh-CN"/>
        </w:rPr>
        <w:t>nd</w:t>
      </w:r>
      <w:r w:rsidRPr="00E55215">
        <w:rPr>
          <w:lang w:eastAsia="zh-CN"/>
        </w:rPr>
        <w:t xml:space="preserve"> meeting of the RAG that can be found in Administrative Circular </w:t>
      </w:r>
      <w:hyperlink r:id="rId105" w:history="1">
        <w:r w:rsidRPr="00E0223E">
          <w:rPr>
            <w:rStyle w:val="Hyperlink"/>
          </w:rPr>
          <w:t>CA/277</w:t>
        </w:r>
      </w:hyperlink>
      <w:r w:rsidRPr="00E55215">
        <w:rPr>
          <w:lang w:eastAsia="zh-CN"/>
        </w:rPr>
        <w:t>, as well as to provide additional information on several of these conclusions related to the SGs activities. All the SGs acknowledged this document and acted accordingly.</w:t>
      </w:r>
    </w:p>
    <w:p w14:paraId="340DC950" w14:textId="77777777" w:rsidR="00131369" w:rsidRPr="00E55215" w:rsidRDefault="00131369" w:rsidP="00131369">
      <w:pPr>
        <w:pStyle w:val="enumlev1"/>
      </w:pPr>
      <w:r w:rsidRPr="00E55215">
        <w:t>−</w:t>
      </w:r>
      <w:r w:rsidRPr="00E55215">
        <w:tab/>
        <w:t>A</w:t>
      </w:r>
      <w:r w:rsidRPr="00E0223E">
        <w:t>ccording to administrations</w:t>
      </w:r>
      <w:r w:rsidRPr="00E55215">
        <w:t>’</w:t>
      </w:r>
      <w:r w:rsidRPr="00E0223E">
        <w:t xml:space="preserve"> requests, a</w:t>
      </w:r>
      <w:r w:rsidRPr="00E55215">
        <w:t xml:space="preserve">ll ITU-R SGs meetings </w:t>
      </w:r>
      <w:r w:rsidRPr="00E0223E">
        <w:t xml:space="preserve">were </w:t>
      </w:r>
      <w:r w:rsidRPr="00E55215">
        <w:t>provide</w:t>
      </w:r>
      <w:r w:rsidRPr="00E0223E">
        <w:t>d with</w:t>
      </w:r>
      <w:r w:rsidRPr="00E55215">
        <w:t xml:space="preserve"> interpretation in French and in Russian.</w:t>
      </w:r>
    </w:p>
    <w:p w14:paraId="0FF0C86C" w14:textId="77777777" w:rsidR="00131369" w:rsidRPr="00E55215" w:rsidRDefault="00131369" w:rsidP="00131369">
      <w:pPr>
        <w:pStyle w:val="enumlev1"/>
      </w:pPr>
      <w:r w:rsidRPr="00E55215">
        <w:t>−</w:t>
      </w:r>
      <w:r w:rsidRPr="00E55215">
        <w:tab/>
        <w:t>Progress reports on the implementation of ITU-R and W(A)RC Resolutions provided by each Study Group are made available on their respective webpages and/or will be included in the SG Chair’s Reports to RA-27, as appropriate. The relevant information for the CCV is provided in section 4.8 above.</w:t>
      </w:r>
    </w:p>
    <w:p w14:paraId="2345A037" w14:textId="321D6DBD" w:rsidR="00131369" w:rsidRPr="00BF2F35" w:rsidRDefault="00131369" w:rsidP="00131369">
      <w:pPr>
        <w:pStyle w:val="enumlev1"/>
      </w:pPr>
      <w:r w:rsidRPr="00E55215">
        <w:t>−</w:t>
      </w:r>
      <w:r w:rsidRPr="00E55215">
        <w:tab/>
        <w:t xml:space="preserve">An updated version of the </w:t>
      </w:r>
      <w:r w:rsidRPr="00BF2F35">
        <w:t xml:space="preserve">Guidelines associated with Resolution ITU-R 1-9 containing modifications suggested by some administrations are provided in Doc. </w:t>
      </w:r>
      <w:hyperlink r:id="rId106" w:history="1">
        <w:r w:rsidRPr="00BF2F35">
          <w:rPr>
            <w:rStyle w:val="Hyperlink"/>
          </w:rPr>
          <w:t>RAG/58</w:t>
        </w:r>
      </w:hyperlink>
      <w:r w:rsidRPr="00BF2F35">
        <w:t xml:space="preserve"> (</w:t>
      </w:r>
      <w:r w:rsidR="00607A30" w:rsidRPr="00BF2F35">
        <w:t xml:space="preserve">Annex 1 to </w:t>
      </w:r>
      <w:r w:rsidRPr="00BF2F35">
        <w:t xml:space="preserve">Add. </w:t>
      </w:r>
      <w:r w:rsidR="00607A30" w:rsidRPr="00BF2F35">
        <w:t>1</w:t>
      </w:r>
      <w:r w:rsidRPr="00BF2F35">
        <w:t>).</w:t>
      </w:r>
    </w:p>
    <w:p w14:paraId="412034AC" w14:textId="77777777" w:rsidR="00131369" w:rsidRPr="00BF2F35" w:rsidRDefault="00131369" w:rsidP="00131369">
      <w:pPr>
        <w:pStyle w:val="enumlev1"/>
        <w:rPr>
          <w:lang w:eastAsia="zh-CN"/>
        </w:rPr>
      </w:pPr>
      <w:r w:rsidRPr="00BF2F35">
        <w:t>−</w:t>
      </w:r>
      <w:r w:rsidRPr="00BF2F35">
        <w:tab/>
        <w:t xml:space="preserve">The Bureau </w:t>
      </w:r>
      <w:r w:rsidRPr="00BF2F35">
        <w:rPr>
          <w:lang w:eastAsia="zh-CN"/>
        </w:rPr>
        <w:t xml:space="preserve">prepared an extract of the General Rules of conferences, assemblies and meetings of the Union pertaining to the management of the meetings of SGs and made it available </w:t>
      </w:r>
      <w:hyperlink r:id="rId107" w:history="1">
        <w:r w:rsidRPr="00BF2F35">
          <w:rPr>
            <w:rStyle w:val="Hyperlink"/>
            <w:lang w:eastAsia="zh-CN"/>
          </w:rPr>
          <w:t>online</w:t>
        </w:r>
      </w:hyperlink>
      <w:r w:rsidRPr="00BF2F35">
        <w:rPr>
          <w:lang w:eastAsia="zh-CN"/>
        </w:rPr>
        <w:t>.</w:t>
      </w:r>
    </w:p>
    <w:p w14:paraId="0B918A65" w14:textId="77777777" w:rsidR="00131369" w:rsidRPr="00BF2F35" w:rsidRDefault="00131369" w:rsidP="00131369">
      <w:pPr>
        <w:pStyle w:val="enumlev1"/>
      </w:pPr>
      <w:r w:rsidRPr="00BF2F35">
        <w:t>−</w:t>
      </w:r>
      <w:r w:rsidRPr="00BF2F35">
        <w:tab/>
        <w:t xml:space="preserve">Regarding the </w:t>
      </w:r>
      <w:r w:rsidRPr="00BF2F35">
        <w:rPr>
          <w:lang w:eastAsia="zh-CN"/>
        </w:rPr>
        <w:t xml:space="preserve">format of Working Party agendas and Chair’s Reports, the Bureau had prepared examples of those and made them available </w:t>
      </w:r>
      <w:hyperlink r:id="rId108" w:history="1">
        <w:r w:rsidRPr="00BF2F35">
          <w:rPr>
            <w:rStyle w:val="Hyperlink"/>
            <w:lang w:eastAsia="zh-CN"/>
          </w:rPr>
          <w:t>online</w:t>
        </w:r>
      </w:hyperlink>
      <w:r w:rsidRPr="00BF2F35">
        <w:t>.</w:t>
      </w:r>
    </w:p>
    <w:p w14:paraId="40AB5726" w14:textId="460753FA" w:rsidR="0091066F" w:rsidRDefault="00131369" w:rsidP="00131369">
      <w:pPr>
        <w:pStyle w:val="enumlev1"/>
      </w:pPr>
      <w:r w:rsidRPr="00BF2F35">
        <w:t>−</w:t>
      </w:r>
      <w:r w:rsidRPr="00BF2F35">
        <w:tab/>
        <w:t xml:space="preserve">A report on challenges, overlaps and opportunities for improvement on the current scope of work is provided in Doc. </w:t>
      </w:r>
      <w:hyperlink r:id="rId109" w:history="1">
        <w:r w:rsidRPr="00BF2F35">
          <w:rPr>
            <w:rStyle w:val="Hyperlink"/>
          </w:rPr>
          <w:t>RAG/58</w:t>
        </w:r>
      </w:hyperlink>
      <w:r w:rsidRPr="00BF2F35">
        <w:t xml:space="preserve"> (</w:t>
      </w:r>
      <w:r w:rsidR="00607A30" w:rsidRPr="00BF2F35">
        <w:t>Annex 2 to Add. 1</w:t>
      </w:r>
      <w:r w:rsidRPr="00BF2F35">
        <w:t>).</w:t>
      </w:r>
    </w:p>
    <w:p w14:paraId="16FB3A30" w14:textId="12A88B97" w:rsidR="00131369" w:rsidRDefault="00131369" w:rsidP="00131369">
      <w:pPr>
        <w:pStyle w:val="enumlev1"/>
      </w:pPr>
      <w:r w:rsidRPr="00E55215">
        <w:lastRenderedPageBreak/>
        <w:t>−</w:t>
      </w:r>
      <w:r w:rsidRPr="00E55215">
        <w:tab/>
      </w:r>
      <w:r w:rsidR="00DE25C5">
        <w:t xml:space="preserve">A </w:t>
      </w:r>
      <w:r w:rsidRPr="00E55215">
        <w:t>circular letter invit</w:t>
      </w:r>
      <w:r w:rsidRPr="000E2ACF">
        <w:t xml:space="preserve">ing administrations to encourage experts and scientists of Academia and research institutions to participate and contribute to the work of </w:t>
      </w:r>
      <w:r>
        <w:t>SG</w:t>
      </w:r>
      <w:r w:rsidRPr="000E2ACF">
        <w:t xml:space="preserve"> 3</w:t>
      </w:r>
      <w:r w:rsidR="00DE25C5">
        <w:t xml:space="preserve"> was issued</w:t>
      </w:r>
      <w:r>
        <w:t xml:space="preserve"> (see </w:t>
      </w:r>
      <w:hyperlink r:id="rId110" w:history="1">
        <w:r w:rsidRPr="007702DC">
          <w:rPr>
            <w:rStyle w:val="Hyperlink"/>
          </w:rPr>
          <w:t>CACE/1151</w:t>
        </w:r>
      </w:hyperlink>
      <w:r>
        <w:t>)</w:t>
      </w:r>
      <w:r w:rsidRPr="00941916">
        <w:t>.</w:t>
      </w:r>
    </w:p>
    <w:p w14:paraId="28397498" w14:textId="77777777" w:rsidR="007B4FC4" w:rsidRDefault="007B4FC4" w:rsidP="007B4FC4">
      <w:pPr>
        <w:pStyle w:val="enumlev1"/>
      </w:pPr>
    </w:p>
    <w:p w14:paraId="53B7DA75" w14:textId="4794A2C3" w:rsidR="00762732" w:rsidRDefault="007B4FC4" w:rsidP="00867FC3">
      <w:pPr>
        <w:jc w:val="center"/>
      </w:pPr>
      <w:r w:rsidRPr="00FA67AE">
        <w:t>______________</w:t>
      </w:r>
    </w:p>
    <w:sectPr w:rsidR="00762732" w:rsidSect="00867FC3">
      <w:headerReference w:type="default" r:id="rId111"/>
      <w:headerReference w:type="first" r:id="rId112"/>
      <w:pgSz w:w="11907" w:h="16840" w:code="9"/>
      <w:pgMar w:top="1094" w:right="1094" w:bottom="1094" w:left="1094" w:header="476" w:footer="4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5922" w14:textId="77777777" w:rsidR="005808C0" w:rsidRDefault="005808C0">
      <w:r>
        <w:separator/>
      </w:r>
    </w:p>
  </w:endnote>
  <w:endnote w:type="continuationSeparator" w:id="0">
    <w:p w14:paraId="1657DB97" w14:textId="77777777" w:rsidR="005808C0" w:rsidRDefault="005808C0">
      <w:r>
        <w:continuationSeparator/>
      </w:r>
    </w:p>
  </w:endnote>
  <w:endnote w:type="continuationNotice" w:id="1">
    <w:p w14:paraId="0178AC69" w14:textId="77777777" w:rsidR="005808C0" w:rsidRDefault="005808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CBC" w14:textId="77777777" w:rsidR="005808C0" w:rsidRDefault="005808C0">
      <w:r>
        <w:t>____________________</w:t>
      </w:r>
    </w:p>
  </w:footnote>
  <w:footnote w:type="continuationSeparator" w:id="0">
    <w:p w14:paraId="4CAFF5DC" w14:textId="77777777" w:rsidR="005808C0" w:rsidRDefault="005808C0">
      <w:r>
        <w:continuationSeparator/>
      </w:r>
    </w:p>
  </w:footnote>
  <w:footnote w:type="continuationNotice" w:id="1">
    <w:p w14:paraId="322DA562" w14:textId="77777777" w:rsidR="005808C0" w:rsidRDefault="005808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40981"/>
      <w:docPartObj>
        <w:docPartGallery w:val="Page Numbers (Top of Page)"/>
        <w:docPartUnique/>
      </w:docPartObj>
    </w:sdtPr>
    <w:sdtEndPr/>
    <w:sdtContent>
      <w:p w14:paraId="798316A4" w14:textId="77777777" w:rsidR="00A4545E" w:rsidRPr="00773DF4" w:rsidRDefault="00A4545E" w:rsidP="00773DF4">
        <w:pPr>
          <w:pStyle w:val="Header"/>
        </w:pPr>
        <w:r w:rsidRPr="00773DF4">
          <w:fldChar w:fldCharType="begin"/>
        </w:r>
        <w:r w:rsidRPr="00773DF4">
          <w:instrText xml:space="preserve"> PAGE   \* MERGEFORMAT </w:instrText>
        </w:r>
        <w:r w:rsidRPr="00773DF4">
          <w:fldChar w:fldCharType="separate"/>
        </w:r>
        <w:r>
          <w:t>1</w:t>
        </w:r>
        <w:r w:rsidRPr="00773DF4">
          <w:fldChar w:fldCharType="end"/>
        </w:r>
      </w:p>
      <w:p w14:paraId="35088737" w14:textId="14586E5E" w:rsidR="00A4545E" w:rsidRPr="00773DF4" w:rsidRDefault="00A4545E" w:rsidP="00773DF4">
        <w:pPr>
          <w:pStyle w:val="Header"/>
        </w:pPr>
        <w:r w:rsidRPr="00773DF4">
          <w:rPr>
            <w:lang w:val="es-ES"/>
          </w:rPr>
          <w:t>RAG/</w:t>
        </w:r>
        <w:r>
          <w:rPr>
            <w:lang w:val="es-ES"/>
          </w:rPr>
          <w:t>58(Add.1)</w:t>
        </w:r>
        <w:r w:rsidRPr="00773DF4">
          <w:rPr>
            <w:lang w:val="es-ES"/>
          </w:rPr>
          <w:t>-E</w:t>
        </w:r>
      </w:p>
    </w:sdtContent>
  </w:sdt>
  <w:p w14:paraId="233829B7" w14:textId="77777777" w:rsidR="00A4545E" w:rsidRDefault="00A45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8964"/>
      <w:docPartObj>
        <w:docPartGallery w:val="Page Numbers (Top of Page)"/>
        <w:docPartUnique/>
      </w:docPartObj>
    </w:sdtPr>
    <w:sdtEndPr/>
    <w:sdtContent>
      <w:p w14:paraId="5B426087" w14:textId="23E70214" w:rsidR="00FD57CF" w:rsidRDefault="00FD57CF" w:rsidP="00FD57CF">
        <w:pPr>
          <w:pStyle w:val="Header"/>
        </w:pPr>
      </w:p>
      <w:p w14:paraId="1C7E122E" w14:textId="38A983AF" w:rsidR="00A4545E" w:rsidRPr="00773DF4" w:rsidRDefault="006C2069" w:rsidP="00A4545E">
        <w:pPr>
          <w:pStyle w:val="Header"/>
        </w:pPr>
      </w:p>
    </w:sdtContent>
  </w:sdt>
  <w:p w14:paraId="2438AA71" w14:textId="77777777" w:rsidR="00A4545E" w:rsidRDefault="00A4545E" w:rsidP="00A45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4532823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5F2"/>
    <w:rsid w:val="00001F7D"/>
    <w:rsid w:val="00002751"/>
    <w:rsid w:val="00004409"/>
    <w:rsid w:val="0000549A"/>
    <w:rsid w:val="00012C0B"/>
    <w:rsid w:val="00014DD4"/>
    <w:rsid w:val="00016387"/>
    <w:rsid w:val="00020560"/>
    <w:rsid w:val="0002295E"/>
    <w:rsid w:val="00023AC3"/>
    <w:rsid w:val="00030014"/>
    <w:rsid w:val="00030E03"/>
    <w:rsid w:val="00033E60"/>
    <w:rsid w:val="00035AF0"/>
    <w:rsid w:val="00035DC7"/>
    <w:rsid w:val="000417B1"/>
    <w:rsid w:val="00042191"/>
    <w:rsid w:val="00045DBC"/>
    <w:rsid w:val="000470B8"/>
    <w:rsid w:val="00056354"/>
    <w:rsid w:val="00060403"/>
    <w:rsid w:val="000606D2"/>
    <w:rsid w:val="000618CC"/>
    <w:rsid w:val="00071376"/>
    <w:rsid w:val="000806AE"/>
    <w:rsid w:val="0008276C"/>
    <w:rsid w:val="00082B8C"/>
    <w:rsid w:val="00086062"/>
    <w:rsid w:val="000913C1"/>
    <w:rsid w:val="00092639"/>
    <w:rsid w:val="00093BB2"/>
    <w:rsid w:val="00093C73"/>
    <w:rsid w:val="00093E90"/>
    <w:rsid w:val="00094D9C"/>
    <w:rsid w:val="00096403"/>
    <w:rsid w:val="000979B3"/>
    <w:rsid w:val="000A0947"/>
    <w:rsid w:val="000A1596"/>
    <w:rsid w:val="000A369E"/>
    <w:rsid w:val="000B1EB5"/>
    <w:rsid w:val="000B41EA"/>
    <w:rsid w:val="000B498F"/>
    <w:rsid w:val="000B4C20"/>
    <w:rsid w:val="000B6085"/>
    <w:rsid w:val="000B6416"/>
    <w:rsid w:val="000B6EB7"/>
    <w:rsid w:val="000B73D5"/>
    <w:rsid w:val="000C0049"/>
    <w:rsid w:val="000C144A"/>
    <w:rsid w:val="000C6BEC"/>
    <w:rsid w:val="000C6C5B"/>
    <w:rsid w:val="000D0CF0"/>
    <w:rsid w:val="000D17E1"/>
    <w:rsid w:val="000D1B39"/>
    <w:rsid w:val="000D597E"/>
    <w:rsid w:val="000D701A"/>
    <w:rsid w:val="000E0177"/>
    <w:rsid w:val="000E1AD7"/>
    <w:rsid w:val="000E27D4"/>
    <w:rsid w:val="000E62DA"/>
    <w:rsid w:val="000F134A"/>
    <w:rsid w:val="000F2431"/>
    <w:rsid w:val="000F49E6"/>
    <w:rsid w:val="0010310F"/>
    <w:rsid w:val="00103F3E"/>
    <w:rsid w:val="00107049"/>
    <w:rsid w:val="0012366C"/>
    <w:rsid w:val="00123B09"/>
    <w:rsid w:val="0012527D"/>
    <w:rsid w:val="00125914"/>
    <w:rsid w:val="00131369"/>
    <w:rsid w:val="00131612"/>
    <w:rsid w:val="00132648"/>
    <w:rsid w:val="00132ADB"/>
    <w:rsid w:val="001377D6"/>
    <w:rsid w:val="001454A5"/>
    <w:rsid w:val="00153A66"/>
    <w:rsid w:val="00154104"/>
    <w:rsid w:val="00156931"/>
    <w:rsid w:val="001570F5"/>
    <w:rsid w:val="00160EF6"/>
    <w:rsid w:val="001632FD"/>
    <w:rsid w:val="001662AA"/>
    <w:rsid w:val="00171B9B"/>
    <w:rsid w:val="001732C2"/>
    <w:rsid w:val="00176705"/>
    <w:rsid w:val="00176961"/>
    <w:rsid w:val="00176EE7"/>
    <w:rsid w:val="00183705"/>
    <w:rsid w:val="00185432"/>
    <w:rsid w:val="001915D5"/>
    <w:rsid w:val="001A0041"/>
    <w:rsid w:val="001A0BF6"/>
    <w:rsid w:val="001A54E2"/>
    <w:rsid w:val="001B1863"/>
    <w:rsid w:val="001B1F14"/>
    <w:rsid w:val="001B2389"/>
    <w:rsid w:val="001B24FA"/>
    <w:rsid w:val="001B3530"/>
    <w:rsid w:val="001B3781"/>
    <w:rsid w:val="001B6CDA"/>
    <w:rsid w:val="001B7847"/>
    <w:rsid w:val="001C4D19"/>
    <w:rsid w:val="001C7519"/>
    <w:rsid w:val="001D0A6A"/>
    <w:rsid w:val="001D2FC7"/>
    <w:rsid w:val="001D5147"/>
    <w:rsid w:val="001D64B7"/>
    <w:rsid w:val="001D7994"/>
    <w:rsid w:val="001E0F32"/>
    <w:rsid w:val="001E13D2"/>
    <w:rsid w:val="001E41A0"/>
    <w:rsid w:val="001E5DC3"/>
    <w:rsid w:val="001E78A0"/>
    <w:rsid w:val="001F02A5"/>
    <w:rsid w:val="001F1D58"/>
    <w:rsid w:val="00202A60"/>
    <w:rsid w:val="00202F28"/>
    <w:rsid w:val="00204D01"/>
    <w:rsid w:val="00207A74"/>
    <w:rsid w:val="0021060E"/>
    <w:rsid w:val="002123ED"/>
    <w:rsid w:val="00214B39"/>
    <w:rsid w:val="00216219"/>
    <w:rsid w:val="00220F48"/>
    <w:rsid w:val="002217F4"/>
    <w:rsid w:val="00222276"/>
    <w:rsid w:val="00223E68"/>
    <w:rsid w:val="002308AD"/>
    <w:rsid w:val="0023494C"/>
    <w:rsid w:val="00234E0B"/>
    <w:rsid w:val="00235C73"/>
    <w:rsid w:val="00235EB7"/>
    <w:rsid w:val="002368A0"/>
    <w:rsid w:val="00236E44"/>
    <w:rsid w:val="00237E22"/>
    <w:rsid w:val="00237F1D"/>
    <w:rsid w:val="0024117A"/>
    <w:rsid w:val="00242152"/>
    <w:rsid w:val="00242295"/>
    <w:rsid w:val="00242539"/>
    <w:rsid w:val="00243A90"/>
    <w:rsid w:val="00244A49"/>
    <w:rsid w:val="00244B06"/>
    <w:rsid w:val="002463B1"/>
    <w:rsid w:val="00246D24"/>
    <w:rsid w:val="0024791A"/>
    <w:rsid w:val="00247A18"/>
    <w:rsid w:val="0025131C"/>
    <w:rsid w:val="00253AFB"/>
    <w:rsid w:val="0025559C"/>
    <w:rsid w:val="00255CED"/>
    <w:rsid w:val="00256CBE"/>
    <w:rsid w:val="0025739A"/>
    <w:rsid w:val="00260409"/>
    <w:rsid w:val="002613F0"/>
    <w:rsid w:val="0026189A"/>
    <w:rsid w:val="00262733"/>
    <w:rsid w:val="00264B2E"/>
    <w:rsid w:val="00264BC7"/>
    <w:rsid w:val="002666EE"/>
    <w:rsid w:val="002706EE"/>
    <w:rsid w:val="00271373"/>
    <w:rsid w:val="00271B43"/>
    <w:rsid w:val="002763E5"/>
    <w:rsid w:val="002774E4"/>
    <w:rsid w:val="00282D1E"/>
    <w:rsid w:val="00283FDA"/>
    <w:rsid w:val="0028452B"/>
    <w:rsid w:val="0029066F"/>
    <w:rsid w:val="00294C3D"/>
    <w:rsid w:val="00296BB1"/>
    <w:rsid w:val="002A6D27"/>
    <w:rsid w:val="002A70F8"/>
    <w:rsid w:val="002B10F0"/>
    <w:rsid w:val="002B4098"/>
    <w:rsid w:val="002B60F7"/>
    <w:rsid w:val="002B6C7C"/>
    <w:rsid w:val="002B79F2"/>
    <w:rsid w:val="002B7E67"/>
    <w:rsid w:val="002B7EEE"/>
    <w:rsid w:val="002C094F"/>
    <w:rsid w:val="002C467F"/>
    <w:rsid w:val="002C721B"/>
    <w:rsid w:val="002C74B3"/>
    <w:rsid w:val="002D057B"/>
    <w:rsid w:val="002D0E3A"/>
    <w:rsid w:val="002D1E90"/>
    <w:rsid w:val="002D33DC"/>
    <w:rsid w:val="002D6A7B"/>
    <w:rsid w:val="002D781B"/>
    <w:rsid w:val="002E2201"/>
    <w:rsid w:val="002E4E50"/>
    <w:rsid w:val="002E571C"/>
    <w:rsid w:val="002E60FE"/>
    <w:rsid w:val="002F1B3C"/>
    <w:rsid w:val="002F4DA3"/>
    <w:rsid w:val="002F70A9"/>
    <w:rsid w:val="002F7238"/>
    <w:rsid w:val="003010EF"/>
    <w:rsid w:val="00301212"/>
    <w:rsid w:val="00303F15"/>
    <w:rsid w:val="00304DCD"/>
    <w:rsid w:val="00310C34"/>
    <w:rsid w:val="00314550"/>
    <w:rsid w:val="00314DA2"/>
    <w:rsid w:val="0031628E"/>
    <w:rsid w:val="00321191"/>
    <w:rsid w:val="0032489E"/>
    <w:rsid w:val="00324C82"/>
    <w:rsid w:val="00325E94"/>
    <w:rsid w:val="00325EB8"/>
    <w:rsid w:val="0032701A"/>
    <w:rsid w:val="003329D8"/>
    <w:rsid w:val="00333175"/>
    <w:rsid w:val="0033459B"/>
    <w:rsid w:val="0033469E"/>
    <w:rsid w:val="00334DC6"/>
    <w:rsid w:val="00337165"/>
    <w:rsid w:val="003373A7"/>
    <w:rsid w:val="003409FE"/>
    <w:rsid w:val="003445F1"/>
    <w:rsid w:val="00351F99"/>
    <w:rsid w:val="00356C3D"/>
    <w:rsid w:val="00363545"/>
    <w:rsid w:val="00370789"/>
    <w:rsid w:val="003727E6"/>
    <w:rsid w:val="00373A29"/>
    <w:rsid w:val="00373C42"/>
    <w:rsid w:val="00373E29"/>
    <w:rsid w:val="00382C5E"/>
    <w:rsid w:val="00383B31"/>
    <w:rsid w:val="00385DB8"/>
    <w:rsid w:val="003909F2"/>
    <w:rsid w:val="003940AF"/>
    <w:rsid w:val="003A6BF8"/>
    <w:rsid w:val="003A7B7A"/>
    <w:rsid w:val="003B1EBD"/>
    <w:rsid w:val="003B3A06"/>
    <w:rsid w:val="003B4CF8"/>
    <w:rsid w:val="003B5204"/>
    <w:rsid w:val="003B5A77"/>
    <w:rsid w:val="003C1373"/>
    <w:rsid w:val="003C1A49"/>
    <w:rsid w:val="003C1E67"/>
    <w:rsid w:val="003C3121"/>
    <w:rsid w:val="003C7A8F"/>
    <w:rsid w:val="003D068D"/>
    <w:rsid w:val="003D08F7"/>
    <w:rsid w:val="003D0977"/>
    <w:rsid w:val="003D2340"/>
    <w:rsid w:val="003D4CEC"/>
    <w:rsid w:val="003D4F32"/>
    <w:rsid w:val="003D5E5A"/>
    <w:rsid w:val="003D6845"/>
    <w:rsid w:val="003D7C7F"/>
    <w:rsid w:val="003E1772"/>
    <w:rsid w:val="003E2CE2"/>
    <w:rsid w:val="003E4607"/>
    <w:rsid w:val="003E6A0D"/>
    <w:rsid w:val="003E7D96"/>
    <w:rsid w:val="003F4B73"/>
    <w:rsid w:val="003F7318"/>
    <w:rsid w:val="00410F0F"/>
    <w:rsid w:val="00411BF2"/>
    <w:rsid w:val="00414C38"/>
    <w:rsid w:val="0041522A"/>
    <w:rsid w:val="00420D35"/>
    <w:rsid w:val="00420F57"/>
    <w:rsid w:val="00422D51"/>
    <w:rsid w:val="004233A1"/>
    <w:rsid w:val="004308BE"/>
    <w:rsid w:val="00430B74"/>
    <w:rsid w:val="00433426"/>
    <w:rsid w:val="00433C90"/>
    <w:rsid w:val="004358DF"/>
    <w:rsid w:val="0043685E"/>
    <w:rsid w:val="00437BA5"/>
    <w:rsid w:val="004408F9"/>
    <w:rsid w:val="004439FC"/>
    <w:rsid w:val="00443CB4"/>
    <w:rsid w:val="0044582B"/>
    <w:rsid w:val="0044684E"/>
    <w:rsid w:val="00446A43"/>
    <w:rsid w:val="004473FB"/>
    <w:rsid w:val="00450523"/>
    <w:rsid w:val="0045107E"/>
    <w:rsid w:val="00453460"/>
    <w:rsid w:val="0045410D"/>
    <w:rsid w:val="004567F7"/>
    <w:rsid w:val="00460139"/>
    <w:rsid w:val="0046083D"/>
    <w:rsid w:val="00462934"/>
    <w:rsid w:val="00463A4B"/>
    <w:rsid w:val="00466435"/>
    <w:rsid w:val="00466892"/>
    <w:rsid w:val="00467EA7"/>
    <w:rsid w:val="00470F6A"/>
    <w:rsid w:val="00474781"/>
    <w:rsid w:val="00481551"/>
    <w:rsid w:val="004855FF"/>
    <w:rsid w:val="00494B5F"/>
    <w:rsid w:val="004979AB"/>
    <w:rsid w:val="004A0B11"/>
    <w:rsid w:val="004A0D27"/>
    <w:rsid w:val="004A3189"/>
    <w:rsid w:val="004B148A"/>
    <w:rsid w:val="004B55DB"/>
    <w:rsid w:val="004B6F40"/>
    <w:rsid w:val="004B7138"/>
    <w:rsid w:val="004B7C97"/>
    <w:rsid w:val="004C12BA"/>
    <w:rsid w:val="004C2CFA"/>
    <w:rsid w:val="004C461F"/>
    <w:rsid w:val="004C5038"/>
    <w:rsid w:val="004C5392"/>
    <w:rsid w:val="004C57E4"/>
    <w:rsid w:val="004C5E0E"/>
    <w:rsid w:val="004D0D88"/>
    <w:rsid w:val="004D1065"/>
    <w:rsid w:val="004D3DEF"/>
    <w:rsid w:val="004D5A29"/>
    <w:rsid w:val="004D76E4"/>
    <w:rsid w:val="004E1911"/>
    <w:rsid w:val="004E3051"/>
    <w:rsid w:val="004E4DF2"/>
    <w:rsid w:val="004E6B06"/>
    <w:rsid w:val="004F0848"/>
    <w:rsid w:val="004F2AE2"/>
    <w:rsid w:val="004F4B99"/>
    <w:rsid w:val="005027C7"/>
    <w:rsid w:val="00505893"/>
    <w:rsid w:val="00507DA3"/>
    <w:rsid w:val="005102A3"/>
    <w:rsid w:val="0051070C"/>
    <w:rsid w:val="00512600"/>
    <w:rsid w:val="00513465"/>
    <w:rsid w:val="0051352B"/>
    <w:rsid w:val="0051782D"/>
    <w:rsid w:val="0052011E"/>
    <w:rsid w:val="0052415C"/>
    <w:rsid w:val="00524909"/>
    <w:rsid w:val="005254B8"/>
    <w:rsid w:val="0052590D"/>
    <w:rsid w:val="005269D4"/>
    <w:rsid w:val="005302D8"/>
    <w:rsid w:val="00530368"/>
    <w:rsid w:val="00534F65"/>
    <w:rsid w:val="005370E4"/>
    <w:rsid w:val="00542676"/>
    <w:rsid w:val="00542C86"/>
    <w:rsid w:val="00542EFF"/>
    <w:rsid w:val="005436D1"/>
    <w:rsid w:val="005523BD"/>
    <w:rsid w:val="00552632"/>
    <w:rsid w:val="005533DF"/>
    <w:rsid w:val="005542B8"/>
    <w:rsid w:val="005551A6"/>
    <w:rsid w:val="0055658E"/>
    <w:rsid w:val="00562D2C"/>
    <w:rsid w:val="00563C3B"/>
    <w:rsid w:val="005647F7"/>
    <w:rsid w:val="00565F4D"/>
    <w:rsid w:val="00566F7C"/>
    <w:rsid w:val="005678CE"/>
    <w:rsid w:val="00567C33"/>
    <w:rsid w:val="0057592F"/>
    <w:rsid w:val="00576E87"/>
    <w:rsid w:val="00577624"/>
    <w:rsid w:val="005808C0"/>
    <w:rsid w:val="00580A32"/>
    <w:rsid w:val="005836B1"/>
    <w:rsid w:val="00585975"/>
    <w:rsid w:val="00586D51"/>
    <w:rsid w:val="00590A41"/>
    <w:rsid w:val="00592D9C"/>
    <w:rsid w:val="005931E8"/>
    <w:rsid w:val="00597657"/>
    <w:rsid w:val="00597CC9"/>
    <w:rsid w:val="005A15E9"/>
    <w:rsid w:val="005A3F6E"/>
    <w:rsid w:val="005A5619"/>
    <w:rsid w:val="005A7E0F"/>
    <w:rsid w:val="005B0F53"/>
    <w:rsid w:val="005B2A6F"/>
    <w:rsid w:val="005B2C58"/>
    <w:rsid w:val="005B4306"/>
    <w:rsid w:val="005B5DAB"/>
    <w:rsid w:val="005B6A03"/>
    <w:rsid w:val="005B7B90"/>
    <w:rsid w:val="005C3F25"/>
    <w:rsid w:val="005C63E4"/>
    <w:rsid w:val="005C79BE"/>
    <w:rsid w:val="005D5611"/>
    <w:rsid w:val="005E31E0"/>
    <w:rsid w:val="005E3487"/>
    <w:rsid w:val="005E5BA0"/>
    <w:rsid w:val="005F1710"/>
    <w:rsid w:val="005F2494"/>
    <w:rsid w:val="005F30CD"/>
    <w:rsid w:val="005F76EC"/>
    <w:rsid w:val="006013A7"/>
    <w:rsid w:val="00601527"/>
    <w:rsid w:val="006033A0"/>
    <w:rsid w:val="00603F65"/>
    <w:rsid w:val="0060408D"/>
    <w:rsid w:val="00605351"/>
    <w:rsid w:val="00605947"/>
    <w:rsid w:val="00607A30"/>
    <w:rsid w:val="00610161"/>
    <w:rsid w:val="00611607"/>
    <w:rsid w:val="006116F1"/>
    <w:rsid w:val="006133EA"/>
    <w:rsid w:val="0061729F"/>
    <w:rsid w:val="0062185A"/>
    <w:rsid w:val="00623DB4"/>
    <w:rsid w:val="00624F72"/>
    <w:rsid w:val="006300C8"/>
    <w:rsid w:val="00630D4F"/>
    <w:rsid w:val="0063711B"/>
    <w:rsid w:val="0064453D"/>
    <w:rsid w:val="00646775"/>
    <w:rsid w:val="006507CD"/>
    <w:rsid w:val="0065168F"/>
    <w:rsid w:val="006516F5"/>
    <w:rsid w:val="0065554F"/>
    <w:rsid w:val="00655E47"/>
    <w:rsid w:val="00656189"/>
    <w:rsid w:val="00661AA6"/>
    <w:rsid w:val="006642A6"/>
    <w:rsid w:val="00664FAC"/>
    <w:rsid w:val="00666D98"/>
    <w:rsid w:val="006711CA"/>
    <w:rsid w:val="006716D9"/>
    <w:rsid w:val="00673252"/>
    <w:rsid w:val="006744D0"/>
    <w:rsid w:val="00675527"/>
    <w:rsid w:val="0067679B"/>
    <w:rsid w:val="00677B58"/>
    <w:rsid w:val="00681437"/>
    <w:rsid w:val="0068216E"/>
    <w:rsid w:val="00683F34"/>
    <w:rsid w:val="00686697"/>
    <w:rsid w:val="00691ECC"/>
    <w:rsid w:val="006925FC"/>
    <w:rsid w:val="00692A60"/>
    <w:rsid w:val="00692EA3"/>
    <w:rsid w:val="0069388B"/>
    <w:rsid w:val="00697A44"/>
    <w:rsid w:val="006A2AA0"/>
    <w:rsid w:val="006A2F5F"/>
    <w:rsid w:val="006A390D"/>
    <w:rsid w:val="006A3E62"/>
    <w:rsid w:val="006A6EFE"/>
    <w:rsid w:val="006A7698"/>
    <w:rsid w:val="006B4CFB"/>
    <w:rsid w:val="006B5F12"/>
    <w:rsid w:val="006B64E7"/>
    <w:rsid w:val="006B7B00"/>
    <w:rsid w:val="006C00B5"/>
    <w:rsid w:val="006C1DC1"/>
    <w:rsid w:val="006C2069"/>
    <w:rsid w:val="006C3B0D"/>
    <w:rsid w:val="006C688D"/>
    <w:rsid w:val="006D4672"/>
    <w:rsid w:val="006D4714"/>
    <w:rsid w:val="006E16F5"/>
    <w:rsid w:val="006E2465"/>
    <w:rsid w:val="006E4E32"/>
    <w:rsid w:val="006F120F"/>
    <w:rsid w:val="006F1A86"/>
    <w:rsid w:val="006F3128"/>
    <w:rsid w:val="006F5907"/>
    <w:rsid w:val="006F63CD"/>
    <w:rsid w:val="007032DB"/>
    <w:rsid w:val="007060D7"/>
    <w:rsid w:val="00707E66"/>
    <w:rsid w:val="007109BF"/>
    <w:rsid w:val="007130A2"/>
    <w:rsid w:val="00713B1B"/>
    <w:rsid w:val="00713E9F"/>
    <w:rsid w:val="0072259B"/>
    <w:rsid w:val="00724D45"/>
    <w:rsid w:val="00724DA6"/>
    <w:rsid w:val="00725496"/>
    <w:rsid w:val="0072619A"/>
    <w:rsid w:val="00727512"/>
    <w:rsid w:val="00730D90"/>
    <w:rsid w:val="0073398E"/>
    <w:rsid w:val="007370E1"/>
    <w:rsid w:val="00741591"/>
    <w:rsid w:val="007434B6"/>
    <w:rsid w:val="00745775"/>
    <w:rsid w:val="007458AA"/>
    <w:rsid w:val="007464E1"/>
    <w:rsid w:val="00746923"/>
    <w:rsid w:val="00746A34"/>
    <w:rsid w:val="00751E88"/>
    <w:rsid w:val="007526A0"/>
    <w:rsid w:val="0075529E"/>
    <w:rsid w:val="00760D5E"/>
    <w:rsid w:val="00762732"/>
    <w:rsid w:val="007630F0"/>
    <w:rsid w:val="00763EF0"/>
    <w:rsid w:val="0076523A"/>
    <w:rsid w:val="007660FA"/>
    <w:rsid w:val="00766EB4"/>
    <w:rsid w:val="007702E7"/>
    <w:rsid w:val="00772952"/>
    <w:rsid w:val="00772D81"/>
    <w:rsid w:val="00773DF4"/>
    <w:rsid w:val="00773FEA"/>
    <w:rsid w:val="0077555B"/>
    <w:rsid w:val="007759E5"/>
    <w:rsid w:val="00775EFB"/>
    <w:rsid w:val="00776442"/>
    <w:rsid w:val="0077652A"/>
    <w:rsid w:val="00780BCC"/>
    <w:rsid w:val="00780FED"/>
    <w:rsid w:val="00786385"/>
    <w:rsid w:val="00792C77"/>
    <w:rsid w:val="007934C9"/>
    <w:rsid w:val="007935B5"/>
    <w:rsid w:val="007955F8"/>
    <w:rsid w:val="007A2AB4"/>
    <w:rsid w:val="007A3797"/>
    <w:rsid w:val="007A6BCD"/>
    <w:rsid w:val="007A7DBB"/>
    <w:rsid w:val="007B1649"/>
    <w:rsid w:val="007B33A9"/>
    <w:rsid w:val="007B449D"/>
    <w:rsid w:val="007B4FC4"/>
    <w:rsid w:val="007B54B6"/>
    <w:rsid w:val="007B5967"/>
    <w:rsid w:val="007C1AD2"/>
    <w:rsid w:val="007C23D5"/>
    <w:rsid w:val="007C26B4"/>
    <w:rsid w:val="007C2D8A"/>
    <w:rsid w:val="007D0F10"/>
    <w:rsid w:val="007D10BF"/>
    <w:rsid w:val="007D23B9"/>
    <w:rsid w:val="007D2F19"/>
    <w:rsid w:val="007D453C"/>
    <w:rsid w:val="007D489D"/>
    <w:rsid w:val="007D48C2"/>
    <w:rsid w:val="007D4B75"/>
    <w:rsid w:val="007D71B2"/>
    <w:rsid w:val="007E104F"/>
    <w:rsid w:val="007E6629"/>
    <w:rsid w:val="007F0873"/>
    <w:rsid w:val="007F44C5"/>
    <w:rsid w:val="007F5154"/>
    <w:rsid w:val="007F55BA"/>
    <w:rsid w:val="007F5693"/>
    <w:rsid w:val="007F5C6A"/>
    <w:rsid w:val="008027A8"/>
    <w:rsid w:val="00802AD0"/>
    <w:rsid w:val="008036C5"/>
    <w:rsid w:val="00806E63"/>
    <w:rsid w:val="0081028D"/>
    <w:rsid w:val="00811F5F"/>
    <w:rsid w:val="0081470B"/>
    <w:rsid w:val="00814C63"/>
    <w:rsid w:val="00814FB5"/>
    <w:rsid w:val="00815753"/>
    <w:rsid w:val="008163DE"/>
    <w:rsid w:val="0082494D"/>
    <w:rsid w:val="00827929"/>
    <w:rsid w:val="00835256"/>
    <w:rsid w:val="00836235"/>
    <w:rsid w:val="0083756E"/>
    <w:rsid w:val="0084650C"/>
    <w:rsid w:val="00847379"/>
    <w:rsid w:val="0085339E"/>
    <w:rsid w:val="008547E2"/>
    <w:rsid w:val="00856FA6"/>
    <w:rsid w:val="0085795F"/>
    <w:rsid w:val="00857D92"/>
    <w:rsid w:val="00860FBB"/>
    <w:rsid w:val="008610ED"/>
    <w:rsid w:val="00861C9D"/>
    <w:rsid w:val="00862792"/>
    <w:rsid w:val="008649F9"/>
    <w:rsid w:val="008664B7"/>
    <w:rsid w:val="00867FC3"/>
    <w:rsid w:val="00871542"/>
    <w:rsid w:val="00874993"/>
    <w:rsid w:val="008762CB"/>
    <w:rsid w:val="00881028"/>
    <w:rsid w:val="008817E0"/>
    <w:rsid w:val="00881E43"/>
    <w:rsid w:val="00882F31"/>
    <w:rsid w:val="00883DA0"/>
    <w:rsid w:val="00884943"/>
    <w:rsid w:val="00885419"/>
    <w:rsid w:val="00885C9F"/>
    <w:rsid w:val="00890ED2"/>
    <w:rsid w:val="008916F9"/>
    <w:rsid w:val="00892468"/>
    <w:rsid w:val="00892CB4"/>
    <w:rsid w:val="00893155"/>
    <w:rsid w:val="0089342B"/>
    <w:rsid w:val="00895891"/>
    <w:rsid w:val="008A004A"/>
    <w:rsid w:val="008A1044"/>
    <w:rsid w:val="008A2850"/>
    <w:rsid w:val="008B399A"/>
    <w:rsid w:val="008B3F50"/>
    <w:rsid w:val="008B6575"/>
    <w:rsid w:val="008B7462"/>
    <w:rsid w:val="008C18B2"/>
    <w:rsid w:val="008C2BD9"/>
    <w:rsid w:val="008C2D04"/>
    <w:rsid w:val="008C4240"/>
    <w:rsid w:val="008C7D56"/>
    <w:rsid w:val="008D5718"/>
    <w:rsid w:val="008D574A"/>
    <w:rsid w:val="008D5760"/>
    <w:rsid w:val="008E2152"/>
    <w:rsid w:val="008F1179"/>
    <w:rsid w:val="008F3659"/>
    <w:rsid w:val="008F510D"/>
    <w:rsid w:val="008F5289"/>
    <w:rsid w:val="0090075E"/>
    <w:rsid w:val="009041F0"/>
    <w:rsid w:val="00904ED0"/>
    <w:rsid w:val="00906598"/>
    <w:rsid w:val="0090747F"/>
    <w:rsid w:val="009105E3"/>
    <w:rsid w:val="0091066F"/>
    <w:rsid w:val="00911C21"/>
    <w:rsid w:val="009129C5"/>
    <w:rsid w:val="009147CA"/>
    <w:rsid w:val="00921FEF"/>
    <w:rsid w:val="00923806"/>
    <w:rsid w:val="0092450A"/>
    <w:rsid w:val="009265AA"/>
    <w:rsid w:val="009317AC"/>
    <w:rsid w:val="00932B1B"/>
    <w:rsid w:val="00932B89"/>
    <w:rsid w:val="0093550E"/>
    <w:rsid w:val="00936B11"/>
    <w:rsid w:val="00936D88"/>
    <w:rsid w:val="00940146"/>
    <w:rsid w:val="009402C9"/>
    <w:rsid w:val="00943751"/>
    <w:rsid w:val="00944A11"/>
    <w:rsid w:val="009521E2"/>
    <w:rsid w:val="0095426A"/>
    <w:rsid w:val="00955BA7"/>
    <w:rsid w:val="00956793"/>
    <w:rsid w:val="0095796A"/>
    <w:rsid w:val="0096168D"/>
    <w:rsid w:val="00962930"/>
    <w:rsid w:val="00965A3F"/>
    <w:rsid w:val="00965FDC"/>
    <w:rsid w:val="0096603E"/>
    <w:rsid w:val="00966B24"/>
    <w:rsid w:val="00971BF2"/>
    <w:rsid w:val="009731E1"/>
    <w:rsid w:val="009751A6"/>
    <w:rsid w:val="0098118B"/>
    <w:rsid w:val="00981AA3"/>
    <w:rsid w:val="00981CB8"/>
    <w:rsid w:val="0098521B"/>
    <w:rsid w:val="009855D2"/>
    <w:rsid w:val="0098759E"/>
    <w:rsid w:val="0099022C"/>
    <w:rsid w:val="009922A7"/>
    <w:rsid w:val="00993553"/>
    <w:rsid w:val="00993F3D"/>
    <w:rsid w:val="009940FA"/>
    <w:rsid w:val="00994257"/>
    <w:rsid w:val="00995988"/>
    <w:rsid w:val="009A5421"/>
    <w:rsid w:val="009B1C16"/>
    <w:rsid w:val="009C0C62"/>
    <w:rsid w:val="009C42E9"/>
    <w:rsid w:val="009C5B19"/>
    <w:rsid w:val="009C5C81"/>
    <w:rsid w:val="009D1F82"/>
    <w:rsid w:val="009D27EC"/>
    <w:rsid w:val="009D6D14"/>
    <w:rsid w:val="009D6D9B"/>
    <w:rsid w:val="009E2178"/>
    <w:rsid w:val="009E317D"/>
    <w:rsid w:val="009E4F77"/>
    <w:rsid w:val="009E58BB"/>
    <w:rsid w:val="009E79BD"/>
    <w:rsid w:val="009F0DE0"/>
    <w:rsid w:val="009F0F7D"/>
    <w:rsid w:val="009F3393"/>
    <w:rsid w:val="009F3BB5"/>
    <w:rsid w:val="009F4E45"/>
    <w:rsid w:val="009F5566"/>
    <w:rsid w:val="009F6CC9"/>
    <w:rsid w:val="009F6FAB"/>
    <w:rsid w:val="00A03A24"/>
    <w:rsid w:val="00A074A1"/>
    <w:rsid w:val="00A10F14"/>
    <w:rsid w:val="00A1238C"/>
    <w:rsid w:val="00A154EE"/>
    <w:rsid w:val="00A15605"/>
    <w:rsid w:val="00A16707"/>
    <w:rsid w:val="00A16CB2"/>
    <w:rsid w:val="00A210C8"/>
    <w:rsid w:val="00A22264"/>
    <w:rsid w:val="00A22CA6"/>
    <w:rsid w:val="00A24461"/>
    <w:rsid w:val="00A265B9"/>
    <w:rsid w:val="00A300D8"/>
    <w:rsid w:val="00A309F8"/>
    <w:rsid w:val="00A324CA"/>
    <w:rsid w:val="00A33095"/>
    <w:rsid w:val="00A332D3"/>
    <w:rsid w:val="00A362AD"/>
    <w:rsid w:val="00A36753"/>
    <w:rsid w:val="00A37DEB"/>
    <w:rsid w:val="00A411EB"/>
    <w:rsid w:val="00A42D46"/>
    <w:rsid w:val="00A43C8E"/>
    <w:rsid w:val="00A4545E"/>
    <w:rsid w:val="00A457D6"/>
    <w:rsid w:val="00A47A31"/>
    <w:rsid w:val="00A47FE1"/>
    <w:rsid w:val="00A50470"/>
    <w:rsid w:val="00A51874"/>
    <w:rsid w:val="00A53BF3"/>
    <w:rsid w:val="00A54F7B"/>
    <w:rsid w:val="00A61978"/>
    <w:rsid w:val="00A67A4B"/>
    <w:rsid w:val="00A70FF6"/>
    <w:rsid w:val="00A730F7"/>
    <w:rsid w:val="00A7382A"/>
    <w:rsid w:val="00A7443B"/>
    <w:rsid w:val="00A74BBB"/>
    <w:rsid w:val="00A838DE"/>
    <w:rsid w:val="00A92A6A"/>
    <w:rsid w:val="00A95FFA"/>
    <w:rsid w:val="00A97EF1"/>
    <w:rsid w:val="00AA25E9"/>
    <w:rsid w:val="00AA2618"/>
    <w:rsid w:val="00AA31E4"/>
    <w:rsid w:val="00AA36B4"/>
    <w:rsid w:val="00AA3A45"/>
    <w:rsid w:val="00AA7D7D"/>
    <w:rsid w:val="00AB2536"/>
    <w:rsid w:val="00AB2556"/>
    <w:rsid w:val="00AB2F36"/>
    <w:rsid w:val="00AB4A85"/>
    <w:rsid w:val="00AB55AB"/>
    <w:rsid w:val="00AB6CF1"/>
    <w:rsid w:val="00AB7498"/>
    <w:rsid w:val="00AB788A"/>
    <w:rsid w:val="00AB7C89"/>
    <w:rsid w:val="00AC628A"/>
    <w:rsid w:val="00AC74EB"/>
    <w:rsid w:val="00AC754B"/>
    <w:rsid w:val="00AD27B7"/>
    <w:rsid w:val="00AE4BCF"/>
    <w:rsid w:val="00AE5D1F"/>
    <w:rsid w:val="00AF4E3F"/>
    <w:rsid w:val="00AF7CE7"/>
    <w:rsid w:val="00B06894"/>
    <w:rsid w:val="00B10503"/>
    <w:rsid w:val="00B113E8"/>
    <w:rsid w:val="00B20BC2"/>
    <w:rsid w:val="00B23B6C"/>
    <w:rsid w:val="00B25708"/>
    <w:rsid w:val="00B25C09"/>
    <w:rsid w:val="00B27590"/>
    <w:rsid w:val="00B27A4A"/>
    <w:rsid w:val="00B316F4"/>
    <w:rsid w:val="00B35067"/>
    <w:rsid w:val="00B35BE4"/>
    <w:rsid w:val="00B37444"/>
    <w:rsid w:val="00B40514"/>
    <w:rsid w:val="00B409FB"/>
    <w:rsid w:val="00B476FB"/>
    <w:rsid w:val="00B52992"/>
    <w:rsid w:val="00B53215"/>
    <w:rsid w:val="00B536C3"/>
    <w:rsid w:val="00B541C6"/>
    <w:rsid w:val="00B54B1C"/>
    <w:rsid w:val="00B56195"/>
    <w:rsid w:val="00B57A5D"/>
    <w:rsid w:val="00B60332"/>
    <w:rsid w:val="00B61960"/>
    <w:rsid w:val="00B66F51"/>
    <w:rsid w:val="00B70E14"/>
    <w:rsid w:val="00B71B53"/>
    <w:rsid w:val="00B8042E"/>
    <w:rsid w:val="00B80691"/>
    <w:rsid w:val="00B836AD"/>
    <w:rsid w:val="00B85DB3"/>
    <w:rsid w:val="00B8637F"/>
    <w:rsid w:val="00B86552"/>
    <w:rsid w:val="00B8777B"/>
    <w:rsid w:val="00B910DE"/>
    <w:rsid w:val="00B9613B"/>
    <w:rsid w:val="00B96D95"/>
    <w:rsid w:val="00BA0EBE"/>
    <w:rsid w:val="00BA1979"/>
    <w:rsid w:val="00BA266F"/>
    <w:rsid w:val="00BB2123"/>
    <w:rsid w:val="00BB2893"/>
    <w:rsid w:val="00BB451B"/>
    <w:rsid w:val="00BB4E7B"/>
    <w:rsid w:val="00BB4EB1"/>
    <w:rsid w:val="00BB4FBE"/>
    <w:rsid w:val="00BB6D87"/>
    <w:rsid w:val="00BC1F12"/>
    <w:rsid w:val="00BC1F85"/>
    <w:rsid w:val="00BC4E8C"/>
    <w:rsid w:val="00BC527C"/>
    <w:rsid w:val="00BC55E1"/>
    <w:rsid w:val="00BD1850"/>
    <w:rsid w:val="00BD29DC"/>
    <w:rsid w:val="00BD2AAE"/>
    <w:rsid w:val="00BD4258"/>
    <w:rsid w:val="00BD511D"/>
    <w:rsid w:val="00BD6C91"/>
    <w:rsid w:val="00BD716C"/>
    <w:rsid w:val="00BE3570"/>
    <w:rsid w:val="00BE62F2"/>
    <w:rsid w:val="00BE6491"/>
    <w:rsid w:val="00BE6FD9"/>
    <w:rsid w:val="00BF0A7E"/>
    <w:rsid w:val="00BF12B1"/>
    <w:rsid w:val="00BF2F35"/>
    <w:rsid w:val="00BF5D28"/>
    <w:rsid w:val="00BF7781"/>
    <w:rsid w:val="00BF7A2B"/>
    <w:rsid w:val="00C01E41"/>
    <w:rsid w:val="00C04B16"/>
    <w:rsid w:val="00C126C1"/>
    <w:rsid w:val="00C143FB"/>
    <w:rsid w:val="00C14EF1"/>
    <w:rsid w:val="00C17522"/>
    <w:rsid w:val="00C20185"/>
    <w:rsid w:val="00C20890"/>
    <w:rsid w:val="00C2188B"/>
    <w:rsid w:val="00C24845"/>
    <w:rsid w:val="00C261C7"/>
    <w:rsid w:val="00C2663D"/>
    <w:rsid w:val="00C268F4"/>
    <w:rsid w:val="00C30AA9"/>
    <w:rsid w:val="00C322C4"/>
    <w:rsid w:val="00C3637F"/>
    <w:rsid w:val="00C3677E"/>
    <w:rsid w:val="00C41A18"/>
    <w:rsid w:val="00C41A83"/>
    <w:rsid w:val="00C41A9E"/>
    <w:rsid w:val="00C42CE1"/>
    <w:rsid w:val="00C46508"/>
    <w:rsid w:val="00C47E4E"/>
    <w:rsid w:val="00C5073D"/>
    <w:rsid w:val="00C50D99"/>
    <w:rsid w:val="00C54DA9"/>
    <w:rsid w:val="00C63CD6"/>
    <w:rsid w:val="00C65955"/>
    <w:rsid w:val="00C72521"/>
    <w:rsid w:val="00C77A19"/>
    <w:rsid w:val="00C807F7"/>
    <w:rsid w:val="00C83043"/>
    <w:rsid w:val="00C83ECC"/>
    <w:rsid w:val="00C84996"/>
    <w:rsid w:val="00C868B9"/>
    <w:rsid w:val="00C8773B"/>
    <w:rsid w:val="00C92A0F"/>
    <w:rsid w:val="00C938A9"/>
    <w:rsid w:val="00C97025"/>
    <w:rsid w:val="00C9794F"/>
    <w:rsid w:val="00CA4427"/>
    <w:rsid w:val="00CB294D"/>
    <w:rsid w:val="00CB622D"/>
    <w:rsid w:val="00CB623F"/>
    <w:rsid w:val="00CB6E71"/>
    <w:rsid w:val="00CB7495"/>
    <w:rsid w:val="00CC005B"/>
    <w:rsid w:val="00CC0764"/>
    <w:rsid w:val="00CC1CB6"/>
    <w:rsid w:val="00CC1D49"/>
    <w:rsid w:val="00CC28F1"/>
    <w:rsid w:val="00CC4DF5"/>
    <w:rsid w:val="00CC5CD3"/>
    <w:rsid w:val="00CC7F9C"/>
    <w:rsid w:val="00CD007D"/>
    <w:rsid w:val="00CD4D80"/>
    <w:rsid w:val="00CD52BB"/>
    <w:rsid w:val="00CD569D"/>
    <w:rsid w:val="00CE366B"/>
    <w:rsid w:val="00CE4D4A"/>
    <w:rsid w:val="00CE57F2"/>
    <w:rsid w:val="00CE6093"/>
    <w:rsid w:val="00CF1432"/>
    <w:rsid w:val="00CF2149"/>
    <w:rsid w:val="00CF53D6"/>
    <w:rsid w:val="00CF6D38"/>
    <w:rsid w:val="00CF728F"/>
    <w:rsid w:val="00CF7532"/>
    <w:rsid w:val="00D01998"/>
    <w:rsid w:val="00D01D74"/>
    <w:rsid w:val="00D03E43"/>
    <w:rsid w:val="00D04DD7"/>
    <w:rsid w:val="00D107B6"/>
    <w:rsid w:val="00D12296"/>
    <w:rsid w:val="00D12CA8"/>
    <w:rsid w:val="00D16004"/>
    <w:rsid w:val="00D16B2F"/>
    <w:rsid w:val="00D201E7"/>
    <w:rsid w:val="00D211BC"/>
    <w:rsid w:val="00D21A4B"/>
    <w:rsid w:val="00D22853"/>
    <w:rsid w:val="00D25224"/>
    <w:rsid w:val="00D25A85"/>
    <w:rsid w:val="00D45D5E"/>
    <w:rsid w:val="00D46687"/>
    <w:rsid w:val="00D47185"/>
    <w:rsid w:val="00D47DD4"/>
    <w:rsid w:val="00D50B77"/>
    <w:rsid w:val="00D54BD1"/>
    <w:rsid w:val="00D615B8"/>
    <w:rsid w:val="00D61B38"/>
    <w:rsid w:val="00D6420E"/>
    <w:rsid w:val="00D66666"/>
    <w:rsid w:val="00D66C84"/>
    <w:rsid w:val="00D711C6"/>
    <w:rsid w:val="00D75015"/>
    <w:rsid w:val="00D770C4"/>
    <w:rsid w:val="00D77262"/>
    <w:rsid w:val="00D81801"/>
    <w:rsid w:val="00D87517"/>
    <w:rsid w:val="00D9033B"/>
    <w:rsid w:val="00D91395"/>
    <w:rsid w:val="00D95F54"/>
    <w:rsid w:val="00D961F7"/>
    <w:rsid w:val="00DA279C"/>
    <w:rsid w:val="00DA2B77"/>
    <w:rsid w:val="00DA7547"/>
    <w:rsid w:val="00DA78B6"/>
    <w:rsid w:val="00DB152E"/>
    <w:rsid w:val="00DB16C3"/>
    <w:rsid w:val="00DB1850"/>
    <w:rsid w:val="00DB2D21"/>
    <w:rsid w:val="00DB3D58"/>
    <w:rsid w:val="00DB48E7"/>
    <w:rsid w:val="00DB4F9C"/>
    <w:rsid w:val="00DB7BB1"/>
    <w:rsid w:val="00DC1588"/>
    <w:rsid w:val="00DC3B29"/>
    <w:rsid w:val="00DC3DEC"/>
    <w:rsid w:val="00DC71A2"/>
    <w:rsid w:val="00DD02E6"/>
    <w:rsid w:val="00DD1436"/>
    <w:rsid w:val="00DD3BF8"/>
    <w:rsid w:val="00DD40B8"/>
    <w:rsid w:val="00DD6AD1"/>
    <w:rsid w:val="00DE25C5"/>
    <w:rsid w:val="00DE4177"/>
    <w:rsid w:val="00DE4CAC"/>
    <w:rsid w:val="00DE5FA7"/>
    <w:rsid w:val="00DE7A0B"/>
    <w:rsid w:val="00DF23F6"/>
    <w:rsid w:val="00DF6F7C"/>
    <w:rsid w:val="00E0064F"/>
    <w:rsid w:val="00E00DC5"/>
    <w:rsid w:val="00E0223E"/>
    <w:rsid w:val="00E02DF4"/>
    <w:rsid w:val="00E03F23"/>
    <w:rsid w:val="00E16BEB"/>
    <w:rsid w:val="00E20BE9"/>
    <w:rsid w:val="00E2345B"/>
    <w:rsid w:val="00E237B6"/>
    <w:rsid w:val="00E247E2"/>
    <w:rsid w:val="00E261F5"/>
    <w:rsid w:val="00E27545"/>
    <w:rsid w:val="00E30D84"/>
    <w:rsid w:val="00E30E1B"/>
    <w:rsid w:val="00E31A8E"/>
    <w:rsid w:val="00E31B22"/>
    <w:rsid w:val="00E327F2"/>
    <w:rsid w:val="00E36D3F"/>
    <w:rsid w:val="00E427BC"/>
    <w:rsid w:val="00E45E0C"/>
    <w:rsid w:val="00E508A2"/>
    <w:rsid w:val="00E5174D"/>
    <w:rsid w:val="00E51C4B"/>
    <w:rsid w:val="00E5271E"/>
    <w:rsid w:val="00E57B5E"/>
    <w:rsid w:val="00E600E1"/>
    <w:rsid w:val="00E60D90"/>
    <w:rsid w:val="00E677D5"/>
    <w:rsid w:val="00E711A8"/>
    <w:rsid w:val="00E73A73"/>
    <w:rsid w:val="00E757EA"/>
    <w:rsid w:val="00E77647"/>
    <w:rsid w:val="00E81EA3"/>
    <w:rsid w:val="00E830F8"/>
    <w:rsid w:val="00E85CEE"/>
    <w:rsid w:val="00E91BB9"/>
    <w:rsid w:val="00E93CAA"/>
    <w:rsid w:val="00E950E3"/>
    <w:rsid w:val="00EA02BB"/>
    <w:rsid w:val="00EA18D6"/>
    <w:rsid w:val="00EA19EC"/>
    <w:rsid w:val="00EA290A"/>
    <w:rsid w:val="00EA2D2D"/>
    <w:rsid w:val="00EA5488"/>
    <w:rsid w:val="00EA6361"/>
    <w:rsid w:val="00EB06A9"/>
    <w:rsid w:val="00EB33D3"/>
    <w:rsid w:val="00EB4D2D"/>
    <w:rsid w:val="00EB67ED"/>
    <w:rsid w:val="00EC0BE3"/>
    <w:rsid w:val="00EC7B12"/>
    <w:rsid w:val="00EC7D83"/>
    <w:rsid w:val="00ED5881"/>
    <w:rsid w:val="00EE096B"/>
    <w:rsid w:val="00EE41B2"/>
    <w:rsid w:val="00EE53AC"/>
    <w:rsid w:val="00EE7346"/>
    <w:rsid w:val="00EE7849"/>
    <w:rsid w:val="00EF18E2"/>
    <w:rsid w:val="00EF29A9"/>
    <w:rsid w:val="00EF6C3F"/>
    <w:rsid w:val="00F00AA8"/>
    <w:rsid w:val="00F02249"/>
    <w:rsid w:val="00F05338"/>
    <w:rsid w:val="00F1295D"/>
    <w:rsid w:val="00F176DA"/>
    <w:rsid w:val="00F17E04"/>
    <w:rsid w:val="00F2124E"/>
    <w:rsid w:val="00F22064"/>
    <w:rsid w:val="00F23342"/>
    <w:rsid w:val="00F24447"/>
    <w:rsid w:val="00F24811"/>
    <w:rsid w:val="00F24C7D"/>
    <w:rsid w:val="00F26A97"/>
    <w:rsid w:val="00F3106E"/>
    <w:rsid w:val="00F325B7"/>
    <w:rsid w:val="00F45F45"/>
    <w:rsid w:val="00F46533"/>
    <w:rsid w:val="00F47738"/>
    <w:rsid w:val="00F52E18"/>
    <w:rsid w:val="00F53F84"/>
    <w:rsid w:val="00F652AD"/>
    <w:rsid w:val="00F6695D"/>
    <w:rsid w:val="00F749FF"/>
    <w:rsid w:val="00F75871"/>
    <w:rsid w:val="00F81C36"/>
    <w:rsid w:val="00F857F2"/>
    <w:rsid w:val="00F90857"/>
    <w:rsid w:val="00F90FA0"/>
    <w:rsid w:val="00F922EB"/>
    <w:rsid w:val="00F92362"/>
    <w:rsid w:val="00F923C4"/>
    <w:rsid w:val="00F938A7"/>
    <w:rsid w:val="00F96B5F"/>
    <w:rsid w:val="00F97B7D"/>
    <w:rsid w:val="00FA1AF4"/>
    <w:rsid w:val="00FA657D"/>
    <w:rsid w:val="00FA67AE"/>
    <w:rsid w:val="00FB0541"/>
    <w:rsid w:val="00FB1F70"/>
    <w:rsid w:val="00FB2BB7"/>
    <w:rsid w:val="00FB4919"/>
    <w:rsid w:val="00FB4941"/>
    <w:rsid w:val="00FB768D"/>
    <w:rsid w:val="00FB7DA0"/>
    <w:rsid w:val="00FC1E29"/>
    <w:rsid w:val="00FC5D34"/>
    <w:rsid w:val="00FC75FD"/>
    <w:rsid w:val="00FD1B50"/>
    <w:rsid w:val="00FD1C99"/>
    <w:rsid w:val="00FD2B95"/>
    <w:rsid w:val="00FD57CF"/>
    <w:rsid w:val="00FD6916"/>
    <w:rsid w:val="00FD7445"/>
    <w:rsid w:val="00FD7977"/>
    <w:rsid w:val="00FE4129"/>
    <w:rsid w:val="00FE56BC"/>
    <w:rsid w:val="00FF1290"/>
    <w:rsid w:val="00FF379C"/>
    <w:rsid w:val="00FF4085"/>
    <w:rsid w:val="00FF4116"/>
    <w:rsid w:val="00FF4FF1"/>
    <w:rsid w:val="00FF5738"/>
    <w:rsid w:val="00FF77C4"/>
    <w:rsid w:val="22C21BAD"/>
    <w:rsid w:val="325AB7FF"/>
    <w:rsid w:val="4CB85965"/>
    <w:rsid w:val="55D4FECE"/>
    <w:rsid w:val="6BA0A565"/>
    <w:rsid w:val="789260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9F710A7F-4343-4F58-940E-3DF92B08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Heading1Char">
    <w:name w:val="Heading 1 Char"/>
    <w:basedOn w:val="DefaultParagraphFont"/>
    <w:link w:val="Heading1"/>
    <w:rsid w:val="00C04B16"/>
    <w:rPr>
      <w:rFonts w:ascii="Times New Roman" w:hAnsi="Times New Roman"/>
      <w:b/>
      <w:sz w:val="24"/>
      <w:lang w:val="en-GB" w:eastAsia="en-US"/>
    </w:rPr>
  </w:style>
  <w:style w:type="character" w:customStyle="1" w:styleId="Heading2Char">
    <w:name w:val="Heading 2 Char"/>
    <w:basedOn w:val="DefaultParagraphFont"/>
    <w:link w:val="Heading2"/>
    <w:rsid w:val="00C04B16"/>
    <w:rPr>
      <w:rFonts w:ascii="Times New Roman" w:hAnsi="Times New Roman"/>
      <w:b/>
      <w:sz w:val="24"/>
      <w:lang w:val="en-GB" w:eastAsia="en-US"/>
    </w:rPr>
  </w:style>
  <w:style w:type="character" w:customStyle="1" w:styleId="Heading3Char">
    <w:name w:val="Heading 3 Char"/>
    <w:basedOn w:val="DefaultParagraphFont"/>
    <w:link w:val="Heading3"/>
    <w:rsid w:val="00C04B16"/>
    <w:rPr>
      <w:rFonts w:ascii="Times New Roman" w:hAnsi="Times New Roman"/>
      <w:b/>
      <w:sz w:val="24"/>
      <w:lang w:val="en-GB" w:eastAsia="en-US"/>
    </w:rPr>
  </w:style>
  <w:style w:type="character" w:customStyle="1" w:styleId="Heading4Char">
    <w:name w:val="Heading 4 Char"/>
    <w:basedOn w:val="DefaultParagraphFont"/>
    <w:link w:val="Heading4"/>
    <w:rsid w:val="00C04B16"/>
    <w:rPr>
      <w:rFonts w:ascii="Times New Roman" w:hAnsi="Times New Roman"/>
      <w:b/>
      <w:sz w:val="24"/>
      <w:lang w:val="en-GB" w:eastAsia="en-US"/>
    </w:rPr>
  </w:style>
  <w:style w:type="character" w:customStyle="1" w:styleId="Heading5Char">
    <w:name w:val="Heading 5 Char"/>
    <w:basedOn w:val="DefaultParagraphFont"/>
    <w:link w:val="Heading5"/>
    <w:rsid w:val="00C04B16"/>
    <w:rPr>
      <w:rFonts w:ascii="Times New Roman" w:hAnsi="Times New Roman"/>
      <w:b/>
      <w:sz w:val="24"/>
      <w:lang w:val="en-GB" w:eastAsia="en-US"/>
    </w:rPr>
  </w:style>
  <w:style w:type="character" w:customStyle="1" w:styleId="Heading6Char">
    <w:name w:val="Heading 6 Char"/>
    <w:basedOn w:val="DefaultParagraphFont"/>
    <w:link w:val="Heading6"/>
    <w:rsid w:val="00C04B16"/>
    <w:rPr>
      <w:rFonts w:ascii="Times New Roman" w:hAnsi="Times New Roman"/>
      <w:b/>
      <w:sz w:val="24"/>
      <w:lang w:val="en-GB" w:eastAsia="en-US"/>
    </w:rPr>
  </w:style>
  <w:style w:type="character" w:customStyle="1" w:styleId="Heading7Char">
    <w:name w:val="Heading 7 Char"/>
    <w:basedOn w:val="DefaultParagraphFont"/>
    <w:link w:val="Heading7"/>
    <w:rsid w:val="00C04B16"/>
    <w:rPr>
      <w:rFonts w:ascii="Times New Roman" w:hAnsi="Times New Roman"/>
      <w:b/>
      <w:sz w:val="24"/>
      <w:lang w:val="en-GB" w:eastAsia="en-US"/>
    </w:rPr>
  </w:style>
  <w:style w:type="character" w:customStyle="1" w:styleId="Heading8Char">
    <w:name w:val="Heading 8 Char"/>
    <w:basedOn w:val="DefaultParagraphFont"/>
    <w:link w:val="Heading8"/>
    <w:rsid w:val="00C04B16"/>
    <w:rPr>
      <w:rFonts w:ascii="Times New Roman" w:hAnsi="Times New Roman"/>
      <w:b/>
      <w:sz w:val="24"/>
      <w:lang w:val="en-GB" w:eastAsia="en-US"/>
    </w:rPr>
  </w:style>
  <w:style w:type="character" w:customStyle="1" w:styleId="Heading9Char">
    <w:name w:val="Heading 9 Char"/>
    <w:basedOn w:val="DefaultParagraphFont"/>
    <w:link w:val="Heading9"/>
    <w:rsid w:val="00C04B16"/>
    <w:rPr>
      <w:rFonts w:ascii="Times New Roman" w:hAnsi="Times New Roman"/>
      <w:b/>
      <w:sz w:val="24"/>
      <w:lang w:val="en-GB" w:eastAsia="en-US"/>
    </w:rPr>
  </w:style>
  <w:style w:type="paragraph" w:customStyle="1" w:styleId="Reasons">
    <w:name w:val="Reasons"/>
    <w:basedOn w:val="Normal"/>
    <w:qFormat/>
    <w:rsid w:val="00C04B16"/>
    <w:pPr>
      <w:tabs>
        <w:tab w:val="clear" w:pos="794"/>
        <w:tab w:val="clear" w:pos="1191"/>
        <w:tab w:val="left" w:pos="1134"/>
      </w:tabs>
    </w:pPr>
  </w:style>
  <w:style w:type="paragraph" w:customStyle="1" w:styleId="ASN1">
    <w:name w:val="ASN.1"/>
    <w:basedOn w:val="Normal"/>
    <w:rsid w:val="00C04B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C04B16"/>
    <w:rPr>
      <w:vertAlign w:val="superscript"/>
    </w:rPr>
  </w:style>
  <w:style w:type="paragraph" w:customStyle="1" w:styleId="FooterQP">
    <w:name w:val="Footer_QP"/>
    <w:basedOn w:val="Normal"/>
    <w:rsid w:val="00C04B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C04B16"/>
    <w:pPr>
      <w:spacing w:before="0"/>
    </w:pPr>
    <w:rPr>
      <w:rFonts w:ascii="Tahoma" w:hAnsi="Tahoma" w:cs="Tahoma"/>
      <w:sz w:val="16"/>
      <w:szCs w:val="16"/>
    </w:rPr>
  </w:style>
  <w:style w:type="character" w:customStyle="1" w:styleId="BalloonTextChar">
    <w:name w:val="Balloon Text Char"/>
    <w:basedOn w:val="DefaultParagraphFont"/>
    <w:link w:val="BalloonText"/>
    <w:rsid w:val="00C04B16"/>
    <w:rPr>
      <w:rFonts w:ascii="Tahoma" w:hAnsi="Tahoma" w:cs="Tahoma"/>
      <w:sz w:val="16"/>
      <w:szCs w:val="16"/>
      <w:lang w:val="en-GB" w:eastAsia="en-US"/>
    </w:rPr>
  </w:style>
  <w:style w:type="paragraph" w:customStyle="1" w:styleId="Normalaftertitle0">
    <w:name w:val="Normal after title"/>
    <w:basedOn w:val="Normal"/>
    <w:next w:val="Normal"/>
    <w:rsid w:val="00C04B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C04B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C04B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C04B16"/>
    <w:rPr>
      <w:rFonts w:ascii="Consolas" w:eastAsiaTheme="minorEastAsia" w:hAnsi="Consolas" w:cstheme="minorBidi"/>
      <w:sz w:val="21"/>
      <w:szCs w:val="21"/>
    </w:rPr>
  </w:style>
  <w:style w:type="paragraph" w:styleId="NoSpacing">
    <w:name w:val="No Spacing"/>
    <w:uiPriority w:val="1"/>
    <w:qFormat/>
    <w:rsid w:val="00C04B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C04B16"/>
    <w:rPr>
      <w:rFonts w:ascii="Times New Roman" w:hAnsi="Times New Roman"/>
      <w:sz w:val="22"/>
      <w:lang w:val="en-GB" w:eastAsia="en-US"/>
    </w:rPr>
  </w:style>
  <w:style w:type="character" w:customStyle="1" w:styleId="enumlev1Char">
    <w:name w:val="enumlev1 Char"/>
    <w:basedOn w:val="DefaultParagraphFont"/>
    <w:link w:val="enumlev1"/>
    <w:locked/>
    <w:rsid w:val="00C04B16"/>
    <w:rPr>
      <w:rFonts w:ascii="Times New Roman" w:hAnsi="Times New Roman"/>
      <w:sz w:val="24"/>
      <w:lang w:val="en-GB" w:eastAsia="en-US"/>
    </w:rPr>
  </w:style>
  <w:style w:type="character" w:customStyle="1" w:styleId="apple-converted-space">
    <w:name w:val="apple-converted-space"/>
    <w:basedOn w:val="DefaultParagraphFont"/>
    <w:rsid w:val="00C04B16"/>
  </w:style>
  <w:style w:type="table" w:customStyle="1" w:styleId="TableGrid1">
    <w:name w:val="Table Grid1"/>
    <w:basedOn w:val="TableNormal"/>
    <w:next w:val="TableGrid"/>
    <w:rsid w:val="00C04B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4B16"/>
    <w:rPr>
      <w:b/>
      <w:bCs/>
    </w:rPr>
  </w:style>
  <w:style w:type="paragraph" w:customStyle="1" w:styleId="Annextitle">
    <w:name w:val="Annex_title"/>
    <w:basedOn w:val="Normal"/>
    <w:next w:val="Normal"/>
    <w:rsid w:val="00C04B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C04B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C04B16"/>
    <w:rPr>
      <w:rFonts w:ascii="Times New Roman" w:hAnsi="Times New Roman"/>
      <w:i/>
      <w:sz w:val="24"/>
      <w:lang w:val="en-GB" w:eastAsia="en-US"/>
    </w:rPr>
  </w:style>
  <w:style w:type="character" w:customStyle="1" w:styleId="HeadingbChar">
    <w:name w:val="Heading_b Char"/>
    <w:link w:val="Headingb"/>
    <w:locked/>
    <w:rsid w:val="00C04B16"/>
    <w:rPr>
      <w:rFonts w:ascii="Times New Roman" w:hAnsi="Times New Roman"/>
      <w:b/>
      <w:sz w:val="24"/>
      <w:lang w:val="en-GB" w:eastAsia="en-US"/>
    </w:rPr>
  </w:style>
  <w:style w:type="character" w:customStyle="1" w:styleId="RestitleChar">
    <w:name w:val="Res_title Char"/>
    <w:basedOn w:val="DefaultParagraphFont"/>
    <w:link w:val="Restitle"/>
    <w:locked/>
    <w:rsid w:val="00C04B16"/>
    <w:rPr>
      <w:rFonts w:ascii="Times New Roman" w:hAnsi="Times New Roman"/>
      <w:b/>
      <w:sz w:val="28"/>
      <w:lang w:val="en-GB" w:eastAsia="en-US"/>
    </w:rPr>
  </w:style>
  <w:style w:type="character" w:styleId="FollowedHyperlink">
    <w:name w:val="FollowedHyperlink"/>
    <w:basedOn w:val="DefaultParagraphFont"/>
    <w:unhideWhenUsed/>
    <w:rsid w:val="00C04B16"/>
    <w:rPr>
      <w:color w:val="606420"/>
      <w:u w:val="single"/>
    </w:rPr>
  </w:style>
  <w:style w:type="paragraph" w:styleId="NormalWeb">
    <w:name w:val="Normal (Web)"/>
    <w:basedOn w:val="Normal"/>
    <w:uiPriority w:val="99"/>
    <w:unhideWhenUsed/>
    <w:rsid w:val="00C04B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C04B16"/>
    <w:pPr>
      <w:spacing w:before="0"/>
      <w:textAlignment w:val="auto"/>
    </w:pPr>
    <w:rPr>
      <w:sz w:val="20"/>
    </w:rPr>
  </w:style>
  <w:style w:type="character" w:customStyle="1" w:styleId="EndnoteTextChar">
    <w:name w:val="Endnote Text Char"/>
    <w:basedOn w:val="DefaultParagraphFont"/>
    <w:link w:val="EndnoteText"/>
    <w:uiPriority w:val="99"/>
    <w:rsid w:val="00C04B16"/>
    <w:rPr>
      <w:rFonts w:ascii="Times New Roman" w:hAnsi="Times New Roman"/>
      <w:lang w:val="en-GB" w:eastAsia="en-US"/>
    </w:rPr>
  </w:style>
  <w:style w:type="paragraph" w:styleId="Title">
    <w:name w:val="Title"/>
    <w:basedOn w:val="Normal"/>
    <w:next w:val="Normal"/>
    <w:link w:val="TitleChar"/>
    <w:qFormat/>
    <w:rsid w:val="00C04B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04B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C04B16"/>
    <w:pPr>
      <w:textAlignment w:val="auto"/>
    </w:pPr>
    <w:rPr>
      <w:b/>
      <w:bCs/>
      <w:i/>
      <w:iCs/>
      <w:szCs w:val="24"/>
    </w:rPr>
  </w:style>
  <w:style w:type="character" w:customStyle="1" w:styleId="BodyTextChar">
    <w:name w:val="Body Text Char"/>
    <w:basedOn w:val="DefaultParagraphFont"/>
    <w:link w:val="BodyText"/>
    <w:rsid w:val="00C04B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C04B16"/>
    <w:pPr>
      <w:spacing w:after="120"/>
      <w:ind w:left="360"/>
      <w:textAlignment w:val="auto"/>
    </w:pPr>
  </w:style>
  <w:style w:type="character" w:customStyle="1" w:styleId="BodyTextIndentChar">
    <w:name w:val="Body Text Indent Char"/>
    <w:basedOn w:val="DefaultParagraphFont"/>
    <w:link w:val="BodyTextIndent"/>
    <w:rsid w:val="00C04B16"/>
    <w:rPr>
      <w:rFonts w:ascii="Times New Roman" w:hAnsi="Times New Roman"/>
      <w:sz w:val="24"/>
      <w:lang w:val="en-GB" w:eastAsia="en-US"/>
    </w:rPr>
  </w:style>
  <w:style w:type="paragraph" w:styleId="Subtitle">
    <w:name w:val="Subtitle"/>
    <w:basedOn w:val="Normal"/>
    <w:next w:val="Normal"/>
    <w:link w:val="SubtitleChar"/>
    <w:uiPriority w:val="11"/>
    <w:qFormat/>
    <w:rsid w:val="00C04B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C04B16"/>
    <w:rPr>
      <w:rFonts w:ascii="Cambria" w:eastAsia="SimSun" w:hAnsi="Cambria"/>
      <w:i/>
      <w:iCs/>
      <w:color w:val="4F81BD"/>
      <w:spacing w:val="15"/>
      <w:sz w:val="24"/>
      <w:szCs w:val="24"/>
    </w:rPr>
  </w:style>
  <w:style w:type="paragraph" w:styleId="BodyText2">
    <w:name w:val="Body Text 2"/>
    <w:basedOn w:val="Normal"/>
    <w:link w:val="BodyText2Char"/>
    <w:unhideWhenUsed/>
    <w:rsid w:val="00C04B16"/>
    <w:pPr>
      <w:spacing w:after="120" w:line="480" w:lineRule="auto"/>
      <w:textAlignment w:val="auto"/>
    </w:pPr>
  </w:style>
  <w:style w:type="character" w:customStyle="1" w:styleId="BodyText2Char">
    <w:name w:val="Body Text 2 Char"/>
    <w:basedOn w:val="DefaultParagraphFont"/>
    <w:link w:val="BodyText2"/>
    <w:rsid w:val="00C04B16"/>
    <w:rPr>
      <w:rFonts w:ascii="Times New Roman" w:hAnsi="Times New Roman"/>
      <w:sz w:val="24"/>
      <w:lang w:val="en-GB" w:eastAsia="en-US"/>
    </w:rPr>
  </w:style>
  <w:style w:type="paragraph" w:styleId="Revision">
    <w:name w:val="Revision"/>
    <w:uiPriority w:val="99"/>
    <w:semiHidden/>
    <w:rsid w:val="00C04B16"/>
    <w:rPr>
      <w:rFonts w:ascii="Times New Roman" w:hAnsi="Times New Roman"/>
      <w:sz w:val="24"/>
      <w:lang w:val="en-GB" w:eastAsia="en-US"/>
    </w:rPr>
  </w:style>
  <w:style w:type="character" w:styleId="CommentReference">
    <w:name w:val="annotation reference"/>
    <w:basedOn w:val="DefaultParagraphFont"/>
    <w:semiHidden/>
    <w:unhideWhenUsed/>
    <w:rsid w:val="00C04B16"/>
    <w:rPr>
      <w:sz w:val="16"/>
      <w:szCs w:val="16"/>
    </w:rPr>
  </w:style>
  <w:style w:type="paragraph" w:styleId="CommentText">
    <w:name w:val="annotation text"/>
    <w:basedOn w:val="Normal"/>
    <w:link w:val="CommentTextChar"/>
    <w:unhideWhenUsed/>
    <w:rsid w:val="00C04B16"/>
    <w:rPr>
      <w:sz w:val="20"/>
    </w:rPr>
  </w:style>
  <w:style w:type="character" w:customStyle="1" w:styleId="CommentTextChar">
    <w:name w:val="Comment Text Char"/>
    <w:basedOn w:val="DefaultParagraphFont"/>
    <w:link w:val="CommentText"/>
    <w:rsid w:val="00C04B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04B16"/>
    <w:rPr>
      <w:b/>
      <w:bCs/>
    </w:rPr>
  </w:style>
  <w:style w:type="character" w:customStyle="1" w:styleId="CommentSubjectChar">
    <w:name w:val="Comment Subject Char"/>
    <w:basedOn w:val="CommentTextChar"/>
    <w:link w:val="CommentSubject"/>
    <w:semiHidden/>
    <w:rsid w:val="00C04B16"/>
    <w:rPr>
      <w:rFonts w:ascii="Times New Roman" w:hAnsi="Times New Roman"/>
      <w:b/>
      <w:bCs/>
      <w:lang w:val="en-GB" w:eastAsia="en-US"/>
    </w:rPr>
  </w:style>
  <w:style w:type="table" w:customStyle="1" w:styleId="GridTable1Light-Accent512">
    <w:name w:val="Grid Table 1 Light - Accent 512"/>
    <w:basedOn w:val="TableNormal"/>
    <w:uiPriority w:val="46"/>
    <w:rsid w:val="00C04B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04B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rsid w:val="00C04B16"/>
    <w:rPr>
      <w:rFonts w:ascii="Times New Roman" w:hAnsi="Times New Roman"/>
      <w:b/>
      <w:sz w:val="22"/>
      <w:lang w:val="en-GB" w:eastAsia="en-US"/>
    </w:rPr>
  </w:style>
  <w:style w:type="paragraph" w:customStyle="1" w:styleId="TableNo">
    <w:name w:val="Table_No"/>
    <w:basedOn w:val="Normal"/>
    <w:next w:val="Normal"/>
    <w:uiPriority w:val="99"/>
    <w:rsid w:val="00C04B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C04B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C04B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C04B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C04B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C04B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04B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C04B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04B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04B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C04B16"/>
  </w:style>
  <w:style w:type="character" w:customStyle="1" w:styleId="DateChar">
    <w:name w:val="Date Char"/>
    <w:basedOn w:val="DefaultParagraphFont"/>
    <w:link w:val="Date"/>
    <w:rsid w:val="00C04B16"/>
    <w:rPr>
      <w:rFonts w:ascii="Times New Roman" w:hAnsi="Times New Roman"/>
      <w:sz w:val="24"/>
      <w:lang w:val="en-GB" w:eastAsia="en-US"/>
    </w:rPr>
  </w:style>
  <w:style w:type="paragraph" w:customStyle="1" w:styleId="Tablefin">
    <w:name w:val="Table_fin"/>
    <w:basedOn w:val="Tabletext"/>
    <w:rsid w:val="00C04B16"/>
    <w:rPr>
      <w:sz w:val="20"/>
    </w:rPr>
  </w:style>
  <w:style w:type="table" w:customStyle="1" w:styleId="ListTable1Light-Accent11">
    <w:name w:val="List Table 1 Light - Accent 11"/>
    <w:basedOn w:val="TableNormal"/>
    <w:next w:val="ListTable1Light-Accent1"/>
    <w:uiPriority w:val="46"/>
    <w:rsid w:val="00C04B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04B16"/>
    <w:rPr>
      <w:color w:val="605E5C"/>
      <w:shd w:val="clear" w:color="auto" w:fill="E1DFDD"/>
    </w:rPr>
  </w:style>
  <w:style w:type="paragraph" w:customStyle="1" w:styleId="paragraph">
    <w:name w:val="paragraph"/>
    <w:basedOn w:val="Normal"/>
    <w:rsid w:val="00C04B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C04B16"/>
  </w:style>
  <w:style w:type="character" w:customStyle="1" w:styleId="eop">
    <w:name w:val="eop"/>
    <w:basedOn w:val="DefaultParagraphFont"/>
    <w:rsid w:val="00C04B16"/>
  </w:style>
  <w:style w:type="paragraph" w:customStyle="1" w:styleId="Figuretitle">
    <w:name w:val="Figure_title"/>
    <w:basedOn w:val="Normal"/>
    <w:next w:val="Normal"/>
    <w:rsid w:val="00F96B5F"/>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US"/>
    </w:rPr>
  </w:style>
  <w:style w:type="paragraph" w:customStyle="1" w:styleId="FigureNo">
    <w:name w:val="Figure_No"/>
    <w:basedOn w:val="Normal"/>
    <w:next w:val="Normal"/>
    <w:rsid w:val="00F96B5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character" w:customStyle="1" w:styleId="ui-provider">
    <w:name w:val="ui-provider"/>
    <w:basedOn w:val="DefaultParagraphFont"/>
    <w:rsid w:val="002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367">
      <w:bodyDiv w:val="1"/>
      <w:marLeft w:val="0"/>
      <w:marRight w:val="0"/>
      <w:marTop w:val="0"/>
      <w:marBottom w:val="0"/>
      <w:divBdr>
        <w:top w:val="none" w:sz="0" w:space="0" w:color="auto"/>
        <w:left w:val="none" w:sz="0" w:space="0" w:color="auto"/>
        <w:bottom w:val="none" w:sz="0" w:space="0" w:color="auto"/>
        <w:right w:val="none" w:sz="0" w:space="0" w:color="auto"/>
      </w:divBdr>
    </w:div>
    <w:div w:id="108790083">
      <w:bodyDiv w:val="1"/>
      <w:marLeft w:val="0"/>
      <w:marRight w:val="0"/>
      <w:marTop w:val="0"/>
      <w:marBottom w:val="0"/>
      <w:divBdr>
        <w:top w:val="none" w:sz="0" w:space="0" w:color="auto"/>
        <w:left w:val="none" w:sz="0" w:space="0" w:color="auto"/>
        <w:bottom w:val="none" w:sz="0" w:space="0" w:color="auto"/>
        <w:right w:val="none" w:sz="0" w:space="0" w:color="auto"/>
      </w:divBdr>
    </w:div>
    <w:div w:id="110519664">
      <w:bodyDiv w:val="1"/>
      <w:marLeft w:val="0"/>
      <w:marRight w:val="0"/>
      <w:marTop w:val="0"/>
      <w:marBottom w:val="0"/>
      <w:divBdr>
        <w:top w:val="none" w:sz="0" w:space="0" w:color="auto"/>
        <w:left w:val="none" w:sz="0" w:space="0" w:color="auto"/>
        <w:bottom w:val="none" w:sz="0" w:space="0" w:color="auto"/>
        <w:right w:val="none" w:sz="0" w:space="0" w:color="auto"/>
      </w:divBdr>
    </w:div>
    <w:div w:id="134765325">
      <w:bodyDiv w:val="1"/>
      <w:marLeft w:val="0"/>
      <w:marRight w:val="0"/>
      <w:marTop w:val="0"/>
      <w:marBottom w:val="0"/>
      <w:divBdr>
        <w:top w:val="none" w:sz="0" w:space="0" w:color="auto"/>
        <w:left w:val="none" w:sz="0" w:space="0" w:color="auto"/>
        <w:bottom w:val="none" w:sz="0" w:space="0" w:color="auto"/>
        <w:right w:val="none" w:sz="0" w:space="0" w:color="auto"/>
      </w:divBdr>
    </w:div>
    <w:div w:id="508451575">
      <w:bodyDiv w:val="1"/>
      <w:marLeft w:val="0"/>
      <w:marRight w:val="0"/>
      <w:marTop w:val="0"/>
      <w:marBottom w:val="0"/>
      <w:divBdr>
        <w:top w:val="none" w:sz="0" w:space="0" w:color="auto"/>
        <w:left w:val="none" w:sz="0" w:space="0" w:color="auto"/>
        <w:bottom w:val="none" w:sz="0" w:space="0" w:color="auto"/>
        <w:right w:val="none" w:sz="0" w:space="0" w:color="auto"/>
      </w:divBdr>
    </w:div>
    <w:div w:id="532765134">
      <w:bodyDiv w:val="1"/>
      <w:marLeft w:val="0"/>
      <w:marRight w:val="0"/>
      <w:marTop w:val="0"/>
      <w:marBottom w:val="0"/>
      <w:divBdr>
        <w:top w:val="none" w:sz="0" w:space="0" w:color="auto"/>
        <w:left w:val="none" w:sz="0" w:space="0" w:color="auto"/>
        <w:bottom w:val="none" w:sz="0" w:space="0" w:color="auto"/>
        <w:right w:val="none" w:sz="0" w:space="0" w:color="auto"/>
      </w:divBdr>
    </w:div>
    <w:div w:id="685865760">
      <w:bodyDiv w:val="1"/>
      <w:marLeft w:val="0"/>
      <w:marRight w:val="0"/>
      <w:marTop w:val="0"/>
      <w:marBottom w:val="0"/>
      <w:divBdr>
        <w:top w:val="none" w:sz="0" w:space="0" w:color="auto"/>
        <w:left w:val="none" w:sz="0" w:space="0" w:color="auto"/>
        <w:bottom w:val="none" w:sz="0" w:space="0" w:color="auto"/>
        <w:right w:val="none" w:sz="0" w:space="0" w:color="auto"/>
      </w:divBdr>
    </w:div>
    <w:div w:id="738596296">
      <w:bodyDiv w:val="1"/>
      <w:marLeft w:val="0"/>
      <w:marRight w:val="0"/>
      <w:marTop w:val="0"/>
      <w:marBottom w:val="0"/>
      <w:divBdr>
        <w:top w:val="none" w:sz="0" w:space="0" w:color="auto"/>
        <w:left w:val="none" w:sz="0" w:space="0" w:color="auto"/>
        <w:bottom w:val="none" w:sz="0" w:space="0" w:color="auto"/>
        <w:right w:val="none" w:sz="0" w:space="0" w:color="auto"/>
      </w:divBdr>
    </w:div>
    <w:div w:id="806319742">
      <w:bodyDiv w:val="1"/>
      <w:marLeft w:val="0"/>
      <w:marRight w:val="0"/>
      <w:marTop w:val="0"/>
      <w:marBottom w:val="0"/>
      <w:divBdr>
        <w:top w:val="none" w:sz="0" w:space="0" w:color="auto"/>
        <w:left w:val="none" w:sz="0" w:space="0" w:color="auto"/>
        <w:bottom w:val="none" w:sz="0" w:space="0" w:color="auto"/>
        <w:right w:val="none" w:sz="0" w:space="0" w:color="auto"/>
      </w:divBdr>
    </w:div>
    <w:div w:id="860312969">
      <w:bodyDiv w:val="1"/>
      <w:marLeft w:val="0"/>
      <w:marRight w:val="0"/>
      <w:marTop w:val="0"/>
      <w:marBottom w:val="0"/>
      <w:divBdr>
        <w:top w:val="none" w:sz="0" w:space="0" w:color="auto"/>
        <w:left w:val="none" w:sz="0" w:space="0" w:color="auto"/>
        <w:bottom w:val="none" w:sz="0" w:space="0" w:color="auto"/>
        <w:right w:val="none" w:sz="0" w:space="0" w:color="auto"/>
      </w:divBdr>
    </w:div>
    <w:div w:id="1029062536">
      <w:bodyDiv w:val="1"/>
      <w:marLeft w:val="0"/>
      <w:marRight w:val="0"/>
      <w:marTop w:val="0"/>
      <w:marBottom w:val="0"/>
      <w:divBdr>
        <w:top w:val="none" w:sz="0" w:space="0" w:color="auto"/>
        <w:left w:val="none" w:sz="0" w:space="0" w:color="auto"/>
        <w:bottom w:val="none" w:sz="0" w:space="0" w:color="auto"/>
        <w:right w:val="none" w:sz="0" w:space="0" w:color="auto"/>
      </w:divBdr>
    </w:div>
    <w:div w:id="1089622319">
      <w:bodyDiv w:val="1"/>
      <w:marLeft w:val="0"/>
      <w:marRight w:val="0"/>
      <w:marTop w:val="0"/>
      <w:marBottom w:val="0"/>
      <w:divBdr>
        <w:top w:val="none" w:sz="0" w:space="0" w:color="auto"/>
        <w:left w:val="none" w:sz="0" w:space="0" w:color="auto"/>
        <w:bottom w:val="none" w:sz="0" w:space="0" w:color="auto"/>
        <w:right w:val="none" w:sz="0" w:space="0" w:color="auto"/>
      </w:divBdr>
    </w:div>
    <w:div w:id="1115253772">
      <w:bodyDiv w:val="1"/>
      <w:marLeft w:val="0"/>
      <w:marRight w:val="0"/>
      <w:marTop w:val="0"/>
      <w:marBottom w:val="0"/>
      <w:divBdr>
        <w:top w:val="none" w:sz="0" w:space="0" w:color="auto"/>
        <w:left w:val="none" w:sz="0" w:space="0" w:color="auto"/>
        <w:bottom w:val="none" w:sz="0" w:space="0" w:color="auto"/>
        <w:right w:val="none" w:sz="0" w:space="0" w:color="auto"/>
      </w:divBdr>
    </w:div>
    <w:div w:id="1172523028">
      <w:bodyDiv w:val="1"/>
      <w:marLeft w:val="0"/>
      <w:marRight w:val="0"/>
      <w:marTop w:val="0"/>
      <w:marBottom w:val="0"/>
      <w:divBdr>
        <w:top w:val="none" w:sz="0" w:space="0" w:color="auto"/>
        <w:left w:val="none" w:sz="0" w:space="0" w:color="auto"/>
        <w:bottom w:val="none" w:sz="0" w:space="0" w:color="auto"/>
        <w:right w:val="none" w:sz="0" w:space="0" w:color="auto"/>
      </w:divBdr>
    </w:div>
    <w:div w:id="1252011273">
      <w:bodyDiv w:val="1"/>
      <w:marLeft w:val="0"/>
      <w:marRight w:val="0"/>
      <w:marTop w:val="0"/>
      <w:marBottom w:val="0"/>
      <w:divBdr>
        <w:top w:val="none" w:sz="0" w:space="0" w:color="auto"/>
        <w:left w:val="none" w:sz="0" w:space="0" w:color="auto"/>
        <w:bottom w:val="none" w:sz="0" w:space="0" w:color="auto"/>
        <w:right w:val="none" w:sz="0" w:space="0" w:color="auto"/>
      </w:divBdr>
    </w:div>
    <w:div w:id="1294824585">
      <w:bodyDiv w:val="1"/>
      <w:marLeft w:val="0"/>
      <w:marRight w:val="0"/>
      <w:marTop w:val="0"/>
      <w:marBottom w:val="0"/>
      <w:divBdr>
        <w:top w:val="none" w:sz="0" w:space="0" w:color="auto"/>
        <w:left w:val="none" w:sz="0" w:space="0" w:color="auto"/>
        <w:bottom w:val="none" w:sz="0" w:space="0" w:color="auto"/>
        <w:right w:val="none" w:sz="0" w:space="0" w:color="auto"/>
      </w:divBdr>
    </w:div>
    <w:div w:id="1337803959">
      <w:bodyDiv w:val="1"/>
      <w:marLeft w:val="0"/>
      <w:marRight w:val="0"/>
      <w:marTop w:val="0"/>
      <w:marBottom w:val="0"/>
      <w:divBdr>
        <w:top w:val="none" w:sz="0" w:space="0" w:color="auto"/>
        <w:left w:val="none" w:sz="0" w:space="0" w:color="auto"/>
        <w:bottom w:val="none" w:sz="0" w:space="0" w:color="auto"/>
        <w:right w:val="none" w:sz="0" w:space="0" w:color="auto"/>
      </w:divBdr>
    </w:div>
    <w:div w:id="1506283798">
      <w:bodyDiv w:val="1"/>
      <w:marLeft w:val="0"/>
      <w:marRight w:val="0"/>
      <w:marTop w:val="0"/>
      <w:marBottom w:val="0"/>
      <w:divBdr>
        <w:top w:val="none" w:sz="0" w:space="0" w:color="auto"/>
        <w:left w:val="none" w:sz="0" w:space="0" w:color="auto"/>
        <w:bottom w:val="none" w:sz="0" w:space="0" w:color="auto"/>
        <w:right w:val="none" w:sz="0" w:space="0" w:color="auto"/>
      </w:divBdr>
    </w:div>
    <w:div w:id="1518887450">
      <w:bodyDiv w:val="1"/>
      <w:marLeft w:val="0"/>
      <w:marRight w:val="0"/>
      <w:marTop w:val="0"/>
      <w:marBottom w:val="0"/>
      <w:divBdr>
        <w:top w:val="none" w:sz="0" w:space="0" w:color="auto"/>
        <w:left w:val="none" w:sz="0" w:space="0" w:color="auto"/>
        <w:bottom w:val="none" w:sz="0" w:space="0" w:color="auto"/>
        <w:right w:val="none" w:sz="0" w:space="0" w:color="auto"/>
      </w:divBdr>
    </w:div>
    <w:div w:id="1555577917">
      <w:bodyDiv w:val="1"/>
      <w:marLeft w:val="0"/>
      <w:marRight w:val="0"/>
      <w:marTop w:val="0"/>
      <w:marBottom w:val="0"/>
      <w:divBdr>
        <w:top w:val="none" w:sz="0" w:space="0" w:color="auto"/>
        <w:left w:val="none" w:sz="0" w:space="0" w:color="auto"/>
        <w:bottom w:val="none" w:sz="0" w:space="0" w:color="auto"/>
        <w:right w:val="none" w:sz="0" w:space="0" w:color="auto"/>
      </w:divBdr>
    </w:div>
    <w:div w:id="1557887358">
      <w:bodyDiv w:val="1"/>
      <w:marLeft w:val="0"/>
      <w:marRight w:val="0"/>
      <w:marTop w:val="0"/>
      <w:marBottom w:val="0"/>
      <w:divBdr>
        <w:top w:val="none" w:sz="0" w:space="0" w:color="auto"/>
        <w:left w:val="none" w:sz="0" w:space="0" w:color="auto"/>
        <w:bottom w:val="none" w:sz="0" w:space="0" w:color="auto"/>
        <w:right w:val="none" w:sz="0" w:space="0" w:color="auto"/>
      </w:divBdr>
    </w:div>
    <w:div w:id="1619988868">
      <w:bodyDiv w:val="1"/>
      <w:marLeft w:val="0"/>
      <w:marRight w:val="0"/>
      <w:marTop w:val="0"/>
      <w:marBottom w:val="0"/>
      <w:divBdr>
        <w:top w:val="none" w:sz="0" w:space="0" w:color="auto"/>
        <w:left w:val="none" w:sz="0" w:space="0" w:color="auto"/>
        <w:bottom w:val="none" w:sz="0" w:space="0" w:color="auto"/>
        <w:right w:val="none" w:sz="0" w:space="0" w:color="auto"/>
      </w:divBdr>
    </w:div>
    <w:div w:id="1794516146">
      <w:bodyDiv w:val="1"/>
      <w:marLeft w:val="0"/>
      <w:marRight w:val="0"/>
      <w:marTop w:val="0"/>
      <w:marBottom w:val="0"/>
      <w:divBdr>
        <w:top w:val="none" w:sz="0" w:space="0" w:color="auto"/>
        <w:left w:val="none" w:sz="0" w:space="0" w:color="auto"/>
        <w:bottom w:val="none" w:sz="0" w:space="0" w:color="auto"/>
        <w:right w:val="none" w:sz="0" w:space="0" w:color="auto"/>
      </w:divBdr>
    </w:div>
    <w:div w:id="1796869307">
      <w:bodyDiv w:val="1"/>
      <w:marLeft w:val="0"/>
      <w:marRight w:val="0"/>
      <w:marTop w:val="0"/>
      <w:marBottom w:val="0"/>
      <w:divBdr>
        <w:top w:val="none" w:sz="0" w:space="0" w:color="auto"/>
        <w:left w:val="none" w:sz="0" w:space="0" w:color="auto"/>
        <w:bottom w:val="none" w:sz="0" w:space="0" w:color="auto"/>
        <w:right w:val="none" w:sz="0" w:space="0" w:color="auto"/>
      </w:divBdr>
    </w:div>
    <w:div w:id="1936790661">
      <w:bodyDiv w:val="1"/>
      <w:marLeft w:val="0"/>
      <w:marRight w:val="0"/>
      <w:marTop w:val="0"/>
      <w:marBottom w:val="0"/>
      <w:divBdr>
        <w:top w:val="none" w:sz="0" w:space="0" w:color="auto"/>
        <w:left w:val="none" w:sz="0" w:space="0" w:color="auto"/>
        <w:bottom w:val="none" w:sz="0" w:space="0" w:color="auto"/>
        <w:right w:val="none" w:sz="0" w:space="0" w:color="auto"/>
      </w:divBdr>
    </w:div>
    <w:div w:id="1954510897">
      <w:bodyDiv w:val="1"/>
      <w:marLeft w:val="0"/>
      <w:marRight w:val="0"/>
      <w:marTop w:val="0"/>
      <w:marBottom w:val="0"/>
      <w:divBdr>
        <w:top w:val="none" w:sz="0" w:space="0" w:color="auto"/>
        <w:left w:val="none" w:sz="0" w:space="0" w:color="auto"/>
        <w:bottom w:val="none" w:sz="0" w:space="0" w:color="auto"/>
        <w:right w:val="none" w:sz="0" w:space="0" w:color="auto"/>
      </w:divBdr>
    </w:div>
    <w:div w:id="19823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P.837/en" TargetMode="External"/><Relationship Id="rId21" Type="http://schemas.openxmlformats.org/officeDocument/2006/relationships/hyperlink" Target="https://www.itu.int/rec/R-REC-P.526/en" TargetMode="External"/><Relationship Id="rId42" Type="http://schemas.openxmlformats.org/officeDocument/2006/relationships/hyperlink" Target="https://www.itu.int/pub/R-REP-F.2558" TargetMode="External"/><Relationship Id="rId47" Type="http://schemas.openxmlformats.org/officeDocument/2006/relationships/hyperlink" Target="https://www.itu.int/pub/R-REP-M.2562" TargetMode="External"/><Relationship Id="rId63" Type="http://schemas.openxmlformats.org/officeDocument/2006/relationships/hyperlink" Target="https://www.itu.int/pub/R-REP-BT.2299" TargetMode="External"/><Relationship Id="rId68" Type="http://schemas.openxmlformats.org/officeDocument/2006/relationships/hyperlink" Target="https://www.itu.int/pub/R-REP-BT.2448" TargetMode="External"/><Relationship Id="rId84" Type="http://schemas.openxmlformats.org/officeDocument/2006/relationships/hyperlink" Target="https://www.itu.int/rec/R-REC-V.431/en" TargetMode="External"/><Relationship Id="rId89" Type="http://schemas.openxmlformats.org/officeDocument/2006/relationships/hyperlink" Target="https://www.itu.int/md/R23-SG01-C-0045/en" TargetMode="External"/><Relationship Id="rId112" Type="http://schemas.openxmlformats.org/officeDocument/2006/relationships/header" Target="header2.xml"/><Relationship Id="rId16" Type="http://schemas.openxmlformats.org/officeDocument/2006/relationships/hyperlink" Target="https://www.itu.int/rec/R-REC-SM.2110/en" TargetMode="External"/><Relationship Id="rId107" Type="http://schemas.openxmlformats.org/officeDocument/2006/relationships/hyperlink" Target="https://www.itu.int/dms_ties/itu-r/oth/0a/0d/R0A0D00002B0001PPTE.pptx" TargetMode="External"/><Relationship Id="rId11" Type="http://schemas.openxmlformats.org/officeDocument/2006/relationships/image" Target="media/image1.jpeg"/><Relationship Id="rId32" Type="http://schemas.openxmlformats.org/officeDocument/2006/relationships/hyperlink" Target="https://www.itu.int/rec/R-REC-P.1814/en" TargetMode="External"/><Relationship Id="rId37" Type="http://schemas.openxmlformats.org/officeDocument/2006/relationships/hyperlink" Target="https://www.itu.int/pub/R-REP-P.2554" TargetMode="External"/><Relationship Id="rId53" Type="http://schemas.openxmlformats.org/officeDocument/2006/relationships/hyperlink" Target="https://www.itu.int/rec/R-REC-BS.1548/en" TargetMode="External"/><Relationship Id="rId58" Type="http://schemas.openxmlformats.org/officeDocument/2006/relationships/hyperlink" Target="https://www.itu.int/pub/R-REP-BS.2555" TargetMode="External"/><Relationship Id="rId74" Type="http://schemas.openxmlformats.org/officeDocument/2006/relationships/hyperlink" Target="https://www.itu.int/pub/R-REP-BT.2557" TargetMode="External"/><Relationship Id="rId79" Type="http://schemas.openxmlformats.org/officeDocument/2006/relationships/hyperlink" Target="https://www.itu.int/pub/R-REP-RA.2551" TargetMode="External"/><Relationship Id="rId102" Type="http://schemas.openxmlformats.org/officeDocument/2006/relationships/hyperlink" Target="https://www.itu.int/br_tsb_terms/" TargetMode="External"/><Relationship Id="rId5" Type="http://schemas.openxmlformats.org/officeDocument/2006/relationships/numbering" Target="numbering.xml"/><Relationship Id="rId90" Type="http://schemas.openxmlformats.org/officeDocument/2006/relationships/hyperlink" Target="https://www.itu.int/online/mm/scripts/s/gensel90?_filtertxt2=%2CITU-R+Working+Party&amp;_filtertxt3=%2CVice+-+Chair&amp;_filtertxt4=%2CITU-R+Working+Party+1A%2CITU-R+Working+Party+1B%2CITU-R+Working+Party+1C&amp;_filtertxt=&amp;_campaigntype=ITU-R+Working+Party&amp;_descr=ITU-R+Working+Party+1A&amp;_descr=ITU-R+Working+Party+1B&amp;_descr=ITU-R+Working+Party+1C&amp;_roles=Vice+-+Chair&amp;studyperiod=M-00000291" TargetMode="External"/><Relationship Id="rId95" Type="http://schemas.openxmlformats.org/officeDocument/2006/relationships/hyperlink" Target="https://www.itu.int/md/R00-CACE-CIR-1168/en" TargetMode="External"/><Relationship Id="rId22" Type="http://schemas.openxmlformats.org/officeDocument/2006/relationships/hyperlink" Target="https://www.itu.int/rec/R-REC-P.530/en" TargetMode="External"/><Relationship Id="rId27" Type="http://schemas.openxmlformats.org/officeDocument/2006/relationships/hyperlink" Target="https://www.itu.int/rec/R-REC-P.1144/en" TargetMode="External"/><Relationship Id="rId43" Type="http://schemas.openxmlformats.org/officeDocument/2006/relationships/hyperlink" Target="https://www.itu.int/pub/R-REP-M.2039" TargetMode="External"/><Relationship Id="rId48" Type="http://schemas.openxmlformats.org/officeDocument/2006/relationships/hyperlink" Target="https://www.itu.int/pub/R-REP-M.2563" TargetMode="External"/><Relationship Id="rId64" Type="http://schemas.openxmlformats.org/officeDocument/2006/relationships/hyperlink" Target="https://www.itu.int/pub/R-REP-BT.2343" TargetMode="External"/><Relationship Id="rId69" Type="http://schemas.openxmlformats.org/officeDocument/2006/relationships/hyperlink" Target="https://www.itu.int/pub/R-REP-BT.2526" TargetMode="External"/><Relationship Id="rId113" Type="http://schemas.openxmlformats.org/officeDocument/2006/relationships/fontTable" Target="fontTable.xml"/><Relationship Id="rId80" Type="http://schemas.openxmlformats.org/officeDocument/2006/relationships/hyperlink" Target="https://www.itu.int/pub/R-REP-RA.2552" TargetMode="External"/><Relationship Id="rId85" Type="http://schemas.openxmlformats.org/officeDocument/2006/relationships/hyperlink" Target="https://www.itu.int/md/R00-CACE-CIR-1131/en" TargetMode="External"/><Relationship Id="rId12" Type="http://schemas.openxmlformats.org/officeDocument/2006/relationships/hyperlink" Target="https://www.itu.int/md/R00-CA-CIR-0280/en" TargetMode="External"/><Relationship Id="rId17" Type="http://schemas.openxmlformats.org/officeDocument/2006/relationships/hyperlink" Target="https://www.itu.int/pub/R-REP-SM.2012" TargetMode="External"/><Relationship Id="rId33" Type="http://schemas.openxmlformats.org/officeDocument/2006/relationships/hyperlink" Target="https://www.itu.int/rec/R-REC-P.2001/en" TargetMode="External"/><Relationship Id="rId38" Type="http://schemas.openxmlformats.org/officeDocument/2006/relationships/hyperlink" Target="https://www.itu.int/pub/R-QUE-SG03.237" TargetMode="External"/><Relationship Id="rId59" Type="http://schemas.openxmlformats.org/officeDocument/2006/relationships/hyperlink" Target="https://www.itu.int/pub/R-REP-BT.2295" TargetMode="External"/><Relationship Id="rId103" Type="http://schemas.openxmlformats.org/officeDocument/2006/relationships/hyperlink" Target="https://www.itu.int/md/R23-RAG-C-0058/en" TargetMode="External"/><Relationship Id="rId108" Type="http://schemas.openxmlformats.org/officeDocument/2006/relationships/hyperlink" Target="https://www.itu.int/oth/R0A0D00002C" TargetMode="External"/><Relationship Id="rId54" Type="http://schemas.openxmlformats.org/officeDocument/2006/relationships/hyperlink" Target="https://www.itu.int/rec/R-REC-BS.2088/en" TargetMode="External"/><Relationship Id="rId70" Type="http://schemas.openxmlformats.org/officeDocument/2006/relationships/hyperlink" Target="https://www.itu.int/pub/R-REP-BT.2539" TargetMode="External"/><Relationship Id="rId75" Type="http://schemas.openxmlformats.org/officeDocument/2006/relationships/hyperlink" Target="https://www.itu.int/rec/R-REC-RS.1166/en" TargetMode="External"/><Relationship Id="rId91" Type="http://schemas.openxmlformats.org/officeDocument/2006/relationships/hyperlink" Target="https://www.itu.int/md/R00-SG01-CIR-0115/en" TargetMode="External"/><Relationship Id="rId96" Type="http://schemas.openxmlformats.org/officeDocument/2006/relationships/hyperlink" Target="https://www.itu.int/en/ITU-R/seminars/Fixed-Wireless-Service/Pages/default.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rec/R-REC-SM.328/en" TargetMode="External"/><Relationship Id="rId23" Type="http://schemas.openxmlformats.org/officeDocument/2006/relationships/hyperlink" Target="https://www.itu.int/rec/R-REC-P.531/en" TargetMode="External"/><Relationship Id="rId28" Type="http://schemas.openxmlformats.org/officeDocument/2006/relationships/hyperlink" Target="https://www.itu.int/rec/R-REC-P.1238/en" TargetMode="External"/><Relationship Id="rId36" Type="http://schemas.openxmlformats.org/officeDocument/2006/relationships/hyperlink" Target="https://www.itu.int/pub/R-REP-P.2345" TargetMode="External"/><Relationship Id="rId49" Type="http://schemas.openxmlformats.org/officeDocument/2006/relationships/hyperlink" Target="https://www.itu.int/pub/R-HDB-52" TargetMode="External"/><Relationship Id="rId57" Type="http://schemas.openxmlformats.org/officeDocument/2006/relationships/hyperlink" Target="https://www.itu.int/pub/R-REP-BS.2388" TargetMode="External"/><Relationship Id="rId106" Type="http://schemas.openxmlformats.org/officeDocument/2006/relationships/hyperlink" Target="https://www.itu.int/md/R23-RAG-C-0058/e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itu.int/rec/R-REC-P.1812/en" TargetMode="External"/><Relationship Id="rId44" Type="http://schemas.openxmlformats.org/officeDocument/2006/relationships/hyperlink" Target="https://www.itu.int/pub/R-REP-M.2559" TargetMode="External"/><Relationship Id="rId52" Type="http://schemas.openxmlformats.org/officeDocument/2006/relationships/hyperlink" Target="https://www.itu.int/rec/R-REC-BS.1514/en" TargetMode="External"/><Relationship Id="rId60" Type="http://schemas.openxmlformats.org/officeDocument/2006/relationships/hyperlink" Target="https://www.itu.int/pub/R-REP-BT.2385" TargetMode="External"/><Relationship Id="rId65" Type="http://schemas.openxmlformats.org/officeDocument/2006/relationships/hyperlink" Target="https://www.itu.int/pub/R-REP-BT.2390" TargetMode="External"/><Relationship Id="rId73" Type="http://schemas.openxmlformats.org/officeDocument/2006/relationships/hyperlink" Target="https://www.itu.int/pub/R-REP-BT.2556" TargetMode="External"/><Relationship Id="rId78" Type="http://schemas.openxmlformats.org/officeDocument/2006/relationships/hyperlink" Target="https://www.itu.int/rec/R-REC-SA.2169/en" TargetMode="External"/><Relationship Id="rId81" Type="http://schemas.openxmlformats.org/officeDocument/2006/relationships/hyperlink" Target="https://www.itu.int/pub/R-REP-RS.2310" TargetMode="External"/><Relationship Id="rId86" Type="http://schemas.openxmlformats.org/officeDocument/2006/relationships/hyperlink" Target="https://www.itu.int/md/R00-SG01-CIR-0113/en" TargetMode="External"/><Relationship Id="rId94" Type="http://schemas.openxmlformats.org/officeDocument/2006/relationships/hyperlink" Target="https://www.itu.int/md/R00-CACE-CIR-1165/en" TargetMode="External"/><Relationship Id="rId99" Type="http://schemas.openxmlformats.org/officeDocument/2006/relationships/hyperlink" Target="https://www.itu.int/en/ITU-R/study-groups/rsg7/Pages/Seminar-Science-Services-RR-WRC27-2025.aspx" TargetMode="External"/><Relationship Id="rId101" Type="http://schemas.openxmlformats.org/officeDocument/2006/relationships/hyperlink" Target="https://www.itu.int/en/general-secretariat/Pages/coordination-committee-for-terminology.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hyperlink" Target="https://www.itu.int/pub/R-REP-SM.2015" TargetMode="External"/><Relationship Id="rId39" Type="http://schemas.openxmlformats.org/officeDocument/2006/relationships/hyperlink" Target="https://www.itu.int/pub/R-REP-M.2305" TargetMode="External"/><Relationship Id="rId109" Type="http://schemas.openxmlformats.org/officeDocument/2006/relationships/hyperlink" Target="https://www.itu.int/md/R23-RAG-C-0058/en" TargetMode="External"/><Relationship Id="rId34" Type="http://schemas.openxmlformats.org/officeDocument/2006/relationships/hyperlink" Target="https://www.itu.int/rec/R-REC-P.2040/en" TargetMode="External"/><Relationship Id="rId50" Type="http://schemas.openxmlformats.org/officeDocument/2006/relationships/hyperlink" Target="https://www.itu.int/rec/R-REC-BS.705/en" TargetMode="External"/><Relationship Id="rId55" Type="http://schemas.openxmlformats.org/officeDocument/2006/relationships/hyperlink" Target="https://www.itu.int/rec/R-REC-BT.1774/en" TargetMode="External"/><Relationship Id="rId76" Type="http://schemas.openxmlformats.org/officeDocument/2006/relationships/hyperlink" Target="https://www.itu.int/rec/R-REC-RS.2105/en" TargetMode="External"/><Relationship Id="rId97" Type="http://schemas.openxmlformats.org/officeDocument/2006/relationships/hyperlink" Target="https://www.itu.int/md/R23-SG05-C-0116/en" TargetMode="External"/><Relationship Id="rId104" Type="http://schemas.openxmlformats.org/officeDocument/2006/relationships/hyperlink" Target="https://www.itu.int/md/R23-SG01-C-0045/en" TargetMode="External"/><Relationship Id="rId7" Type="http://schemas.openxmlformats.org/officeDocument/2006/relationships/settings" Target="settings.xml"/><Relationship Id="rId71" Type="http://schemas.openxmlformats.org/officeDocument/2006/relationships/hyperlink" Target="https://www.itu.int/pub/R-REP-BT.2549" TargetMode="External"/><Relationship Id="rId92" Type="http://schemas.openxmlformats.org/officeDocument/2006/relationships/hyperlink" Target="https://www.itu.int/en/ITU-R/seminars/ML-in-radio-prop/Pages/default.aspx" TargetMode="External"/><Relationship Id="rId2" Type="http://schemas.openxmlformats.org/officeDocument/2006/relationships/customXml" Target="../customXml/item2.xml"/><Relationship Id="rId29" Type="http://schemas.openxmlformats.org/officeDocument/2006/relationships/hyperlink" Target="https://www.itu.int/rec/R-REC-P.1409/en" TargetMode="External"/><Relationship Id="rId24" Type="http://schemas.openxmlformats.org/officeDocument/2006/relationships/hyperlink" Target="https://www.itu.int/rec/R-REC-P.617/en" TargetMode="External"/><Relationship Id="rId40" Type="http://schemas.openxmlformats.org/officeDocument/2006/relationships/hyperlink" Target="https://www.itu.int/pub/R-REP-M.2564" TargetMode="External"/><Relationship Id="rId45" Type="http://schemas.openxmlformats.org/officeDocument/2006/relationships/hyperlink" Target="https://www.itu.int/pub/R-REP-M.2560" TargetMode="External"/><Relationship Id="rId66" Type="http://schemas.openxmlformats.org/officeDocument/2006/relationships/hyperlink" Target="https://www.itu.int/pub/R-REP-BT.2400" TargetMode="External"/><Relationship Id="rId87" Type="http://schemas.openxmlformats.org/officeDocument/2006/relationships/hyperlink" Target="https://www.itu.int/md/R23-SG01-C-0001/en" TargetMode="External"/><Relationship Id="rId110" Type="http://schemas.openxmlformats.org/officeDocument/2006/relationships/hyperlink" Target="https://www.itu.int/md/R00-CACE-CIR-1151/en" TargetMode="External"/><Relationship Id="rId61" Type="http://schemas.openxmlformats.org/officeDocument/2006/relationships/hyperlink" Target="https://www.itu.int/pub/R-REP-BT.2207" TargetMode="External"/><Relationship Id="rId82" Type="http://schemas.openxmlformats.org/officeDocument/2006/relationships/hyperlink" Target="https://www.itu.int/pub/R-REP-RS.2489" TargetMode="External"/><Relationship Id="rId19" Type="http://schemas.openxmlformats.org/officeDocument/2006/relationships/hyperlink" Target="https://www.itu.int/rec/R-REC-P.310/en" TargetMode="External"/><Relationship Id="rId14" Type="http://schemas.openxmlformats.org/officeDocument/2006/relationships/hyperlink" Target="https://www.itu.int/md/R23-RAG-C-0058/en" TargetMode="External"/><Relationship Id="rId30" Type="http://schemas.openxmlformats.org/officeDocument/2006/relationships/hyperlink" Target="https://www.itu.int/rec/R-REC-P.1411/en" TargetMode="External"/><Relationship Id="rId35" Type="http://schemas.openxmlformats.org/officeDocument/2006/relationships/hyperlink" Target="https://www.itu.int/rec/R-REC-P.2170/en" TargetMode="External"/><Relationship Id="rId56" Type="http://schemas.openxmlformats.org/officeDocument/2006/relationships/hyperlink" Target="https://www.itu.int/rec/R-REC-BT.2111/en" TargetMode="External"/><Relationship Id="rId77" Type="http://schemas.openxmlformats.org/officeDocument/2006/relationships/hyperlink" Target="https://www.itu.int/rec/R-REC-SA.2141/en" TargetMode="External"/><Relationship Id="rId100" Type="http://schemas.openxmlformats.org/officeDocument/2006/relationships/hyperlink" Target="https://www.itu.int/Global-ITU-WMO/use-and-management-of-radio-spectrum-for-meteorology/" TargetMode="External"/><Relationship Id="rId105" Type="http://schemas.openxmlformats.org/officeDocument/2006/relationships/hyperlink" Target="https://www.itu.int/md/R00-CA-CIR-0277/en" TargetMode="External"/><Relationship Id="rId8" Type="http://schemas.openxmlformats.org/officeDocument/2006/relationships/webSettings" Target="webSettings.xml"/><Relationship Id="rId51" Type="http://schemas.openxmlformats.org/officeDocument/2006/relationships/hyperlink" Target="https://www.itu.int/rec/R-REC-BS.1114/en" TargetMode="External"/><Relationship Id="rId72" Type="http://schemas.openxmlformats.org/officeDocument/2006/relationships/hyperlink" Target="https://www.itu.int/pub/R-REP-BT.2550" TargetMode="External"/><Relationship Id="rId93" Type="http://schemas.openxmlformats.org/officeDocument/2006/relationships/hyperlink" Target="https://www.itu.int/pub/R-HDB-52" TargetMode="External"/><Relationship Id="rId98" Type="http://schemas.openxmlformats.org/officeDocument/2006/relationships/hyperlink" Target="http://www.itu.int/oth/R0A0E000097" TargetMode="External"/><Relationship Id="rId3" Type="http://schemas.openxmlformats.org/officeDocument/2006/relationships/customXml" Target="../customXml/item3.xml"/><Relationship Id="rId25" Type="http://schemas.openxmlformats.org/officeDocument/2006/relationships/hyperlink" Target="https://www.itu.int/rec/R-REC-P.619/en" TargetMode="External"/><Relationship Id="rId46" Type="http://schemas.openxmlformats.org/officeDocument/2006/relationships/hyperlink" Target="https://www.itu.int/pub/R-REP-M.2561" TargetMode="External"/><Relationship Id="rId67" Type="http://schemas.openxmlformats.org/officeDocument/2006/relationships/hyperlink" Target="https://www.itu.int/pub/R-REP-BT.2420" TargetMode="External"/><Relationship Id="rId20" Type="http://schemas.openxmlformats.org/officeDocument/2006/relationships/hyperlink" Target="https://www.itu.int/rec/R-REC-P.311/en" TargetMode="External"/><Relationship Id="rId41" Type="http://schemas.openxmlformats.org/officeDocument/2006/relationships/hyperlink" Target="https://www.itu.int/pub/R-REP-S.2565" TargetMode="External"/><Relationship Id="rId62" Type="http://schemas.openxmlformats.org/officeDocument/2006/relationships/hyperlink" Target="https://www.itu.int/pub/R-REP-BT.2246" TargetMode="External"/><Relationship Id="rId83" Type="http://schemas.openxmlformats.org/officeDocument/2006/relationships/hyperlink" Target="https://www.itu.int/pub/R-REP-SA.2553" TargetMode="External"/><Relationship Id="rId88" Type="http://schemas.openxmlformats.org/officeDocument/2006/relationships/hyperlink" Target="https://www.itu.int/md/R00-CA-CIR-0277/en" TargetMode="External"/><Relationship Id="rId11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EE23-4567-A6AB-8B9756D71321}"/>
              </c:ext>
            </c:extLst>
          </c:dPt>
          <c:dPt>
            <c:idx val="5"/>
            <c:invertIfNegative val="0"/>
            <c:bubble3D val="0"/>
            <c:spPr>
              <a:solidFill>
                <a:srgbClr val="ED7D31"/>
              </a:solidFill>
              <a:ln>
                <a:noFill/>
              </a:ln>
              <a:effectLst/>
            </c:spPr>
            <c:extLst>
              <c:ext xmlns:c16="http://schemas.microsoft.com/office/drawing/2014/chart" uri="{C3380CC4-5D6E-409C-BE32-E72D297353CC}">
                <c16:uniqueId val="{00000003-EE23-4567-A6AB-8B9756D71321}"/>
              </c:ext>
            </c:extLst>
          </c:dPt>
          <c:dPt>
            <c:idx val="6"/>
            <c:invertIfNegative val="0"/>
            <c:bubble3D val="0"/>
            <c:spPr>
              <a:solidFill>
                <a:srgbClr val="ED7D31"/>
              </a:solidFill>
              <a:ln>
                <a:noFill/>
              </a:ln>
              <a:effectLst/>
            </c:spPr>
            <c:extLst>
              <c:ext xmlns:c16="http://schemas.microsoft.com/office/drawing/2014/chart" uri="{C3380CC4-5D6E-409C-BE32-E72D297353CC}">
                <c16:uniqueId val="{00000005-EE23-4567-A6AB-8B9756D71321}"/>
              </c:ext>
            </c:extLst>
          </c:dPt>
          <c:dPt>
            <c:idx val="7"/>
            <c:invertIfNegative val="0"/>
            <c:bubble3D val="0"/>
            <c:spPr>
              <a:solidFill>
                <a:srgbClr val="ED7D31"/>
              </a:solidFill>
              <a:ln>
                <a:noFill/>
              </a:ln>
              <a:effectLst/>
            </c:spPr>
            <c:extLst>
              <c:ext xmlns:c16="http://schemas.microsoft.com/office/drawing/2014/chart" uri="{C3380CC4-5D6E-409C-BE32-E72D297353CC}">
                <c16:uniqueId val="{00000007-EE23-4567-A6AB-8B9756D71321}"/>
              </c:ext>
            </c:extLst>
          </c:dPt>
          <c:dPt>
            <c:idx val="8"/>
            <c:invertIfNegative val="0"/>
            <c:bubble3D val="0"/>
            <c:spPr>
              <a:solidFill>
                <a:srgbClr val="ED7D31"/>
              </a:solidFill>
              <a:ln>
                <a:noFill/>
              </a:ln>
              <a:effectLst/>
            </c:spPr>
            <c:extLst>
              <c:ext xmlns:c16="http://schemas.microsoft.com/office/drawing/2014/chart" uri="{C3380CC4-5D6E-409C-BE32-E72D297353CC}">
                <c16:uniqueId val="{00000009-EE23-4567-A6AB-8B9756D71321}"/>
              </c:ext>
            </c:extLst>
          </c:dPt>
          <c:dPt>
            <c:idx val="9"/>
            <c:invertIfNegative val="0"/>
            <c:bubble3D val="0"/>
            <c:spPr>
              <a:solidFill>
                <a:srgbClr val="00823B"/>
              </a:solidFill>
              <a:ln>
                <a:noFill/>
              </a:ln>
              <a:effectLst/>
            </c:spPr>
            <c:extLst>
              <c:ext xmlns:c16="http://schemas.microsoft.com/office/drawing/2014/chart" uri="{C3380CC4-5D6E-409C-BE32-E72D297353CC}">
                <c16:uniqueId val="{0000000B-EE23-4567-A6AB-8B9756D71321}"/>
              </c:ext>
            </c:extLst>
          </c:dPt>
          <c:dPt>
            <c:idx val="10"/>
            <c:invertIfNegative val="0"/>
            <c:bubble3D val="0"/>
            <c:spPr>
              <a:solidFill>
                <a:srgbClr val="00B050"/>
              </a:solidFill>
              <a:ln>
                <a:noFill/>
              </a:ln>
              <a:effectLst/>
            </c:spPr>
            <c:extLst>
              <c:ext xmlns:c16="http://schemas.microsoft.com/office/drawing/2014/chart" uri="{C3380CC4-5D6E-409C-BE32-E72D297353CC}">
                <c16:uniqueId val="{0000000D-EE23-4567-A6AB-8B9756D71321}"/>
              </c:ext>
            </c:extLst>
          </c:dPt>
          <c:dPt>
            <c:idx val="11"/>
            <c:invertIfNegative val="0"/>
            <c:bubble3D val="0"/>
            <c:spPr>
              <a:solidFill>
                <a:srgbClr val="00B050"/>
              </a:solidFill>
              <a:ln>
                <a:noFill/>
              </a:ln>
              <a:effectLst/>
            </c:spPr>
            <c:extLst>
              <c:ext xmlns:c16="http://schemas.microsoft.com/office/drawing/2014/chart" uri="{C3380CC4-5D6E-409C-BE32-E72D297353CC}">
                <c16:uniqueId val="{0000000F-EE23-4567-A6AB-8B9756D71321}"/>
              </c:ext>
            </c:extLst>
          </c:dPt>
          <c:dPt>
            <c:idx val="12"/>
            <c:invertIfNegative val="0"/>
            <c:bubble3D val="0"/>
            <c:spPr>
              <a:solidFill>
                <a:srgbClr val="00B050"/>
              </a:solidFill>
              <a:ln>
                <a:noFill/>
              </a:ln>
              <a:effectLst/>
            </c:spPr>
            <c:extLst>
              <c:ext xmlns:c16="http://schemas.microsoft.com/office/drawing/2014/chart" uri="{C3380CC4-5D6E-409C-BE32-E72D297353CC}">
                <c16:uniqueId val="{00000011-EE23-4567-A6AB-8B9756D71321}"/>
              </c:ext>
            </c:extLst>
          </c:dPt>
          <c:dPt>
            <c:idx val="13"/>
            <c:invertIfNegative val="0"/>
            <c:bubble3D val="0"/>
            <c:spPr>
              <a:solidFill>
                <a:srgbClr val="532476"/>
              </a:solidFill>
              <a:ln>
                <a:noFill/>
              </a:ln>
              <a:effectLst/>
            </c:spPr>
            <c:extLst>
              <c:ext xmlns:c16="http://schemas.microsoft.com/office/drawing/2014/chart" uri="{C3380CC4-5D6E-409C-BE32-E72D297353CC}">
                <c16:uniqueId val="{00000013-EE23-4567-A6AB-8B9756D71321}"/>
              </c:ext>
            </c:extLst>
          </c:dPt>
          <c:dPt>
            <c:idx val="14"/>
            <c:invertIfNegative val="0"/>
            <c:bubble3D val="0"/>
            <c:spPr>
              <a:solidFill>
                <a:srgbClr val="7030A0"/>
              </a:solidFill>
              <a:ln>
                <a:noFill/>
              </a:ln>
              <a:effectLst/>
            </c:spPr>
            <c:extLst>
              <c:ext xmlns:c16="http://schemas.microsoft.com/office/drawing/2014/chart" uri="{C3380CC4-5D6E-409C-BE32-E72D297353CC}">
                <c16:uniqueId val="{00000015-EE23-4567-A6AB-8B9756D71321}"/>
              </c:ext>
            </c:extLst>
          </c:dPt>
          <c:dPt>
            <c:idx val="15"/>
            <c:invertIfNegative val="0"/>
            <c:bubble3D val="0"/>
            <c:spPr>
              <a:solidFill>
                <a:srgbClr val="7030A0"/>
              </a:solidFill>
              <a:ln>
                <a:noFill/>
              </a:ln>
              <a:effectLst/>
            </c:spPr>
            <c:extLst>
              <c:ext xmlns:c16="http://schemas.microsoft.com/office/drawing/2014/chart" uri="{C3380CC4-5D6E-409C-BE32-E72D297353CC}">
                <c16:uniqueId val="{00000017-EE23-4567-A6AB-8B9756D71321}"/>
              </c:ext>
            </c:extLst>
          </c:dPt>
          <c:dPt>
            <c:idx val="16"/>
            <c:invertIfNegative val="0"/>
            <c:bubble3D val="0"/>
            <c:spPr>
              <a:solidFill>
                <a:srgbClr val="7030A0"/>
              </a:solidFill>
              <a:ln>
                <a:noFill/>
              </a:ln>
              <a:effectLst/>
            </c:spPr>
            <c:extLst>
              <c:ext xmlns:c16="http://schemas.microsoft.com/office/drawing/2014/chart" uri="{C3380CC4-5D6E-409C-BE32-E72D297353CC}">
                <c16:uniqueId val="{00000019-EE23-4567-A6AB-8B9756D71321}"/>
              </c:ext>
            </c:extLst>
          </c:dPt>
          <c:dPt>
            <c:idx val="17"/>
            <c:invertIfNegative val="0"/>
            <c:bubble3D val="0"/>
            <c:spPr>
              <a:solidFill>
                <a:srgbClr val="7030A0"/>
              </a:solidFill>
              <a:ln>
                <a:noFill/>
              </a:ln>
              <a:effectLst/>
            </c:spPr>
            <c:extLst>
              <c:ext xmlns:c16="http://schemas.microsoft.com/office/drawing/2014/chart" uri="{C3380CC4-5D6E-409C-BE32-E72D297353CC}">
                <c16:uniqueId val="{0000001B-EE23-4567-A6AB-8B9756D71321}"/>
              </c:ext>
            </c:extLst>
          </c:dPt>
          <c:dPt>
            <c:idx val="18"/>
            <c:invertIfNegative val="0"/>
            <c:bubble3D val="0"/>
            <c:spPr>
              <a:solidFill>
                <a:srgbClr val="A80000"/>
              </a:solidFill>
              <a:ln>
                <a:noFill/>
              </a:ln>
              <a:effectLst/>
            </c:spPr>
            <c:extLst>
              <c:ext xmlns:c16="http://schemas.microsoft.com/office/drawing/2014/chart" uri="{C3380CC4-5D6E-409C-BE32-E72D297353CC}">
                <c16:uniqueId val="{0000001D-EE23-4567-A6AB-8B9756D71321}"/>
              </c:ext>
            </c:extLst>
          </c:dPt>
          <c:dPt>
            <c:idx val="19"/>
            <c:invertIfNegative val="0"/>
            <c:bubble3D val="0"/>
            <c:spPr>
              <a:solidFill>
                <a:srgbClr val="C00000"/>
              </a:solidFill>
              <a:ln>
                <a:noFill/>
              </a:ln>
              <a:effectLst/>
            </c:spPr>
            <c:extLst>
              <c:ext xmlns:c16="http://schemas.microsoft.com/office/drawing/2014/chart" uri="{C3380CC4-5D6E-409C-BE32-E72D297353CC}">
                <c16:uniqueId val="{0000001F-EE23-4567-A6AB-8B9756D71321}"/>
              </c:ext>
            </c:extLst>
          </c:dPt>
          <c:dPt>
            <c:idx val="20"/>
            <c:invertIfNegative val="0"/>
            <c:bubble3D val="0"/>
            <c:spPr>
              <a:solidFill>
                <a:srgbClr val="C00000"/>
              </a:solidFill>
              <a:ln>
                <a:noFill/>
              </a:ln>
              <a:effectLst/>
            </c:spPr>
            <c:extLst>
              <c:ext xmlns:c16="http://schemas.microsoft.com/office/drawing/2014/chart" uri="{C3380CC4-5D6E-409C-BE32-E72D297353CC}">
                <c16:uniqueId val="{00000021-EE23-4567-A6AB-8B9756D71321}"/>
              </c:ext>
            </c:extLst>
          </c:dPt>
          <c:dPt>
            <c:idx val="21"/>
            <c:invertIfNegative val="0"/>
            <c:bubble3D val="0"/>
            <c:spPr>
              <a:solidFill>
                <a:srgbClr val="C00000"/>
              </a:solidFill>
              <a:ln>
                <a:noFill/>
              </a:ln>
              <a:effectLst/>
            </c:spPr>
            <c:extLst>
              <c:ext xmlns:c16="http://schemas.microsoft.com/office/drawing/2014/chart" uri="{C3380CC4-5D6E-409C-BE32-E72D297353CC}">
                <c16:uniqueId val="{00000023-EE23-4567-A6AB-8B9756D71321}"/>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EE23-4567-A6AB-8B9756D71321}"/>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EE23-4567-A6AB-8B9756D71321}"/>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EE23-4567-A6AB-8B9756D71321}"/>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EE23-4567-A6AB-8B9756D71321}"/>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EE23-4567-A6AB-8B9756D71321}"/>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EE23-4567-A6AB-8B9756D71321}"/>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participants in-person</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0F1BCC72-D33F-4923-A589-28022D0D71B0}">
  <ds:schemaRefs>
    <ds:schemaRef ds:uri="http://schemas.openxmlformats.org/officeDocument/2006/bibliography"/>
  </ds:schemaRefs>
</ds:datastoreItem>
</file>

<file path=customXml/itemProps3.xml><?xml version="1.0" encoding="utf-8"?>
<ds:datastoreItem xmlns:ds="http://schemas.openxmlformats.org/officeDocument/2006/customXml" ds:itemID="{CCE575EE-FAC1-44D7-A313-D4652BF6B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docProps/app.xml><?xml version="1.0" encoding="utf-8"?>
<Properties xmlns="http://schemas.openxmlformats.org/officeDocument/2006/extended-properties" xmlns:vt="http://schemas.openxmlformats.org/officeDocument/2006/docPropsVTypes">
  <Template>English.dotm</Template>
  <TotalTime>287</TotalTime>
  <Pages>10</Pages>
  <Words>3958</Words>
  <Characters>27565</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164</cp:revision>
  <cp:lastPrinted>1999-10-01T00:03:00Z</cp:lastPrinted>
  <dcterms:created xsi:type="dcterms:W3CDTF">2026-01-28T10:54:00Z</dcterms:created>
  <dcterms:modified xsi:type="dcterms:W3CDTF">2026-02-19T08:02:00Z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y fmtid="{D5CDD505-2E9C-101B-9397-08002B2CF9AE}" pid="8" name="GrammarlyDocumentId">
    <vt:lpwstr>e715e6192d2a0debf96d6a18a5aa28d1c1941c18db6fc3c219f2200910832df3</vt:lpwstr>
  </property>
  <property fmtid="{D5CDD505-2E9C-101B-9397-08002B2CF9AE}" pid="9" name="docLang">
    <vt:lpwstr>en</vt:lpwstr>
  </property>
</Properties>
</file>