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41C42993" w14:textId="77777777" w:rsidTr="00553F66">
        <w:trPr>
          <w:cantSplit/>
          <w:trHeight w:val="20"/>
        </w:trPr>
        <w:tc>
          <w:tcPr>
            <w:tcW w:w="6619" w:type="dxa"/>
          </w:tcPr>
          <w:p w14:paraId="79B9FA9C"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6ED02263"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27171D69" wp14:editId="3CD01458">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681F9C7C" w14:textId="77777777" w:rsidTr="00553F66">
        <w:trPr>
          <w:cantSplit/>
          <w:trHeight w:val="20"/>
        </w:trPr>
        <w:tc>
          <w:tcPr>
            <w:tcW w:w="6619" w:type="dxa"/>
            <w:tcBorders>
              <w:bottom w:val="single" w:sz="12" w:space="0" w:color="auto"/>
            </w:tcBorders>
          </w:tcPr>
          <w:p w14:paraId="1D7BBEC0"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2F519721" w14:textId="77777777" w:rsidR="00280E04" w:rsidRPr="00A9645C" w:rsidRDefault="00280E04" w:rsidP="002F3031">
            <w:pPr>
              <w:spacing w:before="0" w:line="120" w:lineRule="auto"/>
              <w:rPr>
                <w:lang w:bidi="ar-EG"/>
              </w:rPr>
            </w:pPr>
          </w:p>
        </w:tc>
      </w:tr>
      <w:tr w:rsidR="00280E04" w14:paraId="42B9E1C2" w14:textId="77777777" w:rsidTr="00553F66">
        <w:trPr>
          <w:cantSplit/>
          <w:trHeight w:val="20"/>
        </w:trPr>
        <w:tc>
          <w:tcPr>
            <w:tcW w:w="6619" w:type="dxa"/>
            <w:tcBorders>
              <w:top w:val="single" w:sz="12" w:space="0" w:color="auto"/>
            </w:tcBorders>
          </w:tcPr>
          <w:p w14:paraId="1FC33689"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1F0FF86B" w14:textId="77777777" w:rsidR="00280E04" w:rsidRPr="00BD6EF3" w:rsidRDefault="00280E04" w:rsidP="00D44350">
            <w:pPr>
              <w:pStyle w:val="Adress"/>
              <w:framePr w:hSpace="0" w:wrap="auto" w:xAlign="left" w:yAlign="inline"/>
            </w:pPr>
          </w:p>
        </w:tc>
      </w:tr>
      <w:tr w:rsidR="0030601A" w14:paraId="516AFDA2" w14:textId="77777777" w:rsidTr="00553F66">
        <w:trPr>
          <w:cantSplit/>
        </w:trPr>
        <w:tc>
          <w:tcPr>
            <w:tcW w:w="6619" w:type="dxa"/>
            <w:vMerge w:val="restart"/>
          </w:tcPr>
          <w:p w14:paraId="7016B4DA" w14:textId="77777777" w:rsidR="0030601A" w:rsidRPr="0012545F" w:rsidRDefault="0030601A" w:rsidP="0030601A">
            <w:pPr>
              <w:pStyle w:val="Committee"/>
              <w:framePr w:hSpace="0" w:wrap="auto" w:hAnchor="text" w:yAlign="inline"/>
              <w:bidi/>
              <w:spacing w:before="20" w:after="20"/>
              <w:rPr>
                <w:rtl/>
              </w:rPr>
            </w:pPr>
          </w:p>
        </w:tc>
        <w:tc>
          <w:tcPr>
            <w:tcW w:w="3053" w:type="dxa"/>
            <w:vAlign w:val="center"/>
          </w:tcPr>
          <w:p w14:paraId="3225062F" w14:textId="0485945B" w:rsidR="0030601A" w:rsidRPr="0012545F" w:rsidRDefault="00DB43F6" w:rsidP="0030601A">
            <w:pPr>
              <w:pStyle w:val="Adress"/>
              <w:framePr w:hSpace="0" w:wrap="auto" w:xAlign="left" w:yAlign="inline"/>
              <w:spacing w:before="20" w:after="20"/>
              <w:rPr>
                <w:rtl/>
              </w:rPr>
            </w:pPr>
            <w:r>
              <w:rPr>
                <w:rFonts w:hint="cs"/>
                <w:rtl/>
                <w:lang w:bidi="ar-SA"/>
              </w:rPr>
              <w:t>الإضافة 1</w:t>
            </w:r>
            <w:r>
              <w:rPr>
                <w:rtl/>
                <w:lang w:bidi="ar-SA"/>
              </w:rPr>
              <w:br/>
            </w:r>
            <w:r>
              <w:rPr>
                <w:rFonts w:hint="cs"/>
                <w:rtl/>
              </w:rPr>
              <w:t>ل</w:t>
            </w:r>
            <w:r w:rsidR="0030601A" w:rsidRPr="0012545F">
              <w:rPr>
                <w:rFonts w:hint="cs"/>
                <w:rtl/>
              </w:rPr>
              <w:t>ل</w:t>
            </w:r>
            <w:r w:rsidR="0030601A" w:rsidRPr="0012545F">
              <w:rPr>
                <w:rtl/>
              </w:rPr>
              <w:t>و</w:t>
            </w:r>
            <w:r w:rsidR="0030601A" w:rsidRPr="0012545F">
              <w:rPr>
                <w:rFonts w:hint="cs"/>
                <w:rtl/>
              </w:rPr>
              <w:t xml:space="preserve">ثيقة </w:t>
            </w:r>
            <w:r w:rsidR="0030601A">
              <w:t>RAG/</w:t>
            </w:r>
            <w:r>
              <w:t>58</w:t>
            </w:r>
            <w:r w:rsidR="0030601A" w:rsidRPr="0012545F">
              <w:t>-A</w:t>
            </w:r>
          </w:p>
        </w:tc>
      </w:tr>
      <w:tr w:rsidR="0030601A" w14:paraId="7A407095" w14:textId="77777777" w:rsidTr="00553F66">
        <w:trPr>
          <w:cantSplit/>
        </w:trPr>
        <w:tc>
          <w:tcPr>
            <w:tcW w:w="6619" w:type="dxa"/>
            <w:vMerge/>
          </w:tcPr>
          <w:p w14:paraId="10911169"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2855AFA7" w14:textId="3202C92E" w:rsidR="0030601A" w:rsidRPr="0012545F" w:rsidRDefault="00DB43F6" w:rsidP="0030601A">
            <w:pPr>
              <w:pStyle w:val="Adress"/>
              <w:framePr w:hSpace="0" w:wrap="auto" w:xAlign="left" w:yAlign="inline"/>
              <w:spacing w:before="20" w:after="20"/>
              <w:rPr>
                <w:rtl/>
              </w:rPr>
            </w:pPr>
            <w:r>
              <w:t>19</w:t>
            </w:r>
            <w:r w:rsidR="0030601A" w:rsidRPr="0012545F">
              <w:rPr>
                <w:rFonts w:hint="cs"/>
                <w:rtl/>
              </w:rPr>
              <w:t xml:space="preserve"> </w:t>
            </w:r>
            <w:r>
              <w:rPr>
                <w:rFonts w:hint="cs"/>
                <w:rtl/>
              </w:rPr>
              <w:t>فبراير</w:t>
            </w:r>
            <w:r w:rsidR="0030601A" w:rsidRPr="0012545F">
              <w:rPr>
                <w:rFonts w:hint="cs"/>
                <w:rtl/>
              </w:rPr>
              <w:t xml:space="preserve"> </w:t>
            </w:r>
            <w:r w:rsidR="001E6923">
              <w:rPr>
                <w:rFonts w:hint="cs"/>
                <w:rtl/>
              </w:rPr>
              <w:t>2025</w:t>
            </w:r>
          </w:p>
        </w:tc>
      </w:tr>
      <w:tr w:rsidR="0030601A" w14:paraId="5F35B51A" w14:textId="77777777" w:rsidTr="00553F66">
        <w:trPr>
          <w:cantSplit/>
        </w:trPr>
        <w:tc>
          <w:tcPr>
            <w:tcW w:w="6619" w:type="dxa"/>
            <w:vMerge/>
          </w:tcPr>
          <w:p w14:paraId="152BF8F2"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52FA1648" w14:textId="77777777"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بالإنكليزية</w:t>
            </w:r>
          </w:p>
        </w:tc>
      </w:tr>
      <w:tr w:rsidR="00764079" w14:paraId="5FEE7B35" w14:textId="77777777" w:rsidTr="00553F66">
        <w:trPr>
          <w:cantSplit/>
        </w:trPr>
        <w:tc>
          <w:tcPr>
            <w:tcW w:w="9672" w:type="dxa"/>
            <w:gridSpan w:val="2"/>
          </w:tcPr>
          <w:p w14:paraId="2A718455" w14:textId="7AF2AB99" w:rsidR="00764079" w:rsidRPr="00E621A3" w:rsidRDefault="005B6D9A" w:rsidP="00034B65">
            <w:pPr>
              <w:pStyle w:val="Source"/>
              <w:rPr>
                <w:rtl/>
              </w:rPr>
            </w:pPr>
            <w:r w:rsidRPr="005B6D9A">
              <w:rPr>
                <w:rtl/>
              </w:rPr>
              <w:t>مدير مكتب الاتصالات الراديوية</w:t>
            </w:r>
          </w:p>
        </w:tc>
      </w:tr>
      <w:tr w:rsidR="00764079" w14:paraId="30E1AFFA" w14:textId="77777777" w:rsidTr="00553F66">
        <w:trPr>
          <w:cantSplit/>
        </w:trPr>
        <w:tc>
          <w:tcPr>
            <w:tcW w:w="9672" w:type="dxa"/>
            <w:gridSpan w:val="2"/>
          </w:tcPr>
          <w:p w14:paraId="5AF98149" w14:textId="49259064" w:rsidR="00764079" w:rsidRPr="005B6D9A" w:rsidRDefault="005B6D9A" w:rsidP="005B6D9A">
            <w:pPr>
              <w:pStyle w:val="Title1"/>
              <w:rPr>
                <w:rtl/>
              </w:rPr>
            </w:pPr>
            <w:r w:rsidRPr="005B6D9A">
              <w:rPr>
                <w:rtl/>
              </w:rPr>
              <w:t>تقرير إلى الاجتماع الثالث والثلاثين</w:t>
            </w:r>
            <w:r w:rsidR="00290CD2">
              <w:rPr>
                <w:rtl/>
              </w:rPr>
              <w:br/>
            </w:r>
            <w:r w:rsidRPr="005B6D9A">
              <w:rPr>
                <w:rtl/>
              </w:rPr>
              <w:t>للفريق الاستشاري للاتصالات الراديوية</w:t>
            </w:r>
          </w:p>
        </w:tc>
      </w:tr>
      <w:tr w:rsidR="0012545F" w14:paraId="02D5718A" w14:textId="77777777" w:rsidTr="00553F66">
        <w:trPr>
          <w:cantSplit/>
        </w:trPr>
        <w:tc>
          <w:tcPr>
            <w:tcW w:w="9672" w:type="dxa"/>
            <w:gridSpan w:val="2"/>
          </w:tcPr>
          <w:p w14:paraId="5D28D738" w14:textId="45D5A049" w:rsidR="0012545F" w:rsidRDefault="005B6D9A" w:rsidP="005B6D9A">
            <w:pPr>
              <w:pStyle w:val="Title1"/>
              <w:spacing w:before="240"/>
              <w:rPr>
                <w:rtl/>
              </w:rPr>
            </w:pPr>
            <w:r w:rsidRPr="005B6D9A">
              <w:rPr>
                <w:rtl/>
              </w:rPr>
              <w:t>أنشطة لجان الدراسات</w:t>
            </w:r>
          </w:p>
        </w:tc>
      </w:tr>
    </w:tbl>
    <w:p w14:paraId="30690684" w14:textId="77777777" w:rsidR="005B6D9A" w:rsidRPr="005B6D9A" w:rsidRDefault="005B6D9A" w:rsidP="00311FB9">
      <w:pPr>
        <w:pStyle w:val="Heading1"/>
        <w:rPr>
          <w:lang w:val="ar-SA"/>
        </w:rPr>
      </w:pPr>
      <w:bookmarkStart w:id="1" w:name="_Toc445972794"/>
      <w:r w:rsidRPr="005B6D9A">
        <w:rPr>
          <w:rtl/>
        </w:rPr>
        <w:t>1</w:t>
      </w:r>
      <w:r w:rsidRPr="005B6D9A">
        <w:rPr>
          <w:rtl/>
        </w:rPr>
        <w:tab/>
        <w:t>مقدمة</w:t>
      </w:r>
    </w:p>
    <w:p w14:paraId="482BC753" w14:textId="46BC466E" w:rsidR="005B6D9A" w:rsidRPr="005B6D9A" w:rsidRDefault="005B6D9A" w:rsidP="00311FB9">
      <w:pPr>
        <w:rPr>
          <w:lang w:val="ar-SA" w:bidi="ar-EG"/>
        </w:rPr>
      </w:pPr>
      <w:r w:rsidRPr="005B6D9A">
        <w:rPr>
          <w:rtl/>
        </w:rPr>
        <w:t xml:space="preserve">تقدم هذه الوثيقة تقارير حالة ومعلومات عن بعض المسائل المدرجة في مشروع جدول أعمال الاجتماع الثالث والثلاثين للفريق الاستشاري للاتصالات الراديوية (انظر </w:t>
      </w:r>
      <w:hyperlink r:id="rId13" w:history="1">
        <w:r w:rsidRPr="00311FB9">
          <w:rPr>
            <w:rStyle w:val="Hyperlink"/>
            <w:rtl/>
          </w:rPr>
          <w:t>الرسالة الإدارية</w:t>
        </w:r>
        <w:r w:rsidR="00092EC3">
          <w:rPr>
            <w:rStyle w:val="Hyperlink"/>
            <w:rFonts w:hint="cs"/>
            <w:rtl/>
          </w:rPr>
          <w:t xml:space="preserve"> المعممة</w:t>
        </w:r>
        <w:r w:rsidRPr="00311FB9">
          <w:rPr>
            <w:rStyle w:val="Hyperlink"/>
            <w:rtl/>
          </w:rPr>
          <w:t xml:space="preserve"> </w:t>
        </w:r>
        <w:r w:rsidRPr="00311FB9">
          <w:rPr>
            <w:rStyle w:val="Hyperlink"/>
            <w:lang w:bidi="ar-EG"/>
          </w:rPr>
          <w:t>CA/280</w:t>
        </w:r>
      </w:hyperlink>
      <w:r w:rsidR="00311FB9">
        <w:rPr>
          <w:rFonts w:hint="cs"/>
          <w:rtl/>
          <w:lang w:bidi="ar-EG"/>
        </w:rPr>
        <w:t>)</w:t>
      </w:r>
      <w:r w:rsidRPr="005B6D9A">
        <w:rPr>
          <w:rtl/>
        </w:rPr>
        <w:t>.</w:t>
      </w:r>
    </w:p>
    <w:p w14:paraId="528A9F08" w14:textId="77777777" w:rsidR="005B6D9A" w:rsidRPr="005B6D9A" w:rsidRDefault="005B6D9A" w:rsidP="00311FB9">
      <w:pPr>
        <w:rPr>
          <w:lang w:val="ar-SA" w:bidi="ar-EG"/>
        </w:rPr>
      </w:pPr>
      <w:r w:rsidRPr="005B6D9A">
        <w:rPr>
          <w:rtl/>
        </w:rPr>
        <w:t xml:space="preserve">وتُجرى أنشطة واجتماعات جميع لجان الدراسات </w:t>
      </w:r>
      <w:r w:rsidRPr="005B6D9A">
        <w:rPr>
          <w:lang w:bidi="ar-EG"/>
        </w:rPr>
        <w:t>(SG)</w:t>
      </w:r>
      <w:r w:rsidRPr="005B6D9A">
        <w:rPr>
          <w:rtl/>
        </w:rPr>
        <w:t xml:space="preserve"> وفرق العمل </w:t>
      </w:r>
      <w:r w:rsidRPr="005B6D9A">
        <w:rPr>
          <w:lang w:bidi="ar-EG"/>
        </w:rPr>
        <w:t>(WP)</w:t>
      </w:r>
      <w:r w:rsidRPr="005B6D9A">
        <w:rPr>
          <w:rtl/>
        </w:rPr>
        <w:t xml:space="preserve"> التابعة لقطاع الاتصالات الراديوية وفقاً لأساليب العمل المحددة في القرار ITU-R 1-9.</w:t>
      </w:r>
    </w:p>
    <w:p w14:paraId="2B03D49E" w14:textId="77777777" w:rsidR="005B6D9A" w:rsidRPr="005B6D9A" w:rsidRDefault="005B6D9A" w:rsidP="00311FB9">
      <w:pPr>
        <w:pStyle w:val="Heading1"/>
      </w:pPr>
      <w:r w:rsidRPr="005B6D9A">
        <w:rPr>
          <w:rtl/>
        </w:rPr>
        <w:t>2</w:t>
      </w:r>
      <w:r w:rsidRPr="005B6D9A">
        <w:rPr>
          <w:rtl/>
        </w:rPr>
        <w:tab/>
        <w:t>المشاركة</w:t>
      </w:r>
    </w:p>
    <w:p w14:paraId="2F4A987D" w14:textId="77777777" w:rsidR="00C00628" w:rsidRDefault="005B6D9A" w:rsidP="00311FB9">
      <w:pPr>
        <w:rPr>
          <w:rtl/>
        </w:rPr>
      </w:pPr>
      <w:r w:rsidRPr="005B6D9A">
        <w:rPr>
          <w:rtl/>
        </w:rPr>
        <w:t xml:space="preserve">نُظمت اجتماعات حضورية أتيحت فيها إمكانية المشاركة عن بُعد عبر منصة </w:t>
      </w:r>
      <w:r w:rsidRPr="005B6D9A">
        <w:rPr>
          <w:lang w:bidi="ar-EG"/>
        </w:rPr>
        <w:t>Zoom</w:t>
      </w:r>
      <w:r w:rsidRPr="005B6D9A">
        <w:rPr>
          <w:rtl/>
        </w:rPr>
        <w:t>، وشمل ذلك سائر اجتماعات لجان الدراسات وفرق العمل.</w:t>
      </w:r>
    </w:p>
    <w:p w14:paraId="26948FBC" w14:textId="70CBB082" w:rsidR="005B6D9A" w:rsidRPr="004C2BFF" w:rsidRDefault="005B6D9A" w:rsidP="00311FB9">
      <w:pPr>
        <w:rPr>
          <w:spacing w:val="-2"/>
          <w:lang w:val="ar-SA" w:bidi="ar-EG"/>
        </w:rPr>
      </w:pPr>
      <w:r w:rsidRPr="004C2BFF">
        <w:rPr>
          <w:spacing w:val="-2"/>
          <w:rtl/>
        </w:rPr>
        <w:t>وأُتيحت الترجمة الشفوية إلى اللغات الرسمية للاتحاد بناءً على طلب الإدارات، على النحو المُبيَّن في رسائل الدعوة إلى اجتماعات لجان الدراسات. وتو</w:t>
      </w:r>
      <w:r w:rsidR="00092EC3">
        <w:rPr>
          <w:rFonts w:hint="cs"/>
          <w:spacing w:val="-2"/>
          <w:rtl/>
        </w:rPr>
        <w:t>فَّ</w:t>
      </w:r>
      <w:r w:rsidRPr="004C2BFF">
        <w:rPr>
          <w:spacing w:val="-2"/>
          <w:rtl/>
        </w:rPr>
        <w:t>ر العرض الحي لنصوص الحوار باللغة الإنكليزية في جميع اجتماعات لجان الدراسات التي استضافها الاتحاد الدولي للاتصالات. لكن ربما لا تتاح هذه الميزة حال انعقاد الاجتماعات خارج مباني الاتحاد، بالنظر إلى المتطلبات التقنية ذات الصلة.</w:t>
      </w:r>
    </w:p>
    <w:p w14:paraId="2C5ADF83" w14:textId="77777777" w:rsidR="005B6D9A" w:rsidRPr="00794AA1" w:rsidRDefault="005B6D9A" w:rsidP="00311FB9">
      <w:pPr>
        <w:rPr>
          <w:lang w:val="ar-SA" w:bidi="ar-EG"/>
        </w:rPr>
      </w:pPr>
      <w:r w:rsidRPr="005B6D9A">
        <w:rPr>
          <w:rtl/>
        </w:rPr>
        <w:t xml:space="preserve">وشهدت الفترة منذ عام 2020 زيادة كبيرة في مستوى المشاركة الإجمالية في اجتماعات لجان الدراسات وفرق العمل التابعة لقطاع الاتصالات الراديوية، وكان </w:t>
      </w:r>
      <w:r w:rsidRPr="00794AA1">
        <w:rPr>
          <w:rtl/>
        </w:rPr>
        <w:t>هذا أمراً مشجعاً للغاية. لكن نجمت عن هذه الزيادة في المشاركة صعوبات في التخطيط للاجتماعات التي تضم لجاناً/أفرقة كبيرة.</w:t>
      </w:r>
    </w:p>
    <w:p w14:paraId="353D719E" w14:textId="77777777" w:rsidR="005B6D9A" w:rsidRPr="005B6D9A" w:rsidRDefault="005B6D9A" w:rsidP="00311FB9">
      <w:pPr>
        <w:rPr>
          <w:lang w:val="ar-SA" w:bidi="ar-EG"/>
        </w:rPr>
      </w:pPr>
      <w:r w:rsidRPr="00794AA1">
        <w:rPr>
          <w:rtl/>
        </w:rPr>
        <w:t>يقدم الشكل 1 لمحة عامة عن المشاركة بالحضور الشخصي لكل لجنة/فريق</w:t>
      </w:r>
      <w:r w:rsidRPr="005B6D9A">
        <w:rPr>
          <w:rtl/>
        </w:rPr>
        <w:t xml:space="preserve"> في عام 2025.</w:t>
      </w:r>
    </w:p>
    <w:p w14:paraId="113C89C0" w14:textId="77777777" w:rsidR="005B6D9A" w:rsidRPr="00311FB9" w:rsidRDefault="005B6D9A" w:rsidP="00311FB9">
      <w:pPr>
        <w:pStyle w:val="FigureNo"/>
        <w:rPr>
          <w:lang w:val="ar-SA" w:bidi="ar-EG"/>
        </w:rPr>
      </w:pPr>
      <w:r w:rsidRPr="00311FB9">
        <w:rPr>
          <w:rtl/>
        </w:rPr>
        <w:lastRenderedPageBreak/>
        <w:t>الشكل 1</w:t>
      </w:r>
    </w:p>
    <w:p w14:paraId="5A7D4BF0" w14:textId="385387EF" w:rsidR="005B6D9A" w:rsidRPr="005B6D9A" w:rsidRDefault="005B6D9A" w:rsidP="00311FB9">
      <w:pPr>
        <w:pStyle w:val="Figuretitle"/>
        <w:rPr>
          <w:lang w:val="ar-SA"/>
        </w:rPr>
      </w:pPr>
      <w:r w:rsidRPr="005B6D9A">
        <w:rPr>
          <w:rtl/>
        </w:rPr>
        <w:t>إجمالي عدد المشاركين بالحضور الشخصي في اجتماعات لجان الدراسات/فرق العمل التابعة لقطاع</w:t>
      </w:r>
      <w:r w:rsidR="00311FB9">
        <w:rPr>
          <w:rFonts w:hint="cs"/>
          <w:rtl/>
        </w:rPr>
        <w:t> </w:t>
      </w:r>
      <w:r w:rsidRPr="005B6D9A">
        <w:rPr>
          <w:rtl/>
        </w:rPr>
        <w:t>الاتصالات</w:t>
      </w:r>
      <w:r w:rsidR="00311FB9">
        <w:rPr>
          <w:rFonts w:hint="cs"/>
          <w:rtl/>
        </w:rPr>
        <w:t> </w:t>
      </w:r>
      <w:r w:rsidRPr="005B6D9A">
        <w:rPr>
          <w:rtl/>
        </w:rPr>
        <w:t>الراديوية</w:t>
      </w:r>
      <w:r w:rsidR="00311FB9">
        <w:rPr>
          <w:rFonts w:hint="eastAsia"/>
          <w:rtl/>
          <w:lang w:bidi="ar-SA"/>
        </w:rPr>
        <w:t> </w:t>
      </w:r>
      <w:r w:rsidRPr="005B6D9A">
        <w:rPr>
          <w:rtl/>
        </w:rPr>
        <w:t>في عام 2025</w:t>
      </w:r>
    </w:p>
    <w:p w14:paraId="13D71114" w14:textId="77777777" w:rsidR="005B6D9A" w:rsidRPr="005B6D9A" w:rsidRDefault="005B6D9A" w:rsidP="00311FB9">
      <w:pPr>
        <w:pStyle w:val="Figure"/>
        <w:bidi/>
        <w:rPr>
          <w:rFonts w:hint="default"/>
          <w:lang w:bidi="ar-EG"/>
        </w:rPr>
      </w:pPr>
      <w:r w:rsidRPr="005B6D9A">
        <w:rPr>
          <w:noProof/>
          <w:lang w:bidi="ar-EG"/>
        </w:rPr>
        <w:drawing>
          <wp:inline distT="0" distB="0" distL="0" distR="0" wp14:anchorId="44C0DC4E" wp14:editId="35D0768D">
            <wp:extent cx="6120321" cy="2900275"/>
            <wp:effectExtent l="0" t="0" r="13970" b="14605"/>
            <wp:docPr id="1677447098" name="Chart 1">
              <a:extLst xmlns:a="http://schemas.openxmlformats.org/drawingml/2006/main">
                <a:ext uri="{FF2B5EF4-FFF2-40B4-BE49-F238E27FC236}">
                  <a16:creationId xmlns:a16="http://schemas.microsoft.com/office/drawing/2014/main" id="{E0D01347-FF51-628D-F741-C8B79A42B1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B6EC68" w14:textId="40D7C6E1" w:rsidR="005B6D9A" w:rsidRPr="00311FB9" w:rsidRDefault="00311FB9" w:rsidP="00311FB9">
      <w:pPr>
        <w:pStyle w:val="Heading2"/>
      </w:pPr>
      <w:r w:rsidRPr="00311FB9">
        <w:t>1.2</w:t>
      </w:r>
      <w:r w:rsidRPr="00311FB9">
        <w:tab/>
      </w:r>
      <w:r w:rsidR="005B6D9A" w:rsidRPr="005B6D9A">
        <w:rPr>
          <w:rtl/>
        </w:rPr>
        <w:t>مِنح لدعم المشاركة في أنشطة لجان دراسات قطاع الاتصالات الراديوية</w:t>
      </w:r>
    </w:p>
    <w:p w14:paraId="509817D7" w14:textId="2FCB9E2B" w:rsidR="005B6D9A" w:rsidRPr="005B6D9A" w:rsidRDefault="005B6D9A" w:rsidP="00311FB9">
      <w:pPr>
        <w:rPr>
          <w:lang w:val="ar-SA" w:bidi="ar-EG"/>
        </w:rPr>
      </w:pPr>
      <w:r w:rsidRPr="005B6D9A">
        <w:rPr>
          <w:rtl/>
        </w:rPr>
        <w:t xml:space="preserve">بمقتضى القسم </w:t>
      </w:r>
      <w:r w:rsidR="00916E40">
        <w:t>1.2.3.A1</w:t>
      </w:r>
      <w:r w:rsidRPr="005B6D9A">
        <w:rPr>
          <w:i/>
          <w:iCs/>
          <w:rtl/>
        </w:rPr>
        <w:t>مكرراً رابعاً </w:t>
      </w:r>
      <w:r w:rsidRPr="005B6D9A">
        <w:rPr>
          <w:rtl/>
        </w:rPr>
        <w:t>من القرار ‎ITU-R 1-9، ينبغي أن يقدم الاتحاد الدعم ويسهل المشاركة في أعمال لجان دراسات قطاع الاتصالات الراديوية، ولا سيما الأشخاص من البلدان النامية، قدر الإمكان عملياً. بيد أن القيود المفروضة على</w:t>
      </w:r>
      <w:r w:rsidR="00916E40">
        <w:rPr>
          <w:rFonts w:hint="eastAsia"/>
          <w:rtl/>
        </w:rPr>
        <w:t> </w:t>
      </w:r>
      <w:r w:rsidRPr="005B6D9A">
        <w:rPr>
          <w:rtl/>
        </w:rPr>
        <w:t>الميزانية حالت دون تقديم مِنح للمشاركة في أنشطة لجان دراسات قطاع الاتصالات الراديوية.</w:t>
      </w:r>
    </w:p>
    <w:p w14:paraId="75D76693" w14:textId="77777777" w:rsidR="005B6D9A" w:rsidRPr="00311FB9" w:rsidRDefault="005B6D9A" w:rsidP="00311FB9">
      <w:pPr>
        <w:pStyle w:val="Heading1"/>
      </w:pPr>
      <w:r w:rsidRPr="005B6D9A">
        <w:rPr>
          <w:rtl/>
        </w:rPr>
        <w:t>3</w:t>
      </w:r>
      <w:r w:rsidRPr="005B6D9A">
        <w:rPr>
          <w:rtl/>
        </w:rPr>
        <w:tab/>
        <w:t>قاعات الاجتماعات</w:t>
      </w:r>
    </w:p>
    <w:p w14:paraId="6386FC94" w14:textId="77777777" w:rsidR="005B6D9A" w:rsidRPr="005B6D9A" w:rsidRDefault="005B6D9A" w:rsidP="00311FB9">
      <w:pPr>
        <w:rPr>
          <w:lang w:val="ar-SA" w:bidi="ar-EG"/>
        </w:rPr>
      </w:pPr>
      <w:r w:rsidRPr="005B6D9A">
        <w:rPr>
          <w:rtl/>
        </w:rPr>
        <w:t>تواصلت التعقيدات التي تكتنف التخطيط للاجتماعات على نحو فعال بسبب النقص في قاعات الاجتماع بمقر الاتحاد. وتفاقمت هذه المشكلة بسبب العوامل التالية:</w:t>
      </w:r>
    </w:p>
    <w:p w14:paraId="4C949840" w14:textId="599073E7" w:rsidR="005B6D9A" w:rsidRPr="005B6D9A" w:rsidRDefault="00311FB9" w:rsidP="00311FB9">
      <w:pPr>
        <w:pStyle w:val="enumlev1"/>
        <w:rPr>
          <w:lang w:val="ar-SA" w:bidi="ar-EG"/>
        </w:rPr>
      </w:pPr>
      <w:r>
        <w:rPr>
          <w:rFonts w:hint="cs"/>
          <w:rtl/>
          <w:lang w:bidi="ar-EG"/>
        </w:rPr>
        <w:t>-</w:t>
      </w:r>
      <w:r w:rsidR="005B6D9A" w:rsidRPr="005B6D9A">
        <w:rPr>
          <w:rtl/>
        </w:rPr>
        <w:tab/>
        <w:t>زيادة عدد الاجتماعات التي تنظمها جميع قطاعات الاتحاد والأمانة العامة؛</w:t>
      </w:r>
    </w:p>
    <w:p w14:paraId="7BA1AAF5" w14:textId="4D26B5D8" w:rsidR="005B6D9A" w:rsidRPr="005B6D9A" w:rsidRDefault="00311FB9" w:rsidP="00311FB9">
      <w:pPr>
        <w:pStyle w:val="enumlev1"/>
        <w:rPr>
          <w:lang w:val="ar-SA" w:bidi="ar-EG"/>
        </w:rPr>
      </w:pPr>
      <w:r>
        <w:rPr>
          <w:rFonts w:hint="cs"/>
          <w:rtl/>
          <w:lang w:bidi="ar-EG"/>
        </w:rPr>
        <w:t>-</w:t>
      </w:r>
      <w:r w:rsidR="005B6D9A" w:rsidRPr="005B6D9A">
        <w:rPr>
          <w:rtl/>
        </w:rPr>
        <w:tab/>
        <w:t>محدودية عدد قاعات الاجتماعات التي تتسع لأكثر من 120 مشاركاً؛</w:t>
      </w:r>
    </w:p>
    <w:p w14:paraId="042885CC" w14:textId="37B708BD" w:rsidR="005B6D9A" w:rsidRPr="00636A63" w:rsidRDefault="00311FB9" w:rsidP="00311FB9">
      <w:pPr>
        <w:pStyle w:val="enumlev1"/>
        <w:rPr>
          <w:lang w:val="ar-SA" w:bidi="ar-EG"/>
        </w:rPr>
      </w:pPr>
      <w:r w:rsidRPr="00636A63">
        <w:rPr>
          <w:rFonts w:hint="cs"/>
          <w:rtl/>
          <w:lang w:bidi="ar-EG"/>
        </w:rPr>
        <w:t>-</w:t>
      </w:r>
      <w:r w:rsidR="005B6D9A" w:rsidRPr="00636A63">
        <w:rPr>
          <w:rtl/>
        </w:rPr>
        <w:tab/>
        <w:t>الحاجة إلى تجنب تزامن تواريخ انعقاد الاجتماعات، فضلاً عن متطلبات عقد اجتماعات أفرقة قطاع الاتصالات الراديوية</w:t>
      </w:r>
      <w:r w:rsidR="00636A63">
        <w:rPr>
          <w:rFonts w:hint="cs"/>
          <w:rtl/>
        </w:rPr>
        <w:t> </w:t>
      </w:r>
      <w:r w:rsidR="005B6D9A" w:rsidRPr="00636A63">
        <w:rPr>
          <w:rtl/>
        </w:rPr>
        <w:t>بالتوازي؛</w:t>
      </w:r>
    </w:p>
    <w:p w14:paraId="21A1A247" w14:textId="4E5E8EEB" w:rsidR="005B6D9A" w:rsidRPr="00636A63" w:rsidRDefault="00311FB9" w:rsidP="00311FB9">
      <w:pPr>
        <w:pStyle w:val="enumlev1"/>
        <w:rPr>
          <w:spacing w:val="-4"/>
          <w:lang w:val="ar-SA" w:bidi="ar-EG"/>
        </w:rPr>
      </w:pPr>
      <w:r w:rsidRPr="00636A63">
        <w:rPr>
          <w:rFonts w:hint="cs"/>
          <w:spacing w:val="-4"/>
          <w:rtl/>
          <w:lang w:bidi="ar-EG"/>
        </w:rPr>
        <w:t>-</w:t>
      </w:r>
      <w:r w:rsidR="005B6D9A" w:rsidRPr="00636A63">
        <w:rPr>
          <w:spacing w:val="-4"/>
          <w:rtl/>
        </w:rPr>
        <w:tab/>
        <w:t xml:space="preserve">محدودية توفر مرافق بديلة، مثل مركز جنيف الدولي للمؤتمرات </w:t>
      </w:r>
      <w:r w:rsidR="005B6D9A" w:rsidRPr="00636A63">
        <w:rPr>
          <w:spacing w:val="-4"/>
          <w:lang w:bidi="ar-EG"/>
        </w:rPr>
        <w:t>(CICG)</w:t>
      </w:r>
      <w:r w:rsidR="005B6D9A" w:rsidRPr="00636A63">
        <w:rPr>
          <w:spacing w:val="-4"/>
          <w:rtl/>
        </w:rPr>
        <w:t>، وفترات الإشعار الطويلة للغاية والمطلوبة لحجزها؛</w:t>
      </w:r>
    </w:p>
    <w:p w14:paraId="50DB35FD" w14:textId="66473E3F" w:rsidR="005B6D9A" w:rsidRPr="005B6D9A" w:rsidRDefault="00311FB9" w:rsidP="00311FB9">
      <w:pPr>
        <w:pStyle w:val="enumlev1"/>
        <w:rPr>
          <w:lang w:val="ar-SA" w:bidi="ar-EG"/>
        </w:rPr>
      </w:pPr>
      <w:r>
        <w:rPr>
          <w:rFonts w:hint="cs"/>
          <w:rtl/>
          <w:lang w:bidi="ar-EG"/>
        </w:rPr>
        <w:t>-</w:t>
      </w:r>
      <w:r w:rsidR="005B6D9A" w:rsidRPr="005B6D9A">
        <w:rPr>
          <w:rtl/>
        </w:rPr>
        <w:tab/>
        <w:t>بالإضافة إلى ذلك، تغيرت شروط التعاقد مع مركز جنيف الدولي للمؤتمرات وأصبحت أكثر صرامة: فلم يعد مركز جنيف الدولي للمؤتمرات يتيح تلقائياً قاعات اجتماعات مجاناً للاتحاد الدولي للاتصالات أو المنظمات الدولية الأخرى. إذ يتوقف تخصيص قاعات الاجتماعات بدون رسوم إيجار على الميزانية المتاحة لدى المركز، كما يجب تقديم كل الطلبات في هذا الصدد قبل 18 شهراً من موعد انعقاد الاجتماعات للنظر في الإعفاء من رسوم الإيجار؛</w:t>
      </w:r>
    </w:p>
    <w:p w14:paraId="04B30D98" w14:textId="6B71900A" w:rsidR="005B6D9A" w:rsidRPr="005B6D9A" w:rsidRDefault="00311FB9" w:rsidP="00311FB9">
      <w:pPr>
        <w:pStyle w:val="enumlev1"/>
        <w:rPr>
          <w:lang w:val="ar-SA" w:bidi="ar-EG"/>
        </w:rPr>
      </w:pPr>
      <w:r>
        <w:rPr>
          <w:rFonts w:hint="cs"/>
          <w:rtl/>
          <w:lang w:bidi="ar-EG"/>
        </w:rPr>
        <w:t>-</w:t>
      </w:r>
      <w:r w:rsidR="005B6D9A" w:rsidRPr="005B6D9A">
        <w:rPr>
          <w:rtl/>
        </w:rPr>
        <w:tab/>
        <w:t>هدم مبنى فارامبيه مستقبلاً وتشييد المبنى الجديد للاتحاد، ما سيؤثر على عدد من قاعات الاجتماعات.</w:t>
      </w:r>
    </w:p>
    <w:p w14:paraId="641D3C29" w14:textId="77777777" w:rsidR="005B6D9A" w:rsidRPr="00C71EC0" w:rsidRDefault="005B6D9A" w:rsidP="00311FB9">
      <w:pPr>
        <w:rPr>
          <w:spacing w:val="-2"/>
          <w:lang w:val="ar-SA" w:bidi="ar-EG"/>
        </w:rPr>
      </w:pPr>
      <w:r w:rsidRPr="00C71EC0">
        <w:rPr>
          <w:spacing w:val="-2"/>
          <w:rtl/>
        </w:rPr>
        <w:t>وبالتالي، عندما يبدأ هدم مبنى فارامبيه (المتوقع حدوثه في النصف الثاني من عام 2028)، ستملي الحاجة عقد جميع الاجتماعات خارج مقر الاتحاد. ولتحقيق ذلك، ستصبح العروض المقدمة من الأعضاء لاستضافة اجتماعات لجان الدراسات/فرق العمل خلال هذه الفترة موضع ترحيب بوجه خاص. وعلاوةً على ذلك، ستتطلب هذه الترتيبات قدراً معتبراً من التخطيط والإعداد المسبقين.</w:t>
      </w:r>
    </w:p>
    <w:p w14:paraId="5099D6B9" w14:textId="7B62FEFE" w:rsidR="005B6D9A" w:rsidRPr="005B6D9A" w:rsidRDefault="005B6D9A" w:rsidP="00092EC3">
      <w:pPr>
        <w:rPr>
          <w:lang w:val="ar-SA" w:bidi="ar-EG"/>
        </w:rPr>
      </w:pPr>
      <w:r w:rsidRPr="005B6D9A">
        <w:rPr>
          <w:rtl/>
        </w:rPr>
        <w:t xml:space="preserve">جرى تجنب التداخل مع اجتماعات قطاعي الاتحاد الآخرين والأمانة العامة في عام 2025، إلى أقصى حد ممكن. لكن عدد الأحداث غير التابعة لقطاع الاتصالات الراديوية شهد زيادةً كبيرةً للأسف، فيصعب، بل يستحيل أحياناً، تجنب مثل هذه التداخلات. ومن </w:t>
      </w:r>
      <w:r w:rsidRPr="005B6D9A">
        <w:rPr>
          <w:rtl/>
        </w:rPr>
        <w:lastRenderedPageBreak/>
        <w:t xml:space="preserve">المتوقع تكرار هذا الوضع في عام 2026، لكن التنسيق المنتظم بين قطاعات الاتحاد يجرى بشكل متواصل لاحتواء هذه المسألة. (انظر أيضاً القسم </w:t>
      </w:r>
      <w:r w:rsidR="00110B79">
        <w:t>6.2</w:t>
      </w:r>
      <w:r w:rsidRPr="005B6D9A">
        <w:rPr>
          <w:rtl/>
        </w:rPr>
        <w:t xml:space="preserve"> من الوثيقة </w:t>
      </w:r>
      <w:hyperlink r:id="rId15" w:history="1">
        <w:r w:rsidRPr="00110B79">
          <w:rPr>
            <w:rStyle w:val="Hyperlink"/>
            <w:lang w:bidi="ar-EG"/>
          </w:rPr>
          <w:t>RAG/58</w:t>
        </w:r>
      </w:hyperlink>
      <w:r w:rsidR="00110B79">
        <w:rPr>
          <w:rFonts w:hint="cs"/>
          <w:rtl/>
          <w:lang w:bidi="ar-EG"/>
        </w:rPr>
        <w:t>)</w:t>
      </w:r>
      <w:r w:rsidRPr="005B6D9A">
        <w:rPr>
          <w:rtl/>
        </w:rPr>
        <w:t>.</w:t>
      </w:r>
    </w:p>
    <w:p w14:paraId="38CF4B47" w14:textId="77777777" w:rsidR="005B6D9A" w:rsidRPr="00110B79" w:rsidRDefault="005B6D9A" w:rsidP="00110B79">
      <w:pPr>
        <w:pStyle w:val="Heading1"/>
      </w:pPr>
      <w:bookmarkStart w:id="2" w:name="_Toc445972792"/>
      <w:r w:rsidRPr="005B6D9A">
        <w:rPr>
          <w:rtl/>
        </w:rPr>
        <w:t>4</w:t>
      </w:r>
      <w:r w:rsidRPr="005B6D9A">
        <w:rPr>
          <w:rtl/>
        </w:rPr>
        <w:tab/>
        <w:t>الأنشطة التي تضطلع بها لجان الدراسات</w:t>
      </w:r>
    </w:p>
    <w:p w14:paraId="0387B4FE" w14:textId="1C645BE2" w:rsidR="005B6D9A" w:rsidRPr="005B6D9A" w:rsidRDefault="005B6D9A" w:rsidP="00311FB9">
      <w:pPr>
        <w:rPr>
          <w:lang w:val="ar-SA" w:bidi="ar-EG"/>
        </w:rPr>
      </w:pPr>
      <w:r w:rsidRPr="005B6D9A">
        <w:rPr>
          <w:rtl/>
        </w:rPr>
        <w:t>تورد الأقسام التالية تلخي</w:t>
      </w:r>
      <w:r w:rsidR="00110B79">
        <w:rPr>
          <w:rFonts w:hint="cs"/>
          <w:rtl/>
        </w:rPr>
        <w:t>ص</w:t>
      </w:r>
      <w:r w:rsidRPr="005B6D9A">
        <w:rPr>
          <w:rtl/>
        </w:rPr>
        <w:t>اً لأنشطة كل لجنة من لجان الدراسات في عام 2025.</w:t>
      </w:r>
    </w:p>
    <w:p w14:paraId="083731B8" w14:textId="7288383C" w:rsidR="005B6D9A" w:rsidRPr="00110B79" w:rsidRDefault="00110B79" w:rsidP="00110B79">
      <w:pPr>
        <w:pStyle w:val="Heading2"/>
      </w:pPr>
      <w:r>
        <w:t>1.4</w:t>
      </w:r>
      <w:r w:rsidR="005B6D9A" w:rsidRPr="005B6D9A">
        <w:rPr>
          <w:rtl/>
        </w:rPr>
        <w:tab/>
        <w:t>نواتج لجان الدراسات</w:t>
      </w:r>
    </w:p>
    <w:p w14:paraId="487B1139" w14:textId="63C62E77" w:rsidR="005B6D9A" w:rsidRPr="005B6D9A" w:rsidRDefault="005B6D9A" w:rsidP="00311FB9">
      <w:pPr>
        <w:rPr>
          <w:lang w:val="ar-SA" w:bidi="ar-EG"/>
        </w:rPr>
      </w:pPr>
      <w:r w:rsidRPr="005B6D9A">
        <w:rPr>
          <w:rtl/>
        </w:rPr>
        <w:t>ترد أدناه نواتج لجان الدراسات التي تحققت منذ انعقاد الاجتماع الثاني والثلاثين للفريق الاستشاري للاتصالات الراديوية في</w:t>
      </w:r>
      <w:r w:rsidR="00C71EC0">
        <w:rPr>
          <w:rFonts w:hint="cs"/>
          <w:rtl/>
        </w:rPr>
        <w:t> </w:t>
      </w:r>
      <w:r w:rsidRPr="005B6D9A">
        <w:rPr>
          <w:rtl/>
        </w:rPr>
        <w:t>أبريل</w:t>
      </w:r>
      <w:r w:rsidR="00C71EC0">
        <w:rPr>
          <w:rFonts w:hint="cs"/>
          <w:rtl/>
        </w:rPr>
        <w:t> </w:t>
      </w:r>
      <w:r w:rsidRPr="005B6D9A">
        <w:rPr>
          <w:rtl/>
        </w:rPr>
        <w:t>2025 (RAG-25).</w:t>
      </w:r>
    </w:p>
    <w:tbl>
      <w:tblPr>
        <w:tblStyle w:val="TableGrid1"/>
        <w:bidiVisual/>
        <w:tblW w:w="9709" w:type="dxa"/>
        <w:jc w:val="center"/>
        <w:tblLayout w:type="fixed"/>
        <w:tblLook w:val="04A0" w:firstRow="1" w:lastRow="0" w:firstColumn="1" w:lastColumn="0" w:noHBand="0" w:noVBand="1"/>
      </w:tblPr>
      <w:tblGrid>
        <w:gridCol w:w="1774"/>
        <w:gridCol w:w="2126"/>
        <w:gridCol w:w="1899"/>
        <w:gridCol w:w="1316"/>
        <w:gridCol w:w="1485"/>
        <w:gridCol w:w="1109"/>
      </w:tblGrid>
      <w:tr w:rsidR="005B6D9A" w:rsidRPr="00110B79" w14:paraId="4FE9E686" w14:textId="77777777" w:rsidTr="003544DF">
        <w:trPr>
          <w:trHeight w:val="287"/>
          <w:tblHeader/>
          <w:jc w:val="center"/>
        </w:trPr>
        <w:tc>
          <w:tcPr>
            <w:tcW w:w="1774" w:type="dxa"/>
            <w:vMerge w:val="restart"/>
            <w:tcBorders>
              <w:right w:val="single" w:sz="4" w:space="0" w:color="000000" w:themeColor="text1"/>
            </w:tcBorders>
            <w:shd w:val="clear" w:color="auto" w:fill="DBE5F1" w:themeFill="accent1" w:themeFillTint="33"/>
            <w:vAlign w:val="center"/>
          </w:tcPr>
          <w:p w14:paraId="34508615" w14:textId="77777777" w:rsidR="005B6D9A" w:rsidRPr="00110B79" w:rsidRDefault="005B6D9A" w:rsidP="00110B79">
            <w:pPr>
              <w:pStyle w:val="Tablehead"/>
              <w:rPr>
                <w:position w:val="2"/>
                <w:lang w:val="ar-SA"/>
              </w:rPr>
            </w:pPr>
            <w:r w:rsidRPr="00110B79">
              <w:rPr>
                <w:position w:val="2"/>
                <w:rtl/>
              </w:rPr>
              <w:t>لجنة الدراسات</w:t>
            </w:r>
          </w:p>
        </w:tc>
        <w:tc>
          <w:tcPr>
            <w:tcW w:w="7935" w:type="dxa"/>
            <w:gridSpan w:val="5"/>
            <w:tcBorders>
              <w:left w:val="single" w:sz="4" w:space="0" w:color="000000" w:themeColor="text1"/>
            </w:tcBorders>
            <w:shd w:val="clear" w:color="auto" w:fill="DBE5F1" w:themeFill="accent1" w:themeFillTint="33"/>
            <w:vAlign w:val="center"/>
          </w:tcPr>
          <w:p w14:paraId="1034AD52" w14:textId="77777777" w:rsidR="005B6D9A" w:rsidRPr="00110B79" w:rsidRDefault="005B6D9A" w:rsidP="00110B79">
            <w:pPr>
              <w:pStyle w:val="Tablehead"/>
              <w:rPr>
                <w:position w:val="2"/>
                <w:lang w:val="ar-SA"/>
              </w:rPr>
            </w:pPr>
            <w:r w:rsidRPr="00110B79">
              <w:rPr>
                <w:position w:val="2"/>
                <w:rtl/>
              </w:rPr>
              <w:t>حالة الدراسات</w:t>
            </w:r>
          </w:p>
        </w:tc>
      </w:tr>
      <w:tr w:rsidR="005B6D9A" w:rsidRPr="00110B79" w14:paraId="3787514C" w14:textId="77777777" w:rsidTr="003544DF">
        <w:trPr>
          <w:trHeight w:val="270"/>
          <w:tblHeader/>
          <w:jc w:val="center"/>
        </w:trPr>
        <w:tc>
          <w:tcPr>
            <w:tcW w:w="1774" w:type="dxa"/>
            <w:vMerge/>
            <w:vAlign w:val="center"/>
          </w:tcPr>
          <w:p w14:paraId="5B3D844F" w14:textId="77777777" w:rsidR="005B6D9A" w:rsidRPr="00110B79" w:rsidDel="00A14716" w:rsidRDefault="005B6D9A" w:rsidP="00110B79">
            <w:pPr>
              <w:pStyle w:val="Tablehead"/>
              <w:rPr>
                <w:position w:val="2"/>
              </w:rPr>
            </w:pPr>
          </w:p>
        </w:tc>
        <w:tc>
          <w:tcPr>
            <w:tcW w:w="2126" w:type="dxa"/>
            <w:tcBorders>
              <w:left w:val="single" w:sz="4" w:space="0" w:color="000000" w:themeColor="text1"/>
            </w:tcBorders>
            <w:shd w:val="clear" w:color="auto" w:fill="DBE5F1" w:themeFill="accent1" w:themeFillTint="33"/>
          </w:tcPr>
          <w:p w14:paraId="6209BE89" w14:textId="77777777" w:rsidR="005B6D9A" w:rsidRPr="00F97928" w:rsidRDefault="005B6D9A" w:rsidP="00110B79">
            <w:pPr>
              <w:pStyle w:val="Tablehead"/>
              <w:rPr>
                <w:spacing w:val="-4"/>
                <w:position w:val="2"/>
                <w:lang w:val="ar-SA"/>
              </w:rPr>
            </w:pPr>
            <w:r w:rsidRPr="00F97928">
              <w:rPr>
                <w:spacing w:val="-4"/>
                <w:position w:val="2"/>
                <w:rtl/>
              </w:rPr>
              <w:t>توصيات وافق عليها قطاع الاتصالات الراديوية</w:t>
            </w:r>
          </w:p>
        </w:tc>
        <w:tc>
          <w:tcPr>
            <w:tcW w:w="1899" w:type="dxa"/>
            <w:tcBorders>
              <w:left w:val="single" w:sz="4" w:space="0" w:color="000000" w:themeColor="text1"/>
            </w:tcBorders>
            <w:shd w:val="clear" w:color="auto" w:fill="DBE5F1" w:themeFill="accent1" w:themeFillTint="33"/>
          </w:tcPr>
          <w:p w14:paraId="2ADF86EE" w14:textId="77777777" w:rsidR="005B6D9A" w:rsidRPr="00F97928" w:rsidRDefault="005B6D9A" w:rsidP="00110B79">
            <w:pPr>
              <w:pStyle w:val="Tablehead"/>
              <w:rPr>
                <w:spacing w:val="-4"/>
                <w:position w:val="2"/>
                <w:lang w:val="ar-SA"/>
              </w:rPr>
            </w:pPr>
            <w:r w:rsidRPr="00F97928">
              <w:rPr>
                <w:spacing w:val="-4"/>
                <w:position w:val="2"/>
                <w:rtl/>
              </w:rPr>
              <w:t>تقارير وافق عليها قطاع الاتصالات الراديوية</w:t>
            </w:r>
          </w:p>
        </w:tc>
        <w:tc>
          <w:tcPr>
            <w:tcW w:w="1316" w:type="dxa"/>
            <w:tcBorders>
              <w:left w:val="single" w:sz="4" w:space="0" w:color="000000" w:themeColor="text1"/>
            </w:tcBorders>
            <w:shd w:val="clear" w:color="auto" w:fill="DBE5F1" w:themeFill="accent1" w:themeFillTint="33"/>
          </w:tcPr>
          <w:p w14:paraId="5C482749" w14:textId="77777777" w:rsidR="005B6D9A" w:rsidRPr="00F97928" w:rsidRDefault="005B6D9A" w:rsidP="00110B79">
            <w:pPr>
              <w:pStyle w:val="Tablehead"/>
              <w:rPr>
                <w:spacing w:val="-4"/>
                <w:position w:val="2"/>
                <w:lang w:val="ar-SA"/>
              </w:rPr>
            </w:pPr>
            <w:r w:rsidRPr="00F97928">
              <w:rPr>
                <w:spacing w:val="-4"/>
                <w:position w:val="2"/>
                <w:rtl/>
              </w:rPr>
              <w:t>مسائل وافق عليها قطاع الاتصالات الراديوية</w:t>
            </w:r>
          </w:p>
        </w:tc>
        <w:tc>
          <w:tcPr>
            <w:tcW w:w="1485" w:type="dxa"/>
            <w:tcBorders>
              <w:left w:val="single" w:sz="4" w:space="0" w:color="000000" w:themeColor="text1"/>
            </w:tcBorders>
            <w:shd w:val="clear" w:color="auto" w:fill="DBE5F1" w:themeFill="accent1" w:themeFillTint="33"/>
          </w:tcPr>
          <w:p w14:paraId="5717F8A8" w14:textId="77777777" w:rsidR="005B6D9A" w:rsidRPr="00F97928" w:rsidRDefault="005B6D9A" w:rsidP="00110B79">
            <w:pPr>
              <w:pStyle w:val="Tablehead"/>
              <w:rPr>
                <w:spacing w:val="-4"/>
                <w:position w:val="2"/>
                <w:lang w:val="ar-SA"/>
              </w:rPr>
            </w:pPr>
            <w:r w:rsidRPr="00F97928">
              <w:rPr>
                <w:spacing w:val="-4"/>
                <w:position w:val="2"/>
                <w:rtl/>
              </w:rPr>
              <w:t>كتيبات وافق عليها قطاع الاتصالات الراديوية</w:t>
            </w:r>
          </w:p>
        </w:tc>
        <w:tc>
          <w:tcPr>
            <w:tcW w:w="1109" w:type="dxa"/>
            <w:tcBorders>
              <w:left w:val="single" w:sz="4" w:space="0" w:color="000000" w:themeColor="text1"/>
            </w:tcBorders>
            <w:shd w:val="clear" w:color="auto" w:fill="DBE5F1" w:themeFill="accent1" w:themeFillTint="33"/>
          </w:tcPr>
          <w:p w14:paraId="4DAB1667" w14:textId="77777777" w:rsidR="005B6D9A" w:rsidRPr="00F97928" w:rsidRDefault="005B6D9A" w:rsidP="00110B79">
            <w:pPr>
              <w:pStyle w:val="Tablehead"/>
              <w:rPr>
                <w:spacing w:val="-4"/>
                <w:position w:val="2"/>
                <w:lang w:val="ar-SA"/>
              </w:rPr>
            </w:pPr>
            <w:r w:rsidRPr="00F97928">
              <w:rPr>
                <w:spacing w:val="-4"/>
                <w:position w:val="2"/>
                <w:rtl/>
              </w:rPr>
              <w:t>آراء وافق عليها قطاع الاتصالات الراديوية</w:t>
            </w:r>
          </w:p>
        </w:tc>
      </w:tr>
      <w:tr w:rsidR="00110B79" w:rsidRPr="00110B79" w14:paraId="2AD387EC" w14:textId="77777777" w:rsidTr="003544DF">
        <w:trPr>
          <w:trHeight w:val="270"/>
          <w:jc w:val="center"/>
        </w:trPr>
        <w:tc>
          <w:tcPr>
            <w:tcW w:w="1774" w:type="dxa"/>
            <w:tcBorders>
              <w:right w:val="single" w:sz="4" w:space="0" w:color="000000" w:themeColor="text1"/>
            </w:tcBorders>
          </w:tcPr>
          <w:p w14:paraId="5D46AF51" w14:textId="77777777" w:rsidR="00110B79" w:rsidRPr="00110B79" w:rsidDel="00A14716" w:rsidRDefault="00110B79" w:rsidP="00110B79">
            <w:pPr>
              <w:pStyle w:val="Tabletext"/>
              <w:jc w:val="center"/>
              <w:rPr>
                <w:b/>
                <w:bCs/>
                <w:position w:val="2"/>
                <w:lang w:val="ar-SA" w:bidi="ar-EG"/>
              </w:rPr>
            </w:pPr>
            <w:r w:rsidRPr="00110B79">
              <w:rPr>
                <w:b/>
                <w:bCs/>
                <w:position w:val="2"/>
                <w:rtl/>
              </w:rPr>
              <w:t>لجنة الدراسات 1</w:t>
            </w:r>
          </w:p>
        </w:tc>
        <w:tc>
          <w:tcPr>
            <w:tcW w:w="2126" w:type="dxa"/>
            <w:tcBorders>
              <w:left w:val="single" w:sz="4" w:space="0" w:color="000000" w:themeColor="text1"/>
            </w:tcBorders>
          </w:tcPr>
          <w:p w14:paraId="7BC0A70A" w14:textId="4427A401" w:rsidR="00110B79" w:rsidRPr="003544DF" w:rsidRDefault="00677FD2" w:rsidP="001B4D49">
            <w:pPr>
              <w:pStyle w:val="Tabletext"/>
              <w:jc w:val="left"/>
              <w:rPr>
                <w:spacing w:val="-2"/>
                <w:position w:val="2"/>
                <w:lang w:val="ar-SA" w:bidi="ar-EG"/>
              </w:rPr>
            </w:pPr>
            <w:hyperlink r:id="rId16" w:history="1">
              <w:r w:rsidR="00110B79" w:rsidRPr="003544DF">
                <w:rPr>
                  <w:rStyle w:val="Hyperlink"/>
                  <w:spacing w:val="-2"/>
                  <w:position w:val="2"/>
                  <w:lang w:eastAsia="ja-JP"/>
                </w:rPr>
                <w:t>SM.328-12</w:t>
              </w:r>
            </w:hyperlink>
            <w:r w:rsidR="00110B79" w:rsidRPr="003544DF">
              <w:rPr>
                <w:spacing w:val="-2"/>
                <w:position w:val="2"/>
                <w:rtl/>
                <w:lang w:eastAsia="ja-JP" w:bidi="ar-EG"/>
              </w:rPr>
              <w:t xml:space="preserve">، </w:t>
            </w:r>
            <w:hyperlink r:id="rId17" w:history="1">
              <w:r w:rsidR="00110B79" w:rsidRPr="003544DF">
                <w:rPr>
                  <w:rStyle w:val="Hyperlink"/>
                  <w:spacing w:val="-2"/>
                  <w:position w:val="2"/>
                  <w:lang w:eastAsia="ja-JP"/>
                </w:rPr>
                <w:t>SM.2110-2</w:t>
              </w:r>
            </w:hyperlink>
          </w:p>
        </w:tc>
        <w:tc>
          <w:tcPr>
            <w:tcW w:w="1899" w:type="dxa"/>
            <w:tcBorders>
              <w:left w:val="single" w:sz="4" w:space="0" w:color="000000" w:themeColor="text1"/>
            </w:tcBorders>
          </w:tcPr>
          <w:p w14:paraId="28D52B10" w14:textId="0209A929" w:rsidR="00110B79" w:rsidRPr="00110B79" w:rsidRDefault="00677FD2" w:rsidP="001B4D49">
            <w:pPr>
              <w:pStyle w:val="Tabletext"/>
              <w:jc w:val="left"/>
              <w:rPr>
                <w:position w:val="2"/>
                <w:lang w:val="ar-SA" w:bidi="ar-EG"/>
              </w:rPr>
            </w:pPr>
            <w:hyperlink r:id="rId18" w:history="1">
              <w:r w:rsidR="00110B79" w:rsidRPr="00110B79">
                <w:rPr>
                  <w:rStyle w:val="Hyperlink"/>
                  <w:position w:val="2"/>
                </w:rPr>
                <w:t>SM.2012-7</w:t>
              </w:r>
            </w:hyperlink>
            <w:r w:rsidR="00110B79" w:rsidRPr="00110B79">
              <w:rPr>
                <w:position w:val="2"/>
                <w:rtl/>
                <w:lang w:bidi="ar-EG"/>
              </w:rPr>
              <w:t xml:space="preserve">، </w:t>
            </w:r>
            <w:hyperlink r:id="rId19" w:history="1">
              <w:r w:rsidR="00110B79" w:rsidRPr="00110B79">
                <w:rPr>
                  <w:rStyle w:val="Hyperlink"/>
                  <w:position w:val="2"/>
                </w:rPr>
                <w:t>SM.2015</w:t>
              </w:r>
              <w:r w:rsidR="00110B79" w:rsidRPr="00110B79">
                <w:rPr>
                  <w:rStyle w:val="Hyperlink"/>
                  <w:position w:val="2"/>
                </w:rPr>
                <w:noBreakHyphen/>
                <w:t>3</w:t>
              </w:r>
            </w:hyperlink>
          </w:p>
        </w:tc>
        <w:tc>
          <w:tcPr>
            <w:tcW w:w="1316" w:type="dxa"/>
            <w:tcBorders>
              <w:left w:val="single" w:sz="4" w:space="0" w:color="000000" w:themeColor="text1"/>
            </w:tcBorders>
          </w:tcPr>
          <w:p w14:paraId="14E1C52E" w14:textId="2884DA3B" w:rsidR="00110B79" w:rsidRPr="00110B79" w:rsidRDefault="00110B79" w:rsidP="001B4D49">
            <w:pPr>
              <w:pStyle w:val="Tabletext"/>
              <w:jc w:val="left"/>
              <w:rPr>
                <w:position w:val="2"/>
                <w:lang w:val="ar-SA" w:bidi="ar-EG"/>
              </w:rPr>
            </w:pPr>
            <w:r w:rsidRPr="00110B79">
              <w:rPr>
                <w:position w:val="2"/>
              </w:rPr>
              <w:t>–</w:t>
            </w:r>
          </w:p>
        </w:tc>
        <w:tc>
          <w:tcPr>
            <w:tcW w:w="1485" w:type="dxa"/>
            <w:tcBorders>
              <w:left w:val="single" w:sz="4" w:space="0" w:color="000000" w:themeColor="text1"/>
            </w:tcBorders>
          </w:tcPr>
          <w:p w14:paraId="34562A50" w14:textId="1D2C8E92" w:rsidR="00110B79" w:rsidRPr="00110B79" w:rsidRDefault="00110B79" w:rsidP="001B4D49">
            <w:pPr>
              <w:pStyle w:val="Tabletext"/>
              <w:jc w:val="left"/>
              <w:rPr>
                <w:position w:val="2"/>
                <w:lang w:val="ar-SA" w:bidi="ar-EG"/>
              </w:rPr>
            </w:pPr>
            <w:r w:rsidRPr="00110B79">
              <w:rPr>
                <w:position w:val="2"/>
              </w:rPr>
              <w:t>–</w:t>
            </w:r>
          </w:p>
        </w:tc>
        <w:tc>
          <w:tcPr>
            <w:tcW w:w="1109" w:type="dxa"/>
            <w:tcBorders>
              <w:left w:val="single" w:sz="4" w:space="0" w:color="000000" w:themeColor="text1"/>
            </w:tcBorders>
          </w:tcPr>
          <w:p w14:paraId="68A2062B" w14:textId="343F5845" w:rsidR="00110B79" w:rsidRPr="00110B79" w:rsidRDefault="00110B79" w:rsidP="001B4D49">
            <w:pPr>
              <w:pStyle w:val="Tabletext"/>
              <w:jc w:val="left"/>
              <w:rPr>
                <w:position w:val="2"/>
                <w:lang w:val="ar-SA" w:bidi="ar-EG"/>
              </w:rPr>
            </w:pPr>
            <w:r w:rsidRPr="00110B79">
              <w:rPr>
                <w:position w:val="2"/>
              </w:rPr>
              <w:t>–</w:t>
            </w:r>
          </w:p>
        </w:tc>
      </w:tr>
      <w:tr w:rsidR="00110B79" w:rsidRPr="00110B79" w14:paraId="5795EC3E" w14:textId="77777777" w:rsidTr="003544DF">
        <w:trPr>
          <w:trHeight w:val="270"/>
          <w:jc w:val="center"/>
        </w:trPr>
        <w:tc>
          <w:tcPr>
            <w:tcW w:w="1774" w:type="dxa"/>
            <w:tcBorders>
              <w:right w:val="single" w:sz="4" w:space="0" w:color="000000" w:themeColor="text1"/>
            </w:tcBorders>
          </w:tcPr>
          <w:p w14:paraId="10123C95" w14:textId="77777777" w:rsidR="00110B79" w:rsidRPr="00110B79" w:rsidDel="00A14716" w:rsidRDefault="00110B79" w:rsidP="00110B79">
            <w:pPr>
              <w:pStyle w:val="Tabletext"/>
              <w:jc w:val="center"/>
              <w:rPr>
                <w:b/>
                <w:bCs/>
                <w:position w:val="2"/>
                <w:lang w:val="ar-SA" w:bidi="ar-EG"/>
              </w:rPr>
            </w:pPr>
            <w:r w:rsidRPr="00110B79">
              <w:rPr>
                <w:b/>
                <w:bCs/>
                <w:position w:val="2"/>
                <w:rtl/>
              </w:rPr>
              <w:t>لجنة الدراسات 3</w:t>
            </w:r>
          </w:p>
        </w:tc>
        <w:tc>
          <w:tcPr>
            <w:tcW w:w="2126" w:type="dxa"/>
            <w:tcBorders>
              <w:left w:val="single" w:sz="4" w:space="0" w:color="000000" w:themeColor="text1"/>
            </w:tcBorders>
          </w:tcPr>
          <w:p w14:paraId="26AADD6C" w14:textId="38D3FCB9" w:rsidR="00110B79" w:rsidRPr="00110B79" w:rsidRDefault="00677FD2" w:rsidP="001B4D49">
            <w:pPr>
              <w:pStyle w:val="Tabletext"/>
              <w:jc w:val="left"/>
              <w:rPr>
                <w:position w:val="2"/>
                <w:lang w:val="ar-SA" w:bidi="ar-EG"/>
              </w:rPr>
            </w:pPr>
            <w:hyperlink r:id="rId20" w:history="1">
              <w:r w:rsidR="00110B79" w:rsidRPr="00110B79">
                <w:rPr>
                  <w:rStyle w:val="Hyperlink"/>
                  <w:position w:val="2"/>
                </w:rPr>
                <w:t>P.310-11</w:t>
              </w:r>
            </w:hyperlink>
            <w:r w:rsidR="00110B79" w:rsidRPr="00110B79">
              <w:rPr>
                <w:position w:val="2"/>
                <w:rtl/>
                <w:lang w:bidi="ar-EG"/>
              </w:rPr>
              <w:t xml:space="preserve">، </w:t>
            </w:r>
            <w:hyperlink r:id="rId21" w:history="1">
              <w:r w:rsidR="00110B79" w:rsidRPr="00110B79">
                <w:rPr>
                  <w:rStyle w:val="Hyperlink"/>
                  <w:position w:val="2"/>
                </w:rPr>
                <w:t>P.311-19</w:t>
              </w:r>
            </w:hyperlink>
            <w:r w:rsidR="00110B79" w:rsidRPr="00110B79">
              <w:rPr>
                <w:position w:val="2"/>
                <w:rtl/>
                <w:lang w:bidi="ar-EG"/>
              </w:rPr>
              <w:t xml:space="preserve">، </w:t>
            </w:r>
            <w:hyperlink r:id="rId22" w:history="1">
              <w:r w:rsidR="00110B79" w:rsidRPr="00110B79">
                <w:rPr>
                  <w:rStyle w:val="Hyperlink"/>
                  <w:position w:val="2"/>
                </w:rPr>
                <w:t>P.526-16</w:t>
              </w:r>
            </w:hyperlink>
            <w:r w:rsidR="00110B79" w:rsidRPr="00110B79">
              <w:rPr>
                <w:position w:val="2"/>
                <w:rtl/>
                <w:lang w:bidi="ar-EG"/>
              </w:rPr>
              <w:t xml:space="preserve">، </w:t>
            </w:r>
            <w:hyperlink r:id="rId23" w:history="1">
              <w:r w:rsidR="00110B79" w:rsidRPr="00110B79">
                <w:rPr>
                  <w:rStyle w:val="Hyperlink"/>
                  <w:position w:val="2"/>
                </w:rPr>
                <w:t>P.530-19</w:t>
              </w:r>
            </w:hyperlink>
            <w:r w:rsidR="00110B79" w:rsidRPr="00110B79">
              <w:rPr>
                <w:position w:val="2"/>
                <w:rtl/>
                <w:lang w:bidi="ar-EG"/>
              </w:rPr>
              <w:t xml:space="preserve">، </w:t>
            </w:r>
            <w:hyperlink r:id="rId24" w:history="1">
              <w:r w:rsidR="00110B79" w:rsidRPr="00110B79">
                <w:rPr>
                  <w:rStyle w:val="Hyperlink"/>
                  <w:position w:val="2"/>
                </w:rPr>
                <w:t>P.531-16</w:t>
              </w:r>
            </w:hyperlink>
            <w:r w:rsidR="00110B79" w:rsidRPr="00110B79">
              <w:rPr>
                <w:position w:val="2"/>
                <w:rtl/>
                <w:lang w:bidi="ar-EG"/>
              </w:rPr>
              <w:t xml:space="preserve">، </w:t>
            </w:r>
            <w:hyperlink r:id="rId25" w:history="1">
              <w:r w:rsidR="00110B79" w:rsidRPr="00110B79">
                <w:rPr>
                  <w:rStyle w:val="Hyperlink"/>
                  <w:position w:val="2"/>
                </w:rPr>
                <w:t>P.617-6</w:t>
              </w:r>
            </w:hyperlink>
            <w:r w:rsidR="00110B79" w:rsidRPr="00110B79">
              <w:rPr>
                <w:position w:val="2"/>
                <w:rtl/>
                <w:lang w:bidi="ar-EG"/>
              </w:rPr>
              <w:t xml:space="preserve">، </w:t>
            </w:r>
            <w:hyperlink r:id="rId26" w:history="1">
              <w:r w:rsidR="00110B79" w:rsidRPr="00110B79">
                <w:rPr>
                  <w:rStyle w:val="Hyperlink"/>
                  <w:position w:val="2"/>
                </w:rPr>
                <w:t>P.619</w:t>
              </w:r>
              <w:r w:rsidR="00110B79" w:rsidRPr="00110B79">
                <w:rPr>
                  <w:rStyle w:val="Hyperlink"/>
                  <w:position w:val="2"/>
                </w:rPr>
                <w:noBreakHyphen/>
                <w:t>6</w:t>
              </w:r>
            </w:hyperlink>
            <w:r w:rsidR="00110B79" w:rsidRPr="00110B79">
              <w:rPr>
                <w:position w:val="2"/>
                <w:rtl/>
                <w:lang w:bidi="ar-EG"/>
              </w:rPr>
              <w:t xml:space="preserve">، </w:t>
            </w:r>
            <w:hyperlink r:id="rId27" w:history="1">
              <w:r w:rsidR="00110B79" w:rsidRPr="00110B79">
                <w:rPr>
                  <w:rStyle w:val="Hyperlink"/>
                  <w:position w:val="2"/>
                </w:rPr>
                <w:t>P.837-8</w:t>
              </w:r>
            </w:hyperlink>
            <w:r w:rsidR="00110B79" w:rsidRPr="00110B79">
              <w:rPr>
                <w:position w:val="2"/>
                <w:rtl/>
                <w:lang w:bidi="ar-EG"/>
              </w:rPr>
              <w:t xml:space="preserve">، </w:t>
            </w:r>
            <w:hyperlink r:id="rId28" w:history="1">
              <w:r w:rsidR="00110B79" w:rsidRPr="00110B79">
                <w:rPr>
                  <w:rStyle w:val="Hyperlink"/>
                  <w:position w:val="2"/>
                </w:rPr>
                <w:t>P.1144</w:t>
              </w:r>
              <w:r w:rsidR="00110B79" w:rsidRPr="00110B79">
                <w:rPr>
                  <w:rStyle w:val="Hyperlink"/>
                  <w:position w:val="2"/>
                </w:rPr>
                <w:noBreakHyphen/>
                <w:t>13</w:t>
              </w:r>
            </w:hyperlink>
            <w:r w:rsidR="00110B79" w:rsidRPr="00110B79">
              <w:rPr>
                <w:position w:val="2"/>
                <w:rtl/>
                <w:lang w:bidi="ar-EG"/>
              </w:rPr>
              <w:t xml:space="preserve">، </w:t>
            </w:r>
            <w:hyperlink r:id="rId29" w:history="1">
              <w:r w:rsidR="00110B79" w:rsidRPr="00110B79">
                <w:rPr>
                  <w:rStyle w:val="Hyperlink"/>
                  <w:position w:val="2"/>
                </w:rPr>
                <w:t>P.1238</w:t>
              </w:r>
              <w:r w:rsidR="003544DF">
                <w:rPr>
                  <w:rStyle w:val="Hyperlink"/>
                  <w:position w:val="2"/>
                </w:rPr>
                <w:noBreakHyphen/>
              </w:r>
              <w:r w:rsidR="00110B79" w:rsidRPr="00110B79">
                <w:rPr>
                  <w:rStyle w:val="Hyperlink"/>
                  <w:position w:val="2"/>
                </w:rPr>
                <w:t>13</w:t>
              </w:r>
            </w:hyperlink>
            <w:r w:rsidR="00110B79" w:rsidRPr="00110B79">
              <w:rPr>
                <w:position w:val="2"/>
                <w:rtl/>
                <w:lang w:bidi="ar-EG"/>
              </w:rPr>
              <w:t xml:space="preserve">، </w:t>
            </w:r>
            <w:hyperlink r:id="rId30" w:history="1">
              <w:r w:rsidR="00110B79" w:rsidRPr="00110B79">
                <w:rPr>
                  <w:rStyle w:val="Hyperlink"/>
                  <w:position w:val="2"/>
                </w:rPr>
                <w:t>P.1409-4</w:t>
              </w:r>
            </w:hyperlink>
            <w:r w:rsidR="00110B79" w:rsidRPr="00110B79">
              <w:rPr>
                <w:position w:val="2"/>
                <w:rtl/>
                <w:lang w:bidi="ar-EG"/>
              </w:rPr>
              <w:t xml:space="preserve">، </w:t>
            </w:r>
            <w:hyperlink r:id="rId31" w:history="1">
              <w:r w:rsidR="00110B79" w:rsidRPr="00110B79">
                <w:rPr>
                  <w:rStyle w:val="Hyperlink"/>
                  <w:position w:val="2"/>
                </w:rPr>
                <w:t>P.1411-13</w:t>
              </w:r>
            </w:hyperlink>
            <w:r w:rsidR="00110B79" w:rsidRPr="00110B79">
              <w:rPr>
                <w:position w:val="2"/>
                <w:rtl/>
                <w:lang w:bidi="ar-EG"/>
              </w:rPr>
              <w:t xml:space="preserve">، </w:t>
            </w:r>
            <w:hyperlink r:id="rId32" w:history="1">
              <w:r w:rsidR="00110B79" w:rsidRPr="00110B79">
                <w:rPr>
                  <w:rStyle w:val="Hyperlink"/>
                  <w:position w:val="2"/>
                </w:rPr>
                <w:t>P.1812-8</w:t>
              </w:r>
            </w:hyperlink>
            <w:r w:rsidR="00110B79" w:rsidRPr="00110B79">
              <w:rPr>
                <w:position w:val="2"/>
                <w:rtl/>
                <w:lang w:bidi="ar-EG"/>
              </w:rPr>
              <w:t xml:space="preserve">، </w:t>
            </w:r>
            <w:hyperlink r:id="rId33" w:history="1">
              <w:r w:rsidR="00110B79" w:rsidRPr="00110B79">
                <w:rPr>
                  <w:rStyle w:val="Hyperlink"/>
                  <w:position w:val="2"/>
                </w:rPr>
                <w:t>P.1814-1</w:t>
              </w:r>
            </w:hyperlink>
            <w:r w:rsidR="00110B79" w:rsidRPr="00110B79">
              <w:rPr>
                <w:position w:val="2"/>
                <w:rtl/>
                <w:lang w:bidi="ar-EG"/>
              </w:rPr>
              <w:t xml:space="preserve">، </w:t>
            </w:r>
            <w:hyperlink r:id="rId34" w:history="1">
              <w:r w:rsidR="00110B79" w:rsidRPr="00110B79">
                <w:rPr>
                  <w:rStyle w:val="Hyperlink"/>
                  <w:position w:val="2"/>
                </w:rPr>
                <w:t>P.2001-6</w:t>
              </w:r>
            </w:hyperlink>
            <w:r w:rsidR="00110B79" w:rsidRPr="00110B79">
              <w:rPr>
                <w:position w:val="2"/>
                <w:rtl/>
                <w:lang w:bidi="ar-EG"/>
              </w:rPr>
              <w:t xml:space="preserve">، </w:t>
            </w:r>
            <w:hyperlink r:id="rId35" w:history="1">
              <w:r w:rsidR="00110B79" w:rsidRPr="00110B79">
                <w:rPr>
                  <w:rStyle w:val="Hyperlink"/>
                  <w:position w:val="2"/>
                </w:rPr>
                <w:t>P.2040-4</w:t>
              </w:r>
            </w:hyperlink>
            <w:r w:rsidR="00110B79" w:rsidRPr="00110B79">
              <w:rPr>
                <w:position w:val="2"/>
                <w:rtl/>
                <w:lang w:bidi="ar-EG"/>
              </w:rPr>
              <w:t xml:space="preserve">، </w:t>
            </w:r>
            <w:hyperlink r:id="rId36" w:history="1">
              <w:r w:rsidR="00110B79" w:rsidRPr="00110B79">
                <w:rPr>
                  <w:rStyle w:val="Hyperlink"/>
                  <w:position w:val="2"/>
                </w:rPr>
                <w:t>P.2170-0</w:t>
              </w:r>
            </w:hyperlink>
          </w:p>
        </w:tc>
        <w:tc>
          <w:tcPr>
            <w:tcW w:w="1899" w:type="dxa"/>
            <w:tcBorders>
              <w:left w:val="single" w:sz="4" w:space="0" w:color="000000" w:themeColor="text1"/>
            </w:tcBorders>
          </w:tcPr>
          <w:p w14:paraId="03FD420B" w14:textId="1FE5B1BC" w:rsidR="00110B79" w:rsidRPr="00110B79" w:rsidRDefault="00677FD2" w:rsidP="001B4D49">
            <w:pPr>
              <w:pStyle w:val="Tabletext"/>
              <w:jc w:val="left"/>
              <w:rPr>
                <w:position w:val="2"/>
                <w:lang w:val="ar-SA" w:bidi="ar-EG"/>
              </w:rPr>
            </w:pPr>
            <w:hyperlink r:id="rId37" w:history="1">
              <w:r w:rsidR="00110B79" w:rsidRPr="00110B79">
                <w:rPr>
                  <w:rStyle w:val="Hyperlink"/>
                  <w:position w:val="2"/>
                  <w:lang w:eastAsia="ja-JP"/>
                </w:rPr>
                <w:t>P.2345-3</w:t>
              </w:r>
            </w:hyperlink>
            <w:r w:rsidR="00110B79" w:rsidRPr="00110B79">
              <w:rPr>
                <w:position w:val="2"/>
                <w:rtl/>
                <w:lang w:eastAsia="ja-JP" w:bidi="ar-EG"/>
              </w:rPr>
              <w:t xml:space="preserve">، </w:t>
            </w:r>
            <w:hyperlink r:id="rId38" w:history="1">
              <w:r w:rsidR="00110B79" w:rsidRPr="00110B79">
                <w:rPr>
                  <w:rStyle w:val="Hyperlink"/>
                  <w:position w:val="2"/>
                  <w:lang w:eastAsia="ja-JP"/>
                </w:rPr>
                <w:t>P.2554-0</w:t>
              </w:r>
            </w:hyperlink>
          </w:p>
        </w:tc>
        <w:tc>
          <w:tcPr>
            <w:tcW w:w="1316" w:type="dxa"/>
            <w:tcBorders>
              <w:left w:val="single" w:sz="4" w:space="0" w:color="000000" w:themeColor="text1"/>
            </w:tcBorders>
          </w:tcPr>
          <w:p w14:paraId="25DB5040" w14:textId="3537E956" w:rsidR="00110B79" w:rsidRPr="00110B79" w:rsidRDefault="00677FD2" w:rsidP="001B4D49">
            <w:pPr>
              <w:pStyle w:val="Tabletext"/>
              <w:jc w:val="left"/>
              <w:rPr>
                <w:position w:val="2"/>
                <w:lang w:val="ar-SA" w:bidi="ar-EG"/>
              </w:rPr>
            </w:pPr>
            <w:hyperlink r:id="rId39" w:history="1">
              <w:r w:rsidR="00110B79" w:rsidRPr="00110B79">
                <w:rPr>
                  <w:rStyle w:val="Hyperlink"/>
                  <w:position w:val="2"/>
                </w:rPr>
                <w:t>237/3</w:t>
              </w:r>
            </w:hyperlink>
          </w:p>
        </w:tc>
        <w:tc>
          <w:tcPr>
            <w:tcW w:w="1485" w:type="dxa"/>
            <w:tcBorders>
              <w:left w:val="single" w:sz="4" w:space="0" w:color="000000" w:themeColor="text1"/>
            </w:tcBorders>
          </w:tcPr>
          <w:p w14:paraId="69A28030" w14:textId="57DB973A" w:rsidR="00110B79" w:rsidRPr="00110B79" w:rsidRDefault="00110B79" w:rsidP="001B4D49">
            <w:pPr>
              <w:pStyle w:val="Tabletext"/>
              <w:jc w:val="left"/>
              <w:rPr>
                <w:position w:val="2"/>
                <w:lang w:val="ar-SA" w:bidi="ar-EG"/>
              </w:rPr>
            </w:pPr>
            <w:r w:rsidRPr="00110B79">
              <w:rPr>
                <w:position w:val="2"/>
              </w:rPr>
              <w:t>–</w:t>
            </w:r>
          </w:p>
        </w:tc>
        <w:tc>
          <w:tcPr>
            <w:tcW w:w="1109" w:type="dxa"/>
            <w:tcBorders>
              <w:left w:val="single" w:sz="4" w:space="0" w:color="000000" w:themeColor="text1"/>
            </w:tcBorders>
          </w:tcPr>
          <w:p w14:paraId="1A1CA295" w14:textId="569DF05F" w:rsidR="00110B79" w:rsidRPr="00110B79" w:rsidRDefault="00110B79" w:rsidP="001B4D49">
            <w:pPr>
              <w:pStyle w:val="Tabletext"/>
              <w:jc w:val="left"/>
              <w:rPr>
                <w:position w:val="2"/>
                <w:lang w:val="ar-SA" w:bidi="ar-EG"/>
              </w:rPr>
            </w:pPr>
            <w:r w:rsidRPr="00110B79">
              <w:rPr>
                <w:position w:val="2"/>
              </w:rPr>
              <w:t>–</w:t>
            </w:r>
          </w:p>
        </w:tc>
      </w:tr>
      <w:tr w:rsidR="00110B79" w:rsidRPr="00110B79" w14:paraId="0D0C6F34" w14:textId="77777777" w:rsidTr="003544DF">
        <w:trPr>
          <w:trHeight w:val="270"/>
          <w:jc w:val="center"/>
        </w:trPr>
        <w:tc>
          <w:tcPr>
            <w:tcW w:w="1774" w:type="dxa"/>
            <w:tcBorders>
              <w:right w:val="single" w:sz="4" w:space="0" w:color="000000" w:themeColor="text1"/>
            </w:tcBorders>
          </w:tcPr>
          <w:p w14:paraId="2D94F69E" w14:textId="77777777" w:rsidR="00110B79" w:rsidRPr="00110B79" w:rsidDel="00A14716" w:rsidRDefault="00110B79" w:rsidP="00110B79">
            <w:pPr>
              <w:pStyle w:val="Tabletext"/>
              <w:jc w:val="center"/>
              <w:rPr>
                <w:b/>
                <w:bCs/>
                <w:position w:val="2"/>
                <w:lang w:val="ar-SA" w:bidi="ar-EG"/>
              </w:rPr>
            </w:pPr>
            <w:r w:rsidRPr="00110B79">
              <w:rPr>
                <w:b/>
                <w:bCs/>
                <w:position w:val="2"/>
                <w:rtl/>
              </w:rPr>
              <w:t>لجنة الدراسات 4</w:t>
            </w:r>
          </w:p>
        </w:tc>
        <w:tc>
          <w:tcPr>
            <w:tcW w:w="2126" w:type="dxa"/>
            <w:tcBorders>
              <w:left w:val="single" w:sz="4" w:space="0" w:color="000000" w:themeColor="text1"/>
            </w:tcBorders>
          </w:tcPr>
          <w:p w14:paraId="46C5DB0C" w14:textId="0272E34E" w:rsidR="00110B79" w:rsidRPr="00110B79" w:rsidRDefault="00110B79" w:rsidP="001B4D49">
            <w:pPr>
              <w:pStyle w:val="Tabletext"/>
              <w:jc w:val="left"/>
              <w:rPr>
                <w:position w:val="2"/>
                <w:lang w:val="ar-SA" w:bidi="ar-EG"/>
              </w:rPr>
            </w:pPr>
            <w:r w:rsidRPr="00110B79">
              <w:rPr>
                <w:position w:val="2"/>
              </w:rPr>
              <w:t>–</w:t>
            </w:r>
          </w:p>
        </w:tc>
        <w:tc>
          <w:tcPr>
            <w:tcW w:w="1899" w:type="dxa"/>
            <w:tcBorders>
              <w:left w:val="single" w:sz="4" w:space="0" w:color="000000" w:themeColor="text1"/>
            </w:tcBorders>
          </w:tcPr>
          <w:p w14:paraId="2F71386C" w14:textId="471BBDBC" w:rsidR="00110B79" w:rsidRPr="003544DF" w:rsidRDefault="00677FD2" w:rsidP="001B4D49">
            <w:pPr>
              <w:pStyle w:val="Tabletext"/>
              <w:jc w:val="left"/>
              <w:rPr>
                <w:spacing w:val="-4"/>
                <w:position w:val="2"/>
                <w:lang w:val="ar-SA" w:bidi="ar-EG"/>
              </w:rPr>
            </w:pPr>
            <w:hyperlink r:id="rId40" w:history="1">
              <w:r w:rsidR="00110B79" w:rsidRPr="003544DF">
                <w:rPr>
                  <w:rStyle w:val="Hyperlink"/>
                  <w:spacing w:val="-4"/>
                  <w:position w:val="2"/>
                  <w:lang w:val="pt-BR"/>
                </w:rPr>
                <w:t>M.2305-1</w:t>
              </w:r>
            </w:hyperlink>
            <w:r w:rsidR="00110B79" w:rsidRPr="003544DF">
              <w:rPr>
                <w:spacing w:val="-4"/>
                <w:position w:val="2"/>
                <w:rtl/>
                <w:lang w:val="pt-BR" w:bidi="ar-EG"/>
              </w:rPr>
              <w:t xml:space="preserve">، </w:t>
            </w:r>
            <w:hyperlink r:id="rId41" w:history="1">
              <w:r w:rsidR="00110B79" w:rsidRPr="003544DF">
                <w:rPr>
                  <w:rStyle w:val="Hyperlink"/>
                  <w:spacing w:val="-4"/>
                  <w:position w:val="2"/>
                  <w:lang w:val="pt-BR"/>
                </w:rPr>
                <w:t>M.2564-0</w:t>
              </w:r>
            </w:hyperlink>
            <w:r w:rsidR="00110B79" w:rsidRPr="003544DF">
              <w:rPr>
                <w:spacing w:val="-4"/>
                <w:position w:val="2"/>
                <w:rtl/>
                <w:lang w:val="pt-BR" w:bidi="ar-EG"/>
              </w:rPr>
              <w:t xml:space="preserve">، </w:t>
            </w:r>
            <w:hyperlink r:id="rId42" w:history="1">
              <w:r w:rsidR="00110B79" w:rsidRPr="003544DF">
                <w:rPr>
                  <w:rStyle w:val="Hyperlink"/>
                  <w:spacing w:val="-4"/>
                  <w:position w:val="2"/>
                  <w:lang w:val="pt-BR"/>
                </w:rPr>
                <w:t>S.2565-0</w:t>
              </w:r>
            </w:hyperlink>
          </w:p>
        </w:tc>
        <w:tc>
          <w:tcPr>
            <w:tcW w:w="1316" w:type="dxa"/>
            <w:tcBorders>
              <w:left w:val="single" w:sz="4" w:space="0" w:color="000000" w:themeColor="text1"/>
            </w:tcBorders>
          </w:tcPr>
          <w:p w14:paraId="258E51A4" w14:textId="2A8286E6" w:rsidR="00110B79" w:rsidRPr="00110B79" w:rsidRDefault="00110B79" w:rsidP="001B4D49">
            <w:pPr>
              <w:pStyle w:val="Tabletext"/>
              <w:jc w:val="left"/>
              <w:rPr>
                <w:position w:val="2"/>
                <w:lang w:val="ar-SA" w:bidi="ar-EG"/>
              </w:rPr>
            </w:pPr>
            <w:r w:rsidRPr="00110B79">
              <w:rPr>
                <w:position w:val="2"/>
              </w:rPr>
              <w:t>–</w:t>
            </w:r>
          </w:p>
        </w:tc>
        <w:tc>
          <w:tcPr>
            <w:tcW w:w="1485" w:type="dxa"/>
            <w:tcBorders>
              <w:left w:val="single" w:sz="4" w:space="0" w:color="000000" w:themeColor="text1"/>
            </w:tcBorders>
          </w:tcPr>
          <w:p w14:paraId="5FDEC237" w14:textId="6951D712" w:rsidR="00110B79" w:rsidRPr="00110B79" w:rsidRDefault="00110B79" w:rsidP="001B4D49">
            <w:pPr>
              <w:pStyle w:val="Tabletext"/>
              <w:jc w:val="left"/>
              <w:rPr>
                <w:position w:val="2"/>
                <w:lang w:val="ar-SA" w:bidi="ar-EG"/>
              </w:rPr>
            </w:pPr>
            <w:r w:rsidRPr="00110B79">
              <w:rPr>
                <w:position w:val="2"/>
              </w:rPr>
              <w:t>–</w:t>
            </w:r>
          </w:p>
        </w:tc>
        <w:tc>
          <w:tcPr>
            <w:tcW w:w="1109" w:type="dxa"/>
            <w:tcBorders>
              <w:left w:val="single" w:sz="4" w:space="0" w:color="000000" w:themeColor="text1"/>
            </w:tcBorders>
          </w:tcPr>
          <w:p w14:paraId="7FCD9650" w14:textId="297D0D4B" w:rsidR="00110B79" w:rsidRPr="00110B79" w:rsidRDefault="00110B79" w:rsidP="001B4D49">
            <w:pPr>
              <w:pStyle w:val="Tabletext"/>
              <w:jc w:val="left"/>
              <w:rPr>
                <w:position w:val="2"/>
                <w:lang w:val="ar-SA" w:bidi="ar-EG"/>
              </w:rPr>
            </w:pPr>
            <w:r w:rsidRPr="00110B79">
              <w:rPr>
                <w:position w:val="2"/>
              </w:rPr>
              <w:t>–</w:t>
            </w:r>
          </w:p>
        </w:tc>
      </w:tr>
      <w:tr w:rsidR="00110B79" w:rsidRPr="00110B79" w14:paraId="0D4E05AD" w14:textId="77777777" w:rsidTr="003544DF">
        <w:trPr>
          <w:trHeight w:val="270"/>
          <w:jc w:val="center"/>
        </w:trPr>
        <w:tc>
          <w:tcPr>
            <w:tcW w:w="1774" w:type="dxa"/>
            <w:tcBorders>
              <w:right w:val="single" w:sz="4" w:space="0" w:color="000000" w:themeColor="text1"/>
            </w:tcBorders>
          </w:tcPr>
          <w:p w14:paraId="3112E659" w14:textId="77777777" w:rsidR="00110B79" w:rsidRPr="00110B79" w:rsidDel="00A14716" w:rsidRDefault="00110B79" w:rsidP="00110B79">
            <w:pPr>
              <w:pStyle w:val="Tabletext"/>
              <w:jc w:val="center"/>
              <w:rPr>
                <w:b/>
                <w:bCs/>
                <w:position w:val="2"/>
                <w:lang w:val="ar-SA" w:bidi="ar-EG"/>
              </w:rPr>
            </w:pPr>
            <w:r w:rsidRPr="00110B79">
              <w:rPr>
                <w:b/>
                <w:bCs/>
                <w:position w:val="2"/>
                <w:rtl/>
              </w:rPr>
              <w:t>لجنة الدراسات 5</w:t>
            </w:r>
          </w:p>
        </w:tc>
        <w:tc>
          <w:tcPr>
            <w:tcW w:w="2126" w:type="dxa"/>
            <w:tcBorders>
              <w:left w:val="single" w:sz="4" w:space="0" w:color="000000" w:themeColor="text1"/>
            </w:tcBorders>
          </w:tcPr>
          <w:p w14:paraId="3D1BB09C" w14:textId="2D17C8A4" w:rsidR="00110B79" w:rsidRPr="00110B79" w:rsidRDefault="00110B79" w:rsidP="001B4D49">
            <w:pPr>
              <w:pStyle w:val="Tabletext"/>
              <w:jc w:val="left"/>
              <w:rPr>
                <w:position w:val="2"/>
                <w:lang w:val="ar-SA" w:bidi="ar-EG"/>
              </w:rPr>
            </w:pPr>
            <w:r w:rsidRPr="00110B79">
              <w:rPr>
                <w:position w:val="2"/>
              </w:rPr>
              <w:t>–</w:t>
            </w:r>
          </w:p>
        </w:tc>
        <w:tc>
          <w:tcPr>
            <w:tcW w:w="1899" w:type="dxa"/>
            <w:tcBorders>
              <w:left w:val="single" w:sz="4" w:space="0" w:color="000000" w:themeColor="text1"/>
            </w:tcBorders>
          </w:tcPr>
          <w:p w14:paraId="6A532710" w14:textId="4CC17CF7" w:rsidR="00110B79" w:rsidRPr="003544DF" w:rsidRDefault="00677FD2" w:rsidP="001B4D49">
            <w:pPr>
              <w:pStyle w:val="Tabletext"/>
              <w:jc w:val="left"/>
              <w:rPr>
                <w:spacing w:val="-4"/>
                <w:position w:val="2"/>
                <w:lang w:val="ar-SA" w:bidi="ar-EG"/>
              </w:rPr>
            </w:pPr>
            <w:hyperlink r:id="rId43" w:history="1">
              <w:r w:rsidR="00110B79" w:rsidRPr="003544DF">
                <w:rPr>
                  <w:rStyle w:val="Hyperlink"/>
                  <w:spacing w:val="-4"/>
                  <w:position w:val="2"/>
                  <w:lang w:val="de-DE" w:eastAsia="ja-JP"/>
                </w:rPr>
                <w:t>F.2558-0</w:t>
              </w:r>
            </w:hyperlink>
            <w:r w:rsidR="00110B79" w:rsidRPr="003544DF">
              <w:rPr>
                <w:spacing w:val="-4"/>
                <w:position w:val="2"/>
                <w:rtl/>
                <w:lang w:val="de-DE" w:eastAsia="ja-JP" w:bidi="ar-EG"/>
              </w:rPr>
              <w:t xml:space="preserve">، </w:t>
            </w:r>
            <w:hyperlink r:id="rId44" w:history="1">
              <w:r w:rsidR="00110B79" w:rsidRPr="003544DF">
                <w:rPr>
                  <w:rStyle w:val="Hyperlink"/>
                  <w:spacing w:val="-4"/>
                  <w:position w:val="2"/>
                  <w:lang w:val="de-DE" w:eastAsia="ja-JP"/>
                </w:rPr>
                <w:t>M.2039-4</w:t>
              </w:r>
            </w:hyperlink>
            <w:r w:rsidR="00110B79" w:rsidRPr="003544DF">
              <w:rPr>
                <w:spacing w:val="-4"/>
                <w:position w:val="2"/>
                <w:rtl/>
                <w:lang w:val="de-DE" w:eastAsia="ja-JP" w:bidi="ar-EG"/>
              </w:rPr>
              <w:t xml:space="preserve">، </w:t>
            </w:r>
            <w:hyperlink r:id="rId45" w:history="1">
              <w:r w:rsidR="00110B79" w:rsidRPr="003544DF">
                <w:rPr>
                  <w:rStyle w:val="Hyperlink"/>
                  <w:spacing w:val="-4"/>
                  <w:position w:val="2"/>
                  <w:lang w:val="de-DE" w:eastAsia="ja-JP"/>
                </w:rPr>
                <w:t>M.2559-0</w:t>
              </w:r>
            </w:hyperlink>
            <w:r w:rsidR="00110B79" w:rsidRPr="003544DF">
              <w:rPr>
                <w:spacing w:val="-4"/>
                <w:position w:val="2"/>
                <w:rtl/>
                <w:lang w:val="de-DE" w:eastAsia="ja-JP" w:bidi="ar-EG"/>
              </w:rPr>
              <w:t xml:space="preserve">، </w:t>
            </w:r>
            <w:hyperlink r:id="rId46" w:history="1">
              <w:r w:rsidR="00110B79" w:rsidRPr="003544DF">
                <w:rPr>
                  <w:rStyle w:val="Hyperlink"/>
                  <w:spacing w:val="-4"/>
                  <w:position w:val="2"/>
                  <w:lang w:val="de-DE" w:eastAsia="ja-JP"/>
                </w:rPr>
                <w:t>M.2560-0</w:t>
              </w:r>
            </w:hyperlink>
            <w:r w:rsidR="00110B79" w:rsidRPr="003544DF">
              <w:rPr>
                <w:spacing w:val="-4"/>
                <w:position w:val="2"/>
                <w:rtl/>
                <w:lang w:val="de-DE" w:eastAsia="ja-JP" w:bidi="ar-EG"/>
              </w:rPr>
              <w:t xml:space="preserve">، </w:t>
            </w:r>
            <w:hyperlink r:id="rId47" w:history="1">
              <w:r w:rsidR="00110B79" w:rsidRPr="003544DF">
                <w:rPr>
                  <w:rStyle w:val="Hyperlink"/>
                  <w:spacing w:val="-4"/>
                  <w:position w:val="2"/>
                  <w:lang w:val="de-DE" w:eastAsia="ja-JP"/>
                </w:rPr>
                <w:t>M.2561-0</w:t>
              </w:r>
            </w:hyperlink>
            <w:r w:rsidR="00110B79" w:rsidRPr="003544DF">
              <w:rPr>
                <w:spacing w:val="-4"/>
                <w:position w:val="2"/>
                <w:rtl/>
                <w:lang w:val="de-DE" w:eastAsia="ja-JP" w:bidi="ar-EG"/>
              </w:rPr>
              <w:t xml:space="preserve">، </w:t>
            </w:r>
            <w:hyperlink r:id="rId48" w:history="1">
              <w:r w:rsidR="00110B79" w:rsidRPr="003544DF">
                <w:rPr>
                  <w:rStyle w:val="Hyperlink"/>
                  <w:spacing w:val="-4"/>
                  <w:position w:val="2"/>
                  <w:lang w:val="de-DE" w:eastAsia="ja-JP"/>
                </w:rPr>
                <w:t>M.2562-0</w:t>
              </w:r>
            </w:hyperlink>
            <w:r w:rsidR="00110B79" w:rsidRPr="003544DF">
              <w:rPr>
                <w:spacing w:val="-4"/>
                <w:position w:val="2"/>
                <w:rtl/>
                <w:lang w:val="de-DE" w:eastAsia="ja-JP" w:bidi="ar-EG"/>
              </w:rPr>
              <w:t xml:space="preserve">، </w:t>
            </w:r>
            <w:hyperlink r:id="rId49" w:history="1">
              <w:r w:rsidR="00110B79" w:rsidRPr="003544DF">
                <w:rPr>
                  <w:rStyle w:val="Hyperlink"/>
                  <w:spacing w:val="-4"/>
                  <w:position w:val="2"/>
                  <w:lang w:val="de-DE" w:eastAsia="ja-JP"/>
                </w:rPr>
                <w:t>M.2563-0</w:t>
              </w:r>
            </w:hyperlink>
          </w:p>
        </w:tc>
        <w:tc>
          <w:tcPr>
            <w:tcW w:w="1316" w:type="dxa"/>
            <w:tcBorders>
              <w:left w:val="single" w:sz="4" w:space="0" w:color="000000" w:themeColor="text1"/>
            </w:tcBorders>
          </w:tcPr>
          <w:p w14:paraId="130E7B37" w14:textId="38513C26" w:rsidR="00110B79" w:rsidRPr="00110B79" w:rsidRDefault="00110B79" w:rsidP="001B4D49">
            <w:pPr>
              <w:pStyle w:val="Tabletext"/>
              <w:jc w:val="left"/>
              <w:rPr>
                <w:position w:val="2"/>
                <w:lang w:val="ar-SA" w:bidi="ar-EG"/>
              </w:rPr>
            </w:pPr>
            <w:r w:rsidRPr="00110B79">
              <w:rPr>
                <w:position w:val="2"/>
              </w:rPr>
              <w:t>–</w:t>
            </w:r>
          </w:p>
        </w:tc>
        <w:tc>
          <w:tcPr>
            <w:tcW w:w="1485" w:type="dxa"/>
            <w:tcBorders>
              <w:left w:val="single" w:sz="4" w:space="0" w:color="000000" w:themeColor="text1"/>
            </w:tcBorders>
          </w:tcPr>
          <w:p w14:paraId="2D999DC3" w14:textId="17D20B39" w:rsidR="00110B79" w:rsidRPr="00F97928" w:rsidRDefault="00677FD2" w:rsidP="001B4D49">
            <w:pPr>
              <w:pStyle w:val="Tabletext"/>
              <w:jc w:val="left"/>
              <w:rPr>
                <w:position w:val="2"/>
              </w:rPr>
            </w:pPr>
            <w:hyperlink r:id="rId50" w:history="1">
              <w:r w:rsidR="00F97928" w:rsidRPr="00F97928">
                <w:rPr>
                  <w:rStyle w:val="Hyperlink"/>
                  <w:position w:val="2"/>
                  <w:rtl/>
                </w:rPr>
                <w:t>كتيب خدمة الهواة وخدمة الهواة الساتلية</w:t>
              </w:r>
            </w:hyperlink>
            <w:r w:rsidR="00F97928" w:rsidRPr="00F97928">
              <w:rPr>
                <w:position w:val="2"/>
                <w:rtl/>
              </w:rPr>
              <w:t xml:space="preserve"> (طبعة</w:t>
            </w:r>
            <w:r w:rsidR="00F97928">
              <w:rPr>
                <w:rFonts w:hint="cs"/>
                <w:position w:val="2"/>
                <w:rtl/>
              </w:rPr>
              <w:t> </w:t>
            </w:r>
            <w:r w:rsidR="00F97928" w:rsidRPr="00F97928">
              <w:rPr>
                <w:position w:val="2"/>
                <w:rtl/>
              </w:rPr>
              <w:t>2025)</w:t>
            </w:r>
          </w:p>
        </w:tc>
        <w:tc>
          <w:tcPr>
            <w:tcW w:w="1109" w:type="dxa"/>
            <w:tcBorders>
              <w:left w:val="single" w:sz="4" w:space="0" w:color="000000" w:themeColor="text1"/>
            </w:tcBorders>
          </w:tcPr>
          <w:p w14:paraId="7945FED4" w14:textId="1E5BF52B" w:rsidR="00110B79" w:rsidRPr="00110B79" w:rsidRDefault="00110B79" w:rsidP="001B4D49">
            <w:pPr>
              <w:pStyle w:val="Tabletext"/>
              <w:jc w:val="left"/>
              <w:rPr>
                <w:position w:val="2"/>
                <w:lang w:val="ar-SA" w:bidi="ar-EG"/>
              </w:rPr>
            </w:pPr>
            <w:r w:rsidRPr="00110B79">
              <w:rPr>
                <w:position w:val="2"/>
              </w:rPr>
              <w:t>–</w:t>
            </w:r>
          </w:p>
        </w:tc>
      </w:tr>
      <w:tr w:rsidR="00110B79" w:rsidRPr="00110B79" w14:paraId="54ECDF16" w14:textId="77777777" w:rsidTr="003544DF">
        <w:trPr>
          <w:trHeight w:val="270"/>
          <w:jc w:val="center"/>
        </w:trPr>
        <w:tc>
          <w:tcPr>
            <w:tcW w:w="1774" w:type="dxa"/>
            <w:tcBorders>
              <w:right w:val="single" w:sz="4" w:space="0" w:color="000000" w:themeColor="text1"/>
            </w:tcBorders>
          </w:tcPr>
          <w:p w14:paraId="053C7EAA" w14:textId="77777777" w:rsidR="00110B79" w:rsidRPr="00110B79" w:rsidDel="00A14716" w:rsidRDefault="00110B79" w:rsidP="00110B79">
            <w:pPr>
              <w:pStyle w:val="Tabletext"/>
              <w:jc w:val="center"/>
              <w:rPr>
                <w:b/>
                <w:bCs/>
                <w:position w:val="2"/>
                <w:lang w:val="ar-SA" w:bidi="ar-EG"/>
              </w:rPr>
            </w:pPr>
            <w:r w:rsidRPr="00110B79">
              <w:rPr>
                <w:b/>
                <w:bCs/>
                <w:position w:val="2"/>
                <w:rtl/>
              </w:rPr>
              <w:t>لجنة الدراسات 6</w:t>
            </w:r>
          </w:p>
        </w:tc>
        <w:tc>
          <w:tcPr>
            <w:tcW w:w="2126" w:type="dxa"/>
            <w:tcBorders>
              <w:left w:val="single" w:sz="4" w:space="0" w:color="000000" w:themeColor="text1"/>
            </w:tcBorders>
          </w:tcPr>
          <w:p w14:paraId="7CD3F7CD" w14:textId="58D76ACA" w:rsidR="00110B79" w:rsidRPr="00110B79" w:rsidRDefault="00677FD2" w:rsidP="001B4D49">
            <w:pPr>
              <w:pStyle w:val="Tabletext"/>
              <w:jc w:val="left"/>
              <w:rPr>
                <w:position w:val="2"/>
                <w:lang w:val="ar-SA" w:bidi="ar-EG"/>
              </w:rPr>
            </w:pPr>
            <w:hyperlink r:id="rId51" w:history="1">
              <w:r w:rsidR="00110B79" w:rsidRPr="00110B79">
                <w:rPr>
                  <w:rStyle w:val="Hyperlink"/>
                  <w:position w:val="2"/>
                  <w:lang w:eastAsia="ja-JP"/>
                </w:rPr>
                <w:t>BS.705-2</w:t>
              </w:r>
            </w:hyperlink>
            <w:r w:rsidR="00110B79" w:rsidRPr="00110B79">
              <w:rPr>
                <w:position w:val="2"/>
                <w:rtl/>
                <w:lang w:eastAsia="ja-JP" w:bidi="ar-EG"/>
              </w:rPr>
              <w:t xml:space="preserve">، </w:t>
            </w:r>
            <w:hyperlink r:id="rId52" w:history="1">
              <w:r w:rsidR="00110B79" w:rsidRPr="00110B79">
                <w:rPr>
                  <w:rStyle w:val="Hyperlink"/>
                  <w:position w:val="2"/>
                  <w:lang w:eastAsia="ja-JP"/>
                </w:rPr>
                <w:t>BS.1114</w:t>
              </w:r>
              <w:r w:rsidR="003544DF">
                <w:rPr>
                  <w:rStyle w:val="Hyperlink"/>
                  <w:position w:val="2"/>
                  <w:lang w:eastAsia="ja-JP"/>
                </w:rPr>
                <w:noBreakHyphen/>
              </w:r>
              <w:r w:rsidR="00110B79" w:rsidRPr="00110B79">
                <w:rPr>
                  <w:rStyle w:val="Hyperlink"/>
                  <w:position w:val="2"/>
                  <w:lang w:eastAsia="ja-JP"/>
                </w:rPr>
                <w:t>13</w:t>
              </w:r>
            </w:hyperlink>
            <w:r w:rsidR="00110B79" w:rsidRPr="00110B79">
              <w:rPr>
                <w:position w:val="2"/>
                <w:rtl/>
                <w:lang w:eastAsia="ja-JP" w:bidi="ar-EG"/>
              </w:rPr>
              <w:t xml:space="preserve">، </w:t>
            </w:r>
            <w:hyperlink r:id="rId53" w:history="1">
              <w:r w:rsidR="00110B79" w:rsidRPr="00110B79">
                <w:rPr>
                  <w:rStyle w:val="Hyperlink"/>
                  <w:position w:val="2"/>
                  <w:lang w:eastAsia="ja-JP"/>
                </w:rPr>
                <w:t>BS.1514-3</w:t>
              </w:r>
            </w:hyperlink>
            <w:r w:rsidR="00110B79" w:rsidRPr="00110B79">
              <w:rPr>
                <w:position w:val="2"/>
                <w:rtl/>
                <w:lang w:eastAsia="ja-JP" w:bidi="ar-EG"/>
              </w:rPr>
              <w:t xml:space="preserve">، </w:t>
            </w:r>
            <w:hyperlink r:id="rId54" w:history="1">
              <w:r w:rsidR="00110B79" w:rsidRPr="00110B79">
                <w:rPr>
                  <w:rStyle w:val="Hyperlink"/>
                  <w:position w:val="2"/>
                  <w:lang w:eastAsia="ja-JP"/>
                </w:rPr>
                <w:t>BS.1548</w:t>
              </w:r>
              <w:r w:rsidR="003544DF">
                <w:rPr>
                  <w:rStyle w:val="Hyperlink"/>
                  <w:position w:val="2"/>
                  <w:lang w:eastAsia="ja-JP"/>
                </w:rPr>
                <w:noBreakHyphen/>
              </w:r>
              <w:r w:rsidR="00110B79" w:rsidRPr="00110B79">
                <w:rPr>
                  <w:rStyle w:val="Hyperlink"/>
                  <w:position w:val="2"/>
                  <w:lang w:eastAsia="ja-JP"/>
                </w:rPr>
                <w:t>8</w:t>
              </w:r>
            </w:hyperlink>
            <w:r w:rsidR="00110B79" w:rsidRPr="00110B79">
              <w:rPr>
                <w:position w:val="2"/>
                <w:rtl/>
                <w:lang w:eastAsia="ja-JP" w:bidi="ar-EG"/>
              </w:rPr>
              <w:t xml:space="preserve">، </w:t>
            </w:r>
            <w:hyperlink r:id="rId55" w:history="1">
              <w:r w:rsidR="00110B79" w:rsidRPr="00110B79">
                <w:rPr>
                  <w:rStyle w:val="Hyperlink"/>
                  <w:position w:val="2"/>
                  <w:lang w:eastAsia="ja-JP"/>
                </w:rPr>
                <w:t>BS.2088</w:t>
              </w:r>
              <w:r w:rsidR="003544DF">
                <w:rPr>
                  <w:rStyle w:val="Hyperlink"/>
                  <w:position w:val="2"/>
                  <w:lang w:eastAsia="ja-JP"/>
                </w:rPr>
                <w:noBreakHyphen/>
              </w:r>
              <w:r w:rsidR="00110B79" w:rsidRPr="00110B79">
                <w:rPr>
                  <w:rStyle w:val="Hyperlink"/>
                  <w:position w:val="2"/>
                  <w:lang w:eastAsia="ja-JP"/>
                </w:rPr>
                <w:t>2</w:t>
              </w:r>
            </w:hyperlink>
            <w:r w:rsidR="00110B79" w:rsidRPr="00110B79">
              <w:rPr>
                <w:position w:val="2"/>
                <w:rtl/>
                <w:lang w:eastAsia="ja-JP" w:bidi="ar-EG"/>
              </w:rPr>
              <w:t xml:space="preserve">، </w:t>
            </w:r>
            <w:hyperlink r:id="rId56" w:history="1">
              <w:r w:rsidR="00110B79" w:rsidRPr="00110B79">
                <w:rPr>
                  <w:rStyle w:val="Hyperlink"/>
                  <w:position w:val="2"/>
                  <w:lang w:eastAsia="ja-JP"/>
                </w:rPr>
                <w:t>BT.1774</w:t>
              </w:r>
              <w:r w:rsidR="003544DF">
                <w:rPr>
                  <w:rStyle w:val="Hyperlink"/>
                  <w:position w:val="2"/>
                  <w:lang w:eastAsia="ja-JP"/>
                </w:rPr>
                <w:noBreakHyphen/>
              </w:r>
              <w:r w:rsidR="00110B79" w:rsidRPr="00110B79">
                <w:rPr>
                  <w:rStyle w:val="Hyperlink"/>
                  <w:position w:val="2"/>
                  <w:lang w:eastAsia="ja-JP"/>
                </w:rPr>
                <w:t>3</w:t>
              </w:r>
            </w:hyperlink>
            <w:r w:rsidR="00110B79" w:rsidRPr="00110B79">
              <w:rPr>
                <w:position w:val="2"/>
                <w:rtl/>
                <w:lang w:eastAsia="ja-JP" w:bidi="ar-EG"/>
              </w:rPr>
              <w:t xml:space="preserve">، </w:t>
            </w:r>
            <w:hyperlink r:id="rId57" w:history="1">
              <w:r w:rsidR="00110B79" w:rsidRPr="00110B79">
                <w:rPr>
                  <w:rStyle w:val="Hyperlink"/>
                  <w:position w:val="2"/>
                  <w:lang w:eastAsia="ja-JP"/>
                </w:rPr>
                <w:t>BT.2111</w:t>
              </w:r>
              <w:r w:rsidR="003544DF">
                <w:rPr>
                  <w:rStyle w:val="Hyperlink"/>
                  <w:position w:val="2"/>
                  <w:lang w:eastAsia="ja-JP"/>
                </w:rPr>
                <w:noBreakHyphen/>
              </w:r>
              <w:r w:rsidR="00110B79" w:rsidRPr="00110B79">
                <w:rPr>
                  <w:rStyle w:val="Hyperlink"/>
                  <w:position w:val="2"/>
                  <w:lang w:eastAsia="ja-JP"/>
                </w:rPr>
                <w:t>3</w:t>
              </w:r>
            </w:hyperlink>
          </w:p>
        </w:tc>
        <w:tc>
          <w:tcPr>
            <w:tcW w:w="1899" w:type="dxa"/>
            <w:tcBorders>
              <w:left w:val="single" w:sz="4" w:space="0" w:color="000000" w:themeColor="text1"/>
            </w:tcBorders>
          </w:tcPr>
          <w:p w14:paraId="6AD66E94" w14:textId="6E3556C2" w:rsidR="00110B79" w:rsidRPr="00110B79" w:rsidRDefault="00677FD2" w:rsidP="001B4D49">
            <w:pPr>
              <w:pStyle w:val="Tabletext"/>
              <w:jc w:val="left"/>
              <w:rPr>
                <w:position w:val="2"/>
                <w:lang w:val="ar-SA" w:bidi="ar-EG"/>
              </w:rPr>
            </w:pPr>
            <w:hyperlink r:id="rId58" w:history="1">
              <w:r w:rsidR="00110B79" w:rsidRPr="00110B79">
                <w:rPr>
                  <w:rStyle w:val="Hyperlink"/>
                  <w:position w:val="2"/>
                </w:rPr>
                <w:t>BS.2388</w:t>
              </w:r>
              <w:r w:rsidR="00110B79" w:rsidRPr="00110B79">
                <w:rPr>
                  <w:rStyle w:val="Hyperlink"/>
                  <w:position w:val="2"/>
                </w:rPr>
                <w:noBreakHyphen/>
                <w:t>6</w:t>
              </w:r>
            </w:hyperlink>
            <w:r w:rsidR="00110B79" w:rsidRPr="00110B79">
              <w:rPr>
                <w:position w:val="2"/>
                <w:rtl/>
                <w:lang w:bidi="ar-EG"/>
              </w:rPr>
              <w:t xml:space="preserve">، </w:t>
            </w:r>
            <w:hyperlink r:id="rId59" w:history="1">
              <w:r w:rsidR="00110B79" w:rsidRPr="00110B79">
                <w:rPr>
                  <w:rStyle w:val="Hyperlink"/>
                  <w:position w:val="2"/>
                </w:rPr>
                <w:t>BS.2555</w:t>
              </w:r>
              <w:r w:rsidR="00110B79" w:rsidRPr="00110B79">
                <w:rPr>
                  <w:rStyle w:val="Hyperlink"/>
                  <w:position w:val="2"/>
                </w:rPr>
                <w:noBreakHyphen/>
                <w:t>0</w:t>
              </w:r>
            </w:hyperlink>
            <w:r w:rsidR="00110B79" w:rsidRPr="00110B79">
              <w:rPr>
                <w:position w:val="2"/>
                <w:rtl/>
                <w:lang w:bidi="ar-EG"/>
              </w:rPr>
              <w:t xml:space="preserve">، </w:t>
            </w:r>
            <w:hyperlink r:id="rId60" w:history="1">
              <w:r w:rsidR="00110B79" w:rsidRPr="00110B79">
                <w:rPr>
                  <w:rStyle w:val="Hyperlink"/>
                  <w:position w:val="2"/>
                </w:rPr>
                <w:t>BS./BT.2295</w:t>
              </w:r>
              <w:r w:rsidR="00110B79" w:rsidRPr="00110B79">
                <w:rPr>
                  <w:rStyle w:val="Hyperlink"/>
                  <w:position w:val="2"/>
                </w:rPr>
                <w:noBreakHyphen/>
                <w:t>5</w:t>
              </w:r>
            </w:hyperlink>
            <w:r w:rsidR="00110B79" w:rsidRPr="00110B79">
              <w:rPr>
                <w:position w:val="2"/>
                <w:rtl/>
                <w:lang w:bidi="ar-EG"/>
              </w:rPr>
              <w:t xml:space="preserve">، </w:t>
            </w:r>
            <w:hyperlink r:id="rId61" w:history="1">
              <w:r w:rsidR="00110B79" w:rsidRPr="00110B79">
                <w:rPr>
                  <w:rStyle w:val="Hyperlink"/>
                  <w:position w:val="2"/>
                </w:rPr>
                <w:t>BS./BT.2385</w:t>
              </w:r>
              <w:r w:rsidR="00110B79" w:rsidRPr="00110B79">
                <w:rPr>
                  <w:rStyle w:val="Hyperlink"/>
                  <w:position w:val="2"/>
                </w:rPr>
                <w:noBreakHyphen/>
                <w:t>2</w:t>
              </w:r>
            </w:hyperlink>
            <w:r w:rsidR="00110B79" w:rsidRPr="00110B79">
              <w:rPr>
                <w:position w:val="2"/>
                <w:rtl/>
                <w:lang w:bidi="ar-EG"/>
              </w:rPr>
              <w:t xml:space="preserve">، </w:t>
            </w:r>
            <w:hyperlink r:id="rId62" w:history="1">
              <w:r w:rsidR="00110B79" w:rsidRPr="00110B79">
                <w:rPr>
                  <w:rStyle w:val="Hyperlink"/>
                  <w:position w:val="2"/>
                </w:rPr>
                <w:t>BT.2207</w:t>
              </w:r>
              <w:r w:rsidR="00110B79" w:rsidRPr="00110B79">
                <w:rPr>
                  <w:rStyle w:val="Hyperlink"/>
                  <w:position w:val="2"/>
                </w:rPr>
                <w:noBreakHyphen/>
                <w:t>7</w:t>
              </w:r>
            </w:hyperlink>
            <w:r w:rsidR="00110B79" w:rsidRPr="00110B79">
              <w:rPr>
                <w:position w:val="2"/>
                <w:rtl/>
                <w:lang w:bidi="ar-EG"/>
              </w:rPr>
              <w:t xml:space="preserve">، </w:t>
            </w:r>
            <w:hyperlink r:id="rId63" w:history="1">
              <w:r w:rsidR="00110B79" w:rsidRPr="00110B79">
                <w:rPr>
                  <w:rStyle w:val="Hyperlink"/>
                  <w:position w:val="2"/>
                </w:rPr>
                <w:t>BT.2246</w:t>
              </w:r>
              <w:r w:rsidR="00110B79" w:rsidRPr="00110B79">
                <w:rPr>
                  <w:rStyle w:val="Hyperlink"/>
                  <w:position w:val="2"/>
                </w:rPr>
                <w:noBreakHyphen/>
                <w:t>9</w:t>
              </w:r>
            </w:hyperlink>
            <w:r w:rsidR="00110B79" w:rsidRPr="00110B79">
              <w:rPr>
                <w:position w:val="2"/>
                <w:rtl/>
                <w:lang w:bidi="ar-EG"/>
              </w:rPr>
              <w:t xml:space="preserve">، </w:t>
            </w:r>
            <w:hyperlink r:id="rId64" w:history="1">
              <w:r w:rsidR="00110B79" w:rsidRPr="00110B79">
                <w:rPr>
                  <w:rStyle w:val="Hyperlink"/>
                  <w:position w:val="2"/>
                </w:rPr>
                <w:t>BT.2299</w:t>
              </w:r>
              <w:r w:rsidR="00110B79" w:rsidRPr="00110B79">
                <w:rPr>
                  <w:rStyle w:val="Hyperlink"/>
                  <w:position w:val="2"/>
                </w:rPr>
                <w:noBreakHyphen/>
                <w:t>4</w:t>
              </w:r>
            </w:hyperlink>
            <w:r w:rsidR="00110B79" w:rsidRPr="00110B79">
              <w:rPr>
                <w:position w:val="2"/>
                <w:rtl/>
                <w:lang w:bidi="ar-EG"/>
              </w:rPr>
              <w:t xml:space="preserve">، </w:t>
            </w:r>
            <w:hyperlink r:id="rId65" w:history="1">
              <w:r w:rsidR="00110B79" w:rsidRPr="00110B79">
                <w:rPr>
                  <w:rStyle w:val="Hyperlink"/>
                  <w:position w:val="2"/>
                </w:rPr>
                <w:t>BT.2343</w:t>
              </w:r>
              <w:r w:rsidR="00110B79" w:rsidRPr="00110B79">
                <w:rPr>
                  <w:rStyle w:val="Hyperlink"/>
                  <w:position w:val="2"/>
                </w:rPr>
                <w:noBreakHyphen/>
                <w:t>10</w:t>
              </w:r>
            </w:hyperlink>
            <w:r w:rsidR="00110B79" w:rsidRPr="00110B79">
              <w:rPr>
                <w:position w:val="2"/>
                <w:rtl/>
                <w:lang w:bidi="ar-EG"/>
              </w:rPr>
              <w:t xml:space="preserve">، </w:t>
            </w:r>
            <w:hyperlink r:id="rId66" w:history="1">
              <w:r w:rsidR="00110B79" w:rsidRPr="00110B79">
                <w:rPr>
                  <w:rStyle w:val="Hyperlink"/>
                  <w:position w:val="2"/>
                </w:rPr>
                <w:t>BT.2390</w:t>
              </w:r>
              <w:r w:rsidR="00110B79" w:rsidRPr="00110B79">
                <w:rPr>
                  <w:rStyle w:val="Hyperlink"/>
                  <w:position w:val="2"/>
                </w:rPr>
                <w:noBreakHyphen/>
                <w:t>12</w:t>
              </w:r>
            </w:hyperlink>
            <w:r w:rsidR="00110B79" w:rsidRPr="00110B79">
              <w:rPr>
                <w:position w:val="2"/>
                <w:rtl/>
                <w:lang w:bidi="ar-EG"/>
              </w:rPr>
              <w:t xml:space="preserve">، </w:t>
            </w:r>
            <w:hyperlink r:id="rId67" w:history="1">
              <w:r w:rsidR="00110B79" w:rsidRPr="00110B79">
                <w:rPr>
                  <w:rStyle w:val="Hyperlink"/>
                  <w:position w:val="2"/>
                </w:rPr>
                <w:t>BT.2400</w:t>
              </w:r>
              <w:r w:rsidR="00110B79" w:rsidRPr="00110B79">
                <w:rPr>
                  <w:rStyle w:val="Hyperlink"/>
                  <w:position w:val="2"/>
                </w:rPr>
                <w:noBreakHyphen/>
                <w:t>5</w:t>
              </w:r>
            </w:hyperlink>
            <w:r w:rsidR="00110B79" w:rsidRPr="00110B79">
              <w:rPr>
                <w:position w:val="2"/>
                <w:rtl/>
                <w:lang w:bidi="ar-EG"/>
              </w:rPr>
              <w:t xml:space="preserve">، </w:t>
            </w:r>
            <w:hyperlink r:id="rId68" w:history="1">
              <w:r w:rsidR="00110B79" w:rsidRPr="00110B79">
                <w:rPr>
                  <w:rStyle w:val="Hyperlink"/>
                  <w:position w:val="2"/>
                </w:rPr>
                <w:t>BT.2420</w:t>
              </w:r>
              <w:r w:rsidR="00110B79" w:rsidRPr="00110B79">
                <w:rPr>
                  <w:rStyle w:val="Hyperlink"/>
                  <w:position w:val="2"/>
                </w:rPr>
                <w:noBreakHyphen/>
                <w:t>8</w:t>
              </w:r>
            </w:hyperlink>
            <w:r w:rsidR="00110B79" w:rsidRPr="00110B79">
              <w:rPr>
                <w:position w:val="2"/>
                <w:rtl/>
                <w:lang w:bidi="ar-EG"/>
              </w:rPr>
              <w:t xml:space="preserve">، </w:t>
            </w:r>
            <w:hyperlink r:id="rId69" w:history="1">
              <w:r w:rsidR="00110B79" w:rsidRPr="00110B79">
                <w:rPr>
                  <w:rStyle w:val="Hyperlink"/>
                  <w:position w:val="2"/>
                </w:rPr>
                <w:t>BT.2448</w:t>
              </w:r>
              <w:r w:rsidR="00110B79" w:rsidRPr="00110B79">
                <w:rPr>
                  <w:rStyle w:val="Hyperlink"/>
                  <w:position w:val="2"/>
                </w:rPr>
                <w:noBreakHyphen/>
                <w:t>1</w:t>
              </w:r>
            </w:hyperlink>
            <w:r w:rsidR="00110B79" w:rsidRPr="00110B79">
              <w:rPr>
                <w:position w:val="2"/>
                <w:rtl/>
                <w:lang w:bidi="ar-EG"/>
              </w:rPr>
              <w:t xml:space="preserve">، </w:t>
            </w:r>
            <w:hyperlink r:id="rId70" w:history="1">
              <w:r w:rsidR="00110B79" w:rsidRPr="00110B79">
                <w:rPr>
                  <w:rStyle w:val="Hyperlink"/>
                  <w:position w:val="2"/>
                </w:rPr>
                <w:t>BT.2526</w:t>
              </w:r>
              <w:r w:rsidR="00110B79" w:rsidRPr="00110B79">
                <w:rPr>
                  <w:rStyle w:val="Hyperlink"/>
                  <w:position w:val="2"/>
                </w:rPr>
                <w:noBreakHyphen/>
                <w:t>2</w:t>
              </w:r>
            </w:hyperlink>
            <w:r w:rsidR="00110B79" w:rsidRPr="00110B79">
              <w:rPr>
                <w:position w:val="2"/>
                <w:rtl/>
                <w:lang w:bidi="ar-EG"/>
              </w:rPr>
              <w:t xml:space="preserve">، </w:t>
            </w:r>
            <w:hyperlink r:id="rId71" w:history="1">
              <w:r w:rsidR="00110B79" w:rsidRPr="00110B79">
                <w:rPr>
                  <w:rStyle w:val="Hyperlink"/>
                  <w:position w:val="2"/>
                </w:rPr>
                <w:t>BT.2539</w:t>
              </w:r>
              <w:r w:rsidR="00110B79" w:rsidRPr="00110B79">
                <w:rPr>
                  <w:rStyle w:val="Hyperlink"/>
                  <w:position w:val="2"/>
                </w:rPr>
                <w:noBreakHyphen/>
                <w:t>1</w:t>
              </w:r>
            </w:hyperlink>
            <w:r w:rsidR="00110B79" w:rsidRPr="00110B79">
              <w:rPr>
                <w:position w:val="2"/>
                <w:rtl/>
                <w:lang w:bidi="ar-EG"/>
              </w:rPr>
              <w:t xml:space="preserve">، </w:t>
            </w:r>
            <w:hyperlink r:id="rId72" w:history="1">
              <w:r w:rsidR="00110B79" w:rsidRPr="00110B79">
                <w:rPr>
                  <w:rStyle w:val="Hyperlink"/>
                  <w:position w:val="2"/>
                </w:rPr>
                <w:t>BT.2549</w:t>
              </w:r>
              <w:r w:rsidR="00110B79" w:rsidRPr="00110B79">
                <w:rPr>
                  <w:rStyle w:val="Hyperlink"/>
                  <w:position w:val="2"/>
                </w:rPr>
                <w:noBreakHyphen/>
                <w:t>0</w:t>
              </w:r>
            </w:hyperlink>
            <w:r w:rsidR="00110B79" w:rsidRPr="00110B79">
              <w:rPr>
                <w:position w:val="2"/>
                <w:rtl/>
                <w:lang w:bidi="ar-EG"/>
              </w:rPr>
              <w:t xml:space="preserve">، </w:t>
            </w:r>
            <w:hyperlink r:id="rId73" w:history="1">
              <w:r w:rsidR="00110B79" w:rsidRPr="00110B79">
                <w:rPr>
                  <w:rStyle w:val="Hyperlink"/>
                  <w:position w:val="2"/>
                </w:rPr>
                <w:t>BT.2550</w:t>
              </w:r>
              <w:r w:rsidR="00110B79" w:rsidRPr="00110B79">
                <w:rPr>
                  <w:rStyle w:val="Hyperlink"/>
                  <w:position w:val="2"/>
                </w:rPr>
                <w:noBreakHyphen/>
                <w:t>0</w:t>
              </w:r>
            </w:hyperlink>
            <w:r w:rsidR="00110B79" w:rsidRPr="00110B79">
              <w:rPr>
                <w:position w:val="2"/>
                <w:rtl/>
                <w:lang w:bidi="ar-EG"/>
              </w:rPr>
              <w:t xml:space="preserve">، </w:t>
            </w:r>
            <w:hyperlink r:id="rId74" w:history="1">
              <w:r w:rsidR="00110B79" w:rsidRPr="00110B79">
                <w:rPr>
                  <w:rStyle w:val="Hyperlink"/>
                  <w:position w:val="2"/>
                </w:rPr>
                <w:t>BT.2556</w:t>
              </w:r>
              <w:r w:rsidR="00110B79" w:rsidRPr="00110B79">
                <w:rPr>
                  <w:rStyle w:val="Hyperlink"/>
                  <w:position w:val="2"/>
                </w:rPr>
                <w:noBreakHyphen/>
                <w:t>0</w:t>
              </w:r>
            </w:hyperlink>
            <w:r w:rsidR="00110B79" w:rsidRPr="00110B79">
              <w:rPr>
                <w:position w:val="2"/>
                <w:rtl/>
                <w:lang w:bidi="ar-EG"/>
              </w:rPr>
              <w:t xml:space="preserve">، </w:t>
            </w:r>
            <w:hyperlink r:id="rId75" w:history="1">
              <w:r w:rsidR="00110B79" w:rsidRPr="00110B79">
                <w:rPr>
                  <w:rStyle w:val="Hyperlink"/>
                  <w:position w:val="2"/>
                </w:rPr>
                <w:t>BT.2557-0</w:t>
              </w:r>
            </w:hyperlink>
          </w:p>
        </w:tc>
        <w:tc>
          <w:tcPr>
            <w:tcW w:w="1316" w:type="dxa"/>
            <w:tcBorders>
              <w:left w:val="single" w:sz="4" w:space="0" w:color="000000" w:themeColor="text1"/>
            </w:tcBorders>
          </w:tcPr>
          <w:p w14:paraId="3F5D0E64" w14:textId="266468F1" w:rsidR="00110B79" w:rsidRPr="00110B79" w:rsidRDefault="00110B79" w:rsidP="001B4D49">
            <w:pPr>
              <w:pStyle w:val="Tabletext"/>
              <w:jc w:val="left"/>
              <w:rPr>
                <w:position w:val="2"/>
                <w:lang w:val="ar-SA" w:bidi="ar-EG"/>
              </w:rPr>
            </w:pPr>
            <w:r w:rsidRPr="00110B79">
              <w:rPr>
                <w:position w:val="2"/>
              </w:rPr>
              <w:t>–</w:t>
            </w:r>
          </w:p>
        </w:tc>
        <w:tc>
          <w:tcPr>
            <w:tcW w:w="1485" w:type="dxa"/>
            <w:tcBorders>
              <w:left w:val="single" w:sz="4" w:space="0" w:color="000000" w:themeColor="text1"/>
            </w:tcBorders>
          </w:tcPr>
          <w:p w14:paraId="6FFDD815" w14:textId="6C855D9E" w:rsidR="00110B79" w:rsidRPr="00110B79" w:rsidRDefault="00110B79" w:rsidP="001B4D49">
            <w:pPr>
              <w:pStyle w:val="Tabletext"/>
              <w:jc w:val="left"/>
              <w:rPr>
                <w:position w:val="2"/>
                <w:lang w:val="ar-SA" w:bidi="ar-EG"/>
              </w:rPr>
            </w:pPr>
            <w:r w:rsidRPr="00110B79">
              <w:rPr>
                <w:position w:val="2"/>
              </w:rPr>
              <w:t>–</w:t>
            </w:r>
          </w:p>
        </w:tc>
        <w:tc>
          <w:tcPr>
            <w:tcW w:w="1109" w:type="dxa"/>
            <w:tcBorders>
              <w:left w:val="single" w:sz="4" w:space="0" w:color="000000" w:themeColor="text1"/>
            </w:tcBorders>
          </w:tcPr>
          <w:p w14:paraId="7857A1F3" w14:textId="4ED95045" w:rsidR="00110B79" w:rsidRPr="00110B79" w:rsidRDefault="00110B79" w:rsidP="001B4D49">
            <w:pPr>
              <w:pStyle w:val="Tabletext"/>
              <w:jc w:val="left"/>
              <w:rPr>
                <w:position w:val="2"/>
                <w:lang w:val="ar-SA" w:bidi="ar-EG"/>
              </w:rPr>
            </w:pPr>
            <w:r w:rsidRPr="00110B79">
              <w:rPr>
                <w:position w:val="2"/>
              </w:rPr>
              <w:t>–</w:t>
            </w:r>
          </w:p>
        </w:tc>
      </w:tr>
      <w:tr w:rsidR="00110B79" w:rsidRPr="00110B79" w14:paraId="01873844" w14:textId="77777777" w:rsidTr="003544DF">
        <w:trPr>
          <w:trHeight w:val="270"/>
          <w:jc w:val="center"/>
        </w:trPr>
        <w:tc>
          <w:tcPr>
            <w:tcW w:w="1774" w:type="dxa"/>
            <w:tcBorders>
              <w:right w:val="single" w:sz="4" w:space="0" w:color="000000" w:themeColor="text1"/>
            </w:tcBorders>
          </w:tcPr>
          <w:p w14:paraId="1E3739EB" w14:textId="77777777" w:rsidR="00110B79" w:rsidRPr="00110B79" w:rsidRDefault="00110B79" w:rsidP="001B4D49">
            <w:pPr>
              <w:pStyle w:val="Tabletext"/>
              <w:keepNext/>
              <w:jc w:val="center"/>
              <w:rPr>
                <w:b/>
                <w:bCs/>
                <w:position w:val="2"/>
                <w:lang w:val="ar-SA" w:bidi="ar-EG"/>
              </w:rPr>
            </w:pPr>
            <w:r w:rsidRPr="00110B79">
              <w:rPr>
                <w:b/>
                <w:bCs/>
                <w:position w:val="2"/>
                <w:rtl/>
              </w:rPr>
              <w:lastRenderedPageBreak/>
              <w:t>لجنة الدراسات 7</w:t>
            </w:r>
          </w:p>
        </w:tc>
        <w:tc>
          <w:tcPr>
            <w:tcW w:w="2126" w:type="dxa"/>
            <w:tcBorders>
              <w:left w:val="single" w:sz="4" w:space="0" w:color="000000" w:themeColor="text1"/>
            </w:tcBorders>
          </w:tcPr>
          <w:p w14:paraId="47B5A790" w14:textId="641748D4" w:rsidR="00110B79" w:rsidRPr="00110B79" w:rsidRDefault="00677FD2" w:rsidP="001B4D49">
            <w:pPr>
              <w:pStyle w:val="Tabletext"/>
              <w:keepNext/>
              <w:jc w:val="left"/>
              <w:rPr>
                <w:position w:val="2"/>
                <w:lang w:val="ar-SA" w:bidi="ar-EG"/>
              </w:rPr>
            </w:pPr>
            <w:hyperlink r:id="rId76" w:history="1">
              <w:r w:rsidR="00110B79" w:rsidRPr="00110B79">
                <w:rPr>
                  <w:rStyle w:val="Hyperlink"/>
                  <w:position w:val="2"/>
                  <w:lang w:val="fr-FR"/>
                </w:rPr>
                <w:t>RS.1166-6</w:t>
              </w:r>
            </w:hyperlink>
            <w:r w:rsidR="00110B79" w:rsidRPr="00110B79">
              <w:rPr>
                <w:position w:val="2"/>
                <w:rtl/>
                <w:lang w:val="fr-FR" w:bidi="ar-EG"/>
              </w:rPr>
              <w:t xml:space="preserve">، </w:t>
            </w:r>
            <w:hyperlink r:id="rId77" w:history="1">
              <w:r w:rsidR="00110B79" w:rsidRPr="00110B79">
                <w:rPr>
                  <w:rStyle w:val="Hyperlink"/>
                  <w:position w:val="2"/>
                  <w:lang w:val="fr-FR"/>
                </w:rPr>
                <w:t>RS.2105-3</w:t>
              </w:r>
            </w:hyperlink>
            <w:r w:rsidR="00110B79" w:rsidRPr="00110B79">
              <w:rPr>
                <w:position w:val="2"/>
                <w:rtl/>
                <w:lang w:val="fr-FR" w:bidi="ar-EG"/>
              </w:rPr>
              <w:t xml:space="preserve">، </w:t>
            </w:r>
            <w:hyperlink r:id="rId78" w:history="1">
              <w:r w:rsidR="00110B79" w:rsidRPr="00110B79">
                <w:rPr>
                  <w:rStyle w:val="Hyperlink"/>
                  <w:position w:val="2"/>
                  <w:lang w:val="fr-FR"/>
                </w:rPr>
                <w:t>SA.2141-1</w:t>
              </w:r>
            </w:hyperlink>
            <w:r w:rsidR="00110B79" w:rsidRPr="00110B79">
              <w:rPr>
                <w:position w:val="2"/>
                <w:rtl/>
                <w:lang w:val="fr-FR" w:bidi="ar-EG"/>
              </w:rPr>
              <w:t xml:space="preserve">، </w:t>
            </w:r>
            <w:hyperlink r:id="rId79" w:history="1">
              <w:r w:rsidR="00110B79" w:rsidRPr="00110B79">
                <w:rPr>
                  <w:rStyle w:val="Hyperlink"/>
                  <w:position w:val="2"/>
                  <w:lang w:val="fr-FR"/>
                </w:rPr>
                <w:t>SA.2169-0</w:t>
              </w:r>
            </w:hyperlink>
          </w:p>
        </w:tc>
        <w:tc>
          <w:tcPr>
            <w:tcW w:w="1899" w:type="dxa"/>
            <w:tcBorders>
              <w:left w:val="single" w:sz="4" w:space="0" w:color="000000" w:themeColor="text1"/>
            </w:tcBorders>
          </w:tcPr>
          <w:p w14:paraId="1EEA2C30" w14:textId="7E86F998" w:rsidR="00110B79" w:rsidRPr="00110B79" w:rsidRDefault="00677FD2" w:rsidP="001B4D49">
            <w:pPr>
              <w:pStyle w:val="Tabletext"/>
              <w:keepNext/>
              <w:jc w:val="left"/>
              <w:rPr>
                <w:position w:val="2"/>
                <w:lang w:val="fr-CH" w:bidi="ar-EG"/>
              </w:rPr>
            </w:pPr>
            <w:hyperlink r:id="rId80" w:history="1">
              <w:r w:rsidR="00110B79" w:rsidRPr="00110B79">
                <w:rPr>
                  <w:rStyle w:val="Hyperlink"/>
                  <w:position w:val="2"/>
                  <w:lang w:val="fr-FR"/>
                </w:rPr>
                <w:t>RA.2551-0</w:t>
              </w:r>
            </w:hyperlink>
            <w:r w:rsidR="00110B79" w:rsidRPr="00110B79">
              <w:rPr>
                <w:position w:val="2"/>
                <w:rtl/>
                <w:lang w:val="fr-FR" w:bidi="ar-EG"/>
              </w:rPr>
              <w:t xml:space="preserve">، </w:t>
            </w:r>
            <w:hyperlink r:id="rId81" w:history="1">
              <w:r w:rsidR="00110B79" w:rsidRPr="00110B79">
                <w:rPr>
                  <w:rStyle w:val="Hyperlink"/>
                  <w:position w:val="2"/>
                  <w:lang w:val="fr-FR"/>
                </w:rPr>
                <w:t>RA.2552</w:t>
              </w:r>
              <w:r w:rsidR="00110B79" w:rsidRPr="00110B79">
                <w:rPr>
                  <w:rStyle w:val="Hyperlink"/>
                  <w:position w:val="2"/>
                  <w:lang w:val="fr-FR"/>
                </w:rPr>
                <w:noBreakHyphen/>
                <w:t>0</w:t>
              </w:r>
            </w:hyperlink>
            <w:r w:rsidR="00110B79" w:rsidRPr="00110B79">
              <w:rPr>
                <w:position w:val="2"/>
                <w:rtl/>
                <w:lang w:val="fr-FR" w:bidi="ar-EG"/>
              </w:rPr>
              <w:t xml:space="preserve">، </w:t>
            </w:r>
            <w:hyperlink r:id="rId82" w:history="1">
              <w:r w:rsidR="00110B79" w:rsidRPr="00110B79">
                <w:rPr>
                  <w:rStyle w:val="Hyperlink"/>
                  <w:position w:val="2"/>
                  <w:lang w:val="fr-FR"/>
                </w:rPr>
                <w:t>RS.2310</w:t>
              </w:r>
              <w:r w:rsidR="00110B79" w:rsidRPr="00110B79">
                <w:rPr>
                  <w:rStyle w:val="Hyperlink"/>
                  <w:position w:val="2"/>
                  <w:lang w:val="fr-FR"/>
                </w:rPr>
                <w:noBreakHyphen/>
                <w:t>2</w:t>
              </w:r>
            </w:hyperlink>
            <w:r w:rsidR="00110B79" w:rsidRPr="00110B79">
              <w:rPr>
                <w:position w:val="2"/>
                <w:rtl/>
                <w:lang w:val="fr-FR" w:bidi="ar-EG"/>
              </w:rPr>
              <w:t xml:space="preserve">، </w:t>
            </w:r>
            <w:hyperlink r:id="rId83" w:history="1">
              <w:r w:rsidR="00110B79" w:rsidRPr="00110B79">
                <w:rPr>
                  <w:rStyle w:val="Hyperlink"/>
                  <w:position w:val="2"/>
                  <w:lang w:val="fr-FR"/>
                </w:rPr>
                <w:t>RS.2489</w:t>
              </w:r>
              <w:r w:rsidR="00110B79" w:rsidRPr="00110B79">
                <w:rPr>
                  <w:rStyle w:val="Hyperlink"/>
                  <w:position w:val="2"/>
                  <w:lang w:val="fr-FR"/>
                </w:rPr>
                <w:noBreakHyphen/>
                <w:t>1</w:t>
              </w:r>
            </w:hyperlink>
            <w:r w:rsidR="00110B79" w:rsidRPr="00110B79">
              <w:rPr>
                <w:position w:val="2"/>
                <w:rtl/>
                <w:lang w:val="fr-FR" w:bidi="ar-EG"/>
              </w:rPr>
              <w:t xml:space="preserve">، </w:t>
            </w:r>
            <w:hyperlink r:id="rId84" w:history="1">
              <w:r w:rsidR="00110B79" w:rsidRPr="00110B79">
                <w:rPr>
                  <w:rStyle w:val="Hyperlink"/>
                  <w:position w:val="2"/>
                  <w:lang w:val="fr-FR"/>
                </w:rPr>
                <w:t>SA.2553-0</w:t>
              </w:r>
            </w:hyperlink>
          </w:p>
        </w:tc>
        <w:tc>
          <w:tcPr>
            <w:tcW w:w="1316" w:type="dxa"/>
            <w:tcBorders>
              <w:left w:val="single" w:sz="4" w:space="0" w:color="000000" w:themeColor="text1"/>
            </w:tcBorders>
          </w:tcPr>
          <w:p w14:paraId="18ADDDFE" w14:textId="1DBA362D" w:rsidR="00110B79" w:rsidRPr="00110B79" w:rsidRDefault="00110B79" w:rsidP="001B4D49">
            <w:pPr>
              <w:pStyle w:val="Tabletext"/>
              <w:keepNext/>
              <w:jc w:val="left"/>
              <w:rPr>
                <w:position w:val="2"/>
                <w:lang w:val="ar-SA" w:bidi="ar-EG"/>
              </w:rPr>
            </w:pPr>
            <w:r w:rsidRPr="00110B79">
              <w:rPr>
                <w:position w:val="2"/>
              </w:rPr>
              <w:t>–</w:t>
            </w:r>
          </w:p>
        </w:tc>
        <w:tc>
          <w:tcPr>
            <w:tcW w:w="1485" w:type="dxa"/>
            <w:tcBorders>
              <w:left w:val="single" w:sz="4" w:space="0" w:color="000000" w:themeColor="text1"/>
            </w:tcBorders>
          </w:tcPr>
          <w:p w14:paraId="612A27B9" w14:textId="741C9F5D" w:rsidR="00110B79" w:rsidRPr="00110B79" w:rsidRDefault="00110B79" w:rsidP="001B4D49">
            <w:pPr>
              <w:pStyle w:val="Tabletext"/>
              <w:keepNext/>
              <w:jc w:val="left"/>
              <w:rPr>
                <w:position w:val="2"/>
                <w:lang w:val="ar-SA" w:bidi="ar-EG"/>
              </w:rPr>
            </w:pPr>
            <w:r w:rsidRPr="00110B79">
              <w:rPr>
                <w:position w:val="2"/>
              </w:rPr>
              <w:t>–</w:t>
            </w:r>
          </w:p>
        </w:tc>
        <w:tc>
          <w:tcPr>
            <w:tcW w:w="1109" w:type="dxa"/>
            <w:tcBorders>
              <w:left w:val="single" w:sz="4" w:space="0" w:color="000000" w:themeColor="text1"/>
            </w:tcBorders>
          </w:tcPr>
          <w:p w14:paraId="2942C4DE" w14:textId="6C2C98CC" w:rsidR="00110B79" w:rsidRPr="00110B79" w:rsidRDefault="00110B79" w:rsidP="001B4D49">
            <w:pPr>
              <w:pStyle w:val="Tabletext"/>
              <w:keepNext/>
              <w:jc w:val="left"/>
              <w:rPr>
                <w:position w:val="2"/>
                <w:lang w:val="ar-SA" w:bidi="ar-EG"/>
              </w:rPr>
            </w:pPr>
            <w:r w:rsidRPr="00110B79">
              <w:rPr>
                <w:position w:val="2"/>
              </w:rPr>
              <w:t>–</w:t>
            </w:r>
          </w:p>
        </w:tc>
      </w:tr>
      <w:tr w:rsidR="00110B79" w:rsidRPr="00110B79" w14:paraId="333DA4D0" w14:textId="77777777" w:rsidTr="003544DF">
        <w:trPr>
          <w:trHeight w:val="270"/>
          <w:jc w:val="center"/>
        </w:trPr>
        <w:tc>
          <w:tcPr>
            <w:tcW w:w="1774" w:type="dxa"/>
            <w:tcBorders>
              <w:bottom w:val="single" w:sz="4" w:space="0" w:color="000000" w:themeColor="text1"/>
              <w:right w:val="single" w:sz="4" w:space="0" w:color="000000" w:themeColor="text1"/>
            </w:tcBorders>
          </w:tcPr>
          <w:p w14:paraId="3B864459" w14:textId="77777777" w:rsidR="00110B79" w:rsidRPr="003544DF" w:rsidRDefault="00110B79" w:rsidP="00110B79">
            <w:pPr>
              <w:pStyle w:val="Tabletext"/>
              <w:jc w:val="center"/>
              <w:rPr>
                <w:b/>
                <w:bCs/>
                <w:spacing w:val="-4"/>
                <w:position w:val="2"/>
                <w:lang w:val="ar-SA" w:bidi="ar-EG"/>
              </w:rPr>
            </w:pPr>
            <w:r w:rsidRPr="003544DF">
              <w:rPr>
                <w:b/>
                <w:bCs/>
                <w:spacing w:val="-4"/>
                <w:position w:val="2"/>
                <w:rtl/>
              </w:rPr>
              <w:t>لجنة التنسيق المعنية بالمفردات/لجنة التنسيق المعنية بالمصطلحات</w:t>
            </w:r>
          </w:p>
        </w:tc>
        <w:tc>
          <w:tcPr>
            <w:tcW w:w="2126" w:type="dxa"/>
            <w:tcBorders>
              <w:left w:val="single" w:sz="4" w:space="0" w:color="000000" w:themeColor="text1"/>
            </w:tcBorders>
          </w:tcPr>
          <w:p w14:paraId="28F8D44A" w14:textId="3510C251" w:rsidR="00110B79" w:rsidRPr="00110B79" w:rsidRDefault="00677FD2" w:rsidP="001B4D49">
            <w:pPr>
              <w:pStyle w:val="Tabletext"/>
              <w:jc w:val="left"/>
              <w:rPr>
                <w:position w:val="2"/>
                <w:lang w:val="ar-SA" w:bidi="ar-EG"/>
              </w:rPr>
            </w:pPr>
            <w:hyperlink r:id="rId85" w:history="1">
              <w:r w:rsidR="00110B79" w:rsidRPr="00110B79">
                <w:rPr>
                  <w:rStyle w:val="Hyperlink"/>
                  <w:position w:val="2"/>
                  <w:lang w:val="fr-FR"/>
                </w:rPr>
                <w:t>V.431-9</w:t>
              </w:r>
            </w:hyperlink>
          </w:p>
        </w:tc>
        <w:tc>
          <w:tcPr>
            <w:tcW w:w="1899" w:type="dxa"/>
            <w:tcBorders>
              <w:left w:val="single" w:sz="4" w:space="0" w:color="000000" w:themeColor="text1"/>
            </w:tcBorders>
          </w:tcPr>
          <w:p w14:paraId="6CF4E489" w14:textId="336F09F3" w:rsidR="00110B79" w:rsidRPr="00110B79" w:rsidRDefault="00110B79" w:rsidP="001B4D49">
            <w:pPr>
              <w:pStyle w:val="Tabletext"/>
              <w:jc w:val="left"/>
              <w:rPr>
                <w:position w:val="2"/>
                <w:lang w:val="ar-SA" w:bidi="ar-EG"/>
              </w:rPr>
            </w:pPr>
            <w:r w:rsidRPr="00110B79">
              <w:rPr>
                <w:position w:val="2"/>
              </w:rPr>
              <w:t>–</w:t>
            </w:r>
          </w:p>
        </w:tc>
        <w:tc>
          <w:tcPr>
            <w:tcW w:w="1316" w:type="dxa"/>
            <w:tcBorders>
              <w:left w:val="single" w:sz="4" w:space="0" w:color="000000" w:themeColor="text1"/>
            </w:tcBorders>
          </w:tcPr>
          <w:p w14:paraId="09F04AD1" w14:textId="70BE502E" w:rsidR="00110B79" w:rsidRPr="00110B79" w:rsidRDefault="00110B79" w:rsidP="001B4D49">
            <w:pPr>
              <w:pStyle w:val="Tabletext"/>
              <w:jc w:val="left"/>
              <w:rPr>
                <w:position w:val="2"/>
                <w:lang w:val="ar-SA" w:bidi="ar-EG"/>
              </w:rPr>
            </w:pPr>
            <w:r w:rsidRPr="00110B79">
              <w:rPr>
                <w:position w:val="2"/>
              </w:rPr>
              <w:t>–</w:t>
            </w:r>
          </w:p>
        </w:tc>
        <w:tc>
          <w:tcPr>
            <w:tcW w:w="1485" w:type="dxa"/>
            <w:tcBorders>
              <w:left w:val="single" w:sz="4" w:space="0" w:color="000000" w:themeColor="text1"/>
            </w:tcBorders>
          </w:tcPr>
          <w:p w14:paraId="6272EEE4" w14:textId="613A3B1B" w:rsidR="00110B79" w:rsidRPr="00110B79" w:rsidRDefault="00110B79" w:rsidP="001B4D49">
            <w:pPr>
              <w:pStyle w:val="Tabletext"/>
              <w:jc w:val="left"/>
              <w:rPr>
                <w:position w:val="2"/>
                <w:lang w:bidi="ar-EG"/>
              </w:rPr>
            </w:pPr>
            <w:r w:rsidRPr="00110B79">
              <w:rPr>
                <w:position w:val="2"/>
              </w:rPr>
              <w:t>–</w:t>
            </w:r>
          </w:p>
        </w:tc>
        <w:tc>
          <w:tcPr>
            <w:tcW w:w="1109" w:type="dxa"/>
            <w:tcBorders>
              <w:left w:val="single" w:sz="4" w:space="0" w:color="000000" w:themeColor="text1"/>
            </w:tcBorders>
          </w:tcPr>
          <w:p w14:paraId="6E439F28" w14:textId="3119F2AD" w:rsidR="00110B79" w:rsidRPr="00110B79" w:rsidRDefault="00110B79" w:rsidP="001B4D49">
            <w:pPr>
              <w:pStyle w:val="Tabletext"/>
              <w:jc w:val="left"/>
              <w:rPr>
                <w:position w:val="2"/>
                <w:lang w:bidi="ar-EG"/>
              </w:rPr>
            </w:pPr>
            <w:r w:rsidRPr="00110B79">
              <w:rPr>
                <w:position w:val="2"/>
              </w:rPr>
              <w:t>–</w:t>
            </w:r>
          </w:p>
        </w:tc>
      </w:tr>
    </w:tbl>
    <w:bookmarkEnd w:id="2"/>
    <w:p w14:paraId="5EE88CF6" w14:textId="77777777" w:rsidR="005B6D9A" w:rsidRPr="00F97928" w:rsidRDefault="005B6D9A" w:rsidP="00F97928">
      <w:pPr>
        <w:pStyle w:val="Note"/>
      </w:pPr>
      <w:r w:rsidRPr="00F97928">
        <w:rPr>
          <w:b/>
          <w:bCs/>
          <w:rtl/>
          <w:lang w:bidi="ar-SA"/>
        </w:rPr>
        <w:t>ملاحظة</w:t>
      </w:r>
      <w:r w:rsidRPr="00F97928">
        <w:rPr>
          <w:rtl/>
          <w:lang w:bidi="ar-SA"/>
        </w:rPr>
        <w:t>: تم تجميع النواتج المذكورة أعلاه وقت إعداد هذه الوثيقة.</w:t>
      </w:r>
    </w:p>
    <w:p w14:paraId="1A74AB8F" w14:textId="41CFC755" w:rsidR="005B6D9A" w:rsidRPr="005B6D9A" w:rsidRDefault="005B6D9A" w:rsidP="00311FB9">
      <w:pPr>
        <w:rPr>
          <w:lang w:val="ar-SA" w:bidi="ar-EG"/>
        </w:rPr>
      </w:pPr>
      <w:r w:rsidRPr="005B6D9A">
        <w:rPr>
          <w:rtl/>
        </w:rPr>
        <w:t xml:space="preserve">توجد </w:t>
      </w:r>
      <w:r w:rsidR="00F97928">
        <w:t>1 160</w:t>
      </w:r>
      <w:r w:rsidRPr="005B6D9A">
        <w:rPr>
          <w:rtl/>
        </w:rPr>
        <w:t xml:space="preserve"> توصية سارية المفعول و660 تقريراً ساري المفعول لقطاع الاتصالات الراديوية في الوقت الحالي.</w:t>
      </w:r>
    </w:p>
    <w:p w14:paraId="08E65FE6" w14:textId="5F48CA40" w:rsidR="005B6D9A" w:rsidRPr="005B6D9A" w:rsidRDefault="00F97928" w:rsidP="00F97928">
      <w:pPr>
        <w:pStyle w:val="Heading2"/>
        <w:rPr>
          <w:lang w:val="ar-SA"/>
        </w:rPr>
      </w:pPr>
      <w:bookmarkStart w:id="3" w:name="_Toc445972795"/>
      <w:bookmarkEnd w:id="1"/>
      <w:r>
        <w:t>2.4</w:t>
      </w:r>
      <w:r w:rsidR="005B6D9A" w:rsidRPr="005B6D9A">
        <w:rPr>
          <w:rtl/>
        </w:rPr>
        <w:tab/>
        <w:t>لجنة الدراسات 1</w:t>
      </w:r>
    </w:p>
    <w:p w14:paraId="08F9B0F5" w14:textId="63EA7CB1" w:rsidR="005B6D9A" w:rsidRPr="00C71EC0" w:rsidRDefault="005B6D9A" w:rsidP="00311FB9">
      <w:pPr>
        <w:rPr>
          <w:spacing w:val="-2"/>
          <w:lang w:val="ar-SA" w:bidi="ar-EG"/>
        </w:rPr>
      </w:pPr>
      <w:bookmarkStart w:id="4" w:name="_Toc445972793"/>
      <w:r w:rsidRPr="00C71EC0">
        <w:rPr>
          <w:spacing w:val="-2"/>
          <w:rtl/>
        </w:rPr>
        <w:t>واصلت لجنة الدراسات 1 وضع توصيات قطاع الاتصالات الراديوية وتقاريره وكتيباته المتعلقة بمبادئ وتقنيات إدارة الطيف، والمبادئ العامة للتشارك، ومراقبة الطيف، والاستراتيجيات طويلة الأجل لاستخدام الطيف، والنهج الاقتصادية لإدارة الطيف على</w:t>
      </w:r>
      <w:r w:rsidR="00916E40">
        <w:rPr>
          <w:rFonts w:hint="cs"/>
          <w:spacing w:val="-2"/>
          <w:rtl/>
        </w:rPr>
        <w:t> </w:t>
      </w:r>
      <w:r w:rsidRPr="00C71EC0">
        <w:rPr>
          <w:spacing w:val="-2"/>
          <w:rtl/>
        </w:rPr>
        <w:t>الصعيد الوطني، والتقنيات المؤتمتة، وتقديم المساعدة إلى البلدان النامية بالتعاون مع قطاع تنمية الاتصالات. وتشمل الدراسات أيضاً أساليب تحديد التداخل وإزالته، والبث غير المطلوب، وإدارة قاموس البيانات، وإعادة توزيع الطيف، وقياس استعمال الطيف، والاستعمالات غير المرخصة والمشتركة للطيف، والنفاذ الدينامي إلى الطيف، والشبكات الذكية، وإرسال القدرة لاسلكياً.</w:t>
      </w:r>
    </w:p>
    <w:p w14:paraId="40B64A96" w14:textId="77777777" w:rsidR="00C00628" w:rsidRDefault="005B6D9A" w:rsidP="00311FB9">
      <w:pPr>
        <w:rPr>
          <w:rtl/>
        </w:rPr>
      </w:pPr>
      <w:r w:rsidRPr="005B6D9A">
        <w:rPr>
          <w:rtl/>
        </w:rPr>
        <w:t>وعقدت فرق العمل 1A و1B و1C ولجنة الدراسات 1 مجموعة من الاجتماعات بالحضور الشخصي مع إتاحة إمكانية المشاركة عن بُعد في الفترة من 9 إلى 19 يونيو 2025 في جنيف.</w:t>
      </w:r>
    </w:p>
    <w:p w14:paraId="040C3AE5" w14:textId="42A17D95" w:rsidR="005B6D9A" w:rsidRPr="004352B4" w:rsidRDefault="005B6D9A" w:rsidP="00311FB9">
      <w:pPr>
        <w:rPr>
          <w:spacing w:val="-2"/>
          <w:lang w:val="ar-SA" w:bidi="ar-EG"/>
        </w:rPr>
      </w:pPr>
      <w:r w:rsidRPr="004352B4">
        <w:rPr>
          <w:spacing w:val="-2"/>
          <w:rtl/>
        </w:rPr>
        <w:t xml:space="preserve">وعلى النحو المبين في تعميمي الدعوة </w:t>
      </w:r>
      <w:r w:rsidR="003825B4" w:rsidRPr="004352B4">
        <w:rPr>
          <w:rFonts w:hint="cs"/>
          <w:spacing w:val="-2"/>
          <w:rtl/>
          <w:lang w:bidi="ar-EG"/>
        </w:rPr>
        <w:t>(</w:t>
      </w:r>
      <w:hyperlink r:id="rId86" w:history="1">
        <w:r w:rsidRPr="004352B4">
          <w:rPr>
            <w:rStyle w:val="Hyperlink"/>
            <w:spacing w:val="-2"/>
            <w:lang w:bidi="ar-EG"/>
          </w:rPr>
          <w:t>CACE/1131</w:t>
        </w:r>
      </w:hyperlink>
      <w:r w:rsidRPr="004352B4">
        <w:rPr>
          <w:spacing w:val="-2"/>
          <w:rtl/>
        </w:rPr>
        <w:t xml:space="preserve"> و</w:t>
      </w:r>
      <w:hyperlink r:id="rId87" w:history="1">
        <w:r w:rsidRPr="004352B4">
          <w:rPr>
            <w:rStyle w:val="Hyperlink"/>
            <w:spacing w:val="-2"/>
          </w:rPr>
          <w:t>1/LCCE/113</w:t>
        </w:r>
      </w:hyperlink>
      <w:r w:rsidR="003825B4" w:rsidRPr="004352B4">
        <w:rPr>
          <w:rFonts w:hint="cs"/>
          <w:spacing w:val="-2"/>
          <w:rtl/>
          <w:lang w:bidi="ar-EG"/>
        </w:rPr>
        <w:t>)</w:t>
      </w:r>
      <w:r w:rsidRPr="004352B4">
        <w:rPr>
          <w:spacing w:val="-2"/>
          <w:rtl/>
        </w:rPr>
        <w:t>، اجتمعت فرقة العمل 1C في الفترة من 9 إلى 18 يونيو</w:t>
      </w:r>
      <w:r w:rsidR="00916E40" w:rsidRPr="004352B4">
        <w:rPr>
          <w:rFonts w:hint="cs"/>
          <w:spacing w:val="-2"/>
          <w:rtl/>
        </w:rPr>
        <w:t> </w:t>
      </w:r>
      <w:r w:rsidRPr="004352B4">
        <w:rPr>
          <w:spacing w:val="-2"/>
          <w:rtl/>
        </w:rPr>
        <w:t>2025 مع تخصيص أول يومين للعمل على الطبعة القادمة من كتيب قطاع الاتصالات الراديوية بشأن مراقبة الطيف</w:t>
      </w:r>
      <w:r w:rsidR="004352B4" w:rsidRPr="004352B4">
        <w:rPr>
          <w:rFonts w:hint="cs"/>
          <w:spacing w:val="-2"/>
          <w:rtl/>
        </w:rPr>
        <w:t> </w:t>
      </w:r>
      <w:r w:rsidRPr="004352B4">
        <w:rPr>
          <w:spacing w:val="-2"/>
          <w:lang w:bidi="ar-EG"/>
        </w:rPr>
        <w:t>(SMH)</w:t>
      </w:r>
      <w:r w:rsidRPr="004352B4">
        <w:rPr>
          <w:spacing w:val="-2"/>
          <w:rtl/>
        </w:rPr>
        <w:t>، بينما اجتمعت فرقتا العمل 1A و1B في الفترة من 11 إلى 18 يونيو 2025. واجتمعت لجنة الدراسات 1 في 19 يونيو</w:t>
      </w:r>
      <w:r w:rsidR="00916E40" w:rsidRPr="004352B4">
        <w:rPr>
          <w:rFonts w:hint="cs"/>
          <w:spacing w:val="-2"/>
          <w:rtl/>
        </w:rPr>
        <w:t> </w:t>
      </w:r>
      <w:r w:rsidRPr="004352B4">
        <w:rPr>
          <w:spacing w:val="-2"/>
          <w:rtl/>
        </w:rPr>
        <w:t>2025. وقد</w:t>
      </w:r>
      <w:r w:rsidR="004352B4">
        <w:rPr>
          <w:rFonts w:hint="cs"/>
          <w:spacing w:val="-2"/>
          <w:rtl/>
        </w:rPr>
        <w:t> </w:t>
      </w:r>
      <w:r w:rsidRPr="004352B4">
        <w:rPr>
          <w:spacing w:val="-2"/>
          <w:rtl/>
        </w:rPr>
        <w:t>عُقدت هذه الاجتماعات بمقر الاتحاد في جنيف.</w:t>
      </w:r>
    </w:p>
    <w:p w14:paraId="503A4044" w14:textId="21384F29" w:rsidR="00C00628" w:rsidRDefault="005B6D9A" w:rsidP="00311FB9">
      <w:pPr>
        <w:rPr>
          <w:rFonts w:hint="cs"/>
          <w:rtl/>
          <w:lang w:bidi="ar-EG"/>
        </w:rPr>
      </w:pPr>
      <w:r w:rsidRPr="005B6D9A">
        <w:rPr>
          <w:rtl/>
        </w:rPr>
        <w:t>وبالإضافة إلى المنشورات المعتمدة المُشار إليها في الجدول أعلاه، وافقت لجنة الدراسات 1 أيضاً على المراجعة التحريرية للتوصية ITU-R SM.337-6 "</w:t>
      </w:r>
      <w:r w:rsidR="00F90510">
        <w:rPr>
          <w:rFonts w:hint="cs"/>
          <w:rtl/>
        </w:rPr>
        <w:t> </w:t>
      </w:r>
      <w:r w:rsidRPr="003825B4">
        <w:rPr>
          <w:i/>
          <w:iCs/>
          <w:rtl/>
        </w:rPr>
        <w:t>فصل التردد والمسافة</w:t>
      </w:r>
      <w:r w:rsidRPr="005B6D9A">
        <w:rPr>
          <w:rtl/>
        </w:rPr>
        <w:t>". وعلاوة</w:t>
      </w:r>
      <w:r w:rsidR="00F90510">
        <w:rPr>
          <w:rFonts w:hint="cs"/>
          <w:rtl/>
        </w:rPr>
        <w:t>ً</w:t>
      </w:r>
      <w:r w:rsidRPr="005B6D9A">
        <w:rPr>
          <w:rtl/>
        </w:rPr>
        <w:t xml:space="preserve"> على ذلك، أُحرز تقدم جيد في الأنشطة الأخرى لفرق العمل التابعة للجنة الدراسات 1.</w:t>
      </w:r>
    </w:p>
    <w:p w14:paraId="70B16A9E" w14:textId="3316C404" w:rsidR="005B6D9A" w:rsidRPr="00F90510" w:rsidRDefault="005B6D9A" w:rsidP="00311FB9">
      <w:pPr>
        <w:rPr>
          <w:spacing w:val="-2"/>
          <w:lang w:val="ar-SA" w:bidi="ar-EG"/>
        </w:rPr>
      </w:pPr>
      <w:r w:rsidRPr="00F90510">
        <w:rPr>
          <w:spacing w:val="-2"/>
          <w:rtl/>
        </w:rPr>
        <w:t>وخلال الاجتماعات التي أجريت في يونيو 2025، عُرضت المعلومات المحدثة الواردة في المرفق 2 (توصي</w:t>
      </w:r>
      <w:r w:rsidR="001B4D49">
        <w:rPr>
          <w:rFonts w:hint="cs"/>
          <w:spacing w:val="-2"/>
          <w:rtl/>
        </w:rPr>
        <w:t>ات</w:t>
      </w:r>
      <w:r w:rsidR="001B4D49">
        <w:rPr>
          <w:rFonts w:hint="cs"/>
          <w:spacing w:val="-2"/>
          <w:rtl/>
          <w:lang w:bidi="ar-EG"/>
        </w:rPr>
        <w:t xml:space="preserve"> السلسلة</w:t>
      </w:r>
      <w:r w:rsidRPr="00F90510">
        <w:rPr>
          <w:spacing w:val="-2"/>
          <w:rtl/>
        </w:rPr>
        <w:t xml:space="preserve"> ITU-R SM) والمرفق</w:t>
      </w:r>
      <w:r w:rsidR="003825B4" w:rsidRPr="00F90510">
        <w:rPr>
          <w:rFonts w:hint="cs"/>
          <w:spacing w:val="-2"/>
          <w:rtl/>
        </w:rPr>
        <w:t> </w:t>
      </w:r>
      <w:r w:rsidRPr="00F90510">
        <w:rPr>
          <w:spacing w:val="-2"/>
          <w:rtl/>
        </w:rPr>
        <w:t>3</w:t>
      </w:r>
      <w:r w:rsidR="001B4D49">
        <w:rPr>
          <w:rFonts w:hint="cs"/>
          <w:spacing w:val="-2"/>
          <w:rtl/>
        </w:rPr>
        <w:t> </w:t>
      </w:r>
      <w:r w:rsidRPr="00F90510">
        <w:rPr>
          <w:spacing w:val="-2"/>
          <w:rtl/>
        </w:rPr>
        <w:t>(</w:t>
      </w:r>
      <w:r w:rsidR="001B4D49">
        <w:rPr>
          <w:rFonts w:hint="cs"/>
          <w:spacing w:val="-2"/>
          <w:rtl/>
          <w:lang w:bidi="ar-EG"/>
        </w:rPr>
        <w:t>تقارير</w:t>
      </w:r>
      <w:r w:rsidRPr="00F90510">
        <w:rPr>
          <w:spacing w:val="-2"/>
          <w:rtl/>
        </w:rPr>
        <w:t xml:space="preserve"> </w:t>
      </w:r>
      <w:r w:rsidR="001B4D49">
        <w:rPr>
          <w:rFonts w:hint="cs"/>
          <w:spacing w:val="-2"/>
          <w:rtl/>
        </w:rPr>
        <w:t xml:space="preserve">السلسلة </w:t>
      </w:r>
      <w:r w:rsidRPr="00F90510">
        <w:rPr>
          <w:spacing w:val="-2"/>
          <w:rtl/>
        </w:rPr>
        <w:t>ITU-R SM) والمرفق 5 (</w:t>
      </w:r>
      <w:r w:rsidR="001B4D49">
        <w:rPr>
          <w:rFonts w:hint="cs"/>
          <w:spacing w:val="-2"/>
          <w:rtl/>
        </w:rPr>
        <w:t>القرارات</w:t>
      </w:r>
      <w:r w:rsidRPr="00F90510">
        <w:rPr>
          <w:spacing w:val="-2"/>
          <w:rtl/>
        </w:rPr>
        <w:t xml:space="preserve"> ذ</w:t>
      </w:r>
      <w:r w:rsidR="001B4D49">
        <w:rPr>
          <w:rFonts w:hint="cs"/>
          <w:spacing w:val="-2"/>
          <w:rtl/>
        </w:rPr>
        <w:t>ات</w:t>
      </w:r>
      <w:r w:rsidRPr="00F90510">
        <w:rPr>
          <w:spacing w:val="-2"/>
          <w:rtl/>
        </w:rPr>
        <w:t xml:space="preserve"> الصلة الصادر</w:t>
      </w:r>
      <w:r w:rsidR="001B4D49">
        <w:rPr>
          <w:rFonts w:hint="cs"/>
          <w:spacing w:val="-2"/>
          <w:rtl/>
        </w:rPr>
        <w:t>ة</w:t>
      </w:r>
      <w:r w:rsidRPr="00F90510">
        <w:rPr>
          <w:spacing w:val="-2"/>
          <w:rtl/>
        </w:rPr>
        <w:t xml:space="preserve"> عن قطاع الاتصالات الراديوية)، وكذلك تحديث المرفق</w:t>
      </w:r>
      <w:r w:rsidR="001B4D49">
        <w:rPr>
          <w:rFonts w:hint="cs"/>
          <w:spacing w:val="-2"/>
          <w:rtl/>
        </w:rPr>
        <w:t> </w:t>
      </w:r>
      <w:r w:rsidRPr="00F90510">
        <w:rPr>
          <w:spacing w:val="-2"/>
          <w:rtl/>
        </w:rPr>
        <w:t>8 (البنود ذات</w:t>
      </w:r>
      <w:r w:rsidR="00F90510">
        <w:rPr>
          <w:rFonts w:hint="cs"/>
          <w:spacing w:val="-2"/>
          <w:rtl/>
        </w:rPr>
        <w:t> </w:t>
      </w:r>
      <w:r w:rsidRPr="00F90510">
        <w:rPr>
          <w:spacing w:val="-2"/>
          <w:rtl/>
        </w:rPr>
        <w:t xml:space="preserve">الصلة بجدول أعمال المؤتمر العالمي للاتصالات الراديوية لعام 2027 (WRC-27) وجدول الأعمال التمهيدي للمؤتمر العالمي للاتصالات الراديوية لعام 2031 (WRC-31)) بالوثيقة </w:t>
      </w:r>
      <w:hyperlink r:id="rId88" w:history="1">
        <w:r w:rsidRPr="00F90510">
          <w:rPr>
            <w:rStyle w:val="Hyperlink"/>
            <w:spacing w:val="-2"/>
          </w:rPr>
          <w:t>1/1(Rev.1</w:t>
        </w:r>
        <w:r w:rsidRPr="00F90510">
          <w:rPr>
            <w:rStyle w:val="Hyperlink"/>
            <w:spacing w:val="-2"/>
            <w:lang w:bidi="ar-EG"/>
          </w:rPr>
          <w:t>)</w:t>
        </w:r>
      </w:hyperlink>
      <w:r w:rsidRPr="00F90510">
        <w:rPr>
          <w:spacing w:val="-2"/>
          <w:rtl/>
        </w:rPr>
        <w:t xml:space="preserve">، وأحيط علماً بهذه المعلومات. وبالمثل، عُرض موجز استنتاجات الاجتماع الثاني والثلاثين للفريق الاستشاري للاتصالات الراديوية في الوثيقة </w:t>
      </w:r>
      <w:hyperlink r:id="rId89" w:history="1">
        <w:r w:rsidRPr="00F90510">
          <w:rPr>
            <w:rStyle w:val="Hyperlink"/>
            <w:spacing w:val="-2"/>
            <w:rtl/>
          </w:rPr>
          <w:t>BR CA/277</w:t>
        </w:r>
      </w:hyperlink>
      <w:r w:rsidRPr="00F90510">
        <w:rPr>
          <w:spacing w:val="-2"/>
          <w:rtl/>
        </w:rPr>
        <w:t>، والمعلومات الإضافية ذات الصلة التي عُرضت على جميع لجان الدراسات وفرق العمل التابعة لقطاع الاتصالات الراديوية للنظر فيها في</w:t>
      </w:r>
      <w:r w:rsidR="00C71EC0" w:rsidRPr="00F90510">
        <w:rPr>
          <w:rFonts w:hint="cs"/>
          <w:spacing w:val="-2"/>
          <w:rtl/>
        </w:rPr>
        <w:t> </w:t>
      </w:r>
      <w:r w:rsidRPr="00F90510">
        <w:rPr>
          <w:spacing w:val="-2"/>
          <w:rtl/>
        </w:rPr>
        <w:t xml:space="preserve">الوثيقة </w:t>
      </w:r>
      <w:hyperlink r:id="rId90" w:history="1">
        <w:r w:rsidR="00017BE5" w:rsidRPr="00F90510">
          <w:rPr>
            <w:rStyle w:val="Hyperlink"/>
            <w:spacing w:val="-2"/>
          </w:rPr>
          <w:t>1/45</w:t>
        </w:r>
      </w:hyperlink>
      <w:r w:rsidRPr="00F90510">
        <w:rPr>
          <w:spacing w:val="-2"/>
          <w:rtl/>
        </w:rPr>
        <w:t>، وأحيط علماً لكل ذلك.</w:t>
      </w:r>
    </w:p>
    <w:p w14:paraId="615423C3" w14:textId="387FE025" w:rsidR="005B6D9A" w:rsidRPr="005B6D9A" w:rsidRDefault="005B6D9A" w:rsidP="00311FB9">
      <w:pPr>
        <w:rPr>
          <w:lang w:val="ar-SA" w:bidi="ar-EG"/>
        </w:rPr>
      </w:pPr>
      <w:r w:rsidRPr="005B6D9A">
        <w:rPr>
          <w:rtl/>
        </w:rPr>
        <w:t xml:space="preserve">شهد هذه الاجتماعات المنعقدة في يونيو 2025 كذلك تعيين نواب رئيس لفرق العمل 1A و1B و1C على النحو المبين </w:t>
      </w:r>
      <w:hyperlink r:id="rId91" w:history="1">
        <w:r w:rsidRPr="00017BE5">
          <w:rPr>
            <w:rStyle w:val="Hyperlink"/>
            <w:rtl/>
          </w:rPr>
          <w:t>هنا</w:t>
        </w:r>
      </w:hyperlink>
      <w:r w:rsidRPr="005B6D9A">
        <w:rPr>
          <w:rtl/>
        </w:rPr>
        <w:t xml:space="preserve"> على</w:t>
      </w:r>
      <w:r w:rsidR="00017BE5">
        <w:rPr>
          <w:rFonts w:hint="eastAsia"/>
          <w:rtl/>
        </w:rPr>
        <w:t> </w:t>
      </w:r>
      <w:r w:rsidRPr="005B6D9A">
        <w:rPr>
          <w:rtl/>
        </w:rPr>
        <w:t>المواقع الإلكترونية للجنة الدراسات 1 وفرق العمل التابعة لها.</w:t>
      </w:r>
    </w:p>
    <w:p w14:paraId="73ECCD1F" w14:textId="273D074F" w:rsidR="005B6D9A" w:rsidRPr="00C71EC0" w:rsidRDefault="005B6D9A" w:rsidP="001B4D49">
      <w:pPr>
        <w:rPr>
          <w:lang w:val="ar-SA" w:bidi="ar-EG"/>
        </w:rPr>
      </w:pPr>
      <w:r w:rsidRPr="00C71EC0">
        <w:rPr>
          <w:rtl/>
        </w:rPr>
        <w:t xml:space="preserve">وعقد فريق المقرر </w:t>
      </w:r>
      <w:r w:rsidRPr="00C71EC0">
        <w:rPr>
          <w:lang w:bidi="ar-EG"/>
        </w:rPr>
        <w:t>(RG)</w:t>
      </w:r>
      <w:r w:rsidRPr="00C71EC0">
        <w:rPr>
          <w:rtl/>
        </w:rPr>
        <w:t xml:space="preserve"> التابع لفرقة العمل 1C والمعني بكتيب قطاع الاتصالات الراديوية بشأن مراقبة الطيف اجتماعه الثاني للفترة 2023-2027، في الفترة من 10 إلى 14 نوفمبر 2025 لإحراز تقدم في العمل المتعلق بالطبعة القادمة من هذا الكتيب المهم للهيئات التنظيمية الوطنية والمشغلين الوطنيين والمصنعين الذين يقدمون لهم المعدات. وكانت أعمال فريق المقرر هذا مثمرة للغاية، إذ واصل مشروع مراجعة جميع فصول الكتيب وملحقه، وانكب كذلك على إعداد مشروع فصل جديد بشأن </w:t>
      </w:r>
      <w:r w:rsidRPr="00C71EC0">
        <w:rPr>
          <w:rtl/>
        </w:rPr>
        <w:lastRenderedPageBreak/>
        <w:t xml:space="preserve">التوصيل الشبكي والبيانات والأتمتة. وعلى النحو المبين في الرسالة المعممة </w:t>
      </w:r>
      <w:hyperlink r:id="rId92" w:history="1">
        <w:r w:rsidRPr="00C71EC0">
          <w:rPr>
            <w:rStyle w:val="Hyperlink"/>
            <w:spacing w:val="2"/>
          </w:rPr>
          <w:t>1/LCCE/115</w:t>
        </w:r>
      </w:hyperlink>
      <w:r w:rsidRPr="00C71EC0">
        <w:rPr>
          <w:rtl/>
        </w:rPr>
        <w:t xml:space="preserve">، من المقرر عقد الاجتماع القادم لفريق المقرر هذا في الفترة من 23 إلى 27 مارس 2026 في ميونيخ، ألمانيا، بناءً على دعوة كريمة من شركة </w:t>
      </w:r>
      <w:r w:rsidRPr="00C71EC0">
        <w:t>Rohde &amp; Schwarz GmbH &amp; Co. KG</w:t>
      </w:r>
      <w:r w:rsidRPr="00C71EC0">
        <w:rPr>
          <w:rtl/>
        </w:rPr>
        <w:t>، وبدعم من إدارة جمهورية ألمانيا الاتحادية. والموعد النهائي المستهدف لإنجاز الطبعة القادمة من هذا الكتيب المهم التي تتكلف بها فرقة العمل 1C، وكذلك موافقة لجنة الدراسات 1 عليها، هو يونيو 2026.</w:t>
      </w:r>
    </w:p>
    <w:p w14:paraId="1BB97687" w14:textId="77777777" w:rsidR="00C00628" w:rsidRDefault="005B6D9A" w:rsidP="00311FB9">
      <w:pPr>
        <w:rPr>
          <w:rtl/>
        </w:rPr>
      </w:pPr>
      <w:r w:rsidRPr="005B6D9A">
        <w:rPr>
          <w:rtl/>
        </w:rPr>
        <w:t>ومن المقرر عقد الاجتماعات القادمة لفرق العمل 1A و1B و1C في الفترة من 3 إلى 10 يونيو 2026، والاجتماع القادم للجنة الدراسات 1 في 11 يونيو 2026.</w:t>
      </w:r>
    </w:p>
    <w:p w14:paraId="5B1D6376" w14:textId="65C04239" w:rsidR="005B6D9A" w:rsidRPr="005B6D9A" w:rsidRDefault="003833F2" w:rsidP="003833F2">
      <w:pPr>
        <w:pStyle w:val="Heading2"/>
        <w:rPr>
          <w:lang w:val="ar-SA"/>
        </w:rPr>
      </w:pPr>
      <w:r>
        <w:t>3.4</w:t>
      </w:r>
      <w:r w:rsidR="005B6D9A" w:rsidRPr="005B6D9A">
        <w:rPr>
          <w:rtl/>
        </w:rPr>
        <w:tab/>
        <w:t>لجنة الدراسات 3</w:t>
      </w:r>
      <w:bookmarkEnd w:id="4"/>
    </w:p>
    <w:p w14:paraId="117D8554" w14:textId="49433738" w:rsidR="005B6D9A" w:rsidRPr="005B6D9A" w:rsidRDefault="005B6D9A" w:rsidP="00311FB9">
      <w:pPr>
        <w:rPr>
          <w:lang w:val="ar-SA" w:bidi="ar-EG"/>
        </w:rPr>
      </w:pPr>
      <w:r w:rsidRPr="005B6D9A">
        <w:rPr>
          <w:rtl/>
        </w:rPr>
        <w:t xml:space="preserve">واصلت لجنة الدراسات 3 إجراء بحوث مكثفة باستخدام قياسات الانتشار وتحليل البيانات وتطوير النماذج لتوسيع إمكانية تطبيق طرائق التنبؤ بانتشار الموجات الراديوية في أجزاء ذات صلة من الطيف تصل إلى </w:t>
      </w:r>
      <w:r w:rsidR="003833F2">
        <w:t>THz 375</w:t>
      </w:r>
      <w:r w:rsidRPr="005B6D9A">
        <w:rPr>
          <w:rtl/>
        </w:rPr>
        <w:t>. وواصلت لجنة الدراسات 3 أيضاً مراجعة أو إعداد توصيات وتقارير وكتيبات جديدة ضمن نطاق اختصاصها لدعم تصميم أنظمة الاتصالات الراديوية وتقييم التداخل. وكثيراً ما كان يُتطلب ذلك لدراسات التشارك والتوافق لدعم العمل بشأن بنود جدول أعمال المؤتمر العالمي للاتصالات الراديوية.</w:t>
      </w:r>
    </w:p>
    <w:p w14:paraId="1770AABB" w14:textId="0B4DF35F" w:rsidR="005B6D9A" w:rsidRPr="005B6D9A" w:rsidRDefault="005B6D9A" w:rsidP="00311FB9">
      <w:pPr>
        <w:rPr>
          <w:lang w:val="ar-SA" w:bidi="ar-EG"/>
        </w:rPr>
      </w:pPr>
      <w:r w:rsidRPr="005B6D9A">
        <w:rPr>
          <w:rtl/>
        </w:rPr>
        <w:t xml:space="preserve">وعقدت لجنة الدراسات 3 اجتماعين في 26 مايو 2025 (صباحاً) و6 يونيو 2025، </w:t>
      </w:r>
      <w:r w:rsidR="00F90510">
        <w:rPr>
          <w:rFonts w:hint="cs"/>
          <w:rtl/>
        </w:rPr>
        <w:t>بالتزامن</w:t>
      </w:r>
      <w:r w:rsidRPr="005B6D9A">
        <w:rPr>
          <w:rtl/>
        </w:rPr>
        <w:t xml:space="preserve"> مع اجتماعات فرق العمل 3J و3K و3L و3M التي عُقدت في الفترة من 26 مايو 2025 (بعد الظهر) إلى 5 يونيو 2025.</w:t>
      </w:r>
      <w:r w:rsidR="00C00628">
        <w:rPr>
          <w:rtl/>
        </w:rPr>
        <w:t xml:space="preserve"> </w:t>
      </w:r>
      <w:r w:rsidRPr="005B6D9A">
        <w:rPr>
          <w:rtl/>
        </w:rPr>
        <w:t>ووافق الاجتماع الأول للجنة الدراسات 3 على هيكل عمل فرق العمل واختصاصاتها، واعتمد أسماء رؤساء فرق العمل ونوابهم.</w:t>
      </w:r>
      <w:r w:rsidR="00C00628">
        <w:rPr>
          <w:rtl/>
        </w:rPr>
        <w:t xml:space="preserve"> </w:t>
      </w:r>
      <w:r w:rsidRPr="005B6D9A">
        <w:rPr>
          <w:rtl/>
        </w:rPr>
        <w:t>بينما تناول الاجتماع الثاني للجنة الدراسات</w:t>
      </w:r>
      <w:r w:rsidR="00C71EC0">
        <w:rPr>
          <w:rFonts w:hint="cs"/>
          <w:rtl/>
        </w:rPr>
        <w:t> </w:t>
      </w:r>
      <w:r w:rsidRPr="005B6D9A">
        <w:rPr>
          <w:rtl/>
        </w:rPr>
        <w:t xml:space="preserve">3 أعمال فرق العمل المرفوعة للنظر فيها، وانتخب الدكتور ل. كاستانيه (فرنسا) رئيساً لفرقة العمل 3J، ليحل محل رئيس فرقة العمل 3J المنتهية ولايته، البروفسور ل. ريفا (إيطاليا)، وانتخب كذلك السيد إريك هيل (الولايات المتحدة) والدكتور </w:t>
      </w:r>
      <w:proofErr w:type="spellStart"/>
      <w:r w:rsidRPr="005B6D9A">
        <w:rPr>
          <w:rtl/>
        </w:rPr>
        <w:t>سيوك</w:t>
      </w:r>
      <w:proofErr w:type="spellEnd"/>
      <w:r w:rsidRPr="005B6D9A">
        <w:rPr>
          <w:rtl/>
        </w:rPr>
        <w:t>-هي باي (جمهورية كوريا) نائبين لرئيسي فرقتي العمل 3J و3L على التوالي.</w:t>
      </w:r>
    </w:p>
    <w:p w14:paraId="585278C9" w14:textId="6ACE59CD" w:rsidR="005B6D9A" w:rsidRPr="00C71EC0" w:rsidRDefault="005B6D9A" w:rsidP="00311FB9">
      <w:pPr>
        <w:rPr>
          <w:spacing w:val="-3"/>
          <w:lang w:val="ar-SA" w:bidi="ar-EG"/>
        </w:rPr>
      </w:pPr>
      <w:r w:rsidRPr="00C71EC0">
        <w:rPr>
          <w:spacing w:val="-3"/>
          <w:rtl/>
        </w:rPr>
        <w:t xml:space="preserve">وعُقدت </w:t>
      </w:r>
      <w:hyperlink r:id="rId93" w:history="1">
        <w:r w:rsidRPr="00C71EC0">
          <w:rPr>
            <w:rStyle w:val="Hyperlink"/>
            <w:spacing w:val="-3"/>
            <w:rtl/>
          </w:rPr>
          <w:t>ورشة عمل بشأن "تطبيقات تعلم الآلة في التنبؤ بانتشار الموجات الراديوية"</w:t>
        </w:r>
      </w:hyperlink>
      <w:r w:rsidRPr="00C71EC0">
        <w:rPr>
          <w:spacing w:val="-3"/>
          <w:rtl/>
        </w:rPr>
        <w:t xml:space="preserve"> في 27 مايو 2025. ونظرت ورشة العمل في</w:t>
      </w:r>
      <w:r w:rsidR="00C71EC0" w:rsidRPr="00C71EC0">
        <w:rPr>
          <w:rFonts w:hint="cs"/>
          <w:spacing w:val="-3"/>
          <w:rtl/>
        </w:rPr>
        <w:t> </w:t>
      </w:r>
      <w:r w:rsidRPr="00C71EC0">
        <w:rPr>
          <w:spacing w:val="-3"/>
          <w:rtl/>
        </w:rPr>
        <w:t xml:space="preserve">تعلم الآلة </w:t>
      </w:r>
      <w:r w:rsidRPr="00C71EC0">
        <w:rPr>
          <w:spacing w:val="-3"/>
          <w:lang w:bidi="ar-EG"/>
        </w:rPr>
        <w:t>(ML)</w:t>
      </w:r>
      <w:r w:rsidRPr="00C71EC0">
        <w:rPr>
          <w:spacing w:val="-3"/>
          <w:rtl/>
        </w:rPr>
        <w:t xml:space="preserve"> وناقشت هذا الموضوع حسبما هو مطبق في نمذجة التنبؤ بانتشار الموجات الراديوية، فضلاً عن استخدامه في</w:t>
      </w:r>
      <w:r w:rsidR="00C71EC0" w:rsidRPr="00C71EC0">
        <w:rPr>
          <w:rFonts w:hint="cs"/>
          <w:spacing w:val="-3"/>
          <w:rtl/>
        </w:rPr>
        <w:t> </w:t>
      </w:r>
      <w:r w:rsidRPr="00C71EC0">
        <w:rPr>
          <w:spacing w:val="-3"/>
          <w:rtl/>
        </w:rPr>
        <w:t>وضع نماذج</w:t>
      </w:r>
      <w:r w:rsidR="00C71EC0">
        <w:rPr>
          <w:rFonts w:hint="cs"/>
          <w:spacing w:val="-3"/>
          <w:rtl/>
        </w:rPr>
        <w:t> </w:t>
      </w:r>
      <w:r w:rsidRPr="00C71EC0">
        <w:rPr>
          <w:spacing w:val="-3"/>
          <w:rtl/>
        </w:rPr>
        <w:t>للمعلمات أو الظواهر ذات الصلة في التنبؤ بانتشار الموجات الراديوية.</w:t>
      </w:r>
      <w:r w:rsidR="00C00628" w:rsidRPr="00C71EC0">
        <w:rPr>
          <w:spacing w:val="-3"/>
          <w:rtl/>
        </w:rPr>
        <w:t xml:space="preserve"> </w:t>
      </w:r>
      <w:r w:rsidRPr="00C71EC0">
        <w:rPr>
          <w:spacing w:val="-3"/>
          <w:rtl/>
        </w:rPr>
        <w:t>وحضر ورشة العمل 117 مشاركاً، وعرض تسعة خبراء مدعوين خلالها معلومات عن أبحاثهم بشأن التعلم الآلي واستعمالاته حسبما هو مطبق في التنبؤ بانتشار الموجات الراديوية.</w:t>
      </w:r>
    </w:p>
    <w:p w14:paraId="6EF0A157" w14:textId="77777777" w:rsidR="005B6D9A" w:rsidRPr="005B6D9A" w:rsidRDefault="005B6D9A" w:rsidP="00311FB9">
      <w:pPr>
        <w:rPr>
          <w:lang w:val="ar-SA" w:bidi="ar-EG"/>
        </w:rPr>
      </w:pPr>
      <w:r w:rsidRPr="005B6D9A">
        <w:rPr>
          <w:rtl/>
        </w:rPr>
        <w:t>وقدمت لجنة الدراسات 3 معلومات عن نمذجة انتشار الموجات الراديوية في المواعيد النهائية المتفق عليها للاجتماع التحضيري للمؤتمر إلى فرق العمل التابعة لقطاع الاتصالات الراديوية والمسؤولة عن إجراء دراسات التشارك والتوافق المطلوبة في إطار التحضير للمؤتمر العالمي للاتصالات الراديوية لعام 2027 (WRC-27).</w:t>
      </w:r>
    </w:p>
    <w:p w14:paraId="206A7D25" w14:textId="77777777" w:rsidR="005B6D9A" w:rsidRPr="005B6D9A" w:rsidRDefault="005B6D9A" w:rsidP="00311FB9">
      <w:pPr>
        <w:rPr>
          <w:lang w:val="ar-SA" w:bidi="ar-EG"/>
        </w:rPr>
      </w:pPr>
      <w:r w:rsidRPr="005B6D9A">
        <w:rPr>
          <w:rtl/>
        </w:rPr>
        <w:t>وترد في الجدول أعلاه قائمة المخرجات التي اعتمدتها لجنة الدراسات 3، ووافقت عليها الدول الأعضاء بعد ذلك منذ انعقاد اجتماع الفريق الاستشاري للاتصالات الراديوية في عام 2025. وأُدخلت أيضاً تعديلات صياغية على ثلاث توصيات لقطاع الاتصالات الراديوية.</w:t>
      </w:r>
    </w:p>
    <w:p w14:paraId="304FB5B5" w14:textId="7516CD5F" w:rsidR="005B6D9A" w:rsidRPr="005B6D9A" w:rsidRDefault="005B6D9A" w:rsidP="00311FB9">
      <w:pPr>
        <w:rPr>
          <w:lang w:val="ar-SA" w:bidi="ar-EG"/>
        </w:rPr>
      </w:pPr>
      <w:r w:rsidRPr="005B6D9A">
        <w:rPr>
          <w:rtl/>
        </w:rPr>
        <w:t xml:space="preserve">واضطلع ما مجموعه 38 فريقاً من أفرقة العمل بالمراسلة </w:t>
      </w:r>
      <w:r w:rsidRPr="005B6D9A">
        <w:rPr>
          <w:lang w:bidi="ar-EG"/>
        </w:rPr>
        <w:t>(CG)</w:t>
      </w:r>
      <w:r w:rsidRPr="005B6D9A">
        <w:rPr>
          <w:rtl/>
        </w:rPr>
        <w:t xml:space="preserve"> التابعة لفرق العمل 3J و3K و3L و3M بنسبة كبيرة من الأعمال، ما أدى إلى إحراز تقدم كبير في الفترات الفاصلة بين اجتماعات فرق العمل.</w:t>
      </w:r>
      <w:r w:rsidR="00C00628">
        <w:rPr>
          <w:rtl/>
        </w:rPr>
        <w:t xml:space="preserve"> </w:t>
      </w:r>
      <w:r w:rsidRPr="005B6D9A">
        <w:rPr>
          <w:rtl/>
        </w:rPr>
        <w:t>وقد استخدمت فرق العمل التابعة للجنة الدراسات ‎3 أفرقةَ العمل بالمراسلة على هذا النحو لأكثر من عقد من الزمن، مع العلم خاصةً أن فرق العمل هذه تجتمع عادةً مرة واحدة في السنة فقط، وأن مواضيع العمل قد تكون أحياناً قيد الإعداد لفترات أطول من خمس سنوات بل عشر سنوات.</w:t>
      </w:r>
    </w:p>
    <w:p w14:paraId="7CFA9C3E" w14:textId="0E0C65E5" w:rsidR="005B6D9A" w:rsidRPr="00C71EC0" w:rsidRDefault="005B6D9A" w:rsidP="00311FB9">
      <w:pPr>
        <w:rPr>
          <w:spacing w:val="-1"/>
          <w:lang w:val="ar-SA" w:bidi="ar-EG"/>
        </w:rPr>
      </w:pPr>
      <w:r w:rsidRPr="00C71EC0">
        <w:rPr>
          <w:spacing w:val="-1"/>
          <w:rtl/>
        </w:rPr>
        <w:t xml:space="preserve">وفي عام 2025، على غرار السنوات الأربع السابقة، حافظت توصيات السلسلة </w:t>
      </w:r>
      <w:r w:rsidRPr="00C71EC0">
        <w:rPr>
          <w:spacing w:val="-1"/>
          <w:lang w:bidi="ar-EG"/>
        </w:rPr>
        <w:t>P</w:t>
      </w:r>
      <w:r w:rsidRPr="00C71EC0">
        <w:rPr>
          <w:spacing w:val="-1"/>
          <w:rtl/>
        </w:rPr>
        <w:t xml:space="preserve"> على مكانتها باعتبارها الأكثر شيوعاً من بين جميع سلاسل توصيات قطاع الاتصالات الراديوية، إذ تجاوزت عمليات تنزيلها </w:t>
      </w:r>
      <w:r w:rsidR="003833F2" w:rsidRPr="00C71EC0">
        <w:rPr>
          <w:spacing w:val="-1"/>
        </w:rPr>
        <w:t>210 500</w:t>
      </w:r>
      <w:r w:rsidRPr="00C71EC0">
        <w:rPr>
          <w:spacing w:val="-1"/>
          <w:rtl/>
        </w:rPr>
        <w:t xml:space="preserve"> مرةً أكثر من السلسلة التي تليها في</w:t>
      </w:r>
      <w:r w:rsidR="00C71EC0" w:rsidRPr="00C71EC0">
        <w:rPr>
          <w:rFonts w:hint="cs"/>
          <w:spacing w:val="-1"/>
          <w:rtl/>
        </w:rPr>
        <w:t> </w:t>
      </w:r>
      <w:r w:rsidRPr="00C71EC0">
        <w:rPr>
          <w:spacing w:val="-1"/>
          <w:rtl/>
        </w:rPr>
        <w:t>الرواج، ما يبرز استمرار أهميتها لجميع مستعملي الأنظمة الراديوية داخل الاتحاد وفي مجتمع الاتصالات الراديوية الأوسع نطاقاً.</w:t>
      </w:r>
    </w:p>
    <w:p w14:paraId="3548FF45" w14:textId="77777777" w:rsidR="005B6D9A" w:rsidRPr="005B6D9A" w:rsidRDefault="005B6D9A" w:rsidP="00311FB9">
      <w:pPr>
        <w:rPr>
          <w:lang w:val="ar-SA" w:bidi="ar-EG"/>
        </w:rPr>
      </w:pPr>
      <w:r w:rsidRPr="005B6D9A">
        <w:rPr>
          <w:rtl/>
        </w:rPr>
        <w:t>وقد تقرر عقد الاجتماعات القادمة لفرق العمل 3J و3K و3L و3M في الفترة من 15 إلى 25 يونيو 2026، والاجتماع القادم للجنة الدراسات 3 في 26 يونيو 2026.</w:t>
      </w:r>
    </w:p>
    <w:p w14:paraId="4C75C093" w14:textId="63EBCB3A" w:rsidR="005B6D9A" w:rsidRPr="003833F2" w:rsidRDefault="003833F2" w:rsidP="003833F2">
      <w:pPr>
        <w:pStyle w:val="Heading2"/>
      </w:pPr>
      <w:r>
        <w:t>4.4</w:t>
      </w:r>
      <w:r w:rsidR="005B6D9A" w:rsidRPr="005B6D9A">
        <w:rPr>
          <w:rtl/>
        </w:rPr>
        <w:tab/>
        <w:t>لجنة الدراسات 4</w:t>
      </w:r>
    </w:p>
    <w:bookmarkEnd w:id="3"/>
    <w:p w14:paraId="5C699E51" w14:textId="77777777" w:rsidR="005B6D9A" w:rsidRPr="005B6D9A" w:rsidRDefault="005B6D9A" w:rsidP="00311FB9">
      <w:pPr>
        <w:rPr>
          <w:lang w:val="ar-SA" w:bidi="ar-EG"/>
        </w:rPr>
      </w:pPr>
      <w:r w:rsidRPr="005B6D9A">
        <w:rPr>
          <w:rtl/>
        </w:rPr>
        <w:t xml:space="preserve">تواصل لجنة الدراسات 4 دراسة خصائص أنظمة وشبكات الخدمة الثابتة الساتلية والخدمة المتنقلة الساتلية والخدمة الإذاعية الساتلية وخدمة الاستدلال الراديوي الساتلية، وما يرتبط بذلك من استعمال الوصلات في خدمة ما بين السواتل، حسب الاقتضاء، والسطوح البينية الهوائية، وأهداف الأداء والتيسر وكذلك التشارُك في موارد المدار/الطيف بين الأنظمة الساتلية المستقرة </w:t>
      </w:r>
      <w:r w:rsidRPr="005B6D9A">
        <w:rPr>
          <w:rtl/>
        </w:rPr>
        <w:lastRenderedPageBreak/>
        <w:t xml:space="preserve">بالنسبة إلى الأرض </w:t>
      </w:r>
      <w:r w:rsidRPr="005B6D9A">
        <w:rPr>
          <w:lang w:bidi="ar-EG"/>
        </w:rPr>
        <w:t>(GSO)</w:t>
      </w:r>
      <w:r w:rsidRPr="005B6D9A">
        <w:rPr>
          <w:rtl/>
        </w:rPr>
        <w:t xml:space="preserve"> والأنظمة الساتلية غير المستقرة بالنسبة إلى الأرض </w:t>
      </w:r>
      <w:r w:rsidRPr="005B6D9A">
        <w:rPr>
          <w:lang w:bidi="ar-EG"/>
        </w:rPr>
        <w:t>(non-GSO)</w:t>
      </w:r>
      <w:r w:rsidRPr="005B6D9A">
        <w:rPr>
          <w:rtl/>
        </w:rPr>
        <w:t>، مما يمكن من تحقيق التنمية المستدامة للنظام الإيكولوجي للفضاء.</w:t>
      </w:r>
    </w:p>
    <w:p w14:paraId="5AEB7E3D" w14:textId="2E20F108" w:rsidR="005B6D9A" w:rsidRPr="005B6D9A" w:rsidRDefault="005B6D9A" w:rsidP="00311FB9">
      <w:pPr>
        <w:rPr>
          <w:lang w:val="ar-SA" w:bidi="ar-EG"/>
        </w:rPr>
      </w:pPr>
      <w:r w:rsidRPr="005B6D9A">
        <w:rPr>
          <w:rtl/>
        </w:rPr>
        <w:t>اجتمعت فرق العمل 4A و4B و4C مرتين في عام 2025. عُقد الاجتماع الأول في الفترة من 23 أبريل إلى 16 مايو 2025 في</w:t>
      </w:r>
      <w:r w:rsidR="00C71EC0">
        <w:rPr>
          <w:rFonts w:hint="cs"/>
          <w:rtl/>
        </w:rPr>
        <w:t> </w:t>
      </w:r>
      <w:r w:rsidRPr="005B6D9A">
        <w:rPr>
          <w:rtl/>
        </w:rPr>
        <w:t xml:space="preserve">شنغهاي بدعوة كريمة من وزارة الصناعة وتكنولوجيا المعلومات في جمهورية الصين الشعبية، والحكومة الشعبية لبلدية شنغهاي. بينما عُقد الاجتماع الثاني لفرق العمل 4A و4B و4C في الفترة من 15 أكتوبر إلى 6 نوفمبر 2025، واجتمعت لجنة الدراسات 4 في 7 نوفمبر 2025 في مقر الاتحاد بجنيف. تجدر الإشارة إلى أن الاجتماعين شهدا تقديم عدد هائل من الوثائق، وصدرت عنهما نواتج متعددة، لا سيما ما يخص فرقتي العمل 4A و4C اللتين اعتُبرتا الفرقتين المسؤولتين عن العديد من بنود جدول أعمال المؤتمر العالمي للاتصالات الراديوية لعام 2027 (WRC-27). وتدلل هذه الزيادة المستمرة في عدد المساهمات المقدمة على تنامي الاهتمام بالمسائل المتعلقة بكفاءة استخدام المدار/الطيف في الخدمة الثابتة الساتلية </w:t>
      </w:r>
      <w:r w:rsidRPr="005B6D9A">
        <w:rPr>
          <w:lang w:bidi="ar-EG"/>
        </w:rPr>
        <w:t>(FSS)</w:t>
      </w:r>
      <w:r w:rsidRPr="005B6D9A">
        <w:rPr>
          <w:rtl/>
        </w:rPr>
        <w:t xml:space="preserve"> والخدمة الإذاعية الساتلية </w:t>
      </w:r>
      <w:r w:rsidRPr="005B6D9A">
        <w:rPr>
          <w:lang w:bidi="ar-EG"/>
        </w:rPr>
        <w:t>(BSS)</w:t>
      </w:r>
      <w:r w:rsidRPr="005B6D9A">
        <w:rPr>
          <w:rtl/>
        </w:rPr>
        <w:t xml:space="preserve"> والخدمة المتنقلة الساتلية </w:t>
      </w:r>
      <w:r w:rsidRPr="005B6D9A">
        <w:rPr>
          <w:lang w:bidi="ar-EG"/>
        </w:rPr>
        <w:t>(MSS)</w:t>
      </w:r>
      <w:r w:rsidRPr="005B6D9A">
        <w:rPr>
          <w:rtl/>
        </w:rPr>
        <w:t>. لكن هذا يطرح أيضاً تحديات كبيرة أمام أفرقة إدارة فرق العمل فيما يتعلق بإدارة الفترات الزمنية الضيقة التي تتاح لفرق العمل لأداء أعمالها (عرض هذه المساهمات ومناقشتها، يلي ذلك صياغة وثائق النواتج والنظر فيها والموافقة عليها). من الجدير بالملاحظة كذلك الصعوبة التي تواجهها الإدارات في المشاركة في</w:t>
      </w:r>
      <w:r w:rsidR="00C71EC0">
        <w:rPr>
          <w:rFonts w:hint="cs"/>
          <w:rtl/>
        </w:rPr>
        <w:t> </w:t>
      </w:r>
      <w:r w:rsidRPr="005B6D9A">
        <w:rPr>
          <w:rtl/>
        </w:rPr>
        <w:t>المناقشات الرسمية وغير الرسمية، التي تتمتع بأهمية بالغة في تحقيق التقارب والتوصل إلى حلول توافقية.</w:t>
      </w:r>
    </w:p>
    <w:p w14:paraId="7862EEAC" w14:textId="33408DDB" w:rsidR="00C00628" w:rsidRDefault="005B6D9A" w:rsidP="00311FB9">
      <w:pPr>
        <w:rPr>
          <w:rtl/>
        </w:rPr>
      </w:pPr>
      <w:r w:rsidRPr="005B6D9A">
        <w:rPr>
          <w:rtl/>
        </w:rPr>
        <w:t>ويتواصل العمل في فرقة العمل 4A استجابة</w:t>
      </w:r>
      <w:r w:rsidR="00105C46">
        <w:rPr>
          <w:rFonts w:hint="cs"/>
          <w:rtl/>
        </w:rPr>
        <w:t>ً</w:t>
      </w:r>
      <w:r w:rsidRPr="005B6D9A">
        <w:rPr>
          <w:rtl/>
        </w:rPr>
        <w:t xml:space="preserve"> للقرار ITU-R 74 "</w:t>
      </w:r>
      <w:r w:rsidR="003833F2">
        <w:rPr>
          <w:rFonts w:hint="eastAsia"/>
          <w:rtl/>
        </w:rPr>
        <w:t> </w:t>
      </w:r>
      <w:r w:rsidRPr="003833F2">
        <w:rPr>
          <w:i/>
          <w:iCs/>
          <w:rtl/>
        </w:rPr>
        <w:t xml:space="preserve">الأنشطة </w:t>
      </w:r>
      <w:r w:rsidR="003833F2">
        <w:rPr>
          <w:rFonts w:hint="cs"/>
          <w:i/>
          <w:iCs/>
          <w:rtl/>
        </w:rPr>
        <w:t xml:space="preserve">المتعلقة </w:t>
      </w:r>
      <w:r w:rsidRPr="003833F2">
        <w:rPr>
          <w:i/>
          <w:iCs/>
          <w:rtl/>
        </w:rPr>
        <w:t xml:space="preserve">بالاستعمال المستدام </w:t>
      </w:r>
      <w:r w:rsidR="003833F2">
        <w:rPr>
          <w:rFonts w:hint="cs"/>
          <w:i/>
          <w:iCs/>
          <w:rtl/>
        </w:rPr>
        <w:t xml:space="preserve">للموارد من </w:t>
      </w:r>
      <w:r w:rsidRPr="003833F2">
        <w:rPr>
          <w:i/>
          <w:iCs/>
          <w:rtl/>
        </w:rPr>
        <w:t xml:space="preserve">طيف الترددات الراديوية </w:t>
      </w:r>
      <w:r w:rsidR="003833F2">
        <w:rPr>
          <w:rFonts w:hint="cs"/>
          <w:i/>
          <w:iCs/>
          <w:rtl/>
        </w:rPr>
        <w:t xml:space="preserve">وما يرتبط به من </w:t>
      </w:r>
      <w:r w:rsidRPr="003833F2">
        <w:rPr>
          <w:i/>
          <w:iCs/>
          <w:rtl/>
        </w:rPr>
        <w:t>مدار</w:t>
      </w:r>
      <w:r w:rsidR="003833F2">
        <w:rPr>
          <w:rFonts w:hint="cs"/>
          <w:i/>
          <w:iCs/>
          <w:rtl/>
        </w:rPr>
        <w:t xml:space="preserve">ات </w:t>
      </w:r>
      <w:r w:rsidRPr="003833F2">
        <w:rPr>
          <w:i/>
          <w:iCs/>
          <w:rtl/>
        </w:rPr>
        <w:t>ساتلي</w:t>
      </w:r>
      <w:r w:rsidR="003833F2">
        <w:rPr>
          <w:rFonts w:hint="cs"/>
          <w:i/>
          <w:iCs/>
          <w:rtl/>
        </w:rPr>
        <w:t>ة</w:t>
      </w:r>
      <w:r w:rsidRPr="003833F2">
        <w:rPr>
          <w:i/>
          <w:iCs/>
          <w:rtl/>
        </w:rPr>
        <w:t xml:space="preserve"> تستعملها الخدمات الفضائية</w:t>
      </w:r>
      <w:r w:rsidRPr="005B6D9A">
        <w:rPr>
          <w:rtl/>
        </w:rPr>
        <w:t>"، إلى جانب إحراز تقدم جيد في إعداد كتيب الممارسات الفضلى.</w:t>
      </w:r>
    </w:p>
    <w:p w14:paraId="77AF99E6" w14:textId="41B8E1ED" w:rsidR="005B6D9A" w:rsidRPr="005B6D9A" w:rsidRDefault="005B6D9A" w:rsidP="00311FB9">
      <w:pPr>
        <w:rPr>
          <w:lang w:val="ar-SA" w:bidi="ar-EG"/>
        </w:rPr>
      </w:pPr>
      <w:r w:rsidRPr="005B6D9A">
        <w:rPr>
          <w:rtl/>
        </w:rPr>
        <w:t>وأنجزت فرقة العمل 4B الصيغة النهائية للتوصية الخاصة بمواصفات المكونات الساتلية للاتصالات المتنقلة الدولية</w:t>
      </w:r>
      <w:r w:rsidR="0037680B">
        <w:rPr>
          <w:rtl/>
        </w:rPr>
        <w:noBreakHyphen/>
      </w:r>
      <w:r w:rsidRPr="005B6D9A">
        <w:rPr>
          <w:rtl/>
        </w:rPr>
        <w:t>2020</w:t>
      </w:r>
      <w:r w:rsidR="0037680B">
        <w:rPr>
          <w:rFonts w:hint="cs"/>
          <w:rtl/>
        </w:rPr>
        <w:t> </w:t>
      </w:r>
      <w:r w:rsidRPr="005B6D9A">
        <w:rPr>
          <w:rtl/>
        </w:rPr>
        <w:t>(IMT-2020) التي اعتمدتها لجنة الدراسات 4 في اجتماعها المنعقد في نوفمبر 2025. ويعد هذا إنجازاً بارزاً في الجهود الرامية إلى إدماج المكونات الساتلية والأرضية في النظام الإيكولوجي للاتصالات المتنقلة الدولية-2020.</w:t>
      </w:r>
    </w:p>
    <w:p w14:paraId="26B014ED" w14:textId="22E44332" w:rsidR="005B6D9A" w:rsidRPr="005B6D9A" w:rsidRDefault="005B6D9A" w:rsidP="00311FB9">
      <w:pPr>
        <w:rPr>
          <w:lang w:val="ar-SA" w:bidi="ar-EG"/>
        </w:rPr>
      </w:pPr>
      <w:r w:rsidRPr="005B6D9A">
        <w:rPr>
          <w:rtl/>
        </w:rPr>
        <w:t>وترد في الجدول أعلاه قائمة المخرجات التي أنتجتها لجنة الدراسات 4 لقطاع الاتصالات الراديوية. وبالإضافة إلى ذلك، اتُفق على</w:t>
      </w:r>
      <w:r w:rsidR="00105C46">
        <w:rPr>
          <w:rFonts w:hint="cs"/>
          <w:rtl/>
        </w:rPr>
        <w:t> </w:t>
      </w:r>
      <w:r w:rsidRPr="005B6D9A">
        <w:rPr>
          <w:rtl/>
        </w:rPr>
        <w:t>إلغاء التوصية ITU-R M.632 "</w:t>
      </w:r>
      <w:r w:rsidRPr="003833F2">
        <w:rPr>
          <w:i/>
          <w:iCs/>
          <w:rtl/>
        </w:rPr>
        <w:t xml:space="preserve">خصائص الإرسال لنظام منارات راديوية للاستدلال على موقع الطوارئ </w:t>
      </w:r>
      <w:proofErr w:type="spellStart"/>
      <w:r w:rsidRPr="003833F2">
        <w:rPr>
          <w:i/>
          <w:iCs/>
          <w:rtl/>
        </w:rPr>
        <w:t>بالساتل</w:t>
      </w:r>
      <w:proofErr w:type="spellEnd"/>
      <w:r w:rsidRPr="003833F2">
        <w:rPr>
          <w:i/>
          <w:iCs/>
          <w:rtl/>
        </w:rPr>
        <w:t xml:space="preserve"> (منارات</w:t>
      </w:r>
      <w:r w:rsidR="0037680B">
        <w:rPr>
          <w:rFonts w:hint="cs"/>
          <w:i/>
          <w:iCs/>
          <w:rtl/>
        </w:rPr>
        <w:t> </w:t>
      </w:r>
      <w:r w:rsidRPr="003833F2">
        <w:rPr>
          <w:i/>
          <w:iCs/>
          <w:lang w:bidi="ar-EG"/>
        </w:rPr>
        <w:t>EPIRB</w:t>
      </w:r>
      <w:r w:rsidRPr="003833F2">
        <w:rPr>
          <w:i/>
          <w:iCs/>
          <w:rtl/>
        </w:rPr>
        <w:t xml:space="preserve"> ساتلية) يعمل بواسطة سواتل مستقرة بالنسبة إلى الأرض في النطاق </w:t>
      </w:r>
      <w:r w:rsidR="003833F2">
        <w:rPr>
          <w:i/>
          <w:iCs/>
        </w:rPr>
        <w:t>GHz 1,6</w:t>
      </w:r>
      <w:r w:rsidRPr="005B6D9A">
        <w:rPr>
          <w:rtl/>
        </w:rPr>
        <w:t>".</w:t>
      </w:r>
    </w:p>
    <w:p w14:paraId="4C1F920D" w14:textId="77777777" w:rsidR="005B6D9A" w:rsidRPr="005B6D9A" w:rsidRDefault="005B6D9A" w:rsidP="00311FB9">
      <w:pPr>
        <w:rPr>
          <w:lang w:val="ar-SA" w:bidi="ar-EG"/>
        </w:rPr>
      </w:pPr>
      <w:r w:rsidRPr="005B6D9A">
        <w:rPr>
          <w:rtl/>
        </w:rPr>
        <w:t>ومن المقرر عقد الاجتماعات المقبلة لفرق العمل 4A و4B و4C في الفترة من 22 أبريل إلى 14 مايو 2026. وستجتمع لجنة الدراسات 4 في 15 مايو 2026.</w:t>
      </w:r>
    </w:p>
    <w:p w14:paraId="7232E146" w14:textId="64A324E3" w:rsidR="005B6D9A" w:rsidRPr="003833F2" w:rsidRDefault="003833F2" w:rsidP="003833F2">
      <w:pPr>
        <w:pStyle w:val="Heading2"/>
      </w:pPr>
      <w:r>
        <w:t>5.4</w:t>
      </w:r>
      <w:r w:rsidR="005B6D9A" w:rsidRPr="005B6D9A">
        <w:rPr>
          <w:rtl/>
        </w:rPr>
        <w:tab/>
        <w:t>لجنة الدراسات 5</w:t>
      </w:r>
    </w:p>
    <w:p w14:paraId="24F9317E" w14:textId="1C2E0BA9" w:rsidR="005B6D9A" w:rsidRPr="005B6D9A" w:rsidRDefault="005B6D9A" w:rsidP="00311FB9">
      <w:pPr>
        <w:rPr>
          <w:lang w:val="ar-SA" w:bidi="ar-EG"/>
        </w:rPr>
      </w:pPr>
      <w:r w:rsidRPr="005B6D9A">
        <w:rPr>
          <w:rtl/>
        </w:rPr>
        <w:t xml:space="preserve">واصلت لجنة الدراسات 5 دراساتها المتعلقة بأنظمة وشبكات الخدمة الثابتة، والخدمة المتنقلة، (للأرض والبحرية وللطيران)، وخدمة الاستدلال الراديوي، (بما في ذلك التحديد الراديوي للموقع والملاحة الراديوية)، وخدمة الهواة وخدمة الهواة الساتلية، مما يرسي الأسس اللازمة لمواصلة تطوير كل هذه الخدمات، بما فيها الاتصالات المتنقلة الدولية </w:t>
      </w:r>
      <w:r w:rsidRPr="005B6D9A">
        <w:rPr>
          <w:lang w:bidi="ar-EG"/>
        </w:rPr>
        <w:t>(IMT)</w:t>
      </w:r>
      <w:r w:rsidRPr="005B6D9A">
        <w:rPr>
          <w:rtl/>
        </w:rPr>
        <w:t xml:space="preserve"> وأنظمة المنصات عالية الارتفاع </w:t>
      </w:r>
      <w:r w:rsidRPr="005B6D9A">
        <w:rPr>
          <w:lang w:bidi="ar-EG"/>
        </w:rPr>
        <w:t>(HAPS)</w:t>
      </w:r>
      <w:r w:rsidR="00105C46">
        <w:rPr>
          <w:rFonts w:hint="cs"/>
          <w:rtl/>
          <w:lang w:bidi="ar-EG"/>
        </w:rPr>
        <w:t>/</w:t>
      </w:r>
      <w:r w:rsidRPr="005B6D9A">
        <w:rPr>
          <w:rtl/>
        </w:rPr>
        <w:t xml:space="preserve">محطات قاعدة الاتصالات المتنقلة الدولية </w:t>
      </w:r>
      <w:r w:rsidRPr="005B6D9A">
        <w:rPr>
          <w:lang w:bidi="ar-EG"/>
        </w:rPr>
        <w:t>(HIBS)</w:t>
      </w:r>
      <w:r w:rsidRPr="005B6D9A">
        <w:rPr>
          <w:rtl/>
        </w:rPr>
        <w:t xml:space="preserve"> وأنظمة النقل الذكية </w:t>
      </w:r>
      <w:r w:rsidRPr="005B6D9A">
        <w:rPr>
          <w:lang w:bidi="ar-EG"/>
        </w:rPr>
        <w:t>(ITS)</w:t>
      </w:r>
      <w:r w:rsidRPr="005B6D9A">
        <w:rPr>
          <w:rtl/>
        </w:rPr>
        <w:t xml:space="preserve"> وخدمات حماية الجمهور والإغاثة في حالات الكوارث </w:t>
      </w:r>
      <w:r w:rsidRPr="005B6D9A">
        <w:rPr>
          <w:lang w:bidi="ar-EG"/>
        </w:rPr>
        <w:t>(PPDR)</w:t>
      </w:r>
      <w:r w:rsidRPr="005B6D9A">
        <w:rPr>
          <w:rtl/>
        </w:rPr>
        <w:t>.</w:t>
      </w:r>
    </w:p>
    <w:p w14:paraId="06EC7A61" w14:textId="5C7D1594" w:rsidR="005B6D9A" w:rsidRPr="005B6D9A" w:rsidRDefault="005B6D9A" w:rsidP="00311FB9">
      <w:pPr>
        <w:rPr>
          <w:lang w:val="ar-SA" w:bidi="ar-EG"/>
        </w:rPr>
      </w:pPr>
      <w:r w:rsidRPr="005B6D9A">
        <w:rPr>
          <w:rtl/>
        </w:rPr>
        <w:t>واجتمعت فرق العمل 5A و5B و5C مرتين في جنيف في مايو ونوفمبر 2025، بينما اجتمعت فرقة العمل 5D ثلاث مرات في</w:t>
      </w:r>
      <w:r w:rsidR="00C71EC0">
        <w:rPr>
          <w:rFonts w:hint="cs"/>
          <w:rtl/>
        </w:rPr>
        <w:t> </w:t>
      </w:r>
      <w:r w:rsidRPr="005B6D9A">
        <w:rPr>
          <w:rtl/>
        </w:rPr>
        <w:t>فبراير وأكتوبر 2025 في جنيف، ويونيو 2025 في كوبي بناءً على دعوة كريمة من الإدارة اليابانية.</w:t>
      </w:r>
    </w:p>
    <w:p w14:paraId="391F9948" w14:textId="227432ED" w:rsidR="005B6D9A" w:rsidRPr="00C71EC0" w:rsidRDefault="005B6D9A" w:rsidP="00311FB9">
      <w:pPr>
        <w:rPr>
          <w:spacing w:val="-2"/>
          <w:lang w:val="ar-SA" w:bidi="ar-EG"/>
        </w:rPr>
      </w:pPr>
      <w:r w:rsidRPr="00C71EC0">
        <w:rPr>
          <w:spacing w:val="-2"/>
          <w:rtl/>
        </w:rPr>
        <w:t xml:space="preserve">وأعدت فرقة العمل 5A مراجعة لـ "كتيب خدمة الهواة وخدمة الهواة الساتلية"، ووافقت عليها لجنة الدراسات 5 في ديسمبر 2025، لتحل محل الطبعة السابقة التي نُشرت في عام 2014 (انظر </w:t>
      </w:r>
      <w:hyperlink r:id="rId94" w:history="1">
        <w:r w:rsidRPr="00C71EC0">
          <w:rPr>
            <w:rStyle w:val="Hyperlink"/>
            <w:spacing w:val="-2"/>
            <w:rtl/>
          </w:rPr>
          <w:t>هنا</w:t>
        </w:r>
      </w:hyperlink>
      <w:r w:rsidRPr="00C71EC0">
        <w:rPr>
          <w:spacing w:val="-2"/>
          <w:rtl/>
        </w:rPr>
        <w:t>).</w:t>
      </w:r>
    </w:p>
    <w:p w14:paraId="0C4821EC" w14:textId="5E1AD31B" w:rsidR="005B6D9A" w:rsidRPr="005B6D9A" w:rsidRDefault="005B6D9A" w:rsidP="00311FB9">
      <w:pPr>
        <w:rPr>
          <w:lang w:val="ar-SA" w:bidi="ar-EG"/>
        </w:rPr>
      </w:pPr>
      <w:r w:rsidRPr="005B6D9A">
        <w:rPr>
          <w:rtl/>
        </w:rPr>
        <w:t xml:space="preserve">وأعدت فرقة العمل 5B مشروع توصية جديدة، وخمسة مشاريع مراجعة توصيات، ومشروع تقرير جديد. وقد وافقت لجنة الدراسات 5 على هذه النواتج/اعتمدتها في اجتماعها الثالث والعشرين (جنيف، 1-2 ديسمبر 2025) وأُبلغ الأعضاء بها حسب الاقتضاء، في </w:t>
      </w:r>
      <w:r w:rsidR="005341FF">
        <w:rPr>
          <w:rFonts w:hint="cs"/>
          <w:rtl/>
        </w:rPr>
        <w:t xml:space="preserve">الرسالتين </w:t>
      </w:r>
      <w:r w:rsidR="00677FD2">
        <w:rPr>
          <w:rFonts w:hint="cs"/>
          <w:rtl/>
        </w:rPr>
        <w:t xml:space="preserve">الإداريتين المعممتين </w:t>
      </w:r>
      <w:hyperlink r:id="rId95" w:history="1">
        <w:r w:rsidR="00FE284E" w:rsidRPr="00A332D3">
          <w:rPr>
            <w:rStyle w:val="Hyperlink"/>
          </w:rPr>
          <w:t>CACE/1165</w:t>
        </w:r>
      </w:hyperlink>
      <w:r w:rsidRPr="005B6D9A">
        <w:rPr>
          <w:rtl/>
        </w:rPr>
        <w:t xml:space="preserve"> و</w:t>
      </w:r>
      <w:hyperlink r:id="rId96" w:history="1">
        <w:r w:rsidR="00FE284E" w:rsidRPr="00A332D3">
          <w:rPr>
            <w:rStyle w:val="Hyperlink"/>
          </w:rPr>
          <w:t>CACE/1168</w:t>
        </w:r>
      </w:hyperlink>
      <w:r w:rsidRPr="005B6D9A">
        <w:rPr>
          <w:rtl/>
        </w:rPr>
        <w:t>.</w:t>
      </w:r>
    </w:p>
    <w:p w14:paraId="464A0824" w14:textId="65F49B88" w:rsidR="005B6D9A" w:rsidRPr="005B6D9A" w:rsidRDefault="005B6D9A" w:rsidP="00311FB9">
      <w:pPr>
        <w:rPr>
          <w:lang w:val="ar-SA" w:bidi="ar-EG"/>
        </w:rPr>
      </w:pPr>
      <w:r w:rsidRPr="005B6D9A">
        <w:rPr>
          <w:rtl/>
        </w:rPr>
        <w:t xml:space="preserve">وفي إطار أنشطة فرقة العمل 5C، نظمت </w:t>
      </w:r>
      <w:hyperlink r:id="rId97" w:history="1">
        <w:r w:rsidRPr="00FE284E">
          <w:rPr>
            <w:rStyle w:val="Hyperlink"/>
            <w:rtl/>
          </w:rPr>
          <w:t>ورشة عمل بشأن "الأنظمة اللاسلكية الثابتة: التكنولوجيا والتنظيم والتنفيذ والتنمية المستقبلية"</w:t>
        </w:r>
      </w:hyperlink>
      <w:r w:rsidRPr="005B6D9A">
        <w:rPr>
          <w:rtl/>
        </w:rPr>
        <w:t xml:space="preserve"> في 21 نوفمبر 2025. وكان الهدف من ورشة العمل هو إتاحة منصة لتبادل المعلومات ومناقشتها، وطرح نظرة عامة عن التكنولوجيا، والمساعدة في فهم اللوائح التنظيمية وأعمال التنفيذ والأنشطة والمبادرات الجارية على مستوى العالم فيما يتعلق بالأنظمة اللاسلكية الثابتة </w:t>
      </w:r>
      <w:r w:rsidRPr="005B6D9A">
        <w:rPr>
          <w:lang w:bidi="ar-EG"/>
        </w:rPr>
        <w:t>(FWS)</w:t>
      </w:r>
      <w:r w:rsidRPr="005B6D9A">
        <w:rPr>
          <w:rtl/>
        </w:rPr>
        <w:t>، فضلاً عن جهود تنميتها في المستقبل.</w:t>
      </w:r>
    </w:p>
    <w:p w14:paraId="212729C4" w14:textId="4A10F02A" w:rsidR="005B6D9A" w:rsidRPr="00144257" w:rsidRDefault="005B6D9A" w:rsidP="00311FB9">
      <w:pPr>
        <w:rPr>
          <w:spacing w:val="-2"/>
          <w:lang w:val="ar-SA" w:bidi="ar-EG"/>
        </w:rPr>
      </w:pPr>
      <w:r w:rsidRPr="00144257">
        <w:rPr>
          <w:spacing w:val="-2"/>
          <w:rtl/>
        </w:rPr>
        <w:lastRenderedPageBreak/>
        <w:t>وفي إطار تنمية الاتصالات المتنقلة الدولية-2030 (IMT-2030)، وافقت فرقة العمل 5D على تقرير المرحلة الذي يحتوي على "</w:t>
      </w:r>
      <w:r w:rsidR="00144257" w:rsidRPr="00144257">
        <w:rPr>
          <w:spacing w:val="-2"/>
        </w:rPr>
        <w:t> </w:t>
      </w:r>
      <w:r w:rsidRPr="00144257">
        <w:rPr>
          <w:i/>
          <w:iCs/>
          <w:spacing w:val="-2"/>
          <w:rtl/>
        </w:rPr>
        <w:t>المتطلبات الدنيا المتصلة بالأداء التقني للسطح البيني الراديوي (السطوح البينية الراديوية) للاتصالات المتنقلة الدولية-2030</w:t>
      </w:r>
      <w:r w:rsidRPr="00144257">
        <w:rPr>
          <w:spacing w:val="-2"/>
          <w:rtl/>
        </w:rPr>
        <w:t xml:space="preserve">" في 12 فبراير 2026، الذي أحيل إلى لجنة الدراسات 5 (انظر الوثيقة </w:t>
      </w:r>
      <w:hyperlink r:id="rId98" w:history="1">
        <w:r w:rsidR="00144257" w:rsidRPr="00144257">
          <w:rPr>
            <w:rStyle w:val="Hyperlink"/>
            <w:spacing w:val="-2"/>
          </w:rPr>
          <w:t>5/116</w:t>
        </w:r>
      </w:hyperlink>
      <w:r w:rsidRPr="00144257">
        <w:rPr>
          <w:spacing w:val="-2"/>
          <w:rtl/>
        </w:rPr>
        <w:t>) للنظر فيه في نوفمبر/ديسمبر 2026.</w:t>
      </w:r>
    </w:p>
    <w:p w14:paraId="767A1220" w14:textId="488B47F0" w:rsidR="005B6D9A" w:rsidRPr="005B6D9A" w:rsidRDefault="005B6D9A" w:rsidP="00311FB9">
      <w:pPr>
        <w:rPr>
          <w:lang w:val="ar-SA" w:bidi="ar-EG"/>
        </w:rPr>
      </w:pPr>
      <w:r w:rsidRPr="005B6D9A">
        <w:rPr>
          <w:rtl/>
        </w:rPr>
        <w:t>وقد قدِّم اقتراح بإعادة ترتيب أقسام الديباجة داخل توصيات قطاع الاتصالات الراديوية، في عدد محدود من الاجتماعات. وفي</w:t>
      </w:r>
      <w:r w:rsidR="00C71EC0">
        <w:rPr>
          <w:rFonts w:hint="cs"/>
          <w:rtl/>
        </w:rPr>
        <w:t> </w:t>
      </w:r>
      <w:r w:rsidRPr="005B6D9A">
        <w:rPr>
          <w:rtl/>
        </w:rPr>
        <w:t xml:space="preserve">الوقت الراهن، يرد ترتيب أقسام الديباجة في </w:t>
      </w:r>
      <w:hyperlink r:id="rId99" w:history="1">
        <w:r w:rsidRPr="00B85542">
          <w:rPr>
            <w:rStyle w:val="Hyperlink"/>
            <w:rtl/>
          </w:rPr>
          <w:t>النسق العام الإلزامي</w:t>
        </w:r>
      </w:hyperlink>
      <w:r w:rsidRPr="005B6D9A">
        <w:rPr>
          <w:rtl/>
        </w:rPr>
        <w:t xml:space="preserve"> لتوصيات قطاع الاتصالات الراديوية.</w:t>
      </w:r>
    </w:p>
    <w:p w14:paraId="4416523B" w14:textId="77777777" w:rsidR="005B6D9A" w:rsidRPr="005B6D9A" w:rsidRDefault="005B6D9A" w:rsidP="00311FB9">
      <w:pPr>
        <w:rPr>
          <w:lang w:val="ar-SA" w:bidi="ar-EG"/>
        </w:rPr>
      </w:pPr>
      <w:r w:rsidRPr="005B6D9A">
        <w:rPr>
          <w:rtl/>
        </w:rPr>
        <w:t>تقرر عقد الاجتماع التالي لفريق العمل 5D في الفترة من 3 إلى 12 فبراير 2026. وستجتمع فرق العمل 5A و5B و5C في الفترة من 18 إلى 26 مايو 2026. وستجتمع لجنة الدراسات 5 يومي 30 نوفمبر و1 ديسمبر 2026.</w:t>
      </w:r>
    </w:p>
    <w:p w14:paraId="275D7DF9" w14:textId="4F8AC54F" w:rsidR="005B6D9A" w:rsidRPr="005B37C0" w:rsidRDefault="005B37C0" w:rsidP="005B37C0">
      <w:pPr>
        <w:pStyle w:val="Heading2"/>
      </w:pPr>
      <w:r>
        <w:t>6.4</w:t>
      </w:r>
      <w:r w:rsidR="005B6D9A" w:rsidRPr="005B6D9A">
        <w:rPr>
          <w:rtl/>
        </w:rPr>
        <w:tab/>
        <w:t>لجنة الدراسات 6</w:t>
      </w:r>
    </w:p>
    <w:p w14:paraId="48B67972" w14:textId="77777777" w:rsidR="005B6D9A" w:rsidRPr="005B37C0" w:rsidRDefault="005B6D9A" w:rsidP="00311FB9">
      <w:pPr>
        <w:rPr>
          <w:spacing w:val="-2"/>
          <w:lang w:val="ar-SA" w:bidi="ar-EG"/>
        </w:rPr>
      </w:pPr>
      <w:r w:rsidRPr="005B37C0">
        <w:rPr>
          <w:spacing w:val="-2"/>
          <w:rtl/>
        </w:rPr>
        <w:t xml:space="preserve">تواصل لجنة الدراسات 6 دراساتها المتعلقة بالإذاعة بالاتصالات الراديوية، لا سيما المواضيع الناشئة التي تشمل التكنولوجيات المتقدمة من أجل الإذاعة الرقمية الأرضية، والمنصة العالمية للخدمة الإذاعية، والتلفزيون ذي المدى الدينامي الواسع </w:t>
      </w:r>
      <w:r w:rsidRPr="005B37C0">
        <w:rPr>
          <w:spacing w:val="-2"/>
          <w:lang w:bidi="ar-EG"/>
        </w:rPr>
        <w:t>(HDR-TV)</w:t>
      </w:r>
      <w:r w:rsidRPr="005B37C0">
        <w:rPr>
          <w:spacing w:val="-2"/>
          <w:rtl/>
        </w:rPr>
        <w:t xml:space="preserve">، والأنظمة المتكاملة للإذاعة والنطاق العريض </w:t>
      </w:r>
      <w:r w:rsidRPr="005B37C0">
        <w:rPr>
          <w:spacing w:val="-2"/>
          <w:lang w:bidi="ar-EG"/>
        </w:rPr>
        <w:t>(IBB)</w:t>
      </w:r>
      <w:r w:rsidRPr="005B37C0">
        <w:rPr>
          <w:spacing w:val="-2"/>
          <w:rtl/>
        </w:rPr>
        <w:t xml:space="preserve">، وأجهزة الكودك السمعية والفيديوية من أجل الإذاعة الرقمية، والأنظمة السمعية البصرية المتقدمة الغامرة </w:t>
      </w:r>
      <w:r w:rsidRPr="005B37C0">
        <w:rPr>
          <w:spacing w:val="-2"/>
          <w:lang w:bidi="ar-EG"/>
        </w:rPr>
        <w:t>(AIAV)</w:t>
      </w:r>
      <w:r w:rsidRPr="005B37C0">
        <w:rPr>
          <w:spacing w:val="-2"/>
          <w:rtl/>
        </w:rPr>
        <w:t xml:space="preserve"> ومواصفات العارض للأنظمة الصوتية المتقدمة، وتطبيق الذكاء الاصطناعي من أجل الإذاعة، وإمكانية النفاذ إلى الوسائط السمعية البصرية </w:t>
      </w:r>
      <w:r w:rsidRPr="005B37C0">
        <w:rPr>
          <w:spacing w:val="-2"/>
          <w:lang w:bidi="ar-EG"/>
        </w:rPr>
        <w:t>(AVA)</w:t>
      </w:r>
      <w:r w:rsidRPr="005B37C0">
        <w:rPr>
          <w:spacing w:val="-2"/>
          <w:rtl/>
        </w:rPr>
        <w:t>.</w:t>
      </w:r>
    </w:p>
    <w:p w14:paraId="1B5DE8E7" w14:textId="03A2A757" w:rsidR="005B6D9A" w:rsidRPr="005B6D9A" w:rsidRDefault="005B6D9A" w:rsidP="00311FB9">
      <w:pPr>
        <w:rPr>
          <w:lang w:val="ar-SA" w:bidi="ar-EG"/>
        </w:rPr>
      </w:pPr>
      <w:r w:rsidRPr="005B6D9A">
        <w:rPr>
          <w:rtl/>
        </w:rPr>
        <w:t>وتعمل لجنة الدراسات 6 أيضاً بنشاط على تنسيق الأعمال ذات الاهتمام المشترك مع لجنتي الدراسات 21 و12 لقطاع تقييس الاتصالات من خلال فريق المقر</w:t>
      </w:r>
      <w:r w:rsidR="00871E9F">
        <w:rPr>
          <w:rFonts w:hint="cs"/>
          <w:rtl/>
        </w:rPr>
        <w:t>ِّ</w:t>
      </w:r>
      <w:r w:rsidRPr="005B6D9A">
        <w:rPr>
          <w:rtl/>
        </w:rPr>
        <w:t xml:space="preserve">ر المشترك بين القطاعات </w:t>
      </w:r>
      <w:r w:rsidRPr="005B6D9A">
        <w:rPr>
          <w:lang w:bidi="ar-EG"/>
        </w:rPr>
        <w:t>(IRG)</w:t>
      </w:r>
      <w:r w:rsidRPr="005B6D9A">
        <w:rPr>
          <w:rtl/>
        </w:rPr>
        <w:t xml:space="preserve"> المعني بإمكانية النفاذ السمعي البصري </w:t>
      </w:r>
      <w:r w:rsidRPr="005B6D9A">
        <w:rPr>
          <w:lang w:bidi="ar-EG"/>
        </w:rPr>
        <w:t>(IRG-AVA)</w:t>
      </w:r>
      <w:r w:rsidRPr="005B6D9A">
        <w:rPr>
          <w:rtl/>
        </w:rPr>
        <w:t>، وفريق المقر</w:t>
      </w:r>
      <w:r w:rsidR="00871E9F">
        <w:rPr>
          <w:rFonts w:hint="cs"/>
          <w:rtl/>
        </w:rPr>
        <w:t>ِّ</w:t>
      </w:r>
      <w:r w:rsidRPr="005B6D9A">
        <w:rPr>
          <w:rtl/>
        </w:rPr>
        <w:t xml:space="preserve">ر المشترك بين القطاعات المعني بتقييم الجودة السمعية البصرية </w:t>
      </w:r>
      <w:r w:rsidRPr="005B6D9A">
        <w:rPr>
          <w:lang w:bidi="ar-EG"/>
        </w:rPr>
        <w:t>(IRG-AVQA)</w:t>
      </w:r>
      <w:r w:rsidRPr="005B6D9A">
        <w:rPr>
          <w:rtl/>
        </w:rPr>
        <w:t xml:space="preserve"> على التوالي.</w:t>
      </w:r>
    </w:p>
    <w:p w14:paraId="7CBC9B43" w14:textId="77777777" w:rsidR="005B6D9A" w:rsidRPr="005B6D9A" w:rsidRDefault="005B6D9A" w:rsidP="00311FB9">
      <w:pPr>
        <w:rPr>
          <w:lang w:val="ar-SA" w:bidi="ar-EG"/>
        </w:rPr>
      </w:pPr>
      <w:r w:rsidRPr="005B6D9A">
        <w:rPr>
          <w:rtl/>
        </w:rPr>
        <w:t>وتدرك لجنة الدراسات 6 لقطاع الاتصالات الراديوية التحديات التي تواجهها بسبب التداخل في الدراسات بين قطاع تنمية الاتصالات وقطاع الاتصالات الراديوية وقطاع تقييس الاتصالات، وتضطلع بدور نشط في فريق التنسيق المشترك بين القطاعات.</w:t>
      </w:r>
    </w:p>
    <w:p w14:paraId="6A9D6621" w14:textId="77777777" w:rsidR="005B6D9A" w:rsidRPr="005B6D9A" w:rsidRDefault="005B6D9A" w:rsidP="00311FB9">
      <w:pPr>
        <w:rPr>
          <w:lang w:val="ar-SA" w:bidi="ar-EG"/>
        </w:rPr>
      </w:pPr>
      <w:r w:rsidRPr="005B6D9A">
        <w:rPr>
          <w:rtl/>
        </w:rPr>
        <w:t>وترد في الجدول أعلاه قائمة المخرجات التي أنتجتها لجنة الدراسات 6 لقطاع الاتصالات الراديوية. وقد جرى تحديث صياغة توصية واحدة كذلك.</w:t>
      </w:r>
    </w:p>
    <w:p w14:paraId="3363E584" w14:textId="77777777" w:rsidR="005B6D9A" w:rsidRPr="005B6D9A" w:rsidRDefault="005B6D9A" w:rsidP="00311FB9">
      <w:pPr>
        <w:rPr>
          <w:lang w:val="ar-SA" w:bidi="ar-EG"/>
        </w:rPr>
      </w:pPr>
      <w:bookmarkStart w:id="5" w:name="_Toc445972797"/>
      <w:r w:rsidRPr="005B6D9A">
        <w:rPr>
          <w:rtl/>
        </w:rPr>
        <w:t>ونظراً لعدم قدرة السيد "تياغو سواريس" على مواصلة مهامه كرئيس للجنة الدراسات 6 اعتباراً من مايو 2025، انتُخب السيد "باولو لازاريني" رئيساً جديداً في اجتماع لجنة الدراسات 6 المنعقد في سبتمبر 2025، وفقاً للمادة 20 من اتفاقية الاتحاد. وترتب على ذلك شغور منصب نائب الرئيس. وعليه، فقد انتخبت لجنة الدراسات 6 السيد "باولو إدواردو دوس ريس كاردوسو" (البرازيل) نائباً جديداً للرئيس.</w:t>
      </w:r>
    </w:p>
    <w:p w14:paraId="1A68D784" w14:textId="7AF79CD6" w:rsidR="005B6D9A" w:rsidRPr="005B6D9A" w:rsidRDefault="005B6D9A" w:rsidP="00311FB9">
      <w:pPr>
        <w:rPr>
          <w:lang w:val="ar-SA" w:bidi="ar-EG"/>
        </w:rPr>
      </w:pPr>
      <w:r w:rsidRPr="005B6D9A">
        <w:rPr>
          <w:rtl/>
        </w:rPr>
        <w:t>ومن المقرر عقد اجتماعات فرق العمل ‎6A ‏و‎6B ‏و‎6C في الفترة من 16 إلى 26 مارس 2026، على أن يليها اجتماع لجنة الدراسات</w:t>
      </w:r>
      <w:r w:rsidR="00C71EC0">
        <w:rPr>
          <w:rFonts w:hint="cs"/>
          <w:rtl/>
        </w:rPr>
        <w:t> </w:t>
      </w:r>
      <w:r w:rsidRPr="005B6D9A">
        <w:rPr>
          <w:rtl/>
        </w:rPr>
        <w:t>6 في 27 مارس 2026.</w:t>
      </w:r>
    </w:p>
    <w:p w14:paraId="43209F45" w14:textId="459D71B0" w:rsidR="005B6D9A" w:rsidRPr="00F21B2B" w:rsidRDefault="00F21B2B" w:rsidP="00F21B2B">
      <w:pPr>
        <w:pStyle w:val="Heading2"/>
      </w:pPr>
      <w:r>
        <w:t>7.4</w:t>
      </w:r>
      <w:r w:rsidR="005B6D9A" w:rsidRPr="005B6D9A">
        <w:rPr>
          <w:rtl/>
        </w:rPr>
        <w:tab/>
        <w:t>لجنة الدراسات 7</w:t>
      </w:r>
      <w:bookmarkEnd w:id="5"/>
    </w:p>
    <w:p w14:paraId="558AFC5F" w14:textId="2E92E627" w:rsidR="005B6D9A" w:rsidRPr="005B6D9A" w:rsidRDefault="005B6D9A" w:rsidP="00311FB9">
      <w:pPr>
        <w:rPr>
          <w:lang w:val="ar-SA" w:bidi="ar-EG"/>
        </w:rPr>
      </w:pPr>
      <w:r w:rsidRPr="005B6D9A">
        <w:rPr>
          <w:rtl/>
        </w:rPr>
        <w:t xml:space="preserve">تواصل لجنة الدراسات 7 وضع توصيات قطاع الاتصالات الراديوية وتقاريره وكتيباته التي تستعمل في تطوير، وضمان تشغيل خالٍ من التداخل، لأنظمة العمليات الفضائية </w:t>
      </w:r>
      <w:r w:rsidR="00871E9F">
        <w:rPr>
          <w:rFonts w:hint="cs"/>
          <w:rtl/>
        </w:rPr>
        <w:t xml:space="preserve">والأبحاث الفضائية </w:t>
      </w:r>
      <w:r w:rsidRPr="005B6D9A">
        <w:rPr>
          <w:rtl/>
        </w:rPr>
        <w:t>واستكشاف الأرض والأرصاد الجوية (وما يرتبط بذلك من استعمال للوصلات في</w:t>
      </w:r>
      <w:r w:rsidR="00C71EC0">
        <w:rPr>
          <w:rFonts w:hint="cs"/>
          <w:rtl/>
        </w:rPr>
        <w:t> </w:t>
      </w:r>
      <w:r w:rsidRPr="005B6D9A">
        <w:rPr>
          <w:rtl/>
        </w:rPr>
        <w:t>خدمة ما بين السواتل) والفلك الراديوي والفلك الراداري؛ ولنشر واستقبال وتنسيق خدمات الترددات المعيارية وإشارات التوقيت (بما في ذلك تطبيق التقنيات الساتلية) على الصعيد العالمي. وتدرس اللجنة كذلك أنظمة الاتصالات التي تُستعمل مع</w:t>
      </w:r>
      <w:r w:rsidR="00C71EC0">
        <w:rPr>
          <w:rFonts w:hint="cs"/>
          <w:rtl/>
        </w:rPr>
        <w:t> </w:t>
      </w:r>
      <w:r w:rsidRPr="005B6D9A">
        <w:rPr>
          <w:rtl/>
        </w:rPr>
        <w:t>مركبات فضائية مأهولة وغير مأهولة، ووصلات الاتصالات بين الكواكب، واستعمال سواتل ترحيل البيانات.</w:t>
      </w:r>
    </w:p>
    <w:p w14:paraId="5000AE57" w14:textId="77777777" w:rsidR="005B6D9A" w:rsidRPr="005B6D9A" w:rsidRDefault="005B6D9A" w:rsidP="00311FB9">
      <w:pPr>
        <w:rPr>
          <w:lang w:val="ar-SA" w:bidi="ar-EG"/>
        </w:rPr>
      </w:pPr>
      <w:r w:rsidRPr="005B6D9A">
        <w:rPr>
          <w:rtl/>
        </w:rPr>
        <w:t>وتُستعمل الأنظمة التي تتناولها لجنة الدراسات 7 في أنشطة تشكل جزءاً هاماً من حياتنا اليومية مثل:</w:t>
      </w:r>
    </w:p>
    <w:p w14:paraId="452D13AD" w14:textId="68A64447" w:rsidR="005B6D9A" w:rsidRPr="005B6D9A" w:rsidRDefault="00F21B2B" w:rsidP="00F21B2B">
      <w:pPr>
        <w:pStyle w:val="enumlev1"/>
        <w:rPr>
          <w:lang w:val="ar-SA" w:bidi="ar-EG"/>
        </w:rPr>
      </w:pPr>
      <w:r>
        <w:rPr>
          <w:rFonts w:hint="cs"/>
          <w:rtl/>
          <w:lang w:bidi="ar-EG"/>
        </w:rPr>
        <w:t>-</w:t>
      </w:r>
      <w:r w:rsidR="005B6D9A" w:rsidRPr="005B6D9A">
        <w:rPr>
          <w:rtl/>
        </w:rPr>
        <w:tab/>
        <w:t>تعريف ونشر التوقيت العالمي المنسق؛</w:t>
      </w:r>
    </w:p>
    <w:p w14:paraId="6D58A60B" w14:textId="181D0CF4" w:rsidR="005B6D9A" w:rsidRPr="005B6D9A" w:rsidRDefault="00F21B2B" w:rsidP="00F21B2B">
      <w:pPr>
        <w:pStyle w:val="enumlev1"/>
        <w:rPr>
          <w:lang w:val="ar-SA" w:bidi="ar-EG"/>
        </w:rPr>
      </w:pPr>
      <w:r>
        <w:rPr>
          <w:rFonts w:hint="cs"/>
          <w:rtl/>
          <w:lang w:bidi="ar-EG"/>
        </w:rPr>
        <w:t>-</w:t>
      </w:r>
      <w:r w:rsidR="005B6D9A" w:rsidRPr="005B6D9A">
        <w:rPr>
          <w:rtl/>
        </w:rPr>
        <w:tab/>
        <w:t>مراقبة البيئة العالمية - الغلاف الجوي (بما في ذلك انبعاثات غازات الاحتباس الحراري) والمحيطات واليابسة والكتلة الأحيائية، وما إلى ذلك؛</w:t>
      </w:r>
    </w:p>
    <w:p w14:paraId="7CE6D7CC" w14:textId="240C4A4B" w:rsidR="005B6D9A" w:rsidRPr="005B6D9A" w:rsidRDefault="00F21B2B" w:rsidP="00F21B2B">
      <w:pPr>
        <w:pStyle w:val="enumlev1"/>
        <w:rPr>
          <w:lang w:val="ar-SA" w:bidi="ar-EG"/>
        </w:rPr>
      </w:pPr>
      <w:r>
        <w:rPr>
          <w:rFonts w:hint="cs"/>
          <w:rtl/>
          <w:lang w:bidi="ar-EG"/>
        </w:rPr>
        <w:t>-</w:t>
      </w:r>
      <w:r w:rsidR="005B6D9A" w:rsidRPr="005B6D9A">
        <w:rPr>
          <w:rtl/>
        </w:rPr>
        <w:tab/>
        <w:t>التنبؤات الجوية ومراقبة تغير المناخ والتنبؤ به؛</w:t>
      </w:r>
    </w:p>
    <w:p w14:paraId="3EF1AB37" w14:textId="17DC8835" w:rsidR="005B6D9A" w:rsidRPr="005B6D9A" w:rsidRDefault="00F21B2B" w:rsidP="00F21B2B">
      <w:pPr>
        <w:pStyle w:val="enumlev1"/>
        <w:rPr>
          <w:lang w:val="ar-SA" w:bidi="ar-EG"/>
        </w:rPr>
      </w:pPr>
      <w:r>
        <w:rPr>
          <w:rFonts w:hint="cs"/>
          <w:rtl/>
          <w:lang w:bidi="ar-EG"/>
        </w:rPr>
        <w:t>-</w:t>
      </w:r>
      <w:r w:rsidR="005B6D9A" w:rsidRPr="005B6D9A">
        <w:rPr>
          <w:rtl/>
        </w:rPr>
        <w:tab/>
        <w:t>الكشف عن الكثير من الكوارث الطبيعية والاصطناعية (الزلازل وموجات تسونامي والأعاصير وحرائق الغابات والتسربات النفطية وغيرها) وتتبعها؛</w:t>
      </w:r>
    </w:p>
    <w:p w14:paraId="58422B6E" w14:textId="48849A19" w:rsidR="005B6D9A" w:rsidRPr="005B6D9A" w:rsidRDefault="00F21B2B" w:rsidP="00F21B2B">
      <w:pPr>
        <w:pStyle w:val="enumlev1"/>
        <w:rPr>
          <w:lang w:val="ar-SA" w:bidi="ar-EG"/>
        </w:rPr>
      </w:pPr>
      <w:r>
        <w:rPr>
          <w:rFonts w:hint="cs"/>
          <w:rtl/>
          <w:lang w:bidi="ar-EG"/>
        </w:rPr>
        <w:t>-</w:t>
      </w:r>
      <w:r w:rsidR="005B6D9A" w:rsidRPr="005B6D9A">
        <w:rPr>
          <w:rtl/>
        </w:rPr>
        <w:tab/>
        <w:t>توفير معلومات الإنذار/التحذير؛</w:t>
      </w:r>
    </w:p>
    <w:p w14:paraId="7D88FB9D" w14:textId="2481DB4B" w:rsidR="005B6D9A" w:rsidRPr="005B6D9A" w:rsidRDefault="00F21B2B" w:rsidP="00F21B2B">
      <w:pPr>
        <w:pStyle w:val="enumlev1"/>
        <w:rPr>
          <w:lang w:val="ar-SA" w:bidi="ar-EG"/>
        </w:rPr>
      </w:pPr>
      <w:r>
        <w:rPr>
          <w:rFonts w:hint="cs"/>
          <w:rtl/>
          <w:lang w:bidi="ar-EG"/>
        </w:rPr>
        <w:lastRenderedPageBreak/>
        <w:t>-</w:t>
      </w:r>
      <w:r w:rsidR="005B6D9A" w:rsidRPr="005B6D9A">
        <w:rPr>
          <w:rtl/>
        </w:rPr>
        <w:tab/>
        <w:t>تقييم الأضرار وتخطيط عمليات الإغاثة؛</w:t>
      </w:r>
    </w:p>
    <w:p w14:paraId="0B29C261" w14:textId="71ADE4E1" w:rsidR="005B6D9A" w:rsidRPr="005B6D9A" w:rsidRDefault="00F21B2B" w:rsidP="00F21B2B">
      <w:pPr>
        <w:pStyle w:val="enumlev1"/>
        <w:rPr>
          <w:lang w:val="ar-SA" w:bidi="ar-EG"/>
        </w:rPr>
      </w:pPr>
      <w:r>
        <w:rPr>
          <w:rFonts w:hint="cs"/>
          <w:rtl/>
          <w:lang w:bidi="ar-EG"/>
        </w:rPr>
        <w:t>-</w:t>
      </w:r>
      <w:r w:rsidR="005B6D9A" w:rsidRPr="005B6D9A">
        <w:rPr>
          <w:rtl/>
        </w:rPr>
        <w:tab/>
        <w:t>مراقبة أحداث الأحوال الجوية الفضائية والتخفيف من حدتها.</w:t>
      </w:r>
    </w:p>
    <w:p w14:paraId="5C12BEF4" w14:textId="77777777" w:rsidR="005B6D9A" w:rsidRPr="005B6D9A" w:rsidRDefault="005B6D9A" w:rsidP="00311FB9">
      <w:pPr>
        <w:rPr>
          <w:lang w:val="ar-SA" w:bidi="ar-EG"/>
        </w:rPr>
      </w:pPr>
      <w:r w:rsidRPr="005B6D9A">
        <w:rPr>
          <w:rtl/>
        </w:rPr>
        <w:t>وتشمل لجنة الدراسات 7 أيضاً أنظمة لدراسة الفضاء الخارجي:</w:t>
      </w:r>
    </w:p>
    <w:p w14:paraId="56348DED" w14:textId="28D092A4" w:rsidR="005B6D9A" w:rsidRPr="005B6D9A" w:rsidRDefault="00F21B2B" w:rsidP="00F21B2B">
      <w:pPr>
        <w:pStyle w:val="enumlev1"/>
        <w:rPr>
          <w:lang w:val="ar-SA" w:bidi="ar-EG"/>
        </w:rPr>
      </w:pPr>
      <w:r>
        <w:rPr>
          <w:rFonts w:hint="cs"/>
          <w:rtl/>
          <w:lang w:bidi="ar-EG"/>
        </w:rPr>
        <w:t>-</w:t>
      </w:r>
      <w:r w:rsidR="005B6D9A" w:rsidRPr="005B6D9A">
        <w:rPr>
          <w:rtl/>
        </w:rPr>
        <w:tab/>
        <w:t>سواتل لدراسة الشمس والغلاف المغنطيسي وكل عناصر نظامنا الشمسي؛</w:t>
      </w:r>
    </w:p>
    <w:p w14:paraId="39359D88" w14:textId="7AD7BC65" w:rsidR="005B6D9A" w:rsidRPr="005B6D9A" w:rsidRDefault="00F21B2B" w:rsidP="00F21B2B">
      <w:pPr>
        <w:pStyle w:val="enumlev1"/>
        <w:rPr>
          <w:lang w:val="ar-SA" w:bidi="ar-EG"/>
        </w:rPr>
      </w:pPr>
      <w:r>
        <w:rPr>
          <w:rFonts w:hint="cs"/>
          <w:rtl/>
          <w:lang w:bidi="ar-EG"/>
        </w:rPr>
        <w:t>-</w:t>
      </w:r>
      <w:r w:rsidR="005B6D9A" w:rsidRPr="005B6D9A">
        <w:rPr>
          <w:rtl/>
        </w:rPr>
        <w:tab/>
        <w:t>المركبات الفضائية للاستكشاف البشري والروبوتي للأجرام من خارج كوكب الأرض؛</w:t>
      </w:r>
    </w:p>
    <w:p w14:paraId="58E93B7A" w14:textId="57FD9D4F" w:rsidR="005B6D9A" w:rsidRPr="005B6D9A" w:rsidRDefault="00F21B2B" w:rsidP="00F21B2B">
      <w:pPr>
        <w:pStyle w:val="enumlev1"/>
        <w:rPr>
          <w:lang w:val="ar-SA" w:bidi="ar-EG"/>
        </w:rPr>
      </w:pPr>
      <w:r>
        <w:rPr>
          <w:rFonts w:hint="cs"/>
          <w:rtl/>
          <w:lang w:bidi="ar-EG"/>
        </w:rPr>
        <w:t>-</w:t>
      </w:r>
      <w:r w:rsidR="005B6D9A" w:rsidRPr="005B6D9A">
        <w:rPr>
          <w:rtl/>
        </w:rPr>
        <w:tab/>
        <w:t>أنظمة أبحاث القمر ونقاط لاغرانج والفضاء السحيق وأنظمة القياس بالتداخل ذي خط الأساس الطويل جداً، بما في</w:t>
      </w:r>
      <w:r w:rsidR="00C71EC0">
        <w:rPr>
          <w:rFonts w:hint="cs"/>
          <w:rtl/>
        </w:rPr>
        <w:t> </w:t>
      </w:r>
      <w:r w:rsidR="005B6D9A" w:rsidRPr="005B6D9A">
        <w:rPr>
          <w:rtl/>
        </w:rPr>
        <w:t>ذلك المحطات الأرضية المرتبطة بها؛</w:t>
      </w:r>
    </w:p>
    <w:p w14:paraId="069BA5B2" w14:textId="54E93D05" w:rsidR="005B6D9A" w:rsidRPr="005B6D9A" w:rsidRDefault="00F21B2B" w:rsidP="00F21B2B">
      <w:pPr>
        <w:pStyle w:val="enumlev1"/>
        <w:rPr>
          <w:lang w:val="ar-SA" w:bidi="ar-EG"/>
        </w:rPr>
      </w:pPr>
      <w:r>
        <w:rPr>
          <w:rFonts w:hint="cs"/>
          <w:rtl/>
          <w:lang w:bidi="ar-EG"/>
        </w:rPr>
        <w:t>-</w:t>
      </w:r>
      <w:r w:rsidR="005B6D9A" w:rsidRPr="005B6D9A">
        <w:rPr>
          <w:rtl/>
        </w:rPr>
        <w:tab/>
        <w:t>أنظمة الفلك الراديوي الأرضية والساتلية لدراسة الكون وظواهره.</w:t>
      </w:r>
    </w:p>
    <w:p w14:paraId="1C304022" w14:textId="77777777" w:rsidR="005B6D9A" w:rsidRPr="005B6D9A" w:rsidRDefault="005B6D9A" w:rsidP="00311FB9">
      <w:pPr>
        <w:rPr>
          <w:lang w:val="ar-SA" w:bidi="ar-EG"/>
        </w:rPr>
      </w:pPr>
      <w:r w:rsidRPr="005B6D9A">
        <w:rPr>
          <w:rtl/>
        </w:rPr>
        <w:t>اجتمعت فرقة العمل 7A في الفترة من 17 إلى 21 مارس 2025. واجتمعت فرق العمل 7B و7C و7D في الفترة من 16 إلى 27 مارس 2026، ومن 15 إلى 25 سبتمبر 2025. واجتمعت لجنة الدراسات 7 في 27 مارس 2025. وقد عُقدت كل الاجتماعات بمقر الاتحاد في جنيف.</w:t>
      </w:r>
    </w:p>
    <w:p w14:paraId="0219211C" w14:textId="77777777" w:rsidR="005B6D9A" w:rsidRPr="005B6D9A" w:rsidRDefault="005B6D9A" w:rsidP="00311FB9">
      <w:pPr>
        <w:rPr>
          <w:lang w:val="ar-SA" w:bidi="ar-EG"/>
        </w:rPr>
      </w:pPr>
      <w:r w:rsidRPr="005B6D9A">
        <w:rPr>
          <w:rtl/>
        </w:rPr>
        <w:t>وفي إطار أنشطة لجنة الدراسات 7، عُقدت الأحداث التالية أيضاً:</w:t>
      </w:r>
    </w:p>
    <w:p w14:paraId="1917F0F6" w14:textId="726A8EB6" w:rsidR="005B6D9A" w:rsidRPr="005B6D9A" w:rsidRDefault="00F21B2B" w:rsidP="00F21B2B">
      <w:pPr>
        <w:pStyle w:val="enumlev1"/>
        <w:rPr>
          <w:lang w:val="ar-SA" w:bidi="ar-EG"/>
        </w:rPr>
      </w:pPr>
      <w:r>
        <w:rPr>
          <w:lang w:bidi="ar-EG"/>
        </w:rPr>
        <w:t>-</w:t>
      </w:r>
      <w:r w:rsidR="005B6D9A" w:rsidRPr="005B6D9A">
        <w:rPr>
          <w:rtl/>
        </w:rPr>
        <w:tab/>
      </w:r>
      <w:hyperlink r:id="rId100" w:history="1">
        <w:r w:rsidR="005B6D9A" w:rsidRPr="00F21B2B">
          <w:rPr>
            <w:rStyle w:val="Hyperlink"/>
            <w:rtl/>
          </w:rPr>
          <w:t xml:space="preserve">الحلقة الدراسية المشتركة بين اللجنة الماليزية للاتصالات والوسائط المتعددة </w:t>
        </w:r>
        <w:r w:rsidR="005B6D9A" w:rsidRPr="00F21B2B">
          <w:rPr>
            <w:rStyle w:val="Hyperlink"/>
            <w:lang w:bidi="ar-EG"/>
          </w:rPr>
          <w:t>(MCMC)</w:t>
        </w:r>
        <w:r w:rsidR="005B6D9A" w:rsidRPr="00F21B2B">
          <w:rPr>
            <w:rStyle w:val="Hyperlink"/>
            <w:rtl/>
          </w:rPr>
          <w:t xml:space="preserve"> والاتحاد الدولي للاتصالات بشأن "الخدمات العلمية فيما يتعلق بلوائح الراديو الصادرة عن الاتحاد والمؤتمر العالمي للاتصالات الراديوية لعام</w:t>
        </w:r>
        <w:r>
          <w:rPr>
            <w:rStyle w:val="Hyperlink"/>
            <w:rFonts w:hint="eastAsia"/>
            <w:rtl/>
          </w:rPr>
          <w:t> </w:t>
        </w:r>
        <w:r w:rsidR="005B6D9A" w:rsidRPr="00F21B2B">
          <w:rPr>
            <w:rStyle w:val="Hyperlink"/>
            <w:rtl/>
          </w:rPr>
          <w:t>2027 (WRC-27)</w:t>
        </w:r>
        <w:r w:rsidR="005B6D9A" w:rsidRPr="00F21B2B">
          <w:rPr>
            <w:rStyle w:val="Hyperlink"/>
            <w:lang w:bidi="ar-EG"/>
          </w:rPr>
          <w:t>"</w:t>
        </w:r>
      </w:hyperlink>
      <w:r w:rsidR="005B6D9A" w:rsidRPr="005B6D9A">
        <w:rPr>
          <w:rtl/>
        </w:rPr>
        <w:t>، مركز التميز التابع للجنة الماليزية للاتصالات والوسائط المتعددة، سيبرجايا، سيلانجور، ماليزيا، 9-10 ديسمبر 2025؛</w:t>
      </w:r>
    </w:p>
    <w:p w14:paraId="4683D347" w14:textId="2B39B41B" w:rsidR="005B6D9A" w:rsidRPr="005B6D9A" w:rsidRDefault="00F21B2B" w:rsidP="00F21B2B">
      <w:pPr>
        <w:pStyle w:val="enumlev1"/>
        <w:rPr>
          <w:lang w:val="ar-SA" w:bidi="ar-EG"/>
        </w:rPr>
      </w:pPr>
      <w:r>
        <w:rPr>
          <w:lang w:bidi="ar-EG"/>
        </w:rPr>
        <w:t>-</w:t>
      </w:r>
      <w:r w:rsidR="005B6D9A" w:rsidRPr="005B6D9A">
        <w:rPr>
          <w:rtl/>
        </w:rPr>
        <w:tab/>
      </w:r>
      <w:hyperlink r:id="rId101" w:history="1">
        <w:r w:rsidR="005B6D9A" w:rsidRPr="00F21B2B">
          <w:rPr>
            <w:rStyle w:val="Hyperlink"/>
            <w:rtl/>
          </w:rPr>
          <w:t>الحلقة الدراسية المشتركة بين المنظمة العالمية للأرصاد الجوية والاتحاد الدولي للاتصالات بعنوان "ورشة العمل التدريبية بشأن استعمال الطيف الراديوي وإدارته لأغراض الأرصاد الجوية"</w:t>
        </w:r>
      </w:hyperlink>
      <w:r w:rsidR="005B6D9A" w:rsidRPr="005B6D9A">
        <w:rPr>
          <w:rtl/>
        </w:rPr>
        <w:t>، سنغافورة، جمهورية سنغافورة، 3-4 مارس 2025.</w:t>
      </w:r>
    </w:p>
    <w:p w14:paraId="4A4D2754" w14:textId="77777777" w:rsidR="005B6D9A" w:rsidRPr="005B6D9A" w:rsidRDefault="005B6D9A" w:rsidP="00311FB9">
      <w:pPr>
        <w:rPr>
          <w:lang w:val="ar-SA" w:bidi="ar-EG"/>
        </w:rPr>
      </w:pPr>
      <w:r w:rsidRPr="005B6D9A">
        <w:rPr>
          <w:rtl/>
        </w:rPr>
        <w:t>وتقرر عقد الاجتماع القادم للجنة الدراسات 7 في 13 مارس 2026، بينما تقرر أن تجتمع فرق العمل 7A و7B و7C و7D في الفترة من 2 إلى 12 مارس 2026.</w:t>
      </w:r>
    </w:p>
    <w:p w14:paraId="0CEAA7DF" w14:textId="638A3E9F" w:rsidR="005B6D9A" w:rsidRPr="00F21B2B" w:rsidRDefault="00F21B2B" w:rsidP="00F21B2B">
      <w:pPr>
        <w:pStyle w:val="Heading2"/>
      </w:pPr>
      <w:r>
        <w:t>8.4</w:t>
      </w:r>
      <w:r w:rsidR="005B6D9A" w:rsidRPr="005B6D9A">
        <w:rPr>
          <w:rtl/>
        </w:rPr>
        <w:tab/>
        <w:t>لجنة التنسيق المعنية بالمفردات</w:t>
      </w:r>
    </w:p>
    <w:p w14:paraId="2136CE23" w14:textId="77777777" w:rsidR="005B6D9A" w:rsidRPr="005B6D9A" w:rsidRDefault="005B6D9A" w:rsidP="00311FB9">
      <w:pPr>
        <w:rPr>
          <w:lang w:val="ar-SA" w:bidi="ar-EG"/>
        </w:rPr>
      </w:pPr>
      <w:r w:rsidRPr="005B6D9A">
        <w:rPr>
          <w:rtl/>
        </w:rPr>
        <w:t xml:space="preserve">تتألف لجنة التنسيق المعنية بالمصطلحات </w:t>
      </w:r>
      <w:r w:rsidRPr="005B6D9A">
        <w:rPr>
          <w:lang w:bidi="ar-EG"/>
        </w:rPr>
        <w:t>(CCT)</w:t>
      </w:r>
      <w:r w:rsidRPr="005B6D9A">
        <w:rPr>
          <w:rtl/>
        </w:rPr>
        <w:t xml:space="preserve"> في الاتحاد من:</w:t>
      </w:r>
    </w:p>
    <w:p w14:paraId="4E8ECA10" w14:textId="29546EE1" w:rsidR="005B6D9A" w:rsidRPr="005B6D9A" w:rsidRDefault="00F21B2B" w:rsidP="00F21B2B">
      <w:pPr>
        <w:pStyle w:val="enumlev1"/>
        <w:rPr>
          <w:lang w:val="ar-SA" w:bidi="ar-EG"/>
        </w:rPr>
      </w:pPr>
      <w:r>
        <w:rPr>
          <w:rFonts w:hint="cs"/>
          <w:rtl/>
          <w:lang w:bidi="ar-EG"/>
        </w:rPr>
        <w:t>-</w:t>
      </w:r>
      <w:r w:rsidR="005B6D9A" w:rsidRPr="005B6D9A">
        <w:rPr>
          <w:rtl/>
        </w:rPr>
        <w:tab/>
        <w:t xml:space="preserve">لجنة التنسيق المعنية بالمفردات </w:t>
      </w:r>
      <w:r w:rsidR="005B6D9A" w:rsidRPr="005B6D9A">
        <w:rPr>
          <w:lang w:bidi="ar-EG"/>
        </w:rPr>
        <w:t>(CCV)</w:t>
      </w:r>
      <w:r w:rsidR="005B6D9A" w:rsidRPr="005B6D9A">
        <w:rPr>
          <w:rtl/>
        </w:rPr>
        <w:t xml:space="preserve"> التابعة لقطاع الاتصالات الراديوية، التي تعمل وفقاً للقرار ITU-R 36؛</w:t>
      </w:r>
    </w:p>
    <w:p w14:paraId="59EA4A5B" w14:textId="7EF29673" w:rsidR="00C00628" w:rsidRDefault="00F21B2B" w:rsidP="00F21B2B">
      <w:pPr>
        <w:pStyle w:val="enumlev1"/>
        <w:rPr>
          <w:rtl/>
        </w:rPr>
      </w:pPr>
      <w:r>
        <w:rPr>
          <w:rFonts w:hint="cs"/>
          <w:rtl/>
          <w:lang w:bidi="ar-EG"/>
        </w:rPr>
        <w:t>-</w:t>
      </w:r>
      <w:r w:rsidR="005B6D9A" w:rsidRPr="005B6D9A">
        <w:rPr>
          <w:rtl/>
        </w:rPr>
        <w:tab/>
        <w:t xml:space="preserve">لجنة التقييس المعنية بالمفردات </w:t>
      </w:r>
      <w:r w:rsidR="005B6D9A" w:rsidRPr="005B6D9A">
        <w:rPr>
          <w:lang w:bidi="ar-EG"/>
        </w:rPr>
        <w:t>(SCV)</w:t>
      </w:r>
      <w:r w:rsidR="005B6D9A" w:rsidRPr="005B6D9A">
        <w:rPr>
          <w:rtl/>
        </w:rPr>
        <w:t xml:space="preserve"> التابعة لقطاع تقييس الاتصالات، التي تعمل وفقاً للقرار 67 (المراجَع في</w:t>
      </w:r>
      <w:r w:rsidR="00C71EC0">
        <w:rPr>
          <w:rFonts w:hint="cs"/>
          <w:rtl/>
        </w:rPr>
        <w:t> </w:t>
      </w:r>
      <w:r w:rsidR="005B6D9A" w:rsidRPr="005B6D9A">
        <w:rPr>
          <w:rtl/>
        </w:rPr>
        <w:t>نيودلهي، 2024) للجمعية العالمية لتقييس الاتصالات؛</w:t>
      </w:r>
    </w:p>
    <w:p w14:paraId="042B3F9E" w14:textId="789E12D6" w:rsidR="005B6D9A" w:rsidRPr="005B6D9A" w:rsidRDefault="00F21B2B" w:rsidP="00F21B2B">
      <w:pPr>
        <w:pStyle w:val="enumlev1"/>
        <w:rPr>
          <w:lang w:val="ar-SA" w:bidi="ar-EG"/>
        </w:rPr>
      </w:pPr>
      <w:r>
        <w:rPr>
          <w:rFonts w:hint="cs"/>
          <w:rtl/>
          <w:lang w:bidi="ar-EG"/>
        </w:rPr>
        <w:t>-</w:t>
      </w:r>
      <w:r w:rsidR="005B6D9A" w:rsidRPr="005B6D9A">
        <w:rPr>
          <w:rtl/>
        </w:rPr>
        <w:tab/>
      </w:r>
      <w:r w:rsidR="00105C46">
        <w:rPr>
          <w:rFonts w:hint="cs"/>
          <w:rtl/>
        </w:rPr>
        <w:t>و</w:t>
      </w:r>
      <w:r w:rsidR="005B6D9A" w:rsidRPr="005B6D9A">
        <w:rPr>
          <w:rtl/>
        </w:rPr>
        <w:t>ممثلي قطاع تنمية الاتصالات.</w:t>
      </w:r>
    </w:p>
    <w:p w14:paraId="0A3441A1" w14:textId="77777777" w:rsidR="005B6D9A" w:rsidRPr="005B6D9A" w:rsidRDefault="005B6D9A" w:rsidP="00311FB9">
      <w:pPr>
        <w:rPr>
          <w:lang w:val="ar-SA" w:bidi="ar-EG"/>
        </w:rPr>
      </w:pPr>
      <w:r w:rsidRPr="005B6D9A">
        <w:rPr>
          <w:rtl/>
        </w:rPr>
        <w:t>ووافق مجلس الاتحاد في يونيو 2025 على نسخة محدثة من قرار المجلس 1386 بشأن لجنة التنسيق المعنية بالمصطلحات في الاتحاد، من أجل إدراج مسؤوليات مقرري المفردات.</w:t>
      </w:r>
    </w:p>
    <w:p w14:paraId="11C67DEE" w14:textId="5918A8C6" w:rsidR="005B6D9A" w:rsidRPr="005B6D9A" w:rsidRDefault="005B6D9A" w:rsidP="00311FB9">
      <w:pPr>
        <w:rPr>
          <w:lang w:val="ar-SA" w:bidi="ar-EG"/>
        </w:rPr>
      </w:pPr>
      <w:r w:rsidRPr="005B6D9A">
        <w:rPr>
          <w:rtl/>
        </w:rPr>
        <w:t xml:space="preserve">وتواصِل لجنة التنسيق المعنية بالمصطلحات بالاتحاد </w:t>
      </w:r>
      <w:r w:rsidRPr="005B6D9A">
        <w:rPr>
          <w:lang w:bidi="ar-EG"/>
        </w:rPr>
        <w:t>(</w:t>
      </w:r>
      <w:r w:rsidRPr="005B6D9A">
        <w:t>ITU CCT</w:t>
      </w:r>
      <w:r w:rsidRPr="005B6D9A">
        <w:rPr>
          <w:lang w:bidi="ar-EG"/>
        </w:rPr>
        <w:t>)</w:t>
      </w:r>
      <w:r w:rsidRPr="005B6D9A">
        <w:rPr>
          <w:rtl/>
        </w:rPr>
        <w:t xml:space="preserve"> عملها في توحيد المصطلحات والتعاريف داخل الاتحاد، بناءً</w:t>
      </w:r>
      <w:r w:rsidR="00C71EC0">
        <w:rPr>
          <w:rFonts w:hint="cs"/>
          <w:rtl/>
        </w:rPr>
        <w:t> </w:t>
      </w:r>
      <w:r w:rsidRPr="005B6D9A">
        <w:rPr>
          <w:rtl/>
        </w:rPr>
        <w:t>على المقترحات المقدَّمة من لجان الدراسات في الاتحاد باللغة الإنكليزية، وتصديق ترجمتها في لغات الاتحاد الرسمية الخمس الأخرى. وقاد أعمال لجنة التنسيق المعنية بالمصطلحات رؤساءُ لجنة التنسيق المعنية بالمفردات ولجنة التقييس المعنية بالمفردات بدعم نشط من نواب الرئيس، ومقرري المفردات، وغيرهم من ممثلي قطاعات الاتحاد الثلاثة</w:t>
      </w:r>
      <w:r w:rsidR="00822E10">
        <w:rPr>
          <w:rFonts w:hint="cs"/>
          <w:rtl/>
        </w:rPr>
        <w:t>.</w:t>
      </w:r>
    </w:p>
    <w:p w14:paraId="06D9CF08" w14:textId="5B285389" w:rsidR="005B6D9A" w:rsidRPr="005B6D9A" w:rsidRDefault="005B6D9A" w:rsidP="00311FB9">
      <w:pPr>
        <w:rPr>
          <w:lang w:val="ar-SA" w:bidi="ar-EG"/>
        </w:rPr>
      </w:pPr>
      <w:r w:rsidRPr="005B6D9A">
        <w:rPr>
          <w:rtl/>
        </w:rPr>
        <w:t xml:space="preserve">وقد جرى تحديث </w:t>
      </w:r>
      <w:hyperlink r:id="rId102" w:anchor="/ar" w:history="1">
        <w:r w:rsidRPr="00F21B2B">
          <w:rPr>
            <w:rStyle w:val="Hyperlink"/>
            <w:rtl/>
          </w:rPr>
          <w:t>الصفحة الإلكترونية للجنة التنسيق المعنية بالمصطلحات بالاتحاد</w:t>
        </w:r>
      </w:hyperlink>
      <w:r w:rsidRPr="005B6D9A">
        <w:rPr>
          <w:rtl/>
        </w:rPr>
        <w:t xml:space="preserve"> ومواءمتها بالكامل مع المواقع الإلكترونية للجان الدراسات/فرق العمل التابعة للاتحاد، وكذلك طريقة تنزيل الوثائق.</w:t>
      </w:r>
    </w:p>
    <w:p w14:paraId="6CE828E4" w14:textId="77777777" w:rsidR="005B6D9A" w:rsidRPr="005B6D9A" w:rsidRDefault="005B6D9A" w:rsidP="00311FB9">
      <w:pPr>
        <w:rPr>
          <w:lang w:val="ar-SA" w:bidi="ar-EG"/>
        </w:rPr>
      </w:pPr>
      <w:r w:rsidRPr="005B6D9A">
        <w:rPr>
          <w:rtl/>
        </w:rPr>
        <w:t>وتقرر عقد الاجتماع التالي للجنة التنسيق المعنية بالمصطلحات في 23 أبريل 2026.</w:t>
      </w:r>
    </w:p>
    <w:p w14:paraId="21759B81" w14:textId="177C9D21" w:rsidR="005B6D9A" w:rsidRPr="00F21B2B" w:rsidRDefault="00F21B2B" w:rsidP="00F21B2B">
      <w:pPr>
        <w:pStyle w:val="Heading3"/>
        <w:rPr>
          <w:spacing w:val="-4"/>
        </w:rPr>
      </w:pPr>
      <w:r w:rsidRPr="00F21B2B">
        <w:rPr>
          <w:rFonts w:hint="cs"/>
          <w:spacing w:val="-4"/>
          <w:rtl/>
        </w:rPr>
        <w:lastRenderedPageBreak/>
        <w:t>1.8.4</w:t>
      </w:r>
      <w:r w:rsidR="005B6D9A" w:rsidRPr="00F21B2B">
        <w:rPr>
          <w:spacing w:val="-4"/>
          <w:rtl/>
        </w:rPr>
        <w:tab/>
        <w:t>تقرير مرحلي بشأن تنفيذ قرارات قطاع الاتصالات الراديوية ذات الأهمية الخاصة للجنة التنسيق المعنية بالمفردات</w:t>
      </w:r>
    </w:p>
    <w:p w14:paraId="37DB7443" w14:textId="11820E2A" w:rsidR="005B6D9A" w:rsidRPr="005B6D9A" w:rsidRDefault="005B6D9A" w:rsidP="00311FB9">
      <w:pPr>
        <w:rPr>
          <w:lang w:val="ar-SA" w:bidi="ar-EG"/>
        </w:rPr>
      </w:pPr>
      <w:r w:rsidRPr="005B6D9A">
        <w:rPr>
          <w:rtl/>
        </w:rPr>
        <w:t xml:space="preserve">وفقاً للقرار ITU-R 36-6، تضطلع لجنة التنسيق المعنية بالمفردات بمسؤولية استعراض وتنقيح توصيات قطاع الاتصالات الراديوية القائمة في السلسلة </w:t>
      </w:r>
      <w:r w:rsidRPr="005B6D9A">
        <w:rPr>
          <w:lang w:bidi="ar-EG"/>
        </w:rPr>
        <w:t>V</w:t>
      </w:r>
      <w:r w:rsidRPr="005B6D9A">
        <w:rPr>
          <w:rtl/>
        </w:rPr>
        <w:t>، حسبما يقتضى الحال. وقد أجرت لجنة التنسيق المعنية بالمفردات/لجنة التنسيق المعنية بالمصطلحات، في هذا الصدد، مراجعة للتوصية ITU-R V.431 "</w:t>
      </w:r>
      <w:r w:rsidR="00F21B2B">
        <w:rPr>
          <w:rFonts w:hint="cs"/>
          <w:rtl/>
        </w:rPr>
        <w:t> </w:t>
      </w:r>
      <w:r w:rsidRPr="00F21B2B">
        <w:rPr>
          <w:i/>
          <w:iCs/>
          <w:rtl/>
        </w:rPr>
        <w:t xml:space="preserve">تسمية نطاقات الترددات وأطوال الموجات </w:t>
      </w:r>
      <w:r w:rsidR="00F21B2B" w:rsidRPr="00F21B2B">
        <w:rPr>
          <w:rFonts w:hint="cs"/>
          <w:i/>
          <w:iCs/>
          <w:rtl/>
        </w:rPr>
        <w:t>المستعملة</w:t>
      </w:r>
      <w:r w:rsidRPr="00F21B2B">
        <w:rPr>
          <w:i/>
          <w:iCs/>
          <w:rtl/>
        </w:rPr>
        <w:t xml:space="preserve"> في</w:t>
      </w:r>
      <w:r w:rsidR="00D51931">
        <w:rPr>
          <w:rFonts w:hint="eastAsia"/>
          <w:i/>
          <w:iCs/>
          <w:rtl/>
        </w:rPr>
        <w:t> </w:t>
      </w:r>
      <w:r w:rsidRPr="00F21B2B">
        <w:rPr>
          <w:i/>
          <w:iCs/>
          <w:rtl/>
        </w:rPr>
        <w:t>الاتصالات</w:t>
      </w:r>
      <w:r w:rsidRPr="005B6D9A">
        <w:rPr>
          <w:rtl/>
        </w:rPr>
        <w:t>"، ووافقت عليها الدول الأعضاء بعد ذلك.</w:t>
      </w:r>
    </w:p>
    <w:p w14:paraId="7908045B" w14:textId="28F39960" w:rsidR="005B6D9A" w:rsidRPr="005B6D9A" w:rsidRDefault="005B6D9A" w:rsidP="00311FB9">
      <w:pPr>
        <w:rPr>
          <w:lang w:val="ar-SA" w:bidi="ar-EG"/>
        </w:rPr>
      </w:pPr>
      <w:r w:rsidRPr="005B6D9A">
        <w:rPr>
          <w:rtl/>
        </w:rPr>
        <w:t xml:space="preserve">وخلال عام 2025، عقدت لجنة التنسيق المعنية بالمصطلحات سبع مكالمات جماعية، ونظرت في 337 مصطلحاً وتعاريفها، جرى التصديق على 260 مصطلحاً منها وإرسالها للترجمة إلى اللغات الرسمية الخمس الأخرى للاتحاد قبل إدخالها في </w:t>
      </w:r>
      <w:hyperlink r:id="rId103" w:anchor="/" w:history="1">
        <w:r w:rsidRPr="00477F9B">
          <w:rPr>
            <w:rStyle w:val="Hyperlink"/>
            <w:rtl/>
          </w:rPr>
          <w:t>قاعدة بيانات المصطلحات والتعاريف لدى الاتحاد</w:t>
        </w:r>
      </w:hyperlink>
      <w:r w:rsidRPr="005B6D9A">
        <w:rPr>
          <w:rtl/>
        </w:rPr>
        <w:t>.</w:t>
      </w:r>
    </w:p>
    <w:p w14:paraId="439C04FA" w14:textId="49D7A5F7" w:rsidR="005B6D9A" w:rsidRPr="00477F9B" w:rsidRDefault="00477F9B" w:rsidP="00477F9B">
      <w:pPr>
        <w:pStyle w:val="Heading2"/>
      </w:pPr>
      <w:bookmarkStart w:id="6" w:name="_Hlk140676786"/>
      <w:r>
        <w:t>9.4</w:t>
      </w:r>
      <w:r w:rsidR="005B6D9A" w:rsidRPr="005B6D9A">
        <w:rPr>
          <w:rtl/>
        </w:rPr>
        <w:tab/>
        <w:t>‏مشاركة نواب الرؤساء في أعمال اللجان والأفرقة التابعة لهم‎</w:t>
      </w:r>
    </w:p>
    <w:p w14:paraId="5377D6A4" w14:textId="2EDB7B66" w:rsidR="005B6D9A" w:rsidRPr="005B6D9A" w:rsidRDefault="005B6D9A" w:rsidP="00311FB9">
      <w:pPr>
        <w:rPr>
          <w:lang w:val="ar-SA" w:bidi="ar-EG"/>
        </w:rPr>
      </w:pPr>
      <w:r w:rsidRPr="005B6D9A">
        <w:rPr>
          <w:rtl/>
        </w:rPr>
        <w:t xml:space="preserve">وفقاً للفقرة </w:t>
      </w:r>
      <w:r w:rsidR="00477F9B">
        <w:t>5.4.A1</w:t>
      </w:r>
      <w:r w:rsidRPr="005B6D9A">
        <w:rPr>
          <w:rtl/>
        </w:rPr>
        <w:t xml:space="preserve"> من القرار </w:t>
      </w:r>
      <w:r w:rsidR="00477F9B">
        <w:t>9-1</w:t>
      </w:r>
      <w:r w:rsidRPr="005B6D9A">
        <w:rPr>
          <w:rtl/>
        </w:rPr>
        <w:t>، يُبلَّغ الفريق الاستشاري للاتصالات الراديوية بعدم حضور نواب الرؤساء اجتماعات لجان الدراسات. وترد فيما يلي قائمة بمشارك</w:t>
      </w:r>
      <w:r w:rsidR="00677FD2">
        <w:rPr>
          <w:rFonts w:hint="cs"/>
          <w:rtl/>
          <w:lang w:bidi="ar-EG"/>
        </w:rPr>
        <w:t>ة</w:t>
      </w:r>
      <w:r w:rsidRPr="005B6D9A">
        <w:rPr>
          <w:rtl/>
        </w:rPr>
        <w:t xml:space="preserve"> نواب الرؤساء في الاجتماعات المعنيين بها في عام 2025.</w:t>
      </w:r>
    </w:p>
    <w:tbl>
      <w:tblPr>
        <w:tblStyle w:val="TableGrid"/>
        <w:bidiVisual/>
        <w:tblW w:w="5011" w:type="pct"/>
        <w:tblInd w:w="-20" w:type="dxa"/>
        <w:tblLayout w:type="fixed"/>
        <w:tblCellMar>
          <w:left w:w="57" w:type="dxa"/>
          <w:right w:w="57" w:type="dxa"/>
        </w:tblCellMar>
        <w:tblLook w:val="04A0" w:firstRow="1" w:lastRow="0" w:firstColumn="1" w:lastColumn="0" w:noHBand="0" w:noVBand="1"/>
      </w:tblPr>
      <w:tblGrid>
        <w:gridCol w:w="1410"/>
        <w:gridCol w:w="1238"/>
        <w:gridCol w:w="1110"/>
        <w:gridCol w:w="1170"/>
        <w:gridCol w:w="1180"/>
        <w:gridCol w:w="1280"/>
        <w:gridCol w:w="996"/>
        <w:gridCol w:w="1271"/>
      </w:tblGrid>
      <w:tr w:rsidR="00477F9B" w:rsidRPr="005B6D9A" w14:paraId="440905C6" w14:textId="77777777" w:rsidTr="00477F9B">
        <w:tc>
          <w:tcPr>
            <w:tcW w:w="730" w:type="pct"/>
            <w:tcBorders>
              <w:top w:val="nil"/>
              <w:left w:val="nil"/>
            </w:tcBorders>
          </w:tcPr>
          <w:p w14:paraId="37723A07" w14:textId="77777777" w:rsidR="005B6D9A" w:rsidRPr="005B6D9A" w:rsidRDefault="005B6D9A" w:rsidP="00311FB9">
            <w:pPr>
              <w:rPr>
                <w:lang w:bidi="ar-EG"/>
              </w:rPr>
            </w:pPr>
          </w:p>
        </w:tc>
        <w:tc>
          <w:tcPr>
            <w:tcW w:w="641" w:type="pct"/>
            <w:shd w:val="clear" w:color="auto" w:fill="DBE5F1" w:themeFill="accent1" w:themeFillTint="33"/>
          </w:tcPr>
          <w:p w14:paraId="34290053" w14:textId="01679D3F" w:rsidR="005B6D9A" w:rsidRPr="005B6D9A" w:rsidRDefault="005B6D9A" w:rsidP="00477F9B">
            <w:pPr>
              <w:pStyle w:val="Tablehead"/>
              <w:rPr>
                <w:lang w:val="ar-SA"/>
              </w:rPr>
            </w:pPr>
            <w:r w:rsidRPr="005B6D9A">
              <w:rPr>
                <w:rtl/>
              </w:rPr>
              <w:t>لجنة الدراسات</w:t>
            </w:r>
            <w:r w:rsidR="00477F9B">
              <w:rPr>
                <w:rFonts w:hint="cs"/>
                <w:rtl/>
              </w:rPr>
              <w:t> </w:t>
            </w:r>
            <w:r w:rsidRPr="005B6D9A">
              <w:rPr>
                <w:rtl/>
              </w:rPr>
              <w:t>1</w:t>
            </w:r>
          </w:p>
        </w:tc>
        <w:tc>
          <w:tcPr>
            <w:tcW w:w="575" w:type="pct"/>
            <w:shd w:val="clear" w:color="auto" w:fill="DBE5F1" w:themeFill="accent1" w:themeFillTint="33"/>
          </w:tcPr>
          <w:p w14:paraId="23FE4B91" w14:textId="77777777" w:rsidR="005B6D9A" w:rsidRPr="005B6D9A" w:rsidRDefault="005B6D9A" w:rsidP="00477F9B">
            <w:pPr>
              <w:pStyle w:val="Tablehead"/>
              <w:rPr>
                <w:lang w:val="ar-SA"/>
              </w:rPr>
            </w:pPr>
            <w:r w:rsidRPr="005B6D9A">
              <w:rPr>
                <w:rtl/>
              </w:rPr>
              <w:t>لجنة الدراسات 3</w:t>
            </w:r>
          </w:p>
        </w:tc>
        <w:tc>
          <w:tcPr>
            <w:tcW w:w="606" w:type="pct"/>
            <w:shd w:val="clear" w:color="auto" w:fill="DBE5F1" w:themeFill="accent1" w:themeFillTint="33"/>
          </w:tcPr>
          <w:p w14:paraId="6DA5C43A" w14:textId="77777777" w:rsidR="005B6D9A" w:rsidRPr="005B6D9A" w:rsidRDefault="005B6D9A" w:rsidP="00477F9B">
            <w:pPr>
              <w:pStyle w:val="Tablehead"/>
              <w:rPr>
                <w:lang w:val="ar-SA"/>
              </w:rPr>
            </w:pPr>
            <w:r w:rsidRPr="005B6D9A">
              <w:rPr>
                <w:rtl/>
              </w:rPr>
              <w:t>لجنة الدراسات 4</w:t>
            </w:r>
          </w:p>
        </w:tc>
        <w:tc>
          <w:tcPr>
            <w:tcW w:w="611" w:type="pct"/>
            <w:shd w:val="clear" w:color="auto" w:fill="DBE5F1" w:themeFill="accent1" w:themeFillTint="33"/>
          </w:tcPr>
          <w:p w14:paraId="0B65DB03" w14:textId="77777777" w:rsidR="005B6D9A" w:rsidRPr="005B6D9A" w:rsidRDefault="005B6D9A" w:rsidP="00477F9B">
            <w:pPr>
              <w:pStyle w:val="Tablehead"/>
              <w:rPr>
                <w:lang w:val="ar-SA"/>
              </w:rPr>
            </w:pPr>
            <w:r w:rsidRPr="005B6D9A">
              <w:rPr>
                <w:rtl/>
              </w:rPr>
              <w:t>لجنة الدراسات 5</w:t>
            </w:r>
          </w:p>
        </w:tc>
        <w:tc>
          <w:tcPr>
            <w:tcW w:w="663" w:type="pct"/>
            <w:shd w:val="clear" w:color="auto" w:fill="DBE5F1" w:themeFill="accent1" w:themeFillTint="33"/>
          </w:tcPr>
          <w:p w14:paraId="5D8FB1F8" w14:textId="47B3FA15" w:rsidR="005B6D9A" w:rsidRPr="005B6D9A" w:rsidRDefault="005B6D9A" w:rsidP="00477F9B">
            <w:pPr>
              <w:pStyle w:val="Tablehead"/>
              <w:rPr>
                <w:lang w:val="ar-SA"/>
              </w:rPr>
            </w:pPr>
            <w:r w:rsidRPr="005B6D9A">
              <w:rPr>
                <w:rtl/>
              </w:rPr>
              <w:t>لجنة الدراسات</w:t>
            </w:r>
            <w:r w:rsidR="00477F9B">
              <w:rPr>
                <w:rFonts w:hint="eastAsia"/>
                <w:rtl/>
                <w:lang w:bidi="ar-SA"/>
              </w:rPr>
              <w:t> </w:t>
            </w:r>
            <w:r w:rsidRPr="005B6D9A">
              <w:rPr>
                <w:rtl/>
              </w:rPr>
              <w:t>6</w:t>
            </w:r>
          </w:p>
        </w:tc>
        <w:tc>
          <w:tcPr>
            <w:tcW w:w="516" w:type="pct"/>
            <w:shd w:val="clear" w:color="auto" w:fill="DBE5F1" w:themeFill="accent1" w:themeFillTint="33"/>
          </w:tcPr>
          <w:p w14:paraId="6CAB538E" w14:textId="77777777" w:rsidR="005B6D9A" w:rsidRPr="005B6D9A" w:rsidRDefault="005B6D9A" w:rsidP="00477F9B">
            <w:pPr>
              <w:pStyle w:val="Tablehead"/>
              <w:rPr>
                <w:lang w:val="ar-SA"/>
              </w:rPr>
            </w:pPr>
            <w:r w:rsidRPr="005B6D9A">
              <w:rPr>
                <w:rtl/>
              </w:rPr>
              <w:t>لجنة الدراسات 7</w:t>
            </w:r>
          </w:p>
        </w:tc>
        <w:tc>
          <w:tcPr>
            <w:tcW w:w="658" w:type="pct"/>
            <w:shd w:val="clear" w:color="auto" w:fill="DBE5F1" w:themeFill="accent1" w:themeFillTint="33"/>
          </w:tcPr>
          <w:p w14:paraId="03B14DF9" w14:textId="77777777" w:rsidR="005B6D9A" w:rsidRPr="005B6D9A" w:rsidRDefault="005B6D9A" w:rsidP="00477F9B">
            <w:pPr>
              <w:pStyle w:val="Tablehead"/>
              <w:rPr>
                <w:lang w:val="ar-SA"/>
              </w:rPr>
            </w:pPr>
            <w:r w:rsidRPr="005B6D9A">
              <w:rPr>
                <w:rtl/>
              </w:rPr>
              <w:t>لجنة التنسيق المعنية بالمفردات</w:t>
            </w:r>
          </w:p>
        </w:tc>
      </w:tr>
      <w:tr w:rsidR="00477F9B" w:rsidRPr="005B6D9A" w14:paraId="7ACB675C" w14:textId="77777777" w:rsidTr="00477F9B">
        <w:tc>
          <w:tcPr>
            <w:tcW w:w="730" w:type="pct"/>
            <w:shd w:val="clear" w:color="auto" w:fill="DBE5F1" w:themeFill="accent1" w:themeFillTint="33"/>
          </w:tcPr>
          <w:p w14:paraId="292F5F3D" w14:textId="77777777" w:rsidR="005B6D9A" w:rsidRPr="00477F9B" w:rsidRDefault="005B6D9A" w:rsidP="00677FD2">
            <w:pPr>
              <w:pStyle w:val="Tabletext"/>
              <w:jc w:val="left"/>
              <w:rPr>
                <w:b/>
                <w:bCs/>
                <w:lang w:val="ar-SA" w:bidi="ar-EG"/>
              </w:rPr>
            </w:pPr>
            <w:r w:rsidRPr="00477F9B">
              <w:rPr>
                <w:b/>
                <w:bCs/>
                <w:rtl/>
              </w:rPr>
              <w:t>العدد الإجمالي لنواب الرئيس</w:t>
            </w:r>
          </w:p>
        </w:tc>
        <w:tc>
          <w:tcPr>
            <w:tcW w:w="641" w:type="pct"/>
            <w:shd w:val="clear" w:color="auto" w:fill="DBE5F1" w:themeFill="accent1" w:themeFillTint="33"/>
          </w:tcPr>
          <w:p w14:paraId="196566A1" w14:textId="77777777" w:rsidR="005B6D9A" w:rsidRPr="00477F9B" w:rsidRDefault="005B6D9A" w:rsidP="00677FD2">
            <w:pPr>
              <w:pStyle w:val="Tabletext"/>
              <w:jc w:val="center"/>
              <w:rPr>
                <w:b/>
                <w:bCs/>
                <w:lang w:val="ar-SA" w:bidi="ar-EG"/>
              </w:rPr>
            </w:pPr>
            <w:r w:rsidRPr="00477F9B">
              <w:rPr>
                <w:b/>
                <w:bCs/>
                <w:rtl/>
              </w:rPr>
              <w:t>15</w:t>
            </w:r>
          </w:p>
        </w:tc>
        <w:tc>
          <w:tcPr>
            <w:tcW w:w="575" w:type="pct"/>
            <w:shd w:val="clear" w:color="auto" w:fill="DBE5F1" w:themeFill="accent1" w:themeFillTint="33"/>
          </w:tcPr>
          <w:p w14:paraId="621EDC31" w14:textId="77777777" w:rsidR="005B6D9A" w:rsidRPr="00477F9B" w:rsidRDefault="005B6D9A" w:rsidP="00677FD2">
            <w:pPr>
              <w:pStyle w:val="Tabletext"/>
              <w:jc w:val="center"/>
              <w:rPr>
                <w:b/>
                <w:bCs/>
                <w:lang w:val="ar-SA" w:bidi="ar-EG"/>
              </w:rPr>
            </w:pPr>
            <w:r w:rsidRPr="00477F9B">
              <w:rPr>
                <w:b/>
                <w:bCs/>
                <w:rtl/>
              </w:rPr>
              <w:t>11</w:t>
            </w:r>
          </w:p>
        </w:tc>
        <w:tc>
          <w:tcPr>
            <w:tcW w:w="606" w:type="pct"/>
            <w:shd w:val="clear" w:color="auto" w:fill="DBE5F1" w:themeFill="accent1" w:themeFillTint="33"/>
          </w:tcPr>
          <w:p w14:paraId="54F23C5C" w14:textId="77777777" w:rsidR="005B6D9A" w:rsidRPr="00477F9B" w:rsidRDefault="005B6D9A" w:rsidP="00677FD2">
            <w:pPr>
              <w:pStyle w:val="Tabletext"/>
              <w:jc w:val="center"/>
              <w:rPr>
                <w:b/>
                <w:bCs/>
                <w:lang w:val="ar-SA" w:bidi="ar-EG"/>
              </w:rPr>
            </w:pPr>
            <w:r w:rsidRPr="00477F9B">
              <w:rPr>
                <w:b/>
                <w:bCs/>
                <w:rtl/>
              </w:rPr>
              <w:t>19</w:t>
            </w:r>
          </w:p>
        </w:tc>
        <w:tc>
          <w:tcPr>
            <w:tcW w:w="611" w:type="pct"/>
            <w:shd w:val="clear" w:color="auto" w:fill="DBE5F1" w:themeFill="accent1" w:themeFillTint="33"/>
          </w:tcPr>
          <w:p w14:paraId="6C027939" w14:textId="77777777" w:rsidR="005B6D9A" w:rsidRPr="00477F9B" w:rsidRDefault="005B6D9A" w:rsidP="00677FD2">
            <w:pPr>
              <w:pStyle w:val="Tabletext"/>
              <w:jc w:val="center"/>
              <w:rPr>
                <w:b/>
                <w:bCs/>
                <w:lang w:val="ar-SA" w:bidi="ar-EG"/>
              </w:rPr>
            </w:pPr>
            <w:r w:rsidRPr="00477F9B">
              <w:rPr>
                <w:b/>
                <w:bCs/>
                <w:rtl/>
              </w:rPr>
              <w:t>19</w:t>
            </w:r>
          </w:p>
        </w:tc>
        <w:tc>
          <w:tcPr>
            <w:tcW w:w="663" w:type="pct"/>
            <w:shd w:val="clear" w:color="auto" w:fill="DBE5F1" w:themeFill="accent1" w:themeFillTint="33"/>
          </w:tcPr>
          <w:p w14:paraId="35F17DD0" w14:textId="77777777" w:rsidR="005B6D9A" w:rsidRPr="00477F9B" w:rsidRDefault="005B6D9A" w:rsidP="00677FD2">
            <w:pPr>
              <w:pStyle w:val="Tabletext"/>
              <w:jc w:val="center"/>
              <w:rPr>
                <w:b/>
                <w:bCs/>
                <w:lang w:val="ar-SA" w:bidi="ar-EG"/>
              </w:rPr>
            </w:pPr>
            <w:r w:rsidRPr="00477F9B">
              <w:rPr>
                <w:b/>
                <w:bCs/>
                <w:rtl/>
              </w:rPr>
              <w:t>14</w:t>
            </w:r>
          </w:p>
        </w:tc>
        <w:tc>
          <w:tcPr>
            <w:tcW w:w="516" w:type="pct"/>
            <w:shd w:val="clear" w:color="auto" w:fill="DBE5F1" w:themeFill="accent1" w:themeFillTint="33"/>
          </w:tcPr>
          <w:p w14:paraId="0C746304" w14:textId="77777777" w:rsidR="005B6D9A" w:rsidRPr="00477F9B" w:rsidRDefault="005B6D9A" w:rsidP="00677FD2">
            <w:pPr>
              <w:pStyle w:val="Tabletext"/>
              <w:jc w:val="center"/>
              <w:rPr>
                <w:b/>
                <w:bCs/>
                <w:lang w:val="ar-SA" w:bidi="ar-EG"/>
              </w:rPr>
            </w:pPr>
            <w:r w:rsidRPr="00477F9B">
              <w:rPr>
                <w:b/>
                <w:bCs/>
                <w:rtl/>
              </w:rPr>
              <w:t>10</w:t>
            </w:r>
          </w:p>
        </w:tc>
        <w:tc>
          <w:tcPr>
            <w:tcW w:w="658" w:type="pct"/>
            <w:shd w:val="clear" w:color="auto" w:fill="DBE5F1" w:themeFill="accent1" w:themeFillTint="33"/>
          </w:tcPr>
          <w:p w14:paraId="68074ABF" w14:textId="77777777" w:rsidR="005B6D9A" w:rsidRPr="00477F9B" w:rsidRDefault="005B6D9A" w:rsidP="00677FD2">
            <w:pPr>
              <w:pStyle w:val="Tabletext"/>
              <w:jc w:val="center"/>
              <w:rPr>
                <w:b/>
                <w:bCs/>
                <w:lang w:val="ar-SA" w:bidi="ar-EG"/>
              </w:rPr>
            </w:pPr>
            <w:r w:rsidRPr="00477F9B">
              <w:rPr>
                <w:b/>
                <w:bCs/>
                <w:rtl/>
              </w:rPr>
              <w:t>7</w:t>
            </w:r>
          </w:p>
        </w:tc>
      </w:tr>
      <w:tr w:rsidR="00477F9B" w:rsidRPr="005B6D9A" w14:paraId="69E94EBF" w14:textId="77777777" w:rsidTr="00477F9B">
        <w:tc>
          <w:tcPr>
            <w:tcW w:w="730" w:type="pct"/>
            <w:shd w:val="clear" w:color="auto" w:fill="DBE5F1" w:themeFill="accent1" w:themeFillTint="33"/>
          </w:tcPr>
          <w:p w14:paraId="68493CCA" w14:textId="77777777" w:rsidR="005B6D9A" w:rsidRPr="00477F9B" w:rsidRDefault="005B6D9A" w:rsidP="00677FD2">
            <w:pPr>
              <w:pStyle w:val="Tabletext"/>
              <w:jc w:val="left"/>
              <w:rPr>
                <w:b/>
                <w:bCs/>
                <w:lang w:val="ar-SA" w:bidi="ar-EG"/>
              </w:rPr>
            </w:pPr>
            <w:r w:rsidRPr="00477F9B">
              <w:rPr>
                <w:b/>
                <w:bCs/>
                <w:rtl/>
              </w:rPr>
              <w:t>مشاركة نواب الرئيس في كل اجتماع في 2025</w:t>
            </w:r>
          </w:p>
        </w:tc>
        <w:tc>
          <w:tcPr>
            <w:tcW w:w="641" w:type="pct"/>
          </w:tcPr>
          <w:p w14:paraId="5CAE01B3" w14:textId="2FFF4B0B" w:rsidR="005B6D9A" w:rsidRPr="00477F9B" w:rsidRDefault="005B6D9A" w:rsidP="00677FD2">
            <w:pPr>
              <w:pStyle w:val="Tabletext"/>
              <w:jc w:val="left"/>
              <w:rPr>
                <w:b/>
                <w:bCs/>
                <w:rtl/>
                <w:lang w:val="ar-SA" w:bidi="ar-EG"/>
              </w:rPr>
            </w:pPr>
            <w:r w:rsidRPr="00477F9B">
              <w:rPr>
                <w:rtl/>
              </w:rPr>
              <w:t>يونيو</w:t>
            </w:r>
            <w:r w:rsidRPr="00477F9B">
              <w:rPr>
                <w:rtl/>
                <w:lang w:bidi="ar-EG"/>
              </w:rPr>
              <w:t>:</w:t>
            </w:r>
            <w:r w:rsidRPr="00477F9B">
              <w:rPr>
                <w:b/>
                <w:bCs/>
                <w:rtl/>
              </w:rPr>
              <w:t xml:space="preserve"> </w:t>
            </w:r>
            <w:r w:rsidR="00677FD2">
              <w:rPr>
                <w:b/>
                <w:bCs/>
              </w:rPr>
              <w:t>15</w:t>
            </w:r>
            <w:r w:rsidR="00477F9B" w:rsidRPr="00477F9B">
              <w:rPr>
                <w:b/>
                <w:bCs/>
              </w:rPr>
              <w:t>/1</w:t>
            </w:r>
            <w:r w:rsidR="00677FD2">
              <w:rPr>
                <w:b/>
                <w:bCs/>
              </w:rPr>
              <w:t>0</w:t>
            </w:r>
          </w:p>
        </w:tc>
        <w:tc>
          <w:tcPr>
            <w:tcW w:w="575" w:type="pct"/>
          </w:tcPr>
          <w:p w14:paraId="1A841495" w14:textId="53EA63B7" w:rsidR="005B6D9A" w:rsidRPr="00477F9B" w:rsidRDefault="005B6D9A" w:rsidP="00677FD2">
            <w:pPr>
              <w:pStyle w:val="Tabletext"/>
              <w:jc w:val="left"/>
              <w:rPr>
                <w:b/>
                <w:bCs/>
                <w:rtl/>
                <w:lang w:val="ar-SA" w:bidi="ar-EG"/>
              </w:rPr>
            </w:pPr>
            <w:r w:rsidRPr="00477F9B">
              <w:rPr>
                <w:rtl/>
              </w:rPr>
              <w:t>يونيو</w:t>
            </w:r>
            <w:r w:rsidRPr="00477F9B">
              <w:rPr>
                <w:rtl/>
                <w:lang w:bidi="ar-EG"/>
              </w:rPr>
              <w:t>:</w:t>
            </w:r>
            <w:r w:rsidRPr="00477F9B">
              <w:rPr>
                <w:b/>
                <w:bCs/>
                <w:rtl/>
              </w:rPr>
              <w:t xml:space="preserve"> </w:t>
            </w:r>
            <w:r w:rsidR="00677FD2">
              <w:rPr>
                <w:b/>
                <w:bCs/>
              </w:rPr>
              <w:t>11/8</w:t>
            </w:r>
          </w:p>
        </w:tc>
        <w:tc>
          <w:tcPr>
            <w:tcW w:w="606" w:type="pct"/>
          </w:tcPr>
          <w:p w14:paraId="581668D3" w14:textId="1E1A27B2" w:rsidR="005B6D9A" w:rsidRPr="00477F9B" w:rsidRDefault="005B6D9A" w:rsidP="00677FD2">
            <w:pPr>
              <w:pStyle w:val="Tabletext"/>
              <w:jc w:val="left"/>
              <w:rPr>
                <w:b/>
                <w:bCs/>
                <w:spacing w:val="-8"/>
                <w:rtl/>
                <w:lang w:val="ar-SA" w:bidi="ar-EG"/>
              </w:rPr>
            </w:pPr>
            <w:r w:rsidRPr="00477F9B">
              <w:rPr>
                <w:spacing w:val="-8"/>
                <w:rtl/>
              </w:rPr>
              <w:t>نوفمبر</w:t>
            </w:r>
            <w:r w:rsidRPr="00477F9B">
              <w:rPr>
                <w:spacing w:val="-8"/>
                <w:rtl/>
                <w:lang w:bidi="ar-EG"/>
              </w:rPr>
              <w:t>:</w:t>
            </w:r>
            <w:r w:rsidRPr="00477F9B">
              <w:rPr>
                <w:b/>
                <w:bCs/>
                <w:spacing w:val="-8"/>
                <w:rtl/>
              </w:rPr>
              <w:t xml:space="preserve"> </w:t>
            </w:r>
            <w:r w:rsidR="00677FD2">
              <w:rPr>
                <w:b/>
                <w:bCs/>
                <w:spacing w:val="-8"/>
              </w:rPr>
              <w:t>19/17</w:t>
            </w:r>
          </w:p>
        </w:tc>
        <w:tc>
          <w:tcPr>
            <w:tcW w:w="611" w:type="pct"/>
          </w:tcPr>
          <w:p w14:paraId="6EC0588A" w14:textId="1C5BB79B" w:rsidR="005B6D9A" w:rsidRPr="00477F9B" w:rsidRDefault="005B6D9A" w:rsidP="00677FD2">
            <w:pPr>
              <w:pStyle w:val="Tabletext"/>
              <w:jc w:val="left"/>
              <w:rPr>
                <w:b/>
                <w:bCs/>
                <w:spacing w:val="-8"/>
                <w:rtl/>
                <w:lang w:val="ar-SA" w:bidi="ar-EG"/>
              </w:rPr>
            </w:pPr>
            <w:r w:rsidRPr="00477F9B">
              <w:rPr>
                <w:spacing w:val="-8"/>
                <w:rtl/>
              </w:rPr>
              <w:t>ديسمبر</w:t>
            </w:r>
            <w:r w:rsidRPr="00477F9B">
              <w:rPr>
                <w:spacing w:val="-8"/>
                <w:rtl/>
                <w:lang w:bidi="ar-EG"/>
              </w:rPr>
              <w:t>:</w:t>
            </w:r>
            <w:r w:rsidRPr="00477F9B">
              <w:rPr>
                <w:b/>
                <w:bCs/>
                <w:spacing w:val="-8"/>
                <w:rtl/>
              </w:rPr>
              <w:t xml:space="preserve"> </w:t>
            </w:r>
            <w:r w:rsidR="00677FD2">
              <w:rPr>
                <w:b/>
                <w:bCs/>
                <w:spacing w:val="-8"/>
              </w:rPr>
              <w:t>19/13</w:t>
            </w:r>
          </w:p>
        </w:tc>
        <w:tc>
          <w:tcPr>
            <w:tcW w:w="663" w:type="pct"/>
          </w:tcPr>
          <w:p w14:paraId="6411A9EE" w14:textId="2EC5E787" w:rsidR="005B6D9A" w:rsidRPr="00477F9B" w:rsidRDefault="005B6D9A" w:rsidP="00677FD2">
            <w:pPr>
              <w:pStyle w:val="Tabletext"/>
              <w:jc w:val="left"/>
              <w:rPr>
                <w:b/>
                <w:bCs/>
                <w:rtl/>
                <w:lang w:val="ar-SA" w:bidi="ar-EG"/>
              </w:rPr>
            </w:pPr>
            <w:r w:rsidRPr="00477F9B">
              <w:rPr>
                <w:rtl/>
              </w:rPr>
              <w:t>مارس</w:t>
            </w:r>
            <w:r w:rsidRPr="00477F9B">
              <w:rPr>
                <w:rtl/>
                <w:lang w:bidi="ar-EG"/>
              </w:rPr>
              <w:t>:</w:t>
            </w:r>
            <w:r w:rsidRPr="00477F9B">
              <w:rPr>
                <w:b/>
                <w:bCs/>
                <w:rtl/>
              </w:rPr>
              <w:t xml:space="preserve"> </w:t>
            </w:r>
            <w:r w:rsidR="00677FD2">
              <w:rPr>
                <w:b/>
                <w:bCs/>
              </w:rPr>
              <w:t>14/7</w:t>
            </w:r>
          </w:p>
          <w:p w14:paraId="14B0FCC9" w14:textId="7143CC00" w:rsidR="005B6D9A" w:rsidRPr="00477F9B" w:rsidRDefault="005B6D9A" w:rsidP="00677FD2">
            <w:pPr>
              <w:pStyle w:val="Tabletext"/>
              <w:jc w:val="left"/>
              <w:rPr>
                <w:b/>
                <w:bCs/>
                <w:spacing w:val="-4"/>
                <w:rtl/>
                <w:lang w:val="ar-SA" w:bidi="ar-EG"/>
              </w:rPr>
            </w:pPr>
            <w:r w:rsidRPr="00477F9B">
              <w:rPr>
                <w:spacing w:val="-4"/>
                <w:rtl/>
              </w:rPr>
              <w:t>سبتمبر</w:t>
            </w:r>
            <w:r w:rsidRPr="00477F9B">
              <w:rPr>
                <w:spacing w:val="-4"/>
                <w:rtl/>
                <w:lang w:bidi="ar-EG"/>
              </w:rPr>
              <w:t>:</w:t>
            </w:r>
            <w:r w:rsidRPr="00477F9B">
              <w:rPr>
                <w:b/>
                <w:bCs/>
                <w:spacing w:val="-4"/>
                <w:rtl/>
              </w:rPr>
              <w:t xml:space="preserve"> </w:t>
            </w:r>
            <w:r w:rsidR="00677FD2">
              <w:rPr>
                <w:b/>
                <w:bCs/>
                <w:spacing w:val="-4"/>
              </w:rPr>
              <w:t>14/12</w:t>
            </w:r>
          </w:p>
        </w:tc>
        <w:tc>
          <w:tcPr>
            <w:tcW w:w="516" w:type="pct"/>
          </w:tcPr>
          <w:p w14:paraId="64DE5F05" w14:textId="0F4BE573" w:rsidR="005B6D9A" w:rsidRPr="00477F9B" w:rsidRDefault="005B6D9A" w:rsidP="00677FD2">
            <w:pPr>
              <w:pStyle w:val="Tabletext"/>
              <w:jc w:val="left"/>
              <w:rPr>
                <w:b/>
                <w:bCs/>
                <w:spacing w:val="-8"/>
                <w:rtl/>
                <w:lang w:val="ar-SA" w:bidi="ar-EG"/>
              </w:rPr>
            </w:pPr>
            <w:r w:rsidRPr="00477F9B">
              <w:rPr>
                <w:spacing w:val="-8"/>
                <w:rtl/>
              </w:rPr>
              <w:t>مارس</w:t>
            </w:r>
            <w:r w:rsidRPr="00477F9B">
              <w:rPr>
                <w:spacing w:val="-8"/>
                <w:rtl/>
                <w:lang w:bidi="ar-EG"/>
              </w:rPr>
              <w:t>:</w:t>
            </w:r>
            <w:r w:rsidRPr="00477F9B">
              <w:rPr>
                <w:b/>
                <w:bCs/>
                <w:spacing w:val="-8"/>
                <w:rtl/>
              </w:rPr>
              <w:t xml:space="preserve"> </w:t>
            </w:r>
            <w:r w:rsidR="00677FD2">
              <w:rPr>
                <w:b/>
                <w:bCs/>
                <w:spacing w:val="-8"/>
              </w:rPr>
              <w:t>10/8</w:t>
            </w:r>
          </w:p>
        </w:tc>
        <w:tc>
          <w:tcPr>
            <w:tcW w:w="658" w:type="pct"/>
          </w:tcPr>
          <w:p w14:paraId="41F01EE7" w14:textId="75C1998D" w:rsidR="005B6D9A" w:rsidRPr="00477F9B" w:rsidRDefault="005B6D9A" w:rsidP="00677FD2">
            <w:pPr>
              <w:pStyle w:val="Tabletext"/>
              <w:jc w:val="left"/>
              <w:rPr>
                <w:b/>
                <w:bCs/>
                <w:rtl/>
                <w:lang w:val="ar-SA" w:bidi="ar-EG"/>
              </w:rPr>
            </w:pPr>
            <w:r w:rsidRPr="00477F9B">
              <w:rPr>
                <w:rtl/>
              </w:rPr>
              <w:t>يناير</w:t>
            </w:r>
            <w:r w:rsidRPr="00477F9B">
              <w:rPr>
                <w:rtl/>
                <w:lang w:bidi="ar-EG"/>
              </w:rPr>
              <w:t>:</w:t>
            </w:r>
            <w:r w:rsidRPr="00477F9B">
              <w:rPr>
                <w:b/>
                <w:bCs/>
                <w:rtl/>
              </w:rPr>
              <w:t xml:space="preserve"> </w:t>
            </w:r>
            <w:r w:rsidR="00677FD2">
              <w:rPr>
                <w:b/>
                <w:bCs/>
              </w:rPr>
              <w:t>7/3</w:t>
            </w:r>
          </w:p>
          <w:p w14:paraId="33DE66D3" w14:textId="753231C8" w:rsidR="005B6D9A" w:rsidRPr="00477F9B" w:rsidRDefault="005B6D9A" w:rsidP="00677FD2">
            <w:pPr>
              <w:pStyle w:val="Tabletext"/>
              <w:jc w:val="left"/>
              <w:rPr>
                <w:b/>
                <w:bCs/>
                <w:rtl/>
                <w:lang w:val="ar-SA" w:bidi="ar-EG"/>
              </w:rPr>
            </w:pPr>
            <w:r w:rsidRPr="00477F9B">
              <w:rPr>
                <w:rtl/>
              </w:rPr>
              <w:t>مارس</w:t>
            </w:r>
            <w:r w:rsidRPr="00477F9B">
              <w:rPr>
                <w:rtl/>
                <w:lang w:bidi="ar-EG"/>
              </w:rPr>
              <w:t>:</w:t>
            </w:r>
            <w:r w:rsidRPr="00477F9B">
              <w:rPr>
                <w:b/>
                <w:bCs/>
                <w:rtl/>
              </w:rPr>
              <w:t xml:space="preserve"> </w:t>
            </w:r>
            <w:r w:rsidR="00677FD2">
              <w:rPr>
                <w:b/>
                <w:bCs/>
              </w:rPr>
              <w:t>7/3</w:t>
            </w:r>
          </w:p>
          <w:p w14:paraId="761B7D7F" w14:textId="2427A082" w:rsidR="005B6D9A" w:rsidRPr="00477F9B" w:rsidRDefault="005B6D9A" w:rsidP="00677FD2">
            <w:pPr>
              <w:pStyle w:val="Tabletext"/>
              <w:jc w:val="left"/>
              <w:rPr>
                <w:b/>
                <w:bCs/>
                <w:rtl/>
                <w:lang w:val="ar-SA" w:bidi="ar-EG"/>
              </w:rPr>
            </w:pPr>
            <w:r w:rsidRPr="00477F9B">
              <w:rPr>
                <w:rtl/>
              </w:rPr>
              <w:t>مايو</w:t>
            </w:r>
            <w:r w:rsidRPr="00477F9B">
              <w:rPr>
                <w:rtl/>
                <w:lang w:bidi="ar-EG"/>
              </w:rPr>
              <w:t>:</w:t>
            </w:r>
            <w:r w:rsidRPr="00477F9B">
              <w:rPr>
                <w:b/>
                <w:bCs/>
                <w:rtl/>
              </w:rPr>
              <w:t xml:space="preserve"> </w:t>
            </w:r>
            <w:r w:rsidR="00677FD2">
              <w:rPr>
                <w:b/>
                <w:bCs/>
              </w:rPr>
              <w:t>2/7</w:t>
            </w:r>
          </w:p>
          <w:p w14:paraId="17AA70F8" w14:textId="1BC5A045" w:rsidR="005B6D9A" w:rsidRPr="00477F9B" w:rsidRDefault="005B6D9A" w:rsidP="00677FD2">
            <w:pPr>
              <w:pStyle w:val="Tabletext"/>
              <w:jc w:val="left"/>
              <w:rPr>
                <w:b/>
                <w:bCs/>
                <w:rtl/>
                <w:lang w:val="ar-SA" w:bidi="ar-EG"/>
              </w:rPr>
            </w:pPr>
            <w:r w:rsidRPr="00477F9B">
              <w:rPr>
                <w:rtl/>
              </w:rPr>
              <w:t>يوليو</w:t>
            </w:r>
            <w:r w:rsidRPr="00477F9B">
              <w:rPr>
                <w:rtl/>
                <w:lang w:bidi="ar-EG"/>
              </w:rPr>
              <w:t>:</w:t>
            </w:r>
            <w:r w:rsidRPr="00477F9B">
              <w:rPr>
                <w:b/>
                <w:bCs/>
                <w:rtl/>
              </w:rPr>
              <w:t xml:space="preserve"> </w:t>
            </w:r>
            <w:r w:rsidR="00677FD2">
              <w:rPr>
                <w:b/>
                <w:bCs/>
              </w:rPr>
              <w:t>4/7</w:t>
            </w:r>
          </w:p>
          <w:p w14:paraId="00BC8914" w14:textId="1F93A539" w:rsidR="005B6D9A" w:rsidRPr="00477F9B" w:rsidRDefault="005B6D9A" w:rsidP="00677FD2">
            <w:pPr>
              <w:pStyle w:val="Tabletext"/>
              <w:jc w:val="left"/>
              <w:rPr>
                <w:b/>
                <w:bCs/>
                <w:rtl/>
                <w:lang w:val="ar-SA" w:bidi="ar-EG"/>
              </w:rPr>
            </w:pPr>
            <w:r w:rsidRPr="00477F9B">
              <w:rPr>
                <w:rtl/>
              </w:rPr>
              <w:t>أغسطس</w:t>
            </w:r>
            <w:r w:rsidRPr="00477F9B">
              <w:rPr>
                <w:rtl/>
                <w:lang w:bidi="ar-EG"/>
              </w:rPr>
              <w:t>:</w:t>
            </w:r>
            <w:r w:rsidRPr="00477F9B">
              <w:rPr>
                <w:b/>
                <w:bCs/>
                <w:rtl/>
              </w:rPr>
              <w:t xml:space="preserve"> </w:t>
            </w:r>
            <w:r w:rsidR="00677FD2">
              <w:rPr>
                <w:b/>
                <w:bCs/>
              </w:rPr>
              <w:t>7/3</w:t>
            </w:r>
          </w:p>
          <w:p w14:paraId="5BE37378" w14:textId="0AE0EBFC" w:rsidR="005B6D9A" w:rsidRPr="00477F9B" w:rsidRDefault="005B6D9A" w:rsidP="00677FD2">
            <w:pPr>
              <w:pStyle w:val="Tabletext"/>
              <w:jc w:val="left"/>
              <w:rPr>
                <w:b/>
                <w:bCs/>
                <w:rtl/>
                <w:lang w:val="ar-SA" w:bidi="ar-EG"/>
              </w:rPr>
            </w:pPr>
            <w:r w:rsidRPr="00477F9B">
              <w:rPr>
                <w:rtl/>
              </w:rPr>
              <w:t>سبتمبر</w:t>
            </w:r>
            <w:r w:rsidRPr="00477F9B">
              <w:rPr>
                <w:rtl/>
                <w:lang w:bidi="ar-EG"/>
              </w:rPr>
              <w:t>:</w:t>
            </w:r>
            <w:r w:rsidRPr="00477F9B">
              <w:rPr>
                <w:b/>
                <w:bCs/>
                <w:rtl/>
              </w:rPr>
              <w:t xml:space="preserve"> </w:t>
            </w:r>
            <w:r w:rsidR="00677FD2">
              <w:rPr>
                <w:b/>
                <w:bCs/>
              </w:rPr>
              <w:t>7/0</w:t>
            </w:r>
          </w:p>
          <w:p w14:paraId="3FD1AD11" w14:textId="2418DD39" w:rsidR="005B6D9A" w:rsidRPr="00477F9B" w:rsidRDefault="005B6D9A" w:rsidP="00677FD2">
            <w:pPr>
              <w:pStyle w:val="Tabletext"/>
              <w:jc w:val="left"/>
              <w:rPr>
                <w:rFonts w:hint="cs"/>
                <w:b/>
                <w:bCs/>
                <w:rtl/>
                <w:lang w:val="ar-SA" w:bidi="ar-EG"/>
              </w:rPr>
            </w:pPr>
            <w:r w:rsidRPr="00477F9B">
              <w:rPr>
                <w:rtl/>
              </w:rPr>
              <w:t>ديسمبر</w:t>
            </w:r>
            <w:r w:rsidRPr="00477F9B">
              <w:rPr>
                <w:rtl/>
                <w:lang w:bidi="ar-EG"/>
              </w:rPr>
              <w:t>:</w:t>
            </w:r>
            <w:r w:rsidRPr="00477F9B">
              <w:rPr>
                <w:b/>
                <w:bCs/>
                <w:rtl/>
              </w:rPr>
              <w:t xml:space="preserve"> </w:t>
            </w:r>
            <w:r w:rsidR="00677FD2">
              <w:rPr>
                <w:b/>
                <w:bCs/>
              </w:rPr>
              <w:t>7/4</w:t>
            </w:r>
          </w:p>
        </w:tc>
      </w:tr>
    </w:tbl>
    <w:p w14:paraId="367EF2F8" w14:textId="77777777" w:rsidR="005B6D9A" w:rsidRPr="005B6D9A" w:rsidRDefault="005B6D9A" w:rsidP="00311FB9">
      <w:pPr>
        <w:rPr>
          <w:lang w:val="ar-SA" w:bidi="ar-EG"/>
        </w:rPr>
      </w:pPr>
      <w:r w:rsidRPr="005B6D9A">
        <w:rPr>
          <w:rtl/>
        </w:rPr>
        <w:t>وكان عدد نواب رئيس الفريق الاستشاري للاتصالات الراديوية الحاضرين في الاجتماع الثاني والثلاثين للفريق الاستشاري للاتصالات الراديوية، الذي انعقد في الفترة 14-17 أبريل 2025، 9 من إجمالي 11 نائباً.</w:t>
      </w:r>
    </w:p>
    <w:bookmarkEnd w:id="6"/>
    <w:p w14:paraId="3F3BD80E" w14:textId="18DA5BDC" w:rsidR="005B6D9A" w:rsidRPr="006934C5" w:rsidRDefault="006934C5" w:rsidP="006934C5">
      <w:pPr>
        <w:pStyle w:val="Heading2"/>
      </w:pPr>
      <w:r>
        <w:t>10.4</w:t>
      </w:r>
      <w:r w:rsidR="005B6D9A" w:rsidRPr="005B6D9A">
        <w:rPr>
          <w:rtl/>
        </w:rPr>
        <w:tab/>
        <w:t xml:space="preserve">أنشطة الاجتماع التحضيري للمؤتمر </w:t>
      </w:r>
      <w:r w:rsidR="005B6D9A" w:rsidRPr="005B6D9A">
        <w:t>(CPM-27)</w:t>
      </w:r>
      <w:r w:rsidR="005B6D9A" w:rsidRPr="005B6D9A">
        <w:rPr>
          <w:rtl/>
        </w:rPr>
        <w:t xml:space="preserve"> والتحضير للدورة الثانية من الاجتماع التحضيري للمؤتمر </w:t>
      </w:r>
      <w:r w:rsidR="005B6D9A" w:rsidRPr="005B6D9A">
        <w:t>(CPM27-2)</w:t>
      </w:r>
    </w:p>
    <w:p w14:paraId="75DC6142" w14:textId="6CF4DB1A" w:rsidR="005B6D9A" w:rsidRPr="006934C5" w:rsidRDefault="005B6D9A" w:rsidP="00311FB9">
      <w:pPr>
        <w:rPr>
          <w:spacing w:val="-4"/>
          <w:lang w:val="ar-SA" w:bidi="ar-EG"/>
        </w:rPr>
      </w:pPr>
      <w:r w:rsidRPr="006934C5">
        <w:rPr>
          <w:spacing w:val="-4"/>
          <w:rtl/>
        </w:rPr>
        <w:t xml:space="preserve">يرد ملخص لأنشطة الاجتماع التحضيري للمؤتمر </w:t>
      </w:r>
      <w:r w:rsidRPr="006934C5">
        <w:rPr>
          <w:spacing w:val="-4"/>
          <w:lang w:bidi="ar-EG"/>
        </w:rPr>
        <w:t>(</w:t>
      </w:r>
      <w:r w:rsidRPr="006934C5">
        <w:rPr>
          <w:spacing w:val="-4"/>
        </w:rPr>
        <w:t>CPM-27</w:t>
      </w:r>
      <w:r w:rsidRPr="006934C5">
        <w:rPr>
          <w:spacing w:val="-4"/>
          <w:lang w:bidi="ar-EG"/>
        </w:rPr>
        <w:t>)</w:t>
      </w:r>
      <w:r w:rsidRPr="006934C5">
        <w:rPr>
          <w:spacing w:val="-4"/>
          <w:rtl/>
        </w:rPr>
        <w:t xml:space="preserve"> والتحضير للدورة الثانية من الاجتماع التحضيري للمؤتمر </w:t>
      </w:r>
      <w:r w:rsidRPr="006934C5">
        <w:rPr>
          <w:spacing w:val="-4"/>
          <w:lang w:bidi="ar-EG"/>
        </w:rPr>
        <w:t>(</w:t>
      </w:r>
      <w:r w:rsidRPr="006934C5">
        <w:rPr>
          <w:spacing w:val="-4"/>
        </w:rPr>
        <w:t>CPM27-2</w:t>
      </w:r>
      <w:r w:rsidRPr="006934C5">
        <w:rPr>
          <w:spacing w:val="-4"/>
          <w:lang w:bidi="ar-EG"/>
        </w:rPr>
        <w:t>)</w:t>
      </w:r>
      <w:r w:rsidRPr="006934C5">
        <w:rPr>
          <w:spacing w:val="-4"/>
          <w:rtl/>
        </w:rPr>
        <w:t xml:space="preserve"> في القسم </w:t>
      </w:r>
      <w:r w:rsidR="006934C5">
        <w:rPr>
          <w:spacing w:val="-4"/>
        </w:rPr>
        <w:t>2.4</w:t>
      </w:r>
      <w:r w:rsidRPr="006934C5">
        <w:rPr>
          <w:spacing w:val="-4"/>
          <w:rtl/>
        </w:rPr>
        <w:t xml:space="preserve"> من الوثيقة </w:t>
      </w:r>
      <w:hyperlink r:id="rId104" w:history="1">
        <w:r w:rsidR="006934C5" w:rsidRPr="0096603E">
          <w:rPr>
            <w:rStyle w:val="Hyperlink"/>
          </w:rPr>
          <w:t>RAG/58</w:t>
        </w:r>
      </w:hyperlink>
      <w:r w:rsidRPr="006934C5">
        <w:rPr>
          <w:spacing w:val="-4"/>
          <w:rtl/>
        </w:rPr>
        <w:t>.</w:t>
      </w:r>
    </w:p>
    <w:p w14:paraId="228C0874" w14:textId="77777777" w:rsidR="005B6D9A" w:rsidRPr="00D40E9D" w:rsidRDefault="005B6D9A" w:rsidP="00D40E9D">
      <w:pPr>
        <w:pStyle w:val="Heading1"/>
        <w:rPr>
          <w:spacing w:val="-4"/>
        </w:rPr>
      </w:pPr>
      <w:r w:rsidRPr="00D40E9D">
        <w:rPr>
          <w:spacing w:val="-4"/>
          <w:rtl/>
        </w:rPr>
        <w:t>5</w:t>
      </w:r>
      <w:r w:rsidRPr="00D40E9D">
        <w:rPr>
          <w:spacing w:val="-4"/>
          <w:rtl/>
        </w:rPr>
        <w:tab/>
        <w:t>إجراءات المتابعة التي طلب الفريق الاستشاري للاتصالات الراديوية تنفيذها في اجتماعه عام 2025</w:t>
      </w:r>
    </w:p>
    <w:p w14:paraId="712D1E22" w14:textId="77777777" w:rsidR="005B6D9A" w:rsidRPr="005B6D9A" w:rsidRDefault="005B6D9A" w:rsidP="00311FB9">
      <w:pPr>
        <w:rPr>
          <w:lang w:val="ar-SA" w:bidi="ar-EG"/>
        </w:rPr>
      </w:pPr>
      <w:r w:rsidRPr="005B6D9A">
        <w:rPr>
          <w:rtl/>
        </w:rPr>
        <w:t>نفذ المكتب الإجراءات التالية التي أيدها مدير مكتب الاتصالات الراديوية بناءً على مشورة من الفريق الاستشاري للاتصالات الراديوية خلال اجتماعه في أبريل 2025.</w:t>
      </w:r>
    </w:p>
    <w:p w14:paraId="6AE9EFF1" w14:textId="6ED6B7D1" w:rsidR="005B6D9A" w:rsidRPr="005B6D9A" w:rsidRDefault="00D40E9D" w:rsidP="00D40E9D">
      <w:pPr>
        <w:pStyle w:val="enumlev1"/>
        <w:rPr>
          <w:lang w:val="ar-SA" w:bidi="ar-EG"/>
        </w:rPr>
      </w:pPr>
      <w:r>
        <w:rPr>
          <w:rFonts w:hint="cs"/>
          <w:rtl/>
          <w:lang w:bidi="ar-EG"/>
        </w:rPr>
        <w:t>-</w:t>
      </w:r>
      <w:r w:rsidR="005B6D9A" w:rsidRPr="005B6D9A">
        <w:rPr>
          <w:rtl/>
        </w:rPr>
        <w:tab/>
        <w:t xml:space="preserve">أرسل المكتب </w:t>
      </w:r>
      <w:hyperlink r:id="rId105" w:history="1">
        <w:r w:rsidR="005B6D9A" w:rsidRPr="00D40E9D">
          <w:rPr>
            <w:rStyle w:val="Hyperlink"/>
            <w:rtl/>
          </w:rPr>
          <w:t>وثيقة</w:t>
        </w:r>
      </w:hyperlink>
      <w:r w:rsidR="005B6D9A" w:rsidRPr="005B6D9A">
        <w:rPr>
          <w:rtl/>
        </w:rPr>
        <w:t xml:space="preserve"> إلى جميع لجان الدراسات وفرق العمل ولجنة التنسيق المعنية بالمفردات في قطاع الاتصالات الراديوية، لتوجيه عناية لجان الدراسات</w:t>
      </w:r>
      <w:r w:rsidR="004E1114">
        <w:rPr>
          <w:rFonts w:hint="cs"/>
          <w:rtl/>
        </w:rPr>
        <w:t xml:space="preserve"> </w:t>
      </w:r>
      <w:r w:rsidR="004E1114">
        <w:t>(SG)</w:t>
      </w:r>
      <w:r w:rsidR="005B6D9A" w:rsidRPr="005B6D9A">
        <w:rPr>
          <w:rtl/>
        </w:rPr>
        <w:t xml:space="preserve"> بالقطاع وأفرقتها الفرعية ورؤسائها إلى موجز استنتاجات الاجتماع الثاني والثلاثين للفريق الاستشاري للاتصالات الراديوية، الذي يمكن الاطلاع عليه في الرسالة الإدارية المعممة </w:t>
      </w:r>
      <w:hyperlink r:id="rId106" w:history="1">
        <w:r w:rsidRPr="00E0223E">
          <w:rPr>
            <w:rStyle w:val="Hyperlink"/>
          </w:rPr>
          <w:t>CA/277</w:t>
        </w:r>
      </w:hyperlink>
      <w:r w:rsidR="005B6D9A" w:rsidRPr="005B6D9A">
        <w:rPr>
          <w:rtl/>
        </w:rPr>
        <w:t>، فضلاً عن تقديم معلومات إضافية عن العديد من هذه الاستنتاجات المتعلقة بأنشطة لجان الدراسات. وقد أقرت جميع لجان الدراسات باستلام هذه الوثيقة، وباشرت عملها وفقاً لذلك.</w:t>
      </w:r>
    </w:p>
    <w:p w14:paraId="2BA6D87A" w14:textId="2B14B40C" w:rsidR="005B6D9A" w:rsidRPr="005B6D9A" w:rsidRDefault="00D40E9D" w:rsidP="00D40E9D">
      <w:pPr>
        <w:pStyle w:val="enumlev1"/>
        <w:rPr>
          <w:lang w:val="ar-SA" w:bidi="ar-EG"/>
        </w:rPr>
      </w:pPr>
      <w:r>
        <w:rPr>
          <w:rFonts w:hint="cs"/>
          <w:rtl/>
          <w:lang w:bidi="ar-EG"/>
        </w:rPr>
        <w:t>-</w:t>
      </w:r>
      <w:r w:rsidR="005B6D9A" w:rsidRPr="005B6D9A">
        <w:rPr>
          <w:rtl/>
        </w:rPr>
        <w:tab/>
        <w:t>بناءً على طلبات الإدارات، أتيحت الترجمة الشفوية باللغتين الفرنسية والروسية في جميع اجتماعات لجان الدراسات بقطاع الاتصالات الراديوية.</w:t>
      </w:r>
    </w:p>
    <w:p w14:paraId="3ACB97C3" w14:textId="259D64CD" w:rsidR="005B6D9A" w:rsidRPr="005B6D9A" w:rsidRDefault="00D40E9D" w:rsidP="00D40E9D">
      <w:pPr>
        <w:pStyle w:val="enumlev1"/>
        <w:rPr>
          <w:lang w:val="ar-SA" w:bidi="ar-EG"/>
        </w:rPr>
      </w:pPr>
      <w:r>
        <w:rPr>
          <w:rFonts w:hint="cs"/>
          <w:rtl/>
          <w:lang w:bidi="ar-EG"/>
        </w:rPr>
        <w:lastRenderedPageBreak/>
        <w:t>-</w:t>
      </w:r>
      <w:r w:rsidR="005B6D9A" w:rsidRPr="005B6D9A">
        <w:rPr>
          <w:rtl/>
        </w:rPr>
        <w:tab/>
        <w:t>تتوفر التقارير المرحلية المقدمة من كل لجنة دراسات بشأن تنفيذ قرارات قطاع الاتصالات الراديوية والمؤتمرات العالمية للاتصالات الراديوية/المؤتمرات الإدارية العالمية للراديو على الصفحات الإلكترونية لكل منها، و/أو ستُدرج في</w:t>
      </w:r>
      <w:r w:rsidR="00D51931">
        <w:t> </w:t>
      </w:r>
      <w:r w:rsidR="005B6D9A" w:rsidRPr="005B6D9A">
        <w:rPr>
          <w:rtl/>
        </w:rPr>
        <w:t xml:space="preserve">تقارير رؤساء لجان الدراسات إلى جمعية الاتصالات الراديوية لعام 2027، حسبما تقتضي الحاجة. وترد المعلومات ذات الصلة بلجنة التنسيق المعنية بالمفردات في القسم </w:t>
      </w:r>
      <w:r w:rsidR="00D51931">
        <w:t>8-4</w:t>
      </w:r>
      <w:r w:rsidR="005B6D9A" w:rsidRPr="005B6D9A">
        <w:rPr>
          <w:rtl/>
        </w:rPr>
        <w:t xml:space="preserve"> أعلاه.</w:t>
      </w:r>
    </w:p>
    <w:p w14:paraId="2F89ECB5" w14:textId="2FED82A7" w:rsidR="005B6D9A" w:rsidRPr="005B6D9A" w:rsidRDefault="00D40E9D" w:rsidP="00D40E9D">
      <w:pPr>
        <w:pStyle w:val="enumlev1"/>
        <w:rPr>
          <w:lang w:val="ar-SA" w:bidi="ar-EG"/>
        </w:rPr>
      </w:pPr>
      <w:r>
        <w:rPr>
          <w:rFonts w:hint="cs"/>
          <w:rtl/>
          <w:lang w:bidi="ar-EG"/>
        </w:rPr>
        <w:t>-</w:t>
      </w:r>
      <w:r w:rsidR="005B6D9A" w:rsidRPr="005B6D9A">
        <w:rPr>
          <w:rtl/>
        </w:rPr>
        <w:tab/>
        <w:t xml:space="preserve">ترد في الوثيقة </w:t>
      </w:r>
      <w:hyperlink r:id="rId107" w:history="1">
        <w:r w:rsidRPr="00BF2F35">
          <w:rPr>
            <w:rStyle w:val="Hyperlink"/>
          </w:rPr>
          <w:t>RAG/58</w:t>
        </w:r>
      </w:hyperlink>
      <w:r w:rsidR="005B6D9A" w:rsidRPr="005B6D9A">
        <w:rPr>
          <w:rtl/>
        </w:rPr>
        <w:t xml:space="preserve"> (الملحق 1 بالإضافة 1) نسخة محدثة من المبادئ التوجيهية المتصلة بالقرار ITU-R 1-9، تتضمن تعديلات اقترحتها بعض الإدارات.</w:t>
      </w:r>
    </w:p>
    <w:p w14:paraId="594A9F90" w14:textId="4D0D89B6" w:rsidR="005B6D9A" w:rsidRPr="00677FD2" w:rsidRDefault="00D40E9D" w:rsidP="00D40E9D">
      <w:pPr>
        <w:pStyle w:val="enumlev1"/>
        <w:rPr>
          <w:lang w:val="ar-SA" w:bidi="ar-EG"/>
        </w:rPr>
      </w:pPr>
      <w:r>
        <w:rPr>
          <w:rFonts w:hint="cs"/>
          <w:rtl/>
          <w:lang w:bidi="ar-EG"/>
        </w:rPr>
        <w:t>-</w:t>
      </w:r>
      <w:r w:rsidR="005B6D9A" w:rsidRPr="005B6D9A">
        <w:rPr>
          <w:rtl/>
        </w:rPr>
        <w:tab/>
        <w:t xml:space="preserve">أعد المكتب مقتطفاً من القواعد العامة لمؤتمرات الاتحاد وجمعياته واجتماعاته فيما يتعلق بإدارة اجتماعات لجان الدراسات، وأتاحه على </w:t>
      </w:r>
      <w:hyperlink r:id="rId108" w:history="1">
        <w:r w:rsidR="005B6D9A" w:rsidRPr="00677FD2">
          <w:rPr>
            <w:rStyle w:val="Hyperlink"/>
            <w:rtl/>
          </w:rPr>
          <w:t>الإنترنت</w:t>
        </w:r>
      </w:hyperlink>
      <w:r w:rsidR="005B6D9A" w:rsidRPr="00677FD2">
        <w:rPr>
          <w:rtl/>
        </w:rPr>
        <w:t>.</w:t>
      </w:r>
    </w:p>
    <w:p w14:paraId="1ED83FEA" w14:textId="76CCB91E" w:rsidR="005B6D9A" w:rsidRPr="005B6D9A" w:rsidRDefault="00D40E9D" w:rsidP="00D40E9D">
      <w:pPr>
        <w:pStyle w:val="enumlev1"/>
        <w:rPr>
          <w:lang w:val="ar-SA" w:bidi="ar-EG"/>
        </w:rPr>
      </w:pPr>
      <w:r w:rsidRPr="00677FD2">
        <w:rPr>
          <w:rFonts w:hint="cs"/>
          <w:rtl/>
          <w:lang w:bidi="ar-EG"/>
        </w:rPr>
        <w:t>-</w:t>
      </w:r>
      <w:r w:rsidR="005B6D9A" w:rsidRPr="00677FD2">
        <w:rPr>
          <w:rtl/>
        </w:rPr>
        <w:tab/>
        <w:t xml:space="preserve">فيما يتعلق بنسق (شكل) جداول أعمال فرق العمل وتقارير الرؤساء، أعد المكتب أمثلة عليها وأتاحها على </w:t>
      </w:r>
      <w:hyperlink r:id="rId109" w:history="1">
        <w:r w:rsidR="005B6D9A" w:rsidRPr="00677FD2">
          <w:rPr>
            <w:rStyle w:val="Hyperlink"/>
            <w:rtl/>
          </w:rPr>
          <w:t>الإنترنت</w:t>
        </w:r>
      </w:hyperlink>
      <w:r w:rsidR="005B6D9A" w:rsidRPr="00677FD2">
        <w:rPr>
          <w:rtl/>
        </w:rPr>
        <w:t>.</w:t>
      </w:r>
    </w:p>
    <w:p w14:paraId="6918BD5C" w14:textId="18E49620" w:rsidR="005B6D9A" w:rsidRPr="005B6D9A" w:rsidRDefault="00D40E9D" w:rsidP="00D40E9D">
      <w:pPr>
        <w:pStyle w:val="enumlev1"/>
        <w:rPr>
          <w:lang w:val="ar-SA" w:bidi="ar-EG"/>
        </w:rPr>
      </w:pPr>
      <w:r>
        <w:rPr>
          <w:rFonts w:hint="cs"/>
          <w:rtl/>
          <w:lang w:bidi="ar-EG"/>
        </w:rPr>
        <w:t>-</w:t>
      </w:r>
      <w:r w:rsidR="005B6D9A" w:rsidRPr="005B6D9A">
        <w:rPr>
          <w:rtl/>
        </w:rPr>
        <w:tab/>
        <w:t xml:space="preserve">يرد في الوثيقة </w:t>
      </w:r>
      <w:hyperlink r:id="rId110" w:history="1">
        <w:r w:rsidRPr="00BF2F35">
          <w:rPr>
            <w:rStyle w:val="Hyperlink"/>
          </w:rPr>
          <w:t>RAG/58</w:t>
        </w:r>
      </w:hyperlink>
      <w:r w:rsidR="005B6D9A" w:rsidRPr="005B6D9A">
        <w:rPr>
          <w:rtl/>
        </w:rPr>
        <w:t xml:space="preserve"> (الملحق 2 بالإضافة 1) تقرير عن التحديات وأوجه التداخل وفرص التحسين في نطاق العمل</w:t>
      </w:r>
      <w:r w:rsidR="00D51931">
        <w:rPr>
          <w:rFonts w:hint="cs"/>
          <w:rtl/>
        </w:rPr>
        <w:t> </w:t>
      </w:r>
      <w:r w:rsidR="005B6D9A" w:rsidRPr="005B6D9A">
        <w:rPr>
          <w:rtl/>
        </w:rPr>
        <w:t>الحالي.</w:t>
      </w:r>
    </w:p>
    <w:p w14:paraId="75256BF4" w14:textId="57FB5DCB" w:rsidR="005B6D9A" w:rsidRPr="005B6D9A" w:rsidRDefault="00D40E9D" w:rsidP="00D40E9D">
      <w:pPr>
        <w:pStyle w:val="enumlev1"/>
        <w:rPr>
          <w:lang w:val="ar-SA" w:bidi="ar-EG"/>
        </w:rPr>
      </w:pPr>
      <w:r>
        <w:rPr>
          <w:rFonts w:hint="cs"/>
          <w:rtl/>
          <w:lang w:bidi="ar-EG"/>
        </w:rPr>
        <w:t>-</w:t>
      </w:r>
      <w:r w:rsidR="005B6D9A" w:rsidRPr="005B6D9A">
        <w:rPr>
          <w:rtl/>
        </w:rPr>
        <w:tab/>
        <w:t xml:space="preserve">صدرت رسالة معممة تدعو الإدارات إلى تشجيع الخبراء والعلماء في المؤسسات الأكاديمية والبحثية على المشاركة والمساهمة في عمل لجنة الدراسات 3 (انظر الرسالة الإدارية المعممة </w:t>
      </w:r>
      <w:hyperlink r:id="rId111" w:history="1">
        <w:r w:rsidRPr="007702DC">
          <w:rPr>
            <w:rStyle w:val="Hyperlink"/>
          </w:rPr>
          <w:t>CACE/1151</w:t>
        </w:r>
      </w:hyperlink>
      <w:r>
        <w:rPr>
          <w:rFonts w:hint="cs"/>
          <w:rtl/>
          <w:lang w:bidi="ar-EG"/>
        </w:rPr>
        <w:t>)</w:t>
      </w:r>
      <w:r w:rsidR="005B6D9A" w:rsidRPr="005B6D9A">
        <w:rPr>
          <w:rtl/>
        </w:rPr>
        <w:t>.</w:t>
      </w:r>
    </w:p>
    <w:p w14:paraId="1311A5EC"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112"/>
      <w:headerReference w:type="default" r:id="rId113"/>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7357" w14:textId="77777777" w:rsidR="002A0072" w:rsidRDefault="002A0072" w:rsidP="002919E1">
      <w:r>
        <w:separator/>
      </w:r>
    </w:p>
    <w:p w14:paraId="425589B3" w14:textId="77777777" w:rsidR="002A0072" w:rsidRDefault="002A0072" w:rsidP="002919E1"/>
    <w:p w14:paraId="66908199" w14:textId="77777777" w:rsidR="002A0072" w:rsidRDefault="002A0072" w:rsidP="002919E1"/>
    <w:p w14:paraId="50C8C829" w14:textId="77777777" w:rsidR="002A0072" w:rsidRDefault="002A0072"/>
  </w:endnote>
  <w:endnote w:type="continuationSeparator" w:id="0">
    <w:p w14:paraId="2688AF85" w14:textId="77777777" w:rsidR="002A0072" w:rsidRDefault="002A0072" w:rsidP="002919E1">
      <w:r>
        <w:continuationSeparator/>
      </w:r>
    </w:p>
    <w:p w14:paraId="64C2426D" w14:textId="77777777" w:rsidR="002A0072" w:rsidRDefault="002A0072" w:rsidP="002919E1"/>
    <w:p w14:paraId="0B7B49E2" w14:textId="77777777" w:rsidR="002A0072" w:rsidRDefault="002A0072" w:rsidP="002919E1"/>
    <w:p w14:paraId="13CE275D" w14:textId="77777777" w:rsidR="002A0072" w:rsidRDefault="002A0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FEE78" w14:textId="77777777" w:rsidR="002A0072" w:rsidRDefault="002A0072" w:rsidP="002919E1">
      <w:r>
        <w:separator/>
      </w:r>
    </w:p>
  </w:footnote>
  <w:footnote w:type="continuationSeparator" w:id="0">
    <w:p w14:paraId="5A9C58D7" w14:textId="77777777" w:rsidR="002A0072" w:rsidRDefault="002A0072" w:rsidP="002919E1">
      <w:r>
        <w:continuationSeparator/>
      </w:r>
    </w:p>
    <w:p w14:paraId="3B09248B" w14:textId="77777777" w:rsidR="002A0072" w:rsidRDefault="002A0072" w:rsidP="002919E1"/>
    <w:p w14:paraId="68CBCCAC" w14:textId="77777777" w:rsidR="002A0072" w:rsidRDefault="002A0072" w:rsidP="002919E1"/>
    <w:p w14:paraId="6D77DD11" w14:textId="77777777" w:rsidR="002A0072" w:rsidRDefault="002A00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F224" w14:textId="77777777" w:rsidR="00281F5F" w:rsidRDefault="00281F5F" w:rsidP="002919E1"/>
  <w:p w14:paraId="0EBE3968" w14:textId="77777777" w:rsidR="00281F5F" w:rsidRDefault="00281F5F" w:rsidP="002919E1"/>
  <w:p w14:paraId="32ACF498"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8CCC" w14:textId="46CEA4B9"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311FB9">
      <w:rPr>
        <w:rStyle w:val="PageNumber"/>
      </w:rPr>
      <w:t>58(Add.1)</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4C50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B8A3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42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1AC1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E4A8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22BB3"/>
    <w:multiLevelType w:val="hybridMultilevel"/>
    <w:tmpl w:val="1C58BC1C"/>
    <w:lvl w:ilvl="0" w:tplc="D166D5FE">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2"/>
  </w:num>
  <w:num w:numId="3" w16cid:durableId="676006606">
    <w:abstractNumId w:val="11"/>
  </w:num>
  <w:num w:numId="4" w16cid:durableId="903955018">
    <w:abstractNumId w:val="13"/>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 w:numId="14" w16cid:durableId="1453282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D1"/>
    <w:rsid w:val="00011021"/>
    <w:rsid w:val="000114EC"/>
    <w:rsid w:val="00011F8C"/>
    <w:rsid w:val="00017BE5"/>
    <w:rsid w:val="00022B74"/>
    <w:rsid w:val="0002327C"/>
    <w:rsid w:val="00034B65"/>
    <w:rsid w:val="00040C94"/>
    <w:rsid w:val="000425FC"/>
    <w:rsid w:val="00044D43"/>
    <w:rsid w:val="00051907"/>
    <w:rsid w:val="00075A3F"/>
    <w:rsid w:val="00092EC3"/>
    <w:rsid w:val="000A1B16"/>
    <w:rsid w:val="000B3896"/>
    <w:rsid w:val="000B5404"/>
    <w:rsid w:val="000D1708"/>
    <w:rsid w:val="000E2AFC"/>
    <w:rsid w:val="000E6D30"/>
    <w:rsid w:val="000F05F5"/>
    <w:rsid w:val="000F518F"/>
    <w:rsid w:val="0010081C"/>
    <w:rsid w:val="001013E3"/>
    <w:rsid w:val="0010363F"/>
    <w:rsid w:val="00105C46"/>
    <w:rsid w:val="00110B79"/>
    <w:rsid w:val="00123AA6"/>
    <w:rsid w:val="0012545F"/>
    <w:rsid w:val="00136B82"/>
    <w:rsid w:val="00144257"/>
    <w:rsid w:val="001464F2"/>
    <w:rsid w:val="00167364"/>
    <w:rsid w:val="001903B2"/>
    <w:rsid w:val="001B4D49"/>
    <w:rsid w:val="001B5953"/>
    <w:rsid w:val="001D746E"/>
    <w:rsid w:val="001E190C"/>
    <w:rsid w:val="001E51EE"/>
    <w:rsid w:val="001E54F6"/>
    <w:rsid w:val="001E5A8C"/>
    <w:rsid w:val="001E6923"/>
    <w:rsid w:val="00201A0A"/>
    <w:rsid w:val="002075D4"/>
    <w:rsid w:val="00211B2A"/>
    <w:rsid w:val="00223C6C"/>
    <w:rsid w:val="002333A0"/>
    <w:rsid w:val="002543CF"/>
    <w:rsid w:val="0026062E"/>
    <w:rsid w:val="00260F50"/>
    <w:rsid w:val="00261EF7"/>
    <w:rsid w:val="0027069F"/>
    <w:rsid w:val="00280E04"/>
    <w:rsid w:val="00281F5F"/>
    <w:rsid w:val="002843E4"/>
    <w:rsid w:val="00290CD2"/>
    <w:rsid w:val="002917AB"/>
    <w:rsid w:val="002919E1"/>
    <w:rsid w:val="00295917"/>
    <w:rsid w:val="00296071"/>
    <w:rsid w:val="002A0072"/>
    <w:rsid w:val="002A4572"/>
    <w:rsid w:val="002A7E2E"/>
    <w:rsid w:val="002B12C5"/>
    <w:rsid w:val="002B16D8"/>
    <w:rsid w:val="002D5F64"/>
    <w:rsid w:val="002D6BB4"/>
    <w:rsid w:val="002D6FBF"/>
    <w:rsid w:val="002E48BF"/>
    <w:rsid w:val="002E61C2"/>
    <w:rsid w:val="002F3031"/>
    <w:rsid w:val="002F3E46"/>
    <w:rsid w:val="0030601A"/>
    <w:rsid w:val="00311E3F"/>
    <w:rsid w:val="00311FB9"/>
    <w:rsid w:val="00314B1E"/>
    <w:rsid w:val="0033737F"/>
    <w:rsid w:val="00353652"/>
    <w:rsid w:val="003544DF"/>
    <w:rsid w:val="003569E1"/>
    <w:rsid w:val="0037680B"/>
    <w:rsid w:val="003815E2"/>
    <w:rsid w:val="00381FAD"/>
    <w:rsid w:val="003825B4"/>
    <w:rsid w:val="00382A66"/>
    <w:rsid w:val="003833F2"/>
    <w:rsid w:val="003923B1"/>
    <w:rsid w:val="0039465C"/>
    <w:rsid w:val="003965FE"/>
    <w:rsid w:val="003B27AD"/>
    <w:rsid w:val="003B4F23"/>
    <w:rsid w:val="003C12F6"/>
    <w:rsid w:val="003C3A13"/>
    <w:rsid w:val="003E02EF"/>
    <w:rsid w:val="003E1D90"/>
    <w:rsid w:val="00400CD4"/>
    <w:rsid w:val="004147B9"/>
    <w:rsid w:val="00422C04"/>
    <w:rsid w:val="00423A40"/>
    <w:rsid w:val="00426144"/>
    <w:rsid w:val="004352B4"/>
    <w:rsid w:val="004636E2"/>
    <w:rsid w:val="00464B03"/>
    <w:rsid w:val="00470CBD"/>
    <w:rsid w:val="0047407D"/>
    <w:rsid w:val="00477F9B"/>
    <w:rsid w:val="004909DD"/>
    <w:rsid w:val="004A05E6"/>
    <w:rsid w:val="004A6230"/>
    <w:rsid w:val="004A6C66"/>
    <w:rsid w:val="004A7AA0"/>
    <w:rsid w:val="004C11BC"/>
    <w:rsid w:val="004C2BFF"/>
    <w:rsid w:val="004C5C04"/>
    <w:rsid w:val="004D0448"/>
    <w:rsid w:val="004D4AE6"/>
    <w:rsid w:val="004E1114"/>
    <w:rsid w:val="004F0BED"/>
    <w:rsid w:val="00505FCA"/>
    <w:rsid w:val="00510C2D"/>
    <w:rsid w:val="00516042"/>
    <w:rsid w:val="005166A4"/>
    <w:rsid w:val="005169F4"/>
    <w:rsid w:val="005210D1"/>
    <w:rsid w:val="00523146"/>
    <w:rsid w:val="00523275"/>
    <w:rsid w:val="00530161"/>
    <w:rsid w:val="00531DC7"/>
    <w:rsid w:val="005341FF"/>
    <w:rsid w:val="005350B0"/>
    <w:rsid w:val="005431B5"/>
    <w:rsid w:val="00546A99"/>
    <w:rsid w:val="00553411"/>
    <w:rsid w:val="00553F66"/>
    <w:rsid w:val="00554AE7"/>
    <w:rsid w:val="00564746"/>
    <w:rsid w:val="0056512C"/>
    <w:rsid w:val="00567F38"/>
    <w:rsid w:val="005730DF"/>
    <w:rsid w:val="0057610B"/>
    <w:rsid w:val="00576D0A"/>
    <w:rsid w:val="00576FCC"/>
    <w:rsid w:val="00584333"/>
    <w:rsid w:val="005953EC"/>
    <w:rsid w:val="005B00A1"/>
    <w:rsid w:val="005B37C0"/>
    <w:rsid w:val="005B6D9A"/>
    <w:rsid w:val="005C29C8"/>
    <w:rsid w:val="005C5D25"/>
    <w:rsid w:val="005D2606"/>
    <w:rsid w:val="005D6D48"/>
    <w:rsid w:val="005D72A4"/>
    <w:rsid w:val="005F05CC"/>
    <w:rsid w:val="005F65DE"/>
    <w:rsid w:val="00613492"/>
    <w:rsid w:val="00630905"/>
    <w:rsid w:val="006315B5"/>
    <w:rsid w:val="0063381D"/>
    <w:rsid w:val="00636A63"/>
    <w:rsid w:val="0065562F"/>
    <w:rsid w:val="006577C0"/>
    <w:rsid w:val="00662DB0"/>
    <w:rsid w:val="006779A4"/>
    <w:rsid w:val="00677FD2"/>
    <w:rsid w:val="00680A66"/>
    <w:rsid w:val="00681391"/>
    <w:rsid w:val="006934C5"/>
    <w:rsid w:val="00694690"/>
    <w:rsid w:val="0069526C"/>
    <w:rsid w:val="006A093D"/>
    <w:rsid w:val="006A12AC"/>
    <w:rsid w:val="006A2162"/>
    <w:rsid w:val="006B4B90"/>
    <w:rsid w:val="006B658C"/>
    <w:rsid w:val="006D2674"/>
    <w:rsid w:val="006E38D0"/>
    <w:rsid w:val="006E465B"/>
    <w:rsid w:val="006F70BF"/>
    <w:rsid w:val="00716B1D"/>
    <w:rsid w:val="007248EC"/>
    <w:rsid w:val="00726744"/>
    <w:rsid w:val="00731150"/>
    <w:rsid w:val="00731749"/>
    <w:rsid w:val="00734E41"/>
    <w:rsid w:val="007351CE"/>
    <w:rsid w:val="00736DCC"/>
    <w:rsid w:val="00741855"/>
    <w:rsid w:val="00742B73"/>
    <w:rsid w:val="00751251"/>
    <w:rsid w:val="00754431"/>
    <w:rsid w:val="007610E7"/>
    <w:rsid w:val="00764079"/>
    <w:rsid w:val="00770AA0"/>
    <w:rsid w:val="00771F7E"/>
    <w:rsid w:val="00773E9C"/>
    <w:rsid w:val="00776F6B"/>
    <w:rsid w:val="00777694"/>
    <w:rsid w:val="00786A7E"/>
    <w:rsid w:val="00794AA1"/>
    <w:rsid w:val="007A0802"/>
    <w:rsid w:val="007B1FCA"/>
    <w:rsid w:val="007C2C12"/>
    <w:rsid w:val="007C3CFA"/>
    <w:rsid w:val="007E0E8B"/>
    <w:rsid w:val="007E6847"/>
    <w:rsid w:val="007E6B0A"/>
    <w:rsid w:val="007F08CA"/>
    <w:rsid w:val="007F7FC3"/>
    <w:rsid w:val="00801238"/>
    <w:rsid w:val="00810482"/>
    <w:rsid w:val="00817568"/>
    <w:rsid w:val="008204AC"/>
    <w:rsid w:val="00822E10"/>
    <w:rsid w:val="008261C2"/>
    <w:rsid w:val="00827482"/>
    <w:rsid w:val="00830D96"/>
    <w:rsid w:val="008551D1"/>
    <w:rsid w:val="0085569D"/>
    <w:rsid w:val="00855B59"/>
    <w:rsid w:val="0085774F"/>
    <w:rsid w:val="008579A5"/>
    <w:rsid w:val="008614B8"/>
    <w:rsid w:val="008657CB"/>
    <w:rsid w:val="00871E9F"/>
    <w:rsid w:val="00873A6F"/>
    <w:rsid w:val="0088384B"/>
    <w:rsid w:val="00893E53"/>
    <w:rsid w:val="008A1137"/>
    <w:rsid w:val="008A1788"/>
    <w:rsid w:val="008A3E57"/>
    <w:rsid w:val="008A4185"/>
    <w:rsid w:val="008A6552"/>
    <w:rsid w:val="008B4E93"/>
    <w:rsid w:val="008B52B7"/>
    <w:rsid w:val="008C3818"/>
    <w:rsid w:val="008D6ACC"/>
    <w:rsid w:val="008D7AF0"/>
    <w:rsid w:val="008E2CBE"/>
    <w:rsid w:val="008E32DD"/>
    <w:rsid w:val="008F4626"/>
    <w:rsid w:val="009004DF"/>
    <w:rsid w:val="00904AA5"/>
    <w:rsid w:val="00906BFA"/>
    <w:rsid w:val="00916E40"/>
    <w:rsid w:val="00951718"/>
    <w:rsid w:val="00960962"/>
    <w:rsid w:val="00972CE0"/>
    <w:rsid w:val="009A3D30"/>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66D2B"/>
    <w:rsid w:val="00A809E8"/>
    <w:rsid w:val="00A85B65"/>
    <w:rsid w:val="00A870AD"/>
    <w:rsid w:val="00A90843"/>
    <w:rsid w:val="00A9645C"/>
    <w:rsid w:val="00AA67CE"/>
    <w:rsid w:val="00AB2A33"/>
    <w:rsid w:val="00AC1275"/>
    <w:rsid w:val="00AC7395"/>
    <w:rsid w:val="00AD162B"/>
    <w:rsid w:val="00AD690F"/>
    <w:rsid w:val="00AD69DD"/>
    <w:rsid w:val="00AE6B26"/>
    <w:rsid w:val="00AF22C1"/>
    <w:rsid w:val="00AF3EFA"/>
    <w:rsid w:val="00AF41D1"/>
    <w:rsid w:val="00B01623"/>
    <w:rsid w:val="00B033DF"/>
    <w:rsid w:val="00B039AD"/>
    <w:rsid w:val="00B055AB"/>
    <w:rsid w:val="00B07CEE"/>
    <w:rsid w:val="00B12661"/>
    <w:rsid w:val="00B16045"/>
    <w:rsid w:val="00B1667D"/>
    <w:rsid w:val="00B1714C"/>
    <w:rsid w:val="00B357E9"/>
    <w:rsid w:val="00B4164D"/>
    <w:rsid w:val="00B425C1"/>
    <w:rsid w:val="00B606BA"/>
    <w:rsid w:val="00B66817"/>
    <w:rsid w:val="00B71E3B"/>
    <w:rsid w:val="00B721D5"/>
    <w:rsid w:val="00B81CB5"/>
    <w:rsid w:val="00B8351F"/>
    <w:rsid w:val="00B85542"/>
    <w:rsid w:val="00B86C44"/>
    <w:rsid w:val="00B9727C"/>
    <w:rsid w:val="00BA7D44"/>
    <w:rsid w:val="00BD6291"/>
    <w:rsid w:val="00BD6EF3"/>
    <w:rsid w:val="00BE69C3"/>
    <w:rsid w:val="00C00628"/>
    <w:rsid w:val="00C1165E"/>
    <w:rsid w:val="00C22074"/>
    <w:rsid w:val="00C2377B"/>
    <w:rsid w:val="00C34E09"/>
    <w:rsid w:val="00C3693C"/>
    <w:rsid w:val="00C449F7"/>
    <w:rsid w:val="00C53F6F"/>
    <w:rsid w:val="00C5489D"/>
    <w:rsid w:val="00C71759"/>
    <w:rsid w:val="00C71EC0"/>
    <w:rsid w:val="00C743E4"/>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1574"/>
    <w:rsid w:val="00CE0E68"/>
    <w:rsid w:val="00CE5BA4"/>
    <w:rsid w:val="00D25120"/>
    <w:rsid w:val="00D36C5E"/>
    <w:rsid w:val="00D40E9D"/>
    <w:rsid w:val="00D419CB"/>
    <w:rsid w:val="00D44350"/>
    <w:rsid w:val="00D44E3F"/>
    <w:rsid w:val="00D51931"/>
    <w:rsid w:val="00D51BB8"/>
    <w:rsid w:val="00D525F5"/>
    <w:rsid w:val="00D52A06"/>
    <w:rsid w:val="00D535D0"/>
    <w:rsid w:val="00D577D8"/>
    <w:rsid w:val="00D62C78"/>
    <w:rsid w:val="00D81703"/>
    <w:rsid w:val="00D82929"/>
    <w:rsid w:val="00D84214"/>
    <w:rsid w:val="00D943E5"/>
    <w:rsid w:val="00DA1AE0"/>
    <w:rsid w:val="00DB43F6"/>
    <w:rsid w:val="00DC29DD"/>
    <w:rsid w:val="00DC7C0E"/>
    <w:rsid w:val="00DE7387"/>
    <w:rsid w:val="00DF2A6A"/>
    <w:rsid w:val="00DF3B72"/>
    <w:rsid w:val="00E10821"/>
    <w:rsid w:val="00E2489D"/>
    <w:rsid w:val="00E26520"/>
    <w:rsid w:val="00E26732"/>
    <w:rsid w:val="00E343A3"/>
    <w:rsid w:val="00E47277"/>
    <w:rsid w:val="00E51BFA"/>
    <w:rsid w:val="00E6129E"/>
    <w:rsid w:val="00E621A3"/>
    <w:rsid w:val="00E833BC"/>
    <w:rsid w:val="00E8580E"/>
    <w:rsid w:val="00E97E21"/>
    <w:rsid w:val="00EA1B76"/>
    <w:rsid w:val="00EA77D7"/>
    <w:rsid w:val="00EC09B9"/>
    <w:rsid w:val="00ED048C"/>
    <w:rsid w:val="00EE60E9"/>
    <w:rsid w:val="00EF38AF"/>
    <w:rsid w:val="00F00143"/>
    <w:rsid w:val="00F055F8"/>
    <w:rsid w:val="00F10CB4"/>
    <w:rsid w:val="00F11B3D"/>
    <w:rsid w:val="00F146AC"/>
    <w:rsid w:val="00F14763"/>
    <w:rsid w:val="00F16212"/>
    <w:rsid w:val="00F16602"/>
    <w:rsid w:val="00F21B2B"/>
    <w:rsid w:val="00F25B80"/>
    <w:rsid w:val="00F2685F"/>
    <w:rsid w:val="00F33A34"/>
    <w:rsid w:val="00F350C8"/>
    <w:rsid w:val="00F52E75"/>
    <w:rsid w:val="00F84613"/>
    <w:rsid w:val="00F8654D"/>
    <w:rsid w:val="00F900C9"/>
    <w:rsid w:val="00F90510"/>
    <w:rsid w:val="00F92C96"/>
    <w:rsid w:val="00F97928"/>
    <w:rsid w:val="00F97D1C"/>
    <w:rsid w:val="00FA0D4E"/>
    <w:rsid w:val="00FB0753"/>
    <w:rsid w:val="00FB5CC8"/>
    <w:rsid w:val="00FC1772"/>
    <w:rsid w:val="00FC2CD0"/>
    <w:rsid w:val="00FD0594"/>
    <w:rsid w:val="00FE284E"/>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86882"/>
  <w15:docId w15:val="{7E995635-1BD4-4641-AFA5-4138E91B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431"/>
    <w:pPr>
      <w:tabs>
        <w:tab w:val="left" w:pos="794"/>
      </w:tabs>
      <w:bidi/>
      <w:spacing w:before="120" w:after="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731749"/>
    <w:pPr>
      <w:keepNext/>
      <w:spacing w:before="280"/>
      <w:ind w:left="794" w:hanging="794"/>
      <w:outlineLvl w:val="0"/>
    </w:pPr>
    <w:rPr>
      <w:b/>
      <w:bCs/>
      <w:kern w:val="32"/>
      <w:sz w:val="26"/>
      <w:szCs w:val="26"/>
      <w:lang w:bidi="ar-EG"/>
    </w:rPr>
  </w:style>
  <w:style w:type="paragraph" w:styleId="Heading2">
    <w:name w:val="heading 2"/>
    <w:basedOn w:val="Heading1"/>
    <w:next w:val="Normal"/>
    <w:link w:val="Heading2Char"/>
    <w:qFormat/>
    <w:rsid w:val="00423A40"/>
    <w:pPr>
      <w:spacing w:before="200"/>
      <w:outlineLvl w:val="1"/>
    </w:pPr>
    <w:rPr>
      <w:kern w:val="14"/>
      <w:sz w:val="24"/>
      <w:szCs w:val="24"/>
    </w:rPr>
  </w:style>
  <w:style w:type="paragraph" w:styleId="Heading3">
    <w:name w:val="heading 3"/>
    <w:basedOn w:val="Heading1"/>
    <w:next w:val="Normal"/>
    <w:link w:val="Heading3Char"/>
    <w:qFormat/>
    <w:rsid w:val="00423A40"/>
    <w:pPr>
      <w:spacing w:before="160"/>
      <w:outlineLvl w:val="2"/>
    </w:pPr>
    <w:rPr>
      <w:kern w:val="14"/>
      <w:sz w:val="22"/>
      <w:szCs w:val="22"/>
    </w:rPr>
  </w:style>
  <w:style w:type="paragraph" w:styleId="Heading4">
    <w:name w:val="heading 4"/>
    <w:basedOn w:val="Heading3"/>
    <w:next w:val="Normal"/>
    <w:link w:val="Heading4Char"/>
    <w:qFormat/>
    <w:rsid w:val="00734E41"/>
    <w:pPr>
      <w:spacing w:before="120"/>
      <w:outlineLvl w:val="3"/>
    </w:pPr>
  </w:style>
  <w:style w:type="paragraph" w:styleId="Heading5">
    <w:name w:val="heading 5"/>
    <w:basedOn w:val="Heading4"/>
    <w:next w:val="Normal"/>
    <w:link w:val="Heading5Char"/>
    <w:qFormat/>
    <w:rsid w:val="00734E41"/>
    <w:pPr>
      <w:outlineLvl w:val="4"/>
    </w:pPr>
  </w:style>
  <w:style w:type="paragraph" w:styleId="Heading6">
    <w:name w:val="heading 6"/>
    <w:basedOn w:val="Heading4"/>
    <w:next w:val="Normal"/>
    <w:link w:val="Heading6Char"/>
    <w:qFormat/>
    <w:rsid w:val="00734E41"/>
    <w:pPr>
      <w:outlineLvl w:val="5"/>
    </w:pPr>
  </w:style>
  <w:style w:type="paragraph" w:styleId="Heading7">
    <w:name w:val="heading 7"/>
    <w:basedOn w:val="Heading6"/>
    <w:next w:val="Normal"/>
    <w:link w:val="Heading7Char"/>
    <w:qFormat/>
    <w:rsid w:val="00734E41"/>
    <w:pPr>
      <w:outlineLvl w:val="6"/>
    </w:pPr>
  </w:style>
  <w:style w:type="paragraph" w:styleId="Heading8">
    <w:name w:val="heading 8"/>
    <w:basedOn w:val="Heading6"/>
    <w:next w:val="Normal"/>
    <w:link w:val="Heading8Char"/>
    <w:qFormat/>
    <w:rsid w:val="00734E41"/>
    <w:pPr>
      <w:outlineLvl w:val="7"/>
    </w:pPr>
  </w:style>
  <w:style w:type="paragraph" w:styleId="Heading9">
    <w:name w:val="heading 9"/>
    <w:basedOn w:val="Heading6"/>
    <w:next w:val="Normal"/>
    <w:link w:val="Heading9Char"/>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uiPriority w:val="39"/>
    <w:rsid w:val="00873A6F"/>
    <w:pPr>
      <w:tabs>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left" w:leader="dot" w:pos="9072"/>
        <w:tab w:val="left" w:pos="9407"/>
      </w:tabs>
      <w:spacing w:before="80"/>
      <w:ind w:left="1701" w:right="567" w:hanging="1134"/>
    </w:pPr>
  </w:style>
  <w:style w:type="paragraph" w:styleId="TOC1">
    <w:name w:val="toc 1"/>
    <w:basedOn w:val="Normal"/>
    <w:uiPriority w:val="39"/>
    <w:rsid w:val="00873A6F"/>
    <w:pPr>
      <w:tabs>
        <w:tab w:val="left" w:pos="567"/>
        <w:tab w:val="left" w:leader="dot" w:pos="9072"/>
        <w:tab w:val="left" w:pos="9407"/>
      </w:tabs>
      <w:ind w:left="567" w:right="567" w:hanging="567"/>
    </w:pPr>
  </w:style>
  <w:style w:type="paragraph" w:styleId="TOC7">
    <w:name w:val="toc 7"/>
    <w:basedOn w:val="TOC4"/>
    <w:rsid w:val="00873A6F"/>
    <w:pPr>
      <w:tabs>
        <w:tab w:val="clear" w:pos="2268"/>
        <w:tab w:val="left" w:pos="3969"/>
      </w:tabs>
      <w:ind w:left="7371" w:hanging="3969"/>
    </w:pPr>
  </w:style>
  <w:style w:type="paragraph" w:styleId="TOC6">
    <w:name w:val="toc 6"/>
    <w:basedOn w:val="TOC4"/>
    <w:rsid w:val="00873A6F"/>
    <w:pPr>
      <w:tabs>
        <w:tab w:val="clear" w:pos="2268"/>
        <w:tab w:val="left" w:pos="3402"/>
      </w:tabs>
      <w:ind w:left="6237" w:hanging="3402"/>
    </w:pPr>
  </w:style>
  <w:style w:type="paragraph" w:styleId="TOC5">
    <w:name w:val="toc 5"/>
    <w:basedOn w:val="TOC4"/>
    <w:rsid w:val="00873A6F"/>
    <w:pPr>
      <w:tabs>
        <w:tab w:val="clear" w:pos="2268"/>
        <w:tab w:val="left" w:pos="2835"/>
      </w:tabs>
      <w:ind w:left="5103" w:hanging="2835"/>
    </w:pPr>
  </w:style>
  <w:style w:type="paragraph" w:styleId="Index7">
    <w:name w:val="index 7"/>
    <w:basedOn w:val="Normal"/>
    <w:next w:val="Normal"/>
    <w:uiPriority w:val="99"/>
    <w:rsid w:val="00EE60E9"/>
    <w:pPr>
      <w:ind w:left="1698" w:right="1698"/>
    </w:pPr>
  </w:style>
  <w:style w:type="paragraph" w:styleId="Index6">
    <w:name w:val="index 6"/>
    <w:basedOn w:val="Normal"/>
    <w:next w:val="Normal"/>
    <w:uiPriority w:val="99"/>
    <w:rsid w:val="00EE60E9"/>
    <w:pPr>
      <w:ind w:left="1415" w:right="1415"/>
    </w:pPr>
  </w:style>
  <w:style w:type="paragraph" w:styleId="Index5">
    <w:name w:val="index 5"/>
    <w:basedOn w:val="Normal"/>
    <w:next w:val="Normal"/>
    <w:uiPriority w:val="99"/>
    <w:rsid w:val="00EE60E9"/>
    <w:pPr>
      <w:ind w:left="1132" w:right="1132"/>
    </w:pPr>
  </w:style>
  <w:style w:type="paragraph" w:styleId="Index4">
    <w:name w:val="index 4"/>
    <w:basedOn w:val="Normal"/>
    <w:next w:val="Normal"/>
    <w:uiPriority w:val="99"/>
    <w:rsid w:val="00EE60E9"/>
    <w:pPr>
      <w:ind w:left="849" w:right="849"/>
    </w:pPr>
  </w:style>
  <w:style w:type="paragraph" w:styleId="Index3">
    <w:name w:val="index 3"/>
    <w:basedOn w:val="Normal"/>
    <w:next w:val="Normal"/>
    <w:rsid w:val="00EE60E9"/>
    <w:pPr>
      <w:ind w:left="566" w:right="566"/>
    </w:pPr>
  </w:style>
  <w:style w:type="paragraph" w:styleId="Index2">
    <w:name w:val="index 2"/>
    <w:basedOn w:val="Normal"/>
    <w:next w:val="Normal"/>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uiPriority w:val="99"/>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rsid w:val="005431B5"/>
    <w:rPr>
      <w:rFonts w:ascii="Dubai" w:hAnsi="Dubai" w:cs="Dubai"/>
      <w:position w:val="6"/>
      <w:sz w:val="18"/>
      <w:szCs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aliases w:val="encabezado,he"/>
    <w:basedOn w:val="Normal"/>
    <w:link w:val="HeaderChar"/>
    <w:uiPriority w:val="99"/>
    <w:rsid w:val="002F3E46"/>
    <w:pPr>
      <w:tabs>
        <w:tab w:val="center" w:pos="4680"/>
        <w:tab w:val="right" w:pos="9360"/>
      </w:tabs>
    </w:pPr>
  </w:style>
  <w:style w:type="character" w:customStyle="1" w:styleId="HeaderChar">
    <w:name w:val="Header Char"/>
    <w:aliases w:val="encabezado Char,he Char"/>
    <w:basedOn w:val="DefaultParagraphFont"/>
    <w:link w:val="Header"/>
    <w:uiPriority w:val="99"/>
    <w:rsid w:val="002F3E46"/>
    <w:rPr>
      <w:rFonts w:ascii="Dubai" w:hAnsi="Dubai" w:cs="Dubai"/>
      <w:sz w:val="22"/>
      <w:szCs w:val="22"/>
      <w:lang w:eastAsia="en-US"/>
    </w:rPr>
  </w:style>
  <w:style w:type="paragraph" w:customStyle="1" w:styleId="Note">
    <w:name w:val="Note"/>
    <w:basedOn w:val="Normal"/>
    <w:qFormat/>
    <w:rsid w:val="00F97928"/>
    <w:pPr>
      <w:tabs>
        <w:tab w:val="left" w:pos="851"/>
      </w:tabs>
    </w:pPr>
    <w:rPr>
      <w:sz w:val="20"/>
      <w:szCs w:val="20"/>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FootnoteReference"/>
    <w:uiPriority w:val="99"/>
    <w:rsid w:val="008B52B7"/>
    <w:rPr>
      <w:rFonts w:ascii="Dubai" w:hAnsi="Dubai" w:cs="Dubai"/>
      <w:position w:val="6"/>
      <w:sz w:val="18"/>
      <w:szCs w:val="18"/>
      <w:vertAlign w:val="superscript"/>
    </w:rPr>
  </w:style>
  <w:style w:type="character" w:styleId="PageNumber">
    <w:name w:val="page number"/>
    <w:basedOn w:val="DefaultParagraphFont"/>
    <w:uiPriority w:val="99"/>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uiPriority w:val="11"/>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link w:val="Title1Char"/>
    <w:qFormat/>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A85B65"/>
    <w:pPr>
      <w:tabs>
        <w:tab w:val="clear" w:pos="794"/>
      </w:tabs>
      <w:spacing w:before="80"/>
      <w:ind w:left="794" w:hanging="794"/>
    </w:pPr>
  </w:style>
  <w:style w:type="character" w:customStyle="1" w:styleId="enumlev1Char">
    <w:name w:val="enumlev1 Char"/>
    <w:basedOn w:val="DefaultParagraphFont"/>
    <w:link w:val="enumlev1"/>
    <w:rsid w:val="00A85B65"/>
    <w:rPr>
      <w:rFonts w:ascii="Dubai" w:hAnsi="Dubai" w:cs="Dubai"/>
      <w:sz w:val="22"/>
      <w:szCs w:val="22"/>
      <w:lang w:eastAsia="en-US"/>
    </w:rPr>
  </w:style>
  <w:style w:type="paragraph" w:customStyle="1" w:styleId="enumlev2">
    <w:name w:val="enumlev2"/>
    <w:basedOn w:val="enumlev1"/>
    <w:next w:val="Normal"/>
    <w:link w:val="enumlev2Char"/>
    <w:uiPriority w:val="99"/>
    <w:qFormat/>
    <w:rsid w:val="00A85B65"/>
    <w:pPr>
      <w:ind w:left="1588"/>
    </w:pPr>
  </w:style>
  <w:style w:type="character" w:customStyle="1" w:styleId="enumlev2Char">
    <w:name w:val="enumlev2 Char"/>
    <w:basedOn w:val="enumlev1Char"/>
    <w:link w:val="enumlev2"/>
    <w:rsid w:val="00A85B65"/>
    <w:rPr>
      <w:rFonts w:ascii="Dubai" w:hAnsi="Dubai" w:cs="Dubai"/>
      <w:sz w:val="22"/>
      <w:szCs w:val="22"/>
      <w:lang w:eastAsia="en-US"/>
    </w:rPr>
  </w:style>
  <w:style w:type="paragraph" w:customStyle="1" w:styleId="enumlev3">
    <w:name w:val="enumlev3"/>
    <w:basedOn w:val="enumlev2"/>
    <w:next w:val="Normal"/>
    <w:link w:val="enumlev3Char"/>
    <w:qFormat/>
    <w:rsid w:val="00A85B65"/>
    <w:pPr>
      <w:ind w:left="2382"/>
    </w:pPr>
  </w:style>
  <w:style w:type="character" w:customStyle="1" w:styleId="enumlev3Char">
    <w:name w:val="enumlev3 Char"/>
    <w:basedOn w:val="enumlev2Char"/>
    <w:link w:val="enumlev3"/>
    <w:rsid w:val="00A85B6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link w:val="SourceChar"/>
    <w:qFormat/>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link w:val="HeadingbChar"/>
    <w:qFormat/>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jc w:val="center"/>
    </w:pPr>
    <w:rPr>
      <w:sz w:val="28"/>
      <w:szCs w:val="28"/>
      <w:lang w:bidi="ar-EG"/>
    </w:rPr>
  </w:style>
  <w:style w:type="paragraph" w:customStyle="1" w:styleId="Reasons">
    <w:name w:val="Reasons"/>
    <w:basedOn w:val="Normal"/>
    <w:next w:val="Normal"/>
    <w:link w:val="ReasonsChar"/>
    <w:qFormat/>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uiPriority w:val="99"/>
    <w:qFormat/>
    <w:rsid w:val="001D746E"/>
    <w:pPr>
      <w:keepNext/>
      <w:spacing w:before="24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aliases w:val="Recommendation,List Paragraph11,O5,Para_sk,Resume Title,- Bullets"/>
    <w:basedOn w:val="Normal"/>
    <w:link w:val="ListParagraphChar"/>
    <w:uiPriority w:val="34"/>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link w:val="TabletextChar"/>
    <w:qFormat/>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unhideWhenUsed/>
    <w:rsid w:val="00223C6C"/>
    <w:pPr>
      <w:ind w:left="357"/>
    </w:pPr>
  </w:style>
  <w:style w:type="character" w:customStyle="1" w:styleId="BodyTextIndentChar">
    <w:name w:val="Body Text Indent Char"/>
    <w:basedOn w:val="DefaultParagraphFont"/>
    <w:link w:val="BodyTextIndent"/>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uiPriority w:val="99"/>
    <w:unhideWhenUsed/>
    <w:rsid w:val="005431B5"/>
    <w:rPr>
      <w:szCs w:val="20"/>
    </w:rPr>
  </w:style>
  <w:style w:type="character" w:customStyle="1" w:styleId="EndnoteTextChar">
    <w:name w:val="Endnote Text Char"/>
    <w:basedOn w:val="DefaultParagraphFont"/>
    <w:link w:val="EndnoteText"/>
    <w:uiPriority w:val="99"/>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unhideWhenUsed/>
    <w:qFormat/>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uiPriority w:val="99"/>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iPriority w:val="99"/>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uiPriority w:val="99"/>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uiPriority w:val="22"/>
    <w:qFormat/>
    <w:rsid w:val="00B039AD"/>
    <w:rPr>
      <w:rFonts w:ascii="Dubai" w:hAnsi="Dubai" w:cs="Dubai"/>
      <w:b/>
      <w:bCs/>
      <w:i w:val="0"/>
      <w:iCs w:val="0"/>
    </w:rPr>
  </w:style>
  <w:style w:type="character" w:customStyle="1" w:styleId="SubtitleChar">
    <w:name w:val="Subtitle Char"/>
    <w:basedOn w:val="DefaultParagraphFont"/>
    <w:link w:val="Subtitle"/>
    <w:uiPriority w:val="11"/>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customStyle="1" w:styleId="AnnexNotitle">
    <w:name w:val="Annex_No &amp; title"/>
    <w:basedOn w:val="Normal"/>
    <w:next w:val="Normal"/>
    <w:rsid w:val="005B6D9A"/>
    <w:pPr>
      <w:keepNext/>
      <w:keepLines/>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hAnsi="CG Times" w:cs="Simplified Arabic" w:hint="cs"/>
      <w:b/>
      <w:sz w:val="28"/>
      <w:szCs w:val="30"/>
      <w:lang w:eastAsia="zh-CN"/>
    </w:rPr>
  </w:style>
  <w:style w:type="character" w:customStyle="1" w:styleId="Appdef">
    <w:name w:val="App_def"/>
    <w:basedOn w:val="DefaultParagraphFont"/>
    <w:rsid w:val="005B6D9A"/>
    <w:rPr>
      <w:rFonts w:ascii="Times New Roman" w:hAnsi="Times New Roman"/>
      <w:b/>
    </w:rPr>
  </w:style>
  <w:style w:type="character" w:customStyle="1" w:styleId="Appref">
    <w:name w:val="App_ref"/>
    <w:basedOn w:val="DefaultParagraphFont"/>
    <w:rsid w:val="005B6D9A"/>
  </w:style>
  <w:style w:type="paragraph" w:customStyle="1" w:styleId="AppendixNotitle">
    <w:name w:val="Appendix_No &amp; title"/>
    <w:basedOn w:val="AnnexNotitle"/>
    <w:next w:val="Normal"/>
    <w:rsid w:val="005B6D9A"/>
  </w:style>
  <w:style w:type="paragraph" w:customStyle="1" w:styleId="Artheading">
    <w:name w:val="Art_heading"/>
    <w:basedOn w:val="Normal"/>
    <w:next w:val="Normal"/>
    <w:rsid w:val="005B6D9A"/>
    <w:pPr>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hAnsi="CG Times" w:cs="Simplified Arabic" w:hint="cs"/>
      <w:b/>
      <w:sz w:val="28"/>
      <w:szCs w:val="30"/>
      <w:lang w:eastAsia="zh-CN"/>
    </w:rPr>
  </w:style>
  <w:style w:type="paragraph" w:customStyle="1" w:styleId="ChapNo0">
    <w:name w:val="Chap_No"/>
    <w:basedOn w:val="Normal"/>
    <w:next w:val="Normal"/>
    <w:rsid w:val="005B6D9A"/>
    <w:pPr>
      <w:keepNext/>
      <w:keepLines/>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hAnsi="CG Times" w:cs="Simplified Arabic" w:hint="cs"/>
      <w:b/>
      <w:sz w:val="28"/>
      <w:szCs w:val="30"/>
      <w:lang w:eastAsia="zh-CN"/>
    </w:rPr>
  </w:style>
  <w:style w:type="paragraph" w:customStyle="1" w:styleId="Equation">
    <w:name w:val="Equation"/>
    <w:basedOn w:val="Normal"/>
    <w:rsid w:val="005B6D9A"/>
    <w:pPr>
      <w:tabs>
        <w:tab w:val="center" w:pos="4820"/>
        <w:tab w:val="right" w:pos="9639"/>
      </w:tabs>
      <w:overflowPunct w:val="0"/>
      <w:autoSpaceDE w:val="0"/>
      <w:autoSpaceDN w:val="0"/>
      <w:bidi w:val="0"/>
      <w:adjustRightInd w:val="0"/>
      <w:spacing w:after="0" w:line="240" w:lineRule="auto"/>
      <w:jc w:val="left"/>
      <w:textAlignment w:val="baseline"/>
    </w:pPr>
    <w:rPr>
      <w:rFonts w:ascii="Times New Roman" w:hAnsi="CG Times" w:cs="Simplified Arabic" w:hint="cs"/>
      <w:sz w:val="24"/>
      <w:szCs w:val="30"/>
      <w:lang w:eastAsia="zh-CN"/>
    </w:rPr>
  </w:style>
  <w:style w:type="paragraph" w:customStyle="1" w:styleId="Figure">
    <w:name w:val="Figure"/>
    <w:basedOn w:val="Normal"/>
    <w:next w:val="Normal"/>
    <w:rsid w:val="00311FB9"/>
    <w:pPr>
      <w:keepNext/>
      <w:keepLines/>
      <w:tabs>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CG Times" w:cs="Simplified Arabic" w:hint="cs"/>
      <w:sz w:val="24"/>
      <w:szCs w:val="30"/>
      <w:lang w:eastAsia="zh-CN"/>
    </w:rPr>
  </w:style>
  <w:style w:type="paragraph" w:customStyle="1" w:styleId="Figurelegend">
    <w:name w:val="Figure_legend"/>
    <w:basedOn w:val="Normal"/>
    <w:rsid w:val="005B6D9A"/>
    <w:pPr>
      <w:keepNext/>
      <w:keepLines/>
      <w:tabs>
        <w:tab w:val="clear" w:pos="794"/>
      </w:tabs>
      <w:overflowPunct w:val="0"/>
      <w:autoSpaceDE w:val="0"/>
      <w:autoSpaceDN w:val="0"/>
      <w:bidi w:val="0"/>
      <w:adjustRightInd w:val="0"/>
      <w:spacing w:before="20" w:after="20" w:line="240" w:lineRule="auto"/>
      <w:jc w:val="left"/>
      <w:textAlignment w:val="baseline"/>
    </w:pPr>
    <w:rPr>
      <w:rFonts w:ascii="Times New Roman" w:hAnsi="CG Times" w:cs="Simplified Arabic" w:hint="cs"/>
      <w:sz w:val="18"/>
      <w:szCs w:val="30"/>
      <w:lang w:eastAsia="zh-CN"/>
    </w:rPr>
  </w:style>
  <w:style w:type="paragraph" w:customStyle="1" w:styleId="FigureNotitle">
    <w:name w:val="Figure_No &amp; title"/>
    <w:basedOn w:val="Normal"/>
    <w:next w:val="Normal"/>
    <w:rsid w:val="005B6D9A"/>
    <w:pPr>
      <w:keepLines/>
      <w:tabs>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CG Times" w:cs="Simplified Arabic" w:hint="cs"/>
      <w:b/>
      <w:sz w:val="24"/>
      <w:szCs w:val="30"/>
      <w:lang w:eastAsia="zh-CN"/>
    </w:rPr>
  </w:style>
  <w:style w:type="paragraph" w:customStyle="1" w:styleId="FigureNoBR">
    <w:name w:val="Figure_No_BR"/>
    <w:basedOn w:val="Normal"/>
    <w:next w:val="Normal"/>
    <w:rsid w:val="005B6D9A"/>
    <w:pPr>
      <w:keepNext/>
      <w:keepLines/>
      <w:tabs>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CG Times" w:cs="Simplified Arabic" w:hint="cs"/>
      <w:sz w:val="24"/>
      <w:szCs w:val="30"/>
      <w:lang w:eastAsia="zh-CN"/>
    </w:rPr>
  </w:style>
  <w:style w:type="paragraph" w:customStyle="1" w:styleId="TabletitleBR">
    <w:name w:val="Table_title_BR"/>
    <w:basedOn w:val="Normal"/>
    <w:next w:val="Normal"/>
    <w:rsid w:val="005B6D9A"/>
    <w:pPr>
      <w:keepNext/>
      <w:keepLines/>
      <w:tabs>
        <w:tab w:val="left" w:pos="1191"/>
        <w:tab w:val="left" w:pos="1588"/>
        <w:tab w:val="left" w:pos="1985"/>
      </w:tabs>
      <w:overflowPunct w:val="0"/>
      <w:autoSpaceDE w:val="0"/>
      <w:autoSpaceDN w:val="0"/>
      <w:bidi w:val="0"/>
      <w:adjustRightInd w:val="0"/>
      <w:spacing w:before="0" w:line="240" w:lineRule="auto"/>
      <w:jc w:val="center"/>
      <w:textAlignment w:val="baseline"/>
    </w:pPr>
    <w:rPr>
      <w:rFonts w:ascii="Times New Roman" w:hAnsi="CG Times" w:cs="Simplified Arabic" w:hint="cs"/>
      <w:b/>
      <w:sz w:val="24"/>
      <w:szCs w:val="30"/>
      <w:lang w:eastAsia="zh-CN"/>
    </w:rPr>
  </w:style>
  <w:style w:type="paragraph" w:customStyle="1" w:styleId="FiguretitleBR">
    <w:name w:val="Figure_title_BR"/>
    <w:basedOn w:val="TabletitleBR"/>
    <w:next w:val="Normal"/>
    <w:rsid w:val="005B6D9A"/>
    <w:pPr>
      <w:keepNext w:val="0"/>
      <w:spacing w:after="480"/>
    </w:pPr>
  </w:style>
  <w:style w:type="paragraph" w:customStyle="1" w:styleId="Figurewithouttitle">
    <w:name w:val="Figure_without_title"/>
    <w:basedOn w:val="Normal"/>
    <w:next w:val="Normal"/>
    <w:rsid w:val="005B6D9A"/>
    <w:pPr>
      <w:keepLines/>
      <w:tabs>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CG Times" w:cs="Simplified Arabic" w:hint="cs"/>
      <w:sz w:val="24"/>
      <w:szCs w:val="30"/>
      <w:lang w:eastAsia="zh-CN"/>
    </w:rPr>
  </w:style>
  <w:style w:type="paragraph" w:customStyle="1" w:styleId="FirstFooter">
    <w:name w:val="FirstFooter"/>
    <w:basedOn w:val="Footer"/>
    <w:rsid w:val="005B6D9A"/>
    <w:pPr>
      <w:tabs>
        <w:tab w:val="clear" w:pos="794"/>
        <w:tab w:val="clear" w:pos="5812"/>
        <w:tab w:val="clear" w:pos="9639"/>
      </w:tabs>
      <w:spacing w:before="40" w:after="0" w:line="240" w:lineRule="auto"/>
      <w:jc w:val="left"/>
    </w:pPr>
    <w:rPr>
      <w:rFonts w:ascii="Times New Roman" w:hAnsi="CG Times" w:cs="Simplified Arabic" w:hint="cs"/>
      <w:szCs w:val="30"/>
      <w:lang w:eastAsia="zh-CN"/>
    </w:rPr>
  </w:style>
  <w:style w:type="paragraph" w:customStyle="1" w:styleId="Formal">
    <w:name w:val="Formal"/>
    <w:basedOn w:val="Normal"/>
    <w:rsid w:val="005B6D9A"/>
    <w:pPr>
      <w:tabs>
        <w:tab w:val="left" w:pos="567"/>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utoSpaceDE w:val="0"/>
      <w:autoSpaceDN w:val="0"/>
      <w:bidi w:val="0"/>
      <w:adjustRightInd w:val="0"/>
      <w:spacing w:before="0" w:after="0" w:line="240" w:lineRule="auto"/>
      <w:jc w:val="left"/>
      <w:textAlignment w:val="baseline"/>
    </w:pPr>
    <w:rPr>
      <w:rFonts w:ascii="Courier New" w:hAnsi="Courier New" w:cs="Simplified Arabic" w:hint="cs"/>
      <w:noProof/>
      <w:sz w:val="20"/>
      <w:szCs w:val="30"/>
      <w:lang w:eastAsia="zh-CN"/>
    </w:rPr>
  </w:style>
  <w:style w:type="paragraph" w:customStyle="1" w:styleId="Normalaftertitle0">
    <w:name w:val="Normal_after_title"/>
    <w:basedOn w:val="Normal"/>
    <w:next w:val="Normal"/>
    <w:rsid w:val="005B6D9A"/>
    <w:pPr>
      <w:tabs>
        <w:tab w:val="left" w:pos="1191"/>
        <w:tab w:val="left" w:pos="1588"/>
        <w:tab w:val="left" w:pos="1985"/>
      </w:tabs>
      <w:overflowPunct w:val="0"/>
      <w:autoSpaceDE w:val="0"/>
      <w:autoSpaceDN w:val="0"/>
      <w:bidi w:val="0"/>
      <w:adjustRightInd w:val="0"/>
      <w:spacing w:before="360" w:after="0" w:line="240" w:lineRule="auto"/>
      <w:jc w:val="left"/>
      <w:textAlignment w:val="baseline"/>
    </w:pPr>
    <w:rPr>
      <w:rFonts w:ascii="Times New Roman" w:hAnsi="CG Times" w:cs="Simplified Arabic" w:hint="cs"/>
      <w:sz w:val="24"/>
      <w:szCs w:val="30"/>
      <w:lang w:eastAsia="zh-CN"/>
    </w:rPr>
  </w:style>
  <w:style w:type="paragraph" w:customStyle="1" w:styleId="Partref">
    <w:name w:val="Part_ref"/>
    <w:basedOn w:val="Normal"/>
    <w:next w:val="Normal"/>
    <w:rsid w:val="005B6D9A"/>
    <w:pPr>
      <w:keepNext/>
      <w:keepLines/>
      <w:tabs>
        <w:tab w:val="left" w:pos="1191"/>
        <w:tab w:val="left" w:pos="1588"/>
        <w:tab w:val="left" w:pos="1985"/>
      </w:tabs>
      <w:overflowPunct w:val="0"/>
      <w:autoSpaceDE w:val="0"/>
      <w:autoSpaceDN w:val="0"/>
      <w:bidi w:val="0"/>
      <w:adjustRightInd w:val="0"/>
      <w:spacing w:before="280" w:after="0" w:line="240" w:lineRule="auto"/>
      <w:jc w:val="center"/>
      <w:textAlignment w:val="baseline"/>
    </w:pPr>
    <w:rPr>
      <w:rFonts w:ascii="Times New Roman" w:hAnsi="CG Times" w:cs="Simplified Arabic" w:hint="cs"/>
      <w:sz w:val="24"/>
      <w:szCs w:val="30"/>
      <w:lang w:eastAsia="zh-CN"/>
    </w:rPr>
  </w:style>
  <w:style w:type="paragraph" w:customStyle="1" w:styleId="Recdate">
    <w:name w:val="Rec_date"/>
    <w:basedOn w:val="Normal"/>
    <w:next w:val="Normalaftertitle0"/>
    <w:rsid w:val="005B6D9A"/>
    <w:pPr>
      <w:keepNext/>
      <w:keepLines/>
      <w:tabs>
        <w:tab w:val="clear" w:pos="794"/>
      </w:tabs>
      <w:overflowPunct w:val="0"/>
      <w:autoSpaceDE w:val="0"/>
      <w:autoSpaceDN w:val="0"/>
      <w:bidi w:val="0"/>
      <w:adjustRightInd w:val="0"/>
      <w:spacing w:after="0" w:line="240" w:lineRule="auto"/>
      <w:jc w:val="right"/>
      <w:textAlignment w:val="baseline"/>
    </w:pPr>
    <w:rPr>
      <w:rFonts w:ascii="Times New Roman" w:hAnsi="CG Times" w:cs="Simplified Arabic" w:hint="cs"/>
      <w:szCs w:val="30"/>
      <w:lang w:eastAsia="zh-CN"/>
    </w:rPr>
  </w:style>
  <w:style w:type="paragraph" w:customStyle="1" w:styleId="Questiondate">
    <w:name w:val="Question_date"/>
    <w:basedOn w:val="Recdate"/>
    <w:next w:val="Normalaftertitle0"/>
    <w:rsid w:val="005B6D9A"/>
  </w:style>
  <w:style w:type="paragraph" w:customStyle="1" w:styleId="QuestionNo">
    <w:name w:val="Question_No"/>
    <w:basedOn w:val="RecNo"/>
    <w:next w:val="Normal"/>
    <w:rsid w:val="005B6D9A"/>
    <w:pPr>
      <w:keepLines/>
      <w:tabs>
        <w:tab w:val="left" w:pos="1191"/>
        <w:tab w:val="left" w:pos="1588"/>
        <w:tab w:val="left" w:pos="1985"/>
      </w:tabs>
      <w:overflowPunct w:val="0"/>
      <w:autoSpaceDE w:val="0"/>
      <w:autoSpaceDN w:val="0"/>
      <w:bidi w:val="0"/>
      <w:adjustRightInd w:val="0"/>
      <w:spacing w:before="0" w:after="0" w:line="240" w:lineRule="auto"/>
      <w:jc w:val="left"/>
      <w:textAlignment w:val="baseline"/>
    </w:pPr>
    <w:rPr>
      <w:rFonts w:ascii="Times New Roman" w:hAnsi="CG Times" w:cs="Simplified Arabic" w:hint="cs"/>
      <w:b/>
      <w:szCs w:val="30"/>
      <w:lang w:eastAsia="zh-CN"/>
    </w:rPr>
  </w:style>
  <w:style w:type="paragraph" w:customStyle="1" w:styleId="RecNoBR">
    <w:name w:val="Rec_No_BR"/>
    <w:basedOn w:val="Normal"/>
    <w:next w:val="Normal"/>
    <w:rsid w:val="005B6D9A"/>
    <w:pPr>
      <w:keepNext/>
      <w:keepLines/>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hAnsi="CG Times" w:cs="Simplified Arabic" w:hint="cs"/>
      <w:sz w:val="28"/>
      <w:szCs w:val="30"/>
      <w:lang w:eastAsia="zh-CN"/>
    </w:rPr>
  </w:style>
  <w:style w:type="paragraph" w:customStyle="1" w:styleId="QuestionNoBR">
    <w:name w:val="Question_No_BR"/>
    <w:basedOn w:val="RecNoBR"/>
    <w:next w:val="Normal"/>
    <w:rsid w:val="005B6D9A"/>
  </w:style>
  <w:style w:type="paragraph" w:customStyle="1" w:styleId="Recref">
    <w:name w:val="Rec_ref"/>
    <w:basedOn w:val="Normal"/>
    <w:next w:val="Recdate"/>
    <w:rsid w:val="005B6D9A"/>
    <w:pPr>
      <w:keepNext/>
      <w:keepLines/>
      <w:tabs>
        <w:tab w:val="clear" w:pos="794"/>
      </w:tabs>
      <w:overflowPunct w:val="0"/>
      <w:autoSpaceDE w:val="0"/>
      <w:autoSpaceDN w:val="0"/>
      <w:bidi w:val="0"/>
      <w:adjustRightInd w:val="0"/>
      <w:spacing w:after="0" w:line="240" w:lineRule="auto"/>
      <w:jc w:val="center"/>
      <w:textAlignment w:val="baseline"/>
    </w:pPr>
    <w:rPr>
      <w:rFonts w:ascii="Times New Roman" w:hAnsi="CG Times" w:cs="Simplified Arabic" w:hint="cs"/>
      <w:sz w:val="24"/>
      <w:szCs w:val="30"/>
      <w:lang w:eastAsia="zh-CN"/>
    </w:rPr>
  </w:style>
  <w:style w:type="paragraph" w:customStyle="1" w:styleId="Questionref">
    <w:name w:val="Question_ref"/>
    <w:basedOn w:val="Recref"/>
    <w:next w:val="Questiondate"/>
    <w:rsid w:val="005B6D9A"/>
  </w:style>
  <w:style w:type="paragraph" w:customStyle="1" w:styleId="Questiontitle">
    <w:name w:val="Question_title"/>
    <w:basedOn w:val="Rectitle"/>
    <w:next w:val="Questionref"/>
    <w:rsid w:val="005B6D9A"/>
    <w:pPr>
      <w:keepLines/>
      <w:tabs>
        <w:tab w:val="clear" w:pos="567"/>
        <w:tab w:val="clear" w:pos="1701"/>
        <w:tab w:val="clear" w:pos="2835"/>
        <w:tab w:val="left" w:pos="1191"/>
        <w:tab w:val="left" w:pos="1588"/>
        <w:tab w:val="left" w:pos="1985"/>
      </w:tabs>
      <w:bidi w:val="0"/>
      <w:spacing w:before="360" w:after="0" w:line="240" w:lineRule="auto"/>
    </w:pPr>
    <w:rPr>
      <w:rFonts w:ascii="Times New Roman" w:hAnsi="CG Times" w:cs="Simplified Arabic" w:hint="cs"/>
      <w:bCs w:val="0"/>
      <w:szCs w:val="30"/>
      <w:lang w:eastAsia="zh-CN"/>
    </w:rPr>
  </w:style>
  <w:style w:type="character" w:customStyle="1" w:styleId="Recdef">
    <w:name w:val="Rec_def"/>
    <w:basedOn w:val="DefaultParagraphFont"/>
    <w:rsid w:val="005B6D9A"/>
    <w:rPr>
      <w:b/>
    </w:rPr>
  </w:style>
  <w:style w:type="paragraph" w:customStyle="1" w:styleId="Reftitle">
    <w:name w:val="Ref_title"/>
    <w:basedOn w:val="Normal"/>
    <w:next w:val="Reftext"/>
    <w:rsid w:val="005B6D9A"/>
    <w:pPr>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hAnsi="CG Times" w:cs="Simplified Arabic" w:hint="cs"/>
      <w:b/>
      <w:sz w:val="24"/>
      <w:szCs w:val="30"/>
      <w:lang w:eastAsia="zh-CN"/>
    </w:rPr>
  </w:style>
  <w:style w:type="paragraph" w:customStyle="1" w:styleId="Repdate">
    <w:name w:val="Rep_date"/>
    <w:basedOn w:val="Recdate"/>
    <w:next w:val="Normalaftertitle0"/>
    <w:rsid w:val="005B6D9A"/>
  </w:style>
  <w:style w:type="paragraph" w:customStyle="1" w:styleId="RepNoBR">
    <w:name w:val="Rep_No_BR"/>
    <w:basedOn w:val="RecNoBR"/>
    <w:next w:val="Normal"/>
    <w:rsid w:val="005B6D9A"/>
  </w:style>
  <w:style w:type="paragraph" w:customStyle="1" w:styleId="Repref">
    <w:name w:val="Rep_ref"/>
    <w:basedOn w:val="Recref"/>
    <w:next w:val="Repdate"/>
    <w:rsid w:val="005B6D9A"/>
  </w:style>
  <w:style w:type="paragraph" w:customStyle="1" w:styleId="Resdate">
    <w:name w:val="Res_date"/>
    <w:basedOn w:val="Recdate"/>
    <w:next w:val="Normalaftertitle0"/>
    <w:rsid w:val="005B6D9A"/>
  </w:style>
  <w:style w:type="character" w:customStyle="1" w:styleId="Resdef">
    <w:name w:val="Res_def"/>
    <w:basedOn w:val="DefaultParagraphFont"/>
    <w:rsid w:val="005B6D9A"/>
    <w:rPr>
      <w:rFonts w:ascii="Times New Roman" w:hAnsi="Times New Roman"/>
      <w:b/>
    </w:rPr>
  </w:style>
  <w:style w:type="paragraph" w:customStyle="1" w:styleId="ResNoBR">
    <w:name w:val="Res_No_BR"/>
    <w:basedOn w:val="RecNoBR"/>
    <w:next w:val="Normal"/>
    <w:rsid w:val="005B6D9A"/>
  </w:style>
  <w:style w:type="paragraph" w:customStyle="1" w:styleId="Resref">
    <w:name w:val="Res_ref"/>
    <w:basedOn w:val="Recref"/>
    <w:next w:val="Resdate"/>
    <w:rsid w:val="005B6D9A"/>
  </w:style>
  <w:style w:type="paragraph" w:customStyle="1" w:styleId="Sectiontitle">
    <w:name w:val="Section_title"/>
    <w:basedOn w:val="Normal"/>
    <w:next w:val="Normalaftertitle0"/>
    <w:rsid w:val="005B6D9A"/>
    <w:pPr>
      <w:keepNext/>
      <w:keepLines/>
      <w:tabs>
        <w:tab w:val="left" w:pos="1191"/>
        <w:tab w:val="left" w:pos="1588"/>
        <w:tab w:val="left" w:pos="1985"/>
      </w:tabs>
      <w:overflowPunct w:val="0"/>
      <w:autoSpaceDE w:val="0"/>
      <w:autoSpaceDN w:val="0"/>
      <w:bidi w:val="0"/>
      <w:adjustRightInd w:val="0"/>
      <w:spacing w:before="480" w:after="280" w:line="240" w:lineRule="auto"/>
      <w:jc w:val="center"/>
      <w:textAlignment w:val="baseline"/>
    </w:pPr>
    <w:rPr>
      <w:rFonts w:ascii="Times New Roman" w:hAnsi="CG Times" w:cs="Simplified Arabic" w:hint="cs"/>
      <w:b/>
      <w:sz w:val="28"/>
      <w:szCs w:val="30"/>
      <w:lang w:eastAsia="zh-CN"/>
    </w:rPr>
  </w:style>
  <w:style w:type="paragraph" w:customStyle="1" w:styleId="TableNotitle">
    <w:name w:val="Table_No &amp; title"/>
    <w:basedOn w:val="Normal"/>
    <w:next w:val="Tablehead"/>
    <w:rsid w:val="005B6D9A"/>
    <w:pPr>
      <w:keepNext/>
      <w:keepLines/>
      <w:tabs>
        <w:tab w:val="left" w:pos="1191"/>
        <w:tab w:val="left" w:pos="1588"/>
        <w:tab w:val="left" w:pos="1985"/>
      </w:tabs>
      <w:overflowPunct w:val="0"/>
      <w:autoSpaceDE w:val="0"/>
      <w:autoSpaceDN w:val="0"/>
      <w:bidi w:val="0"/>
      <w:adjustRightInd w:val="0"/>
      <w:spacing w:before="360" w:line="240" w:lineRule="auto"/>
      <w:jc w:val="center"/>
      <w:textAlignment w:val="baseline"/>
    </w:pPr>
    <w:rPr>
      <w:rFonts w:ascii="Times New Roman" w:hAnsi="CG Times" w:cs="Simplified Arabic" w:hint="cs"/>
      <w:b/>
      <w:sz w:val="24"/>
      <w:szCs w:val="30"/>
      <w:lang w:eastAsia="zh-CN"/>
    </w:rPr>
  </w:style>
  <w:style w:type="paragraph" w:customStyle="1" w:styleId="TableNoBR">
    <w:name w:val="Table_No_BR"/>
    <w:basedOn w:val="Normal"/>
    <w:next w:val="TabletitleBR"/>
    <w:rsid w:val="005B6D9A"/>
    <w:pPr>
      <w:keepNext/>
      <w:tabs>
        <w:tab w:val="left" w:pos="1191"/>
        <w:tab w:val="left" w:pos="1588"/>
        <w:tab w:val="left" w:pos="1985"/>
      </w:tabs>
      <w:overflowPunct w:val="0"/>
      <w:autoSpaceDE w:val="0"/>
      <w:autoSpaceDN w:val="0"/>
      <w:bidi w:val="0"/>
      <w:adjustRightInd w:val="0"/>
      <w:spacing w:before="560" w:line="240" w:lineRule="auto"/>
      <w:jc w:val="center"/>
      <w:textAlignment w:val="baseline"/>
    </w:pPr>
    <w:rPr>
      <w:rFonts w:ascii="Times New Roman" w:hAnsi="CG Times" w:cs="Simplified Arabic" w:hint="cs"/>
      <w:sz w:val="24"/>
      <w:szCs w:val="30"/>
      <w:lang w:eastAsia="zh-CN"/>
    </w:rPr>
  </w:style>
  <w:style w:type="paragraph" w:customStyle="1" w:styleId="Tableref">
    <w:name w:val="Table_ref"/>
    <w:basedOn w:val="Normal"/>
    <w:next w:val="TabletitleBR"/>
    <w:rsid w:val="005B6D9A"/>
    <w:pPr>
      <w:keepNext/>
      <w:tabs>
        <w:tab w:val="left" w:pos="1191"/>
        <w:tab w:val="left" w:pos="1588"/>
        <w:tab w:val="left" w:pos="1985"/>
      </w:tabs>
      <w:overflowPunct w:val="0"/>
      <w:autoSpaceDE w:val="0"/>
      <w:autoSpaceDN w:val="0"/>
      <w:bidi w:val="0"/>
      <w:adjustRightInd w:val="0"/>
      <w:spacing w:before="0" w:line="240" w:lineRule="auto"/>
      <w:jc w:val="center"/>
      <w:textAlignment w:val="baseline"/>
    </w:pPr>
    <w:rPr>
      <w:rFonts w:ascii="Times New Roman" w:hAnsi="CG Times" w:cs="Simplified Arabic" w:hint="cs"/>
      <w:sz w:val="24"/>
      <w:szCs w:val="30"/>
      <w:lang w:eastAsia="zh-CN"/>
    </w:rPr>
  </w:style>
  <w:style w:type="paragraph" w:customStyle="1" w:styleId="Title4">
    <w:name w:val="Title 4"/>
    <w:basedOn w:val="Title3"/>
    <w:next w:val="Heading1"/>
    <w:rsid w:val="005B6D9A"/>
    <w:pPr>
      <w:keepNext w:val="0"/>
      <w:tabs>
        <w:tab w:val="clear" w:pos="794"/>
        <w:tab w:val="left" w:pos="1134"/>
        <w:tab w:val="left" w:pos="2268"/>
      </w:tabs>
      <w:overflowPunct w:val="0"/>
      <w:autoSpaceDE w:val="0"/>
      <w:autoSpaceDN w:val="0"/>
      <w:bidi w:val="0"/>
      <w:adjustRightInd w:val="0"/>
      <w:spacing w:after="0" w:line="240" w:lineRule="auto"/>
      <w:textAlignment w:val="baseline"/>
    </w:pPr>
    <w:rPr>
      <w:rFonts w:ascii="Times New Roman" w:hAnsi="CG Times" w:cs="Simplified Arabic" w:hint="cs"/>
      <w:b/>
      <w:w w:val="100"/>
      <w:sz w:val="28"/>
      <w:szCs w:val="30"/>
      <w:lang w:eastAsia="zh-CN" w:bidi="ar-SA"/>
    </w:rPr>
  </w:style>
  <w:style w:type="paragraph" w:customStyle="1" w:styleId="Docnumber">
    <w:name w:val="Docnumber"/>
    <w:basedOn w:val="Normal"/>
    <w:link w:val="DocnumberChar"/>
    <w:qFormat/>
    <w:rsid w:val="005B6D9A"/>
    <w:pPr>
      <w:tabs>
        <w:tab w:val="left" w:pos="1191"/>
        <w:tab w:val="left" w:pos="1588"/>
        <w:tab w:val="left" w:pos="1985"/>
      </w:tabs>
      <w:overflowPunct w:val="0"/>
      <w:autoSpaceDE w:val="0"/>
      <w:autoSpaceDN w:val="0"/>
      <w:bidi w:val="0"/>
      <w:adjustRightInd w:val="0"/>
      <w:spacing w:after="0" w:line="240" w:lineRule="auto"/>
      <w:jc w:val="right"/>
      <w:textAlignment w:val="baseline"/>
    </w:pPr>
    <w:rPr>
      <w:rFonts w:ascii="Times New Roman" w:eastAsia="SimSun" w:hAnsi="CG Times" w:cs="Simplified Arabic"/>
      <w:b/>
      <w:sz w:val="32"/>
      <w:szCs w:val="30"/>
      <w:lang w:eastAsia="zh-CN"/>
    </w:rPr>
  </w:style>
  <w:style w:type="character" w:customStyle="1" w:styleId="DocnumberChar">
    <w:name w:val="Docnumber Char"/>
    <w:link w:val="Docnumber"/>
    <w:rsid w:val="005B6D9A"/>
    <w:rPr>
      <w:rFonts w:ascii="Times New Roman" w:eastAsia="SimSun" w:cs="Simplified Arabic"/>
      <w:b/>
      <w:sz w:val="32"/>
      <w:szCs w:val="30"/>
    </w:rPr>
  </w:style>
  <w:style w:type="paragraph" w:customStyle="1" w:styleId="LSDeadline">
    <w:name w:val="LSDeadline"/>
    <w:basedOn w:val="Normal"/>
    <w:next w:val="Normal"/>
    <w:rsid w:val="005B6D9A"/>
    <w:pPr>
      <w:tabs>
        <w:tab w:val="clear" w:pos="794"/>
      </w:tabs>
      <w:bidi w:val="0"/>
      <w:spacing w:after="0" w:line="240" w:lineRule="auto"/>
      <w:jc w:val="left"/>
    </w:pPr>
    <w:rPr>
      <w:rFonts w:ascii="Times New Roman" w:eastAsiaTheme="minorHAnsi" w:hAnsi="CG Times" w:cs="Simplified Arabic" w:hint="cs"/>
      <w:sz w:val="24"/>
      <w:szCs w:val="24"/>
      <w:lang w:eastAsia="zh-CN"/>
    </w:rPr>
  </w:style>
  <w:style w:type="paragraph" w:customStyle="1" w:styleId="LSForAction">
    <w:name w:val="LSForAction"/>
    <w:basedOn w:val="Normal"/>
    <w:next w:val="Normal"/>
    <w:rsid w:val="005B6D9A"/>
    <w:pPr>
      <w:tabs>
        <w:tab w:val="left" w:pos="1191"/>
        <w:tab w:val="left" w:pos="1588"/>
        <w:tab w:val="left" w:pos="1985"/>
      </w:tabs>
      <w:overflowPunct w:val="0"/>
      <w:autoSpaceDE w:val="0"/>
      <w:autoSpaceDN w:val="0"/>
      <w:bidi w:val="0"/>
      <w:adjustRightInd w:val="0"/>
      <w:spacing w:after="0" w:line="240" w:lineRule="auto"/>
      <w:jc w:val="left"/>
      <w:textAlignment w:val="baseline"/>
    </w:pPr>
    <w:rPr>
      <w:rFonts w:ascii="Times New Roman" w:hAnsi="CG Times" w:cs="Simplified Arabic" w:hint="cs"/>
      <w:sz w:val="24"/>
      <w:szCs w:val="30"/>
      <w:lang w:eastAsia="zh-CN"/>
    </w:rPr>
  </w:style>
  <w:style w:type="paragraph" w:customStyle="1" w:styleId="LSForInfo">
    <w:name w:val="LSForInfo"/>
    <w:basedOn w:val="Normal"/>
    <w:next w:val="Normal"/>
    <w:rsid w:val="005B6D9A"/>
    <w:pPr>
      <w:tabs>
        <w:tab w:val="clear" w:pos="794"/>
      </w:tabs>
      <w:bidi w:val="0"/>
      <w:spacing w:after="0" w:line="240" w:lineRule="auto"/>
      <w:jc w:val="left"/>
    </w:pPr>
    <w:rPr>
      <w:rFonts w:ascii="Times New Roman" w:eastAsiaTheme="minorHAnsi" w:hAnsi="CG Times" w:cs="Simplified Arabic" w:hint="cs"/>
      <w:bCs/>
      <w:sz w:val="24"/>
      <w:szCs w:val="24"/>
      <w:lang w:eastAsia="zh-CN"/>
    </w:rPr>
  </w:style>
  <w:style w:type="paragraph" w:customStyle="1" w:styleId="VenueDate">
    <w:name w:val="VenueDate"/>
    <w:basedOn w:val="Normal"/>
    <w:qFormat/>
    <w:rsid w:val="005B6D9A"/>
    <w:pPr>
      <w:tabs>
        <w:tab w:val="clear" w:pos="794"/>
      </w:tabs>
      <w:overflowPunct w:val="0"/>
      <w:autoSpaceDE w:val="0"/>
      <w:autoSpaceDN w:val="0"/>
      <w:bidi w:val="0"/>
      <w:adjustRightInd w:val="0"/>
      <w:spacing w:after="0" w:line="240" w:lineRule="auto"/>
      <w:jc w:val="right"/>
      <w:textAlignment w:val="baseline"/>
    </w:pPr>
    <w:rPr>
      <w:rFonts w:ascii="Times New Roman" w:hAnsi="CG Times" w:cs="Simplified Arabic" w:hint="cs"/>
      <w:sz w:val="24"/>
      <w:szCs w:val="30"/>
      <w:lang w:eastAsia="zh-CN"/>
    </w:rPr>
  </w:style>
  <w:style w:type="paragraph" w:customStyle="1" w:styleId="TSBHeaderQuestion">
    <w:name w:val="TSBHeaderQuestion"/>
    <w:basedOn w:val="Normal"/>
    <w:qFormat/>
    <w:rsid w:val="005B6D9A"/>
    <w:pPr>
      <w:tabs>
        <w:tab w:val="clear" w:pos="794"/>
      </w:tabs>
      <w:bidi w:val="0"/>
      <w:spacing w:after="0" w:line="240" w:lineRule="auto"/>
      <w:jc w:val="left"/>
    </w:pPr>
    <w:rPr>
      <w:rFonts w:ascii="Times New Roman" w:eastAsiaTheme="minorEastAsia" w:hAnsi="CG Times" w:cs="Simplified Arabic" w:hint="cs"/>
      <w:sz w:val="24"/>
      <w:szCs w:val="24"/>
      <w:lang w:eastAsia="zh-CN"/>
    </w:rPr>
  </w:style>
  <w:style w:type="paragraph" w:customStyle="1" w:styleId="TSBHeaderSource">
    <w:name w:val="TSBHeaderSource"/>
    <w:basedOn w:val="Normal"/>
    <w:qFormat/>
    <w:rsid w:val="005B6D9A"/>
    <w:pPr>
      <w:tabs>
        <w:tab w:val="clear" w:pos="794"/>
      </w:tabs>
      <w:bidi w:val="0"/>
      <w:spacing w:after="0" w:line="240" w:lineRule="auto"/>
      <w:jc w:val="left"/>
    </w:pPr>
    <w:rPr>
      <w:rFonts w:ascii="Times New Roman" w:eastAsiaTheme="minorEastAsia" w:hAnsi="CG Times" w:cs="Simplified Arabic" w:hint="cs"/>
      <w:sz w:val="24"/>
      <w:szCs w:val="24"/>
      <w:lang w:eastAsia="zh-CN"/>
    </w:rPr>
  </w:style>
  <w:style w:type="paragraph" w:customStyle="1" w:styleId="TSBHeaderTitle">
    <w:name w:val="TSBHeaderTitle"/>
    <w:basedOn w:val="Normal"/>
    <w:qFormat/>
    <w:rsid w:val="005B6D9A"/>
    <w:pPr>
      <w:tabs>
        <w:tab w:val="clear" w:pos="794"/>
      </w:tabs>
      <w:bidi w:val="0"/>
      <w:spacing w:after="0" w:line="240" w:lineRule="auto"/>
      <w:jc w:val="left"/>
    </w:pPr>
    <w:rPr>
      <w:rFonts w:ascii="Times New Roman" w:eastAsiaTheme="minorEastAsia" w:hAnsi="CG Times" w:cs="Simplified Arabic" w:hint="cs"/>
      <w:sz w:val="24"/>
      <w:szCs w:val="24"/>
      <w:lang w:eastAsia="zh-CN"/>
    </w:rPr>
  </w:style>
  <w:style w:type="paragraph" w:customStyle="1" w:styleId="TSBHeaderSummary">
    <w:name w:val="TSBHeaderSummary"/>
    <w:basedOn w:val="Normal"/>
    <w:rsid w:val="005B6D9A"/>
    <w:pPr>
      <w:tabs>
        <w:tab w:val="clear" w:pos="794"/>
      </w:tabs>
      <w:bidi w:val="0"/>
      <w:spacing w:after="0" w:line="240" w:lineRule="auto"/>
      <w:jc w:val="left"/>
    </w:pPr>
    <w:rPr>
      <w:rFonts w:ascii="Times New Roman" w:eastAsiaTheme="minorEastAsia" w:hAnsi="CG Times" w:cs="Simplified Arabic" w:hint="cs"/>
      <w:sz w:val="24"/>
      <w:szCs w:val="24"/>
      <w:lang w:eastAsia="zh-CN"/>
    </w:rPr>
  </w:style>
  <w:style w:type="paragraph" w:customStyle="1" w:styleId="LSApproval">
    <w:name w:val="LSApproval"/>
    <w:basedOn w:val="Normal"/>
    <w:rsid w:val="005B6D9A"/>
    <w:pPr>
      <w:tabs>
        <w:tab w:val="clear" w:pos="794"/>
      </w:tabs>
      <w:bidi w:val="0"/>
      <w:spacing w:after="0" w:line="240" w:lineRule="auto"/>
      <w:jc w:val="left"/>
    </w:pPr>
    <w:rPr>
      <w:rFonts w:ascii="Times New Roman" w:eastAsiaTheme="minorEastAsia" w:hAnsi="CG Times" w:cs="Simplified Arabic" w:hint="cs"/>
      <w:b/>
      <w:bCs/>
      <w:sz w:val="24"/>
      <w:szCs w:val="24"/>
      <w:lang w:eastAsia="zh-CN"/>
    </w:rPr>
  </w:style>
  <w:style w:type="paragraph" w:customStyle="1" w:styleId="TSBHeaderRight14">
    <w:name w:val="TSBHeaderRight14"/>
    <w:basedOn w:val="Normal"/>
    <w:qFormat/>
    <w:rsid w:val="005B6D9A"/>
    <w:pPr>
      <w:tabs>
        <w:tab w:val="left" w:pos="1191"/>
        <w:tab w:val="left" w:pos="1588"/>
        <w:tab w:val="left" w:pos="1985"/>
      </w:tabs>
      <w:overflowPunct w:val="0"/>
      <w:autoSpaceDE w:val="0"/>
      <w:autoSpaceDN w:val="0"/>
      <w:bidi w:val="0"/>
      <w:adjustRightInd w:val="0"/>
      <w:spacing w:after="0" w:line="240" w:lineRule="auto"/>
      <w:jc w:val="right"/>
      <w:textAlignment w:val="baseline"/>
    </w:pPr>
    <w:rPr>
      <w:rFonts w:ascii="Times New Roman" w:hAnsi="CG Times" w:cs="Simplified Arabic" w:hint="cs"/>
      <w:b/>
      <w:bCs/>
      <w:sz w:val="28"/>
      <w:szCs w:val="28"/>
      <w:lang w:eastAsia="zh-CN"/>
    </w:rPr>
  </w:style>
  <w:style w:type="character" w:customStyle="1" w:styleId="SourceChar">
    <w:name w:val="Source Char"/>
    <w:link w:val="Source"/>
    <w:locked/>
    <w:rsid w:val="005B6D9A"/>
    <w:rPr>
      <w:rFonts w:ascii="Dubai" w:hAnsi="Dubai" w:cs="Dubai"/>
      <w:b/>
      <w:bCs/>
      <w:snapToGrid w:val="0"/>
      <w:sz w:val="30"/>
      <w:szCs w:val="30"/>
      <w:lang w:eastAsia="en-US" w:bidi="ar-EG"/>
    </w:rPr>
  </w:style>
  <w:style w:type="character" w:customStyle="1" w:styleId="Title1Char">
    <w:name w:val="Title 1 Char"/>
    <w:link w:val="Title1"/>
    <w:qFormat/>
    <w:locked/>
    <w:rsid w:val="005B6D9A"/>
    <w:rPr>
      <w:rFonts w:ascii="Dubai" w:hAnsi="Dubai" w:cs="Dubai"/>
      <w:w w:val="120"/>
      <w:sz w:val="28"/>
      <w:szCs w:val="28"/>
      <w:lang w:eastAsia="en-US" w:bidi="ar-EG"/>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B6D9A"/>
    <w:rPr>
      <w:rFonts w:ascii="Dubai" w:hAnsi="Dubai" w:cs="Dubai"/>
      <w:sz w:val="22"/>
      <w:szCs w:val="22"/>
      <w:lang w:eastAsia="en-US"/>
    </w:rPr>
  </w:style>
  <w:style w:type="character" w:customStyle="1" w:styleId="Heading1Char">
    <w:name w:val="Heading 1 Char"/>
    <w:basedOn w:val="DefaultParagraphFont"/>
    <w:link w:val="Heading1"/>
    <w:rsid w:val="005B6D9A"/>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5B6D9A"/>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5B6D9A"/>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5B6D9A"/>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5B6D9A"/>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5B6D9A"/>
    <w:rPr>
      <w:rFonts w:ascii="Dubai" w:hAnsi="Dubai" w:cs="Dubai"/>
      <w:b/>
      <w:bCs/>
      <w:kern w:val="14"/>
      <w:sz w:val="22"/>
      <w:szCs w:val="22"/>
      <w:lang w:eastAsia="en-US" w:bidi="ar-EG"/>
    </w:rPr>
  </w:style>
  <w:style w:type="character" w:customStyle="1" w:styleId="Heading7Char">
    <w:name w:val="Heading 7 Char"/>
    <w:basedOn w:val="DefaultParagraphFont"/>
    <w:link w:val="Heading7"/>
    <w:rsid w:val="005B6D9A"/>
    <w:rPr>
      <w:rFonts w:ascii="Dubai" w:hAnsi="Dubai" w:cs="Dubai"/>
      <w:b/>
      <w:bCs/>
      <w:kern w:val="14"/>
      <w:sz w:val="22"/>
      <w:szCs w:val="22"/>
      <w:lang w:eastAsia="en-US" w:bidi="ar-EG"/>
    </w:rPr>
  </w:style>
  <w:style w:type="character" w:customStyle="1" w:styleId="Heading8Char">
    <w:name w:val="Heading 8 Char"/>
    <w:basedOn w:val="DefaultParagraphFont"/>
    <w:link w:val="Heading8"/>
    <w:rsid w:val="005B6D9A"/>
    <w:rPr>
      <w:rFonts w:ascii="Dubai" w:hAnsi="Dubai" w:cs="Dubai"/>
      <w:b/>
      <w:bCs/>
      <w:kern w:val="14"/>
      <w:sz w:val="22"/>
      <w:szCs w:val="22"/>
      <w:lang w:eastAsia="en-US" w:bidi="ar-EG"/>
    </w:rPr>
  </w:style>
  <w:style w:type="character" w:customStyle="1" w:styleId="Heading9Char">
    <w:name w:val="Heading 9 Char"/>
    <w:basedOn w:val="DefaultParagraphFont"/>
    <w:link w:val="Heading9"/>
    <w:rsid w:val="005B6D9A"/>
    <w:rPr>
      <w:rFonts w:ascii="Dubai" w:hAnsi="Dubai" w:cs="Dubai"/>
      <w:b/>
      <w:bCs/>
      <w:kern w:val="14"/>
      <w:sz w:val="22"/>
      <w:szCs w:val="22"/>
      <w:lang w:eastAsia="en-US" w:bidi="ar-EG"/>
    </w:rPr>
  </w:style>
  <w:style w:type="paragraph" w:customStyle="1" w:styleId="ASN1">
    <w:name w:val="ASN.1"/>
    <w:basedOn w:val="Normal"/>
    <w:rsid w:val="005B6D9A"/>
    <w:pPr>
      <w:tabs>
        <w:tab w:val="left" w:pos="567"/>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utoSpaceDE w:val="0"/>
      <w:autoSpaceDN w:val="0"/>
      <w:bidi w:val="0"/>
      <w:adjustRightInd w:val="0"/>
      <w:spacing w:before="0" w:after="0" w:line="240" w:lineRule="auto"/>
      <w:jc w:val="left"/>
      <w:textAlignment w:val="baseline"/>
    </w:pPr>
    <w:rPr>
      <w:rFonts w:ascii="Courier New" w:hAnsi="Courier New" w:cs="Simplified Arabic" w:hint="cs"/>
      <w:b/>
      <w:noProof/>
      <w:sz w:val="20"/>
      <w:szCs w:val="30"/>
      <w:lang w:eastAsia="zh-CN"/>
    </w:rPr>
  </w:style>
  <w:style w:type="paragraph" w:customStyle="1" w:styleId="FooterQP">
    <w:name w:val="Footer_QP"/>
    <w:basedOn w:val="Normal"/>
    <w:rsid w:val="005B6D9A"/>
    <w:pPr>
      <w:tabs>
        <w:tab w:val="clear" w:pos="794"/>
        <w:tab w:val="left" w:pos="907"/>
        <w:tab w:val="right" w:pos="8789"/>
        <w:tab w:val="right" w:pos="9639"/>
      </w:tabs>
      <w:overflowPunct w:val="0"/>
      <w:autoSpaceDE w:val="0"/>
      <w:autoSpaceDN w:val="0"/>
      <w:bidi w:val="0"/>
      <w:adjustRightInd w:val="0"/>
      <w:spacing w:before="0" w:after="0" w:line="240" w:lineRule="auto"/>
      <w:jc w:val="left"/>
      <w:textAlignment w:val="baseline"/>
    </w:pPr>
    <w:rPr>
      <w:rFonts w:ascii="Times New Roman" w:hAnsi="CG Times" w:cs="Simplified Arabic" w:hint="cs"/>
      <w:b/>
      <w:szCs w:val="30"/>
      <w:lang w:eastAsia="zh-CN"/>
    </w:rPr>
  </w:style>
  <w:style w:type="paragraph" w:customStyle="1" w:styleId="headingb0">
    <w:name w:val="heading_b"/>
    <w:basedOn w:val="Heading3"/>
    <w:next w:val="Normal"/>
    <w:rsid w:val="005B6D9A"/>
    <w:pPr>
      <w:keepLines/>
      <w:tabs>
        <w:tab w:val="left" w:pos="1134"/>
        <w:tab w:val="left" w:pos="1871"/>
        <w:tab w:val="left" w:pos="2127"/>
        <w:tab w:val="left" w:pos="2268"/>
        <w:tab w:val="left" w:pos="2410"/>
        <w:tab w:val="left" w:pos="2921"/>
        <w:tab w:val="left" w:pos="3261"/>
      </w:tabs>
      <w:overflowPunct w:val="0"/>
      <w:autoSpaceDE w:val="0"/>
      <w:autoSpaceDN w:val="0"/>
      <w:bidi w:val="0"/>
      <w:adjustRightInd w:val="0"/>
      <w:spacing w:after="0" w:line="240" w:lineRule="auto"/>
      <w:ind w:left="0" w:firstLine="0"/>
      <w:jc w:val="left"/>
      <w:outlineLvl w:val="9"/>
    </w:pPr>
    <w:rPr>
      <w:rFonts w:ascii="Times New Roman" w:hAnsi="CG Times" w:cs="Simplified Arabic" w:hint="cs"/>
      <w:b w:val="0"/>
      <w:bCs w:val="0"/>
      <w:kern w:val="0"/>
      <w:sz w:val="24"/>
      <w:szCs w:val="25"/>
      <w:lang w:eastAsia="zh-CN" w:bidi="ar-SA"/>
    </w:rPr>
  </w:style>
  <w:style w:type="character" w:customStyle="1" w:styleId="TabletextChar">
    <w:name w:val="Table_text Char"/>
    <w:basedOn w:val="DefaultParagraphFont"/>
    <w:link w:val="Tabletext"/>
    <w:locked/>
    <w:rsid w:val="005B6D9A"/>
    <w:rPr>
      <w:rFonts w:ascii="Dubai" w:hAnsi="Dubai" w:cs="Dubai"/>
    </w:rPr>
  </w:style>
  <w:style w:type="character" w:customStyle="1" w:styleId="apple-converted-space">
    <w:name w:val="apple-converted-space"/>
    <w:basedOn w:val="DefaultParagraphFont"/>
    <w:rsid w:val="005B6D9A"/>
  </w:style>
  <w:style w:type="table" w:customStyle="1" w:styleId="TableGrid1">
    <w:name w:val="Table Grid1"/>
    <w:basedOn w:val="TableNormal"/>
    <w:next w:val="TableGrid"/>
    <w:rsid w:val="005B6D9A"/>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bChar">
    <w:name w:val="Heading_b Char"/>
    <w:link w:val="Headingb"/>
    <w:locked/>
    <w:rsid w:val="005B6D9A"/>
    <w:rPr>
      <w:rFonts w:ascii="Dubai" w:hAnsi="Dubai" w:cs="Dubai"/>
      <w:b/>
      <w:bCs/>
      <w:kern w:val="14"/>
      <w:sz w:val="24"/>
      <w:szCs w:val="24"/>
      <w:lang w:eastAsia="en-US" w:bidi="ar-EG"/>
    </w:rPr>
  </w:style>
  <w:style w:type="paragraph" w:styleId="Revision">
    <w:name w:val="Revision"/>
    <w:uiPriority w:val="99"/>
    <w:semiHidden/>
    <w:rsid w:val="005B6D9A"/>
    <w:rPr>
      <w:rFonts w:ascii="Times New Roman" w:hAnsi="Times New Roman"/>
      <w:sz w:val="24"/>
    </w:rPr>
  </w:style>
  <w:style w:type="table" w:customStyle="1" w:styleId="GridTable1Light-Accent512">
    <w:name w:val="Grid Table 1 Light - Accent 512"/>
    <w:basedOn w:val="TableNormal"/>
    <w:uiPriority w:val="46"/>
    <w:rsid w:val="005B6D9A"/>
    <w:rPr>
      <w:rFonts w:ascii="Calibri" w:eastAsia="Calibri" w:hAnsi="Calibri" w:cs="Arial"/>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5B6D9A"/>
    <w:rPr>
      <w:rFonts w:ascii="Calibri" w:eastAsia="Calibri" w:hAnsi="Calibri" w:cs="Arial"/>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5B6D9A"/>
    <w:rPr>
      <w:rFonts w:ascii="Calibri" w:eastAsia="Calibri" w:hAnsi="Calibri" w:cs="Arial"/>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Index8">
    <w:name w:val="index 8"/>
    <w:basedOn w:val="Normal"/>
    <w:next w:val="Normal"/>
    <w:autoRedefine/>
    <w:uiPriority w:val="99"/>
    <w:unhideWhenUsed/>
    <w:rsid w:val="005B6D9A"/>
    <w:pPr>
      <w:tabs>
        <w:tab w:val="clear" w:pos="794"/>
      </w:tabs>
      <w:bidi w:val="0"/>
      <w:spacing w:before="0" w:after="0" w:line="259" w:lineRule="auto"/>
      <w:ind w:left="1760" w:hanging="220"/>
      <w:jc w:val="left"/>
    </w:pPr>
    <w:rPr>
      <w:rFonts w:ascii="Times New Roman" w:eastAsiaTheme="minorEastAsia" w:hAnsi="CG Times" w:cstheme="minorBidi" w:hint="cs"/>
      <w:sz w:val="18"/>
      <w:szCs w:val="18"/>
      <w:lang w:eastAsia="zh-CN"/>
    </w:rPr>
  </w:style>
  <w:style w:type="paragraph" w:styleId="Index9">
    <w:name w:val="index 9"/>
    <w:basedOn w:val="Normal"/>
    <w:next w:val="Normal"/>
    <w:autoRedefine/>
    <w:uiPriority w:val="99"/>
    <w:unhideWhenUsed/>
    <w:rsid w:val="005B6D9A"/>
    <w:pPr>
      <w:tabs>
        <w:tab w:val="clear" w:pos="794"/>
      </w:tabs>
      <w:bidi w:val="0"/>
      <w:spacing w:before="0" w:after="0" w:line="259" w:lineRule="auto"/>
      <w:ind w:left="1980" w:hanging="220"/>
      <w:jc w:val="left"/>
    </w:pPr>
    <w:rPr>
      <w:rFonts w:ascii="Times New Roman" w:eastAsiaTheme="minorEastAsia" w:hAnsi="CG Times" w:cstheme="minorBidi" w:hint="cs"/>
      <w:sz w:val="18"/>
      <w:szCs w:val="18"/>
      <w:lang w:eastAsia="zh-CN"/>
    </w:rPr>
  </w:style>
  <w:style w:type="table" w:customStyle="1" w:styleId="TableGrid2">
    <w:name w:val="Table Grid2"/>
    <w:basedOn w:val="TableNormal"/>
    <w:next w:val="TableGrid"/>
    <w:uiPriority w:val="39"/>
    <w:rsid w:val="005B6D9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5B6D9A"/>
    <w:rPr>
      <w:rFonts w:ascii="Times New Roman" w:cs="Simplified Arabic" w:hint="c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5B6D9A"/>
    <w:rPr>
      <w:rFonts w:ascii="Times New Roman" w:cs="Simplified Arabic" w:hint="c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5B6D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5B6D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11">
    <w:name w:val="List Table 1 Light - Accent 11"/>
    <w:basedOn w:val="TableNormal"/>
    <w:next w:val="ListTable1Light-Accent1"/>
    <w:uiPriority w:val="46"/>
    <w:rsid w:val="005B6D9A"/>
    <w:rPr>
      <w:rFonts w:ascii="Times New Roman" w:cs="Simplified Arabic" w:hint="c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5B6D9A"/>
    <w:pPr>
      <w:tabs>
        <w:tab w:val="clear" w:pos="794"/>
      </w:tabs>
      <w:bidi w:val="0"/>
      <w:spacing w:before="100" w:beforeAutospacing="1" w:after="100" w:afterAutospacing="1" w:line="240" w:lineRule="auto"/>
      <w:jc w:val="left"/>
    </w:pPr>
    <w:rPr>
      <w:rFonts w:ascii="Times New Roman" w:hAnsi="CG Times" w:cs="Simplified Arabic" w:hint="cs"/>
      <w:sz w:val="24"/>
      <w:szCs w:val="24"/>
      <w:lang w:eastAsia="zh-CN"/>
    </w:rPr>
  </w:style>
  <w:style w:type="character" w:customStyle="1" w:styleId="normaltextrun">
    <w:name w:val="normaltextrun"/>
    <w:basedOn w:val="DefaultParagraphFont"/>
    <w:rsid w:val="005B6D9A"/>
  </w:style>
  <w:style w:type="character" w:customStyle="1" w:styleId="eop">
    <w:name w:val="eop"/>
    <w:basedOn w:val="DefaultParagraphFont"/>
    <w:rsid w:val="005B6D9A"/>
  </w:style>
  <w:style w:type="character" w:customStyle="1" w:styleId="ui-provider">
    <w:name w:val="ui-provider"/>
    <w:basedOn w:val="DefaultParagraphFont"/>
    <w:rsid w:val="005B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rec/R-REC-P.619/en" TargetMode="External"/><Relationship Id="rId21" Type="http://schemas.openxmlformats.org/officeDocument/2006/relationships/hyperlink" Target="https://www.itu.int/rec/R-REC-P.311/en" TargetMode="External"/><Relationship Id="rId42" Type="http://schemas.openxmlformats.org/officeDocument/2006/relationships/hyperlink" Target="https://www.itu.int/pub/R-REP-S.2565" TargetMode="External"/><Relationship Id="rId47" Type="http://schemas.openxmlformats.org/officeDocument/2006/relationships/hyperlink" Target="https://www.itu.int/pub/R-REP-M.2561" TargetMode="External"/><Relationship Id="rId63" Type="http://schemas.openxmlformats.org/officeDocument/2006/relationships/hyperlink" Target="https://www.itu.int/pub/R-REP-BT.2246" TargetMode="External"/><Relationship Id="rId68" Type="http://schemas.openxmlformats.org/officeDocument/2006/relationships/hyperlink" Target="https://www.itu.int/pub/R-REP-BT.2420" TargetMode="External"/><Relationship Id="rId84" Type="http://schemas.openxmlformats.org/officeDocument/2006/relationships/hyperlink" Target="https://www.itu.int/pub/R-REP-SA.2553" TargetMode="External"/><Relationship Id="rId89" Type="http://schemas.openxmlformats.org/officeDocument/2006/relationships/hyperlink" Target="https://www.itu.int/md/R00-CA-CIR-0277/en" TargetMode="External"/><Relationship Id="rId112" Type="http://schemas.openxmlformats.org/officeDocument/2006/relationships/header" Target="header1.xml"/><Relationship Id="rId16" Type="http://schemas.openxmlformats.org/officeDocument/2006/relationships/hyperlink" Target="https://www.itu.int/rec/R-REC-SM.328/en" TargetMode="External"/><Relationship Id="rId107" Type="http://schemas.openxmlformats.org/officeDocument/2006/relationships/hyperlink" Target="https://www.itu.int/md/R23-RAG-C-0058/en" TargetMode="External"/><Relationship Id="rId11" Type="http://schemas.openxmlformats.org/officeDocument/2006/relationships/endnotes" Target="endnotes.xml"/><Relationship Id="rId32" Type="http://schemas.openxmlformats.org/officeDocument/2006/relationships/hyperlink" Target="https://www.itu.int/rec/R-REC-P.1812/en" TargetMode="External"/><Relationship Id="rId37" Type="http://schemas.openxmlformats.org/officeDocument/2006/relationships/hyperlink" Target="https://www.itu.int/pub/R-REP-P.2345" TargetMode="External"/><Relationship Id="rId53" Type="http://schemas.openxmlformats.org/officeDocument/2006/relationships/hyperlink" Target="https://www.itu.int/rec/R-REC-BS.1514/en" TargetMode="External"/><Relationship Id="rId58" Type="http://schemas.openxmlformats.org/officeDocument/2006/relationships/hyperlink" Target="https://www.itu.int/pub/R-REP-BS.2388" TargetMode="External"/><Relationship Id="rId74" Type="http://schemas.openxmlformats.org/officeDocument/2006/relationships/hyperlink" Target="https://www.itu.int/pub/R-REP-BT.2556" TargetMode="External"/><Relationship Id="rId79" Type="http://schemas.openxmlformats.org/officeDocument/2006/relationships/hyperlink" Target="https://www.itu.int/rec/R-REC-SA.2169/en" TargetMode="External"/><Relationship Id="rId102" Type="http://schemas.openxmlformats.org/officeDocument/2006/relationships/hyperlink" Target="https://www.itu.int/en/general-secretariat/Pages/coordination-committee-for-terminology.aspx" TargetMode="External"/><Relationship Id="rId5" Type="http://schemas.openxmlformats.org/officeDocument/2006/relationships/customXml" Target="../customXml/item5.xml"/><Relationship Id="rId90" Type="http://schemas.openxmlformats.org/officeDocument/2006/relationships/hyperlink" Target="https://www.itu.int/md/R23-SG01-C-0045/en" TargetMode="External"/><Relationship Id="rId95" Type="http://schemas.openxmlformats.org/officeDocument/2006/relationships/hyperlink" Target="https://www.itu.int/md/R00-CACE-CIR-1165/en" TargetMode="External"/><Relationship Id="rId22" Type="http://schemas.openxmlformats.org/officeDocument/2006/relationships/hyperlink" Target="https://www.itu.int/rec/R-REC-P.526/en" TargetMode="External"/><Relationship Id="rId27" Type="http://schemas.openxmlformats.org/officeDocument/2006/relationships/hyperlink" Target="https://www.itu.int/rec/R-REC-P.837/en" TargetMode="External"/><Relationship Id="rId43" Type="http://schemas.openxmlformats.org/officeDocument/2006/relationships/hyperlink" Target="https://www.itu.int/pub/R-REP-F.2558" TargetMode="External"/><Relationship Id="rId48" Type="http://schemas.openxmlformats.org/officeDocument/2006/relationships/hyperlink" Target="https://www.itu.int/pub/R-REP-M.2562" TargetMode="External"/><Relationship Id="rId64" Type="http://schemas.openxmlformats.org/officeDocument/2006/relationships/hyperlink" Target="https://www.itu.int/pub/R-REP-BT.2299" TargetMode="External"/><Relationship Id="rId69" Type="http://schemas.openxmlformats.org/officeDocument/2006/relationships/hyperlink" Target="https://www.itu.int/pub/R-REP-BT.2448" TargetMode="External"/><Relationship Id="rId113" Type="http://schemas.openxmlformats.org/officeDocument/2006/relationships/header" Target="header2.xml"/><Relationship Id="rId80" Type="http://schemas.openxmlformats.org/officeDocument/2006/relationships/hyperlink" Target="https://www.itu.int/pub/R-REP-RA.2551" TargetMode="External"/><Relationship Id="rId85" Type="http://schemas.openxmlformats.org/officeDocument/2006/relationships/hyperlink" Target="https://www.itu.int/rec/R-REC-V.431/en" TargetMode="External"/><Relationship Id="rId12" Type="http://schemas.openxmlformats.org/officeDocument/2006/relationships/image" Target="media/image1.jpeg"/><Relationship Id="rId17" Type="http://schemas.openxmlformats.org/officeDocument/2006/relationships/hyperlink" Target="https://www.itu.int/rec/R-REC-SM.2110/en" TargetMode="External"/><Relationship Id="rId33" Type="http://schemas.openxmlformats.org/officeDocument/2006/relationships/hyperlink" Target="https://www.itu.int/rec/R-REC-P.1814/en" TargetMode="External"/><Relationship Id="rId38" Type="http://schemas.openxmlformats.org/officeDocument/2006/relationships/hyperlink" Target="https://www.itu.int/pub/R-REP-P.2554" TargetMode="External"/><Relationship Id="rId59" Type="http://schemas.openxmlformats.org/officeDocument/2006/relationships/hyperlink" Target="https://www.itu.int/pub/R-REP-BS.2555" TargetMode="External"/><Relationship Id="rId103" Type="http://schemas.openxmlformats.org/officeDocument/2006/relationships/hyperlink" Target="https://www.itu.int/br_tsb_terms/" TargetMode="External"/><Relationship Id="rId108" Type="http://schemas.openxmlformats.org/officeDocument/2006/relationships/hyperlink" Target="https://www.itu.int/dms_ties/itu-r/oth/0a/0d/R0A0D00002B0001PPTE.pptx" TargetMode="External"/><Relationship Id="rId54" Type="http://schemas.openxmlformats.org/officeDocument/2006/relationships/hyperlink" Target="https://www.itu.int/rec/R-REC-BS.1548/en" TargetMode="External"/><Relationship Id="rId70" Type="http://schemas.openxmlformats.org/officeDocument/2006/relationships/hyperlink" Target="https://www.itu.int/pub/R-REP-BT.2526" TargetMode="External"/><Relationship Id="rId75" Type="http://schemas.openxmlformats.org/officeDocument/2006/relationships/hyperlink" Target="https://www.itu.int/pub/R-REP-BT.2557" TargetMode="External"/><Relationship Id="rId91" Type="http://schemas.openxmlformats.org/officeDocument/2006/relationships/hyperlink" Target="https://www.itu.int/online/mm/scripts/s/gensel90?&amp;lang=ar" TargetMode="External"/><Relationship Id="rId96" Type="http://schemas.openxmlformats.org/officeDocument/2006/relationships/hyperlink" Target="https://www.itu.int/md/R00-CACE-CIR-1168/en"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itu.int/md/R23-RAG-C-0058/en" TargetMode="External"/><Relationship Id="rId23" Type="http://schemas.openxmlformats.org/officeDocument/2006/relationships/hyperlink" Target="https://www.itu.int/rec/R-REC-P.530/en" TargetMode="External"/><Relationship Id="rId28" Type="http://schemas.openxmlformats.org/officeDocument/2006/relationships/hyperlink" Target="https://www.itu.int/rec/R-REC-P.1144/en" TargetMode="External"/><Relationship Id="rId36" Type="http://schemas.openxmlformats.org/officeDocument/2006/relationships/hyperlink" Target="https://www.itu.int/rec/R-REC-P.2170/en" TargetMode="External"/><Relationship Id="rId49" Type="http://schemas.openxmlformats.org/officeDocument/2006/relationships/hyperlink" Target="https://www.itu.int/pub/R-REP-M.2563" TargetMode="External"/><Relationship Id="rId57" Type="http://schemas.openxmlformats.org/officeDocument/2006/relationships/hyperlink" Target="https://www.itu.int/rec/R-REC-BT.2111/en" TargetMode="External"/><Relationship Id="rId106" Type="http://schemas.openxmlformats.org/officeDocument/2006/relationships/hyperlink" Target="https://www.itu.int/md/R00-CA-CIR-0277/en" TargetMode="External"/><Relationship Id="rId114"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itu.int/rec/R-REC-P.1411/en" TargetMode="External"/><Relationship Id="rId44" Type="http://schemas.openxmlformats.org/officeDocument/2006/relationships/hyperlink" Target="https://www.itu.int/pub/R-REP-M.2039" TargetMode="External"/><Relationship Id="rId52" Type="http://schemas.openxmlformats.org/officeDocument/2006/relationships/hyperlink" Target="https://www.itu.int/rec/R-REC-BS.1114/en" TargetMode="External"/><Relationship Id="rId60" Type="http://schemas.openxmlformats.org/officeDocument/2006/relationships/hyperlink" Target="https://www.itu.int/pub/R-REP-BT.2295" TargetMode="External"/><Relationship Id="rId65" Type="http://schemas.openxmlformats.org/officeDocument/2006/relationships/hyperlink" Target="https://www.itu.int/pub/R-REP-BT.2343" TargetMode="External"/><Relationship Id="rId73" Type="http://schemas.openxmlformats.org/officeDocument/2006/relationships/hyperlink" Target="https://www.itu.int/pub/R-REP-BT.2550" TargetMode="External"/><Relationship Id="rId78" Type="http://schemas.openxmlformats.org/officeDocument/2006/relationships/hyperlink" Target="https://www.itu.int/rec/R-REC-SA.2141/en" TargetMode="External"/><Relationship Id="rId81" Type="http://schemas.openxmlformats.org/officeDocument/2006/relationships/hyperlink" Target="https://www.itu.int/pub/R-REP-RA.2552" TargetMode="External"/><Relationship Id="rId86" Type="http://schemas.openxmlformats.org/officeDocument/2006/relationships/hyperlink" Target="https://www.itu.int/md/R00-CACE-CIR-1131/en" TargetMode="External"/><Relationship Id="rId94" Type="http://schemas.openxmlformats.org/officeDocument/2006/relationships/hyperlink" Target="https://www.itu.int/pub/R-HDB-52" TargetMode="External"/><Relationship Id="rId99" Type="http://schemas.openxmlformats.org/officeDocument/2006/relationships/hyperlink" Target="http://www.itu.int/oth/R0A0E000097" TargetMode="External"/><Relationship Id="rId101" Type="http://schemas.openxmlformats.org/officeDocument/2006/relationships/hyperlink" Target="https://www.itu.int/Global-ITU-WMO/use-and-management-of-radio-spectrum-for-meteorology/"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itu.int/md/R00-CA-CIR-0280/en" TargetMode="External"/><Relationship Id="rId18" Type="http://schemas.openxmlformats.org/officeDocument/2006/relationships/hyperlink" Target="https://www.itu.int/pub/R-REP-SM.2012" TargetMode="External"/><Relationship Id="rId39" Type="http://schemas.openxmlformats.org/officeDocument/2006/relationships/hyperlink" Target="https://www.itu.int/pub/R-QUE-SG03.237" TargetMode="External"/><Relationship Id="rId109" Type="http://schemas.openxmlformats.org/officeDocument/2006/relationships/hyperlink" Target="https://www.itu.int/oth/R0A0D00002C" TargetMode="External"/><Relationship Id="rId34" Type="http://schemas.openxmlformats.org/officeDocument/2006/relationships/hyperlink" Target="https://www.itu.int/rec/R-REC-P.2001/en" TargetMode="External"/><Relationship Id="rId50" Type="http://schemas.openxmlformats.org/officeDocument/2006/relationships/hyperlink" Target="https://www.itu.int/pub/R-HDB-52" TargetMode="External"/><Relationship Id="rId55" Type="http://schemas.openxmlformats.org/officeDocument/2006/relationships/hyperlink" Target="https://www.itu.int/rec/R-REC-BS.2088/en" TargetMode="External"/><Relationship Id="rId76" Type="http://schemas.openxmlformats.org/officeDocument/2006/relationships/hyperlink" Target="https://www.itu.int/rec/R-REC-RS.1166/en" TargetMode="External"/><Relationship Id="rId97" Type="http://schemas.openxmlformats.org/officeDocument/2006/relationships/hyperlink" Target="https://www.itu.int/en/ITU-R/seminars/Fixed-Wireless-Service/Pages/default.aspx" TargetMode="External"/><Relationship Id="rId104" Type="http://schemas.openxmlformats.org/officeDocument/2006/relationships/hyperlink" Target="https://www.itu.int/md/R23-RAG-C-0058/en" TargetMode="External"/><Relationship Id="rId7" Type="http://schemas.openxmlformats.org/officeDocument/2006/relationships/styles" Target="styles.xml"/><Relationship Id="rId71" Type="http://schemas.openxmlformats.org/officeDocument/2006/relationships/hyperlink" Target="https://www.itu.int/pub/R-REP-BT.2539" TargetMode="External"/><Relationship Id="rId92" Type="http://schemas.openxmlformats.org/officeDocument/2006/relationships/hyperlink" Target="https://www.itu.int/md/R00-SG01-CIR-0115/en" TargetMode="External"/><Relationship Id="rId2" Type="http://schemas.openxmlformats.org/officeDocument/2006/relationships/customXml" Target="../customXml/item2.xml"/><Relationship Id="rId29" Type="http://schemas.openxmlformats.org/officeDocument/2006/relationships/hyperlink" Target="https://www.itu.int/rec/R-REC-P.1238/en" TargetMode="External"/><Relationship Id="rId24" Type="http://schemas.openxmlformats.org/officeDocument/2006/relationships/hyperlink" Target="https://www.itu.int/rec/R-REC-P.531/en" TargetMode="External"/><Relationship Id="rId40" Type="http://schemas.openxmlformats.org/officeDocument/2006/relationships/hyperlink" Target="https://www.itu.int/pub/R-REP-M.2305" TargetMode="External"/><Relationship Id="rId45" Type="http://schemas.openxmlformats.org/officeDocument/2006/relationships/hyperlink" Target="https://www.itu.int/pub/R-REP-M.2559" TargetMode="External"/><Relationship Id="rId66" Type="http://schemas.openxmlformats.org/officeDocument/2006/relationships/hyperlink" Target="https://www.itu.int/pub/R-REP-BT.2390" TargetMode="External"/><Relationship Id="rId87" Type="http://schemas.openxmlformats.org/officeDocument/2006/relationships/hyperlink" Target="https://www.itu.int/md/R00-SG01-CIR-0113/en" TargetMode="External"/><Relationship Id="rId110" Type="http://schemas.openxmlformats.org/officeDocument/2006/relationships/hyperlink" Target="https://www.itu.int/md/R23-RAG-C-0058/en" TargetMode="External"/><Relationship Id="rId115" Type="http://schemas.openxmlformats.org/officeDocument/2006/relationships/theme" Target="theme/theme1.xml"/><Relationship Id="rId61" Type="http://schemas.openxmlformats.org/officeDocument/2006/relationships/hyperlink" Target="https://www.itu.int/pub/R-REP-BT.2385" TargetMode="External"/><Relationship Id="rId82" Type="http://schemas.openxmlformats.org/officeDocument/2006/relationships/hyperlink" Target="https://www.itu.int/pub/R-REP-RS.2310" TargetMode="External"/><Relationship Id="rId19" Type="http://schemas.openxmlformats.org/officeDocument/2006/relationships/hyperlink" Target="https://www.itu.int/pub/R-REP-SM.2015" TargetMode="External"/><Relationship Id="rId14" Type="http://schemas.openxmlformats.org/officeDocument/2006/relationships/chart" Target="charts/chart1.xml"/><Relationship Id="rId30" Type="http://schemas.openxmlformats.org/officeDocument/2006/relationships/hyperlink" Target="https://www.itu.int/rec/R-REC-P.1409/en" TargetMode="External"/><Relationship Id="rId35" Type="http://schemas.openxmlformats.org/officeDocument/2006/relationships/hyperlink" Target="https://www.itu.int/rec/R-REC-P.2040/en" TargetMode="External"/><Relationship Id="rId56" Type="http://schemas.openxmlformats.org/officeDocument/2006/relationships/hyperlink" Target="https://www.itu.int/rec/R-REC-BT.1774/en" TargetMode="External"/><Relationship Id="rId77" Type="http://schemas.openxmlformats.org/officeDocument/2006/relationships/hyperlink" Target="https://www.itu.int/rec/R-REC-RS.2105/en" TargetMode="External"/><Relationship Id="rId100" Type="http://schemas.openxmlformats.org/officeDocument/2006/relationships/hyperlink" Target="https://www.itu.int/en/ITU-R/study-groups/rsg7/Pages/Seminar-Science-Services-RR-WRC27-2025.aspx" TargetMode="External"/><Relationship Id="rId105" Type="http://schemas.openxmlformats.org/officeDocument/2006/relationships/hyperlink" Target="https://www.itu.int/md/R23-SG01-C-0045/en" TargetMode="External"/><Relationship Id="rId8" Type="http://schemas.openxmlformats.org/officeDocument/2006/relationships/settings" Target="settings.xml"/><Relationship Id="rId51" Type="http://schemas.openxmlformats.org/officeDocument/2006/relationships/hyperlink" Target="https://www.itu.int/rec/R-REC-BS.705/en" TargetMode="External"/><Relationship Id="rId72" Type="http://schemas.openxmlformats.org/officeDocument/2006/relationships/hyperlink" Target="https://www.itu.int/pub/R-REP-BT.2549" TargetMode="External"/><Relationship Id="rId93" Type="http://schemas.openxmlformats.org/officeDocument/2006/relationships/hyperlink" Target="https://www.itu.int/en/ITU-R/seminars/ML-in-radio-prop/Pages/default.aspx" TargetMode="External"/><Relationship Id="rId98" Type="http://schemas.openxmlformats.org/officeDocument/2006/relationships/hyperlink" Target="https://www.itu.int/md/R23-SG05-C-0116/en" TargetMode="External"/><Relationship Id="rId3" Type="http://schemas.openxmlformats.org/officeDocument/2006/relationships/customXml" Target="../customXml/item3.xml"/><Relationship Id="rId25" Type="http://schemas.openxmlformats.org/officeDocument/2006/relationships/hyperlink" Target="https://www.itu.int/rec/R-REC-P.617/en" TargetMode="External"/><Relationship Id="rId46" Type="http://schemas.openxmlformats.org/officeDocument/2006/relationships/hyperlink" Target="https://www.itu.int/pub/R-REP-M.2560" TargetMode="External"/><Relationship Id="rId67" Type="http://schemas.openxmlformats.org/officeDocument/2006/relationships/hyperlink" Target="https://www.itu.int/pub/R-REP-BT.2400" TargetMode="External"/><Relationship Id="rId20" Type="http://schemas.openxmlformats.org/officeDocument/2006/relationships/hyperlink" Target="https://www.itu.int/rec/R-REC-P.310/en" TargetMode="External"/><Relationship Id="rId41" Type="http://schemas.openxmlformats.org/officeDocument/2006/relationships/hyperlink" Target="https://www.itu.int/pub/R-REP-M.2564" TargetMode="External"/><Relationship Id="rId62" Type="http://schemas.openxmlformats.org/officeDocument/2006/relationships/hyperlink" Target="https://www.itu.int/pub/R-REP-BT.2207" TargetMode="External"/><Relationship Id="rId83" Type="http://schemas.openxmlformats.org/officeDocument/2006/relationships/hyperlink" Target="https://www.itu.int/pub/R-REP-RS.2489" TargetMode="External"/><Relationship Id="rId88" Type="http://schemas.openxmlformats.org/officeDocument/2006/relationships/hyperlink" Target="https://www.itu.int/md/R23-SG01-C-0001/en" TargetMode="External"/><Relationship Id="rId111" Type="http://schemas.openxmlformats.org/officeDocument/2006/relationships/hyperlink" Target="https://www.itu.int/md/R00-CACE-CIR-1151/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R%20(BR)\PA_RAG25.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c:v>
                </c:pt>
              </c:strCache>
            </c:strRef>
          </c:tx>
          <c:spPr>
            <a:solidFill>
              <a:schemeClr val="accent1"/>
            </a:solidFill>
            <a:ln>
              <a:noFill/>
            </a:ln>
            <a:effectLst/>
          </c:spPr>
          <c:invertIfNegative val="0"/>
          <c:dPt>
            <c:idx val="4"/>
            <c:invertIfNegative val="0"/>
            <c:bubble3D val="0"/>
            <c:spPr>
              <a:solidFill>
                <a:srgbClr val="B85410"/>
              </a:solidFill>
              <a:ln>
                <a:noFill/>
              </a:ln>
              <a:effectLst/>
            </c:spPr>
            <c:extLst>
              <c:ext xmlns:c16="http://schemas.microsoft.com/office/drawing/2014/chart" uri="{C3380CC4-5D6E-409C-BE32-E72D297353CC}">
                <c16:uniqueId val="{00000001-F707-4998-BEF9-D895B30EA02E}"/>
              </c:ext>
            </c:extLst>
          </c:dPt>
          <c:dPt>
            <c:idx val="5"/>
            <c:invertIfNegative val="0"/>
            <c:bubble3D val="0"/>
            <c:spPr>
              <a:solidFill>
                <a:srgbClr val="ED7D31"/>
              </a:solidFill>
              <a:ln>
                <a:noFill/>
              </a:ln>
              <a:effectLst/>
            </c:spPr>
            <c:extLst>
              <c:ext xmlns:c16="http://schemas.microsoft.com/office/drawing/2014/chart" uri="{C3380CC4-5D6E-409C-BE32-E72D297353CC}">
                <c16:uniqueId val="{00000003-F707-4998-BEF9-D895B30EA02E}"/>
              </c:ext>
            </c:extLst>
          </c:dPt>
          <c:dPt>
            <c:idx val="6"/>
            <c:invertIfNegative val="0"/>
            <c:bubble3D val="0"/>
            <c:spPr>
              <a:solidFill>
                <a:srgbClr val="ED7D31"/>
              </a:solidFill>
              <a:ln>
                <a:noFill/>
              </a:ln>
              <a:effectLst/>
            </c:spPr>
            <c:extLst>
              <c:ext xmlns:c16="http://schemas.microsoft.com/office/drawing/2014/chart" uri="{C3380CC4-5D6E-409C-BE32-E72D297353CC}">
                <c16:uniqueId val="{00000005-F707-4998-BEF9-D895B30EA02E}"/>
              </c:ext>
            </c:extLst>
          </c:dPt>
          <c:dPt>
            <c:idx val="7"/>
            <c:invertIfNegative val="0"/>
            <c:bubble3D val="0"/>
            <c:spPr>
              <a:solidFill>
                <a:srgbClr val="ED7D31"/>
              </a:solidFill>
              <a:ln>
                <a:noFill/>
              </a:ln>
              <a:effectLst/>
            </c:spPr>
            <c:extLst>
              <c:ext xmlns:c16="http://schemas.microsoft.com/office/drawing/2014/chart" uri="{C3380CC4-5D6E-409C-BE32-E72D297353CC}">
                <c16:uniqueId val="{00000007-F707-4998-BEF9-D895B30EA02E}"/>
              </c:ext>
            </c:extLst>
          </c:dPt>
          <c:dPt>
            <c:idx val="8"/>
            <c:invertIfNegative val="0"/>
            <c:bubble3D val="0"/>
            <c:spPr>
              <a:solidFill>
                <a:srgbClr val="ED7D31"/>
              </a:solidFill>
              <a:ln>
                <a:noFill/>
              </a:ln>
              <a:effectLst/>
            </c:spPr>
            <c:extLst>
              <c:ext xmlns:c16="http://schemas.microsoft.com/office/drawing/2014/chart" uri="{C3380CC4-5D6E-409C-BE32-E72D297353CC}">
                <c16:uniqueId val="{00000009-F707-4998-BEF9-D895B30EA02E}"/>
              </c:ext>
            </c:extLst>
          </c:dPt>
          <c:dPt>
            <c:idx val="9"/>
            <c:invertIfNegative val="0"/>
            <c:bubble3D val="0"/>
            <c:spPr>
              <a:solidFill>
                <a:srgbClr val="00823B"/>
              </a:solidFill>
              <a:ln>
                <a:noFill/>
              </a:ln>
              <a:effectLst/>
            </c:spPr>
            <c:extLst>
              <c:ext xmlns:c16="http://schemas.microsoft.com/office/drawing/2014/chart" uri="{C3380CC4-5D6E-409C-BE32-E72D297353CC}">
                <c16:uniqueId val="{0000000B-F707-4998-BEF9-D895B30EA02E}"/>
              </c:ext>
            </c:extLst>
          </c:dPt>
          <c:dPt>
            <c:idx val="10"/>
            <c:invertIfNegative val="0"/>
            <c:bubble3D val="0"/>
            <c:spPr>
              <a:solidFill>
                <a:srgbClr val="00B050"/>
              </a:solidFill>
              <a:ln>
                <a:noFill/>
              </a:ln>
              <a:effectLst/>
            </c:spPr>
            <c:extLst>
              <c:ext xmlns:c16="http://schemas.microsoft.com/office/drawing/2014/chart" uri="{C3380CC4-5D6E-409C-BE32-E72D297353CC}">
                <c16:uniqueId val="{0000000D-F707-4998-BEF9-D895B30EA02E}"/>
              </c:ext>
            </c:extLst>
          </c:dPt>
          <c:dPt>
            <c:idx val="11"/>
            <c:invertIfNegative val="0"/>
            <c:bubble3D val="0"/>
            <c:spPr>
              <a:solidFill>
                <a:srgbClr val="00B050"/>
              </a:solidFill>
              <a:ln>
                <a:noFill/>
              </a:ln>
              <a:effectLst/>
            </c:spPr>
            <c:extLst>
              <c:ext xmlns:c16="http://schemas.microsoft.com/office/drawing/2014/chart" uri="{C3380CC4-5D6E-409C-BE32-E72D297353CC}">
                <c16:uniqueId val="{0000000F-F707-4998-BEF9-D895B30EA02E}"/>
              </c:ext>
            </c:extLst>
          </c:dPt>
          <c:dPt>
            <c:idx val="12"/>
            <c:invertIfNegative val="0"/>
            <c:bubble3D val="0"/>
            <c:spPr>
              <a:solidFill>
                <a:srgbClr val="00B050"/>
              </a:solidFill>
              <a:ln>
                <a:noFill/>
              </a:ln>
              <a:effectLst/>
            </c:spPr>
            <c:extLst>
              <c:ext xmlns:c16="http://schemas.microsoft.com/office/drawing/2014/chart" uri="{C3380CC4-5D6E-409C-BE32-E72D297353CC}">
                <c16:uniqueId val="{00000011-F707-4998-BEF9-D895B30EA02E}"/>
              </c:ext>
            </c:extLst>
          </c:dPt>
          <c:dPt>
            <c:idx val="13"/>
            <c:invertIfNegative val="0"/>
            <c:bubble3D val="0"/>
            <c:spPr>
              <a:solidFill>
                <a:srgbClr val="532476"/>
              </a:solidFill>
              <a:ln>
                <a:noFill/>
              </a:ln>
              <a:effectLst/>
            </c:spPr>
            <c:extLst>
              <c:ext xmlns:c16="http://schemas.microsoft.com/office/drawing/2014/chart" uri="{C3380CC4-5D6E-409C-BE32-E72D297353CC}">
                <c16:uniqueId val="{00000013-F707-4998-BEF9-D895B30EA02E}"/>
              </c:ext>
            </c:extLst>
          </c:dPt>
          <c:dPt>
            <c:idx val="14"/>
            <c:invertIfNegative val="0"/>
            <c:bubble3D val="0"/>
            <c:spPr>
              <a:solidFill>
                <a:srgbClr val="7030A0"/>
              </a:solidFill>
              <a:ln>
                <a:noFill/>
              </a:ln>
              <a:effectLst/>
            </c:spPr>
            <c:extLst>
              <c:ext xmlns:c16="http://schemas.microsoft.com/office/drawing/2014/chart" uri="{C3380CC4-5D6E-409C-BE32-E72D297353CC}">
                <c16:uniqueId val="{00000015-F707-4998-BEF9-D895B30EA02E}"/>
              </c:ext>
            </c:extLst>
          </c:dPt>
          <c:dPt>
            <c:idx val="15"/>
            <c:invertIfNegative val="0"/>
            <c:bubble3D val="0"/>
            <c:spPr>
              <a:solidFill>
                <a:srgbClr val="7030A0"/>
              </a:solidFill>
              <a:ln>
                <a:noFill/>
              </a:ln>
              <a:effectLst/>
            </c:spPr>
            <c:extLst>
              <c:ext xmlns:c16="http://schemas.microsoft.com/office/drawing/2014/chart" uri="{C3380CC4-5D6E-409C-BE32-E72D297353CC}">
                <c16:uniqueId val="{00000017-F707-4998-BEF9-D895B30EA02E}"/>
              </c:ext>
            </c:extLst>
          </c:dPt>
          <c:dPt>
            <c:idx val="16"/>
            <c:invertIfNegative val="0"/>
            <c:bubble3D val="0"/>
            <c:spPr>
              <a:solidFill>
                <a:srgbClr val="7030A0"/>
              </a:solidFill>
              <a:ln>
                <a:noFill/>
              </a:ln>
              <a:effectLst/>
            </c:spPr>
            <c:extLst>
              <c:ext xmlns:c16="http://schemas.microsoft.com/office/drawing/2014/chart" uri="{C3380CC4-5D6E-409C-BE32-E72D297353CC}">
                <c16:uniqueId val="{00000019-F707-4998-BEF9-D895B30EA02E}"/>
              </c:ext>
            </c:extLst>
          </c:dPt>
          <c:dPt>
            <c:idx val="17"/>
            <c:invertIfNegative val="0"/>
            <c:bubble3D val="0"/>
            <c:spPr>
              <a:solidFill>
                <a:srgbClr val="7030A0"/>
              </a:solidFill>
              <a:ln>
                <a:noFill/>
              </a:ln>
              <a:effectLst/>
            </c:spPr>
            <c:extLst>
              <c:ext xmlns:c16="http://schemas.microsoft.com/office/drawing/2014/chart" uri="{C3380CC4-5D6E-409C-BE32-E72D297353CC}">
                <c16:uniqueId val="{0000001B-F707-4998-BEF9-D895B30EA02E}"/>
              </c:ext>
            </c:extLst>
          </c:dPt>
          <c:dPt>
            <c:idx val="18"/>
            <c:invertIfNegative val="0"/>
            <c:bubble3D val="0"/>
            <c:spPr>
              <a:solidFill>
                <a:srgbClr val="A80000"/>
              </a:solidFill>
              <a:ln>
                <a:noFill/>
              </a:ln>
              <a:effectLst/>
            </c:spPr>
            <c:extLst>
              <c:ext xmlns:c16="http://schemas.microsoft.com/office/drawing/2014/chart" uri="{C3380CC4-5D6E-409C-BE32-E72D297353CC}">
                <c16:uniqueId val="{0000001D-F707-4998-BEF9-D895B30EA02E}"/>
              </c:ext>
            </c:extLst>
          </c:dPt>
          <c:dPt>
            <c:idx val="19"/>
            <c:invertIfNegative val="0"/>
            <c:bubble3D val="0"/>
            <c:spPr>
              <a:solidFill>
                <a:srgbClr val="C00000"/>
              </a:solidFill>
              <a:ln>
                <a:noFill/>
              </a:ln>
              <a:effectLst/>
            </c:spPr>
            <c:extLst>
              <c:ext xmlns:c16="http://schemas.microsoft.com/office/drawing/2014/chart" uri="{C3380CC4-5D6E-409C-BE32-E72D297353CC}">
                <c16:uniqueId val="{0000001F-F707-4998-BEF9-D895B30EA02E}"/>
              </c:ext>
            </c:extLst>
          </c:dPt>
          <c:dPt>
            <c:idx val="20"/>
            <c:invertIfNegative val="0"/>
            <c:bubble3D val="0"/>
            <c:spPr>
              <a:solidFill>
                <a:srgbClr val="C00000"/>
              </a:solidFill>
              <a:ln>
                <a:noFill/>
              </a:ln>
              <a:effectLst/>
            </c:spPr>
            <c:extLst>
              <c:ext xmlns:c16="http://schemas.microsoft.com/office/drawing/2014/chart" uri="{C3380CC4-5D6E-409C-BE32-E72D297353CC}">
                <c16:uniqueId val="{00000021-F707-4998-BEF9-D895B30EA02E}"/>
              </c:ext>
            </c:extLst>
          </c:dPt>
          <c:dPt>
            <c:idx val="21"/>
            <c:invertIfNegative val="0"/>
            <c:bubble3D val="0"/>
            <c:spPr>
              <a:solidFill>
                <a:srgbClr val="C00000"/>
              </a:solidFill>
              <a:ln>
                <a:noFill/>
              </a:ln>
              <a:effectLst/>
            </c:spPr>
            <c:extLst>
              <c:ext xmlns:c16="http://schemas.microsoft.com/office/drawing/2014/chart" uri="{C3380CC4-5D6E-409C-BE32-E72D297353CC}">
                <c16:uniqueId val="{00000023-F707-4998-BEF9-D895B30EA02E}"/>
              </c:ext>
            </c:extLst>
          </c:dPt>
          <c:dPt>
            <c:idx val="22"/>
            <c:invertIfNegative val="0"/>
            <c:bubble3D val="0"/>
            <c:spPr>
              <a:solidFill>
                <a:schemeClr val="bg1">
                  <a:lumMod val="50000"/>
                </a:schemeClr>
              </a:solidFill>
              <a:ln>
                <a:noFill/>
              </a:ln>
              <a:effectLst/>
            </c:spPr>
            <c:extLst>
              <c:ext xmlns:c16="http://schemas.microsoft.com/office/drawing/2014/chart" uri="{C3380CC4-5D6E-409C-BE32-E72D297353CC}">
                <c16:uniqueId val="{00000025-F707-4998-BEF9-D895B30EA02E}"/>
              </c:ext>
            </c:extLst>
          </c:dPt>
          <c:dPt>
            <c:idx val="23"/>
            <c:invertIfNegative val="0"/>
            <c:bubble3D val="0"/>
            <c:spPr>
              <a:solidFill>
                <a:schemeClr val="bg1">
                  <a:lumMod val="65000"/>
                </a:schemeClr>
              </a:solidFill>
              <a:ln>
                <a:noFill/>
              </a:ln>
              <a:effectLst/>
            </c:spPr>
            <c:extLst>
              <c:ext xmlns:c16="http://schemas.microsoft.com/office/drawing/2014/chart" uri="{C3380CC4-5D6E-409C-BE32-E72D297353CC}">
                <c16:uniqueId val="{00000027-F707-4998-BEF9-D895B30EA02E}"/>
              </c:ext>
            </c:extLst>
          </c:dPt>
          <c:dPt>
            <c:idx val="24"/>
            <c:invertIfNegative val="0"/>
            <c:bubble3D val="0"/>
            <c:spPr>
              <a:solidFill>
                <a:schemeClr val="bg1">
                  <a:lumMod val="65000"/>
                </a:schemeClr>
              </a:solidFill>
              <a:ln>
                <a:noFill/>
              </a:ln>
              <a:effectLst/>
            </c:spPr>
            <c:extLst>
              <c:ext xmlns:c16="http://schemas.microsoft.com/office/drawing/2014/chart" uri="{C3380CC4-5D6E-409C-BE32-E72D297353CC}">
                <c16:uniqueId val="{00000029-F707-4998-BEF9-D895B30EA02E}"/>
              </c:ext>
            </c:extLst>
          </c:dPt>
          <c:dPt>
            <c:idx val="25"/>
            <c:invertIfNegative val="0"/>
            <c:bubble3D val="0"/>
            <c:spPr>
              <a:solidFill>
                <a:schemeClr val="bg1">
                  <a:lumMod val="65000"/>
                </a:schemeClr>
              </a:solidFill>
              <a:ln>
                <a:noFill/>
              </a:ln>
              <a:effectLst/>
            </c:spPr>
            <c:extLst>
              <c:ext xmlns:c16="http://schemas.microsoft.com/office/drawing/2014/chart" uri="{C3380CC4-5D6E-409C-BE32-E72D297353CC}">
                <c16:uniqueId val="{0000002B-F707-4998-BEF9-D895B30EA02E}"/>
              </c:ext>
            </c:extLst>
          </c:dPt>
          <c:dPt>
            <c:idx val="26"/>
            <c:invertIfNegative val="0"/>
            <c:bubble3D val="0"/>
            <c:spPr>
              <a:solidFill>
                <a:schemeClr val="bg1">
                  <a:lumMod val="65000"/>
                </a:schemeClr>
              </a:solidFill>
              <a:ln>
                <a:noFill/>
              </a:ln>
              <a:effectLst/>
            </c:spPr>
            <c:extLst>
              <c:ext xmlns:c16="http://schemas.microsoft.com/office/drawing/2014/chart" uri="{C3380CC4-5D6E-409C-BE32-E72D297353CC}">
                <c16:uniqueId val="{0000002D-F707-4998-BEF9-D895B30EA02E}"/>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Sheet1!$A$2:$A$28</c:f>
              <c:strCache>
                <c:ptCount val="27"/>
                <c:pt idx="0">
                  <c:v>SG 1</c:v>
                </c:pt>
                <c:pt idx="1">
                  <c:v>WP 1A</c:v>
                </c:pt>
                <c:pt idx="2">
                  <c:v>WP 1B</c:v>
                </c:pt>
                <c:pt idx="3">
                  <c:v>WP 1C</c:v>
                </c:pt>
                <c:pt idx="4">
                  <c:v>SG 3</c:v>
                </c:pt>
                <c:pt idx="5">
                  <c:v>WP 3J</c:v>
                </c:pt>
                <c:pt idx="6">
                  <c:v>WP 3K</c:v>
                </c:pt>
                <c:pt idx="7">
                  <c:v>WP 3L</c:v>
                </c:pt>
                <c:pt idx="8">
                  <c:v>WP 3M</c:v>
                </c:pt>
                <c:pt idx="9">
                  <c:v>SG 4</c:v>
                </c:pt>
                <c:pt idx="10">
                  <c:v>WP 4A</c:v>
                </c:pt>
                <c:pt idx="11">
                  <c:v>WP 4B</c:v>
                </c:pt>
                <c:pt idx="12">
                  <c:v>WP 4C</c:v>
                </c:pt>
                <c:pt idx="13">
                  <c:v>SG 5</c:v>
                </c:pt>
                <c:pt idx="14">
                  <c:v>WP 5A</c:v>
                </c:pt>
                <c:pt idx="15">
                  <c:v>WP 5B</c:v>
                </c:pt>
                <c:pt idx="16">
                  <c:v>WP 5C</c:v>
                </c:pt>
                <c:pt idx="17">
                  <c:v>WP 5D</c:v>
                </c:pt>
                <c:pt idx="18">
                  <c:v>SG 6</c:v>
                </c:pt>
                <c:pt idx="19">
                  <c:v>WP 6A</c:v>
                </c:pt>
                <c:pt idx="20">
                  <c:v>WP 6B</c:v>
                </c:pt>
                <c:pt idx="21">
                  <c:v>WP 6C</c:v>
                </c:pt>
                <c:pt idx="22">
                  <c:v>SG 7</c:v>
                </c:pt>
                <c:pt idx="23">
                  <c:v>WP 7A</c:v>
                </c:pt>
                <c:pt idx="24">
                  <c:v>WP 7B</c:v>
                </c:pt>
                <c:pt idx="25">
                  <c:v>WP 7C</c:v>
                </c:pt>
                <c:pt idx="26">
                  <c:v>WP 7D</c:v>
                </c:pt>
              </c:strCache>
            </c:strRef>
          </c:cat>
          <c:val>
            <c:numRef>
              <c:f>Sheet1!$B$2:$B$28</c:f>
              <c:numCache>
                <c:formatCode>General</c:formatCode>
                <c:ptCount val="27"/>
                <c:pt idx="0">
                  <c:v>92</c:v>
                </c:pt>
                <c:pt idx="1">
                  <c:v>89</c:v>
                </c:pt>
                <c:pt idx="2">
                  <c:v>84</c:v>
                </c:pt>
                <c:pt idx="3">
                  <c:v>103</c:v>
                </c:pt>
                <c:pt idx="4">
                  <c:v>57</c:v>
                </c:pt>
                <c:pt idx="5">
                  <c:v>57</c:v>
                </c:pt>
                <c:pt idx="6">
                  <c:v>58</c:v>
                </c:pt>
                <c:pt idx="7">
                  <c:v>56</c:v>
                </c:pt>
                <c:pt idx="8">
                  <c:v>65</c:v>
                </c:pt>
                <c:pt idx="9">
                  <c:v>263</c:v>
                </c:pt>
                <c:pt idx="10">
                  <c:v>422</c:v>
                </c:pt>
                <c:pt idx="11">
                  <c:v>185</c:v>
                </c:pt>
                <c:pt idx="12">
                  <c:v>312</c:v>
                </c:pt>
                <c:pt idx="13">
                  <c:v>144</c:v>
                </c:pt>
                <c:pt idx="14">
                  <c:v>137</c:v>
                </c:pt>
                <c:pt idx="15">
                  <c:v>159</c:v>
                </c:pt>
                <c:pt idx="16">
                  <c:v>108</c:v>
                </c:pt>
                <c:pt idx="17">
                  <c:v>355</c:v>
                </c:pt>
                <c:pt idx="18">
                  <c:v>90</c:v>
                </c:pt>
                <c:pt idx="19">
                  <c:v>90</c:v>
                </c:pt>
                <c:pt idx="20">
                  <c:v>69</c:v>
                </c:pt>
                <c:pt idx="21">
                  <c:v>62</c:v>
                </c:pt>
                <c:pt idx="22">
                  <c:v>93</c:v>
                </c:pt>
                <c:pt idx="23">
                  <c:v>54</c:v>
                </c:pt>
                <c:pt idx="24">
                  <c:v>112</c:v>
                </c:pt>
                <c:pt idx="25">
                  <c:v>116</c:v>
                </c:pt>
                <c:pt idx="26">
                  <c:v>87</c:v>
                </c:pt>
              </c:numCache>
            </c:numRef>
          </c:val>
          <c:extLst>
            <c:ext xmlns:c16="http://schemas.microsoft.com/office/drawing/2014/chart" uri="{C3380CC4-5D6E-409C-BE32-E72D297353CC}">
              <c16:uniqueId val="{0000002E-F707-4998-BEF9-D895B30EA02E}"/>
            </c:ext>
          </c:extLst>
        </c:ser>
        <c:dLbls>
          <c:dLblPos val="outEnd"/>
          <c:showLegendKey val="0"/>
          <c:showVal val="1"/>
          <c:showCatName val="0"/>
          <c:showSerName val="0"/>
          <c:showPercent val="0"/>
          <c:showBubbleSize val="0"/>
        </c:dLbls>
        <c:gapWidth val="444"/>
        <c:overlap val="-90"/>
        <c:axId val="883584144"/>
        <c:axId val="883574064"/>
      </c:barChart>
      <c:catAx>
        <c:axId val="8835841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en-GB" sz="800" cap="none" dirty="0"/>
                  <a:t>Group</a:t>
                </a:r>
                <a:endParaRPr lang="en-GB" sz="800" dirty="0"/>
              </a:p>
            </c:rich>
          </c:tx>
          <c:overlay val="0"/>
          <c:spPr>
            <a:noFill/>
            <a:ln>
              <a:noFill/>
            </a:ln>
            <a:effectLst/>
          </c:spPr>
          <c:txPr>
            <a:bodyPr rot="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500" b="0" i="0" u="none" strike="noStrike" kern="1200" cap="all" spc="120" normalizeH="0" baseline="0">
                <a:solidFill>
                  <a:schemeClr val="tx1">
                    <a:lumMod val="65000"/>
                    <a:lumOff val="35000"/>
                  </a:schemeClr>
                </a:solidFill>
                <a:latin typeface="+mn-lt"/>
                <a:ea typeface="+mn-ea"/>
                <a:cs typeface="+mn-cs"/>
              </a:defRPr>
            </a:pPr>
            <a:endParaRPr lang="en-US"/>
          </a:p>
        </c:txPr>
        <c:crossAx val="883574064"/>
        <c:crosses val="autoZero"/>
        <c:auto val="1"/>
        <c:lblAlgn val="ctr"/>
        <c:lblOffset val="100"/>
        <c:noMultiLvlLbl val="0"/>
      </c:catAx>
      <c:valAx>
        <c:axId val="883574064"/>
        <c:scaling>
          <c:orientation val="minMax"/>
        </c:scaling>
        <c:delete val="1"/>
        <c:axPos val="l"/>
        <c:title>
          <c:tx>
            <c:rich>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r>
                  <a:rPr lang="en-GB" sz="800" cap="none" dirty="0"/>
                  <a:t>Number of participants in-person</a:t>
                </a:r>
              </a:p>
            </c:rich>
          </c:tx>
          <c:overlay val="0"/>
          <c:spPr>
            <a:noFill/>
            <a:ln>
              <a:noFill/>
            </a:ln>
            <a:effectLst/>
          </c:spPr>
          <c:txPr>
            <a:bodyPr rot="-5400000" spcFirstLastPara="1" vertOverflow="ellipsis" vert="horz" wrap="square" anchor="ctr" anchorCtr="1"/>
            <a:lstStyle/>
            <a:p>
              <a:pPr>
                <a:defRPr sz="8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883584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064"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Props1.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docProps/app.xml><?xml version="1.0" encoding="utf-8"?>
<Properties xmlns="http://schemas.openxmlformats.org/officeDocument/2006/extended-properties" xmlns:vt="http://schemas.openxmlformats.org/officeDocument/2006/docPropsVTypes">
  <Template>PA_RAG25.dotx</Template>
  <TotalTime>1</TotalTime>
  <Pages>10</Pages>
  <Words>4027</Words>
  <Characters>27876</Characters>
  <Application>Microsoft Office Word</Application>
  <DocSecurity>0</DocSecurity>
  <Lines>232</Lines>
  <Paragraphs>63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Arabic_AK</dc:creator>
  <cp:keywords>WRC-12</cp:keywords>
  <cp:lastModifiedBy>GE</cp:lastModifiedBy>
  <cp:revision>2</cp:revision>
  <cp:lastPrinted>2019-06-26T10:10:00Z</cp:lastPrinted>
  <dcterms:created xsi:type="dcterms:W3CDTF">2026-03-06T15:05:00Z</dcterms:created>
  <dcterms:modified xsi:type="dcterms:W3CDTF">2026-03-06T15:05:00Z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