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858"/>
        <w:tblW w:w="9889" w:type="dxa"/>
        <w:tblLayout w:type="fixed"/>
        <w:tblLook w:val="0000" w:firstRow="0" w:lastRow="0" w:firstColumn="0" w:lastColumn="0" w:noHBand="0" w:noVBand="0"/>
      </w:tblPr>
      <w:tblGrid>
        <w:gridCol w:w="6772"/>
        <w:gridCol w:w="3117"/>
      </w:tblGrid>
      <w:tr w:rsidR="0057336B" w14:paraId="0E8232E6" w14:textId="77777777" w:rsidTr="006D51CF">
        <w:trPr>
          <w:cantSplit/>
        </w:trPr>
        <w:tc>
          <w:tcPr>
            <w:tcW w:w="6772" w:type="dxa"/>
            <w:vAlign w:val="center"/>
          </w:tcPr>
          <w:p w14:paraId="03AEFAE5" w14:textId="77777777" w:rsidR="0057336B" w:rsidRPr="008F0106" w:rsidRDefault="0057336B" w:rsidP="00AB4BAD">
            <w:pPr>
              <w:shd w:val="solid" w:color="FFFFFF" w:fill="FFFFFF"/>
              <w:tabs>
                <w:tab w:val="left" w:pos="568"/>
              </w:tabs>
              <w:spacing w:before="360" w:after="240"/>
              <w:rPr>
                <w:b/>
                <w:caps/>
                <w:sz w:val="32"/>
              </w:rPr>
            </w:pPr>
            <w:r w:rsidRPr="006E291F">
              <w:rPr>
                <w:rFonts w:ascii="Verdana" w:hAnsi="Verdana" w:cs="Times New Roman Bold"/>
                <w:b/>
                <w:sz w:val="26"/>
                <w:szCs w:val="26"/>
              </w:rPr>
              <w:t>Grupo Asesor de Radiocomunicaciones</w:t>
            </w:r>
            <w:r>
              <w:rPr>
                <w:b/>
                <w:caps/>
                <w:sz w:val="32"/>
              </w:rPr>
              <w:br/>
            </w:r>
          </w:p>
        </w:tc>
        <w:tc>
          <w:tcPr>
            <w:tcW w:w="3117" w:type="dxa"/>
            <w:vAlign w:val="center"/>
          </w:tcPr>
          <w:p w14:paraId="6ADBD4DE" w14:textId="77777777" w:rsidR="0057336B" w:rsidRDefault="00AB4BAD" w:rsidP="00A7663C">
            <w:pPr>
              <w:shd w:val="solid" w:color="FFFFFF" w:fill="FFFFFF"/>
              <w:spacing w:before="0"/>
            </w:pPr>
            <w:r w:rsidRPr="00C126C1">
              <w:rPr>
                <w:noProof/>
                <w:lang w:val="en-US" w:eastAsia="zh-CN"/>
              </w:rPr>
              <w:drawing>
                <wp:inline distT="0" distB="0" distL="0" distR="0" wp14:anchorId="05D00235" wp14:editId="17F1549E">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6E291F" w:rsidRPr="0051782D" w14:paraId="4186003B" w14:textId="77777777" w:rsidTr="006D51CF">
        <w:trPr>
          <w:cantSplit/>
        </w:trPr>
        <w:tc>
          <w:tcPr>
            <w:tcW w:w="6772" w:type="dxa"/>
            <w:tcBorders>
              <w:bottom w:val="single" w:sz="12" w:space="0" w:color="auto"/>
            </w:tcBorders>
          </w:tcPr>
          <w:p w14:paraId="33E76AE9" w14:textId="77777777" w:rsidR="006E291F" w:rsidRPr="0051782D" w:rsidRDefault="006E291F" w:rsidP="00CB7A43">
            <w:pPr>
              <w:shd w:val="solid" w:color="FFFFFF" w:fill="FFFFFF"/>
              <w:spacing w:before="0" w:after="48"/>
              <w:rPr>
                <w:rFonts w:ascii="Verdana" w:hAnsi="Verdana" w:cs="Times New Roman Bold"/>
                <w:b/>
                <w:sz w:val="22"/>
                <w:szCs w:val="22"/>
              </w:rPr>
            </w:pPr>
          </w:p>
        </w:tc>
        <w:tc>
          <w:tcPr>
            <w:tcW w:w="3117" w:type="dxa"/>
            <w:tcBorders>
              <w:bottom w:val="single" w:sz="12" w:space="0" w:color="auto"/>
            </w:tcBorders>
          </w:tcPr>
          <w:p w14:paraId="4FFD3FD0" w14:textId="77777777" w:rsidR="006E291F" w:rsidRPr="0051782D" w:rsidRDefault="006E291F" w:rsidP="00CB7A43">
            <w:pPr>
              <w:shd w:val="solid" w:color="FFFFFF" w:fill="FFFFFF"/>
              <w:spacing w:before="0" w:after="48" w:line="240" w:lineRule="atLeast"/>
              <w:rPr>
                <w:sz w:val="22"/>
                <w:szCs w:val="22"/>
                <w:lang w:val="en-US"/>
              </w:rPr>
            </w:pPr>
          </w:p>
        </w:tc>
      </w:tr>
      <w:tr w:rsidR="006E291F" w:rsidRPr="00710D66" w14:paraId="350BDE18" w14:textId="77777777" w:rsidTr="006D51CF">
        <w:trPr>
          <w:cantSplit/>
        </w:trPr>
        <w:tc>
          <w:tcPr>
            <w:tcW w:w="6772" w:type="dxa"/>
            <w:tcBorders>
              <w:top w:val="single" w:sz="12" w:space="0" w:color="auto"/>
            </w:tcBorders>
          </w:tcPr>
          <w:p w14:paraId="4CC39FF7" w14:textId="77777777" w:rsidR="006E291F" w:rsidRPr="0051782D" w:rsidRDefault="006E291F" w:rsidP="00CB7A43">
            <w:pPr>
              <w:shd w:val="solid" w:color="FFFFFF" w:fill="FFFFFF"/>
              <w:spacing w:before="0" w:after="48"/>
              <w:rPr>
                <w:rFonts w:ascii="Verdana" w:hAnsi="Verdana" w:cs="Times New Roman Bold"/>
                <w:bCs/>
                <w:sz w:val="22"/>
                <w:szCs w:val="22"/>
              </w:rPr>
            </w:pPr>
          </w:p>
        </w:tc>
        <w:tc>
          <w:tcPr>
            <w:tcW w:w="3117" w:type="dxa"/>
            <w:tcBorders>
              <w:top w:val="single" w:sz="12" w:space="0" w:color="auto"/>
            </w:tcBorders>
          </w:tcPr>
          <w:p w14:paraId="07DC99FB" w14:textId="77777777" w:rsidR="006E291F" w:rsidRPr="002D238A" w:rsidRDefault="006E291F" w:rsidP="00CB7A43">
            <w:pPr>
              <w:shd w:val="solid" w:color="FFFFFF" w:fill="FFFFFF"/>
              <w:spacing w:before="0" w:after="48" w:line="240" w:lineRule="atLeast"/>
              <w:rPr>
                <w:rFonts w:ascii="Verdana" w:hAnsi="Verdana"/>
                <w:sz w:val="22"/>
                <w:szCs w:val="22"/>
                <w:lang w:val="en-US"/>
              </w:rPr>
            </w:pPr>
          </w:p>
        </w:tc>
      </w:tr>
      <w:tr w:rsidR="006D51CF" w:rsidRPr="002A127E" w14:paraId="14041B6D" w14:textId="77777777" w:rsidTr="006D51CF">
        <w:trPr>
          <w:cantSplit/>
        </w:trPr>
        <w:tc>
          <w:tcPr>
            <w:tcW w:w="6772" w:type="dxa"/>
            <w:vMerge w:val="restart"/>
          </w:tcPr>
          <w:p w14:paraId="23540321" w14:textId="77777777" w:rsidR="006D51CF" w:rsidRDefault="006D51CF" w:rsidP="006D51CF">
            <w:pPr>
              <w:shd w:val="solid" w:color="FFFFFF" w:fill="FFFFFF"/>
              <w:spacing w:after="240"/>
              <w:rPr>
                <w:sz w:val="20"/>
              </w:rPr>
            </w:pPr>
            <w:bookmarkStart w:id="0" w:name="dnum" w:colFirst="1" w:colLast="1"/>
          </w:p>
        </w:tc>
        <w:tc>
          <w:tcPr>
            <w:tcW w:w="3117" w:type="dxa"/>
          </w:tcPr>
          <w:p w14:paraId="6908DC9B" w14:textId="72D99F25" w:rsidR="006D51CF" w:rsidRPr="00786266" w:rsidRDefault="006D51CF" w:rsidP="006D51CF">
            <w:pPr>
              <w:shd w:val="solid" w:color="FFFFFF" w:fill="FFFFFF"/>
              <w:spacing w:before="0" w:line="240" w:lineRule="atLeast"/>
              <w:rPr>
                <w:rFonts w:ascii="Verdana" w:hAnsi="Verdana"/>
                <w:sz w:val="20"/>
              </w:rPr>
            </w:pPr>
            <w:r w:rsidRPr="004C1106">
              <w:rPr>
                <w:rFonts w:ascii="Verdana" w:hAnsi="Verdana"/>
                <w:b/>
                <w:sz w:val="20"/>
                <w:lang w:val="it-IT"/>
              </w:rPr>
              <w:t>Documento RAG/58-S</w:t>
            </w:r>
          </w:p>
        </w:tc>
      </w:tr>
      <w:tr w:rsidR="006D51CF" w:rsidRPr="002A127E" w14:paraId="7232F639" w14:textId="77777777" w:rsidTr="006D51CF">
        <w:trPr>
          <w:cantSplit/>
        </w:trPr>
        <w:tc>
          <w:tcPr>
            <w:tcW w:w="6772" w:type="dxa"/>
            <w:vMerge/>
          </w:tcPr>
          <w:p w14:paraId="7C9CD466" w14:textId="77777777" w:rsidR="006D51CF" w:rsidRDefault="006D51CF" w:rsidP="006D51CF">
            <w:pPr>
              <w:spacing w:before="60"/>
              <w:jc w:val="center"/>
              <w:rPr>
                <w:b/>
                <w:smallCaps/>
                <w:sz w:val="32"/>
              </w:rPr>
            </w:pPr>
            <w:bookmarkStart w:id="1" w:name="ddate" w:colFirst="1" w:colLast="1"/>
            <w:bookmarkEnd w:id="0"/>
          </w:p>
        </w:tc>
        <w:tc>
          <w:tcPr>
            <w:tcW w:w="3117" w:type="dxa"/>
          </w:tcPr>
          <w:p w14:paraId="278D48EA" w14:textId="21BB47D4" w:rsidR="006D51CF" w:rsidRPr="00786266" w:rsidRDefault="006D51CF" w:rsidP="006D51CF">
            <w:pPr>
              <w:shd w:val="solid" w:color="FFFFFF" w:fill="FFFFFF"/>
              <w:spacing w:before="0" w:line="240" w:lineRule="atLeast"/>
              <w:rPr>
                <w:rFonts w:ascii="Verdana" w:hAnsi="Verdana"/>
                <w:sz w:val="20"/>
              </w:rPr>
            </w:pPr>
            <w:r>
              <w:rPr>
                <w:rFonts w:ascii="Verdana" w:hAnsi="Verdana"/>
                <w:b/>
                <w:sz w:val="20"/>
              </w:rPr>
              <w:t>19 de febrero de</w:t>
            </w:r>
            <w:r w:rsidRPr="000E1B2C">
              <w:rPr>
                <w:rFonts w:ascii="Verdana" w:hAnsi="Verdana"/>
                <w:b/>
                <w:sz w:val="20"/>
              </w:rPr>
              <w:t xml:space="preserve"> </w:t>
            </w:r>
            <w:r w:rsidRPr="00390229">
              <w:rPr>
                <w:rFonts w:ascii="Verdana" w:hAnsi="Verdana"/>
                <w:b/>
                <w:sz w:val="20"/>
              </w:rPr>
              <w:t>202</w:t>
            </w:r>
            <w:r>
              <w:rPr>
                <w:rFonts w:ascii="Verdana" w:hAnsi="Verdana"/>
                <w:b/>
                <w:sz w:val="20"/>
              </w:rPr>
              <w:t>6</w:t>
            </w:r>
          </w:p>
        </w:tc>
      </w:tr>
      <w:tr w:rsidR="006D51CF" w:rsidRPr="002A127E" w14:paraId="40E17462" w14:textId="77777777" w:rsidTr="006D51CF">
        <w:trPr>
          <w:cantSplit/>
        </w:trPr>
        <w:tc>
          <w:tcPr>
            <w:tcW w:w="6772" w:type="dxa"/>
            <w:vMerge/>
          </w:tcPr>
          <w:p w14:paraId="281CD1E8" w14:textId="77777777" w:rsidR="006D51CF" w:rsidRDefault="006D51CF" w:rsidP="006D51CF">
            <w:pPr>
              <w:spacing w:before="60"/>
              <w:jc w:val="center"/>
              <w:rPr>
                <w:b/>
                <w:smallCaps/>
                <w:sz w:val="32"/>
              </w:rPr>
            </w:pPr>
            <w:bookmarkStart w:id="2" w:name="dorlang" w:colFirst="1" w:colLast="1"/>
            <w:bookmarkEnd w:id="1"/>
          </w:p>
        </w:tc>
        <w:tc>
          <w:tcPr>
            <w:tcW w:w="3117" w:type="dxa"/>
          </w:tcPr>
          <w:p w14:paraId="74AD8C04" w14:textId="28BF4D62" w:rsidR="006D51CF" w:rsidRPr="00786266" w:rsidRDefault="006D51CF" w:rsidP="006D51CF">
            <w:pPr>
              <w:shd w:val="solid" w:color="FFFFFF" w:fill="FFFFFF"/>
              <w:spacing w:before="0" w:after="120" w:line="240" w:lineRule="atLeast"/>
              <w:rPr>
                <w:rFonts w:ascii="Verdana" w:hAnsi="Verdana"/>
                <w:sz w:val="20"/>
              </w:rPr>
            </w:pPr>
            <w:r w:rsidRPr="002111BB">
              <w:rPr>
                <w:rFonts w:ascii="Verdana" w:hAnsi="Verdana"/>
                <w:b/>
                <w:sz w:val="20"/>
              </w:rPr>
              <w:t xml:space="preserve">Original: </w:t>
            </w:r>
            <w:r>
              <w:rPr>
                <w:rFonts w:ascii="Verdana" w:hAnsi="Verdana"/>
                <w:b/>
                <w:sz w:val="20"/>
              </w:rPr>
              <w:t>inglés</w:t>
            </w:r>
          </w:p>
        </w:tc>
      </w:tr>
      <w:tr w:rsidR="006E291F" w14:paraId="7867AD61" w14:textId="77777777" w:rsidTr="008F0106">
        <w:trPr>
          <w:cantSplit/>
        </w:trPr>
        <w:tc>
          <w:tcPr>
            <w:tcW w:w="9889" w:type="dxa"/>
            <w:gridSpan w:val="2"/>
          </w:tcPr>
          <w:p w14:paraId="243AA20E" w14:textId="197B454E" w:rsidR="006E291F" w:rsidRDefault="006D51CF" w:rsidP="00CB7A43">
            <w:pPr>
              <w:pStyle w:val="Source"/>
            </w:pPr>
            <w:bookmarkStart w:id="3" w:name="dsource" w:colFirst="0" w:colLast="0"/>
            <w:bookmarkEnd w:id="2"/>
            <w:r w:rsidRPr="008F57B9">
              <w:rPr>
                <w:lang w:val="es-ES"/>
              </w:rPr>
              <w:t>Director de la Oficina de Radiocomunic</w:t>
            </w:r>
            <w:r>
              <w:rPr>
                <w:lang w:val="es-ES"/>
              </w:rPr>
              <w:t>aciones</w:t>
            </w:r>
          </w:p>
        </w:tc>
      </w:tr>
      <w:tr w:rsidR="006E291F" w14:paraId="2DA64810" w14:textId="77777777" w:rsidTr="008F0106">
        <w:trPr>
          <w:cantSplit/>
        </w:trPr>
        <w:tc>
          <w:tcPr>
            <w:tcW w:w="9889" w:type="dxa"/>
            <w:gridSpan w:val="2"/>
          </w:tcPr>
          <w:p w14:paraId="3C734837" w14:textId="043FB98C" w:rsidR="006E291F" w:rsidRDefault="006D51CF" w:rsidP="00CB7A43">
            <w:pPr>
              <w:pStyle w:val="Title1"/>
            </w:pPr>
            <w:bookmarkStart w:id="4" w:name="dtitle1" w:colFirst="0" w:colLast="0"/>
            <w:bookmarkEnd w:id="3"/>
            <w:r w:rsidRPr="008F57B9">
              <w:rPr>
                <w:lang w:val="es-ES"/>
              </w:rPr>
              <w:t>INFORME A LA TRIGÉSIMO TERCERA REUNIÓN DEL</w:t>
            </w:r>
            <w:r w:rsidR="002A3997">
              <w:rPr>
                <w:lang w:val="es-ES"/>
              </w:rPr>
              <w:br/>
            </w:r>
            <w:r w:rsidRPr="008F57B9">
              <w:rPr>
                <w:lang w:val="es-ES"/>
              </w:rPr>
              <w:t>GRUPO ASESOR DE RADIOCOMUNIC</w:t>
            </w:r>
            <w:r>
              <w:rPr>
                <w:lang w:val="es-ES"/>
              </w:rPr>
              <w:t>ACIONES</w:t>
            </w:r>
          </w:p>
        </w:tc>
      </w:tr>
      <w:bookmarkEnd w:id="4"/>
    </w:tbl>
    <w:p w14:paraId="01E14209" w14:textId="77777777" w:rsidR="006D51CF" w:rsidRPr="00F447C4" w:rsidRDefault="006D51CF" w:rsidP="006D51CF">
      <w:pPr>
        <w:pStyle w:val="TOCHeading"/>
        <w:rPr>
          <w:rFonts w:ascii="Times New Roman" w:eastAsia="Times New Roman" w:hAnsi="Times New Roman" w:cs="Times New Roman"/>
          <w:color w:val="auto"/>
          <w:sz w:val="24"/>
          <w:szCs w:val="20"/>
          <w:lang w:val="es-ES" w:eastAsia="en-US"/>
        </w:rPr>
      </w:pPr>
    </w:p>
    <w:p w14:paraId="39AF131C" w14:textId="77777777" w:rsidR="006D51CF" w:rsidRDefault="006D51CF" w:rsidP="006D51CF">
      <w:pPr>
        <w:tabs>
          <w:tab w:val="clear" w:pos="794"/>
          <w:tab w:val="clear" w:pos="1191"/>
          <w:tab w:val="clear" w:pos="1588"/>
          <w:tab w:val="clear" w:pos="1985"/>
        </w:tabs>
        <w:overflowPunct/>
        <w:autoSpaceDE/>
        <w:autoSpaceDN/>
        <w:adjustRightInd/>
        <w:spacing w:before="0"/>
        <w:textAlignment w:val="auto"/>
      </w:pPr>
      <w:r>
        <w:br w:type="page"/>
      </w:r>
    </w:p>
    <w:sdt>
      <w:sdtPr>
        <w:id w:val="-1322188704"/>
        <w:docPartObj>
          <w:docPartGallery w:val="Table of Contents"/>
          <w:docPartUnique/>
        </w:docPartObj>
      </w:sdtPr>
      <w:sdtEndPr>
        <w:rPr>
          <w:b/>
          <w:bCs/>
          <w:noProof/>
        </w:rPr>
      </w:sdtEndPr>
      <w:sdtContent>
        <w:p w14:paraId="5936D9E9" w14:textId="77777777" w:rsidR="00286FCD" w:rsidRPr="00860919" w:rsidRDefault="00286FCD" w:rsidP="00286FCD">
          <w:pPr>
            <w:spacing w:before="480"/>
            <w:jc w:val="center"/>
            <w:rPr>
              <w:rFonts w:eastAsia="SimSun"/>
              <w:lang w:val="es-ES"/>
            </w:rPr>
          </w:pPr>
          <w:r w:rsidRPr="00286FCD">
            <w:rPr>
              <w:rFonts w:eastAsia="SimSun"/>
              <w:b/>
              <w:bCs/>
              <w:lang w:val="es-ES"/>
            </w:rPr>
            <w:t>ÍNDICE</w:t>
          </w:r>
        </w:p>
        <w:p w14:paraId="2852AE9D" w14:textId="77777777" w:rsidR="00286FCD" w:rsidRPr="00860919" w:rsidRDefault="00286FCD" w:rsidP="00286FCD">
          <w:pPr>
            <w:ind w:right="284"/>
            <w:jc w:val="right"/>
            <w:rPr>
              <w:rFonts w:eastAsia="SimSun"/>
              <w:lang w:val="es-ES"/>
            </w:rPr>
          </w:pPr>
          <w:r w:rsidRPr="008B49BA">
            <w:rPr>
              <w:b/>
              <w:bCs/>
            </w:rPr>
            <w:t>P</w:t>
          </w:r>
          <w:r>
            <w:rPr>
              <w:b/>
              <w:bCs/>
            </w:rPr>
            <w:t>ágina</w:t>
          </w:r>
        </w:p>
        <w:p w14:paraId="5335EAFB" w14:textId="586FB6BD" w:rsidR="0076159D" w:rsidRDefault="0076159D">
          <w:pPr>
            <w:pStyle w:val="TOC1"/>
            <w:rPr>
              <w:rFonts w:asciiTheme="minorHAnsi" w:eastAsiaTheme="minorEastAsia" w:hAnsiTheme="minorHAnsi" w:cstheme="minorBidi"/>
              <w:noProof/>
              <w:kern w:val="2"/>
              <w:szCs w:val="24"/>
              <w:lang w:val="en-GB" w:eastAsia="en-GB"/>
              <w14:ligatures w14:val="standardContextual"/>
            </w:rPr>
          </w:pPr>
          <w:r>
            <w:fldChar w:fldCharType="begin"/>
          </w:r>
          <w:r>
            <w:instrText xml:space="preserve"> TOC \o "1-3" \h \z \u </w:instrText>
          </w:r>
          <w:r>
            <w:fldChar w:fldCharType="separate"/>
          </w:r>
          <w:hyperlink w:anchor="_Toc222843134" w:history="1">
            <w:r w:rsidRPr="00F64D32">
              <w:rPr>
                <w:rStyle w:val="Hyperlink"/>
                <w:noProof/>
                <w:lang w:val="es-ES"/>
              </w:rPr>
              <w:t>1</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Introducción</w:t>
            </w:r>
            <w:r>
              <w:rPr>
                <w:noProof/>
                <w:webHidden/>
              </w:rPr>
              <w:tab/>
            </w:r>
            <w:r>
              <w:rPr>
                <w:noProof/>
                <w:webHidden/>
              </w:rPr>
              <w:tab/>
            </w:r>
            <w:r>
              <w:rPr>
                <w:noProof/>
                <w:webHidden/>
              </w:rPr>
              <w:fldChar w:fldCharType="begin"/>
            </w:r>
            <w:r>
              <w:rPr>
                <w:noProof/>
                <w:webHidden/>
              </w:rPr>
              <w:instrText xml:space="preserve"> PAGEREF _Toc222843134 \h </w:instrText>
            </w:r>
            <w:r>
              <w:rPr>
                <w:noProof/>
                <w:webHidden/>
              </w:rPr>
            </w:r>
            <w:r>
              <w:rPr>
                <w:noProof/>
                <w:webHidden/>
              </w:rPr>
              <w:fldChar w:fldCharType="separate"/>
            </w:r>
            <w:r>
              <w:rPr>
                <w:noProof/>
                <w:webHidden/>
              </w:rPr>
              <w:t>2</w:t>
            </w:r>
            <w:r>
              <w:rPr>
                <w:noProof/>
                <w:webHidden/>
              </w:rPr>
              <w:fldChar w:fldCharType="end"/>
            </w:r>
          </w:hyperlink>
        </w:p>
        <w:p w14:paraId="56847CC5" w14:textId="50C24987" w:rsidR="0076159D" w:rsidRDefault="0076159D">
          <w:pPr>
            <w:pStyle w:val="TOC1"/>
            <w:rPr>
              <w:rFonts w:asciiTheme="minorHAnsi" w:eastAsiaTheme="minorEastAsia" w:hAnsiTheme="minorHAnsi" w:cstheme="minorBidi"/>
              <w:noProof/>
              <w:kern w:val="2"/>
              <w:szCs w:val="24"/>
              <w:lang w:val="en-GB" w:eastAsia="en-GB"/>
              <w14:ligatures w14:val="standardContextual"/>
            </w:rPr>
          </w:pPr>
          <w:hyperlink w:anchor="_Toc222843135" w:history="1">
            <w:r w:rsidRPr="00F64D32">
              <w:rPr>
                <w:rStyle w:val="Hyperlink"/>
                <w:noProof/>
                <w:lang w:val="es-ES"/>
              </w:rPr>
              <w:t>2</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Asuntos relativos al Consejo</w:t>
            </w:r>
            <w:r>
              <w:rPr>
                <w:noProof/>
                <w:webHidden/>
              </w:rPr>
              <w:tab/>
            </w:r>
            <w:r>
              <w:rPr>
                <w:noProof/>
                <w:webHidden/>
              </w:rPr>
              <w:tab/>
            </w:r>
            <w:r>
              <w:rPr>
                <w:noProof/>
                <w:webHidden/>
              </w:rPr>
              <w:fldChar w:fldCharType="begin"/>
            </w:r>
            <w:r>
              <w:rPr>
                <w:noProof/>
                <w:webHidden/>
              </w:rPr>
              <w:instrText xml:space="preserve"> PAGEREF _Toc222843135 \h </w:instrText>
            </w:r>
            <w:r>
              <w:rPr>
                <w:noProof/>
                <w:webHidden/>
              </w:rPr>
            </w:r>
            <w:r>
              <w:rPr>
                <w:noProof/>
                <w:webHidden/>
              </w:rPr>
              <w:fldChar w:fldCharType="separate"/>
            </w:r>
            <w:r>
              <w:rPr>
                <w:noProof/>
                <w:webHidden/>
              </w:rPr>
              <w:t>2</w:t>
            </w:r>
            <w:r>
              <w:rPr>
                <w:noProof/>
                <w:webHidden/>
              </w:rPr>
              <w:fldChar w:fldCharType="end"/>
            </w:r>
          </w:hyperlink>
        </w:p>
        <w:p w14:paraId="33B36663" w14:textId="488B923D" w:rsidR="0076159D" w:rsidRDefault="0076159D">
          <w:pPr>
            <w:pStyle w:val="TOC2"/>
            <w:rPr>
              <w:rFonts w:asciiTheme="minorHAnsi" w:eastAsiaTheme="minorEastAsia" w:hAnsiTheme="minorHAnsi" w:cstheme="minorBidi"/>
              <w:noProof/>
              <w:kern w:val="2"/>
              <w:szCs w:val="24"/>
              <w:lang w:val="en-GB" w:eastAsia="en-GB"/>
              <w14:ligatures w14:val="standardContextual"/>
            </w:rPr>
          </w:pPr>
          <w:hyperlink w:anchor="_Toc222843136" w:history="1">
            <w:r w:rsidRPr="00F64D32">
              <w:rPr>
                <w:rStyle w:val="Hyperlink"/>
                <w:noProof/>
                <w:lang w:val="es-ES"/>
              </w:rPr>
              <w:t>2.1</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Recuperación de costes aplicable a las notificaciones de redes de satélites</w:t>
            </w:r>
            <w:r>
              <w:rPr>
                <w:noProof/>
                <w:webHidden/>
              </w:rPr>
              <w:tab/>
            </w:r>
            <w:r>
              <w:rPr>
                <w:noProof/>
                <w:webHidden/>
              </w:rPr>
              <w:tab/>
            </w:r>
            <w:r>
              <w:rPr>
                <w:noProof/>
                <w:webHidden/>
              </w:rPr>
              <w:fldChar w:fldCharType="begin"/>
            </w:r>
            <w:r>
              <w:rPr>
                <w:noProof/>
                <w:webHidden/>
              </w:rPr>
              <w:instrText xml:space="preserve"> PAGEREF _Toc222843136 \h </w:instrText>
            </w:r>
            <w:r>
              <w:rPr>
                <w:noProof/>
                <w:webHidden/>
              </w:rPr>
            </w:r>
            <w:r>
              <w:rPr>
                <w:noProof/>
                <w:webHidden/>
              </w:rPr>
              <w:fldChar w:fldCharType="separate"/>
            </w:r>
            <w:r>
              <w:rPr>
                <w:noProof/>
                <w:webHidden/>
              </w:rPr>
              <w:t>2</w:t>
            </w:r>
            <w:r>
              <w:rPr>
                <w:noProof/>
                <w:webHidden/>
              </w:rPr>
              <w:fldChar w:fldCharType="end"/>
            </w:r>
          </w:hyperlink>
        </w:p>
        <w:p w14:paraId="046BAF1F" w14:textId="2D7611F7" w:rsidR="0076159D" w:rsidRDefault="0076159D">
          <w:pPr>
            <w:pStyle w:val="TOC3"/>
            <w:rPr>
              <w:rFonts w:asciiTheme="minorHAnsi" w:eastAsiaTheme="minorEastAsia" w:hAnsiTheme="minorHAnsi" w:cstheme="minorBidi"/>
              <w:noProof/>
              <w:kern w:val="2"/>
              <w:szCs w:val="24"/>
              <w:lang w:val="en-GB" w:eastAsia="en-GB"/>
              <w14:ligatures w14:val="standardContextual"/>
            </w:rPr>
          </w:pPr>
          <w:hyperlink w:anchor="_Toc222843137" w:history="1">
            <w:r w:rsidRPr="00F64D32">
              <w:rPr>
                <w:rStyle w:val="Hyperlink"/>
                <w:noProof/>
                <w:lang w:val="es-ES"/>
              </w:rPr>
              <w:t>2.1.1</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Acuerdo 482</w:t>
            </w:r>
            <w:r>
              <w:rPr>
                <w:noProof/>
                <w:webHidden/>
              </w:rPr>
              <w:tab/>
            </w:r>
            <w:r>
              <w:rPr>
                <w:noProof/>
                <w:webHidden/>
              </w:rPr>
              <w:tab/>
            </w:r>
            <w:r>
              <w:rPr>
                <w:noProof/>
                <w:webHidden/>
              </w:rPr>
              <w:fldChar w:fldCharType="begin"/>
            </w:r>
            <w:r>
              <w:rPr>
                <w:noProof/>
                <w:webHidden/>
              </w:rPr>
              <w:instrText xml:space="preserve"> PAGEREF _Toc222843137 \h </w:instrText>
            </w:r>
            <w:r>
              <w:rPr>
                <w:noProof/>
                <w:webHidden/>
              </w:rPr>
            </w:r>
            <w:r>
              <w:rPr>
                <w:noProof/>
                <w:webHidden/>
              </w:rPr>
              <w:fldChar w:fldCharType="separate"/>
            </w:r>
            <w:r>
              <w:rPr>
                <w:noProof/>
                <w:webHidden/>
              </w:rPr>
              <w:t>2</w:t>
            </w:r>
            <w:r>
              <w:rPr>
                <w:noProof/>
                <w:webHidden/>
              </w:rPr>
              <w:fldChar w:fldCharType="end"/>
            </w:r>
          </w:hyperlink>
        </w:p>
        <w:p w14:paraId="3229F2DB" w14:textId="259C0879" w:rsidR="0076159D" w:rsidRDefault="0076159D">
          <w:pPr>
            <w:pStyle w:val="TOC3"/>
            <w:rPr>
              <w:rFonts w:asciiTheme="minorHAnsi" w:eastAsiaTheme="minorEastAsia" w:hAnsiTheme="minorHAnsi" w:cstheme="minorBidi"/>
              <w:noProof/>
              <w:kern w:val="2"/>
              <w:szCs w:val="24"/>
              <w:lang w:val="en-GB" w:eastAsia="en-GB"/>
              <w14:ligatures w14:val="standardContextual"/>
            </w:rPr>
          </w:pPr>
          <w:hyperlink w:anchor="_Toc222843138" w:history="1">
            <w:r w:rsidRPr="00F64D32">
              <w:rPr>
                <w:rStyle w:val="Hyperlink"/>
                <w:noProof/>
                <w:lang w:val="es-ES"/>
              </w:rPr>
              <w:t>2.1.2</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Ingresos aplazados por falta de recursos tramitación</w:t>
            </w:r>
            <w:r>
              <w:rPr>
                <w:noProof/>
                <w:webHidden/>
              </w:rPr>
              <w:tab/>
            </w:r>
            <w:r>
              <w:rPr>
                <w:noProof/>
                <w:webHidden/>
              </w:rPr>
              <w:tab/>
            </w:r>
            <w:r>
              <w:rPr>
                <w:noProof/>
                <w:webHidden/>
              </w:rPr>
              <w:fldChar w:fldCharType="begin"/>
            </w:r>
            <w:r>
              <w:rPr>
                <w:noProof/>
                <w:webHidden/>
              </w:rPr>
              <w:instrText xml:space="preserve"> PAGEREF _Toc222843138 \h </w:instrText>
            </w:r>
            <w:r>
              <w:rPr>
                <w:noProof/>
                <w:webHidden/>
              </w:rPr>
            </w:r>
            <w:r>
              <w:rPr>
                <w:noProof/>
                <w:webHidden/>
              </w:rPr>
              <w:fldChar w:fldCharType="separate"/>
            </w:r>
            <w:r>
              <w:rPr>
                <w:noProof/>
                <w:webHidden/>
              </w:rPr>
              <w:t>3</w:t>
            </w:r>
            <w:r>
              <w:rPr>
                <w:noProof/>
                <w:webHidden/>
              </w:rPr>
              <w:fldChar w:fldCharType="end"/>
            </w:r>
          </w:hyperlink>
        </w:p>
        <w:p w14:paraId="0E56970D" w14:textId="6DFDD854" w:rsidR="0076159D" w:rsidRDefault="0076159D">
          <w:pPr>
            <w:pStyle w:val="TOC2"/>
            <w:rPr>
              <w:rFonts w:asciiTheme="minorHAnsi" w:eastAsiaTheme="minorEastAsia" w:hAnsiTheme="minorHAnsi" w:cstheme="minorBidi"/>
              <w:noProof/>
              <w:kern w:val="2"/>
              <w:szCs w:val="24"/>
              <w:lang w:val="en-GB" w:eastAsia="en-GB"/>
              <w14:ligatures w14:val="standardContextual"/>
            </w:rPr>
          </w:pPr>
          <w:hyperlink w:anchor="_Toc222843139" w:history="1">
            <w:r w:rsidRPr="00F64D32">
              <w:rPr>
                <w:rStyle w:val="Hyperlink"/>
                <w:noProof/>
                <w:lang w:val="es-ES"/>
              </w:rPr>
              <w:t>2.2</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Presupuesto para 2024-2025 y presupuesto para 2026-2027</w:t>
            </w:r>
            <w:r>
              <w:rPr>
                <w:noProof/>
                <w:webHidden/>
              </w:rPr>
              <w:tab/>
            </w:r>
            <w:r>
              <w:rPr>
                <w:noProof/>
                <w:webHidden/>
              </w:rPr>
              <w:tab/>
            </w:r>
            <w:r>
              <w:rPr>
                <w:noProof/>
                <w:webHidden/>
              </w:rPr>
              <w:fldChar w:fldCharType="begin"/>
            </w:r>
            <w:r>
              <w:rPr>
                <w:noProof/>
                <w:webHidden/>
              </w:rPr>
              <w:instrText xml:space="preserve"> PAGEREF _Toc222843139 \h </w:instrText>
            </w:r>
            <w:r>
              <w:rPr>
                <w:noProof/>
                <w:webHidden/>
              </w:rPr>
            </w:r>
            <w:r>
              <w:rPr>
                <w:noProof/>
                <w:webHidden/>
              </w:rPr>
              <w:fldChar w:fldCharType="separate"/>
            </w:r>
            <w:r>
              <w:rPr>
                <w:noProof/>
                <w:webHidden/>
              </w:rPr>
              <w:t>3</w:t>
            </w:r>
            <w:r>
              <w:rPr>
                <w:noProof/>
                <w:webHidden/>
              </w:rPr>
              <w:fldChar w:fldCharType="end"/>
            </w:r>
          </w:hyperlink>
        </w:p>
        <w:p w14:paraId="2AED78E2" w14:textId="2F02114C" w:rsidR="0076159D" w:rsidRDefault="0076159D">
          <w:pPr>
            <w:pStyle w:val="TOC2"/>
            <w:rPr>
              <w:rFonts w:asciiTheme="minorHAnsi" w:eastAsiaTheme="minorEastAsia" w:hAnsiTheme="minorHAnsi" w:cstheme="minorBidi"/>
              <w:noProof/>
              <w:kern w:val="2"/>
              <w:szCs w:val="24"/>
              <w:lang w:val="en-GB" w:eastAsia="en-GB"/>
              <w14:ligatures w14:val="standardContextual"/>
            </w:rPr>
          </w:pPr>
          <w:hyperlink w:anchor="_Toc222843140" w:history="1">
            <w:r w:rsidRPr="00F64D32">
              <w:rPr>
                <w:rStyle w:val="Hyperlink"/>
                <w:noProof/>
                <w:lang w:val="es-ES"/>
              </w:rPr>
              <w:t>2.3</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Utilización de los seis idiomas oficiales de la Unión en igualdad de condiciones</w:t>
            </w:r>
            <w:r>
              <w:rPr>
                <w:noProof/>
                <w:webHidden/>
              </w:rPr>
              <w:tab/>
            </w:r>
            <w:r>
              <w:rPr>
                <w:noProof/>
                <w:webHidden/>
              </w:rPr>
              <w:fldChar w:fldCharType="begin"/>
            </w:r>
            <w:r>
              <w:rPr>
                <w:noProof/>
                <w:webHidden/>
              </w:rPr>
              <w:instrText xml:space="preserve"> PAGEREF _Toc222843140 \h </w:instrText>
            </w:r>
            <w:r>
              <w:rPr>
                <w:noProof/>
                <w:webHidden/>
              </w:rPr>
            </w:r>
            <w:r>
              <w:rPr>
                <w:noProof/>
                <w:webHidden/>
              </w:rPr>
              <w:fldChar w:fldCharType="separate"/>
            </w:r>
            <w:r>
              <w:rPr>
                <w:noProof/>
                <w:webHidden/>
              </w:rPr>
              <w:t>6</w:t>
            </w:r>
            <w:r>
              <w:rPr>
                <w:noProof/>
                <w:webHidden/>
              </w:rPr>
              <w:fldChar w:fldCharType="end"/>
            </w:r>
          </w:hyperlink>
        </w:p>
        <w:p w14:paraId="7343418D" w14:textId="3E610E92" w:rsidR="0076159D" w:rsidRDefault="0076159D">
          <w:pPr>
            <w:pStyle w:val="TOC2"/>
            <w:rPr>
              <w:rFonts w:asciiTheme="minorHAnsi" w:eastAsiaTheme="minorEastAsia" w:hAnsiTheme="minorHAnsi" w:cstheme="minorBidi"/>
              <w:noProof/>
              <w:kern w:val="2"/>
              <w:szCs w:val="24"/>
              <w:lang w:val="en-GB" w:eastAsia="en-GB"/>
              <w14:ligatures w14:val="standardContextual"/>
            </w:rPr>
          </w:pPr>
          <w:hyperlink w:anchor="_Toc222843141" w:history="1">
            <w:r w:rsidRPr="00F64D32">
              <w:rPr>
                <w:rStyle w:val="Hyperlink"/>
                <w:noProof/>
                <w:lang w:val="es-ES"/>
              </w:rPr>
              <w:t>2.4</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Participación a distancia</w:t>
            </w:r>
            <w:r>
              <w:rPr>
                <w:noProof/>
                <w:webHidden/>
              </w:rPr>
              <w:tab/>
            </w:r>
            <w:r>
              <w:rPr>
                <w:noProof/>
                <w:webHidden/>
              </w:rPr>
              <w:tab/>
            </w:r>
            <w:r>
              <w:rPr>
                <w:noProof/>
                <w:webHidden/>
              </w:rPr>
              <w:fldChar w:fldCharType="begin"/>
            </w:r>
            <w:r>
              <w:rPr>
                <w:noProof/>
                <w:webHidden/>
              </w:rPr>
              <w:instrText xml:space="preserve"> PAGEREF _Toc222843141 \h </w:instrText>
            </w:r>
            <w:r>
              <w:rPr>
                <w:noProof/>
                <w:webHidden/>
              </w:rPr>
            </w:r>
            <w:r>
              <w:rPr>
                <w:noProof/>
                <w:webHidden/>
              </w:rPr>
              <w:fldChar w:fldCharType="separate"/>
            </w:r>
            <w:r>
              <w:rPr>
                <w:noProof/>
                <w:webHidden/>
              </w:rPr>
              <w:t>6</w:t>
            </w:r>
            <w:r>
              <w:rPr>
                <w:noProof/>
                <w:webHidden/>
              </w:rPr>
              <w:fldChar w:fldCharType="end"/>
            </w:r>
          </w:hyperlink>
        </w:p>
        <w:p w14:paraId="7636BB0D" w14:textId="2C78BADA" w:rsidR="0076159D" w:rsidRDefault="0076159D">
          <w:pPr>
            <w:pStyle w:val="TOC2"/>
            <w:rPr>
              <w:rFonts w:asciiTheme="minorHAnsi" w:eastAsiaTheme="minorEastAsia" w:hAnsiTheme="minorHAnsi" w:cstheme="minorBidi"/>
              <w:noProof/>
              <w:kern w:val="2"/>
              <w:szCs w:val="24"/>
              <w:lang w:val="en-GB" w:eastAsia="en-GB"/>
              <w14:ligatures w14:val="standardContextual"/>
            </w:rPr>
          </w:pPr>
          <w:hyperlink w:anchor="_Toc222843142" w:history="1">
            <w:r w:rsidRPr="00F64D32">
              <w:rPr>
                <w:rStyle w:val="Hyperlink"/>
                <w:noProof/>
                <w:lang w:val="es-ES"/>
              </w:rPr>
              <w:t>2.5</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Planes Estratégico y Financiero para 2028-2031</w:t>
            </w:r>
            <w:r>
              <w:rPr>
                <w:noProof/>
                <w:webHidden/>
              </w:rPr>
              <w:tab/>
            </w:r>
            <w:r>
              <w:rPr>
                <w:noProof/>
                <w:webHidden/>
              </w:rPr>
              <w:tab/>
            </w:r>
            <w:r>
              <w:rPr>
                <w:noProof/>
                <w:webHidden/>
              </w:rPr>
              <w:fldChar w:fldCharType="begin"/>
            </w:r>
            <w:r>
              <w:rPr>
                <w:noProof/>
                <w:webHidden/>
              </w:rPr>
              <w:instrText xml:space="preserve"> PAGEREF _Toc222843142 \h </w:instrText>
            </w:r>
            <w:r>
              <w:rPr>
                <w:noProof/>
                <w:webHidden/>
              </w:rPr>
            </w:r>
            <w:r>
              <w:rPr>
                <w:noProof/>
                <w:webHidden/>
              </w:rPr>
              <w:fldChar w:fldCharType="separate"/>
            </w:r>
            <w:r>
              <w:rPr>
                <w:noProof/>
                <w:webHidden/>
              </w:rPr>
              <w:t>7</w:t>
            </w:r>
            <w:r>
              <w:rPr>
                <w:noProof/>
                <w:webHidden/>
              </w:rPr>
              <w:fldChar w:fldCharType="end"/>
            </w:r>
          </w:hyperlink>
        </w:p>
        <w:p w14:paraId="2CB2D33E" w14:textId="2EA4FF6F" w:rsidR="0076159D" w:rsidRDefault="0076159D">
          <w:pPr>
            <w:pStyle w:val="TOC2"/>
            <w:rPr>
              <w:rFonts w:asciiTheme="minorHAnsi" w:eastAsiaTheme="minorEastAsia" w:hAnsiTheme="minorHAnsi" w:cstheme="minorBidi"/>
              <w:noProof/>
              <w:kern w:val="2"/>
              <w:szCs w:val="24"/>
              <w:lang w:val="en-GB" w:eastAsia="en-GB"/>
              <w14:ligatures w14:val="standardContextual"/>
            </w:rPr>
          </w:pPr>
          <w:hyperlink w:anchor="_Toc222843143" w:history="1">
            <w:r w:rsidRPr="00F64D32">
              <w:rPr>
                <w:rStyle w:val="Hyperlink"/>
                <w:noProof/>
                <w:lang w:val="es-ES"/>
              </w:rPr>
              <w:t>2.6</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Continuidad de las actividades</w:t>
            </w:r>
            <w:r>
              <w:rPr>
                <w:noProof/>
                <w:webHidden/>
              </w:rPr>
              <w:tab/>
            </w:r>
            <w:r>
              <w:rPr>
                <w:noProof/>
                <w:webHidden/>
              </w:rPr>
              <w:tab/>
            </w:r>
            <w:r>
              <w:rPr>
                <w:noProof/>
                <w:webHidden/>
              </w:rPr>
              <w:fldChar w:fldCharType="begin"/>
            </w:r>
            <w:r>
              <w:rPr>
                <w:noProof/>
                <w:webHidden/>
              </w:rPr>
              <w:instrText xml:space="preserve"> PAGEREF _Toc222843143 \h </w:instrText>
            </w:r>
            <w:r>
              <w:rPr>
                <w:noProof/>
                <w:webHidden/>
              </w:rPr>
            </w:r>
            <w:r>
              <w:rPr>
                <w:noProof/>
                <w:webHidden/>
              </w:rPr>
              <w:fldChar w:fldCharType="separate"/>
            </w:r>
            <w:r>
              <w:rPr>
                <w:noProof/>
                <w:webHidden/>
              </w:rPr>
              <w:t>7</w:t>
            </w:r>
            <w:r>
              <w:rPr>
                <w:noProof/>
                <w:webHidden/>
              </w:rPr>
              <w:fldChar w:fldCharType="end"/>
            </w:r>
          </w:hyperlink>
        </w:p>
        <w:p w14:paraId="635EAC31" w14:textId="0AE80EAF" w:rsidR="0076159D" w:rsidRDefault="0076159D">
          <w:pPr>
            <w:pStyle w:val="TOC1"/>
            <w:rPr>
              <w:rFonts w:asciiTheme="minorHAnsi" w:eastAsiaTheme="minorEastAsia" w:hAnsiTheme="minorHAnsi" w:cstheme="minorBidi"/>
              <w:noProof/>
              <w:kern w:val="2"/>
              <w:szCs w:val="24"/>
              <w:lang w:val="en-GB" w:eastAsia="en-GB"/>
              <w14:ligatures w14:val="standardContextual"/>
            </w:rPr>
          </w:pPr>
          <w:hyperlink w:anchor="_Toc222843144" w:history="1">
            <w:r w:rsidRPr="00F64D32">
              <w:rPr>
                <w:rStyle w:val="Hyperlink"/>
                <w:noProof/>
                <w:lang w:val="es-ES"/>
              </w:rPr>
              <w:t>3</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Aplicación de las decisiones de la CMR-23</w:t>
            </w:r>
            <w:r>
              <w:rPr>
                <w:noProof/>
                <w:webHidden/>
              </w:rPr>
              <w:tab/>
            </w:r>
            <w:r>
              <w:rPr>
                <w:noProof/>
                <w:webHidden/>
              </w:rPr>
              <w:tab/>
            </w:r>
            <w:r>
              <w:rPr>
                <w:noProof/>
                <w:webHidden/>
              </w:rPr>
              <w:fldChar w:fldCharType="begin"/>
            </w:r>
            <w:r>
              <w:rPr>
                <w:noProof/>
                <w:webHidden/>
              </w:rPr>
              <w:instrText xml:space="preserve"> PAGEREF _Toc222843144 \h </w:instrText>
            </w:r>
            <w:r>
              <w:rPr>
                <w:noProof/>
                <w:webHidden/>
              </w:rPr>
            </w:r>
            <w:r>
              <w:rPr>
                <w:noProof/>
                <w:webHidden/>
              </w:rPr>
              <w:fldChar w:fldCharType="separate"/>
            </w:r>
            <w:r>
              <w:rPr>
                <w:noProof/>
                <w:webHidden/>
              </w:rPr>
              <w:t>8</w:t>
            </w:r>
            <w:r>
              <w:rPr>
                <w:noProof/>
                <w:webHidden/>
              </w:rPr>
              <w:fldChar w:fldCharType="end"/>
            </w:r>
          </w:hyperlink>
        </w:p>
        <w:p w14:paraId="4200B642" w14:textId="0387FC63" w:rsidR="0076159D" w:rsidRDefault="0076159D">
          <w:pPr>
            <w:pStyle w:val="TOC2"/>
            <w:rPr>
              <w:rFonts w:asciiTheme="minorHAnsi" w:eastAsiaTheme="minorEastAsia" w:hAnsiTheme="minorHAnsi" w:cstheme="minorBidi"/>
              <w:noProof/>
              <w:kern w:val="2"/>
              <w:szCs w:val="24"/>
              <w:lang w:val="en-GB" w:eastAsia="en-GB"/>
              <w14:ligatures w14:val="standardContextual"/>
            </w:rPr>
          </w:pPr>
          <w:hyperlink w:anchor="_Toc222843145" w:history="1">
            <w:r w:rsidRPr="00F64D32">
              <w:rPr>
                <w:rStyle w:val="Hyperlink"/>
                <w:noProof/>
                <w:lang w:val="es-ES"/>
              </w:rPr>
              <w:t>3.1</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Aplicación de las decisiones de la CMR-23</w:t>
            </w:r>
            <w:r>
              <w:rPr>
                <w:noProof/>
                <w:webHidden/>
              </w:rPr>
              <w:tab/>
            </w:r>
            <w:r>
              <w:rPr>
                <w:noProof/>
                <w:webHidden/>
              </w:rPr>
              <w:tab/>
            </w:r>
            <w:r>
              <w:rPr>
                <w:noProof/>
                <w:webHidden/>
              </w:rPr>
              <w:fldChar w:fldCharType="begin"/>
            </w:r>
            <w:r>
              <w:rPr>
                <w:noProof/>
                <w:webHidden/>
              </w:rPr>
              <w:instrText xml:space="preserve"> PAGEREF _Toc222843145 \h </w:instrText>
            </w:r>
            <w:r>
              <w:rPr>
                <w:noProof/>
                <w:webHidden/>
              </w:rPr>
            </w:r>
            <w:r>
              <w:rPr>
                <w:noProof/>
                <w:webHidden/>
              </w:rPr>
              <w:fldChar w:fldCharType="separate"/>
            </w:r>
            <w:r>
              <w:rPr>
                <w:noProof/>
                <w:webHidden/>
              </w:rPr>
              <w:t>8</w:t>
            </w:r>
            <w:r>
              <w:rPr>
                <w:noProof/>
                <w:webHidden/>
              </w:rPr>
              <w:fldChar w:fldCharType="end"/>
            </w:r>
          </w:hyperlink>
        </w:p>
        <w:p w14:paraId="305CCF61" w14:textId="12EA06E8" w:rsidR="0076159D" w:rsidRDefault="0076159D">
          <w:pPr>
            <w:pStyle w:val="TOC1"/>
            <w:rPr>
              <w:rFonts w:asciiTheme="minorHAnsi" w:eastAsiaTheme="minorEastAsia" w:hAnsiTheme="minorHAnsi" w:cstheme="minorBidi"/>
              <w:noProof/>
              <w:kern w:val="2"/>
              <w:szCs w:val="24"/>
              <w:lang w:val="en-GB" w:eastAsia="en-GB"/>
              <w14:ligatures w14:val="standardContextual"/>
            </w:rPr>
          </w:pPr>
          <w:hyperlink w:anchor="_Toc222843146" w:history="1">
            <w:r w:rsidRPr="00F64D32">
              <w:rPr>
                <w:rStyle w:val="Hyperlink"/>
                <w:noProof/>
                <w:lang w:val="es-ES"/>
              </w:rPr>
              <w:t>4</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Preparativos de la CMR-27</w:t>
            </w:r>
            <w:r>
              <w:rPr>
                <w:noProof/>
                <w:webHidden/>
              </w:rPr>
              <w:tab/>
            </w:r>
            <w:r>
              <w:rPr>
                <w:noProof/>
                <w:webHidden/>
              </w:rPr>
              <w:tab/>
            </w:r>
            <w:r>
              <w:rPr>
                <w:noProof/>
                <w:webHidden/>
              </w:rPr>
              <w:fldChar w:fldCharType="begin"/>
            </w:r>
            <w:r>
              <w:rPr>
                <w:noProof/>
                <w:webHidden/>
              </w:rPr>
              <w:instrText xml:space="preserve"> PAGEREF _Toc222843146 \h </w:instrText>
            </w:r>
            <w:r>
              <w:rPr>
                <w:noProof/>
                <w:webHidden/>
              </w:rPr>
            </w:r>
            <w:r>
              <w:rPr>
                <w:noProof/>
                <w:webHidden/>
              </w:rPr>
              <w:fldChar w:fldCharType="separate"/>
            </w:r>
            <w:r>
              <w:rPr>
                <w:noProof/>
                <w:webHidden/>
              </w:rPr>
              <w:t>9</w:t>
            </w:r>
            <w:r>
              <w:rPr>
                <w:noProof/>
                <w:webHidden/>
              </w:rPr>
              <w:fldChar w:fldCharType="end"/>
            </w:r>
          </w:hyperlink>
        </w:p>
        <w:p w14:paraId="738C8810" w14:textId="3717BAD0" w:rsidR="0076159D" w:rsidRDefault="0076159D">
          <w:pPr>
            <w:pStyle w:val="TOC2"/>
            <w:rPr>
              <w:rFonts w:asciiTheme="minorHAnsi" w:eastAsiaTheme="minorEastAsia" w:hAnsiTheme="minorHAnsi" w:cstheme="minorBidi"/>
              <w:noProof/>
              <w:kern w:val="2"/>
              <w:szCs w:val="24"/>
              <w:lang w:val="en-GB" w:eastAsia="en-GB"/>
              <w14:ligatures w14:val="standardContextual"/>
            </w:rPr>
          </w:pPr>
          <w:hyperlink w:anchor="_Toc222843147" w:history="1">
            <w:r w:rsidRPr="00F64D32">
              <w:rPr>
                <w:rStyle w:val="Hyperlink"/>
                <w:noProof/>
                <w:lang w:val="es-ES"/>
              </w:rPr>
              <w:t>4.1</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Preparativos de la CMR-27</w:t>
            </w:r>
            <w:r>
              <w:rPr>
                <w:noProof/>
                <w:webHidden/>
              </w:rPr>
              <w:tab/>
            </w:r>
            <w:r>
              <w:rPr>
                <w:noProof/>
                <w:webHidden/>
              </w:rPr>
              <w:tab/>
            </w:r>
            <w:r>
              <w:rPr>
                <w:noProof/>
                <w:webHidden/>
              </w:rPr>
              <w:fldChar w:fldCharType="begin"/>
            </w:r>
            <w:r>
              <w:rPr>
                <w:noProof/>
                <w:webHidden/>
              </w:rPr>
              <w:instrText xml:space="preserve"> PAGEREF _Toc222843147 \h </w:instrText>
            </w:r>
            <w:r>
              <w:rPr>
                <w:noProof/>
                <w:webHidden/>
              </w:rPr>
            </w:r>
            <w:r>
              <w:rPr>
                <w:noProof/>
                <w:webHidden/>
              </w:rPr>
              <w:fldChar w:fldCharType="separate"/>
            </w:r>
            <w:r>
              <w:rPr>
                <w:noProof/>
                <w:webHidden/>
              </w:rPr>
              <w:t>9</w:t>
            </w:r>
            <w:r>
              <w:rPr>
                <w:noProof/>
                <w:webHidden/>
              </w:rPr>
              <w:fldChar w:fldCharType="end"/>
            </w:r>
          </w:hyperlink>
        </w:p>
        <w:p w14:paraId="714CC71E" w14:textId="246690CF" w:rsidR="0076159D" w:rsidRDefault="0076159D">
          <w:pPr>
            <w:pStyle w:val="TOC2"/>
            <w:rPr>
              <w:rFonts w:asciiTheme="minorHAnsi" w:eastAsiaTheme="minorEastAsia" w:hAnsiTheme="minorHAnsi" w:cstheme="minorBidi"/>
              <w:noProof/>
              <w:kern w:val="2"/>
              <w:szCs w:val="24"/>
              <w:lang w:val="en-GB" w:eastAsia="en-GB"/>
              <w14:ligatures w14:val="standardContextual"/>
            </w:rPr>
          </w:pPr>
          <w:hyperlink w:anchor="_Toc222843148" w:history="1">
            <w:r w:rsidRPr="00F64D32">
              <w:rPr>
                <w:rStyle w:val="Hyperlink"/>
                <w:noProof/>
                <w:lang w:val="es-ES"/>
              </w:rPr>
              <w:t>4.2</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Otros preparativos conexos</w:t>
            </w:r>
            <w:r>
              <w:rPr>
                <w:noProof/>
                <w:webHidden/>
              </w:rPr>
              <w:tab/>
            </w:r>
            <w:r>
              <w:rPr>
                <w:noProof/>
                <w:webHidden/>
              </w:rPr>
              <w:tab/>
            </w:r>
            <w:r>
              <w:rPr>
                <w:noProof/>
                <w:webHidden/>
              </w:rPr>
              <w:fldChar w:fldCharType="begin"/>
            </w:r>
            <w:r>
              <w:rPr>
                <w:noProof/>
                <w:webHidden/>
              </w:rPr>
              <w:instrText xml:space="preserve"> PAGEREF _Toc222843148 \h </w:instrText>
            </w:r>
            <w:r>
              <w:rPr>
                <w:noProof/>
                <w:webHidden/>
              </w:rPr>
            </w:r>
            <w:r>
              <w:rPr>
                <w:noProof/>
                <w:webHidden/>
              </w:rPr>
              <w:fldChar w:fldCharType="separate"/>
            </w:r>
            <w:r>
              <w:rPr>
                <w:noProof/>
                <w:webHidden/>
              </w:rPr>
              <w:t>9</w:t>
            </w:r>
            <w:r>
              <w:rPr>
                <w:noProof/>
                <w:webHidden/>
              </w:rPr>
              <w:fldChar w:fldCharType="end"/>
            </w:r>
          </w:hyperlink>
        </w:p>
        <w:p w14:paraId="297FCD19" w14:textId="0DCE2779" w:rsidR="0076159D" w:rsidRDefault="0076159D">
          <w:pPr>
            <w:pStyle w:val="TOC1"/>
            <w:rPr>
              <w:rFonts w:asciiTheme="minorHAnsi" w:eastAsiaTheme="minorEastAsia" w:hAnsiTheme="minorHAnsi" w:cstheme="minorBidi"/>
              <w:noProof/>
              <w:kern w:val="2"/>
              <w:szCs w:val="24"/>
              <w:lang w:val="en-GB" w:eastAsia="en-GB"/>
              <w14:ligatures w14:val="standardContextual"/>
            </w:rPr>
          </w:pPr>
          <w:hyperlink w:anchor="_Toc222843149" w:history="1">
            <w:r w:rsidRPr="00F64D32">
              <w:rPr>
                <w:rStyle w:val="Hyperlink"/>
                <w:noProof/>
                <w:lang w:val="es-ES"/>
              </w:rPr>
              <w:t>5</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Actividades de las Comisiones de Estudio</w:t>
            </w:r>
            <w:r>
              <w:rPr>
                <w:noProof/>
                <w:webHidden/>
              </w:rPr>
              <w:tab/>
            </w:r>
            <w:r>
              <w:rPr>
                <w:noProof/>
                <w:webHidden/>
              </w:rPr>
              <w:tab/>
            </w:r>
            <w:r>
              <w:rPr>
                <w:noProof/>
                <w:webHidden/>
              </w:rPr>
              <w:fldChar w:fldCharType="begin"/>
            </w:r>
            <w:r>
              <w:rPr>
                <w:noProof/>
                <w:webHidden/>
              </w:rPr>
              <w:instrText xml:space="preserve"> PAGEREF _Toc222843149 \h </w:instrText>
            </w:r>
            <w:r>
              <w:rPr>
                <w:noProof/>
                <w:webHidden/>
              </w:rPr>
            </w:r>
            <w:r>
              <w:rPr>
                <w:noProof/>
                <w:webHidden/>
              </w:rPr>
              <w:fldChar w:fldCharType="separate"/>
            </w:r>
            <w:r>
              <w:rPr>
                <w:noProof/>
                <w:webHidden/>
              </w:rPr>
              <w:t>10</w:t>
            </w:r>
            <w:r>
              <w:rPr>
                <w:noProof/>
                <w:webHidden/>
              </w:rPr>
              <w:fldChar w:fldCharType="end"/>
            </w:r>
          </w:hyperlink>
        </w:p>
        <w:p w14:paraId="26EC1405" w14:textId="38CD115E" w:rsidR="0076159D" w:rsidRDefault="0076159D">
          <w:pPr>
            <w:pStyle w:val="TOC1"/>
            <w:rPr>
              <w:rFonts w:asciiTheme="minorHAnsi" w:eastAsiaTheme="minorEastAsia" w:hAnsiTheme="minorHAnsi" w:cstheme="minorBidi"/>
              <w:noProof/>
              <w:kern w:val="2"/>
              <w:szCs w:val="24"/>
              <w:lang w:val="en-GB" w:eastAsia="en-GB"/>
              <w14:ligatures w14:val="standardContextual"/>
            </w:rPr>
          </w:pPr>
          <w:hyperlink w:anchor="_Toc222843150" w:history="1">
            <w:r w:rsidRPr="00F64D32">
              <w:rPr>
                <w:rStyle w:val="Hyperlink"/>
                <w:noProof/>
                <w:lang w:val="en-US"/>
              </w:rPr>
              <w:t>6</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n-US"/>
              </w:rPr>
              <w:t>Planificación operacional</w:t>
            </w:r>
            <w:r>
              <w:rPr>
                <w:noProof/>
                <w:webHidden/>
              </w:rPr>
              <w:tab/>
            </w:r>
            <w:r>
              <w:rPr>
                <w:noProof/>
                <w:webHidden/>
              </w:rPr>
              <w:tab/>
            </w:r>
            <w:r>
              <w:rPr>
                <w:noProof/>
                <w:webHidden/>
              </w:rPr>
              <w:fldChar w:fldCharType="begin"/>
            </w:r>
            <w:r>
              <w:rPr>
                <w:noProof/>
                <w:webHidden/>
              </w:rPr>
              <w:instrText xml:space="preserve"> PAGEREF _Toc222843150 \h </w:instrText>
            </w:r>
            <w:r>
              <w:rPr>
                <w:noProof/>
                <w:webHidden/>
              </w:rPr>
            </w:r>
            <w:r>
              <w:rPr>
                <w:noProof/>
                <w:webHidden/>
              </w:rPr>
              <w:fldChar w:fldCharType="separate"/>
            </w:r>
            <w:r>
              <w:rPr>
                <w:noProof/>
                <w:webHidden/>
              </w:rPr>
              <w:t>11</w:t>
            </w:r>
            <w:r>
              <w:rPr>
                <w:noProof/>
                <w:webHidden/>
              </w:rPr>
              <w:fldChar w:fldCharType="end"/>
            </w:r>
          </w:hyperlink>
        </w:p>
        <w:p w14:paraId="49C8D8C9" w14:textId="2E2016C5" w:rsidR="0076159D" w:rsidRDefault="0076159D">
          <w:pPr>
            <w:pStyle w:val="TOC1"/>
            <w:rPr>
              <w:rFonts w:asciiTheme="minorHAnsi" w:eastAsiaTheme="minorEastAsia" w:hAnsiTheme="minorHAnsi" w:cstheme="minorBidi"/>
              <w:noProof/>
              <w:kern w:val="2"/>
              <w:szCs w:val="24"/>
              <w:lang w:val="en-GB" w:eastAsia="en-GB"/>
              <w14:ligatures w14:val="standardContextual"/>
            </w:rPr>
          </w:pPr>
          <w:hyperlink w:anchor="_Toc222843151" w:history="1">
            <w:r w:rsidRPr="00F64D32">
              <w:rPr>
                <w:rStyle w:val="Hyperlink"/>
                <w:noProof/>
                <w:lang w:val="es-ES"/>
              </w:rPr>
              <w:t>7</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Sistema de información de la BR</w:t>
            </w:r>
            <w:r>
              <w:rPr>
                <w:noProof/>
                <w:webHidden/>
              </w:rPr>
              <w:tab/>
            </w:r>
            <w:r>
              <w:rPr>
                <w:noProof/>
                <w:webHidden/>
              </w:rPr>
              <w:tab/>
            </w:r>
            <w:r>
              <w:rPr>
                <w:noProof/>
                <w:webHidden/>
              </w:rPr>
              <w:fldChar w:fldCharType="begin"/>
            </w:r>
            <w:r>
              <w:rPr>
                <w:noProof/>
                <w:webHidden/>
              </w:rPr>
              <w:instrText xml:space="preserve"> PAGEREF _Toc222843151 \h </w:instrText>
            </w:r>
            <w:r>
              <w:rPr>
                <w:noProof/>
                <w:webHidden/>
              </w:rPr>
            </w:r>
            <w:r>
              <w:rPr>
                <w:noProof/>
                <w:webHidden/>
              </w:rPr>
              <w:fldChar w:fldCharType="separate"/>
            </w:r>
            <w:r>
              <w:rPr>
                <w:noProof/>
                <w:webHidden/>
              </w:rPr>
              <w:t>11</w:t>
            </w:r>
            <w:r>
              <w:rPr>
                <w:noProof/>
                <w:webHidden/>
              </w:rPr>
              <w:fldChar w:fldCharType="end"/>
            </w:r>
          </w:hyperlink>
        </w:p>
        <w:p w14:paraId="3931701C" w14:textId="20165251" w:rsidR="0076159D" w:rsidRDefault="0076159D">
          <w:pPr>
            <w:pStyle w:val="TOC2"/>
            <w:rPr>
              <w:rFonts w:asciiTheme="minorHAnsi" w:eastAsiaTheme="minorEastAsia" w:hAnsiTheme="minorHAnsi" w:cstheme="minorBidi"/>
              <w:noProof/>
              <w:kern w:val="2"/>
              <w:szCs w:val="24"/>
              <w:lang w:val="en-GB" w:eastAsia="en-GB"/>
              <w14:ligatures w14:val="standardContextual"/>
            </w:rPr>
          </w:pPr>
          <w:hyperlink w:anchor="_Toc222843152" w:history="1">
            <w:r w:rsidRPr="00F64D32">
              <w:rPr>
                <w:rStyle w:val="Hyperlink"/>
                <w:noProof/>
                <w:lang w:val="es-ES"/>
              </w:rPr>
              <w:t>7.1</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Software y herramientas terrenales</w:t>
            </w:r>
            <w:r>
              <w:rPr>
                <w:noProof/>
                <w:webHidden/>
              </w:rPr>
              <w:tab/>
            </w:r>
            <w:r>
              <w:rPr>
                <w:noProof/>
                <w:webHidden/>
              </w:rPr>
              <w:tab/>
            </w:r>
            <w:r>
              <w:rPr>
                <w:noProof/>
                <w:webHidden/>
              </w:rPr>
              <w:fldChar w:fldCharType="begin"/>
            </w:r>
            <w:r>
              <w:rPr>
                <w:noProof/>
                <w:webHidden/>
              </w:rPr>
              <w:instrText xml:space="preserve"> PAGEREF _Toc222843152 \h </w:instrText>
            </w:r>
            <w:r>
              <w:rPr>
                <w:noProof/>
                <w:webHidden/>
              </w:rPr>
            </w:r>
            <w:r>
              <w:rPr>
                <w:noProof/>
                <w:webHidden/>
              </w:rPr>
              <w:fldChar w:fldCharType="separate"/>
            </w:r>
            <w:r>
              <w:rPr>
                <w:noProof/>
                <w:webHidden/>
              </w:rPr>
              <w:t>11</w:t>
            </w:r>
            <w:r>
              <w:rPr>
                <w:noProof/>
                <w:webHidden/>
              </w:rPr>
              <w:fldChar w:fldCharType="end"/>
            </w:r>
          </w:hyperlink>
        </w:p>
        <w:p w14:paraId="38A6BAE3" w14:textId="6BD6EADE" w:rsidR="0076159D" w:rsidRDefault="0076159D">
          <w:pPr>
            <w:pStyle w:val="TOC3"/>
            <w:rPr>
              <w:rFonts w:asciiTheme="minorHAnsi" w:eastAsiaTheme="minorEastAsia" w:hAnsiTheme="minorHAnsi" w:cstheme="minorBidi"/>
              <w:noProof/>
              <w:kern w:val="2"/>
              <w:szCs w:val="24"/>
              <w:lang w:val="en-GB" w:eastAsia="en-GB"/>
              <w14:ligatures w14:val="standardContextual"/>
            </w:rPr>
          </w:pPr>
          <w:hyperlink w:anchor="_Toc222843153" w:history="1">
            <w:r w:rsidRPr="00F64D32">
              <w:rPr>
                <w:rStyle w:val="Hyperlink"/>
                <w:rFonts w:eastAsia="Verdana"/>
                <w:noProof/>
                <w:lang w:val="es-ES"/>
              </w:rPr>
              <w:t>7.1.1</w:t>
            </w:r>
            <w:r>
              <w:rPr>
                <w:rFonts w:asciiTheme="minorHAnsi" w:eastAsiaTheme="minorEastAsia" w:hAnsiTheme="minorHAnsi" w:cstheme="minorBidi"/>
                <w:noProof/>
                <w:kern w:val="2"/>
                <w:szCs w:val="24"/>
                <w:lang w:val="en-GB" w:eastAsia="en-GB"/>
                <w14:ligatures w14:val="standardContextual"/>
              </w:rPr>
              <w:tab/>
            </w:r>
            <w:r w:rsidRPr="00F64D32">
              <w:rPr>
                <w:rStyle w:val="Hyperlink"/>
                <w:rFonts w:eastAsia="Verdana"/>
                <w:noProof/>
                <w:lang w:val="es-ES"/>
              </w:rPr>
              <w:t>Aplicación de las decisiones de la CMR-23 relativas a los servicios terrenales</w:t>
            </w:r>
            <w:r>
              <w:rPr>
                <w:noProof/>
                <w:webHidden/>
              </w:rPr>
              <w:tab/>
            </w:r>
            <w:r>
              <w:rPr>
                <w:noProof/>
                <w:webHidden/>
              </w:rPr>
              <w:fldChar w:fldCharType="begin"/>
            </w:r>
            <w:r>
              <w:rPr>
                <w:noProof/>
                <w:webHidden/>
              </w:rPr>
              <w:instrText xml:space="preserve"> PAGEREF _Toc222843153 \h </w:instrText>
            </w:r>
            <w:r>
              <w:rPr>
                <w:noProof/>
                <w:webHidden/>
              </w:rPr>
            </w:r>
            <w:r>
              <w:rPr>
                <w:noProof/>
                <w:webHidden/>
              </w:rPr>
              <w:fldChar w:fldCharType="separate"/>
            </w:r>
            <w:r>
              <w:rPr>
                <w:noProof/>
                <w:webHidden/>
              </w:rPr>
              <w:t>11</w:t>
            </w:r>
            <w:r>
              <w:rPr>
                <w:noProof/>
                <w:webHidden/>
              </w:rPr>
              <w:fldChar w:fldCharType="end"/>
            </w:r>
          </w:hyperlink>
        </w:p>
        <w:p w14:paraId="6F5C72B3" w14:textId="43664408" w:rsidR="0076159D" w:rsidRDefault="0076159D">
          <w:pPr>
            <w:pStyle w:val="TOC3"/>
            <w:rPr>
              <w:rFonts w:asciiTheme="minorHAnsi" w:eastAsiaTheme="minorEastAsia" w:hAnsiTheme="minorHAnsi" w:cstheme="minorBidi"/>
              <w:noProof/>
              <w:kern w:val="2"/>
              <w:szCs w:val="24"/>
              <w:lang w:val="en-GB" w:eastAsia="en-GB"/>
              <w14:ligatures w14:val="standardContextual"/>
            </w:rPr>
          </w:pPr>
          <w:hyperlink w:anchor="_Toc222843154" w:history="1">
            <w:r w:rsidRPr="00F64D32">
              <w:rPr>
                <w:rStyle w:val="Hyperlink"/>
                <w:rFonts w:eastAsia="Verdana"/>
                <w:noProof/>
                <w:lang w:val="es-ES"/>
              </w:rPr>
              <w:t>7.1.2</w:t>
            </w:r>
            <w:r>
              <w:rPr>
                <w:rFonts w:asciiTheme="minorHAnsi" w:eastAsiaTheme="minorEastAsia" w:hAnsiTheme="minorHAnsi" w:cstheme="minorBidi"/>
                <w:noProof/>
                <w:kern w:val="2"/>
                <w:szCs w:val="24"/>
                <w:lang w:val="en-GB" w:eastAsia="en-GB"/>
                <w14:ligatures w14:val="standardContextual"/>
              </w:rPr>
              <w:tab/>
            </w:r>
            <w:r w:rsidRPr="00F64D32">
              <w:rPr>
                <w:rStyle w:val="Hyperlink"/>
                <w:rFonts w:eastAsia="Verdana"/>
                <w:noProof/>
                <w:lang w:val="es-ES"/>
              </w:rPr>
              <w:t>Tramitación de solicitudes de coordinación con arreglo al número</w:t>
            </w:r>
            <w:r w:rsidRPr="00F64D32">
              <w:rPr>
                <w:rStyle w:val="Hyperlink"/>
                <w:noProof/>
                <w:lang w:val="es-ES"/>
              </w:rPr>
              <w:t xml:space="preserve"> 9.21 del RR</w:t>
            </w:r>
            <w:r>
              <w:rPr>
                <w:noProof/>
                <w:webHidden/>
              </w:rPr>
              <w:tab/>
            </w:r>
            <w:r>
              <w:rPr>
                <w:noProof/>
                <w:webHidden/>
              </w:rPr>
              <w:fldChar w:fldCharType="begin"/>
            </w:r>
            <w:r>
              <w:rPr>
                <w:noProof/>
                <w:webHidden/>
              </w:rPr>
              <w:instrText xml:space="preserve"> PAGEREF _Toc222843154 \h </w:instrText>
            </w:r>
            <w:r>
              <w:rPr>
                <w:noProof/>
                <w:webHidden/>
              </w:rPr>
            </w:r>
            <w:r>
              <w:rPr>
                <w:noProof/>
                <w:webHidden/>
              </w:rPr>
              <w:fldChar w:fldCharType="separate"/>
            </w:r>
            <w:r>
              <w:rPr>
                <w:noProof/>
                <w:webHidden/>
              </w:rPr>
              <w:t>11</w:t>
            </w:r>
            <w:r>
              <w:rPr>
                <w:noProof/>
                <w:webHidden/>
              </w:rPr>
              <w:fldChar w:fldCharType="end"/>
            </w:r>
          </w:hyperlink>
        </w:p>
        <w:p w14:paraId="48A92DDF" w14:textId="1360C399" w:rsidR="0076159D" w:rsidRDefault="0076159D">
          <w:pPr>
            <w:pStyle w:val="TOC3"/>
            <w:rPr>
              <w:rFonts w:asciiTheme="minorHAnsi" w:eastAsiaTheme="minorEastAsia" w:hAnsiTheme="minorHAnsi" w:cstheme="minorBidi"/>
              <w:noProof/>
              <w:kern w:val="2"/>
              <w:szCs w:val="24"/>
              <w:lang w:val="en-GB" w:eastAsia="en-GB"/>
              <w14:ligatures w14:val="standardContextual"/>
            </w:rPr>
          </w:pPr>
          <w:hyperlink w:anchor="_Toc222843155" w:history="1">
            <w:r w:rsidRPr="00F64D32">
              <w:rPr>
                <w:rStyle w:val="Hyperlink"/>
                <w:rFonts w:eastAsia="Verdana"/>
                <w:noProof/>
                <w:lang w:val="es-ES"/>
              </w:rPr>
              <w:t>7.1.3</w:t>
            </w:r>
            <w:r>
              <w:rPr>
                <w:rFonts w:asciiTheme="minorHAnsi" w:eastAsiaTheme="minorEastAsia" w:hAnsiTheme="minorHAnsi" w:cstheme="minorBidi"/>
                <w:noProof/>
                <w:kern w:val="2"/>
                <w:szCs w:val="24"/>
                <w:lang w:val="en-GB" w:eastAsia="en-GB"/>
                <w14:ligatures w14:val="standardContextual"/>
              </w:rPr>
              <w:tab/>
            </w:r>
            <w:r w:rsidRPr="00F64D32">
              <w:rPr>
                <w:rStyle w:val="Hyperlink"/>
                <w:rFonts w:eastAsia="Verdana"/>
                <w:noProof/>
                <w:lang w:val="es-ES"/>
              </w:rPr>
              <w:t>Tramitación de notificaciones HAPS</w:t>
            </w:r>
            <w:r>
              <w:rPr>
                <w:noProof/>
                <w:webHidden/>
              </w:rPr>
              <w:tab/>
            </w:r>
            <w:r>
              <w:rPr>
                <w:noProof/>
                <w:webHidden/>
              </w:rPr>
              <w:tab/>
            </w:r>
            <w:r>
              <w:rPr>
                <w:noProof/>
                <w:webHidden/>
              </w:rPr>
              <w:fldChar w:fldCharType="begin"/>
            </w:r>
            <w:r>
              <w:rPr>
                <w:noProof/>
                <w:webHidden/>
              </w:rPr>
              <w:instrText xml:space="preserve"> PAGEREF _Toc222843155 \h </w:instrText>
            </w:r>
            <w:r>
              <w:rPr>
                <w:noProof/>
                <w:webHidden/>
              </w:rPr>
            </w:r>
            <w:r>
              <w:rPr>
                <w:noProof/>
                <w:webHidden/>
              </w:rPr>
              <w:fldChar w:fldCharType="separate"/>
            </w:r>
            <w:r>
              <w:rPr>
                <w:noProof/>
                <w:webHidden/>
              </w:rPr>
              <w:t>11</w:t>
            </w:r>
            <w:r>
              <w:rPr>
                <w:noProof/>
                <w:webHidden/>
              </w:rPr>
              <w:fldChar w:fldCharType="end"/>
            </w:r>
          </w:hyperlink>
        </w:p>
        <w:p w14:paraId="1D518CC5" w14:textId="023C73B7" w:rsidR="0076159D" w:rsidRDefault="0076159D">
          <w:pPr>
            <w:pStyle w:val="TOC3"/>
            <w:rPr>
              <w:rFonts w:asciiTheme="minorHAnsi" w:eastAsiaTheme="minorEastAsia" w:hAnsiTheme="minorHAnsi" w:cstheme="minorBidi"/>
              <w:noProof/>
              <w:kern w:val="2"/>
              <w:szCs w:val="24"/>
              <w:lang w:val="en-GB" w:eastAsia="en-GB"/>
              <w14:ligatures w14:val="standardContextual"/>
            </w:rPr>
          </w:pPr>
          <w:hyperlink w:anchor="_Toc222843156" w:history="1">
            <w:r w:rsidRPr="00F64D32">
              <w:rPr>
                <w:rStyle w:val="Hyperlink"/>
                <w:noProof/>
                <w:lang w:val="es-ES"/>
              </w:rPr>
              <w:t>7.1.4</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Reingeniería del software HFBC</w:t>
            </w:r>
            <w:r>
              <w:rPr>
                <w:noProof/>
                <w:webHidden/>
              </w:rPr>
              <w:tab/>
            </w:r>
            <w:r>
              <w:rPr>
                <w:noProof/>
                <w:webHidden/>
              </w:rPr>
              <w:tab/>
            </w:r>
            <w:r>
              <w:rPr>
                <w:noProof/>
                <w:webHidden/>
              </w:rPr>
              <w:fldChar w:fldCharType="begin"/>
            </w:r>
            <w:r>
              <w:rPr>
                <w:noProof/>
                <w:webHidden/>
              </w:rPr>
              <w:instrText xml:space="preserve"> PAGEREF _Toc222843156 \h </w:instrText>
            </w:r>
            <w:r>
              <w:rPr>
                <w:noProof/>
                <w:webHidden/>
              </w:rPr>
            </w:r>
            <w:r>
              <w:rPr>
                <w:noProof/>
                <w:webHidden/>
              </w:rPr>
              <w:fldChar w:fldCharType="separate"/>
            </w:r>
            <w:r>
              <w:rPr>
                <w:noProof/>
                <w:webHidden/>
              </w:rPr>
              <w:t>11</w:t>
            </w:r>
            <w:r>
              <w:rPr>
                <w:noProof/>
                <w:webHidden/>
              </w:rPr>
              <w:fldChar w:fldCharType="end"/>
            </w:r>
          </w:hyperlink>
        </w:p>
        <w:p w14:paraId="5C92235A" w14:textId="642FF09F" w:rsidR="0076159D" w:rsidRDefault="0076159D">
          <w:pPr>
            <w:pStyle w:val="TOC3"/>
            <w:rPr>
              <w:rFonts w:asciiTheme="minorHAnsi" w:eastAsiaTheme="minorEastAsia" w:hAnsiTheme="minorHAnsi" w:cstheme="minorBidi"/>
              <w:noProof/>
              <w:kern w:val="2"/>
              <w:szCs w:val="24"/>
              <w:lang w:val="en-GB" w:eastAsia="en-GB"/>
              <w14:ligatures w14:val="standardContextual"/>
            </w:rPr>
          </w:pPr>
          <w:hyperlink w:anchor="_Toc222843157" w:history="1">
            <w:r w:rsidRPr="00F64D32">
              <w:rPr>
                <w:rStyle w:val="Hyperlink"/>
                <w:noProof/>
                <w:lang w:val="es-ES"/>
              </w:rPr>
              <w:t>7.1.5</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Migración de Ingres a SQL Server</w:t>
            </w:r>
            <w:r>
              <w:rPr>
                <w:noProof/>
                <w:webHidden/>
              </w:rPr>
              <w:tab/>
            </w:r>
            <w:r>
              <w:rPr>
                <w:noProof/>
                <w:webHidden/>
              </w:rPr>
              <w:tab/>
            </w:r>
            <w:r>
              <w:rPr>
                <w:noProof/>
                <w:webHidden/>
              </w:rPr>
              <w:fldChar w:fldCharType="begin"/>
            </w:r>
            <w:r>
              <w:rPr>
                <w:noProof/>
                <w:webHidden/>
              </w:rPr>
              <w:instrText xml:space="preserve"> PAGEREF _Toc222843157 \h </w:instrText>
            </w:r>
            <w:r>
              <w:rPr>
                <w:noProof/>
                <w:webHidden/>
              </w:rPr>
            </w:r>
            <w:r>
              <w:rPr>
                <w:noProof/>
                <w:webHidden/>
              </w:rPr>
              <w:fldChar w:fldCharType="separate"/>
            </w:r>
            <w:r>
              <w:rPr>
                <w:noProof/>
                <w:webHidden/>
              </w:rPr>
              <w:t>11</w:t>
            </w:r>
            <w:r>
              <w:rPr>
                <w:noProof/>
                <w:webHidden/>
              </w:rPr>
              <w:fldChar w:fldCharType="end"/>
            </w:r>
          </w:hyperlink>
        </w:p>
        <w:p w14:paraId="6D631FF7" w14:textId="1E2EE5FF" w:rsidR="0076159D" w:rsidRDefault="0076159D">
          <w:pPr>
            <w:pStyle w:val="TOC3"/>
            <w:rPr>
              <w:rFonts w:asciiTheme="minorHAnsi" w:eastAsiaTheme="minorEastAsia" w:hAnsiTheme="minorHAnsi" w:cstheme="minorBidi"/>
              <w:noProof/>
              <w:kern w:val="2"/>
              <w:szCs w:val="24"/>
              <w:lang w:val="en-GB" w:eastAsia="en-GB"/>
              <w14:ligatures w14:val="standardContextual"/>
            </w:rPr>
          </w:pPr>
          <w:hyperlink w:anchor="_Toc222843158" w:history="1">
            <w:r w:rsidRPr="00F64D32">
              <w:rPr>
                <w:rStyle w:val="Hyperlink"/>
                <w:noProof/>
                <w:lang w:val="es-ES"/>
              </w:rPr>
              <w:t>7.1.6</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Proyecto de publicaciones de servicios marítimos</w:t>
            </w:r>
            <w:r>
              <w:rPr>
                <w:noProof/>
                <w:webHidden/>
              </w:rPr>
              <w:tab/>
            </w:r>
            <w:r>
              <w:rPr>
                <w:noProof/>
                <w:webHidden/>
              </w:rPr>
              <w:tab/>
            </w:r>
            <w:r>
              <w:rPr>
                <w:noProof/>
                <w:webHidden/>
              </w:rPr>
              <w:fldChar w:fldCharType="begin"/>
            </w:r>
            <w:r>
              <w:rPr>
                <w:noProof/>
                <w:webHidden/>
              </w:rPr>
              <w:instrText xml:space="preserve"> PAGEREF _Toc222843158 \h </w:instrText>
            </w:r>
            <w:r>
              <w:rPr>
                <w:noProof/>
                <w:webHidden/>
              </w:rPr>
            </w:r>
            <w:r>
              <w:rPr>
                <w:noProof/>
                <w:webHidden/>
              </w:rPr>
              <w:fldChar w:fldCharType="separate"/>
            </w:r>
            <w:r>
              <w:rPr>
                <w:noProof/>
                <w:webHidden/>
              </w:rPr>
              <w:t>12</w:t>
            </w:r>
            <w:r>
              <w:rPr>
                <w:noProof/>
                <w:webHidden/>
              </w:rPr>
              <w:fldChar w:fldCharType="end"/>
            </w:r>
          </w:hyperlink>
        </w:p>
        <w:p w14:paraId="0ECE32A1" w14:textId="083A3724" w:rsidR="0076159D" w:rsidRDefault="0076159D">
          <w:pPr>
            <w:pStyle w:val="TOC3"/>
            <w:rPr>
              <w:rFonts w:asciiTheme="minorHAnsi" w:eastAsiaTheme="minorEastAsia" w:hAnsiTheme="minorHAnsi" w:cstheme="minorBidi"/>
              <w:noProof/>
              <w:kern w:val="2"/>
              <w:szCs w:val="24"/>
              <w:lang w:val="en-GB" w:eastAsia="en-GB"/>
              <w14:ligatures w14:val="standardContextual"/>
            </w:rPr>
          </w:pPr>
          <w:hyperlink w:anchor="_Toc222843159" w:history="1">
            <w:r w:rsidRPr="00F64D32">
              <w:rPr>
                <w:rStyle w:val="Hyperlink"/>
                <w:noProof/>
                <w:lang w:val="es-ES"/>
              </w:rPr>
              <w:t>7.1.7</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Interferencia perjudicial a servicios terrenales (HITS)</w:t>
            </w:r>
            <w:r>
              <w:rPr>
                <w:noProof/>
                <w:webHidden/>
              </w:rPr>
              <w:tab/>
            </w:r>
            <w:r>
              <w:rPr>
                <w:noProof/>
                <w:webHidden/>
              </w:rPr>
              <w:tab/>
            </w:r>
            <w:r>
              <w:rPr>
                <w:noProof/>
                <w:webHidden/>
              </w:rPr>
              <w:fldChar w:fldCharType="begin"/>
            </w:r>
            <w:r>
              <w:rPr>
                <w:noProof/>
                <w:webHidden/>
              </w:rPr>
              <w:instrText xml:space="preserve"> PAGEREF _Toc222843159 \h </w:instrText>
            </w:r>
            <w:r>
              <w:rPr>
                <w:noProof/>
                <w:webHidden/>
              </w:rPr>
            </w:r>
            <w:r>
              <w:rPr>
                <w:noProof/>
                <w:webHidden/>
              </w:rPr>
              <w:fldChar w:fldCharType="separate"/>
            </w:r>
            <w:r>
              <w:rPr>
                <w:noProof/>
                <w:webHidden/>
              </w:rPr>
              <w:t>12</w:t>
            </w:r>
            <w:r>
              <w:rPr>
                <w:noProof/>
                <w:webHidden/>
              </w:rPr>
              <w:fldChar w:fldCharType="end"/>
            </w:r>
          </w:hyperlink>
        </w:p>
        <w:p w14:paraId="1779138C" w14:textId="3C6208D7" w:rsidR="0076159D" w:rsidRDefault="0076159D">
          <w:pPr>
            <w:pStyle w:val="TOC3"/>
            <w:rPr>
              <w:rFonts w:asciiTheme="minorHAnsi" w:eastAsiaTheme="minorEastAsia" w:hAnsiTheme="minorHAnsi" w:cstheme="minorBidi"/>
              <w:noProof/>
              <w:kern w:val="2"/>
              <w:szCs w:val="24"/>
              <w:lang w:val="en-GB" w:eastAsia="en-GB"/>
              <w14:ligatures w14:val="standardContextual"/>
            </w:rPr>
          </w:pPr>
          <w:hyperlink w:anchor="_Toc222843160" w:history="1">
            <w:r w:rsidRPr="00F64D32">
              <w:rPr>
                <w:rStyle w:val="Hyperlink"/>
                <w:noProof/>
                <w:lang w:val="es-ES"/>
              </w:rPr>
              <w:t>7.1.8</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Nuevas mejoras de las herramientas web</w:t>
            </w:r>
            <w:r>
              <w:rPr>
                <w:noProof/>
                <w:webHidden/>
              </w:rPr>
              <w:tab/>
            </w:r>
            <w:r>
              <w:rPr>
                <w:noProof/>
                <w:webHidden/>
              </w:rPr>
              <w:tab/>
            </w:r>
            <w:r>
              <w:rPr>
                <w:noProof/>
                <w:webHidden/>
              </w:rPr>
              <w:fldChar w:fldCharType="begin"/>
            </w:r>
            <w:r>
              <w:rPr>
                <w:noProof/>
                <w:webHidden/>
              </w:rPr>
              <w:instrText xml:space="preserve"> PAGEREF _Toc222843160 \h </w:instrText>
            </w:r>
            <w:r>
              <w:rPr>
                <w:noProof/>
                <w:webHidden/>
              </w:rPr>
            </w:r>
            <w:r>
              <w:rPr>
                <w:noProof/>
                <w:webHidden/>
              </w:rPr>
              <w:fldChar w:fldCharType="separate"/>
            </w:r>
            <w:r>
              <w:rPr>
                <w:noProof/>
                <w:webHidden/>
              </w:rPr>
              <w:t>12</w:t>
            </w:r>
            <w:r>
              <w:rPr>
                <w:noProof/>
                <w:webHidden/>
              </w:rPr>
              <w:fldChar w:fldCharType="end"/>
            </w:r>
          </w:hyperlink>
        </w:p>
        <w:p w14:paraId="1AEF9929" w14:textId="17F9F2C1" w:rsidR="0076159D" w:rsidRDefault="0076159D">
          <w:pPr>
            <w:pStyle w:val="TOC2"/>
            <w:rPr>
              <w:rFonts w:asciiTheme="minorHAnsi" w:eastAsiaTheme="minorEastAsia" w:hAnsiTheme="minorHAnsi" w:cstheme="minorBidi"/>
              <w:noProof/>
              <w:kern w:val="2"/>
              <w:szCs w:val="24"/>
              <w:lang w:val="en-GB" w:eastAsia="en-GB"/>
              <w14:ligatures w14:val="standardContextual"/>
            </w:rPr>
          </w:pPr>
          <w:hyperlink w:anchor="_Toc222843161" w:history="1">
            <w:r w:rsidRPr="00F64D32">
              <w:rPr>
                <w:rStyle w:val="Hyperlink"/>
                <w:noProof/>
                <w:lang w:val="es-ES"/>
              </w:rPr>
              <w:t>7.2</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Software y herramientas espaciales</w:t>
            </w:r>
            <w:r>
              <w:rPr>
                <w:noProof/>
                <w:webHidden/>
              </w:rPr>
              <w:tab/>
            </w:r>
            <w:r>
              <w:rPr>
                <w:noProof/>
                <w:webHidden/>
              </w:rPr>
              <w:tab/>
            </w:r>
            <w:r>
              <w:rPr>
                <w:noProof/>
                <w:webHidden/>
              </w:rPr>
              <w:fldChar w:fldCharType="begin"/>
            </w:r>
            <w:r>
              <w:rPr>
                <w:noProof/>
                <w:webHidden/>
              </w:rPr>
              <w:instrText xml:space="preserve"> PAGEREF _Toc222843161 \h </w:instrText>
            </w:r>
            <w:r>
              <w:rPr>
                <w:noProof/>
                <w:webHidden/>
              </w:rPr>
            </w:r>
            <w:r>
              <w:rPr>
                <w:noProof/>
                <w:webHidden/>
              </w:rPr>
              <w:fldChar w:fldCharType="separate"/>
            </w:r>
            <w:r>
              <w:rPr>
                <w:noProof/>
                <w:webHidden/>
              </w:rPr>
              <w:t>13</w:t>
            </w:r>
            <w:r>
              <w:rPr>
                <w:noProof/>
                <w:webHidden/>
              </w:rPr>
              <w:fldChar w:fldCharType="end"/>
            </w:r>
          </w:hyperlink>
        </w:p>
        <w:p w14:paraId="74D36F51" w14:textId="40A57881" w:rsidR="0076159D" w:rsidRDefault="0076159D">
          <w:pPr>
            <w:pStyle w:val="TOC3"/>
            <w:rPr>
              <w:rFonts w:asciiTheme="minorHAnsi" w:eastAsiaTheme="minorEastAsia" w:hAnsiTheme="minorHAnsi" w:cstheme="minorBidi"/>
              <w:noProof/>
              <w:kern w:val="2"/>
              <w:szCs w:val="24"/>
              <w:lang w:val="en-GB" w:eastAsia="en-GB"/>
              <w14:ligatures w14:val="standardContextual"/>
            </w:rPr>
          </w:pPr>
          <w:hyperlink w:anchor="_Toc222843162" w:history="1">
            <w:r w:rsidRPr="00F64D32">
              <w:rPr>
                <w:rStyle w:val="Hyperlink"/>
                <w:rFonts w:eastAsia="Verdana"/>
                <w:noProof/>
                <w:lang w:val="es-ES"/>
              </w:rPr>
              <w:t>7.2.1</w:t>
            </w:r>
            <w:r>
              <w:rPr>
                <w:rFonts w:asciiTheme="minorHAnsi" w:eastAsiaTheme="minorEastAsia" w:hAnsiTheme="minorHAnsi" w:cstheme="minorBidi"/>
                <w:noProof/>
                <w:kern w:val="2"/>
                <w:szCs w:val="24"/>
                <w:lang w:val="en-GB" w:eastAsia="en-GB"/>
                <w14:ligatures w14:val="standardContextual"/>
              </w:rPr>
              <w:tab/>
            </w:r>
            <w:r w:rsidRPr="00F64D32">
              <w:rPr>
                <w:rStyle w:val="Hyperlink"/>
                <w:rFonts w:eastAsia="Verdana"/>
                <w:noProof/>
                <w:lang w:val="es-ES"/>
              </w:rPr>
              <w:t>Aplicación de las decisiones de la CMR-23 relativas a los servicios espaciales</w:t>
            </w:r>
            <w:r>
              <w:rPr>
                <w:noProof/>
                <w:webHidden/>
              </w:rPr>
              <w:tab/>
            </w:r>
            <w:r>
              <w:rPr>
                <w:noProof/>
                <w:webHidden/>
              </w:rPr>
              <w:fldChar w:fldCharType="begin"/>
            </w:r>
            <w:r>
              <w:rPr>
                <w:noProof/>
                <w:webHidden/>
              </w:rPr>
              <w:instrText xml:space="preserve"> PAGEREF _Toc222843162 \h </w:instrText>
            </w:r>
            <w:r>
              <w:rPr>
                <w:noProof/>
                <w:webHidden/>
              </w:rPr>
            </w:r>
            <w:r>
              <w:rPr>
                <w:noProof/>
                <w:webHidden/>
              </w:rPr>
              <w:fldChar w:fldCharType="separate"/>
            </w:r>
            <w:r>
              <w:rPr>
                <w:noProof/>
                <w:webHidden/>
              </w:rPr>
              <w:t>13</w:t>
            </w:r>
            <w:r>
              <w:rPr>
                <w:noProof/>
                <w:webHidden/>
              </w:rPr>
              <w:fldChar w:fldCharType="end"/>
            </w:r>
          </w:hyperlink>
        </w:p>
        <w:p w14:paraId="6E6263D2" w14:textId="6AE29700" w:rsidR="0076159D" w:rsidRDefault="0076159D">
          <w:pPr>
            <w:pStyle w:val="TOC3"/>
            <w:rPr>
              <w:rFonts w:asciiTheme="minorHAnsi" w:eastAsiaTheme="minorEastAsia" w:hAnsiTheme="minorHAnsi" w:cstheme="minorBidi"/>
              <w:noProof/>
              <w:kern w:val="2"/>
              <w:szCs w:val="24"/>
              <w:lang w:val="en-GB" w:eastAsia="en-GB"/>
              <w14:ligatures w14:val="standardContextual"/>
            </w:rPr>
          </w:pPr>
          <w:hyperlink w:anchor="_Toc222843163" w:history="1">
            <w:r w:rsidRPr="00F64D32">
              <w:rPr>
                <w:rStyle w:val="Hyperlink"/>
                <w:noProof/>
                <w:lang w:val="es-ES"/>
              </w:rPr>
              <w:t>7.2.2</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Avances en el cumplimiento de la hoja de ruta de los sistemas de información espacial de la BR (GAR-19, 2012)</w:t>
            </w:r>
            <w:r>
              <w:rPr>
                <w:noProof/>
                <w:webHidden/>
              </w:rPr>
              <w:tab/>
            </w:r>
            <w:r>
              <w:rPr>
                <w:noProof/>
                <w:webHidden/>
              </w:rPr>
              <w:tab/>
            </w:r>
            <w:r>
              <w:rPr>
                <w:noProof/>
                <w:webHidden/>
              </w:rPr>
              <w:fldChar w:fldCharType="begin"/>
            </w:r>
            <w:r>
              <w:rPr>
                <w:noProof/>
                <w:webHidden/>
              </w:rPr>
              <w:instrText xml:space="preserve"> PAGEREF _Toc222843163 \h </w:instrText>
            </w:r>
            <w:r>
              <w:rPr>
                <w:noProof/>
                <w:webHidden/>
              </w:rPr>
            </w:r>
            <w:r>
              <w:rPr>
                <w:noProof/>
                <w:webHidden/>
              </w:rPr>
              <w:fldChar w:fldCharType="separate"/>
            </w:r>
            <w:r>
              <w:rPr>
                <w:noProof/>
                <w:webHidden/>
              </w:rPr>
              <w:t>14</w:t>
            </w:r>
            <w:r>
              <w:rPr>
                <w:noProof/>
                <w:webHidden/>
              </w:rPr>
              <w:fldChar w:fldCharType="end"/>
            </w:r>
          </w:hyperlink>
        </w:p>
        <w:p w14:paraId="4F9C509F" w14:textId="11C7C062" w:rsidR="0076159D" w:rsidRDefault="0076159D">
          <w:pPr>
            <w:pStyle w:val="TOC3"/>
            <w:rPr>
              <w:rFonts w:asciiTheme="minorHAnsi" w:eastAsiaTheme="minorEastAsia" w:hAnsiTheme="minorHAnsi" w:cstheme="minorBidi"/>
              <w:noProof/>
              <w:kern w:val="2"/>
              <w:szCs w:val="24"/>
              <w:lang w:val="en-GB" w:eastAsia="en-GB"/>
              <w14:ligatures w14:val="standardContextual"/>
            </w:rPr>
          </w:pPr>
          <w:hyperlink w:anchor="_Toc222843164" w:history="1">
            <w:r w:rsidRPr="00F64D32">
              <w:rPr>
                <w:rStyle w:val="Hyperlink"/>
                <w:noProof/>
                <w:lang w:val="es-ES"/>
              </w:rPr>
              <w:t>7.2.3</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Avances en la consecución de los objetivos de la Fase 2 de la hoja de ruta</w:t>
            </w:r>
            <w:r>
              <w:rPr>
                <w:noProof/>
                <w:webHidden/>
              </w:rPr>
              <w:tab/>
            </w:r>
            <w:r>
              <w:rPr>
                <w:noProof/>
                <w:webHidden/>
              </w:rPr>
              <w:tab/>
            </w:r>
            <w:r>
              <w:rPr>
                <w:noProof/>
                <w:webHidden/>
              </w:rPr>
              <w:fldChar w:fldCharType="begin"/>
            </w:r>
            <w:r>
              <w:rPr>
                <w:noProof/>
                <w:webHidden/>
              </w:rPr>
              <w:instrText xml:space="preserve"> PAGEREF _Toc222843164 \h </w:instrText>
            </w:r>
            <w:r>
              <w:rPr>
                <w:noProof/>
                <w:webHidden/>
              </w:rPr>
            </w:r>
            <w:r>
              <w:rPr>
                <w:noProof/>
                <w:webHidden/>
              </w:rPr>
              <w:fldChar w:fldCharType="separate"/>
            </w:r>
            <w:r>
              <w:rPr>
                <w:noProof/>
                <w:webHidden/>
              </w:rPr>
              <w:t>14</w:t>
            </w:r>
            <w:r>
              <w:rPr>
                <w:noProof/>
                <w:webHidden/>
              </w:rPr>
              <w:fldChar w:fldCharType="end"/>
            </w:r>
          </w:hyperlink>
        </w:p>
        <w:p w14:paraId="3ACDBBCE" w14:textId="372C19F0" w:rsidR="0076159D" w:rsidRDefault="0076159D">
          <w:pPr>
            <w:pStyle w:val="TOC3"/>
            <w:rPr>
              <w:rFonts w:asciiTheme="minorHAnsi" w:eastAsiaTheme="minorEastAsia" w:hAnsiTheme="minorHAnsi" w:cstheme="minorBidi"/>
              <w:noProof/>
              <w:kern w:val="2"/>
              <w:szCs w:val="24"/>
              <w:lang w:val="en-GB" w:eastAsia="en-GB"/>
              <w14:ligatures w14:val="standardContextual"/>
            </w:rPr>
          </w:pPr>
          <w:hyperlink w:anchor="_Toc222843165" w:history="1">
            <w:r w:rsidRPr="00F64D32">
              <w:rPr>
                <w:rStyle w:val="Hyperlink"/>
                <w:noProof/>
                <w:lang w:val="es-ES"/>
              </w:rPr>
              <w:t>7.2.4</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Avances en la consecución de los objetivos de la Fase 3 de la hoja de ruta</w:t>
            </w:r>
            <w:r>
              <w:rPr>
                <w:noProof/>
                <w:webHidden/>
              </w:rPr>
              <w:tab/>
            </w:r>
            <w:r>
              <w:rPr>
                <w:noProof/>
                <w:webHidden/>
              </w:rPr>
              <w:tab/>
            </w:r>
            <w:r>
              <w:rPr>
                <w:noProof/>
                <w:webHidden/>
              </w:rPr>
              <w:fldChar w:fldCharType="begin"/>
            </w:r>
            <w:r>
              <w:rPr>
                <w:noProof/>
                <w:webHidden/>
              </w:rPr>
              <w:instrText xml:space="preserve"> PAGEREF _Toc222843165 \h </w:instrText>
            </w:r>
            <w:r>
              <w:rPr>
                <w:noProof/>
                <w:webHidden/>
              </w:rPr>
            </w:r>
            <w:r>
              <w:rPr>
                <w:noProof/>
                <w:webHidden/>
              </w:rPr>
              <w:fldChar w:fldCharType="separate"/>
            </w:r>
            <w:r>
              <w:rPr>
                <w:noProof/>
                <w:webHidden/>
              </w:rPr>
              <w:t>15</w:t>
            </w:r>
            <w:r>
              <w:rPr>
                <w:noProof/>
                <w:webHidden/>
              </w:rPr>
              <w:fldChar w:fldCharType="end"/>
            </w:r>
          </w:hyperlink>
        </w:p>
        <w:p w14:paraId="01AA91BA" w14:textId="31EBD7B7" w:rsidR="0076159D" w:rsidRDefault="0076159D">
          <w:pPr>
            <w:pStyle w:val="TOC3"/>
            <w:rPr>
              <w:rFonts w:asciiTheme="minorHAnsi" w:eastAsiaTheme="minorEastAsia" w:hAnsiTheme="minorHAnsi" w:cstheme="minorBidi"/>
              <w:noProof/>
              <w:kern w:val="2"/>
              <w:szCs w:val="24"/>
              <w:lang w:val="en-GB" w:eastAsia="en-GB"/>
              <w14:ligatures w14:val="standardContextual"/>
            </w:rPr>
          </w:pPr>
          <w:hyperlink w:anchor="_Toc222843166" w:history="1">
            <w:r w:rsidRPr="00F64D32">
              <w:rPr>
                <w:rStyle w:val="Hyperlink"/>
                <w:noProof/>
                <w:lang w:val="es-ES"/>
              </w:rPr>
              <w:t>7.2.5</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Actividades relacionadas con los servicios espaciales</w:t>
            </w:r>
            <w:r>
              <w:rPr>
                <w:noProof/>
                <w:webHidden/>
              </w:rPr>
              <w:tab/>
            </w:r>
            <w:r>
              <w:rPr>
                <w:noProof/>
                <w:webHidden/>
              </w:rPr>
              <w:tab/>
            </w:r>
            <w:r>
              <w:rPr>
                <w:noProof/>
                <w:webHidden/>
              </w:rPr>
              <w:fldChar w:fldCharType="begin"/>
            </w:r>
            <w:r>
              <w:rPr>
                <w:noProof/>
                <w:webHidden/>
              </w:rPr>
              <w:instrText xml:space="preserve"> PAGEREF _Toc222843166 \h </w:instrText>
            </w:r>
            <w:r>
              <w:rPr>
                <w:noProof/>
                <w:webHidden/>
              </w:rPr>
            </w:r>
            <w:r>
              <w:rPr>
                <w:noProof/>
                <w:webHidden/>
              </w:rPr>
              <w:fldChar w:fldCharType="separate"/>
            </w:r>
            <w:r>
              <w:rPr>
                <w:noProof/>
                <w:webHidden/>
              </w:rPr>
              <w:t>15</w:t>
            </w:r>
            <w:r>
              <w:rPr>
                <w:noProof/>
                <w:webHidden/>
              </w:rPr>
              <w:fldChar w:fldCharType="end"/>
            </w:r>
          </w:hyperlink>
        </w:p>
        <w:p w14:paraId="07A52F6A" w14:textId="3100F2F2" w:rsidR="0076159D" w:rsidRDefault="0076159D">
          <w:pPr>
            <w:pStyle w:val="TOC3"/>
            <w:rPr>
              <w:rFonts w:asciiTheme="minorHAnsi" w:eastAsiaTheme="minorEastAsia" w:hAnsiTheme="minorHAnsi" w:cstheme="minorBidi"/>
              <w:noProof/>
              <w:kern w:val="2"/>
              <w:szCs w:val="24"/>
              <w:lang w:val="en-GB" w:eastAsia="en-GB"/>
              <w14:ligatures w14:val="standardContextual"/>
            </w:rPr>
          </w:pPr>
          <w:hyperlink w:anchor="_Toc222843167" w:history="1">
            <w:r w:rsidRPr="00F64D32">
              <w:rPr>
                <w:rStyle w:val="Hyperlink"/>
                <w:noProof/>
                <w:lang w:val="es-ES"/>
              </w:rPr>
              <w:t>7.2.6</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Aplicación de la Resolución 55 (Rev.CMR-23), Presentación electrónica de formularios de notificación para redes de satélites, estaciones terrenas, estaciones de radioastronomía e informes de interferencia perjudicial causada a servicios espaciales, y comunicaciones correspondientes</w:t>
            </w:r>
            <w:r>
              <w:rPr>
                <w:noProof/>
                <w:webHidden/>
              </w:rPr>
              <w:tab/>
            </w:r>
            <w:r>
              <w:rPr>
                <w:noProof/>
                <w:webHidden/>
              </w:rPr>
              <w:tab/>
            </w:r>
            <w:r>
              <w:rPr>
                <w:noProof/>
                <w:webHidden/>
              </w:rPr>
              <w:fldChar w:fldCharType="begin"/>
            </w:r>
            <w:r>
              <w:rPr>
                <w:noProof/>
                <w:webHidden/>
              </w:rPr>
              <w:instrText xml:space="preserve"> PAGEREF _Toc222843167 \h </w:instrText>
            </w:r>
            <w:r>
              <w:rPr>
                <w:noProof/>
                <w:webHidden/>
              </w:rPr>
            </w:r>
            <w:r>
              <w:rPr>
                <w:noProof/>
                <w:webHidden/>
              </w:rPr>
              <w:fldChar w:fldCharType="separate"/>
            </w:r>
            <w:r>
              <w:rPr>
                <w:noProof/>
                <w:webHidden/>
              </w:rPr>
              <w:t>15</w:t>
            </w:r>
            <w:r>
              <w:rPr>
                <w:noProof/>
                <w:webHidden/>
              </w:rPr>
              <w:fldChar w:fldCharType="end"/>
            </w:r>
          </w:hyperlink>
        </w:p>
        <w:p w14:paraId="6718BABE" w14:textId="0C74EAD6" w:rsidR="0076159D" w:rsidRDefault="0076159D">
          <w:pPr>
            <w:pStyle w:val="TOC2"/>
            <w:rPr>
              <w:rFonts w:asciiTheme="minorHAnsi" w:eastAsiaTheme="minorEastAsia" w:hAnsiTheme="minorHAnsi" w:cstheme="minorBidi"/>
              <w:noProof/>
              <w:kern w:val="2"/>
              <w:szCs w:val="24"/>
              <w:lang w:val="en-GB" w:eastAsia="en-GB"/>
              <w14:ligatures w14:val="standardContextual"/>
            </w:rPr>
          </w:pPr>
          <w:hyperlink w:anchor="_Toc222843168" w:history="1">
            <w:r w:rsidRPr="00F64D32">
              <w:rPr>
                <w:rStyle w:val="Hyperlink"/>
                <w:noProof/>
                <w:lang w:val="es-ES"/>
              </w:rPr>
              <w:t>7.3</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Otras herramientas y software de la BR</w:t>
            </w:r>
            <w:r>
              <w:rPr>
                <w:noProof/>
                <w:webHidden/>
              </w:rPr>
              <w:tab/>
            </w:r>
            <w:r>
              <w:rPr>
                <w:noProof/>
                <w:webHidden/>
              </w:rPr>
              <w:tab/>
            </w:r>
            <w:r>
              <w:rPr>
                <w:noProof/>
                <w:webHidden/>
              </w:rPr>
              <w:fldChar w:fldCharType="begin"/>
            </w:r>
            <w:r>
              <w:rPr>
                <w:noProof/>
                <w:webHidden/>
              </w:rPr>
              <w:instrText xml:space="preserve"> PAGEREF _Toc222843168 \h </w:instrText>
            </w:r>
            <w:r>
              <w:rPr>
                <w:noProof/>
                <w:webHidden/>
              </w:rPr>
            </w:r>
            <w:r>
              <w:rPr>
                <w:noProof/>
                <w:webHidden/>
              </w:rPr>
              <w:fldChar w:fldCharType="separate"/>
            </w:r>
            <w:r>
              <w:rPr>
                <w:noProof/>
                <w:webHidden/>
              </w:rPr>
              <w:t>16</w:t>
            </w:r>
            <w:r>
              <w:rPr>
                <w:noProof/>
                <w:webHidden/>
              </w:rPr>
              <w:fldChar w:fldCharType="end"/>
            </w:r>
          </w:hyperlink>
        </w:p>
        <w:p w14:paraId="3AC0F590" w14:textId="7C61C634" w:rsidR="0076159D" w:rsidRDefault="0076159D">
          <w:pPr>
            <w:pStyle w:val="TOC3"/>
            <w:rPr>
              <w:rFonts w:asciiTheme="minorHAnsi" w:eastAsiaTheme="minorEastAsia" w:hAnsiTheme="minorHAnsi" w:cstheme="minorBidi"/>
              <w:noProof/>
              <w:kern w:val="2"/>
              <w:szCs w:val="24"/>
              <w:lang w:val="en-GB" w:eastAsia="en-GB"/>
              <w14:ligatures w14:val="standardContextual"/>
            </w:rPr>
          </w:pPr>
          <w:hyperlink w:anchor="_Toc222843169" w:history="1">
            <w:r w:rsidRPr="00F64D32">
              <w:rPr>
                <w:rStyle w:val="Hyperlink"/>
                <w:noProof/>
                <w:lang w:val="es-ES"/>
              </w:rPr>
              <w:t>7.3.1</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Herramientas relativas al Reglamento de Radiocomunicaciones</w:t>
            </w:r>
            <w:r>
              <w:rPr>
                <w:noProof/>
                <w:webHidden/>
              </w:rPr>
              <w:tab/>
            </w:r>
            <w:r>
              <w:rPr>
                <w:noProof/>
                <w:webHidden/>
              </w:rPr>
              <w:tab/>
            </w:r>
            <w:r>
              <w:rPr>
                <w:noProof/>
                <w:webHidden/>
              </w:rPr>
              <w:fldChar w:fldCharType="begin"/>
            </w:r>
            <w:r>
              <w:rPr>
                <w:noProof/>
                <w:webHidden/>
              </w:rPr>
              <w:instrText xml:space="preserve"> PAGEREF _Toc222843169 \h </w:instrText>
            </w:r>
            <w:r>
              <w:rPr>
                <w:noProof/>
                <w:webHidden/>
              </w:rPr>
            </w:r>
            <w:r>
              <w:rPr>
                <w:noProof/>
                <w:webHidden/>
              </w:rPr>
              <w:fldChar w:fldCharType="separate"/>
            </w:r>
            <w:r>
              <w:rPr>
                <w:noProof/>
                <w:webHidden/>
              </w:rPr>
              <w:t>16</w:t>
            </w:r>
            <w:r>
              <w:rPr>
                <w:noProof/>
                <w:webHidden/>
              </w:rPr>
              <w:fldChar w:fldCharType="end"/>
            </w:r>
          </w:hyperlink>
        </w:p>
        <w:p w14:paraId="17996B1C" w14:textId="4DFDB2C3" w:rsidR="0076159D" w:rsidRDefault="0076159D">
          <w:pPr>
            <w:pStyle w:val="TOC3"/>
            <w:rPr>
              <w:rFonts w:asciiTheme="minorHAnsi" w:eastAsiaTheme="minorEastAsia" w:hAnsiTheme="minorHAnsi" w:cstheme="minorBidi"/>
              <w:noProof/>
              <w:kern w:val="2"/>
              <w:szCs w:val="24"/>
              <w:lang w:val="en-GB" w:eastAsia="en-GB"/>
              <w14:ligatures w14:val="standardContextual"/>
            </w:rPr>
          </w:pPr>
          <w:hyperlink w:anchor="_Toc222843170" w:history="1">
            <w:r w:rsidRPr="00F64D32">
              <w:rPr>
                <w:rStyle w:val="Hyperlink"/>
                <w:noProof/>
                <w:lang w:val="es-ES"/>
              </w:rPr>
              <w:t>7.3.2</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 xml:space="preserve">Sistema de información geográfica de la </w:t>
            </w:r>
            <w:r w:rsidRPr="00F64D32">
              <w:rPr>
                <w:rStyle w:val="Hyperlink"/>
                <w:noProof/>
                <w:lang w:val="es-ES" w:eastAsia="zh-CN"/>
              </w:rPr>
              <w:t>BR</w:t>
            </w:r>
            <w:r w:rsidRPr="00F64D32">
              <w:rPr>
                <w:rStyle w:val="Hyperlink"/>
                <w:noProof/>
                <w:shd w:val="clear" w:color="auto" w:fill="FFFFFF"/>
                <w:lang w:val="es-ES"/>
              </w:rPr>
              <w:t xml:space="preserve"> (GIS)</w:t>
            </w:r>
            <w:r>
              <w:rPr>
                <w:noProof/>
                <w:webHidden/>
              </w:rPr>
              <w:tab/>
            </w:r>
            <w:r>
              <w:rPr>
                <w:noProof/>
                <w:webHidden/>
              </w:rPr>
              <w:tab/>
            </w:r>
            <w:r>
              <w:rPr>
                <w:noProof/>
                <w:webHidden/>
              </w:rPr>
              <w:fldChar w:fldCharType="begin"/>
            </w:r>
            <w:r>
              <w:rPr>
                <w:noProof/>
                <w:webHidden/>
              </w:rPr>
              <w:instrText xml:space="preserve"> PAGEREF _Toc222843170 \h </w:instrText>
            </w:r>
            <w:r>
              <w:rPr>
                <w:noProof/>
                <w:webHidden/>
              </w:rPr>
            </w:r>
            <w:r>
              <w:rPr>
                <w:noProof/>
                <w:webHidden/>
              </w:rPr>
              <w:fldChar w:fldCharType="separate"/>
            </w:r>
            <w:r>
              <w:rPr>
                <w:noProof/>
                <w:webHidden/>
              </w:rPr>
              <w:t>17</w:t>
            </w:r>
            <w:r>
              <w:rPr>
                <w:noProof/>
                <w:webHidden/>
              </w:rPr>
              <w:fldChar w:fldCharType="end"/>
            </w:r>
          </w:hyperlink>
        </w:p>
        <w:p w14:paraId="73AEC3D2" w14:textId="18BFBA6F" w:rsidR="0076159D" w:rsidRDefault="0076159D">
          <w:pPr>
            <w:pStyle w:val="TOC3"/>
            <w:rPr>
              <w:rFonts w:asciiTheme="minorHAnsi" w:eastAsiaTheme="minorEastAsia" w:hAnsiTheme="minorHAnsi" w:cstheme="minorBidi"/>
              <w:noProof/>
              <w:kern w:val="2"/>
              <w:szCs w:val="24"/>
              <w:lang w:val="en-GB" w:eastAsia="en-GB"/>
              <w14:ligatures w14:val="standardContextual"/>
            </w:rPr>
          </w:pPr>
          <w:hyperlink w:anchor="_Toc222843171" w:history="1">
            <w:r w:rsidRPr="00F64D32">
              <w:rPr>
                <w:rStyle w:val="Hyperlink"/>
                <w:noProof/>
                <w:lang w:val="es-ES"/>
              </w:rPr>
              <w:t>7.3.3</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Actividades de la BR sobre inteligencia artificial geoespacial (GeoAI)</w:t>
            </w:r>
            <w:r>
              <w:rPr>
                <w:noProof/>
                <w:webHidden/>
              </w:rPr>
              <w:tab/>
            </w:r>
            <w:r>
              <w:rPr>
                <w:noProof/>
                <w:webHidden/>
              </w:rPr>
              <w:tab/>
            </w:r>
            <w:r>
              <w:rPr>
                <w:noProof/>
                <w:webHidden/>
              </w:rPr>
              <w:fldChar w:fldCharType="begin"/>
            </w:r>
            <w:r>
              <w:rPr>
                <w:noProof/>
                <w:webHidden/>
              </w:rPr>
              <w:instrText xml:space="preserve"> PAGEREF _Toc222843171 \h </w:instrText>
            </w:r>
            <w:r>
              <w:rPr>
                <w:noProof/>
                <w:webHidden/>
              </w:rPr>
            </w:r>
            <w:r>
              <w:rPr>
                <w:noProof/>
                <w:webHidden/>
              </w:rPr>
              <w:fldChar w:fldCharType="separate"/>
            </w:r>
            <w:r>
              <w:rPr>
                <w:noProof/>
                <w:webHidden/>
              </w:rPr>
              <w:t>17</w:t>
            </w:r>
            <w:r>
              <w:rPr>
                <w:noProof/>
                <w:webHidden/>
              </w:rPr>
              <w:fldChar w:fldCharType="end"/>
            </w:r>
          </w:hyperlink>
        </w:p>
        <w:p w14:paraId="129B4767" w14:textId="0E5FF4C4" w:rsidR="0076159D" w:rsidRDefault="0076159D">
          <w:pPr>
            <w:pStyle w:val="TOC2"/>
            <w:rPr>
              <w:rFonts w:asciiTheme="minorHAnsi" w:eastAsiaTheme="minorEastAsia" w:hAnsiTheme="minorHAnsi" w:cstheme="minorBidi"/>
              <w:noProof/>
              <w:kern w:val="2"/>
              <w:szCs w:val="24"/>
              <w:lang w:val="en-GB" w:eastAsia="en-GB"/>
              <w14:ligatures w14:val="standardContextual"/>
            </w:rPr>
          </w:pPr>
          <w:hyperlink w:anchor="_Toc222843172" w:history="1">
            <w:r w:rsidRPr="00F64D32">
              <w:rPr>
                <w:rStyle w:val="Hyperlink"/>
                <w:noProof/>
                <w:lang w:val="es-ES"/>
              </w:rPr>
              <w:t>7.4</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Continuidad de las actividades y recuperación en caso de catástrofe</w:t>
            </w:r>
            <w:r>
              <w:rPr>
                <w:noProof/>
                <w:webHidden/>
              </w:rPr>
              <w:tab/>
            </w:r>
            <w:r>
              <w:rPr>
                <w:noProof/>
                <w:webHidden/>
              </w:rPr>
              <w:tab/>
            </w:r>
            <w:r>
              <w:rPr>
                <w:noProof/>
                <w:webHidden/>
              </w:rPr>
              <w:fldChar w:fldCharType="begin"/>
            </w:r>
            <w:r>
              <w:rPr>
                <w:noProof/>
                <w:webHidden/>
              </w:rPr>
              <w:instrText xml:space="preserve"> PAGEREF _Toc222843172 \h </w:instrText>
            </w:r>
            <w:r>
              <w:rPr>
                <w:noProof/>
                <w:webHidden/>
              </w:rPr>
            </w:r>
            <w:r>
              <w:rPr>
                <w:noProof/>
                <w:webHidden/>
              </w:rPr>
              <w:fldChar w:fldCharType="separate"/>
            </w:r>
            <w:r>
              <w:rPr>
                <w:noProof/>
                <w:webHidden/>
              </w:rPr>
              <w:t>17</w:t>
            </w:r>
            <w:r>
              <w:rPr>
                <w:noProof/>
                <w:webHidden/>
              </w:rPr>
              <w:fldChar w:fldCharType="end"/>
            </w:r>
          </w:hyperlink>
        </w:p>
        <w:p w14:paraId="6A0EF47C" w14:textId="123DBEC6" w:rsidR="0076159D" w:rsidRDefault="0076159D">
          <w:pPr>
            <w:pStyle w:val="TOC2"/>
            <w:rPr>
              <w:rFonts w:asciiTheme="minorHAnsi" w:eastAsiaTheme="minorEastAsia" w:hAnsiTheme="minorHAnsi" w:cstheme="minorBidi"/>
              <w:noProof/>
              <w:kern w:val="2"/>
              <w:szCs w:val="24"/>
              <w:lang w:val="en-GB" w:eastAsia="en-GB"/>
              <w14:ligatures w14:val="standardContextual"/>
            </w:rPr>
          </w:pPr>
          <w:hyperlink w:anchor="_Toc222843173" w:history="1">
            <w:r w:rsidRPr="00F64D32">
              <w:rPr>
                <w:rStyle w:val="Hyperlink"/>
                <w:noProof/>
                <w:lang w:val="es-ES"/>
              </w:rPr>
              <w:t>7.5</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Computación en la nube</w:t>
            </w:r>
            <w:r>
              <w:rPr>
                <w:noProof/>
                <w:webHidden/>
              </w:rPr>
              <w:tab/>
            </w:r>
            <w:r>
              <w:rPr>
                <w:noProof/>
                <w:webHidden/>
              </w:rPr>
              <w:tab/>
            </w:r>
            <w:r>
              <w:rPr>
                <w:noProof/>
                <w:webHidden/>
              </w:rPr>
              <w:fldChar w:fldCharType="begin"/>
            </w:r>
            <w:r>
              <w:rPr>
                <w:noProof/>
                <w:webHidden/>
              </w:rPr>
              <w:instrText xml:space="preserve"> PAGEREF _Toc222843173 \h </w:instrText>
            </w:r>
            <w:r>
              <w:rPr>
                <w:noProof/>
                <w:webHidden/>
              </w:rPr>
            </w:r>
            <w:r>
              <w:rPr>
                <w:noProof/>
                <w:webHidden/>
              </w:rPr>
              <w:fldChar w:fldCharType="separate"/>
            </w:r>
            <w:r>
              <w:rPr>
                <w:noProof/>
                <w:webHidden/>
              </w:rPr>
              <w:t>18</w:t>
            </w:r>
            <w:r>
              <w:rPr>
                <w:noProof/>
                <w:webHidden/>
              </w:rPr>
              <w:fldChar w:fldCharType="end"/>
            </w:r>
          </w:hyperlink>
        </w:p>
        <w:p w14:paraId="5AC6307B" w14:textId="65CC74EA" w:rsidR="0076159D" w:rsidRDefault="0076159D">
          <w:pPr>
            <w:pStyle w:val="TOC1"/>
            <w:rPr>
              <w:rFonts w:asciiTheme="minorHAnsi" w:eastAsiaTheme="minorEastAsia" w:hAnsiTheme="minorHAnsi" w:cstheme="minorBidi"/>
              <w:noProof/>
              <w:kern w:val="2"/>
              <w:szCs w:val="24"/>
              <w:lang w:val="en-GB" w:eastAsia="en-GB"/>
              <w14:ligatures w14:val="standardContextual"/>
            </w:rPr>
          </w:pPr>
          <w:hyperlink w:anchor="_Toc222843174" w:history="1">
            <w:r w:rsidRPr="00F64D32">
              <w:rPr>
                <w:rStyle w:val="Hyperlink"/>
                <w:noProof/>
                <w:lang w:val="es-ES"/>
              </w:rPr>
              <w:t>8</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Divulgación</w:t>
            </w:r>
            <w:r>
              <w:rPr>
                <w:noProof/>
                <w:webHidden/>
              </w:rPr>
              <w:tab/>
            </w:r>
            <w:r>
              <w:rPr>
                <w:noProof/>
                <w:webHidden/>
              </w:rPr>
              <w:tab/>
            </w:r>
            <w:r>
              <w:rPr>
                <w:noProof/>
                <w:webHidden/>
              </w:rPr>
              <w:fldChar w:fldCharType="begin"/>
            </w:r>
            <w:r>
              <w:rPr>
                <w:noProof/>
                <w:webHidden/>
              </w:rPr>
              <w:instrText xml:space="preserve"> PAGEREF _Toc222843174 \h </w:instrText>
            </w:r>
            <w:r>
              <w:rPr>
                <w:noProof/>
                <w:webHidden/>
              </w:rPr>
            </w:r>
            <w:r>
              <w:rPr>
                <w:noProof/>
                <w:webHidden/>
              </w:rPr>
              <w:fldChar w:fldCharType="separate"/>
            </w:r>
            <w:r>
              <w:rPr>
                <w:noProof/>
                <w:webHidden/>
              </w:rPr>
              <w:t>18</w:t>
            </w:r>
            <w:r>
              <w:rPr>
                <w:noProof/>
                <w:webHidden/>
              </w:rPr>
              <w:fldChar w:fldCharType="end"/>
            </w:r>
          </w:hyperlink>
        </w:p>
        <w:p w14:paraId="003ECD0F" w14:textId="6FAE1DAE" w:rsidR="0076159D" w:rsidRDefault="0076159D">
          <w:pPr>
            <w:pStyle w:val="TOC2"/>
            <w:rPr>
              <w:rFonts w:asciiTheme="minorHAnsi" w:eastAsiaTheme="minorEastAsia" w:hAnsiTheme="minorHAnsi" w:cstheme="minorBidi"/>
              <w:noProof/>
              <w:kern w:val="2"/>
              <w:szCs w:val="24"/>
              <w:lang w:val="en-GB" w:eastAsia="en-GB"/>
              <w14:ligatures w14:val="standardContextual"/>
            </w:rPr>
          </w:pPr>
          <w:hyperlink w:anchor="_Toc222843175" w:history="1">
            <w:r w:rsidRPr="00F64D32">
              <w:rPr>
                <w:rStyle w:val="Hyperlink"/>
                <w:noProof/>
                <w:lang w:val="es-ES"/>
              </w:rPr>
              <w:t>8.1</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Publicaciones</w:t>
            </w:r>
            <w:r>
              <w:rPr>
                <w:noProof/>
                <w:webHidden/>
              </w:rPr>
              <w:tab/>
            </w:r>
            <w:r>
              <w:rPr>
                <w:noProof/>
                <w:webHidden/>
              </w:rPr>
              <w:tab/>
            </w:r>
            <w:r>
              <w:rPr>
                <w:noProof/>
                <w:webHidden/>
              </w:rPr>
              <w:fldChar w:fldCharType="begin"/>
            </w:r>
            <w:r>
              <w:rPr>
                <w:noProof/>
                <w:webHidden/>
              </w:rPr>
              <w:instrText xml:space="preserve"> PAGEREF _Toc222843175 \h </w:instrText>
            </w:r>
            <w:r>
              <w:rPr>
                <w:noProof/>
                <w:webHidden/>
              </w:rPr>
            </w:r>
            <w:r>
              <w:rPr>
                <w:noProof/>
                <w:webHidden/>
              </w:rPr>
              <w:fldChar w:fldCharType="separate"/>
            </w:r>
            <w:r>
              <w:rPr>
                <w:noProof/>
                <w:webHidden/>
              </w:rPr>
              <w:t>18</w:t>
            </w:r>
            <w:r>
              <w:rPr>
                <w:noProof/>
                <w:webHidden/>
              </w:rPr>
              <w:fldChar w:fldCharType="end"/>
            </w:r>
          </w:hyperlink>
        </w:p>
        <w:p w14:paraId="044D5AEC" w14:textId="05B592E7" w:rsidR="0076159D" w:rsidRDefault="0076159D">
          <w:pPr>
            <w:pStyle w:val="TOC3"/>
            <w:rPr>
              <w:rFonts w:asciiTheme="minorHAnsi" w:eastAsiaTheme="minorEastAsia" w:hAnsiTheme="minorHAnsi" w:cstheme="minorBidi"/>
              <w:noProof/>
              <w:kern w:val="2"/>
              <w:szCs w:val="24"/>
              <w:lang w:val="en-GB" w:eastAsia="en-GB"/>
              <w14:ligatures w14:val="standardContextual"/>
            </w:rPr>
          </w:pPr>
          <w:hyperlink w:anchor="_Toc222843176" w:history="1">
            <w:r w:rsidRPr="00F64D32">
              <w:rPr>
                <w:rStyle w:val="Hyperlink"/>
                <w:noProof/>
                <w:lang w:val="es-ES"/>
              </w:rPr>
              <w:t>8.1.1</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Publicaciones reglamentarias</w:t>
            </w:r>
            <w:r>
              <w:rPr>
                <w:noProof/>
                <w:webHidden/>
              </w:rPr>
              <w:tab/>
            </w:r>
            <w:r>
              <w:rPr>
                <w:noProof/>
                <w:webHidden/>
              </w:rPr>
              <w:tab/>
            </w:r>
            <w:r>
              <w:rPr>
                <w:noProof/>
                <w:webHidden/>
              </w:rPr>
              <w:fldChar w:fldCharType="begin"/>
            </w:r>
            <w:r>
              <w:rPr>
                <w:noProof/>
                <w:webHidden/>
              </w:rPr>
              <w:instrText xml:space="preserve"> PAGEREF _Toc222843176 \h </w:instrText>
            </w:r>
            <w:r>
              <w:rPr>
                <w:noProof/>
                <w:webHidden/>
              </w:rPr>
            </w:r>
            <w:r>
              <w:rPr>
                <w:noProof/>
                <w:webHidden/>
              </w:rPr>
              <w:fldChar w:fldCharType="separate"/>
            </w:r>
            <w:r>
              <w:rPr>
                <w:noProof/>
                <w:webHidden/>
              </w:rPr>
              <w:t>18</w:t>
            </w:r>
            <w:r>
              <w:rPr>
                <w:noProof/>
                <w:webHidden/>
              </w:rPr>
              <w:fldChar w:fldCharType="end"/>
            </w:r>
          </w:hyperlink>
        </w:p>
        <w:p w14:paraId="26A5B221" w14:textId="21D1509B" w:rsidR="0076159D" w:rsidRDefault="0076159D">
          <w:pPr>
            <w:pStyle w:val="TOC3"/>
            <w:rPr>
              <w:rFonts w:asciiTheme="minorHAnsi" w:eastAsiaTheme="minorEastAsia" w:hAnsiTheme="minorHAnsi" w:cstheme="minorBidi"/>
              <w:noProof/>
              <w:kern w:val="2"/>
              <w:szCs w:val="24"/>
              <w:lang w:val="en-GB" w:eastAsia="en-GB"/>
              <w14:ligatures w14:val="standardContextual"/>
            </w:rPr>
          </w:pPr>
          <w:hyperlink w:anchor="_Toc222843177" w:history="1">
            <w:r w:rsidRPr="00F64D32">
              <w:rPr>
                <w:rStyle w:val="Hyperlink"/>
                <w:noProof/>
                <w:lang w:val="es-ES"/>
              </w:rPr>
              <w:t>8.1.2</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Publicaciones de servicio</w:t>
            </w:r>
            <w:r>
              <w:rPr>
                <w:noProof/>
                <w:webHidden/>
              </w:rPr>
              <w:tab/>
            </w:r>
            <w:r>
              <w:rPr>
                <w:noProof/>
                <w:webHidden/>
              </w:rPr>
              <w:tab/>
            </w:r>
            <w:r>
              <w:rPr>
                <w:noProof/>
                <w:webHidden/>
              </w:rPr>
              <w:fldChar w:fldCharType="begin"/>
            </w:r>
            <w:r>
              <w:rPr>
                <w:noProof/>
                <w:webHidden/>
              </w:rPr>
              <w:instrText xml:space="preserve"> PAGEREF _Toc222843177 \h </w:instrText>
            </w:r>
            <w:r>
              <w:rPr>
                <w:noProof/>
                <w:webHidden/>
              </w:rPr>
            </w:r>
            <w:r>
              <w:rPr>
                <w:noProof/>
                <w:webHidden/>
              </w:rPr>
              <w:fldChar w:fldCharType="separate"/>
            </w:r>
            <w:r>
              <w:rPr>
                <w:noProof/>
                <w:webHidden/>
              </w:rPr>
              <w:t>18</w:t>
            </w:r>
            <w:r>
              <w:rPr>
                <w:noProof/>
                <w:webHidden/>
              </w:rPr>
              <w:fldChar w:fldCharType="end"/>
            </w:r>
          </w:hyperlink>
        </w:p>
        <w:p w14:paraId="3DAF6C26" w14:textId="760E15FC" w:rsidR="0076159D" w:rsidRDefault="0076159D">
          <w:pPr>
            <w:pStyle w:val="TOC3"/>
            <w:rPr>
              <w:rFonts w:asciiTheme="minorHAnsi" w:eastAsiaTheme="minorEastAsia" w:hAnsiTheme="minorHAnsi" w:cstheme="minorBidi"/>
              <w:noProof/>
              <w:kern w:val="2"/>
              <w:szCs w:val="24"/>
              <w:lang w:val="en-GB" w:eastAsia="en-GB"/>
              <w14:ligatures w14:val="standardContextual"/>
            </w:rPr>
          </w:pPr>
          <w:hyperlink w:anchor="_Toc222843178" w:history="1">
            <w:r w:rsidRPr="00F64D32">
              <w:rPr>
                <w:rStyle w:val="Hyperlink"/>
                <w:noProof/>
                <w:lang w:val="es-ES"/>
              </w:rPr>
              <w:t>8.1.3</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Publicaciones de las Comisiones de Estudio</w:t>
            </w:r>
            <w:r>
              <w:rPr>
                <w:noProof/>
                <w:webHidden/>
              </w:rPr>
              <w:tab/>
            </w:r>
            <w:r>
              <w:rPr>
                <w:noProof/>
                <w:webHidden/>
              </w:rPr>
              <w:tab/>
            </w:r>
            <w:r>
              <w:rPr>
                <w:noProof/>
                <w:webHidden/>
              </w:rPr>
              <w:fldChar w:fldCharType="begin"/>
            </w:r>
            <w:r>
              <w:rPr>
                <w:noProof/>
                <w:webHidden/>
              </w:rPr>
              <w:instrText xml:space="preserve"> PAGEREF _Toc222843178 \h </w:instrText>
            </w:r>
            <w:r>
              <w:rPr>
                <w:noProof/>
                <w:webHidden/>
              </w:rPr>
            </w:r>
            <w:r>
              <w:rPr>
                <w:noProof/>
                <w:webHidden/>
              </w:rPr>
              <w:fldChar w:fldCharType="separate"/>
            </w:r>
            <w:r>
              <w:rPr>
                <w:noProof/>
                <w:webHidden/>
              </w:rPr>
              <w:t>20</w:t>
            </w:r>
            <w:r>
              <w:rPr>
                <w:noProof/>
                <w:webHidden/>
              </w:rPr>
              <w:fldChar w:fldCharType="end"/>
            </w:r>
          </w:hyperlink>
        </w:p>
        <w:p w14:paraId="0DD4BE65" w14:textId="156E4FEC" w:rsidR="0076159D" w:rsidRDefault="0076159D">
          <w:pPr>
            <w:pStyle w:val="TOC3"/>
            <w:rPr>
              <w:rFonts w:asciiTheme="minorHAnsi" w:eastAsiaTheme="minorEastAsia" w:hAnsiTheme="minorHAnsi" w:cstheme="minorBidi"/>
              <w:noProof/>
              <w:kern w:val="2"/>
              <w:szCs w:val="24"/>
              <w:lang w:val="en-GB" w:eastAsia="en-GB"/>
              <w14:ligatures w14:val="standardContextual"/>
            </w:rPr>
          </w:pPr>
          <w:hyperlink w:anchor="_Toc222843179" w:history="1">
            <w:r w:rsidRPr="00F64D32">
              <w:rPr>
                <w:rStyle w:val="Hyperlink"/>
                <w:noProof/>
                <w:lang w:val="es-ES"/>
              </w:rPr>
              <w:t>8.1.4</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Descargas y envíos de publicaciones del UIT-R</w:t>
            </w:r>
            <w:r>
              <w:rPr>
                <w:noProof/>
                <w:webHidden/>
              </w:rPr>
              <w:tab/>
            </w:r>
            <w:r>
              <w:rPr>
                <w:noProof/>
                <w:webHidden/>
              </w:rPr>
              <w:tab/>
            </w:r>
            <w:r>
              <w:rPr>
                <w:noProof/>
                <w:webHidden/>
              </w:rPr>
              <w:fldChar w:fldCharType="begin"/>
            </w:r>
            <w:r>
              <w:rPr>
                <w:noProof/>
                <w:webHidden/>
              </w:rPr>
              <w:instrText xml:space="preserve"> PAGEREF _Toc222843179 \h </w:instrText>
            </w:r>
            <w:r>
              <w:rPr>
                <w:noProof/>
                <w:webHidden/>
              </w:rPr>
            </w:r>
            <w:r>
              <w:rPr>
                <w:noProof/>
                <w:webHidden/>
              </w:rPr>
              <w:fldChar w:fldCharType="separate"/>
            </w:r>
            <w:r>
              <w:rPr>
                <w:noProof/>
                <w:webHidden/>
              </w:rPr>
              <w:t>20</w:t>
            </w:r>
            <w:r>
              <w:rPr>
                <w:noProof/>
                <w:webHidden/>
              </w:rPr>
              <w:fldChar w:fldCharType="end"/>
            </w:r>
          </w:hyperlink>
        </w:p>
        <w:p w14:paraId="3598D68C" w14:textId="43FCCF73" w:rsidR="0076159D" w:rsidRDefault="0076159D">
          <w:pPr>
            <w:pStyle w:val="TOC2"/>
            <w:rPr>
              <w:rFonts w:asciiTheme="minorHAnsi" w:eastAsiaTheme="minorEastAsia" w:hAnsiTheme="minorHAnsi" w:cstheme="minorBidi"/>
              <w:noProof/>
              <w:kern w:val="2"/>
              <w:szCs w:val="24"/>
              <w:lang w:val="en-GB" w:eastAsia="en-GB"/>
              <w14:ligatures w14:val="standardContextual"/>
            </w:rPr>
          </w:pPr>
          <w:hyperlink w:anchor="_Toc222843180" w:history="1">
            <w:r w:rsidRPr="00F64D32">
              <w:rPr>
                <w:rStyle w:val="Hyperlink"/>
                <w:noProof/>
              </w:rPr>
              <w:t>8.2</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rPr>
              <w:t>Seminarios, talleres y otros eventos</w:t>
            </w:r>
            <w:r>
              <w:rPr>
                <w:noProof/>
                <w:webHidden/>
              </w:rPr>
              <w:tab/>
            </w:r>
            <w:r>
              <w:rPr>
                <w:noProof/>
                <w:webHidden/>
              </w:rPr>
              <w:tab/>
            </w:r>
            <w:r>
              <w:rPr>
                <w:noProof/>
                <w:webHidden/>
              </w:rPr>
              <w:fldChar w:fldCharType="begin"/>
            </w:r>
            <w:r>
              <w:rPr>
                <w:noProof/>
                <w:webHidden/>
              </w:rPr>
              <w:instrText xml:space="preserve"> PAGEREF _Toc222843180 \h </w:instrText>
            </w:r>
            <w:r>
              <w:rPr>
                <w:noProof/>
                <w:webHidden/>
              </w:rPr>
            </w:r>
            <w:r>
              <w:rPr>
                <w:noProof/>
                <w:webHidden/>
              </w:rPr>
              <w:fldChar w:fldCharType="separate"/>
            </w:r>
            <w:r>
              <w:rPr>
                <w:noProof/>
                <w:webHidden/>
              </w:rPr>
              <w:t>24</w:t>
            </w:r>
            <w:r>
              <w:rPr>
                <w:noProof/>
                <w:webHidden/>
              </w:rPr>
              <w:fldChar w:fldCharType="end"/>
            </w:r>
          </w:hyperlink>
        </w:p>
        <w:p w14:paraId="436B98FE" w14:textId="54AF49E4" w:rsidR="0076159D" w:rsidRDefault="0076159D">
          <w:pPr>
            <w:pStyle w:val="TOC3"/>
            <w:rPr>
              <w:rFonts w:asciiTheme="minorHAnsi" w:eastAsiaTheme="minorEastAsia" w:hAnsiTheme="minorHAnsi" w:cstheme="minorBidi"/>
              <w:noProof/>
              <w:kern w:val="2"/>
              <w:szCs w:val="24"/>
              <w:lang w:val="en-GB" w:eastAsia="en-GB"/>
              <w14:ligatures w14:val="standardContextual"/>
            </w:rPr>
          </w:pPr>
          <w:hyperlink w:anchor="_Toc222843181" w:history="1">
            <w:r w:rsidRPr="00F64D32">
              <w:rPr>
                <w:rStyle w:val="Hyperlink"/>
                <w:noProof/>
                <w:lang w:val="es-ES"/>
              </w:rPr>
              <w:t>8.2.1</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Seminario Mundial de Radiocomunicaciones (SMR)</w:t>
            </w:r>
            <w:r>
              <w:rPr>
                <w:noProof/>
                <w:webHidden/>
              </w:rPr>
              <w:tab/>
            </w:r>
            <w:r>
              <w:rPr>
                <w:noProof/>
                <w:webHidden/>
              </w:rPr>
              <w:tab/>
            </w:r>
            <w:r>
              <w:rPr>
                <w:noProof/>
                <w:webHidden/>
              </w:rPr>
              <w:fldChar w:fldCharType="begin"/>
            </w:r>
            <w:r>
              <w:rPr>
                <w:noProof/>
                <w:webHidden/>
              </w:rPr>
              <w:instrText xml:space="preserve"> PAGEREF _Toc222843181 \h </w:instrText>
            </w:r>
            <w:r>
              <w:rPr>
                <w:noProof/>
                <w:webHidden/>
              </w:rPr>
            </w:r>
            <w:r>
              <w:rPr>
                <w:noProof/>
                <w:webHidden/>
              </w:rPr>
              <w:fldChar w:fldCharType="separate"/>
            </w:r>
            <w:r>
              <w:rPr>
                <w:noProof/>
                <w:webHidden/>
              </w:rPr>
              <w:t>26</w:t>
            </w:r>
            <w:r>
              <w:rPr>
                <w:noProof/>
                <w:webHidden/>
              </w:rPr>
              <w:fldChar w:fldCharType="end"/>
            </w:r>
          </w:hyperlink>
        </w:p>
        <w:p w14:paraId="11D923D7" w14:textId="63B284DF" w:rsidR="0076159D" w:rsidRDefault="0076159D">
          <w:pPr>
            <w:pStyle w:val="TOC3"/>
            <w:rPr>
              <w:rFonts w:asciiTheme="minorHAnsi" w:eastAsiaTheme="minorEastAsia" w:hAnsiTheme="minorHAnsi" w:cstheme="minorBidi"/>
              <w:noProof/>
              <w:kern w:val="2"/>
              <w:szCs w:val="24"/>
              <w:lang w:val="en-GB" w:eastAsia="en-GB"/>
              <w14:ligatures w14:val="standardContextual"/>
            </w:rPr>
          </w:pPr>
          <w:hyperlink w:anchor="_Toc222843182" w:history="1">
            <w:r w:rsidRPr="00F64D32">
              <w:rPr>
                <w:rStyle w:val="Hyperlink"/>
                <w:noProof/>
                <w:lang w:val="es-ES"/>
              </w:rPr>
              <w:t>8.2.2</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Seminario Regional de Radiocomunicaciones (SRR)</w:t>
            </w:r>
            <w:r>
              <w:rPr>
                <w:noProof/>
                <w:webHidden/>
              </w:rPr>
              <w:tab/>
            </w:r>
            <w:r>
              <w:rPr>
                <w:noProof/>
                <w:webHidden/>
              </w:rPr>
              <w:tab/>
            </w:r>
            <w:r>
              <w:rPr>
                <w:noProof/>
                <w:webHidden/>
              </w:rPr>
              <w:fldChar w:fldCharType="begin"/>
            </w:r>
            <w:r>
              <w:rPr>
                <w:noProof/>
                <w:webHidden/>
              </w:rPr>
              <w:instrText xml:space="preserve"> PAGEREF _Toc222843182 \h </w:instrText>
            </w:r>
            <w:r>
              <w:rPr>
                <w:noProof/>
                <w:webHidden/>
              </w:rPr>
            </w:r>
            <w:r>
              <w:rPr>
                <w:noProof/>
                <w:webHidden/>
              </w:rPr>
              <w:fldChar w:fldCharType="separate"/>
            </w:r>
            <w:r>
              <w:rPr>
                <w:noProof/>
                <w:webHidden/>
              </w:rPr>
              <w:t>26</w:t>
            </w:r>
            <w:r>
              <w:rPr>
                <w:noProof/>
                <w:webHidden/>
              </w:rPr>
              <w:fldChar w:fldCharType="end"/>
            </w:r>
          </w:hyperlink>
        </w:p>
        <w:p w14:paraId="5240A13B" w14:textId="52A03F12" w:rsidR="0076159D" w:rsidRDefault="0076159D">
          <w:pPr>
            <w:pStyle w:val="TOC3"/>
            <w:rPr>
              <w:rFonts w:asciiTheme="minorHAnsi" w:eastAsiaTheme="minorEastAsia" w:hAnsiTheme="minorHAnsi" w:cstheme="minorBidi"/>
              <w:noProof/>
              <w:kern w:val="2"/>
              <w:szCs w:val="24"/>
              <w:lang w:val="en-GB" w:eastAsia="en-GB"/>
              <w14:ligatures w14:val="standardContextual"/>
            </w:rPr>
          </w:pPr>
          <w:hyperlink w:anchor="_Toc222843183" w:history="1">
            <w:r w:rsidRPr="00F64D32">
              <w:rPr>
                <w:rStyle w:val="Hyperlink"/>
                <w:noProof/>
                <w:lang w:val="es-ES"/>
              </w:rPr>
              <w:t>8.2.3</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Talleres sobre los cuadros nacionales de atribución de frecuencias (CNAF)</w:t>
            </w:r>
            <w:r>
              <w:rPr>
                <w:noProof/>
                <w:webHidden/>
              </w:rPr>
              <w:tab/>
            </w:r>
            <w:r>
              <w:rPr>
                <w:noProof/>
                <w:webHidden/>
              </w:rPr>
              <w:tab/>
            </w:r>
            <w:r>
              <w:rPr>
                <w:noProof/>
                <w:webHidden/>
              </w:rPr>
              <w:fldChar w:fldCharType="begin"/>
            </w:r>
            <w:r>
              <w:rPr>
                <w:noProof/>
                <w:webHidden/>
              </w:rPr>
              <w:instrText xml:space="preserve"> PAGEREF _Toc222843183 \h </w:instrText>
            </w:r>
            <w:r>
              <w:rPr>
                <w:noProof/>
                <w:webHidden/>
              </w:rPr>
            </w:r>
            <w:r>
              <w:rPr>
                <w:noProof/>
                <w:webHidden/>
              </w:rPr>
              <w:fldChar w:fldCharType="separate"/>
            </w:r>
            <w:r>
              <w:rPr>
                <w:noProof/>
                <w:webHidden/>
              </w:rPr>
              <w:t>29</w:t>
            </w:r>
            <w:r>
              <w:rPr>
                <w:noProof/>
                <w:webHidden/>
              </w:rPr>
              <w:fldChar w:fldCharType="end"/>
            </w:r>
          </w:hyperlink>
        </w:p>
        <w:p w14:paraId="14764222" w14:textId="68A06A22" w:rsidR="0076159D" w:rsidRDefault="0076159D">
          <w:pPr>
            <w:pStyle w:val="TOC2"/>
            <w:rPr>
              <w:rFonts w:asciiTheme="minorHAnsi" w:eastAsiaTheme="minorEastAsia" w:hAnsiTheme="minorHAnsi" w:cstheme="minorBidi"/>
              <w:noProof/>
              <w:kern w:val="2"/>
              <w:szCs w:val="24"/>
              <w:lang w:val="en-GB" w:eastAsia="en-GB"/>
              <w14:ligatures w14:val="standardContextual"/>
            </w:rPr>
          </w:pPr>
          <w:hyperlink w:anchor="_Toc222843184" w:history="1">
            <w:r w:rsidRPr="00F64D32">
              <w:rPr>
                <w:rStyle w:val="Hyperlink"/>
                <w:noProof/>
                <w:lang w:val="es-ES"/>
              </w:rPr>
              <w:t>8.3</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Asistencia a los Estados Miembros</w:t>
            </w:r>
            <w:r>
              <w:rPr>
                <w:noProof/>
                <w:webHidden/>
              </w:rPr>
              <w:tab/>
            </w:r>
            <w:r>
              <w:rPr>
                <w:noProof/>
                <w:webHidden/>
              </w:rPr>
              <w:tab/>
            </w:r>
            <w:r>
              <w:rPr>
                <w:noProof/>
                <w:webHidden/>
              </w:rPr>
              <w:fldChar w:fldCharType="begin"/>
            </w:r>
            <w:r>
              <w:rPr>
                <w:noProof/>
                <w:webHidden/>
              </w:rPr>
              <w:instrText xml:space="preserve"> PAGEREF _Toc222843184 \h </w:instrText>
            </w:r>
            <w:r>
              <w:rPr>
                <w:noProof/>
                <w:webHidden/>
              </w:rPr>
            </w:r>
            <w:r>
              <w:rPr>
                <w:noProof/>
                <w:webHidden/>
              </w:rPr>
              <w:fldChar w:fldCharType="separate"/>
            </w:r>
            <w:r>
              <w:rPr>
                <w:noProof/>
                <w:webHidden/>
              </w:rPr>
              <w:t>29</w:t>
            </w:r>
            <w:r>
              <w:rPr>
                <w:noProof/>
                <w:webHidden/>
              </w:rPr>
              <w:fldChar w:fldCharType="end"/>
            </w:r>
          </w:hyperlink>
        </w:p>
        <w:p w14:paraId="17D3C2D5" w14:textId="6D1476F6" w:rsidR="0076159D" w:rsidRDefault="0076159D">
          <w:pPr>
            <w:pStyle w:val="TOC3"/>
            <w:rPr>
              <w:rFonts w:asciiTheme="minorHAnsi" w:eastAsiaTheme="minorEastAsia" w:hAnsiTheme="minorHAnsi" w:cstheme="minorBidi"/>
              <w:noProof/>
              <w:kern w:val="2"/>
              <w:szCs w:val="24"/>
              <w:lang w:val="en-GB" w:eastAsia="en-GB"/>
              <w14:ligatures w14:val="standardContextual"/>
            </w:rPr>
          </w:pPr>
          <w:hyperlink w:anchor="_Toc222843185" w:history="1">
            <w:r w:rsidRPr="00F64D32">
              <w:rPr>
                <w:rStyle w:val="Hyperlink"/>
                <w:noProof/>
                <w:lang w:val="es-ES"/>
              </w:rPr>
              <w:t>8.3.1</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Asistencia a las administraciones de los países en desarrollo</w:t>
            </w:r>
            <w:r>
              <w:rPr>
                <w:noProof/>
                <w:webHidden/>
              </w:rPr>
              <w:tab/>
            </w:r>
            <w:r>
              <w:rPr>
                <w:noProof/>
                <w:webHidden/>
              </w:rPr>
              <w:tab/>
            </w:r>
            <w:r>
              <w:rPr>
                <w:noProof/>
                <w:webHidden/>
              </w:rPr>
              <w:fldChar w:fldCharType="begin"/>
            </w:r>
            <w:r>
              <w:rPr>
                <w:noProof/>
                <w:webHidden/>
              </w:rPr>
              <w:instrText xml:space="preserve"> PAGEREF _Toc222843185 \h </w:instrText>
            </w:r>
            <w:r>
              <w:rPr>
                <w:noProof/>
                <w:webHidden/>
              </w:rPr>
            </w:r>
            <w:r>
              <w:rPr>
                <w:noProof/>
                <w:webHidden/>
              </w:rPr>
              <w:fldChar w:fldCharType="separate"/>
            </w:r>
            <w:r>
              <w:rPr>
                <w:noProof/>
                <w:webHidden/>
              </w:rPr>
              <w:t>29</w:t>
            </w:r>
            <w:r>
              <w:rPr>
                <w:noProof/>
                <w:webHidden/>
              </w:rPr>
              <w:fldChar w:fldCharType="end"/>
            </w:r>
          </w:hyperlink>
        </w:p>
        <w:p w14:paraId="31E62CDD" w14:textId="4524A8B0" w:rsidR="0076159D" w:rsidRDefault="0076159D">
          <w:pPr>
            <w:pStyle w:val="TOC3"/>
            <w:rPr>
              <w:rFonts w:asciiTheme="minorHAnsi" w:eastAsiaTheme="minorEastAsia" w:hAnsiTheme="minorHAnsi" w:cstheme="minorBidi"/>
              <w:noProof/>
              <w:kern w:val="2"/>
              <w:szCs w:val="24"/>
              <w:lang w:val="en-GB" w:eastAsia="en-GB"/>
              <w14:ligatures w14:val="standardContextual"/>
            </w:rPr>
          </w:pPr>
          <w:hyperlink w:anchor="_Toc222843186" w:history="1">
            <w:r w:rsidRPr="00F64D32">
              <w:rPr>
                <w:rStyle w:val="Hyperlink"/>
                <w:noProof/>
                <w:lang w:val="es-ES"/>
              </w:rPr>
              <w:t>8.3.2</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Asistencia a los Grupos Regionales</w:t>
            </w:r>
            <w:r>
              <w:rPr>
                <w:noProof/>
                <w:webHidden/>
              </w:rPr>
              <w:tab/>
            </w:r>
            <w:r>
              <w:rPr>
                <w:noProof/>
                <w:webHidden/>
              </w:rPr>
              <w:tab/>
            </w:r>
            <w:r>
              <w:rPr>
                <w:noProof/>
                <w:webHidden/>
              </w:rPr>
              <w:fldChar w:fldCharType="begin"/>
            </w:r>
            <w:r>
              <w:rPr>
                <w:noProof/>
                <w:webHidden/>
              </w:rPr>
              <w:instrText xml:space="preserve"> PAGEREF _Toc222843186 \h </w:instrText>
            </w:r>
            <w:r>
              <w:rPr>
                <w:noProof/>
                <w:webHidden/>
              </w:rPr>
            </w:r>
            <w:r>
              <w:rPr>
                <w:noProof/>
                <w:webHidden/>
              </w:rPr>
              <w:fldChar w:fldCharType="separate"/>
            </w:r>
            <w:r>
              <w:rPr>
                <w:noProof/>
                <w:webHidden/>
              </w:rPr>
              <w:t>29</w:t>
            </w:r>
            <w:r>
              <w:rPr>
                <w:noProof/>
                <w:webHidden/>
              </w:rPr>
              <w:fldChar w:fldCharType="end"/>
            </w:r>
          </w:hyperlink>
        </w:p>
        <w:p w14:paraId="6653D8B3" w14:textId="2A684261" w:rsidR="0076159D" w:rsidRDefault="0076159D">
          <w:pPr>
            <w:pStyle w:val="TOC2"/>
            <w:rPr>
              <w:rFonts w:asciiTheme="minorHAnsi" w:eastAsiaTheme="minorEastAsia" w:hAnsiTheme="minorHAnsi" w:cstheme="minorBidi"/>
              <w:noProof/>
              <w:kern w:val="2"/>
              <w:szCs w:val="24"/>
              <w:lang w:val="en-GB" w:eastAsia="en-GB"/>
              <w14:ligatures w14:val="standardContextual"/>
            </w:rPr>
          </w:pPr>
          <w:hyperlink w:anchor="_Toc222843187" w:history="1">
            <w:r w:rsidRPr="00F64D32">
              <w:rPr>
                <w:rStyle w:val="Hyperlink"/>
                <w:noProof/>
                <w:lang w:val="es-ES"/>
              </w:rPr>
              <w:t>8.4</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Asociaciones estratégicas y cooperación intersectorial</w:t>
            </w:r>
            <w:r>
              <w:rPr>
                <w:noProof/>
                <w:webHidden/>
              </w:rPr>
              <w:tab/>
            </w:r>
            <w:r>
              <w:rPr>
                <w:noProof/>
                <w:webHidden/>
              </w:rPr>
              <w:tab/>
            </w:r>
            <w:r>
              <w:rPr>
                <w:noProof/>
                <w:webHidden/>
              </w:rPr>
              <w:fldChar w:fldCharType="begin"/>
            </w:r>
            <w:r>
              <w:rPr>
                <w:noProof/>
                <w:webHidden/>
              </w:rPr>
              <w:instrText xml:space="preserve"> PAGEREF _Toc222843187 \h </w:instrText>
            </w:r>
            <w:r>
              <w:rPr>
                <w:noProof/>
                <w:webHidden/>
              </w:rPr>
            </w:r>
            <w:r>
              <w:rPr>
                <w:noProof/>
                <w:webHidden/>
              </w:rPr>
              <w:fldChar w:fldCharType="separate"/>
            </w:r>
            <w:r>
              <w:rPr>
                <w:noProof/>
                <w:webHidden/>
              </w:rPr>
              <w:t>30</w:t>
            </w:r>
            <w:r>
              <w:rPr>
                <w:noProof/>
                <w:webHidden/>
              </w:rPr>
              <w:fldChar w:fldCharType="end"/>
            </w:r>
          </w:hyperlink>
        </w:p>
        <w:p w14:paraId="39AD30A1" w14:textId="7CC73FED" w:rsidR="0076159D" w:rsidRDefault="0076159D">
          <w:pPr>
            <w:pStyle w:val="TOC3"/>
            <w:rPr>
              <w:rFonts w:asciiTheme="minorHAnsi" w:eastAsiaTheme="minorEastAsia" w:hAnsiTheme="minorHAnsi" w:cstheme="minorBidi"/>
              <w:noProof/>
              <w:kern w:val="2"/>
              <w:szCs w:val="24"/>
              <w:lang w:val="en-GB" w:eastAsia="en-GB"/>
              <w14:ligatures w14:val="standardContextual"/>
            </w:rPr>
          </w:pPr>
          <w:hyperlink w:anchor="_Toc222843188" w:history="1">
            <w:r w:rsidRPr="00F64D32">
              <w:rPr>
                <w:rStyle w:val="Hyperlink"/>
                <w:noProof/>
                <w:lang w:val="es-ES"/>
              </w:rPr>
              <w:t>8.4.1</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Cooperación con el UIT-D</w:t>
            </w:r>
            <w:r>
              <w:rPr>
                <w:noProof/>
                <w:webHidden/>
              </w:rPr>
              <w:tab/>
            </w:r>
            <w:r>
              <w:rPr>
                <w:noProof/>
                <w:webHidden/>
              </w:rPr>
              <w:tab/>
            </w:r>
            <w:r>
              <w:rPr>
                <w:noProof/>
                <w:webHidden/>
              </w:rPr>
              <w:fldChar w:fldCharType="begin"/>
            </w:r>
            <w:r>
              <w:rPr>
                <w:noProof/>
                <w:webHidden/>
              </w:rPr>
              <w:instrText xml:space="preserve"> PAGEREF _Toc222843188 \h </w:instrText>
            </w:r>
            <w:r>
              <w:rPr>
                <w:noProof/>
                <w:webHidden/>
              </w:rPr>
            </w:r>
            <w:r>
              <w:rPr>
                <w:noProof/>
                <w:webHidden/>
              </w:rPr>
              <w:fldChar w:fldCharType="separate"/>
            </w:r>
            <w:r>
              <w:rPr>
                <w:noProof/>
                <w:webHidden/>
              </w:rPr>
              <w:t>30</w:t>
            </w:r>
            <w:r>
              <w:rPr>
                <w:noProof/>
                <w:webHidden/>
              </w:rPr>
              <w:fldChar w:fldCharType="end"/>
            </w:r>
          </w:hyperlink>
        </w:p>
        <w:p w14:paraId="442F7604" w14:textId="02EC6C40" w:rsidR="0076159D" w:rsidRDefault="0076159D">
          <w:pPr>
            <w:pStyle w:val="TOC3"/>
            <w:rPr>
              <w:rFonts w:asciiTheme="minorHAnsi" w:eastAsiaTheme="minorEastAsia" w:hAnsiTheme="minorHAnsi" w:cstheme="minorBidi"/>
              <w:noProof/>
              <w:kern w:val="2"/>
              <w:szCs w:val="24"/>
              <w:lang w:val="en-GB" w:eastAsia="en-GB"/>
              <w14:ligatures w14:val="standardContextual"/>
            </w:rPr>
          </w:pPr>
          <w:hyperlink w:anchor="_Toc222843189" w:history="1">
            <w:r w:rsidRPr="00F64D32">
              <w:rPr>
                <w:rStyle w:val="Hyperlink"/>
                <w:noProof/>
                <w:lang w:val="es-ES"/>
              </w:rPr>
              <w:t>8.4.2</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Cooperación con el UIT-T</w:t>
            </w:r>
            <w:r>
              <w:rPr>
                <w:noProof/>
                <w:webHidden/>
              </w:rPr>
              <w:tab/>
            </w:r>
            <w:r>
              <w:rPr>
                <w:noProof/>
                <w:webHidden/>
              </w:rPr>
              <w:tab/>
            </w:r>
            <w:r>
              <w:rPr>
                <w:noProof/>
                <w:webHidden/>
              </w:rPr>
              <w:fldChar w:fldCharType="begin"/>
            </w:r>
            <w:r>
              <w:rPr>
                <w:noProof/>
                <w:webHidden/>
              </w:rPr>
              <w:instrText xml:space="preserve"> PAGEREF _Toc222843189 \h </w:instrText>
            </w:r>
            <w:r>
              <w:rPr>
                <w:noProof/>
                <w:webHidden/>
              </w:rPr>
            </w:r>
            <w:r>
              <w:rPr>
                <w:noProof/>
                <w:webHidden/>
              </w:rPr>
              <w:fldChar w:fldCharType="separate"/>
            </w:r>
            <w:r>
              <w:rPr>
                <w:noProof/>
                <w:webHidden/>
              </w:rPr>
              <w:t>30</w:t>
            </w:r>
            <w:r>
              <w:rPr>
                <w:noProof/>
                <w:webHidden/>
              </w:rPr>
              <w:fldChar w:fldCharType="end"/>
            </w:r>
          </w:hyperlink>
        </w:p>
        <w:p w14:paraId="6BCF5603" w14:textId="43017E2F" w:rsidR="0076159D" w:rsidRDefault="0076159D">
          <w:pPr>
            <w:pStyle w:val="TOC3"/>
            <w:rPr>
              <w:rFonts w:asciiTheme="minorHAnsi" w:eastAsiaTheme="minorEastAsia" w:hAnsiTheme="minorHAnsi" w:cstheme="minorBidi"/>
              <w:noProof/>
              <w:kern w:val="2"/>
              <w:szCs w:val="24"/>
              <w:lang w:val="en-GB" w:eastAsia="en-GB"/>
              <w14:ligatures w14:val="standardContextual"/>
            </w:rPr>
          </w:pPr>
          <w:hyperlink w:anchor="_Toc222843190" w:history="1">
            <w:r w:rsidRPr="00F64D32">
              <w:rPr>
                <w:rStyle w:val="Hyperlink"/>
                <w:noProof/>
                <w:lang w:val="es-ES"/>
              </w:rPr>
              <w:t>8.4.3</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Otras actividades intersectoriales</w:t>
            </w:r>
            <w:r>
              <w:rPr>
                <w:noProof/>
                <w:webHidden/>
              </w:rPr>
              <w:tab/>
            </w:r>
            <w:r>
              <w:rPr>
                <w:noProof/>
                <w:webHidden/>
              </w:rPr>
              <w:tab/>
            </w:r>
            <w:r>
              <w:rPr>
                <w:noProof/>
                <w:webHidden/>
              </w:rPr>
              <w:fldChar w:fldCharType="begin"/>
            </w:r>
            <w:r>
              <w:rPr>
                <w:noProof/>
                <w:webHidden/>
              </w:rPr>
              <w:instrText xml:space="preserve"> PAGEREF _Toc222843190 \h </w:instrText>
            </w:r>
            <w:r>
              <w:rPr>
                <w:noProof/>
                <w:webHidden/>
              </w:rPr>
            </w:r>
            <w:r>
              <w:rPr>
                <w:noProof/>
                <w:webHidden/>
              </w:rPr>
              <w:fldChar w:fldCharType="separate"/>
            </w:r>
            <w:r>
              <w:rPr>
                <w:noProof/>
                <w:webHidden/>
              </w:rPr>
              <w:t>31</w:t>
            </w:r>
            <w:r>
              <w:rPr>
                <w:noProof/>
                <w:webHidden/>
              </w:rPr>
              <w:fldChar w:fldCharType="end"/>
            </w:r>
          </w:hyperlink>
        </w:p>
        <w:p w14:paraId="0C2393C6" w14:textId="2B52ADFD" w:rsidR="0076159D" w:rsidRDefault="0076159D">
          <w:pPr>
            <w:pStyle w:val="TOC3"/>
            <w:rPr>
              <w:rFonts w:asciiTheme="minorHAnsi" w:eastAsiaTheme="minorEastAsia" w:hAnsiTheme="minorHAnsi" w:cstheme="minorBidi"/>
              <w:noProof/>
              <w:kern w:val="2"/>
              <w:szCs w:val="24"/>
              <w:lang w:val="en-GB" w:eastAsia="en-GB"/>
              <w14:ligatures w14:val="standardContextual"/>
            </w:rPr>
          </w:pPr>
          <w:hyperlink w:anchor="_Toc222843191" w:history="1">
            <w:r w:rsidRPr="00F64D32">
              <w:rPr>
                <w:rStyle w:val="Hyperlink"/>
                <w:noProof/>
                <w:lang w:val="es-ES"/>
              </w:rPr>
              <w:t>8.4.4</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Cooperación con otras organizaciones</w:t>
            </w:r>
            <w:r>
              <w:rPr>
                <w:noProof/>
                <w:webHidden/>
              </w:rPr>
              <w:tab/>
            </w:r>
            <w:r>
              <w:rPr>
                <w:noProof/>
                <w:webHidden/>
              </w:rPr>
              <w:tab/>
            </w:r>
            <w:r>
              <w:rPr>
                <w:noProof/>
                <w:webHidden/>
              </w:rPr>
              <w:fldChar w:fldCharType="begin"/>
            </w:r>
            <w:r>
              <w:rPr>
                <w:noProof/>
                <w:webHidden/>
              </w:rPr>
              <w:instrText xml:space="preserve"> PAGEREF _Toc222843191 \h </w:instrText>
            </w:r>
            <w:r>
              <w:rPr>
                <w:noProof/>
                <w:webHidden/>
              </w:rPr>
            </w:r>
            <w:r>
              <w:rPr>
                <w:noProof/>
                <w:webHidden/>
              </w:rPr>
              <w:fldChar w:fldCharType="separate"/>
            </w:r>
            <w:r>
              <w:rPr>
                <w:noProof/>
                <w:webHidden/>
              </w:rPr>
              <w:t>31</w:t>
            </w:r>
            <w:r>
              <w:rPr>
                <w:noProof/>
                <w:webHidden/>
              </w:rPr>
              <w:fldChar w:fldCharType="end"/>
            </w:r>
          </w:hyperlink>
        </w:p>
        <w:p w14:paraId="4BE8CEF2" w14:textId="1DE99662" w:rsidR="0076159D" w:rsidRDefault="0076159D">
          <w:pPr>
            <w:pStyle w:val="TOC2"/>
            <w:rPr>
              <w:rFonts w:asciiTheme="minorHAnsi" w:eastAsiaTheme="minorEastAsia" w:hAnsiTheme="minorHAnsi" w:cstheme="minorBidi"/>
              <w:noProof/>
              <w:kern w:val="2"/>
              <w:szCs w:val="24"/>
              <w:lang w:val="en-GB" w:eastAsia="en-GB"/>
              <w14:ligatures w14:val="standardContextual"/>
            </w:rPr>
          </w:pPr>
          <w:hyperlink w:anchor="_Toc222843192" w:history="1">
            <w:r w:rsidRPr="00F64D32">
              <w:rPr>
                <w:rStyle w:val="Hyperlink"/>
                <w:noProof/>
                <w:lang w:val="es-ES"/>
              </w:rPr>
              <w:t>8.5</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Miembros</w:t>
            </w:r>
            <w:r>
              <w:rPr>
                <w:noProof/>
                <w:webHidden/>
              </w:rPr>
              <w:tab/>
            </w:r>
            <w:r>
              <w:rPr>
                <w:noProof/>
                <w:webHidden/>
              </w:rPr>
              <w:tab/>
            </w:r>
            <w:r>
              <w:rPr>
                <w:noProof/>
                <w:webHidden/>
              </w:rPr>
              <w:fldChar w:fldCharType="begin"/>
            </w:r>
            <w:r>
              <w:rPr>
                <w:noProof/>
                <w:webHidden/>
              </w:rPr>
              <w:instrText xml:space="preserve"> PAGEREF _Toc222843192 \h </w:instrText>
            </w:r>
            <w:r>
              <w:rPr>
                <w:noProof/>
                <w:webHidden/>
              </w:rPr>
            </w:r>
            <w:r>
              <w:rPr>
                <w:noProof/>
                <w:webHidden/>
              </w:rPr>
              <w:fldChar w:fldCharType="separate"/>
            </w:r>
            <w:r>
              <w:rPr>
                <w:noProof/>
                <w:webHidden/>
              </w:rPr>
              <w:t>32</w:t>
            </w:r>
            <w:r>
              <w:rPr>
                <w:noProof/>
                <w:webHidden/>
              </w:rPr>
              <w:fldChar w:fldCharType="end"/>
            </w:r>
          </w:hyperlink>
        </w:p>
        <w:p w14:paraId="3D5806B6" w14:textId="253AEE6B" w:rsidR="0076159D" w:rsidRDefault="0076159D">
          <w:pPr>
            <w:pStyle w:val="TOC3"/>
            <w:rPr>
              <w:rFonts w:asciiTheme="minorHAnsi" w:eastAsiaTheme="minorEastAsia" w:hAnsiTheme="minorHAnsi" w:cstheme="minorBidi"/>
              <w:noProof/>
              <w:kern w:val="2"/>
              <w:szCs w:val="24"/>
              <w:lang w:val="en-GB" w:eastAsia="en-GB"/>
              <w14:ligatures w14:val="standardContextual"/>
            </w:rPr>
          </w:pPr>
          <w:hyperlink w:anchor="_Toc222843193" w:history="1">
            <w:r w:rsidRPr="00F64D32">
              <w:rPr>
                <w:rStyle w:val="Hyperlink"/>
                <w:noProof/>
                <w:lang w:val="es-ES"/>
              </w:rPr>
              <w:t>8.5.1</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Miembros de la UIT</w:t>
            </w:r>
            <w:r>
              <w:rPr>
                <w:noProof/>
                <w:webHidden/>
              </w:rPr>
              <w:tab/>
            </w:r>
            <w:r>
              <w:rPr>
                <w:noProof/>
                <w:webHidden/>
              </w:rPr>
              <w:tab/>
            </w:r>
            <w:r>
              <w:rPr>
                <w:noProof/>
                <w:webHidden/>
              </w:rPr>
              <w:fldChar w:fldCharType="begin"/>
            </w:r>
            <w:r>
              <w:rPr>
                <w:noProof/>
                <w:webHidden/>
              </w:rPr>
              <w:instrText xml:space="preserve"> PAGEREF _Toc222843193 \h </w:instrText>
            </w:r>
            <w:r>
              <w:rPr>
                <w:noProof/>
                <w:webHidden/>
              </w:rPr>
            </w:r>
            <w:r>
              <w:rPr>
                <w:noProof/>
                <w:webHidden/>
              </w:rPr>
              <w:fldChar w:fldCharType="separate"/>
            </w:r>
            <w:r>
              <w:rPr>
                <w:noProof/>
                <w:webHidden/>
              </w:rPr>
              <w:t>32</w:t>
            </w:r>
            <w:r>
              <w:rPr>
                <w:noProof/>
                <w:webHidden/>
              </w:rPr>
              <w:fldChar w:fldCharType="end"/>
            </w:r>
          </w:hyperlink>
        </w:p>
        <w:p w14:paraId="75064410" w14:textId="60D936EA" w:rsidR="0076159D" w:rsidRDefault="0076159D">
          <w:pPr>
            <w:pStyle w:val="TOC3"/>
            <w:rPr>
              <w:rFonts w:asciiTheme="minorHAnsi" w:eastAsiaTheme="minorEastAsia" w:hAnsiTheme="minorHAnsi" w:cstheme="minorBidi"/>
              <w:noProof/>
              <w:kern w:val="2"/>
              <w:szCs w:val="24"/>
              <w:lang w:val="en-GB" w:eastAsia="en-GB"/>
              <w14:ligatures w14:val="standardContextual"/>
            </w:rPr>
          </w:pPr>
          <w:hyperlink w:anchor="_Toc222843194" w:history="1">
            <w:r w:rsidRPr="00F64D32">
              <w:rPr>
                <w:rStyle w:val="Hyperlink"/>
                <w:noProof/>
                <w:lang w:val="es-ES"/>
              </w:rPr>
              <w:t>8.5.2</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Miembros del UIT-R</w:t>
            </w:r>
            <w:r>
              <w:rPr>
                <w:noProof/>
                <w:webHidden/>
              </w:rPr>
              <w:tab/>
            </w:r>
            <w:r>
              <w:rPr>
                <w:noProof/>
                <w:webHidden/>
              </w:rPr>
              <w:tab/>
            </w:r>
            <w:r>
              <w:rPr>
                <w:noProof/>
                <w:webHidden/>
              </w:rPr>
              <w:fldChar w:fldCharType="begin"/>
            </w:r>
            <w:r>
              <w:rPr>
                <w:noProof/>
                <w:webHidden/>
              </w:rPr>
              <w:instrText xml:space="preserve"> PAGEREF _Toc222843194 \h </w:instrText>
            </w:r>
            <w:r>
              <w:rPr>
                <w:noProof/>
                <w:webHidden/>
              </w:rPr>
            </w:r>
            <w:r>
              <w:rPr>
                <w:noProof/>
                <w:webHidden/>
              </w:rPr>
              <w:fldChar w:fldCharType="separate"/>
            </w:r>
            <w:r>
              <w:rPr>
                <w:noProof/>
                <w:webHidden/>
              </w:rPr>
              <w:t>32</w:t>
            </w:r>
            <w:r>
              <w:rPr>
                <w:noProof/>
                <w:webHidden/>
              </w:rPr>
              <w:fldChar w:fldCharType="end"/>
            </w:r>
          </w:hyperlink>
        </w:p>
        <w:p w14:paraId="0C6E12C0" w14:textId="081CAA1E" w:rsidR="0076159D" w:rsidRDefault="0076159D">
          <w:pPr>
            <w:pStyle w:val="TOC2"/>
            <w:rPr>
              <w:rFonts w:asciiTheme="minorHAnsi" w:eastAsiaTheme="minorEastAsia" w:hAnsiTheme="minorHAnsi" w:cstheme="minorBidi"/>
              <w:noProof/>
              <w:kern w:val="2"/>
              <w:szCs w:val="24"/>
              <w:lang w:val="en-GB" w:eastAsia="en-GB"/>
              <w14:ligatures w14:val="standardContextual"/>
            </w:rPr>
          </w:pPr>
          <w:hyperlink w:anchor="_Toc222843195" w:history="1">
            <w:r w:rsidRPr="00F64D32">
              <w:rPr>
                <w:rStyle w:val="Hyperlink"/>
                <w:noProof/>
                <w:lang w:val="es-ES"/>
              </w:rPr>
              <w:t>8.6</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Comunicación y promoción</w:t>
            </w:r>
            <w:r>
              <w:rPr>
                <w:noProof/>
                <w:webHidden/>
              </w:rPr>
              <w:tab/>
            </w:r>
            <w:r>
              <w:rPr>
                <w:noProof/>
                <w:webHidden/>
              </w:rPr>
              <w:tab/>
            </w:r>
            <w:r>
              <w:rPr>
                <w:noProof/>
                <w:webHidden/>
              </w:rPr>
              <w:fldChar w:fldCharType="begin"/>
            </w:r>
            <w:r>
              <w:rPr>
                <w:noProof/>
                <w:webHidden/>
              </w:rPr>
              <w:instrText xml:space="preserve"> PAGEREF _Toc222843195 \h </w:instrText>
            </w:r>
            <w:r>
              <w:rPr>
                <w:noProof/>
                <w:webHidden/>
              </w:rPr>
            </w:r>
            <w:r>
              <w:rPr>
                <w:noProof/>
                <w:webHidden/>
              </w:rPr>
              <w:fldChar w:fldCharType="separate"/>
            </w:r>
            <w:r>
              <w:rPr>
                <w:noProof/>
                <w:webHidden/>
              </w:rPr>
              <w:t>33</w:t>
            </w:r>
            <w:r>
              <w:rPr>
                <w:noProof/>
                <w:webHidden/>
              </w:rPr>
              <w:fldChar w:fldCharType="end"/>
            </w:r>
          </w:hyperlink>
        </w:p>
        <w:p w14:paraId="75D209D1" w14:textId="4EB70515" w:rsidR="0076159D" w:rsidRDefault="0076159D">
          <w:pPr>
            <w:pStyle w:val="TOC3"/>
            <w:rPr>
              <w:rFonts w:asciiTheme="minorHAnsi" w:eastAsiaTheme="minorEastAsia" w:hAnsiTheme="minorHAnsi" w:cstheme="minorBidi"/>
              <w:noProof/>
              <w:kern w:val="2"/>
              <w:szCs w:val="24"/>
              <w:lang w:val="en-GB" w:eastAsia="en-GB"/>
              <w14:ligatures w14:val="standardContextual"/>
            </w:rPr>
          </w:pPr>
          <w:hyperlink w:anchor="_Toc222843196" w:history="1">
            <w:r w:rsidRPr="00F64D32">
              <w:rPr>
                <w:rStyle w:val="Hyperlink"/>
                <w:noProof/>
                <w:lang w:val="es-ES"/>
              </w:rPr>
              <w:t>8.6.1</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Sitios web y bases de datos</w:t>
            </w:r>
            <w:r>
              <w:rPr>
                <w:noProof/>
                <w:webHidden/>
              </w:rPr>
              <w:tab/>
            </w:r>
            <w:r>
              <w:rPr>
                <w:noProof/>
                <w:webHidden/>
              </w:rPr>
              <w:tab/>
            </w:r>
            <w:r>
              <w:rPr>
                <w:noProof/>
                <w:webHidden/>
              </w:rPr>
              <w:fldChar w:fldCharType="begin"/>
            </w:r>
            <w:r>
              <w:rPr>
                <w:noProof/>
                <w:webHidden/>
              </w:rPr>
              <w:instrText xml:space="preserve"> PAGEREF _Toc222843196 \h </w:instrText>
            </w:r>
            <w:r>
              <w:rPr>
                <w:noProof/>
                <w:webHidden/>
              </w:rPr>
            </w:r>
            <w:r>
              <w:rPr>
                <w:noProof/>
                <w:webHidden/>
              </w:rPr>
              <w:fldChar w:fldCharType="separate"/>
            </w:r>
            <w:r>
              <w:rPr>
                <w:noProof/>
                <w:webHidden/>
              </w:rPr>
              <w:t>33</w:t>
            </w:r>
            <w:r>
              <w:rPr>
                <w:noProof/>
                <w:webHidden/>
              </w:rPr>
              <w:fldChar w:fldCharType="end"/>
            </w:r>
          </w:hyperlink>
        </w:p>
        <w:p w14:paraId="15CF8E5D" w14:textId="5E4ADBB5" w:rsidR="0076159D" w:rsidRDefault="0076159D">
          <w:pPr>
            <w:pStyle w:val="TOC3"/>
            <w:rPr>
              <w:rFonts w:asciiTheme="minorHAnsi" w:eastAsiaTheme="minorEastAsia" w:hAnsiTheme="minorHAnsi" w:cstheme="minorBidi"/>
              <w:noProof/>
              <w:kern w:val="2"/>
              <w:szCs w:val="24"/>
              <w:lang w:val="en-GB" w:eastAsia="en-GB"/>
              <w14:ligatures w14:val="standardContextual"/>
            </w:rPr>
          </w:pPr>
          <w:hyperlink w:anchor="_Toc222843197" w:history="1">
            <w:r w:rsidRPr="00F64D32">
              <w:rPr>
                <w:rStyle w:val="Hyperlink"/>
                <w:noProof/>
                <w:lang w:val="es-ES"/>
              </w:rPr>
              <w:t>8.6.2</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Promoción y relaciones con los medios</w:t>
            </w:r>
            <w:r>
              <w:rPr>
                <w:noProof/>
                <w:webHidden/>
              </w:rPr>
              <w:tab/>
            </w:r>
            <w:r>
              <w:rPr>
                <w:noProof/>
                <w:webHidden/>
              </w:rPr>
              <w:tab/>
            </w:r>
            <w:r>
              <w:rPr>
                <w:noProof/>
                <w:webHidden/>
              </w:rPr>
              <w:fldChar w:fldCharType="begin"/>
            </w:r>
            <w:r>
              <w:rPr>
                <w:noProof/>
                <w:webHidden/>
              </w:rPr>
              <w:instrText xml:space="preserve"> PAGEREF _Toc222843197 \h </w:instrText>
            </w:r>
            <w:r>
              <w:rPr>
                <w:noProof/>
                <w:webHidden/>
              </w:rPr>
            </w:r>
            <w:r>
              <w:rPr>
                <w:noProof/>
                <w:webHidden/>
              </w:rPr>
              <w:fldChar w:fldCharType="separate"/>
            </w:r>
            <w:r>
              <w:rPr>
                <w:noProof/>
                <w:webHidden/>
              </w:rPr>
              <w:t>33</w:t>
            </w:r>
            <w:r>
              <w:rPr>
                <w:noProof/>
                <w:webHidden/>
              </w:rPr>
              <w:fldChar w:fldCharType="end"/>
            </w:r>
          </w:hyperlink>
        </w:p>
        <w:p w14:paraId="56954DF1" w14:textId="78DB89DD" w:rsidR="0076159D" w:rsidRDefault="0076159D">
          <w:pPr>
            <w:pStyle w:val="TOC2"/>
            <w:rPr>
              <w:rFonts w:asciiTheme="minorHAnsi" w:eastAsiaTheme="minorEastAsia" w:hAnsiTheme="minorHAnsi" w:cstheme="minorBidi"/>
              <w:noProof/>
              <w:kern w:val="2"/>
              <w:szCs w:val="24"/>
              <w:lang w:val="en-GB" w:eastAsia="en-GB"/>
              <w14:ligatures w14:val="standardContextual"/>
            </w:rPr>
          </w:pPr>
          <w:hyperlink w:anchor="_Toc222843198" w:history="1">
            <w:r w:rsidRPr="00F64D32">
              <w:rPr>
                <w:rStyle w:val="Hyperlink"/>
                <w:noProof/>
                <w:lang w:val="es-ES"/>
              </w:rPr>
              <w:t>8.7</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Igualdad de género</w:t>
            </w:r>
            <w:r>
              <w:rPr>
                <w:noProof/>
                <w:webHidden/>
              </w:rPr>
              <w:tab/>
            </w:r>
            <w:r>
              <w:rPr>
                <w:noProof/>
                <w:webHidden/>
              </w:rPr>
              <w:tab/>
            </w:r>
            <w:r>
              <w:rPr>
                <w:noProof/>
                <w:webHidden/>
              </w:rPr>
              <w:fldChar w:fldCharType="begin"/>
            </w:r>
            <w:r>
              <w:rPr>
                <w:noProof/>
                <w:webHidden/>
              </w:rPr>
              <w:instrText xml:space="preserve"> PAGEREF _Toc222843198 \h </w:instrText>
            </w:r>
            <w:r>
              <w:rPr>
                <w:noProof/>
                <w:webHidden/>
              </w:rPr>
            </w:r>
            <w:r>
              <w:rPr>
                <w:noProof/>
                <w:webHidden/>
              </w:rPr>
              <w:fldChar w:fldCharType="separate"/>
            </w:r>
            <w:r>
              <w:rPr>
                <w:noProof/>
                <w:webHidden/>
              </w:rPr>
              <w:t>34</w:t>
            </w:r>
            <w:r>
              <w:rPr>
                <w:noProof/>
                <w:webHidden/>
              </w:rPr>
              <w:fldChar w:fldCharType="end"/>
            </w:r>
          </w:hyperlink>
        </w:p>
        <w:p w14:paraId="38DBED52" w14:textId="1944DEB2" w:rsidR="0076159D" w:rsidRDefault="0076159D">
          <w:pPr>
            <w:pStyle w:val="TOC3"/>
            <w:rPr>
              <w:rFonts w:asciiTheme="minorHAnsi" w:eastAsiaTheme="minorEastAsia" w:hAnsiTheme="minorHAnsi" w:cstheme="minorBidi"/>
              <w:noProof/>
              <w:kern w:val="2"/>
              <w:szCs w:val="24"/>
              <w:lang w:val="en-GB" w:eastAsia="en-GB"/>
              <w14:ligatures w14:val="standardContextual"/>
            </w:rPr>
          </w:pPr>
          <w:hyperlink w:anchor="_Toc222843199" w:history="1">
            <w:r w:rsidRPr="00F64D32">
              <w:rPr>
                <w:rStyle w:val="Hyperlink"/>
                <w:noProof/>
                <w:lang w:val="es-ES"/>
              </w:rPr>
              <w:t>8.7.1</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Resolución de la AR</w:t>
            </w:r>
            <w:r w:rsidRPr="00F64D32">
              <w:rPr>
                <w:rStyle w:val="Hyperlink"/>
                <w:rFonts w:eastAsia="Calibri"/>
                <w:noProof/>
                <w:lang w:val="es-ES"/>
              </w:rPr>
              <w:t>-23 sobre igualdad de género</w:t>
            </w:r>
            <w:r>
              <w:rPr>
                <w:noProof/>
                <w:webHidden/>
              </w:rPr>
              <w:tab/>
            </w:r>
            <w:r>
              <w:rPr>
                <w:noProof/>
                <w:webHidden/>
              </w:rPr>
              <w:tab/>
            </w:r>
            <w:r>
              <w:rPr>
                <w:noProof/>
                <w:webHidden/>
              </w:rPr>
              <w:fldChar w:fldCharType="begin"/>
            </w:r>
            <w:r>
              <w:rPr>
                <w:noProof/>
                <w:webHidden/>
              </w:rPr>
              <w:instrText xml:space="preserve"> PAGEREF _Toc222843199 \h </w:instrText>
            </w:r>
            <w:r>
              <w:rPr>
                <w:noProof/>
                <w:webHidden/>
              </w:rPr>
            </w:r>
            <w:r>
              <w:rPr>
                <w:noProof/>
                <w:webHidden/>
              </w:rPr>
              <w:fldChar w:fldCharType="separate"/>
            </w:r>
            <w:r>
              <w:rPr>
                <w:noProof/>
                <w:webHidden/>
              </w:rPr>
              <w:t>34</w:t>
            </w:r>
            <w:r>
              <w:rPr>
                <w:noProof/>
                <w:webHidden/>
              </w:rPr>
              <w:fldChar w:fldCharType="end"/>
            </w:r>
          </w:hyperlink>
        </w:p>
        <w:p w14:paraId="682C234D" w14:textId="02200C70" w:rsidR="0076159D" w:rsidRDefault="0076159D">
          <w:pPr>
            <w:pStyle w:val="TOC3"/>
            <w:rPr>
              <w:rFonts w:asciiTheme="minorHAnsi" w:eastAsiaTheme="minorEastAsia" w:hAnsiTheme="minorHAnsi" w:cstheme="minorBidi"/>
              <w:noProof/>
              <w:kern w:val="2"/>
              <w:szCs w:val="24"/>
              <w:lang w:val="en-GB" w:eastAsia="en-GB"/>
              <w14:ligatures w14:val="standardContextual"/>
            </w:rPr>
          </w:pPr>
          <w:hyperlink w:anchor="_Toc222843200" w:history="1">
            <w:r w:rsidRPr="00F64D32">
              <w:rPr>
                <w:rStyle w:val="Hyperlink"/>
                <w:noProof/>
                <w:lang w:val="es-ES"/>
              </w:rPr>
              <w:t>8.7.2</w:t>
            </w:r>
            <w:r>
              <w:rPr>
                <w:rFonts w:asciiTheme="minorHAnsi" w:eastAsiaTheme="minorEastAsia" w:hAnsiTheme="minorHAnsi" w:cstheme="minorBidi"/>
                <w:noProof/>
                <w:kern w:val="2"/>
                <w:szCs w:val="24"/>
                <w:lang w:val="en-GB" w:eastAsia="en-GB"/>
                <w14:ligatures w14:val="standardContextual"/>
              </w:rPr>
              <w:tab/>
            </w:r>
            <w:r w:rsidRPr="00F64D32">
              <w:rPr>
                <w:rStyle w:val="Hyperlink"/>
                <w:noProof/>
                <w:lang w:val="es-ES"/>
              </w:rPr>
              <w:t>Red de mujeres para la CMR</w:t>
            </w:r>
            <w:r w:rsidRPr="00F64D32">
              <w:rPr>
                <w:rStyle w:val="Hyperlink"/>
                <w:rFonts w:eastAsia="Calibri"/>
                <w:noProof/>
                <w:lang w:val="es-ES"/>
              </w:rPr>
              <w:t>-27</w:t>
            </w:r>
            <w:r>
              <w:rPr>
                <w:noProof/>
                <w:webHidden/>
              </w:rPr>
              <w:tab/>
            </w:r>
            <w:r>
              <w:rPr>
                <w:noProof/>
                <w:webHidden/>
              </w:rPr>
              <w:tab/>
            </w:r>
            <w:r>
              <w:rPr>
                <w:noProof/>
                <w:webHidden/>
              </w:rPr>
              <w:fldChar w:fldCharType="begin"/>
            </w:r>
            <w:r>
              <w:rPr>
                <w:noProof/>
                <w:webHidden/>
              </w:rPr>
              <w:instrText xml:space="preserve"> PAGEREF _Toc222843200 \h </w:instrText>
            </w:r>
            <w:r>
              <w:rPr>
                <w:noProof/>
                <w:webHidden/>
              </w:rPr>
            </w:r>
            <w:r>
              <w:rPr>
                <w:noProof/>
                <w:webHidden/>
              </w:rPr>
              <w:fldChar w:fldCharType="separate"/>
            </w:r>
            <w:r>
              <w:rPr>
                <w:noProof/>
                <w:webHidden/>
              </w:rPr>
              <w:t>34</w:t>
            </w:r>
            <w:r>
              <w:rPr>
                <w:noProof/>
                <w:webHidden/>
              </w:rPr>
              <w:fldChar w:fldCharType="end"/>
            </w:r>
          </w:hyperlink>
        </w:p>
        <w:p w14:paraId="41CEE787" w14:textId="119F3131" w:rsidR="0076159D" w:rsidRDefault="0076159D">
          <w:r>
            <w:rPr>
              <w:b/>
              <w:bCs/>
              <w:noProof/>
            </w:rPr>
            <w:fldChar w:fldCharType="end"/>
          </w:r>
        </w:p>
      </w:sdtContent>
    </w:sdt>
    <w:p w14:paraId="3EE38F8A" w14:textId="77777777" w:rsidR="006D51CF" w:rsidRPr="004C1106" w:rsidRDefault="006D51CF" w:rsidP="006D51CF">
      <w:pPr>
        <w:pStyle w:val="Heading1"/>
        <w:rPr>
          <w:lang w:val="es-ES"/>
        </w:rPr>
      </w:pPr>
      <w:bookmarkStart w:id="5" w:name="_Toc446060751"/>
      <w:bookmarkStart w:id="6" w:name="_Toc222308665"/>
      <w:bookmarkStart w:id="7" w:name="_Toc222843134"/>
      <w:r w:rsidRPr="004C1106">
        <w:rPr>
          <w:lang w:val="es-ES"/>
        </w:rPr>
        <w:t>1</w:t>
      </w:r>
      <w:r w:rsidRPr="004C1106">
        <w:rPr>
          <w:lang w:val="es-ES"/>
        </w:rPr>
        <w:tab/>
        <w:t>Introducción</w:t>
      </w:r>
      <w:bookmarkEnd w:id="5"/>
      <w:bookmarkEnd w:id="6"/>
      <w:bookmarkEnd w:id="7"/>
    </w:p>
    <w:p w14:paraId="3B067042" w14:textId="4E0D22AD" w:rsidR="006D51CF" w:rsidRPr="008F57B9" w:rsidRDefault="006D51CF" w:rsidP="006D51CF">
      <w:pPr>
        <w:rPr>
          <w:lang w:val="es-ES"/>
        </w:rPr>
      </w:pPr>
      <w:r w:rsidRPr="008F57B9">
        <w:rPr>
          <w:lang w:val="es-ES"/>
        </w:rPr>
        <w:t>El presente documento contiene informes intermedios e información sobre los temas que componen el proyecto de orden del día de la 33</w:t>
      </w:r>
      <w:r>
        <w:rPr>
          <w:vertAlign w:val="superscript"/>
          <w:lang w:val="es-ES"/>
        </w:rPr>
        <w:t>ª</w:t>
      </w:r>
      <w:r w:rsidRPr="008F57B9">
        <w:rPr>
          <w:lang w:val="es-ES"/>
        </w:rPr>
        <w:t xml:space="preserve"> </w:t>
      </w:r>
      <w:r>
        <w:rPr>
          <w:lang w:val="es-ES"/>
        </w:rPr>
        <w:t>reunión del GAR (véase la Circular Administrativa</w:t>
      </w:r>
      <w:r w:rsidRPr="008F57B9">
        <w:rPr>
          <w:lang w:val="es-ES"/>
        </w:rPr>
        <w:t xml:space="preserve"> </w:t>
      </w:r>
      <w:hyperlink r:id="rId9" w:history="1">
        <w:r w:rsidRPr="008F57B9">
          <w:rPr>
            <w:rStyle w:val="Hyperlink"/>
            <w:lang w:val="es-ES"/>
          </w:rPr>
          <w:t>CA/280</w:t>
        </w:r>
      </w:hyperlink>
      <w:r w:rsidRPr="008F57B9">
        <w:rPr>
          <w:lang w:val="es-ES"/>
        </w:rPr>
        <w:t>). Su objetivo es ayudar a los participantes en la</w:t>
      </w:r>
      <w:r>
        <w:rPr>
          <w:lang w:val="es-ES"/>
        </w:rPr>
        <w:t xml:space="preserve"> reunión a examinar los puntos del orden del día correspondientes</w:t>
      </w:r>
      <w:r w:rsidRPr="008F57B9">
        <w:rPr>
          <w:lang w:val="es-ES"/>
        </w:rPr>
        <w:t>.</w:t>
      </w:r>
    </w:p>
    <w:p w14:paraId="010D66A0" w14:textId="77777777" w:rsidR="006D51CF" w:rsidRPr="008F57B9" w:rsidRDefault="006D51CF" w:rsidP="006D51CF">
      <w:pPr>
        <w:rPr>
          <w:lang w:val="es-ES"/>
        </w:rPr>
      </w:pPr>
      <w:r w:rsidRPr="008F57B9">
        <w:rPr>
          <w:lang w:val="es-ES"/>
        </w:rPr>
        <w:t xml:space="preserve">Se presentarán informes independientes para ciertos puntos del orden </w:t>
      </w:r>
      <w:r>
        <w:rPr>
          <w:lang w:val="es-ES"/>
        </w:rPr>
        <w:t>del día</w:t>
      </w:r>
      <w:r w:rsidRPr="008F57B9">
        <w:rPr>
          <w:lang w:val="es-ES"/>
        </w:rPr>
        <w:t>.</w:t>
      </w:r>
    </w:p>
    <w:p w14:paraId="3CFA5D78" w14:textId="77777777" w:rsidR="006D51CF" w:rsidRPr="004C1106" w:rsidRDefault="006D51CF" w:rsidP="006D51CF">
      <w:pPr>
        <w:pStyle w:val="Heading1"/>
        <w:rPr>
          <w:lang w:val="es-ES"/>
        </w:rPr>
      </w:pPr>
      <w:bookmarkStart w:id="8" w:name="_Toc222308666"/>
      <w:bookmarkStart w:id="9" w:name="_Toc446060752"/>
      <w:bookmarkStart w:id="10" w:name="_Toc222843135"/>
      <w:r w:rsidRPr="004C1106">
        <w:rPr>
          <w:lang w:val="es-ES"/>
        </w:rPr>
        <w:t>2</w:t>
      </w:r>
      <w:r w:rsidRPr="004C1106">
        <w:rPr>
          <w:lang w:val="es-ES"/>
        </w:rPr>
        <w:tab/>
        <w:t>Asuntos relativos al Consejo</w:t>
      </w:r>
      <w:bookmarkEnd w:id="8"/>
      <w:bookmarkEnd w:id="10"/>
    </w:p>
    <w:p w14:paraId="6BE0A0D4" w14:textId="29F18CD8" w:rsidR="006D51CF" w:rsidRPr="008F57B9" w:rsidRDefault="006D51CF" w:rsidP="006D51CF">
      <w:pPr>
        <w:rPr>
          <w:lang w:val="es-ES"/>
        </w:rPr>
      </w:pPr>
      <w:bookmarkStart w:id="11" w:name="_Toc446060753"/>
      <w:bookmarkEnd w:id="9"/>
      <w:r w:rsidRPr="008F57B9">
        <w:rPr>
          <w:lang w:val="es-ES"/>
        </w:rPr>
        <w:t xml:space="preserve">En esta sección se abordan los asuntos tratados por el Consejo en la reunión que se celebró del 17 al 24 de junio de 2025 (véase: </w:t>
      </w:r>
      <w:hyperlink r:id="rId10" w:history="1">
        <w:r w:rsidR="006C3B3B" w:rsidRPr="002F74BC">
          <w:rPr>
            <w:rStyle w:val="Hyperlink"/>
            <w:lang w:val="es-ES"/>
          </w:rPr>
          <w:t>https://council.itu.int/2025/es</w:t>
        </w:r>
      </w:hyperlink>
      <w:r w:rsidRPr="008F57B9">
        <w:rPr>
          <w:lang w:val="es-ES"/>
        </w:rPr>
        <w:t>)</w:t>
      </w:r>
      <w:r>
        <w:rPr>
          <w:lang w:val="es-ES"/>
        </w:rPr>
        <w:t>, así como por los Grupos de Trabajo y Grupos de Expertos del Consejo en reuniones posteriores</w:t>
      </w:r>
      <w:r w:rsidRPr="008F57B9">
        <w:rPr>
          <w:lang w:val="es-ES"/>
        </w:rPr>
        <w:t xml:space="preserve">. </w:t>
      </w:r>
      <w:bookmarkEnd w:id="11"/>
    </w:p>
    <w:p w14:paraId="2386D5DC" w14:textId="77777777" w:rsidR="006D51CF" w:rsidRPr="00DF4875" w:rsidRDefault="006D51CF" w:rsidP="006D51CF">
      <w:pPr>
        <w:pStyle w:val="Heading2"/>
        <w:rPr>
          <w:lang w:val="es-ES"/>
        </w:rPr>
      </w:pPr>
      <w:bookmarkStart w:id="12" w:name="_Toc446060754"/>
      <w:bookmarkStart w:id="13" w:name="_Toc222308667"/>
      <w:bookmarkStart w:id="14" w:name="_Toc222843136"/>
      <w:r w:rsidRPr="00DF4875">
        <w:rPr>
          <w:lang w:val="es-ES"/>
        </w:rPr>
        <w:t>2.1</w:t>
      </w:r>
      <w:r w:rsidRPr="00DF4875">
        <w:rPr>
          <w:lang w:val="es-ES"/>
        </w:rPr>
        <w:tab/>
        <w:t>Recuperación de costes aplicable a las notificaciones de re</w:t>
      </w:r>
      <w:r>
        <w:rPr>
          <w:lang w:val="es-ES"/>
        </w:rPr>
        <w:t>des de satélites</w:t>
      </w:r>
      <w:bookmarkEnd w:id="12"/>
      <w:bookmarkEnd w:id="13"/>
      <w:bookmarkEnd w:id="14"/>
    </w:p>
    <w:p w14:paraId="06C721AE" w14:textId="77777777" w:rsidR="006D51CF" w:rsidRPr="004C1106" w:rsidRDefault="006D51CF" w:rsidP="006D51CF">
      <w:pPr>
        <w:pStyle w:val="Heading3"/>
        <w:rPr>
          <w:lang w:val="es-ES"/>
        </w:rPr>
      </w:pPr>
      <w:bookmarkStart w:id="15" w:name="_Toc222308668"/>
      <w:bookmarkStart w:id="16" w:name="_Toc222843137"/>
      <w:r w:rsidRPr="004C1106">
        <w:rPr>
          <w:lang w:val="es-ES"/>
        </w:rPr>
        <w:t>2.1.1</w:t>
      </w:r>
      <w:r w:rsidRPr="004C1106">
        <w:rPr>
          <w:lang w:val="es-ES"/>
        </w:rPr>
        <w:tab/>
        <w:t>Acuerdo 482</w:t>
      </w:r>
      <w:bookmarkEnd w:id="15"/>
      <w:bookmarkEnd w:id="16"/>
    </w:p>
    <w:p w14:paraId="2063D200" w14:textId="4DDA6E4B" w:rsidR="006D51CF" w:rsidRPr="00DF4875" w:rsidRDefault="006D51CF" w:rsidP="006D51CF">
      <w:pPr>
        <w:rPr>
          <w:szCs w:val="24"/>
          <w:lang w:val="es-ES"/>
        </w:rPr>
      </w:pPr>
      <w:r w:rsidRPr="00DF4875">
        <w:rPr>
          <w:lang w:val="es-ES"/>
        </w:rPr>
        <w:t xml:space="preserve">En su reunión de 2025 el Consejo tomó nota del Informe anual sobre la aplicación del Acuerdo 482 </w:t>
      </w:r>
      <w:r w:rsidRPr="00DF4875">
        <w:rPr>
          <w:szCs w:val="24"/>
          <w:lang w:val="es-ES"/>
        </w:rPr>
        <w:t xml:space="preserve">(C01, </w:t>
      </w:r>
      <w:r>
        <w:rPr>
          <w:szCs w:val="24"/>
          <w:lang w:val="es-ES"/>
        </w:rPr>
        <w:t>modificado</w:t>
      </w:r>
      <w:r w:rsidRPr="00DF4875">
        <w:rPr>
          <w:szCs w:val="24"/>
          <w:lang w:val="es-ES"/>
        </w:rPr>
        <w:t xml:space="preserve"> C24) (</w:t>
      </w:r>
      <w:r>
        <w:rPr>
          <w:szCs w:val="24"/>
          <w:lang w:val="es-ES"/>
        </w:rPr>
        <w:t>véase el</w:t>
      </w:r>
      <w:r w:rsidRPr="00DF4875">
        <w:rPr>
          <w:szCs w:val="24"/>
          <w:lang w:val="es-ES"/>
        </w:rPr>
        <w:t xml:space="preserve"> </w:t>
      </w:r>
      <w:hyperlink r:id="rId11" w:history="1">
        <w:r w:rsidRPr="00DF4875">
          <w:rPr>
            <w:rStyle w:val="Hyperlink"/>
            <w:szCs w:val="24"/>
            <w:lang w:val="es-ES"/>
          </w:rPr>
          <w:t>Document</w:t>
        </w:r>
        <w:r>
          <w:rPr>
            <w:rStyle w:val="Hyperlink"/>
            <w:szCs w:val="24"/>
            <w:lang w:val="es-ES"/>
          </w:rPr>
          <w:t>o</w:t>
        </w:r>
        <w:r w:rsidRPr="00DF4875">
          <w:rPr>
            <w:rStyle w:val="Hyperlink"/>
            <w:szCs w:val="24"/>
            <w:lang w:val="es-ES"/>
          </w:rPr>
          <w:t xml:space="preserve"> C25/16</w:t>
        </w:r>
      </w:hyperlink>
      <w:r w:rsidRPr="00DF4875">
        <w:rPr>
          <w:rStyle w:val="Hyperlink"/>
          <w:szCs w:val="24"/>
          <w:lang w:val="es-ES"/>
        </w:rPr>
        <w:t>)</w:t>
      </w:r>
      <w:r w:rsidRPr="00DF4875">
        <w:rPr>
          <w:szCs w:val="24"/>
          <w:lang w:val="es-ES"/>
        </w:rPr>
        <w:t xml:space="preserve">. </w:t>
      </w:r>
    </w:p>
    <w:p w14:paraId="307C0FE9" w14:textId="2DE0C192" w:rsidR="006D51CF" w:rsidRPr="00DF4875" w:rsidRDefault="006D51CF" w:rsidP="006D51CF">
      <w:pPr>
        <w:rPr>
          <w:lang w:val="es-ES"/>
        </w:rPr>
      </w:pPr>
      <w:r w:rsidRPr="00DF4875">
        <w:rPr>
          <w:lang w:val="es-ES"/>
        </w:rPr>
        <w:t>El Consejo aprobó asimismo todas las propuestas formuladas por el Grupo d</w:t>
      </w:r>
      <w:r>
        <w:rPr>
          <w:lang w:val="es-ES"/>
        </w:rPr>
        <w:t>e Expertos sobre el Acuerdo</w:t>
      </w:r>
      <w:r w:rsidRPr="00DF4875">
        <w:rPr>
          <w:lang w:val="es-ES"/>
        </w:rPr>
        <w:t xml:space="preserve"> 482 </w:t>
      </w:r>
      <w:r>
        <w:rPr>
          <w:lang w:val="es-ES"/>
        </w:rPr>
        <w:t xml:space="preserve">para la revisión de dicho Acuerdo. Habida cuenta del importante número de modificaciones, el Consejo decidió que el Acuerdo revisado entrara en vigor el 1 de enero de 2026. A </w:t>
      </w:r>
      <w:r w:rsidR="00431831">
        <w:rPr>
          <w:lang w:val="es-ES"/>
        </w:rPr>
        <w:t>continuación,</w:t>
      </w:r>
      <w:r>
        <w:rPr>
          <w:lang w:val="es-ES"/>
        </w:rPr>
        <w:t xml:space="preserve"> se indican los principales cambios aportados al Acuerdo</w:t>
      </w:r>
      <w:r w:rsidRPr="00DF4875">
        <w:rPr>
          <w:lang w:val="es-ES"/>
        </w:rPr>
        <w:t xml:space="preserve"> 482 (C01, m</w:t>
      </w:r>
      <w:r>
        <w:rPr>
          <w:lang w:val="es-ES"/>
        </w:rPr>
        <w:t>odificado</w:t>
      </w:r>
      <w:r w:rsidRPr="00DF4875">
        <w:rPr>
          <w:lang w:val="es-ES"/>
        </w:rPr>
        <w:t xml:space="preserve"> C24): </w:t>
      </w:r>
    </w:p>
    <w:p w14:paraId="227B232E" w14:textId="53958BA0" w:rsidR="006D51CF" w:rsidRPr="00DF4875" w:rsidRDefault="006C3B3B" w:rsidP="006C3B3B">
      <w:pPr>
        <w:pStyle w:val="enumlev1"/>
        <w:rPr>
          <w:lang w:val="es-ES"/>
        </w:rPr>
      </w:pPr>
      <w:r w:rsidRPr="006C3B3B">
        <w:rPr>
          <w:lang w:val="es-ES"/>
        </w:rPr>
        <w:t>–</w:t>
      </w:r>
      <w:r>
        <w:rPr>
          <w:lang w:val="es-ES"/>
        </w:rPr>
        <w:tab/>
        <w:t>s</w:t>
      </w:r>
      <w:r w:rsidR="006D51CF" w:rsidRPr="00DF4875">
        <w:rPr>
          <w:lang w:val="es-ES"/>
        </w:rPr>
        <w:t xml:space="preserve">ustitución de la tasa uniforme para las API y las notificaciones no sujetas a coordinación </w:t>
      </w:r>
      <w:r w:rsidR="006D51CF">
        <w:rPr>
          <w:lang w:val="es-ES"/>
        </w:rPr>
        <w:t>por</w:t>
      </w:r>
      <w:r w:rsidR="006D51CF" w:rsidRPr="00DF4875">
        <w:rPr>
          <w:lang w:val="es-ES"/>
        </w:rPr>
        <w:t xml:space="preserve"> una </w:t>
      </w:r>
      <w:r w:rsidR="006D51CF">
        <w:rPr>
          <w:lang w:val="es-ES"/>
        </w:rPr>
        <w:t>tasa inicial combinada con una tasa lineal por unidad</w:t>
      </w:r>
      <w:r>
        <w:rPr>
          <w:lang w:val="es-ES"/>
        </w:rPr>
        <w:t>;</w:t>
      </w:r>
    </w:p>
    <w:p w14:paraId="690164C4" w14:textId="2F910C81" w:rsidR="006D51CF" w:rsidRPr="00DF4875" w:rsidRDefault="006C3B3B" w:rsidP="006C3B3B">
      <w:pPr>
        <w:pStyle w:val="enumlev1"/>
        <w:rPr>
          <w:lang w:val="es-ES"/>
        </w:rPr>
      </w:pPr>
      <w:r w:rsidRPr="006C3B3B">
        <w:rPr>
          <w:lang w:val="es-ES"/>
        </w:rPr>
        <w:t>–</w:t>
      </w:r>
      <w:r>
        <w:rPr>
          <w:lang w:val="es-ES"/>
        </w:rPr>
        <w:tab/>
        <w:t>c</w:t>
      </w:r>
      <w:r w:rsidR="006D51CF" w:rsidRPr="00DF4875">
        <w:rPr>
          <w:lang w:val="es-ES"/>
        </w:rPr>
        <w:t xml:space="preserve">reación de tasas específicas para los </w:t>
      </w:r>
      <w:r w:rsidR="006D51CF">
        <w:rPr>
          <w:lang w:val="es-ES"/>
        </w:rPr>
        <w:t>exámenes de la dfpe</w:t>
      </w:r>
      <w:r>
        <w:rPr>
          <w:lang w:val="es-ES"/>
        </w:rPr>
        <w:t>;</w:t>
      </w:r>
    </w:p>
    <w:p w14:paraId="758390DC" w14:textId="1F1D508E" w:rsidR="006D51CF" w:rsidRPr="00DF4875" w:rsidRDefault="006C3B3B" w:rsidP="006C3B3B">
      <w:pPr>
        <w:pStyle w:val="enumlev1"/>
        <w:rPr>
          <w:lang w:val="es-ES"/>
        </w:rPr>
      </w:pPr>
      <w:r w:rsidRPr="006C3B3B">
        <w:rPr>
          <w:lang w:val="es-ES"/>
        </w:rPr>
        <w:t>–</w:t>
      </w:r>
      <w:r>
        <w:rPr>
          <w:lang w:val="es-ES"/>
        </w:rPr>
        <w:tab/>
        <w:t>c</w:t>
      </w:r>
      <w:r w:rsidR="006D51CF" w:rsidRPr="00DF4875">
        <w:rPr>
          <w:lang w:val="es-ES"/>
        </w:rPr>
        <w:t xml:space="preserve">reación de tasas adicionales para las notificaciones de satélites </w:t>
      </w:r>
      <w:r w:rsidR="006D51CF">
        <w:rPr>
          <w:lang w:val="es-ES"/>
        </w:rPr>
        <w:t>no geoestacionarios de gran tamaño o costosas</w:t>
      </w:r>
      <w:r>
        <w:rPr>
          <w:lang w:val="es-ES"/>
        </w:rPr>
        <w:t>;</w:t>
      </w:r>
      <w:r w:rsidR="006D51CF">
        <w:rPr>
          <w:lang w:val="es-ES"/>
        </w:rPr>
        <w:t xml:space="preserve"> y</w:t>
      </w:r>
    </w:p>
    <w:p w14:paraId="53594A12" w14:textId="4C0640B0" w:rsidR="006D51CF" w:rsidRPr="00DF4875" w:rsidRDefault="006C3B3B" w:rsidP="006C3B3B">
      <w:pPr>
        <w:pStyle w:val="enumlev1"/>
        <w:rPr>
          <w:lang w:val="es-ES"/>
        </w:rPr>
      </w:pPr>
      <w:r w:rsidRPr="006C3B3B">
        <w:rPr>
          <w:lang w:val="es-ES"/>
        </w:rPr>
        <w:t>–</w:t>
      </w:r>
      <w:r>
        <w:rPr>
          <w:lang w:val="es-ES"/>
        </w:rPr>
        <w:tab/>
        <w:t>e</w:t>
      </w:r>
      <w:r w:rsidR="006D51CF" w:rsidRPr="00DF4875">
        <w:rPr>
          <w:lang w:val="es-ES"/>
        </w:rPr>
        <w:t>xclusión de esas notificaciones de la opción a la publicac</w:t>
      </w:r>
      <w:r w:rsidR="006D51CF">
        <w:rPr>
          <w:lang w:val="es-ES"/>
        </w:rPr>
        <w:t>ión gratuita anual</w:t>
      </w:r>
      <w:r w:rsidR="006D51CF" w:rsidRPr="00DF4875">
        <w:rPr>
          <w:lang w:val="es-ES"/>
        </w:rPr>
        <w:t xml:space="preserve">. </w:t>
      </w:r>
    </w:p>
    <w:p w14:paraId="237B8203" w14:textId="77777777" w:rsidR="006D51CF" w:rsidRPr="00DF4875" w:rsidRDefault="006D51CF" w:rsidP="006D51CF">
      <w:pPr>
        <w:rPr>
          <w:lang w:val="es-ES"/>
        </w:rPr>
      </w:pPr>
      <w:r w:rsidRPr="00DF4875">
        <w:rPr>
          <w:lang w:val="es-ES"/>
        </w:rPr>
        <w:t xml:space="preserve">La Oficina ha actualizado su </w:t>
      </w:r>
      <w:r w:rsidRPr="006C3B3B">
        <w:rPr>
          <w:i/>
          <w:iCs/>
          <w:lang w:val="es-ES"/>
        </w:rPr>
        <w:t>software</w:t>
      </w:r>
      <w:r w:rsidRPr="00DF4875">
        <w:rPr>
          <w:lang w:val="es-ES"/>
        </w:rPr>
        <w:t xml:space="preserve"> para que las administracion</w:t>
      </w:r>
      <w:r>
        <w:rPr>
          <w:lang w:val="es-ES"/>
        </w:rPr>
        <w:t>es puedan calcular los costes con antelación</w:t>
      </w:r>
      <w:r w:rsidRPr="00DF4875">
        <w:rPr>
          <w:lang w:val="es-ES"/>
        </w:rPr>
        <w:t xml:space="preserve">. En noviembre de 2025 se puso a disposición de los Miembros una versión de prueba del </w:t>
      </w:r>
      <w:r w:rsidRPr="006C3B3B">
        <w:rPr>
          <w:i/>
          <w:iCs/>
          <w:lang w:val="es-ES"/>
        </w:rPr>
        <w:t>software</w:t>
      </w:r>
      <w:r w:rsidRPr="00DF4875">
        <w:rPr>
          <w:lang w:val="es-ES"/>
        </w:rPr>
        <w:t xml:space="preserve"> para que las administraciones tuviesen una mejor comprens</w:t>
      </w:r>
      <w:r>
        <w:rPr>
          <w:lang w:val="es-ES"/>
        </w:rPr>
        <w:t>ión de las consecuencias que los cambios aportados al Acuerdo 482 tenían para las notificaciones que preveían presentar a partir de 2026</w:t>
      </w:r>
      <w:r w:rsidRPr="00DF4875">
        <w:rPr>
          <w:lang w:val="es-ES"/>
        </w:rPr>
        <w:t>.</w:t>
      </w:r>
    </w:p>
    <w:p w14:paraId="54376F07" w14:textId="74D9611B" w:rsidR="006D51CF" w:rsidRPr="00DF4875" w:rsidRDefault="006D51CF" w:rsidP="006D51CF">
      <w:pPr>
        <w:rPr>
          <w:lang w:val="es-ES"/>
        </w:rPr>
      </w:pPr>
      <w:r w:rsidRPr="00DF4875">
        <w:rPr>
          <w:lang w:val="es-ES"/>
        </w:rPr>
        <w:t xml:space="preserve">Además, en lo que respecta a la recuperación de costes indirectos, el Consejo acordó que en 2026 y 2027 todas las tasas previstas por el </w:t>
      </w:r>
      <w:r>
        <w:rPr>
          <w:lang w:val="es-ES"/>
        </w:rPr>
        <w:t>Acuerdo</w:t>
      </w:r>
      <w:r w:rsidRPr="00DF4875">
        <w:rPr>
          <w:lang w:val="es-ES"/>
        </w:rPr>
        <w:t xml:space="preserve"> 482 (C01, </w:t>
      </w:r>
      <w:r>
        <w:rPr>
          <w:lang w:val="es-ES"/>
        </w:rPr>
        <w:t>modificado</w:t>
      </w:r>
      <w:r w:rsidRPr="00DF4875">
        <w:rPr>
          <w:lang w:val="es-ES"/>
        </w:rPr>
        <w:t xml:space="preserve"> C25) </w:t>
      </w:r>
      <w:r>
        <w:rPr>
          <w:lang w:val="es-ES"/>
        </w:rPr>
        <w:t>aumenten cerca del 10</w:t>
      </w:r>
      <w:r w:rsidR="006C3B3B">
        <w:rPr>
          <w:lang w:val="es-ES"/>
        </w:rPr>
        <w:t> </w:t>
      </w:r>
      <w:r>
        <w:rPr>
          <w:lang w:val="es-ES"/>
        </w:rPr>
        <w:t xml:space="preserve">%. </w:t>
      </w:r>
      <w:r w:rsidRPr="00DF4875">
        <w:rPr>
          <w:lang w:val="es-ES"/>
        </w:rPr>
        <w:t>Se ha encomendado asimismo al Grupo de Trabajo del Co</w:t>
      </w:r>
      <w:r>
        <w:rPr>
          <w:lang w:val="es-ES"/>
        </w:rPr>
        <w:t>nsejo sobre Recursos Humanos y Financieros (GTC-RHF) el examen de los costes indirectos asociados con la tramitación de notificaciones de redes de satélites y la definición de una metodología para su recuperación</w:t>
      </w:r>
      <w:r w:rsidRPr="00DF4875">
        <w:rPr>
          <w:lang w:val="es-ES"/>
        </w:rPr>
        <w:t xml:space="preserve">. </w:t>
      </w:r>
    </w:p>
    <w:p w14:paraId="6DAB3363" w14:textId="77777777" w:rsidR="006D51CF" w:rsidRPr="00DF4875" w:rsidRDefault="006D51CF" w:rsidP="006D51CF">
      <w:pPr>
        <w:rPr>
          <w:lang w:val="es-ES"/>
        </w:rPr>
      </w:pPr>
      <w:r w:rsidRPr="00DF4875">
        <w:rPr>
          <w:lang w:val="es-ES"/>
        </w:rPr>
        <w:t xml:space="preserve">Este Grupo de Trabajo se reunió del 10 al 12 de septiembre de 2025 y consideró una contribución de Estados Unidos de América en la que se presentan información adicional y </w:t>
      </w:r>
      <w:r>
        <w:rPr>
          <w:lang w:val="es-ES"/>
        </w:rPr>
        <w:t>preguntas que la Secretaría de la UIT debería responder para evaluar los costes indirectos asociados con la tramitación de notificaciones de redes de satélites</w:t>
      </w:r>
      <w:r w:rsidRPr="00DF4875">
        <w:rPr>
          <w:lang w:val="es-ES"/>
        </w:rPr>
        <w:t xml:space="preserve">. </w:t>
      </w:r>
    </w:p>
    <w:p w14:paraId="5BDF409E" w14:textId="5FCEA824" w:rsidR="006D51CF" w:rsidRPr="004B68DF" w:rsidRDefault="006D51CF" w:rsidP="006D51CF">
      <w:pPr>
        <w:rPr>
          <w:lang w:val="es-ES"/>
        </w:rPr>
      </w:pPr>
      <w:r w:rsidRPr="004B68DF">
        <w:rPr>
          <w:lang w:val="es-ES"/>
        </w:rPr>
        <w:t>El Grupo de Trabajo volvió a reunirse del 14 al 16 de enero de 2026 para proseguir los debates sobre el modelo de recuperación de costes aplicable a la tram</w:t>
      </w:r>
      <w:r>
        <w:rPr>
          <w:lang w:val="es-ES"/>
        </w:rPr>
        <w:t>itación de notificaciones de redes de satélites basado en una propuesta de la Secretaría General y las contribuciones de diversos Miembros. La</w:t>
      </w:r>
      <w:r w:rsidRPr="004B68DF">
        <w:rPr>
          <w:lang w:val="es-ES"/>
        </w:rPr>
        <w:t xml:space="preserve"> President</w:t>
      </w:r>
      <w:r>
        <w:rPr>
          <w:lang w:val="es-ES"/>
        </w:rPr>
        <w:t>a</w:t>
      </w:r>
      <w:r w:rsidRPr="004B68DF">
        <w:rPr>
          <w:lang w:val="es-ES"/>
        </w:rPr>
        <w:t xml:space="preserve"> del Grupo de Trabajo del Consejo reconoció que el GTC-RHF, a pesar de todos los esfuerzos invertidos, no ha podido </w:t>
      </w:r>
      <w:r>
        <w:rPr>
          <w:lang w:val="es-ES"/>
        </w:rPr>
        <w:t xml:space="preserve">cumplir el encargo que le encomendó el Consejo en 2025. </w:t>
      </w:r>
      <w:r w:rsidRPr="004B68DF">
        <w:rPr>
          <w:lang w:val="es-ES"/>
        </w:rPr>
        <w:t xml:space="preserve">En ausencia de un </w:t>
      </w:r>
      <w:r w:rsidRPr="004B68DF">
        <w:rPr>
          <w:lang w:val="es-ES"/>
        </w:rPr>
        <w:lastRenderedPageBreak/>
        <w:t xml:space="preserve">acuerdo sobre la Resolución 91, </w:t>
      </w:r>
      <w:r>
        <w:rPr>
          <w:lang w:val="es-ES"/>
        </w:rPr>
        <w:t>la</w:t>
      </w:r>
      <w:r w:rsidRPr="004B68DF">
        <w:rPr>
          <w:lang w:val="es-ES"/>
        </w:rPr>
        <w:t xml:space="preserve"> President</w:t>
      </w:r>
      <w:r>
        <w:rPr>
          <w:lang w:val="es-ES"/>
        </w:rPr>
        <w:t>a</w:t>
      </w:r>
      <w:r w:rsidRPr="004B68DF">
        <w:rPr>
          <w:lang w:val="es-ES"/>
        </w:rPr>
        <w:t xml:space="preserve"> co</w:t>
      </w:r>
      <w:r>
        <w:rPr>
          <w:lang w:val="es-ES"/>
        </w:rPr>
        <w:t>nsideró muy difícil seguir adelante con la definición de esa metodología. La Presidenta preparó</w:t>
      </w:r>
      <w:r w:rsidRPr="004B68DF">
        <w:rPr>
          <w:lang w:val="es-ES"/>
        </w:rPr>
        <w:t xml:space="preserve"> un </w:t>
      </w:r>
      <w:r>
        <w:rPr>
          <w:lang w:val="es-ES"/>
        </w:rPr>
        <w:t xml:space="preserve">cuadro en el que se consignan todas las cuestiones por resolver que el Consejo deberá considerar y solventar en su reunión de 2026 (véanse las páginas </w:t>
      </w:r>
      <w:r w:rsidRPr="004B68DF">
        <w:rPr>
          <w:lang w:val="es-ES"/>
        </w:rPr>
        <w:t xml:space="preserve">17 a 19 </w:t>
      </w:r>
      <w:r>
        <w:rPr>
          <w:lang w:val="es-ES"/>
        </w:rPr>
        <w:t>del</w:t>
      </w:r>
      <w:r w:rsidRPr="004B68DF">
        <w:rPr>
          <w:lang w:val="es-ES"/>
        </w:rPr>
        <w:t xml:space="preserve"> </w:t>
      </w:r>
      <w:hyperlink r:id="rId12" w:history="1">
        <w:r w:rsidRPr="004B68DF">
          <w:rPr>
            <w:rStyle w:val="Hyperlink"/>
            <w:lang w:val="es-ES"/>
          </w:rPr>
          <w:t>Document</w:t>
        </w:r>
        <w:r>
          <w:rPr>
            <w:rStyle w:val="Hyperlink"/>
            <w:lang w:val="es-ES"/>
          </w:rPr>
          <w:t>o</w:t>
        </w:r>
        <w:r w:rsidRPr="004B68DF">
          <w:rPr>
            <w:rStyle w:val="Hyperlink"/>
            <w:lang w:val="es-ES"/>
          </w:rPr>
          <w:t xml:space="preserve"> CWG-FHR-22/36</w:t>
        </w:r>
      </w:hyperlink>
      <w:r w:rsidRPr="004B68DF">
        <w:rPr>
          <w:lang w:val="es-ES"/>
        </w:rPr>
        <w:t>).</w:t>
      </w:r>
    </w:p>
    <w:p w14:paraId="1EBEDDB8" w14:textId="77777777" w:rsidR="006D51CF" w:rsidRPr="004B68DF" w:rsidRDefault="006D51CF" w:rsidP="006D51CF">
      <w:pPr>
        <w:pStyle w:val="Heading3"/>
        <w:rPr>
          <w:lang w:val="es-ES"/>
        </w:rPr>
      </w:pPr>
      <w:bookmarkStart w:id="17" w:name="_Toc222308669"/>
      <w:bookmarkStart w:id="18" w:name="_Toc222843138"/>
      <w:r w:rsidRPr="004B68DF">
        <w:rPr>
          <w:lang w:val="es-ES"/>
        </w:rPr>
        <w:t>2.1.2</w:t>
      </w:r>
      <w:r w:rsidRPr="004B68DF">
        <w:rPr>
          <w:lang w:val="es-ES"/>
        </w:rPr>
        <w:tab/>
        <w:t xml:space="preserve">Ingresos </w:t>
      </w:r>
      <w:r>
        <w:rPr>
          <w:lang w:val="es-ES"/>
        </w:rPr>
        <w:t>aplazados</w:t>
      </w:r>
      <w:r w:rsidRPr="004B68DF">
        <w:rPr>
          <w:lang w:val="es-ES"/>
        </w:rPr>
        <w:t xml:space="preserve"> por falta de recursos tramitac</w:t>
      </w:r>
      <w:r>
        <w:rPr>
          <w:lang w:val="es-ES"/>
        </w:rPr>
        <w:t>ión</w:t>
      </w:r>
      <w:bookmarkEnd w:id="17"/>
      <w:bookmarkEnd w:id="18"/>
    </w:p>
    <w:p w14:paraId="1B4C9A09" w14:textId="1D89A35F" w:rsidR="006D51CF" w:rsidRPr="005F5D91" w:rsidRDefault="006D51CF" w:rsidP="00CE4E77">
      <w:pPr>
        <w:rPr>
          <w:lang w:val="es-ES"/>
        </w:rPr>
      </w:pPr>
      <w:r w:rsidRPr="005F5D91">
        <w:rPr>
          <w:lang w:val="es-ES"/>
        </w:rPr>
        <w:t>Las reglas de auditoría vigentes exigen que los pagos de las facturas relacionadas con la rec</w:t>
      </w:r>
      <w:r>
        <w:rPr>
          <w:lang w:val="es-ES"/>
        </w:rPr>
        <w:t>u</w:t>
      </w:r>
      <w:r w:rsidRPr="005F5D91">
        <w:rPr>
          <w:lang w:val="es-ES"/>
        </w:rPr>
        <w:t>peración de costes de satélites se tengan en cuenta en</w:t>
      </w:r>
      <w:r>
        <w:rPr>
          <w:lang w:val="es-ES"/>
        </w:rPr>
        <w:t xml:space="preserve"> los ingresos contabilizados sólo después de la publicación de las correspondientes Secciones Especiales</w:t>
      </w:r>
      <w:r w:rsidRPr="005F5D91">
        <w:rPr>
          <w:lang w:val="es-ES"/>
        </w:rPr>
        <w:t xml:space="preserve">. A finales de 2025 los ingresos aplazados (es decir, los casos en que ya se han emitido facturas a la entidad notificante, pero aún no se ha publicado la </w:t>
      </w:r>
      <w:r>
        <w:rPr>
          <w:lang w:val="es-ES"/>
        </w:rPr>
        <w:t>Sección Especial correspondiente) ascendían a</w:t>
      </w:r>
      <w:r w:rsidRPr="005F5D91">
        <w:rPr>
          <w:lang w:val="es-ES"/>
        </w:rPr>
        <w:t xml:space="preserve"> 4 237</w:t>
      </w:r>
      <w:r w:rsidR="006C3B3B">
        <w:rPr>
          <w:lang w:val="es-ES"/>
        </w:rPr>
        <w:t> </w:t>
      </w:r>
      <w:r w:rsidRPr="005F5D91">
        <w:rPr>
          <w:lang w:val="es-ES"/>
        </w:rPr>
        <w:t>520</w:t>
      </w:r>
      <w:r>
        <w:rPr>
          <w:lang w:val="es-ES"/>
        </w:rPr>
        <w:t xml:space="preserve"> CHF</w:t>
      </w:r>
      <w:r w:rsidRPr="005F5D91">
        <w:rPr>
          <w:lang w:val="es-ES"/>
        </w:rPr>
        <w:t>. Cabe señalar que el 95</w:t>
      </w:r>
      <w:r w:rsidR="006C3B3B">
        <w:rPr>
          <w:lang w:val="es-ES"/>
        </w:rPr>
        <w:t> </w:t>
      </w:r>
      <w:r w:rsidRPr="005F5D91">
        <w:rPr>
          <w:lang w:val="es-ES"/>
        </w:rPr>
        <w:t>% de este importe corresponde a facturas asociadas a notificaciones sujetas a coordinación y solicitudes de coordinación, siendo las fechas de recepción de las no</w:t>
      </w:r>
      <w:r>
        <w:rPr>
          <w:lang w:val="es-ES"/>
        </w:rPr>
        <w:t>tificaciones más recientemente publicadas el</w:t>
      </w:r>
      <w:r w:rsidRPr="005F5D91">
        <w:rPr>
          <w:lang w:val="es-ES"/>
        </w:rPr>
        <w:t xml:space="preserve"> </w:t>
      </w:r>
      <w:r w:rsidRPr="006C3B3B">
        <w:rPr>
          <w:lang w:val="es-ES"/>
        </w:rPr>
        <w:t>21</w:t>
      </w:r>
      <w:r w:rsidR="006C3B3B">
        <w:rPr>
          <w:lang w:val="es-ES"/>
        </w:rPr>
        <w:t>/</w:t>
      </w:r>
      <w:r w:rsidRPr="006C3B3B">
        <w:rPr>
          <w:lang w:val="es-ES"/>
        </w:rPr>
        <w:t>12</w:t>
      </w:r>
      <w:r w:rsidR="006C3B3B">
        <w:rPr>
          <w:lang w:val="es-ES"/>
        </w:rPr>
        <w:t>/</w:t>
      </w:r>
      <w:r w:rsidRPr="006C3B3B">
        <w:rPr>
          <w:lang w:val="es-ES"/>
        </w:rPr>
        <w:t>2024 y el 05</w:t>
      </w:r>
      <w:r w:rsidR="006C3B3B">
        <w:rPr>
          <w:lang w:val="es-ES"/>
        </w:rPr>
        <w:t>/</w:t>
      </w:r>
      <w:r w:rsidRPr="006C3B3B">
        <w:rPr>
          <w:lang w:val="es-ES"/>
        </w:rPr>
        <w:t>11</w:t>
      </w:r>
      <w:r w:rsidR="006C3B3B">
        <w:rPr>
          <w:lang w:val="es-ES"/>
        </w:rPr>
        <w:t>/</w:t>
      </w:r>
      <w:r w:rsidRPr="006C3B3B">
        <w:rPr>
          <w:lang w:val="es-ES"/>
        </w:rPr>
        <w:t>2024</w:t>
      </w:r>
      <w:r>
        <w:rPr>
          <w:lang w:val="es-ES"/>
        </w:rPr>
        <w:t xml:space="preserve">, respectivamente. Por otra parte, cabe señalar que faltan por facturar más de 190 solicitudes de coordinación, por un valor estimado de </w:t>
      </w:r>
      <w:r w:rsidRPr="005F5D91">
        <w:rPr>
          <w:lang w:val="es-ES"/>
        </w:rPr>
        <w:t>3 800</w:t>
      </w:r>
      <w:r w:rsidR="006C3B3B">
        <w:rPr>
          <w:lang w:val="es-ES"/>
        </w:rPr>
        <w:t> </w:t>
      </w:r>
      <w:r w:rsidRPr="005F5D91">
        <w:rPr>
          <w:lang w:val="es-ES"/>
        </w:rPr>
        <w:t>000 C</w:t>
      </w:r>
      <w:r>
        <w:rPr>
          <w:lang w:val="es-ES"/>
        </w:rPr>
        <w:t xml:space="preserve">HF </w:t>
      </w:r>
      <w:r w:rsidRPr="005F5D91">
        <w:rPr>
          <w:lang w:val="es-ES"/>
        </w:rPr>
        <w:t>(</w:t>
      </w:r>
      <w:r>
        <w:rPr>
          <w:lang w:val="es-ES"/>
        </w:rPr>
        <w:t xml:space="preserve">a razón de </w:t>
      </w:r>
      <w:r w:rsidRPr="005F5D91">
        <w:rPr>
          <w:lang w:val="es-ES"/>
        </w:rPr>
        <w:t xml:space="preserve">20 000 </w:t>
      </w:r>
      <w:r>
        <w:rPr>
          <w:lang w:val="es-ES"/>
        </w:rPr>
        <w:t>CHF por solicitud de coordinación), recibidas en 2025</w:t>
      </w:r>
      <w:r w:rsidRPr="005F5D91">
        <w:rPr>
          <w:lang w:val="es-ES"/>
        </w:rPr>
        <w:t>.</w:t>
      </w:r>
    </w:p>
    <w:p w14:paraId="64BE1BF7" w14:textId="77777777" w:rsidR="006D51CF" w:rsidRPr="00511BF9" w:rsidRDefault="006D51CF" w:rsidP="00CE4E77">
      <w:pPr>
        <w:rPr>
          <w:lang w:val="es-ES"/>
        </w:rPr>
      </w:pPr>
      <w:r w:rsidRPr="005F5D91">
        <w:rPr>
          <w:lang w:val="es-ES"/>
        </w:rPr>
        <w:t>Los plazos de tramitación de todas las Secciones Especiales, a excepción de las solicitudes de coordinación, se sitúan en los límites especificados en</w:t>
      </w:r>
      <w:r>
        <w:rPr>
          <w:lang w:val="es-ES"/>
        </w:rPr>
        <w:t xml:space="preserve"> el Reglamento de Radiocomunicaciones o el Plan Operacional del UIT-R, cuando no existe un plazo reglamentario definido</w:t>
      </w:r>
      <w:r w:rsidRPr="005F5D91">
        <w:rPr>
          <w:lang w:val="es-ES"/>
        </w:rPr>
        <w:t xml:space="preserve">. </w:t>
      </w:r>
      <w:r w:rsidRPr="0022624F">
        <w:rPr>
          <w:lang w:val="es-ES"/>
        </w:rPr>
        <w:t>En lo que respecta a las solicitudes de coordinación, el número de redes en tramitación está descendiendo desde mayo de 2025, l</w:t>
      </w:r>
      <w:r>
        <w:rPr>
          <w:lang w:val="es-ES"/>
        </w:rPr>
        <w:t>o que demuestra los esfuerzos invertidos por la Oficina para eliminar el retraso acumulado (en la actualidad el plazo de tramitación es de</w:t>
      </w:r>
      <w:r w:rsidRPr="0022624F">
        <w:rPr>
          <w:lang w:val="es-ES"/>
        </w:rPr>
        <w:t xml:space="preserve"> 14 m</w:t>
      </w:r>
      <w:r>
        <w:rPr>
          <w:lang w:val="es-ES"/>
        </w:rPr>
        <w:t xml:space="preserve">eses, cuando la reglamentación exige 4 meses). </w:t>
      </w:r>
      <w:r w:rsidRPr="0022624F">
        <w:rPr>
          <w:lang w:val="es-ES"/>
        </w:rPr>
        <w:t>No obstante, estos esfuerzos se ven menoscabados por las ac</w:t>
      </w:r>
      <w:r>
        <w:rPr>
          <w:lang w:val="es-ES"/>
        </w:rPr>
        <w:t xml:space="preserve">tuales limitaciones presupuestarias de la UIT, que provocado una congelación de las contrataciones, dejando varios puestos vacantes en la Oficina sin cubrir. </w:t>
      </w:r>
      <w:r w:rsidRPr="00511BF9">
        <w:rPr>
          <w:lang w:val="es-ES"/>
        </w:rPr>
        <w:t>La dotación de personal dedicado a la tramitación de solici</w:t>
      </w:r>
      <w:r>
        <w:rPr>
          <w:lang w:val="es-ES"/>
        </w:rPr>
        <w:t>tudes de coordinación es insuficiente y llega a niveles críticos, por lo que la Oficina carece de los recursos necesarios para absorber el retraso acumulado y reducir, así, el importe de los ingresos aplazados. El retraso en la tramitación de las solicitudes de coordinación genera asimismo incertidumbre reglamentaria e impide que las administraciones y operadores de satélites saquen adelante con sus planes de despliegue de redes, que necesariamente han de ponerse en servicio siete años después de su notificación</w:t>
      </w:r>
      <w:r w:rsidRPr="00511BF9">
        <w:rPr>
          <w:lang w:val="es-ES"/>
        </w:rPr>
        <w:t>.</w:t>
      </w:r>
    </w:p>
    <w:p w14:paraId="7EDAE532" w14:textId="77777777" w:rsidR="006D51CF" w:rsidRPr="00511BF9" w:rsidRDefault="006D51CF" w:rsidP="006D51CF">
      <w:pPr>
        <w:pStyle w:val="Heading2"/>
        <w:rPr>
          <w:i/>
          <w:lang w:val="es-ES"/>
        </w:rPr>
      </w:pPr>
      <w:bookmarkStart w:id="19" w:name="_Toc446060757"/>
      <w:bookmarkStart w:id="20" w:name="_Toc222308670"/>
      <w:bookmarkStart w:id="21" w:name="_Toc222843139"/>
      <w:r w:rsidRPr="00511BF9">
        <w:rPr>
          <w:lang w:val="es-ES"/>
        </w:rPr>
        <w:t>2.2</w:t>
      </w:r>
      <w:r w:rsidRPr="00511BF9">
        <w:rPr>
          <w:lang w:val="es-ES"/>
        </w:rPr>
        <w:tab/>
        <w:t xml:space="preserve">Presupuesto para 2024-2025 </w:t>
      </w:r>
      <w:bookmarkEnd w:id="19"/>
      <w:r w:rsidRPr="00511BF9">
        <w:rPr>
          <w:lang w:val="es-ES"/>
        </w:rPr>
        <w:t xml:space="preserve">y presupuesto </w:t>
      </w:r>
      <w:r>
        <w:rPr>
          <w:lang w:val="es-ES"/>
        </w:rPr>
        <w:t>para</w:t>
      </w:r>
      <w:r w:rsidRPr="00511BF9">
        <w:rPr>
          <w:lang w:val="es-ES"/>
        </w:rPr>
        <w:t xml:space="preserve"> 2026-2027</w:t>
      </w:r>
      <w:bookmarkEnd w:id="20"/>
      <w:bookmarkEnd w:id="21"/>
    </w:p>
    <w:p w14:paraId="2E979C7C" w14:textId="27970175" w:rsidR="006D51CF" w:rsidRPr="00511BF9" w:rsidRDefault="006D51CF" w:rsidP="006D51CF">
      <w:pPr>
        <w:rPr>
          <w:rFonts w:eastAsia="Calibri"/>
          <w:lang w:val="es-ES"/>
        </w:rPr>
      </w:pPr>
      <w:r w:rsidRPr="00511BF9">
        <w:rPr>
          <w:rFonts w:eastAsia="Calibri"/>
          <w:lang w:val="es-ES"/>
        </w:rPr>
        <w:t>En 2023 el Consejo acordó destinar el siguiente presupuesto al UIT-R para el periodo 2024-2025 (</w:t>
      </w:r>
      <w:r>
        <w:rPr>
          <w:rFonts w:eastAsia="Calibri"/>
          <w:lang w:val="es-ES"/>
        </w:rPr>
        <w:t>véase la</w:t>
      </w:r>
      <w:r w:rsidRPr="00511BF9">
        <w:rPr>
          <w:rFonts w:eastAsia="Calibri"/>
          <w:lang w:val="es-ES"/>
        </w:rPr>
        <w:t xml:space="preserve"> </w:t>
      </w:r>
      <w:hyperlink r:id="rId13" w:history="1">
        <w:r>
          <w:rPr>
            <w:rStyle w:val="Hyperlink"/>
            <w:rFonts w:eastAsia="Calibri"/>
            <w:lang w:val="es-ES"/>
          </w:rPr>
          <w:t>Resolución 1417 del Consejo</w:t>
        </w:r>
      </w:hyperlink>
      <w:r w:rsidRPr="00511BF9">
        <w:rPr>
          <w:rFonts w:eastAsia="Calibri"/>
          <w:lang w:val="es-ES"/>
        </w:rPr>
        <w:t>).</w:t>
      </w:r>
    </w:p>
    <w:p w14:paraId="62396667" w14:textId="77777777" w:rsidR="00B7794C" w:rsidRDefault="006D51CF" w:rsidP="00B7794C">
      <w:pPr>
        <w:pStyle w:val="TableNoBR"/>
        <w:spacing w:before="240"/>
      </w:pPr>
      <w:r>
        <w:rPr>
          <w:lang w:val="es-ES"/>
        </w:rPr>
        <w:lastRenderedPageBreak/>
        <w:t>Cuadro</w:t>
      </w:r>
      <w:r w:rsidRPr="00717EF7">
        <w:t xml:space="preserve"> 2.2-1</w:t>
      </w:r>
    </w:p>
    <w:p w14:paraId="073A471B" w14:textId="3C173AD9" w:rsidR="006D51CF" w:rsidRPr="00B7794C" w:rsidRDefault="006D51CF" w:rsidP="005F26E3">
      <w:pPr>
        <w:pStyle w:val="Tabletitle"/>
      </w:pPr>
      <w:r w:rsidRPr="005F26E3">
        <w:rPr>
          <w:sz w:val="24"/>
          <w:szCs w:val="24"/>
          <w:lang w:val="es-ES"/>
        </w:rPr>
        <w:t>Presupuesto para 2024-2025</w:t>
      </w:r>
    </w:p>
    <w:p w14:paraId="61C68F3A" w14:textId="77777777" w:rsidR="006D51CF" w:rsidRPr="00717EF7" w:rsidRDefault="006D51CF" w:rsidP="006D51CF">
      <w:pPr>
        <w:keepNext/>
        <w:keepLines/>
        <w:jc w:val="center"/>
        <w:rPr>
          <w:rFonts w:eastAsia="Calibri"/>
          <w:lang w:val="en-US"/>
        </w:rPr>
      </w:pPr>
      <w:r w:rsidRPr="008A04C3">
        <w:rPr>
          <w:noProof/>
        </w:rPr>
        <w:drawing>
          <wp:inline distT="0" distB="0" distL="0" distR="0" wp14:anchorId="671DDFBE" wp14:editId="001D744A">
            <wp:extent cx="6120765" cy="3636332"/>
            <wp:effectExtent l="0" t="0" r="0" b="2540"/>
            <wp:docPr id="17" name="Picture 1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screenshot of a computer&#10;&#10;Description automatically generated"/>
                    <pic:cNvPicPr/>
                  </pic:nvPicPr>
                  <pic:blipFill>
                    <a:blip r:embed="rId14"/>
                    <a:stretch>
                      <a:fillRect/>
                    </a:stretch>
                  </pic:blipFill>
                  <pic:spPr>
                    <a:xfrm>
                      <a:off x="0" y="0"/>
                      <a:ext cx="6120765" cy="3636332"/>
                    </a:xfrm>
                    <a:prstGeom prst="rect">
                      <a:avLst/>
                    </a:prstGeom>
                  </pic:spPr>
                </pic:pic>
              </a:graphicData>
            </a:graphic>
          </wp:inline>
        </w:drawing>
      </w:r>
    </w:p>
    <w:p w14:paraId="366D51FA" w14:textId="0E70C246" w:rsidR="006D51CF" w:rsidRPr="00511BF9" w:rsidRDefault="006D51CF" w:rsidP="00CE4E77">
      <w:pPr>
        <w:spacing w:before="160"/>
        <w:rPr>
          <w:lang w:val="es-ES"/>
        </w:rPr>
      </w:pPr>
      <w:r w:rsidRPr="00511BF9">
        <w:rPr>
          <w:lang w:val="es-ES"/>
        </w:rPr>
        <w:t>En los Cuadros 2.2-2 y 2.2-3 se muestran respectivamente el presupuesto bienal de la Unión para 2026</w:t>
      </w:r>
      <w:r w:rsidR="00CE4E77">
        <w:rPr>
          <w:lang w:val="es-ES"/>
        </w:rPr>
        <w:noBreakHyphen/>
      </w:r>
      <w:r w:rsidRPr="00511BF9">
        <w:rPr>
          <w:lang w:val="es-ES"/>
        </w:rPr>
        <w:t>2027 y su desglose para el Sector de Radiocomunicaciones, por Secció (véase la Resolución 1435), ad</w:t>
      </w:r>
      <w:r>
        <w:rPr>
          <w:lang w:val="es-ES"/>
        </w:rPr>
        <w:t>optador por el Consejo en</w:t>
      </w:r>
      <w:r w:rsidRPr="00511BF9">
        <w:rPr>
          <w:lang w:val="es-ES"/>
        </w:rPr>
        <w:t xml:space="preserve"> 2025. </w:t>
      </w:r>
    </w:p>
    <w:p w14:paraId="1AEEA469" w14:textId="1F76AD3F" w:rsidR="006D51CF" w:rsidRPr="00454699" w:rsidRDefault="006D51CF" w:rsidP="00B8789E">
      <w:pPr>
        <w:spacing w:before="160"/>
        <w:rPr>
          <w:lang w:val="es-ES"/>
        </w:rPr>
      </w:pPr>
      <w:r w:rsidRPr="00511BF9">
        <w:rPr>
          <w:lang w:val="es-ES"/>
        </w:rPr>
        <w:t xml:space="preserve">El presupuesto bienal de la UIT para 2026-2027 </w:t>
      </w:r>
      <w:r>
        <w:rPr>
          <w:lang w:val="es-ES"/>
        </w:rPr>
        <w:t>ha sufrido una reducción global de</w:t>
      </w:r>
      <w:r w:rsidRPr="00511BF9">
        <w:rPr>
          <w:lang w:val="es-ES"/>
        </w:rPr>
        <w:t xml:space="preserve"> 6</w:t>
      </w:r>
      <w:r>
        <w:rPr>
          <w:lang w:val="es-ES"/>
        </w:rPr>
        <w:t>,</w:t>
      </w:r>
      <w:r w:rsidRPr="00511BF9">
        <w:rPr>
          <w:lang w:val="es-ES"/>
        </w:rPr>
        <w:t>008</w:t>
      </w:r>
      <w:r w:rsidR="00B8789E">
        <w:rPr>
          <w:lang w:val="es-ES"/>
        </w:rPr>
        <w:t> </w:t>
      </w:r>
      <w:r w:rsidRPr="00511BF9">
        <w:rPr>
          <w:lang w:val="es-ES"/>
        </w:rPr>
        <w:t>millon</w:t>
      </w:r>
      <w:r>
        <w:rPr>
          <w:lang w:val="es-ES"/>
        </w:rPr>
        <w:t>es</w:t>
      </w:r>
      <w:r w:rsidR="00B8789E">
        <w:rPr>
          <w:lang w:val="es-ES"/>
        </w:rPr>
        <w:t> </w:t>
      </w:r>
      <w:r>
        <w:rPr>
          <w:lang w:val="es-ES"/>
        </w:rPr>
        <w:t>CHF. Para lograr equilibrar el presupuesto, en su reunión de 2025 el Consejo solicitó a la Secretaría que procediese a una reducción global mediante un ejercicio de priorización que permitiese a los tres Sectores seguir cumpliendo eficazmente su mandato</w:t>
      </w:r>
      <w:r w:rsidRPr="00511BF9">
        <w:rPr>
          <w:lang w:val="es-ES"/>
        </w:rPr>
        <w:t xml:space="preserve"> </w:t>
      </w:r>
      <w:r>
        <w:rPr>
          <w:lang w:val="es-ES"/>
        </w:rPr>
        <w:t>y que rindiese informe de las medidas adoptadas al GTC-RHF. Además, el presupuesto de la BR se determinó aplicando una tasa de vacantes a los puestos de la BR</w:t>
      </w:r>
      <w:r w:rsidRPr="00454699">
        <w:rPr>
          <w:lang w:val="es-ES"/>
        </w:rPr>
        <w:t>.</w:t>
      </w:r>
    </w:p>
    <w:p w14:paraId="6C4C16DD" w14:textId="77777777" w:rsidR="00B7794C" w:rsidRPr="00B7794C" w:rsidRDefault="006D51CF" w:rsidP="00B7794C">
      <w:pPr>
        <w:pStyle w:val="TableNoBR"/>
        <w:spacing w:before="240"/>
        <w:rPr>
          <w:lang w:val="es-ES"/>
        </w:rPr>
      </w:pPr>
      <w:r w:rsidRPr="00B7794C">
        <w:rPr>
          <w:lang w:val="es-ES"/>
        </w:rPr>
        <w:lastRenderedPageBreak/>
        <w:t xml:space="preserve">Cuadro 2.2-2. </w:t>
      </w:r>
    </w:p>
    <w:p w14:paraId="60B2D669" w14:textId="3073FA0A" w:rsidR="006D51CF" w:rsidRPr="005F26E3" w:rsidRDefault="006D51CF" w:rsidP="005F26E3">
      <w:pPr>
        <w:pStyle w:val="Tabletitle"/>
        <w:rPr>
          <w:sz w:val="24"/>
          <w:szCs w:val="24"/>
          <w:lang w:val="es-ES"/>
        </w:rPr>
      </w:pPr>
      <w:r w:rsidRPr="005F26E3">
        <w:rPr>
          <w:sz w:val="24"/>
          <w:szCs w:val="24"/>
          <w:lang w:val="es-ES"/>
        </w:rPr>
        <w:t>Presupuesto bienal de la Unión para 2026-2027</w:t>
      </w:r>
    </w:p>
    <w:p w14:paraId="47D86392" w14:textId="77777777" w:rsidR="006D51CF" w:rsidRDefault="006D51CF" w:rsidP="006D51CF">
      <w:pPr>
        <w:pStyle w:val="Figure"/>
        <w:rPr>
          <w:noProof/>
          <w:lang w:val="es-ES"/>
        </w:rPr>
      </w:pPr>
      <w:r w:rsidRPr="00656615">
        <w:rPr>
          <w:noProof/>
        </w:rPr>
        <w:drawing>
          <wp:inline distT="0" distB="0" distL="0" distR="0" wp14:anchorId="0502DC74" wp14:editId="24D27CEB">
            <wp:extent cx="5766118" cy="1903730"/>
            <wp:effectExtent l="0" t="0" r="6350" b="1270"/>
            <wp:docPr id="1885176922" name="Picture 1885176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79665" cy="1908203"/>
                    </a:xfrm>
                    <a:prstGeom prst="rect">
                      <a:avLst/>
                    </a:prstGeom>
                    <a:noFill/>
                    <a:ln>
                      <a:noFill/>
                    </a:ln>
                  </pic:spPr>
                </pic:pic>
              </a:graphicData>
            </a:graphic>
          </wp:inline>
        </w:drawing>
      </w:r>
    </w:p>
    <w:p w14:paraId="5370A151" w14:textId="77777777" w:rsidR="006D51CF" w:rsidRPr="00717EF7" w:rsidRDefault="006D51CF" w:rsidP="006D51CF"/>
    <w:p w14:paraId="7AEA9980" w14:textId="77777777" w:rsidR="00B7794C" w:rsidRPr="00B7794C" w:rsidRDefault="006D51CF" w:rsidP="00B7794C">
      <w:pPr>
        <w:pStyle w:val="TableNoBR"/>
        <w:spacing w:before="240"/>
        <w:rPr>
          <w:lang w:val="es-ES"/>
        </w:rPr>
      </w:pPr>
      <w:r w:rsidRPr="00B7794C">
        <w:rPr>
          <w:lang w:val="es-ES"/>
        </w:rPr>
        <w:t>Cuadro 2.2-3.</w:t>
      </w:r>
    </w:p>
    <w:p w14:paraId="22E992FE" w14:textId="0A946B72" w:rsidR="006D51CF" w:rsidRPr="005F26E3" w:rsidRDefault="006D51CF" w:rsidP="005F26E3">
      <w:pPr>
        <w:pStyle w:val="Tabletitle"/>
        <w:rPr>
          <w:sz w:val="24"/>
          <w:szCs w:val="24"/>
          <w:lang w:val="es-ES"/>
        </w:rPr>
      </w:pPr>
      <w:r w:rsidRPr="005F26E3">
        <w:rPr>
          <w:sz w:val="24"/>
          <w:szCs w:val="24"/>
          <w:lang w:val="es-ES"/>
        </w:rPr>
        <w:t>Presupuesto de la BR para 2026-2027</w:t>
      </w:r>
    </w:p>
    <w:p w14:paraId="75B8E9B2" w14:textId="77777777" w:rsidR="006D51CF" w:rsidRDefault="006D51CF" w:rsidP="006D51CF">
      <w:pPr>
        <w:pStyle w:val="Figure"/>
        <w:rPr>
          <w:lang w:val="es-ES"/>
        </w:rPr>
      </w:pPr>
      <w:r w:rsidRPr="003513A2">
        <w:rPr>
          <w:noProof/>
        </w:rPr>
        <w:drawing>
          <wp:inline distT="0" distB="0" distL="0" distR="0" wp14:anchorId="1E02D19D" wp14:editId="6D304029">
            <wp:extent cx="6286324" cy="3555365"/>
            <wp:effectExtent l="0" t="0" r="635" b="6985"/>
            <wp:docPr id="1051407316" name="Picture 1051407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08235" cy="3567757"/>
                    </a:xfrm>
                    <a:prstGeom prst="rect">
                      <a:avLst/>
                    </a:prstGeom>
                    <a:noFill/>
                    <a:ln>
                      <a:noFill/>
                    </a:ln>
                  </pic:spPr>
                </pic:pic>
              </a:graphicData>
            </a:graphic>
          </wp:inline>
        </w:drawing>
      </w:r>
    </w:p>
    <w:p w14:paraId="22AD21EB" w14:textId="0A2C0250" w:rsidR="006D51CF" w:rsidRPr="00F77975" w:rsidRDefault="006D51CF" w:rsidP="00CF1BAA">
      <w:pPr>
        <w:spacing w:before="240"/>
        <w:rPr>
          <w:lang w:val="es-ES"/>
        </w:rPr>
      </w:pPr>
      <w:r w:rsidRPr="00F77975">
        <w:rPr>
          <w:lang w:val="es-ES"/>
        </w:rPr>
        <w:t xml:space="preserve">En la reunión del GTC-RHF de enero de 2026 se presentó en el </w:t>
      </w:r>
      <w:hyperlink r:id="rId17" w:history="1">
        <w:r w:rsidRPr="00F77975">
          <w:rPr>
            <w:rStyle w:val="Hyperlink"/>
            <w:lang w:val="es-ES"/>
          </w:rPr>
          <w:t>Documen</w:t>
        </w:r>
        <w:r w:rsidRPr="00F77975">
          <w:rPr>
            <w:rStyle w:val="Hyperlink"/>
            <w:lang w:val="es-ES"/>
          </w:rPr>
          <w:t>t</w:t>
        </w:r>
        <w:r w:rsidRPr="00F77975">
          <w:rPr>
            <w:rStyle w:val="Hyperlink"/>
            <w:lang w:val="es-ES"/>
          </w:rPr>
          <w:t>o CWG-FHR-22/21</w:t>
        </w:r>
      </w:hyperlink>
      <w:r w:rsidRPr="00F77975">
        <w:rPr>
          <w:lang w:val="es-ES"/>
        </w:rPr>
        <w:t xml:space="preserve"> una actualización del presupuesto de la UIT para 2026-2027 p</w:t>
      </w:r>
      <w:r>
        <w:rPr>
          <w:lang w:val="es-ES"/>
        </w:rPr>
        <w:t xml:space="preserve">ara lograr un presupuesto equilibrado incluyendo la priorización y la refundición en el ejercicio de planificación operacional. </w:t>
      </w:r>
      <w:r w:rsidRPr="00F77975">
        <w:rPr>
          <w:lang w:val="es-ES"/>
        </w:rPr>
        <w:t xml:space="preserve">Esta propuesta comprende una reducción de los gastos de misión y </w:t>
      </w:r>
      <w:r>
        <w:rPr>
          <w:lang w:val="es-ES"/>
        </w:rPr>
        <w:t>las consultorías a corto plazo, además de una mayor eficacia (por ejemplo, mediante automatización), como se muestra en el Cuadro</w:t>
      </w:r>
      <w:r w:rsidRPr="00F77975">
        <w:rPr>
          <w:lang w:val="es-ES"/>
        </w:rPr>
        <w:t xml:space="preserve"> 2.2</w:t>
      </w:r>
      <w:r w:rsidR="00CF1BAA">
        <w:rPr>
          <w:lang w:val="es-ES"/>
        </w:rPr>
        <w:noBreakHyphen/>
      </w:r>
      <w:r w:rsidRPr="00F77975">
        <w:rPr>
          <w:lang w:val="es-ES"/>
        </w:rPr>
        <w:t>4. El examen anual de los ingresos y gastos de la ejecución del presupuesto de 2026, inclui</w:t>
      </w:r>
      <w:r>
        <w:rPr>
          <w:lang w:val="es-ES"/>
        </w:rPr>
        <w:t>da la reducción global del presupuesto para</w:t>
      </w:r>
      <w:r w:rsidRPr="00F77975">
        <w:rPr>
          <w:lang w:val="es-ES"/>
        </w:rPr>
        <w:t xml:space="preserve"> 2026-2027</w:t>
      </w:r>
      <w:r>
        <w:rPr>
          <w:lang w:val="es-ES"/>
        </w:rPr>
        <w:t>, se presentará a la reunión de 2026 del Consejo</w:t>
      </w:r>
      <w:r w:rsidRPr="00F77975">
        <w:rPr>
          <w:lang w:val="es-ES"/>
        </w:rPr>
        <w:t>.</w:t>
      </w:r>
    </w:p>
    <w:p w14:paraId="6ECAD5EB" w14:textId="77777777" w:rsidR="00CF1BAA" w:rsidRDefault="006D51CF" w:rsidP="00CF1BAA">
      <w:pPr>
        <w:pStyle w:val="TableNoBR"/>
        <w:spacing w:before="240"/>
        <w:rPr>
          <w:b/>
          <w:lang w:val="es-ES"/>
        </w:rPr>
      </w:pPr>
      <w:r w:rsidRPr="00CF1BAA">
        <w:rPr>
          <w:lang w:val="es-ES"/>
        </w:rPr>
        <w:t>Cuadro</w:t>
      </w:r>
      <w:r w:rsidRPr="00CF1BAA">
        <w:rPr>
          <w:caps w:val="0"/>
          <w:lang w:val="es-ES"/>
        </w:rPr>
        <w:t xml:space="preserve"> 2.2-4</w:t>
      </w:r>
      <w:r w:rsidRPr="00F77975">
        <w:rPr>
          <w:b/>
          <w:lang w:val="es-ES"/>
        </w:rPr>
        <w:t>.</w:t>
      </w:r>
    </w:p>
    <w:p w14:paraId="459CBEF9" w14:textId="37847009" w:rsidR="006D51CF" w:rsidRPr="00F77975" w:rsidRDefault="006D51CF" w:rsidP="005F26E3">
      <w:pPr>
        <w:pStyle w:val="Tabletitle"/>
        <w:rPr>
          <w:b w:val="0"/>
          <w:bCs/>
          <w:lang w:val="es-ES"/>
        </w:rPr>
      </w:pPr>
      <w:r w:rsidRPr="005F26E3">
        <w:rPr>
          <w:sz w:val="24"/>
          <w:szCs w:val="24"/>
          <w:lang w:val="es-ES"/>
        </w:rPr>
        <w:t>Propuesta de revisión del presupuesto de la UIT para 2026-2027, por Oficinas</w:t>
      </w:r>
    </w:p>
    <w:p w14:paraId="009BA492" w14:textId="1C0CE06E" w:rsidR="006D51CF" w:rsidRPr="00E979EB" w:rsidRDefault="00E979EB" w:rsidP="00E979EB">
      <w:pPr>
        <w:keepNext/>
        <w:keepLines/>
        <w:spacing w:after="120"/>
        <w:jc w:val="center"/>
      </w:pPr>
      <w:r w:rsidRPr="00E979EB">
        <w:drawing>
          <wp:inline distT="0" distB="0" distL="0" distR="0" wp14:anchorId="2E1088EE" wp14:editId="0B88F91C">
            <wp:extent cx="6185140" cy="1967282"/>
            <wp:effectExtent l="0" t="0" r="6350" b="0"/>
            <wp:docPr id="1229507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507392" name=""/>
                    <pic:cNvPicPr/>
                  </pic:nvPicPr>
                  <pic:blipFill>
                    <a:blip r:embed="rId18"/>
                    <a:stretch>
                      <a:fillRect/>
                    </a:stretch>
                  </pic:blipFill>
                  <pic:spPr>
                    <a:xfrm>
                      <a:off x="0" y="0"/>
                      <a:ext cx="6203683" cy="1973180"/>
                    </a:xfrm>
                    <a:prstGeom prst="rect">
                      <a:avLst/>
                    </a:prstGeom>
                  </pic:spPr>
                </pic:pic>
              </a:graphicData>
            </a:graphic>
          </wp:inline>
        </w:drawing>
      </w:r>
    </w:p>
    <w:p w14:paraId="6E05327A" w14:textId="77777777" w:rsidR="006D51CF" w:rsidRPr="00F77975" w:rsidRDefault="006D51CF" w:rsidP="006D51CF">
      <w:pPr>
        <w:pStyle w:val="Heading2"/>
        <w:rPr>
          <w:lang w:val="es-ES"/>
        </w:rPr>
      </w:pPr>
      <w:bookmarkStart w:id="22" w:name="_Toc222308671"/>
      <w:bookmarkStart w:id="23" w:name="_Toc222843140"/>
      <w:r w:rsidRPr="00F77975">
        <w:rPr>
          <w:lang w:val="es-ES"/>
        </w:rPr>
        <w:t>2.3</w:t>
      </w:r>
      <w:r w:rsidRPr="00F77975">
        <w:rPr>
          <w:lang w:val="es-ES"/>
        </w:rPr>
        <w:tab/>
        <w:t>Utilización de los seis idiomas oficiales de la Unión</w:t>
      </w:r>
      <w:r>
        <w:rPr>
          <w:lang w:val="es-ES"/>
        </w:rPr>
        <w:t xml:space="preserve"> en igualdad de condiciones</w:t>
      </w:r>
      <w:bookmarkEnd w:id="22"/>
      <w:bookmarkEnd w:id="23"/>
    </w:p>
    <w:p w14:paraId="586E706D" w14:textId="5A1E5C04" w:rsidR="006D51CF" w:rsidRPr="00F77975" w:rsidRDefault="006D51CF" w:rsidP="006D51CF">
      <w:pPr>
        <w:rPr>
          <w:lang w:val="es-ES"/>
        </w:rPr>
      </w:pPr>
      <w:r w:rsidRPr="00F77975">
        <w:rPr>
          <w:lang w:val="es-ES"/>
        </w:rPr>
        <w:t>La Conferencia de Plenipotenciarios de la UIT de 2022 (PP-22) modificó la Resolución 154 (Rev.</w:t>
      </w:r>
      <w:r w:rsidR="00E979EB">
        <w:rPr>
          <w:lang w:val="es-ES"/>
        </w:rPr>
        <w:t> </w:t>
      </w:r>
      <w:r w:rsidRPr="00F77975">
        <w:rPr>
          <w:lang w:val="es-ES"/>
        </w:rPr>
        <w:t>Bucarest, 2022), en la que se pide a la UIT que siga tomando todas las medidas necesarias para garantizar la utilización de los seis idiomas oficiales de la Unión en igualdad de condicio</w:t>
      </w:r>
      <w:r>
        <w:rPr>
          <w:lang w:val="es-ES"/>
        </w:rPr>
        <w:t xml:space="preserve">nes y siga ofreciendo servicios de interpretación y traducción de los documentos de la UIT, señalando al mismo tiempo que algunas actividades de la UIT (por ejemplo, los Grupos de Trabajo o las Conferencias Regionales) podrían no exigir la utilización de todos los idiomas oficiales. </w:t>
      </w:r>
      <w:r w:rsidRPr="00F77975">
        <w:rPr>
          <w:lang w:val="es-ES"/>
        </w:rPr>
        <w:t>En la Resolución 154 (Rev.</w:t>
      </w:r>
      <w:r w:rsidR="00956FC6">
        <w:rPr>
          <w:lang w:val="es-ES"/>
        </w:rPr>
        <w:t> </w:t>
      </w:r>
      <w:r w:rsidRPr="00F77975">
        <w:rPr>
          <w:lang w:val="es-ES"/>
        </w:rPr>
        <w:t xml:space="preserve">Bucarest, 2022) se encarga a la Secretaria General, en estrecha colaboración con los Directores de las Oficinas, que presente un informe anual </w:t>
      </w:r>
      <w:r>
        <w:rPr>
          <w:lang w:val="es-ES"/>
        </w:rPr>
        <w:t>al Consejo y al Grupo de Trabajo del Consejo sobre los Idiomas (GTC-Idiomas</w:t>
      </w:r>
      <w:r w:rsidRPr="00F77975">
        <w:rPr>
          <w:lang w:val="es-ES"/>
        </w:rPr>
        <w:t xml:space="preserve">). </w:t>
      </w:r>
    </w:p>
    <w:p w14:paraId="1FDBDF97" w14:textId="27F7CE96" w:rsidR="006D51CF" w:rsidRPr="00763A4C" w:rsidRDefault="006D51CF" w:rsidP="006D51CF">
      <w:pPr>
        <w:rPr>
          <w:rFonts w:eastAsia="Calibri" w:cs="Arial"/>
          <w:kern w:val="2"/>
          <w:lang w:val="es-ES"/>
          <w14:ligatures w14:val="standardContextual"/>
        </w:rPr>
      </w:pPr>
      <w:r w:rsidRPr="00F77975">
        <w:rPr>
          <w:lang w:val="es-ES"/>
        </w:rPr>
        <w:t xml:space="preserve">En 2025 el Consejo tomó nota del Informe sobre la utilización de los seis idiomas de la Unión en igualdad de condiciones presentado por la Presidenta del GTC-Idiomas en el </w:t>
      </w:r>
      <w:hyperlink r:id="rId19" w:history="1">
        <w:r w:rsidRPr="00F77975">
          <w:rPr>
            <w:rStyle w:val="Hyperlink"/>
            <w:lang w:val="es-ES"/>
          </w:rPr>
          <w:t>Documento C</w:t>
        </w:r>
        <w:r w:rsidRPr="00F77975">
          <w:rPr>
            <w:rStyle w:val="Hyperlink"/>
            <w:lang w:val="es-ES"/>
          </w:rPr>
          <w:t>2</w:t>
        </w:r>
        <w:r w:rsidRPr="00F77975">
          <w:rPr>
            <w:rStyle w:val="Hyperlink"/>
            <w:lang w:val="es-ES"/>
          </w:rPr>
          <w:t>5/12</w:t>
        </w:r>
      </w:hyperlink>
      <w:r w:rsidRPr="00F77975">
        <w:rPr>
          <w:lang w:val="es-ES"/>
        </w:rPr>
        <w:t xml:space="preserve">, </w:t>
      </w:r>
      <w:r>
        <w:rPr>
          <w:lang w:val="es-ES"/>
        </w:rPr>
        <w:t>que contiene los datos más recientes sobre la implementación de la guía sobre multilingüismo, datos sobre la utilización de la herramienta de traducción automática</w:t>
      </w:r>
      <w:r w:rsidRPr="00F77975">
        <w:rPr>
          <w:lang w:val="es-ES"/>
        </w:rPr>
        <w:t xml:space="preserve"> ITU Translate </w:t>
      </w:r>
      <w:r>
        <w:rPr>
          <w:lang w:val="es-ES"/>
        </w:rPr>
        <w:t>y un informe sobre los retos y oportunidades que plantea la utilización de la interpretación por IA en la UIT</w:t>
      </w:r>
      <w:r w:rsidRPr="00F77975">
        <w:rPr>
          <w:lang w:val="es-ES"/>
        </w:rPr>
        <w:t xml:space="preserve"> (Document</w:t>
      </w:r>
      <w:r>
        <w:rPr>
          <w:lang w:val="es-ES"/>
        </w:rPr>
        <w:t>o</w:t>
      </w:r>
      <w:r w:rsidRPr="00F77975">
        <w:rPr>
          <w:lang w:val="es-ES"/>
        </w:rPr>
        <w:t xml:space="preserve"> </w:t>
      </w:r>
      <w:hyperlink r:id="rId20" w:history="1">
        <w:r w:rsidRPr="00F77975">
          <w:rPr>
            <w:rStyle w:val="Hyperlink"/>
            <w:lang w:val="es-ES"/>
          </w:rPr>
          <w:t>C25/I</w:t>
        </w:r>
        <w:r w:rsidRPr="00F77975">
          <w:rPr>
            <w:rStyle w:val="Hyperlink"/>
            <w:lang w:val="es-ES"/>
          </w:rPr>
          <w:t>N</w:t>
        </w:r>
        <w:r w:rsidRPr="00F77975">
          <w:rPr>
            <w:rStyle w:val="Hyperlink"/>
            <w:lang w:val="es-ES"/>
          </w:rPr>
          <w:t>F/7</w:t>
        </w:r>
      </w:hyperlink>
      <w:r w:rsidRPr="00F77975">
        <w:rPr>
          <w:lang w:val="es-ES"/>
        </w:rPr>
        <w:t>).</w:t>
      </w:r>
      <w:r w:rsidRPr="00F77975">
        <w:rPr>
          <w:rFonts w:eastAsia="Calibri" w:cs="Arial"/>
          <w:kern w:val="2"/>
          <w:lang w:val="es-ES"/>
          <w14:ligatures w14:val="standardContextual"/>
        </w:rPr>
        <w:t xml:space="preserve"> </w:t>
      </w:r>
      <w:r w:rsidRPr="00763A4C">
        <w:rPr>
          <w:rFonts w:eastAsia="Calibri" w:cs="Arial"/>
          <w:kern w:val="2"/>
          <w:lang w:val="es-ES"/>
          <w14:ligatures w14:val="standardContextual"/>
        </w:rPr>
        <w:t xml:space="preserve">La Presidenta del GTC-Idiomas presentará </w:t>
      </w:r>
      <w:hyperlink r:id="rId21" w:history="1">
        <w:r w:rsidRPr="00763A4C">
          <w:rPr>
            <w:rStyle w:val="Hyperlink"/>
            <w:rFonts w:eastAsia="Calibri" w:cs="Arial"/>
            <w:kern w:val="2"/>
            <w:lang w:val="es-ES"/>
            <w14:ligatures w14:val="standardContextual"/>
          </w:rPr>
          <w:t>a la reunión d</w:t>
        </w:r>
        <w:r w:rsidRPr="00763A4C">
          <w:rPr>
            <w:rStyle w:val="Hyperlink"/>
            <w:rFonts w:eastAsia="Calibri" w:cs="Arial"/>
            <w:kern w:val="2"/>
            <w:lang w:val="es-ES"/>
            <w14:ligatures w14:val="standardContextual"/>
          </w:rPr>
          <w:t>e</w:t>
        </w:r>
        <w:r w:rsidRPr="00763A4C">
          <w:rPr>
            <w:rStyle w:val="Hyperlink"/>
            <w:rFonts w:eastAsia="Calibri" w:cs="Arial"/>
            <w:kern w:val="2"/>
            <w:lang w:val="es-ES"/>
            <w14:ligatures w14:val="standardContextual"/>
          </w:rPr>
          <w:t xml:space="preserve"> 2026 del Consejo un informe actualizado</w:t>
        </w:r>
      </w:hyperlink>
      <w:r w:rsidRPr="00763A4C">
        <w:rPr>
          <w:rFonts w:eastAsia="Calibri" w:cs="Arial"/>
          <w:kern w:val="2"/>
          <w:lang w:val="es-ES"/>
          <w14:ligatures w14:val="standardContextual"/>
        </w:rPr>
        <w:t xml:space="preserve"> con las propuestas de modificación de la </w:t>
      </w:r>
      <w:r>
        <w:rPr>
          <w:rFonts w:eastAsia="Calibri" w:cs="Arial"/>
          <w:kern w:val="2"/>
          <w:lang w:val="es-ES"/>
          <w14:ligatures w14:val="standardContextual"/>
        </w:rPr>
        <w:t>Resolución</w:t>
      </w:r>
      <w:r w:rsidRPr="00763A4C">
        <w:rPr>
          <w:rFonts w:eastAsia="Calibri" w:cs="Arial"/>
          <w:kern w:val="2"/>
          <w:lang w:val="es-ES"/>
          <w14:ligatures w14:val="standardContextual"/>
        </w:rPr>
        <w:t xml:space="preserve"> 154 (Rev.</w:t>
      </w:r>
      <w:r w:rsidR="005E2F39">
        <w:rPr>
          <w:rFonts w:eastAsia="Calibri" w:cs="Arial"/>
          <w:kern w:val="2"/>
          <w:lang w:val="es-ES"/>
          <w14:ligatures w14:val="standardContextual"/>
        </w:rPr>
        <w:t> </w:t>
      </w:r>
      <w:r w:rsidRPr="00763A4C">
        <w:rPr>
          <w:rFonts w:eastAsia="Calibri" w:cs="Arial"/>
          <w:kern w:val="2"/>
          <w:lang w:val="es-ES"/>
          <w14:ligatures w14:val="standardContextual"/>
        </w:rPr>
        <w:t xml:space="preserve">Bucarest, 2022), </w:t>
      </w:r>
      <w:r>
        <w:rPr>
          <w:rFonts w:eastAsia="Calibri" w:cs="Arial"/>
          <w:kern w:val="2"/>
          <w:lang w:val="es-ES"/>
          <w14:ligatures w14:val="standardContextual"/>
        </w:rPr>
        <w:t>la Resolución</w:t>
      </w:r>
      <w:r w:rsidRPr="00763A4C">
        <w:rPr>
          <w:rFonts w:eastAsia="Calibri" w:cs="Arial"/>
          <w:kern w:val="2"/>
          <w:lang w:val="es-ES"/>
          <w14:ligatures w14:val="standardContextual"/>
        </w:rPr>
        <w:t xml:space="preserve"> 1386 (C17, </w:t>
      </w:r>
      <w:r>
        <w:rPr>
          <w:rFonts w:eastAsia="Calibri" w:cs="Arial"/>
          <w:kern w:val="2"/>
          <w:lang w:val="es-ES"/>
          <w14:ligatures w14:val="standardContextual"/>
        </w:rPr>
        <w:t>modificada</w:t>
      </w:r>
      <w:r w:rsidRPr="00763A4C">
        <w:rPr>
          <w:rFonts w:eastAsia="Calibri" w:cs="Arial"/>
          <w:kern w:val="2"/>
          <w:lang w:val="es-ES"/>
          <w14:ligatures w14:val="standardContextual"/>
        </w:rPr>
        <w:t xml:space="preserve"> C26) </w:t>
      </w:r>
      <w:r>
        <w:rPr>
          <w:rFonts w:eastAsia="Calibri" w:cs="Arial"/>
          <w:kern w:val="2"/>
          <w:lang w:val="es-ES"/>
          <w14:ligatures w14:val="standardContextual"/>
        </w:rPr>
        <w:t>del Consejo sobre el Comité de Coordinación de la UIT, y la Resolución</w:t>
      </w:r>
      <w:r w:rsidRPr="00763A4C">
        <w:rPr>
          <w:rFonts w:eastAsia="Calibri" w:cs="Arial"/>
          <w:kern w:val="2"/>
          <w:lang w:val="es-ES"/>
          <w14:ligatures w14:val="standardContextual"/>
        </w:rPr>
        <w:t xml:space="preserve"> 1372 (C15, </w:t>
      </w:r>
      <w:r>
        <w:rPr>
          <w:rFonts w:eastAsia="Calibri" w:cs="Arial"/>
          <w:kern w:val="2"/>
          <w:lang w:val="es-ES"/>
          <w14:ligatures w14:val="standardContextual"/>
        </w:rPr>
        <w:t>modificada</w:t>
      </w:r>
      <w:r w:rsidRPr="00763A4C">
        <w:rPr>
          <w:rFonts w:eastAsia="Calibri" w:cs="Arial"/>
          <w:kern w:val="2"/>
          <w:lang w:val="es-ES"/>
          <w14:ligatures w14:val="standardContextual"/>
        </w:rPr>
        <w:t xml:space="preserve"> C26) </w:t>
      </w:r>
      <w:r>
        <w:rPr>
          <w:rFonts w:eastAsia="Calibri" w:cs="Arial"/>
          <w:kern w:val="2"/>
          <w:lang w:val="es-ES"/>
          <w14:ligatures w14:val="standardContextual"/>
        </w:rPr>
        <w:t>del Consejo sobre el Grupo de Trabajo del Consejo sobre los Idiomas</w:t>
      </w:r>
      <w:r w:rsidRPr="00763A4C">
        <w:rPr>
          <w:rFonts w:eastAsia="Calibri" w:cs="Arial"/>
          <w:kern w:val="2"/>
          <w:lang w:val="es-ES"/>
          <w14:ligatures w14:val="standardContextual"/>
        </w:rPr>
        <w:t>.</w:t>
      </w:r>
    </w:p>
    <w:p w14:paraId="511D5D1A" w14:textId="77777777" w:rsidR="006D51CF" w:rsidRPr="005E3827" w:rsidRDefault="006D51CF" w:rsidP="006D51CF">
      <w:pPr>
        <w:rPr>
          <w:lang w:val="es-ES"/>
        </w:rPr>
      </w:pPr>
      <w:r w:rsidRPr="00763A4C">
        <w:rPr>
          <w:lang w:val="es-ES"/>
        </w:rPr>
        <w:t>En la Resolución 154 (Rev. Bucarest, 2022) también se encarga a los Grupos Asesores de los Sectores que revisen con periodicidad anual la utilización de todo</w:t>
      </w:r>
      <w:r>
        <w:rPr>
          <w:lang w:val="es-ES"/>
        </w:rPr>
        <w:t xml:space="preserve">s los idiomas oficiales de la Unión en igualdad de condiciones en las publicaciones de la UIT y el sitio web de la UIT. </w:t>
      </w:r>
      <w:r w:rsidRPr="00763A4C">
        <w:rPr>
          <w:lang w:val="es-ES"/>
        </w:rPr>
        <w:t xml:space="preserve">La BR ha hecho notables progresos en la transición de sus sitios web de SharePoint a WordPress, </w:t>
      </w:r>
      <w:r>
        <w:rPr>
          <w:lang w:val="es-ES"/>
        </w:rPr>
        <w:t xml:space="preserve">que soporta la traducción automática de las páginas web. </w:t>
      </w:r>
      <w:r w:rsidRPr="00763A4C">
        <w:rPr>
          <w:lang w:val="es-ES"/>
        </w:rPr>
        <w:t>En el Addéndum 2 a este documento se presenta la situación en</w:t>
      </w:r>
      <w:r>
        <w:rPr>
          <w:lang w:val="es-ES"/>
        </w:rPr>
        <w:t xml:space="preserve"> que se encuentra la traducción de las páginas web de la BR</w:t>
      </w:r>
      <w:r w:rsidRPr="005E3827">
        <w:rPr>
          <w:lang w:val="es-ES"/>
        </w:rPr>
        <w:t>.</w:t>
      </w:r>
    </w:p>
    <w:p w14:paraId="6E897F97" w14:textId="77777777" w:rsidR="006D51CF" w:rsidRPr="004C1106" w:rsidRDefault="006D51CF" w:rsidP="006D51CF">
      <w:pPr>
        <w:pStyle w:val="Heading2"/>
        <w:rPr>
          <w:lang w:val="es-ES"/>
        </w:rPr>
      </w:pPr>
      <w:bookmarkStart w:id="24" w:name="_Toc222308672"/>
      <w:bookmarkStart w:id="25" w:name="_Toc222843141"/>
      <w:r w:rsidRPr="004C1106">
        <w:rPr>
          <w:lang w:val="es-ES"/>
        </w:rPr>
        <w:t>2.4</w:t>
      </w:r>
      <w:r w:rsidRPr="004C1106">
        <w:rPr>
          <w:lang w:val="es-ES"/>
        </w:rPr>
        <w:tab/>
        <w:t>Participación a distancia</w:t>
      </w:r>
      <w:bookmarkEnd w:id="24"/>
      <w:bookmarkEnd w:id="25"/>
    </w:p>
    <w:p w14:paraId="2BF0B932" w14:textId="386A7A74" w:rsidR="006D51CF" w:rsidRPr="005E3827" w:rsidDel="00A705DA" w:rsidRDefault="006D51CF" w:rsidP="006D51CF">
      <w:pPr>
        <w:rPr>
          <w:lang w:val="es-ES"/>
        </w:rPr>
      </w:pPr>
      <w:r w:rsidRPr="005E3827">
        <w:rPr>
          <w:lang w:val="es-ES"/>
        </w:rPr>
        <w:t>La Conferencia de Plenipotenciarios de la UIT de 2022 (PP-22) adoptó la Resolución 167 (Rev.</w:t>
      </w:r>
      <w:r w:rsidR="005E2F39">
        <w:rPr>
          <w:lang w:val="es-ES"/>
        </w:rPr>
        <w:t> </w:t>
      </w:r>
      <w:r w:rsidRPr="005E3827">
        <w:rPr>
          <w:lang w:val="es-ES"/>
        </w:rPr>
        <w:t xml:space="preserve">Bucarest, 2022) sobre el fortalecimiento y el fomento de las capacidades de la UIT para celebrar reuniones totalmente virtuales y reuniones presenciales con participación a distancia, y los medios electrónicos para avanzar la labor de la Unión. En esta Resolución se resuelve que la UIT siga </w:t>
      </w:r>
      <w:r w:rsidRPr="005E3827">
        <w:rPr>
          <w:lang w:val="es-ES"/>
        </w:rPr>
        <w:lastRenderedPageBreak/>
        <w:t xml:space="preserve">elaborando orientaciones de alto nivel para la gestión y la gobernanza de las reuniones totalmente virtuales y las reuniones presenciales con participación a distancia. </w:t>
      </w:r>
    </w:p>
    <w:p w14:paraId="4CFD7806" w14:textId="0B995E7E" w:rsidR="006D51CF" w:rsidRPr="005E3827" w:rsidRDefault="006D51CF" w:rsidP="006D51CF">
      <w:pPr>
        <w:rPr>
          <w:rFonts w:eastAsia="Calibri"/>
          <w:lang w:val="es-ES"/>
        </w:rPr>
      </w:pPr>
      <w:r w:rsidRPr="005E3827">
        <w:rPr>
          <w:rFonts w:eastAsia="Calibri"/>
          <w:lang w:val="es-ES"/>
        </w:rPr>
        <w:t xml:space="preserve">En cumplimiento de lo dispuesto en la Resolución 167 (Rev. Bucarest, 2022), el Consejo creó, en su reunión de 2024, un grupo de trabajo por correspondencia encargado de elaborar un proyecto de directrices sobre la gestión de reuniones plenamente virtuales y reuniones presenciales con participación a distancia en la UIT para su consideración por el Grupo de Trabajo del Consejo sobre recursos humanos y financieros (GTC-RHF). Las directrices elaboradas se presentaron en 2025 al Consejo, que las adoptó, y se </w:t>
      </w:r>
      <w:r>
        <w:rPr>
          <w:rFonts w:eastAsia="Calibri"/>
          <w:lang w:val="es-ES"/>
        </w:rPr>
        <w:t>están publicadas en el</w:t>
      </w:r>
      <w:r w:rsidRPr="005E3827">
        <w:rPr>
          <w:rFonts w:eastAsia="Calibri"/>
          <w:lang w:val="es-ES"/>
        </w:rPr>
        <w:t xml:space="preserve"> </w:t>
      </w:r>
      <w:hyperlink r:id="rId22" w:anchor="/es" w:history="1">
        <w:r>
          <w:rPr>
            <w:rStyle w:val="Hyperlink"/>
            <w:rFonts w:eastAsia="Calibri"/>
            <w:lang w:val="es-ES"/>
          </w:rPr>
          <w:t>sitio we</w:t>
        </w:r>
        <w:r>
          <w:rPr>
            <w:rStyle w:val="Hyperlink"/>
            <w:rFonts w:eastAsia="Calibri"/>
            <w:lang w:val="es-ES"/>
          </w:rPr>
          <w:t>b</w:t>
        </w:r>
        <w:r>
          <w:rPr>
            <w:rStyle w:val="Hyperlink"/>
            <w:rFonts w:eastAsia="Calibri"/>
            <w:lang w:val="es-ES"/>
          </w:rPr>
          <w:t xml:space="preserve"> </w:t>
        </w:r>
        <w:r>
          <w:rPr>
            <w:rStyle w:val="Hyperlink"/>
            <w:rFonts w:eastAsia="Calibri"/>
            <w:lang w:val="es-ES"/>
          </w:rPr>
          <w:t>d</w:t>
        </w:r>
        <w:r>
          <w:rPr>
            <w:rStyle w:val="Hyperlink"/>
            <w:rFonts w:eastAsia="Calibri"/>
            <w:lang w:val="es-ES"/>
          </w:rPr>
          <w:t>e la UIT</w:t>
        </w:r>
      </w:hyperlink>
      <w:r w:rsidRPr="005E3827">
        <w:rPr>
          <w:rFonts w:eastAsia="Calibri"/>
          <w:lang w:val="es-ES"/>
        </w:rPr>
        <w:t xml:space="preserve">. </w:t>
      </w:r>
    </w:p>
    <w:p w14:paraId="32F2553F" w14:textId="77777777" w:rsidR="006D51CF" w:rsidRPr="005E3827" w:rsidRDefault="006D51CF" w:rsidP="006D51CF">
      <w:pPr>
        <w:pStyle w:val="Heading2"/>
        <w:rPr>
          <w:lang w:val="es-ES"/>
        </w:rPr>
      </w:pPr>
      <w:bookmarkStart w:id="26" w:name="_Toc222308673"/>
      <w:bookmarkStart w:id="27" w:name="_Toc222843142"/>
      <w:r w:rsidRPr="005E3827">
        <w:rPr>
          <w:lang w:val="es-ES"/>
        </w:rPr>
        <w:t>2.5</w:t>
      </w:r>
      <w:r w:rsidRPr="005E3827">
        <w:rPr>
          <w:lang w:val="es-ES"/>
        </w:rPr>
        <w:tab/>
        <w:t>Planes Estratégico y Finan</w:t>
      </w:r>
      <w:r>
        <w:rPr>
          <w:lang w:val="es-ES"/>
        </w:rPr>
        <w:t>ciero para</w:t>
      </w:r>
      <w:r w:rsidRPr="005E3827">
        <w:rPr>
          <w:lang w:val="es-ES"/>
        </w:rPr>
        <w:t xml:space="preserve"> 2028-2031</w:t>
      </w:r>
      <w:bookmarkEnd w:id="26"/>
      <w:bookmarkEnd w:id="27"/>
    </w:p>
    <w:p w14:paraId="15BD2E47" w14:textId="45DAB700" w:rsidR="006D51CF" w:rsidRPr="005E3827" w:rsidRDefault="006D51CF" w:rsidP="006D51CF">
      <w:pPr>
        <w:rPr>
          <w:lang w:val="es-ES"/>
        </w:rPr>
      </w:pPr>
      <w:r w:rsidRPr="005E3827">
        <w:rPr>
          <w:lang w:val="es-ES"/>
        </w:rPr>
        <w:t xml:space="preserve">En su reunión de 2024 el Consejo adoptó la </w:t>
      </w:r>
      <w:hyperlink r:id="rId23" w:history="1">
        <w:r w:rsidRPr="005E3827">
          <w:rPr>
            <w:color w:val="0000FF"/>
            <w:u w:val="single"/>
            <w:lang w:val="es-ES"/>
          </w:rPr>
          <w:t>Resol</w:t>
        </w:r>
        <w:r w:rsidRPr="005E3827">
          <w:rPr>
            <w:color w:val="0000FF"/>
            <w:u w:val="single"/>
            <w:lang w:val="es-ES"/>
          </w:rPr>
          <w:t>u</w:t>
        </w:r>
        <w:r w:rsidRPr="005E3827">
          <w:rPr>
            <w:color w:val="0000FF"/>
            <w:u w:val="single"/>
            <w:lang w:val="es-ES"/>
          </w:rPr>
          <w:t>ción 1428 (C24)</w:t>
        </w:r>
      </w:hyperlink>
      <w:r w:rsidRPr="005E3827">
        <w:rPr>
          <w:lang w:val="es-ES"/>
        </w:rPr>
        <w:t>, e</w:t>
      </w:r>
      <w:r>
        <w:rPr>
          <w:lang w:val="es-ES"/>
        </w:rPr>
        <w:t>n virtud de la cual creó el Grupo de Trabajo del Consejo sobre los Planes Estratégico y Financiero (GTC-PEF) y le encomendó el desarrollo de los proyectos de Plan Estratégico y Plan Financiero para</w:t>
      </w:r>
      <w:r w:rsidRPr="005E3827">
        <w:rPr>
          <w:lang w:val="es-ES"/>
        </w:rPr>
        <w:t xml:space="preserve"> 2028-2031 </w:t>
      </w:r>
      <w:r>
        <w:rPr>
          <w:lang w:val="es-ES"/>
        </w:rPr>
        <w:t>que se presentarán a la Conferencia de Plenipotenciarios e</w:t>
      </w:r>
      <w:r w:rsidRPr="005E3827">
        <w:rPr>
          <w:lang w:val="es-ES"/>
        </w:rPr>
        <w:t xml:space="preserve">n 2026. </w:t>
      </w:r>
    </w:p>
    <w:p w14:paraId="15A50BD9" w14:textId="73C614C9" w:rsidR="006D51CF" w:rsidRPr="005E3827" w:rsidRDefault="006D51CF" w:rsidP="006D51CF">
      <w:pPr>
        <w:rPr>
          <w:lang w:val="es-ES"/>
        </w:rPr>
      </w:pPr>
      <w:r w:rsidRPr="005E3827">
        <w:rPr>
          <w:lang w:val="es-ES"/>
        </w:rPr>
        <w:t xml:space="preserve">En su 32ª reunión el GAR creó el Grupo por correspondencia del </w:t>
      </w:r>
      <w:r>
        <w:rPr>
          <w:lang w:val="es-ES"/>
        </w:rPr>
        <w:t>GAR sobre el Plan Estratégico de la UIT para</w:t>
      </w:r>
      <w:r w:rsidRPr="005E3827">
        <w:rPr>
          <w:lang w:val="es-ES"/>
        </w:rPr>
        <w:t xml:space="preserve"> 2028-2031 (</w:t>
      </w:r>
      <w:r>
        <w:rPr>
          <w:lang w:val="es-ES"/>
        </w:rPr>
        <w:t>G</w:t>
      </w:r>
      <w:r w:rsidRPr="005E3827">
        <w:rPr>
          <w:lang w:val="es-ES"/>
        </w:rPr>
        <w:t>C-</w:t>
      </w:r>
      <w:r>
        <w:rPr>
          <w:lang w:val="es-ES"/>
        </w:rPr>
        <w:t>PE-UIT</w:t>
      </w:r>
      <w:r w:rsidRPr="005E3827">
        <w:rPr>
          <w:lang w:val="es-ES"/>
        </w:rPr>
        <w:t>-2028-31)</w:t>
      </w:r>
      <w:r>
        <w:rPr>
          <w:lang w:val="es-ES"/>
        </w:rPr>
        <w:t>, presidido por el Sr.</w:t>
      </w:r>
      <w:r w:rsidR="005E2F39">
        <w:rPr>
          <w:lang w:val="es-ES"/>
        </w:rPr>
        <w:t> </w:t>
      </w:r>
      <w:r w:rsidRPr="005E3827">
        <w:rPr>
          <w:lang w:val="es-ES"/>
        </w:rPr>
        <w:t>El Hadjar ABDOURAMANE (Camer</w:t>
      </w:r>
      <w:r>
        <w:rPr>
          <w:lang w:val="es-ES"/>
        </w:rPr>
        <w:t>ó</w:t>
      </w:r>
      <w:r w:rsidRPr="005E3827">
        <w:rPr>
          <w:lang w:val="es-ES"/>
        </w:rPr>
        <w:t>n). El GC se reunió en dos ocasiones para considerar los resultados de la reunión del GTC</w:t>
      </w:r>
      <w:r w:rsidR="005E2F39">
        <w:rPr>
          <w:lang w:val="es-ES"/>
        </w:rPr>
        <w:noBreakHyphen/>
      </w:r>
      <w:r w:rsidRPr="005E3827">
        <w:rPr>
          <w:lang w:val="es-ES"/>
        </w:rPr>
        <w:t xml:space="preserve">PEF de septiembre de </w:t>
      </w:r>
      <w:r>
        <w:rPr>
          <w:lang w:val="es-ES"/>
        </w:rPr>
        <w:t>2025 y preparar un proyecto de contribución del GAR (véase el Informe d</w:t>
      </w:r>
      <w:r w:rsidR="005E2F39">
        <w:rPr>
          <w:lang w:val="es-ES"/>
        </w:rPr>
        <w:t>el</w:t>
      </w:r>
      <w:r>
        <w:rPr>
          <w:lang w:val="es-ES"/>
        </w:rPr>
        <w:t xml:space="preserve"> GC en el Documento</w:t>
      </w:r>
      <w:r w:rsidRPr="005E3827">
        <w:rPr>
          <w:lang w:val="es-ES"/>
        </w:rPr>
        <w:t xml:space="preserve"> </w:t>
      </w:r>
      <w:hyperlink r:id="rId24" w:history="1">
        <w:r w:rsidRPr="005E3827">
          <w:rPr>
            <w:rStyle w:val="Hyperlink"/>
            <w:lang w:val="es-ES"/>
          </w:rPr>
          <w:t>RAG</w:t>
        </w:r>
        <w:r w:rsidRPr="005E3827">
          <w:rPr>
            <w:rStyle w:val="Hyperlink"/>
            <w:lang w:val="es-ES"/>
          </w:rPr>
          <w:t>/</w:t>
        </w:r>
        <w:r w:rsidRPr="005E3827">
          <w:rPr>
            <w:rStyle w:val="Hyperlink"/>
            <w:lang w:val="es-ES"/>
          </w:rPr>
          <w:t>51</w:t>
        </w:r>
      </w:hyperlink>
      <w:r w:rsidRPr="005E3827">
        <w:rPr>
          <w:lang w:val="es-ES"/>
        </w:rPr>
        <w:t xml:space="preserve">). </w:t>
      </w:r>
    </w:p>
    <w:p w14:paraId="77C44431" w14:textId="631668C5" w:rsidR="006D51CF" w:rsidRPr="005E3827" w:rsidRDefault="006D51CF" w:rsidP="006D51CF">
      <w:pPr>
        <w:rPr>
          <w:lang w:val="es-ES"/>
        </w:rPr>
      </w:pPr>
      <w:r w:rsidRPr="005E3827">
        <w:rPr>
          <w:lang w:val="es-ES"/>
        </w:rPr>
        <w:t>En una reunión especial del GAR sobre el proyecto de Planes Estratégico y Financiero del UIT-R celebrada en diciembre de 2025 s</w:t>
      </w:r>
      <w:r>
        <w:rPr>
          <w:lang w:val="es-ES"/>
        </w:rPr>
        <w:t>e examinó el Informe del GC y se envió una declaración de coordinación a la 4ª reunión del GTC-PEF (véase el documento</w:t>
      </w:r>
      <w:r w:rsidRPr="005E3827">
        <w:rPr>
          <w:lang w:val="es-ES"/>
        </w:rPr>
        <w:t xml:space="preserve"> </w:t>
      </w:r>
      <w:hyperlink r:id="rId25" w:history="1">
        <w:r w:rsidRPr="005E3827">
          <w:rPr>
            <w:rStyle w:val="Hyperlink"/>
            <w:lang w:val="es-ES"/>
          </w:rPr>
          <w:t>CWG-SF</w:t>
        </w:r>
        <w:r w:rsidRPr="005E3827">
          <w:rPr>
            <w:rStyle w:val="Hyperlink"/>
            <w:lang w:val="es-ES"/>
          </w:rPr>
          <w:t>P</w:t>
        </w:r>
        <w:r w:rsidRPr="005E3827">
          <w:rPr>
            <w:rStyle w:val="Hyperlink"/>
            <w:lang w:val="es-ES"/>
          </w:rPr>
          <w:t>-4/6</w:t>
        </w:r>
      </w:hyperlink>
      <w:r w:rsidRPr="005E3827">
        <w:rPr>
          <w:lang w:val="es-ES"/>
        </w:rPr>
        <w:t>) con</w:t>
      </w:r>
      <w:r>
        <w:rPr>
          <w:lang w:val="es-ES"/>
        </w:rPr>
        <w:t xml:space="preserve"> la contribución del GAR al GTC-PEF</w:t>
      </w:r>
      <w:r w:rsidRPr="005E3827">
        <w:rPr>
          <w:lang w:val="es-ES"/>
        </w:rPr>
        <w:t xml:space="preserve">. </w:t>
      </w:r>
    </w:p>
    <w:p w14:paraId="3F790D21" w14:textId="51D9E0A2" w:rsidR="006D51CF" w:rsidRPr="005E3827" w:rsidRDefault="006D51CF" w:rsidP="005E2F39">
      <w:pPr>
        <w:tabs>
          <w:tab w:val="left" w:pos="5245"/>
        </w:tabs>
        <w:rPr>
          <w:lang w:val="es-ES"/>
        </w:rPr>
      </w:pPr>
      <w:r w:rsidRPr="005E3827">
        <w:rPr>
          <w:lang w:val="es-ES"/>
        </w:rPr>
        <w:t>Los resultados de la 4ª reunión del GTC-PEF se presentan a la 33ª reunión del GAR en el Document</w:t>
      </w:r>
      <w:r>
        <w:rPr>
          <w:lang w:val="es-ES"/>
        </w:rPr>
        <w:t>o</w:t>
      </w:r>
      <w:r w:rsidRPr="005E3827">
        <w:rPr>
          <w:lang w:val="es-ES"/>
        </w:rPr>
        <w:t xml:space="preserve"> </w:t>
      </w:r>
      <w:hyperlink r:id="rId26" w:history="1">
        <w:r w:rsidRPr="005E3827">
          <w:rPr>
            <w:rStyle w:val="Hyperlink"/>
            <w:lang w:val="es-ES"/>
          </w:rPr>
          <w:t>RAG</w:t>
        </w:r>
        <w:r w:rsidRPr="005E3827">
          <w:rPr>
            <w:rStyle w:val="Hyperlink"/>
            <w:lang w:val="es-ES"/>
          </w:rPr>
          <w:t>/</w:t>
        </w:r>
        <w:r w:rsidRPr="005E3827">
          <w:rPr>
            <w:rStyle w:val="Hyperlink"/>
            <w:lang w:val="es-ES"/>
          </w:rPr>
          <w:t>55</w:t>
        </w:r>
      </w:hyperlink>
      <w:r w:rsidRPr="005E3827">
        <w:rPr>
          <w:lang w:val="es-ES"/>
        </w:rPr>
        <w:t xml:space="preserve">. </w:t>
      </w:r>
    </w:p>
    <w:p w14:paraId="21F9723F" w14:textId="19D03742" w:rsidR="006D51CF" w:rsidRPr="005E3827" w:rsidRDefault="006D51CF" w:rsidP="006D51CF">
      <w:pPr>
        <w:rPr>
          <w:lang w:val="es-ES"/>
        </w:rPr>
      </w:pPr>
      <w:r w:rsidRPr="005E3827">
        <w:rPr>
          <w:lang w:val="es-ES"/>
        </w:rPr>
        <w:t>Como consecuencia de las reuniones de los Grupos de Trabajo de enero de 2026, se ha previsto celebrar una reunión adicional del GTC-PEF y un</w:t>
      </w:r>
      <w:r>
        <w:rPr>
          <w:lang w:val="es-ES"/>
        </w:rPr>
        <w:t>a reunión conjunta del GTC-PEF y el GTC-RHF el 27 de abril de</w:t>
      </w:r>
      <w:r w:rsidRPr="005E3827">
        <w:rPr>
          <w:lang w:val="es-ES"/>
        </w:rPr>
        <w:t xml:space="preserve"> 2026 (</w:t>
      </w:r>
      <w:r>
        <w:rPr>
          <w:lang w:val="es-ES"/>
        </w:rPr>
        <w:t>véase</w:t>
      </w:r>
      <w:r w:rsidRPr="005E3827">
        <w:rPr>
          <w:lang w:val="es-ES"/>
        </w:rPr>
        <w:t xml:space="preserve"> </w:t>
      </w:r>
      <w:hyperlink r:id="rId27" w:history="1">
        <w:r w:rsidRPr="005E3827">
          <w:rPr>
            <w:rStyle w:val="Hyperlink"/>
            <w:lang w:val="es-ES"/>
          </w:rPr>
          <w:t>CL-2</w:t>
        </w:r>
        <w:r w:rsidRPr="005E3827">
          <w:rPr>
            <w:rStyle w:val="Hyperlink"/>
            <w:lang w:val="es-ES"/>
          </w:rPr>
          <w:t>6</w:t>
        </w:r>
        <w:r w:rsidRPr="005E3827">
          <w:rPr>
            <w:rStyle w:val="Hyperlink"/>
            <w:lang w:val="es-ES"/>
          </w:rPr>
          <w:t>/06</w:t>
        </w:r>
      </w:hyperlink>
      <w:r w:rsidRPr="005E3827">
        <w:rPr>
          <w:lang w:val="es-ES"/>
        </w:rPr>
        <w:t>).</w:t>
      </w:r>
    </w:p>
    <w:p w14:paraId="79A0AAC2" w14:textId="77777777" w:rsidR="006D51CF" w:rsidRPr="004C1106" w:rsidRDefault="006D51CF" w:rsidP="006D51CF">
      <w:pPr>
        <w:pStyle w:val="Heading2"/>
        <w:rPr>
          <w:lang w:val="es-ES"/>
        </w:rPr>
      </w:pPr>
      <w:bookmarkStart w:id="28" w:name="_Toc222308674"/>
      <w:bookmarkStart w:id="29" w:name="_Toc222843143"/>
      <w:r w:rsidRPr="004C1106">
        <w:rPr>
          <w:lang w:val="es-ES"/>
        </w:rPr>
        <w:t>2.6</w:t>
      </w:r>
      <w:r w:rsidRPr="004C1106">
        <w:rPr>
          <w:lang w:val="es-ES"/>
        </w:rPr>
        <w:tab/>
        <w:t>Continuidad de las actividades</w:t>
      </w:r>
      <w:bookmarkEnd w:id="28"/>
      <w:bookmarkEnd w:id="29"/>
      <w:r w:rsidRPr="004C1106">
        <w:rPr>
          <w:lang w:val="es-ES"/>
        </w:rPr>
        <w:t xml:space="preserve"> </w:t>
      </w:r>
    </w:p>
    <w:p w14:paraId="23C3C672" w14:textId="3CF659D8" w:rsidR="006D51CF" w:rsidRPr="004C4B90" w:rsidRDefault="006D51CF" w:rsidP="006D51CF">
      <w:pPr>
        <w:rPr>
          <w:lang w:val="es-ES"/>
        </w:rPr>
      </w:pPr>
      <w:r w:rsidRPr="004C4B90">
        <w:rPr>
          <w:lang w:val="es-ES"/>
        </w:rPr>
        <w:t xml:space="preserve">Se presentó a la 22ª reunión del GTC-RHF, celebrada en enero de 2026, una actualización sobre la continuidad de las actividades para las reuniones de la UIT durante el periodo de construcción del nuevo edificio de la Sede de </w:t>
      </w:r>
      <w:r>
        <w:rPr>
          <w:lang w:val="es-ES"/>
        </w:rPr>
        <w:t xml:space="preserve">la UIT en </w:t>
      </w:r>
      <w:r w:rsidRPr="004C4B90">
        <w:rPr>
          <w:lang w:val="es-ES"/>
        </w:rPr>
        <w:t xml:space="preserve">2028 </w:t>
      </w:r>
      <w:r>
        <w:rPr>
          <w:lang w:val="es-ES"/>
        </w:rPr>
        <w:t>y</w:t>
      </w:r>
      <w:r w:rsidRPr="004C4B90">
        <w:rPr>
          <w:lang w:val="es-ES"/>
        </w:rPr>
        <w:t xml:space="preserve"> 2029 (Document</w:t>
      </w:r>
      <w:r>
        <w:rPr>
          <w:lang w:val="es-ES"/>
        </w:rPr>
        <w:t>o</w:t>
      </w:r>
      <w:r w:rsidRPr="004C4B90">
        <w:rPr>
          <w:lang w:val="es-ES"/>
        </w:rPr>
        <w:t xml:space="preserve"> </w:t>
      </w:r>
      <w:hyperlink r:id="rId28" w:history="1">
        <w:r w:rsidRPr="004C4B90">
          <w:rPr>
            <w:rStyle w:val="Hyperlink"/>
            <w:spacing w:val="-2"/>
            <w:szCs w:val="24"/>
            <w:lang w:val="es-ES"/>
          </w:rPr>
          <w:t>CWG-FH</w:t>
        </w:r>
        <w:r w:rsidRPr="004C4B90">
          <w:rPr>
            <w:rStyle w:val="Hyperlink"/>
            <w:spacing w:val="-2"/>
            <w:szCs w:val="24"/>
            <w:lang w:val="es-ES"/>
          </w:rPr>
          <w:t>R</w:t>
        </w:r>
        <w:r w:rsidRPr="004C4B90">
          <w:rPr>
            <w:rStyle w:val="Hyperlink"/>
            <w:spacing w:val="-2"/>
            <w:szCs w:val="24"/>
            <w:lang w:val="es-ES"/>
          </w:rPr>
          <w:t>-22/13</w:t>
        </w:r>
      </w:hyperlink>
      <w:r w:rsidRPr="004C4B90">
        <w:rPr>
          <w:lang w:val="es-ES"/>
        </w:rPr>
        <w:t xml:space="preserve">). </w:t>
      </w:r>
    </w:p>
    <w:p w14:paraId="28A0C188" w14:textId="71A72FB0" w:rsidR="006D51CF" w:rsidRPr="004C4B90" w:rsidRDefault="006D51CF" w:rsidP="005E2F39">
      <w:pPr>
        <w:rPr>
          <w:rFonts w:eastAsia="Calibri"/>
          <w:lang w:val="es-ES"/>
        </w:rPr>
      </w:pPr>
      <w:r w:rsidRPr="004C4B90">
        <w:rPr>
          <w:rFonts w:eastAsia="Calibri"/>
          <w:lang w:val="es-ES"/>
        </w:rPr>
        <w:t xml:space="preserve">A causa de las interrupciones que previsiblemente causará la construcción del nuevo edificio, es necesario reservar salas de reunión alternativas para entre 60 y 65 reuniones técnicas estatutarias (Comisiones de Estudio y Grupos de Trabajo de todos los Sectores, así como reuniones de </w:t>
      </w:r>
      <w:r>
        <w:rPr>
          <w:rFonts w:eastAsia="Calibri"/>
          <w:lang w:val="es-ES"/>
        </w:rPr>
        <w:t xml:space="preserve">los Grupos Asesores, el Consejo y los Grupos de Trabajo del Consejo), generalmente celebradas en la Sede de la UIT. </w:t>
      </w:r>
      <w:r w:rsidRPr="004C4B90">
        <w:rPr>
          <w:rFonts w:eastAsia="Calibri"/>
          <w:lang w:val="es-ES"/>
        </w:rPr>
        <w:t xml:space="preserve">La empresa encargada del diseño del proyecto de edificio </w:t>
      </w:r>
      <w:r>
        <w:rPr>
          <w:rFonts w:eastAsia="Calibri"/>
          <w:lang w:val="es-ES"/>
        </w:rPr>
        <w:t>ha confirmado que el periodo más problemático será el comprendido entre julio de</w:t>
      </w:r>
      <w:r w:rsidRPr="004C4B90">
        <w:rPr>
          <w:rFonts w:eastAsia="Calibri"/>
          <w:lang w:val="es-ES"/>
        </w:rPr>
        <w:t xml:space="preserve"> 2028 y</w:t>
      </w:r>
      <w:r>
        <w:rPr>
          <w:rFonts w:eastAsia="Calibri"/>
          <w:lang w:val="es-ES"/>
        </w:rPr>
        <w:t xml:space="preserve"> julio de</w:t>
      </w:r>
      <w:r w:rsidRPr="004C4B90">
        <w:rPr>
          <w:rFonts w:eastAsia="Calibri"/>
          <w:lang w:val="es-ES"/>
        </w:rPr>
        <w:t xml:space="preserve"> 2029, </w:t>
      </w:r>
      <w:r>
        <w:rPr>
          <w:rFonts w:eastAsia="Calibri"/>
          <w:lang w:val="es-ES"/>
        </w:rPr>
        <w:t>previéndose un periodo de contingencia de julio a diciembre de 2029</w:t>
      </w:r>
      <w:r w:rsidRPr="004C4B90">
        <w:rPr>
          <w:rFonts w:eastAsia="Calibri"/>
          <w:lang w:val="es-ES"/>
        </w:rPr>
        <w:t xml:space="preserve">. Una lista provisional de las reuniones afectadas durante este periodo figura en </w:t>
      </w:r>
      <w:r>
        <w:rPr>
          <w:rFonts w:eastAsia="Calibri"/>
          <w:lang w:val="es-ES"/>
        </w:rPr>
        <w:t>el Anexo al Documento</w:t>
      </w:r>
      <w:r w:rsidRPr="004C4B90">
        <w:rPr>
          <w:rFonts w:eastAsia="Calibri"/>
          <w:lang w:val="es-ES"/>
        </w:rPr>
        <w:t xml:space="preserve"> </w:t>
      </w:r>
      <w:hyperlink r:id="rId29" w:history="1">
        <w:r w:rsidR="005E2F39" w:rsidRPr="004C4B90">
          <w:rPr>
            <w:rStyle w:val="Hyperlink"/>
            <w:spacing w:val="-2"/>
            <w:szCs w:val="24"/>
            <w:lang w:val="es-ES"/>
          </w:rPr>
          <w:t>CWG-FHR-22/13</w:t>
        </w:r>
      </w:hyperlink>
      <w:r w:rsidRPr="004C4B90">
        <w:rPr>
          <w:rFonts w:eastAsia="Calibri"/>
          <w:lang w:val="es-ES"/>
        </w:rPr>
        <w:t>.</w:t>
      </w:r>
    </w:p>
    <w:p w14:paraId="3A2D4823" w14:textId="29A03FC2" w:rsidR="006D51CF" w:rsidRPr="004C4B90" w:rsidRDefault="006D51CF" w:rsidP="006D51CF">
      <w:pPr>
        <w:jc w:val="both"/>
        <w:rPr>
          <w:rFonts w:eastAsia="Calibri"/>
          <w:lang w:val="es-ES"/>
        </w:rPr>
      </w:pPr>
      <w:r w:rsidRPr="004C4B90">
        <w:rPr>
          <w:rFonts w:eastAsia="Calibri"/>
          <w:lang w:val="es-ES"/>
        </w:rPr>
        <w:t>Durante la reunión del GTC-RHF, Suiza presentó una contribución en la que confirma una contribución por unos 2,8</w:t>
      </w:r>
      <w:r w:rsidR="00A72802">
        <w:rPr>
          <w:rFonts w:eastAsia="Calibri"/>
          <w:lang w:val="es-ES"/>
        </w:rPr>
        <w:t> </w:t>
      </w:r>
      <w:r w:rsidRPr="004C4B90">
        <w:rPr>
          <w:rFonts w:eastAsia="Calibri"/>
          <w:lang w:val="es-ES"/>
        </w:rPr>
        <w:t>millones</w:t>
      </w:r>
      <w:r w:rsidR="00A72802">
        <w:rPr>
          <w:rFonts w:eastAsia="Calibri"/>
          <w:lang w:val="es-ES"/>
        </w:rPr>
        <w:t> </w:t>
      </w:r>
      <w:r w:rsidRPr="004C4B90">
        <w:rPr>
          <w:rFonts w:eastAsia="Calibri"/>
          <w:lang w:val="es-ES"/>
        </w:rPr>
        <w:t>CHF al fondo de continuida</w:t>
      </w:r>
      <w:r>
        <w:rPr>
          <w:rFonts w:eastAsia="Calibri"/>
          <w:lang w:val="es-ES"/>
        </w:rPr>
        <w:t>d de las actividades para la celebración de reuniones de la UIT en Ginebra durante el periodo en que el proyecto de construcción genere más perturbaciones</w:t>
      </w:r>
      <w:r w:rsidRPr="004C4B90">
        <w:rPr>
          <w:rFonts w:eastAsia="Calibri"/>
          <w:lang w:val="es-ES"/>
        </w:rPr>
        <w:t>.</w:t>
      </w:r>
    </w:p>
    <w:p w14:paraId="7635365C" w14:textId="77777777" w:rsidR="006D51CF" w:rsidRPr="007A2D3A" w:rsidRDefault="006D51CF" w:rsidP="006D51CF">
      <w:pPr>
        <w:rPr>
          <w:rFonts w:eastAsia="Calibri"/>
          <w:szCs w:val="24"/>
          <w:lang w:val="es-ES" w:eastAsia="ja-JP"/>
        </w:rPr>
      </w:pPr>
      <w:r w:rsidRPr="007A2D3A">
        <w:rPr>
          <w:rFonts w:eastAsia="Calibri"/>
          <w:lang w:val="es-ES"/>
        </w:rPr>
        <w:lastRenderedPageBreak/>
        <w:t>La Secretaría está actualmente en proceso de identificar el mayor número posible de salas en Ginebra y sus inmediaciones para celebrar el mayor número posible de</w:t>
      </w:r>
      <w:r>
        <w:rPr>
          <w:rFonts w:eastAsia="Calibri"/>
          <w:lang w:val="es-ES"/>
        </w:rPr>
        <w:t xml:space="preserve"> reuniones del periodo considerado ajustándose a los límites presupuestarios. </w:t>
      </w:r>
      <w:r w:rsidRPr="007A2D3A">
        <w:rPr>
          <w:rFonts w:eastAsia="Calibri"/>
          <w:lang w:val="es-ES"/>
        </w:rPr>
        <w:t>Entre las salas contempladas en Ginebra se cuentan el</w:t>
      </w:r>
      <w:r w:rsidRPr="007A2D3A">
        <w:rPr>
          <w:lang w:val="es-ES"/>
        </w:rPr>
        <w:t xml:space="preserve"> CICG, Palexpo, l</w:t>
      </w:r>
      <w:r>
        <w:rPr>
          <w:lang w:val="es-ES"/>
        </w:rPr>
        <w:t xml:space="preserve">a ONUG, la OMS y la OIT. </w:t>
      </w:r>
      <w:r w:rsidRPr="007A2D3A">
        <w:rPr>
          <w:lang w:val="es-ES"/>
        </w:rPr>
        <w:t>Cabe señalar, no obstante, que el CICG no estará disponible en todo 2028, año en qu</w:t>
      </w:r>
      <w:r>
        <w:rPr>
          <w:lang w:val="es-ES"/>
        </w:rPr>
        <w:t>e está prevista su renovación, y su disponibilidad será muy limitada en</w:t>
      </w:r>
      <w:r w:rsidRPr="007A2D3A">
        <w:rPr>
          <w:lang w:val="es-ES"/>
        </w:rPr>
        <w:t xml:space="preserve"> 2029. Además, la ONUG no aceptar reservas con más de 6 meses de antela</w:t>
      </w:r>
      <w:r>
        <w:rPr>
          <w:lang w:val="es-ES"/>
        </w:rPr>
        <w:t xml:space="preserve">ción. </w:t>
      </w:r>
      <w:r w:rsidRPr="007A2D3A">
        <w:rPr>
          <w:lang w:val="es-ES"/>
        </w:rPr>
        <w:t>Dadas esas limitaciones, y las fuertes restricciones presupuestarias,</w:t>
      </w:r>
      <w:r>
        <w:rPr>
          <w:lang w:val="es-ES"/>
        </w:rPr>
        <w:t xml:space="preserve"> la Secretaría está asimismo colaborando con los Sectores para estudiar la lista de reuniones y ver si fuese posible reducir el número de reuniones durante este periodo, limitar su duración y/o el número de días de reunión, o reducir el aforo necesario recortando el número de salas para cada reunión. </w:t>
      </w:r>
      <w:r w:rsidRPr="007A2D3A">
        <w:rPr>
          <w:lang w:val="es-ES"/>
        </w:rPr>
        <w:t xml:space="preserve">También podría considerarse la opción de celebrar algunas </w:t>
      </w:r>
      <w:r>
        <w:rPr>
          <w:lang w:val="es-ES"/>
        </w:rPr>
        <w:t>reuniones fuera de Ginebra si algún gobierno envía la correspondiente invitación en virtud de la Resolución</w:t>
      </w:r>
      <w:r w:rsidRPr="007A2D3A">
        <w:rPr>
          <w:rFonts w:eastAsia="Calibri"/>
          <w:lang w:val="es-ES"/>
        </w:rPr>
        <w:t xml:space="preserve"> 5 </w:t>
      </w:r>
      <w:r>
        <w:rPr>
          <w:rFonts w:eastAsia="Calibri"/>
          <w:lang w:val="es-ES"/>
        </w:rPr>
        <w:t>(</w:t>
      </w:r>
      <w:r w:rsidRPr="007A2D3A">
        <w:rPr>
          <w:rFonts w:eastAsia="Calibri"/>
          <w:lang w:val="es-ES"/>
        </w:rPr>
        <w:t>Kyoto</w:t>
      </w:r>
      <w:r>
        <w:rPr>
          <w:rFonts w:eastAsia="Calibri"/>
          <w:lang w:val="es-ES"/>
        </w:rPr>
        <w:t>,</w:t>
      </w:r>
      <w:r w:rsidRPr="007A2D3A">
        <w:rPr>
          <w:rFonts w:eastAsia="Calibri"/>
          <w:lang w:val="es-ES"/>
        </w:rPr>
        <w:t xml:space="preserve"> 1994</w:t>
      </w:r>
      <w:r>
        <w:rPr>
          <w:rFonts w:eastAsia="Calibri"/>
          <w:lang w:val="es-ES"/>
        </w:rPr>
        <w:t xml:space="preserve">) de la PP o en el marco de la propuesta del Centro de Reuniones de la UIT, enviada a todos los Estados Miembros, si se recibe alguna propuesta en firme para la reunión de 2026 del Consejo. </w:t>
      </w:r>
      <w:r w:rsidRPr="007A2D3A">
        <w:rPr>
          <w:rFonts w:eastAsia="Calibri"/>
          <w:lang w:val="es-ES"/>
        </w:rPr>
        <w:t>Por último, podría considerarse la posibilidad de celebrar algunas reuniones en formato totalmente virtual</w:t>
      </w:r>
      <w:r w:rsidRPr="007A2D3A">
        <w:rPr>
          <w:lang w:val="es-ES"/>
        </w:rPr>
        <w:t>.</w:t>
      </w:r>
    </w:p>
    <w:p w14:paraId="72736AD8" w14:textId="77777777" w:rsidR="006D51CF" w:rsidRPr="007A2D3A" w:rsidRDefault="006D51CF" w:rsidP="006D51CF">
      <w:pPr>
        <w:rPr>
          <w:lang w:val="es-ES"/>
        </w:rPr>
      </w:pPr>
      <w:r w:rsidRPr="007A2D3A">
        <w:rPr>
          <w:rFonts w:eastAsia="Calibri"/>
          <w:lang w:val="es-ES"/>
        </w:rPr>
        <w:t>Se presentará a la reunión de 2026 del Consejo un</w:t>
      </w:r>
      <w:r>
        <w:rPr>
          <w:rFonts w:eastAsia="Calibri"/>
          <w:lang w:val="es-ES"/>
        </w:rPr>
        <w:t xml:space="preserve"> informe intermedio sobre la continuidad de las actividades para las reuniones</w:t>
      </w:r>
      <w:r w:rsidRPr="007A2D3A">
        <w:rPr>
          <w:rFonts w:eastAsia="Calibri"/>
          <w:lang w:val="es-ES"/>
        </w:rPr>
        <w:t>.</w:t>
      </w:r>
    </w:p>
    <w:p w14:paraId="50D6D163" w14:textId="77777777" w:rsidR="006D51CF" w:rsidRPr="009B60F6" w:rsidRDefault="006D51CF" w:rsidP="006D51CF">
      <w:pPr>
        <w:pStyle w:val="Heading1"/>
        <w:rPr>
          <w:bCs/>
          <w:lang w:val="es-ES"/>
        </w:rPr>
      </w:pPr>
      <w:bookmarkStart w:id="30" w:name="_Toc222308675"/>
      <w:bookmarkStart w:id="31" w:name="_Toc222843144"/>
      <w:r w:rsidRPr="009B60F6">
        <w:rPr>
          <w:lang w:val="es-ES"/>
        </w:rPr>
        <w:t>3</w:t>
      </w:r>
      <w:r w:rsidRPr="009B60F6">
        <w:rPr>
          <w:lang w:val="es-ES"/>
        </w:rPr>
        <w:tab/>
        <w:t>Aplicación de las decisiones de</w:t>
      </w:r>
      <w:r>
        <w:rPr>
          <w:lang w:val="es-ES"/>
        </w:rPr>
        <w:t xml:space="preserve"> la CMR-23</w:t>
      </w:r>
      <w:bookmarkEnd w:id="30"/>
      <w:bookmarkEnd w:id="31"/>
    </w:p>
    <w:p w14:paraId="5C2B929D" w14:textId="77777777" w:rsidR="006D51CF" w:rsidRPr="009B60F6" w:rsidRDefault="006D51CF" w:rsidP="006D51CF">
      <w:pPr>
        <w:pStyle w:val="Heading2"/>
        <w:rPr>
          <w:lang w:val="es-ES"/>
        </w:rPr>
      </w:pPr>
      <w:bookmarkStart w:id="32" w:name="_Toc446060760"/>
      <w:bookmarkStart w:id="33" w:name="_Toc222308676"/>
      <w:bookmarkStart w:id="34" w:name="_Toc222843145"/>
      <w:r w:rsidRPr="009B60F6">
        <w:rPr>
          <w:lang w:val="es-ES"/>
        </w:rPr>
        <w:t>3.1</w:t>
      </w:r>
      <w:r w:rsidRPr="009B60F6">
        <w:rPr>
          <w:lang w:val="es-ES"/>
        </w:rPr>
        <w:tab/>
        <w:t xml:space="preserve">Aplicación de las decisiones de </w:t>
      </w:r>
      <w:r>
        <w:rPr>
          <w:lang w:val="es-ES"/>
        </w:rPr>
        <w:t>la CMR-23</w:t>
      </w:r>
      <w:bookmarkStart w:id="35" w:name="_Toc446060763"/>
      <w:bookmarkEnd w:id="32"/>
      <w:bookmarkEnd w:id="33"/>
      <w:bookmarkEnd w:id="34"/>
    </w:p>
    <w:bookmarkEnd w:id="35"/>
    <w:p w14:paraId="0EA46E19" w14:textId="074A7AAF" w:rsidR="006D51CF" w:rsidRPr="004C1106" w:rsidRDefault="006D51CF" w:rsidP="006D51CF">
      <w:pPr>
        <w:rPr>
          <w:lang w:val="es-ES"/>
        </w:rPr>
      </w:pPr>
      <w:r w:rsidRPr="009B60F6">
        <w:rPr>
          <w:lang w:val="es-ES"/>
        </w:rPr>
        <w:t xml:space="preserve">La CMR-23 definió una serie de áreas de trabajo, estudio y desarrollo de </w:t>
      </w:r>
      <w:r w:rsidRPr="00A72802">
        <w:rPr>
          <w:i/>
          <w:iCs/>
          <w:lang w:val="es-ES"/>
        </w:rPr>
        <w:t>software</w:t>
      </w:r>
      <w:r w:rsidRPr="009B60F6">
        <w:rPr>
          <w:lang w:val="es-ES"/>
        </w:rPr>
        <w:t xml:space="preserve"> a</w:t>
      </w:r>
      <w:r>
        <w:rPr>
          <w:lang w:val="es-ES"/>
        </w:rPr>
        <w:t>dicionales con miras a la aplicación de las decisiones de la Conferencia</w:t>
      </w:r>
      <w:r w:rsidRPr="009B60F6">
        <w:rPr>
          <w:lang w:val="es-ES"/>
        </w:rPr>
        <w:t>. La ejecución de estas nuevas actividades tiene un coste total estimado de 12,6</w:t>
      </w:r>
      <w:r w:rsidR="00A72802">
        <w:rPr>
          <w:lang w:val="es-ES"/>
        </w:rPr>
        <w:t> </w:t>
      </w:r>
      <w:r w:rsidRPr="009B60F6">
        <w:rPr>
          <w:lang w:val="es-ES"/>
        </w:rPr>
        <w:t>millon</w:t>
      </w:r>
      <w:r>
        <w:rPr>
          <w:lang w:val="es-ES"/>
        </w:rPr>
        <w:t>es</w:t>
      </w:r>
      <w:r w:rsidR="00A72802">
        <w:rPr>
          <w:lang w:val="es-ES"/>
        </w:rPr>
        <w:t> </w:t>
      </w:r>
      <w:r>
        <w:rPr>
          <w:lang w:val="es-ES"/>
        </w:rPr>
        <w:t>CH</w:t>
      </w:r>
      <w:r w:rsidR="00A72802">
        <w:rPr>
          <w:lang w:val="es-ES"/>
        </w:rPr>
        <w:t>F</w:t>
      </w:r>
      <w:r>
        <w:rPr>
          <w:lang w:val="es-ES"/>
        </w:rPr>
        <w:t>, incluidos los costes tanto puntuales como recurrentes para el periodo</w:t>
      </w:r>
      <w:r w:rsidRPr="009B60F6">
        <w:rPr>
          <w:lang w:val="es-ES"/>
        </w:rPr>
        <w:t xml:space="preserve"> 2024-2027</w:t>
      </w:r>
      <w:r>
        <w:rPr>
          <w:lang w:val="es-ES"/>
        </w:rPr>
        <w:t xml:space="preserve">. </w:t>
      </w:r>
      <w:r w:rsidRPr="004C1106">
        <w:rPr>
          <w:lang w:val="es-ES"/>
        </w:rPr>
        <w:t>Los costes globales estimados se indican en el Cuadro 3.2.1.</w:t>
      </w:r>
    </w:p>
    <w:p w14:paraId="55207F7C" w14:textId="3DBCB281" w:rsidR="006D51CF" w:rsidRPr="009B60F6" w:rsidRDefault="006D51CF" w:rsidP="006D51CF">
      <w:pPr>
        <w:rPr>
          <w:lang w:val="es-ES"/>
        </w:rPr>
      </w:pPr>
      <w:r w:rsidRPr="009B60F6">
        <w:rPr>
          <w:lang w:val="es-ES"/>
        </w:rPr>
        <w:t>Las repercusiones presupuestarias anuales de la aplicación de las decisiones de la CMR-23 se transmitieron a la reunió</w:t>
      </w:r>
      <w:r>
        <w:rPr>
          <w:lang w:val="es-ES"/>
        </w:rPr>
        <w:t xml:space="preserve">n de 2024 del Consejo en el </w:t>
      </w:r>
      <w:hyperlink r:id="rId30" w:history="1">
        <w:r w:rsidRPr="009B60F6">
          <w:rPr>
            <w:rStyle w:val="Hyperlink"/>
            <w:lang w:val="es-ES"/>
          </w:rPr>
          <w:t>Document</w:t>
        </w:r>
        <w:r>
          <w:rPr>
            <w:rStyle w:val="Hyperlink"/>
            <w:lang w:val="es-ES"/>
          </w:rPr>
          <w:t>o</w:t>
        </w:r>
        <w:r w:rsidRPr="009B60F6">
          <w:rPr>
            <w:rStyle w:val="Hyperlink"/>
            <w:lang w:val="es-ES"/>
          </w:rPr>
          <w:t xml:space="preserve"> C24/63</w:t>
        </w:r>
      </w:hyperlink>
      <w:r w:rsidRPr="009B60F6">
        <w:rPr>
          <w:lang w:val="es-ES"/>
        </w:rPr>
        <w:t>.</w:t>
      </w:r>
    </w:p>
    <w:p w14:paraId="2E853DD1" w14:textId="77777777" w:rsidR="001D390B" w:rsidRPr="001D390B" w:rsidRDefault="006D51CF" w:rsidP="001D390B">
      <w:pPr>
        <w:pStyle w:val="TableNoBR"/>
        <w:spacing w:before="480"/>
        <w:rPr>
          <w:lang w:val="es-ES"/>
        </w:rPr>
      </w:pPr>
      <w:r w:rsidRPr="001D390B">
        <w:rPr>
          <w:lang w:val="es-ES"/>
        </w:rPr>
        <w:t>Cuadro 3.1.1</w:t>
      </w:r>
    </w:p>
    <w:p w14:paraId="3753CAB2" w14:textId="5777EB28" w:rsidR="006D51CF" w:rsidRPr="005F26E3" w:rsidRDefault="006D51CF" w:rsidP="005F26E3">
      <w:pPr>
        <w:pStyle w:val="Tabletitle"/>
        <w:rPr>
          <w:sz w:val="24"/>
          <w:szCs w:val="24"/>
          <w:lang w:val="es-ES"/>
        </w:rPr>
      </w:pPr>
      <w:r w:rsidRPr="005F26E3">
        <w:rPr>
          <w:sz w:val="24"/>
          <w:szCs w:val="24"/>
          <w:lang w:val="es-ES"/>
        </w:rPr>
        <w:t>Decisiones financieras de la CMR-23 – Coste total estimado</w:t>
      </w:r>
    </w:p>
    <w:p w14:paraId="6393BEC3" w14:textId="2104BE80" w:rsidR="006D51CF" w:rsidRPr="001D390B" w:rsidRDefault="001D390B" w:rsidP="001D390B">
      <w:pPr>
        <w:keepNext/>
        <w:keepLines/>
        <w:jc w:val="center"/>
      </w:pPr>
      <w:r w:rsidRPr="001D390B">
        <w:drawing>
          <wp:inline distT="0" distB="0" distL="0" distR="0" wp14:anchorId="09599B27" wp14:editId="6C96DA94">
            <wp:extent cx="6448508" cy="1931670"/>
            <wp:effectExtent l="0" t="0" r="9525" b="0"/>
            <wp:docPr id="1927839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39435" name=""/>
                    <pic:cNvPicPr/>
                  </pic:nvPicPr>
                  <pic:blipFill>
                    <a:blip r:embed="rId31"/>
                    <a:stretch>
                      <a:fillRect/>
                    </a:stretch>
                  </pic:blipFill>
                  <pic:spPr>
                    <a:xfrm>
                      <a:off x="0" y="0"/>
                      <a:ext cx="6484687" cy="1942508"/>
                    </a:xfrm>
                    <a:prstGeom prst="rect">
                      <a:avLst/>
                    </a:prstGeom>
                  </pic:spPr>
                </pic:pic>
              </a:graphicData>
            </a:graphic>
          </wp:inline>
        </w:drawing>
      </w:r>
    </w:p>
    <w:p w14:paraId="360A1D7A" w14:textId="7002A3EB" w:rsidR="006D51CF" w:rsidRPr="009B60F6" w:rsidRDefault="006D51CF" w:rsidP="001D390B">
      <w:pPr>
        <w:spacing w:before="360" w:after="240"/>
        <w:rPr>
          <w:lang w:val="es-ES"/>
        </w:rPr>
      </w:pPr>
      <w:r w:rsidRPr="009B60F6">
        <w:rPr>
          <w:lang w:val="es-ES"/>
        </w:rPr>
        <w:t xml:space="preserve">El Consejo adoptó la </w:t>
      </w:r>
      <w:hyperlink r:id="rId32" w:history="1">
        <w:r w:rsidRPr="009B60F6">
          <w:rPr>
            <w:rStyle w:val="Hyperlink"/>
            <w:lang w:val="es-ES"/>
          </w:rPr>
          <w:t>Resolución</w:t>
        </w:r>
        <w:r w:rsidRPr="009B60F6">
          <w:rPr>
            <w:rStyle w:val="Hyperlink"/>
            <w:lang w:val="es-ES"/>
          </w:rPr>
          <w:t xml:space="preserve"> </w:t>
        </w:r>
        <w:r w:rsidRPr="009B60F6">
          <w:rPr>
            <w:rStyle w:val="Hyperlink"/>
            <w:lang w:val="es-ES"/>
          </w:rPr>
          <w:t>14</w:t>
        </w:r>
        <w:r w:rsidRPr="009B60F6">
          <w:rPr>
            <w:rStyle w:val="Hyperlink"/>
            <w:lang w:val="es-ES"/>
          </w:rPr>
          <w:t>2</w:t>
        </w:r>
        <w:r w:rsidRPr="009B60F6">
          <w:rPr>
            <w:rStyle w:val="Hyperlink"/>
            <w:lang w:val="es-ES"/>
          </w:rPr>
          <w:t>7</w:t>
        </w:r>
      </w:hyperlink>
      <w:r w:rsidRPr="009B60F6">
        <w:rPr>
          <w:lang w:val="es-ES"/>
        </w:rPr>
        <w:t xml:space="preserve">, </w:t>
      </w:r>
      <w:r w:rsidR="008E211F" w:rsidRPr="007E040D">
        <w:rPr>
          <w:lang w:val="es-ES"/>
        </w:rPr>
        <w:t>«</w:t>
      </w:r>
      <w:r w:rsidRPr="009B60F6">
        <w:rPr>
          <w:i/>
          <w:iCs/>
          <w:lang w:val="es-ES"/>
        </w:rPr>
        <w:t xml:space="preserve">Atribuciones de ahorros conseguidos en la </w:t>
      </w:r>
      <w:r>
        <w:rPr>
          <w:i/>
          <w:iCs/>
          <w:lang w:val="es-ES"/>
        </w:rPr>
        <w:t>ejecución del presupuesto de 2023 y fondo de operaciones de las exposiciones</w:t>
      </w:r>
      <w:r w:rsidR="008E211F" w:rsidRPr="007E040D">
        <w:rPr>
          <w:lang w:val="es-ES"/>
        </w:rPr>
        <w:t>»</w:t>
      </w:r>
      <w:r w:rsidRPr="009B60F6">
        <w:rPr>
          <w:lang w:val="es-ES"/>
        </w:rPr>
        <w:t>. En virtud de esa Resolución se asignó el superávit presupuestario</w:t>
      </w:r>
      <w:r>
        <w:rPr>
          <w:lang w:val="es-ES"/>
        </w:rPr>
        <w:t xml:space="preserve"> de 2023 a la aplicación de las decisiones de la CMR</w:t>
      </w:r>
      <w:r w:rsidRPr="009B60F6">
        <w:rPr>
          <w:lang w:val="es-ES"/>
        </w:rPr>
        <w:t>-23 (1</w:t>
      </w:r>
      <w:r w:rsidR="001D390B">
        <w:rPr>
          <w:lang w:val="es-ES"/>
        </w:rPr>
        <w:t> </w:t>
      </w:r>
      <w:r w:rsidRPr="009B60F6">
        <w:rPr>
          <w:lang w:val="es-ES"/>
        </w:rPr>
        <w:t>423</w:t>
      </w:r>
      <w:r w:rsidR="001D390B">
        <w:rPr>
          <w:lang w:val="es-ES"/>
        </w:rPr>
        <w:t> </w:t>
      </w:r>
      <w:r>
        <w:rPr>
          <w:lang w:val="es-ES"/>
        </w:rPr>
        <w:t>000 CHF</w:t>
      </w:r>
      <w:r w:rsidRPr="009B60F6">
        <w:rPr>
          <w:lang w:val="es-ES"/>
        </w:rPr>
        <w:t>).</w:t>
      </w:r>
    </w:p>
    <w:p w14:paraId="3D19949B" w14:textId="3AB38947" w:rsidR="006D51CF" w:rsidRPr="0059263F" w:rsidRDefault="006D51CF" w:rsidP="006D51CF">
      <w:pPr>
        <w:rPr>
          <w:lang w:val="es-ES"/>
        </w:rPr>
      </w:pPr>
      <w:r w:rsidRPr="0059263F">
        <w:rPr>
          <w:lang w:val="es-ES"/>
        </w:rPr>
        <w:lastRenderedPageBreak/>
        <w:t xml:space="preserve">El país anfitrión de la CMR-23, Emiratos Árabes Unidos, accedió generosamente a dedicar el </w:t>
      </w:r>
      <w:r>
        <w:rPr>
          <w:lang w:val="es-ES"/>
        </w:rPr>
        <w:t>saldo</w:t>
      </w:r>
      <w:r w:rsidRPr="0059263F">
        <w:rPr>
          <w:lang w:val="es-ES"/>
        </w:rPr>
        <w:t xml:space="preserve"> positivo restante </w:t>
      </w:r>
      <w:r>
        <w:rPr>
          <w:lang w:val="es-ES"/>
        </w:rPr>
        <w:t xml:space="preserve">en virtud </w:t>
      </w:r>
      <w:r w:rsidRPr="0059263F">
        <w:rPr>
          <w:lang w:val="es-ES"/>
        </w:rPr>
        <w:t>del Acuerdo de país anfitrión, en total 1,9</w:t>
      </w:r>
      <w:r w:rsidR="001D390B">
        <w:rPr>
          <w:lang w:val="es-ES"/>
        </w:rPr>
        <w:t> </w:t>
      </w:r>
      <w:r w:rsidRPr="0059263F">
        <w:rPr>
          <w:lang w:val="es-ES"/>
        </w:rPr>
        <w:t>millones</w:t>
      </w:r>
      <w:r w:rsidR="001D390B">
        <w:rPr>
          <w:lang w:val="es-ES"/>
        </w:rPr>
        <w:t> </w:t>
      </w:r>
      <w:r w:rsidRPr="0059263F">
        <w:rPr>
          <w:lang w:val="es-ES"/>
        </w:rPr>
        <w:t>CHF, a la aplicación de las decisiones de la</w:t>
      </w:r>
      <w:r>
        <w:rPr>
          <w:lang w:val="es-ES"/>
        </w:rPr>
        <w:t xml:space="preserve"> CMR-23, contribuyendo así a aliviar parte de la carga financiera de la Unión. </w:t>
      </w:r>
      <w:r w:rsidRPr="0059263F">
        <w:rPr>
          <w:lang w:val="es-ES"/>
        </w:rPr>
        <w:t xml:space="preserve">Puede encontrarse más información al respecto en el </w:t>
      </w:r>
      <w:hyperlink r:id="rId33" w:history="1">
        <w:r w:rsidRPr="0059263F">
          <w:rPr>
            <w:rStyle w:val="Hyperlink"/>
            <w:lang w:val="es-ES"/>
          </w:rPr>
          <w:t>Docu</w:t>
        </w:r>
        <w:r w:rsidRPr="0059263F">
          <w:rPr>
            <w:rStyle w:val="Hyperlink"/>
            <w:lang w:val="es-ES"/>
          </w:rPr>
          <w:t>m</w:t>
        </w:r>
        <w:r w:rsidRPr="0059263F">
          <w:rPr>
            <w:rStyle w:val="Hyperlink"/>
            <w:lang w:val="es-ES"/>
          </w:rPr>
          <w:t>ento C24/109</w:t>
        </w:r>
      </w:hyperlink>
      <w:r w:rsidRPr="0059263F">
        <w:rPr>
          <w:lang w:val="es-ES"/>
        </w:rPr>
        <w:t>.</w:t>
      </w:r>
    </w:p>
    <w:p w14:paraId="1966DC7F" w14:textId="107C23C6" w:rsidR="006D51CF" w:rsidRPr="0059263F" w:rsidRDefault="006D51CF" w:rsidP="006D51CF">
      <w:pPr>
        <w:tabs>
          <w:tab w:val="clear" w:pos="794"/>
          <w:tab w:val="clear" w:pos="1191"/>
          <w:tab w:val="clear" w:pos="1588"/>
          <w:tab w:val="clear" w:pos="1985"/>
        </w:tabs>
        <w:overflowPunct/>
        <w:autoSpaceDE/>
        <w:autoSpaceDN/>
        <w:adjustRightInd/>
        <w:textAlignment w:val="auto"/>
        <w:rPr>
          <w:lang w:val="es-ES"/>
        </w:rPr>
      </w:pPr>
      <w:r w:rsidRPr="0059263F">
        <w:rPr>
          <w:lang w:val="es-ES"/>
        </w:rPr>
        <w:t xml:space="preserve">En su </w:t>
      </w:r>
      <w:hyperlink r:id="rId34" w:history="1">
        <w:r w:rsidRPr="0059263F">
          <w:rPr>
            <w:rStyle w:val="Hyperlink"/>
            <w:lang w:val="es-ES"/>
          </w:rPr>
          <w:t xml:space="preserve">Resolución </w:t>
        </w:r>
        <w:r w:rsidRPr="0059263F">
          <w:rPr>
            <w:rStyle w:val="Hyperlink"/>
            <w:lang w:val="es-ES"/>
          </w:rPr>
          <w:t>1</w:t>
        </w:r>
        <w:r w:rsidRPr="0059263F">
          <w:rPr>
            <w:rStyle w:val="Hyperlink"/>
            <w:lang w:val="es-ES"/>
          </w:rPr>
          <w:t>434</w:t>
        </w:r>
      </w:hyperlink>
      <w:r w:rsidRPr="0059263F">
        <w:rPr>
          <w:lang w:val="es-ES"/>
        </w:rPr>
        <w:t xml:space="preserve">, </w:t>
      </w:r>
      <w:r w:rsidR="008E211F" w:rsidRPr="007E040D">
        <w:rPr>
          <w:lang w:val="es-ES"/>
        </w:rPr>
        <w:t>«</w:t>
      </w:r>
      <w:r w:rsidRPr="0059263F">
        <w:rPr>
          <w:i/>
          <w:iCs/>
          <w:lang w:val="es-ES"/>
        </w:rPr>
        <w:t>Asignación de ahorros conseguidos en la ejecuc</w:t>
      </w:r>
      <w:r>
        <w:rPr>
          <w:i/>
          <w:iCs/>
          <w:lang w:val="es-ES"/>
        </w:rPr>
        <w:t>ión del presupuesto de 2024</w:t>
      </w:r>
      <w:r w:rsidR="008E211F" w:rsidRPr="007E040D">
        <w:rPr>
          <w:lang w:val="es-ES"/>
        </w:rPr>
        <w:t>»</w:t>
      </w:r>
      <w:r>
        <w:rPr>
          <w:i/>
          <w:iCs/>
          <w:lang w:val="es-ES"/>
        </w:rPr>
        <w:t xml:space="preserve">, </w:t>
      </w:r>
      <w:r w:rsidRPr="0059263F">
        <w:rPr>
          <w:lang w:val="es-ES"/>
        </w:rPr>
        <w:t xml:space="preserve">adoptada por el Consejo en 2025, </w:t>
      </w:r>
      <w:r>
        <w:rPr>
          <w:lang w:val="es-ES"/>
        </w:rPr>
        <w:t>se resuelve atribuir</w:t>
      </w:r>
      <w:r w:rsidRPr="0059263F">
        <w:rPr>
          <w:lang w:val="es-ES"/>
        </w:rPr>
        <w:t xml:space="preserve"> 300</w:t>
      </w:r>
      <w:r w:rsidR="001D390B">
        <w:rPr>
          <w:lang w:val="es-ES"/>
        </w:rPr>
        <w:t> </w:t>
      </w:r>
      <w:r>
        <w:rPr>
          <w:lang w:val="es-ES"/>
        </w:rPr>
        <w:t>000</w:t>
      </w:r>
      <w:r w:rsidR="001D390B">
        <w:rPr>
          <w:lang w:val="es-ES"/>
        </w:rPr>
        <w:t> </w:t>
      </w:r>
      <w:r>
        <w:rPr>
          <w:lang w:val="es-ES"/>
        </w:rPr>
        <w:t>CHF a la aplicación de las decisiones de la CMR-23</w:t>
      </w:r>
      <w:r w:rsidRPr="0059263F">
        <w:rPr>
          <w:lang w:val="es-ES"/>
        </w:rPr>
        <w:t xml:space="preserve">. </w:t>
      </w:r>
    </w:p>
    <w:p w14:paraId="1A25B3FA" w14:textId="77777777" w:rsidR="006D51CF" w:rsidRPr="004C1106" w:rsidRDefault="006D51CF" w:rsidP="006D51CF">
      <w:pPr>
        <w:pStyle w:val="Heading1"/>
        <w:rPr>
          <w:lang w:val="es-ES"/>
        </w:rPr>
      </w:pPr>
      <w:bookmarkStart w:id="36" w:name="_Toc222308677"/>
      <w:bookmarkStart w:id="37" w:name="_Toc446060768"/>
      <w:bookmarkStart w:id="38" w:name="_Toc222843146"/>
      <w:r w:rsidRPr="004C1106">
        <w:rPr>
          <w:lang w:val="es-ES"/>
        </w:rPr>
        <w:t>4</w:t>
      </w:r>
      <w:r w:rsidRPr="004C1106">
        <w:rPr>
          <w:lang w:val="es-ES"/>
        </w:rPr>
        <w:tab/>
        <w:t>Preparativos de la CMR-27</w:t>
      </w:r>
      <w:bookmarkEnd w:id="36"/>
      <w:bookmarkEnd w:id="38"/>
    </w:p>
    <w:p w14:paraId="33764E5F" w14:textId="77777777" w:rsidR="006D51CF" w:rsidRPr="0059263F" w:rsidRDefault="006D51CF" w:rsidP="006D51CF">
      <w:pPr>
        <w:pStyle w:val="Heading2"/>
        <w:rPr>
          <w:lang w:val="es-ES"/>
        </w:rPr>
      </w:pPr>
      <w:bookmarkStart w:id="39" w:name="_Toc222308678"/>
      <w:bookmarkStart w:id="40" w:name="_Toc222843147"/>
      <w:r w:rsidRPr="0059263F">
        <w:rPr>
          <w:lang w:val="es-ES"/>
        </w:rPr>
        <w:t>4.1</w:t>
      </w:r>
      <w:r w:rsidRPr="0059263F">
        <w:rPr>
          <w:lang w:val="es-ES"/>
        </w:rPr>
        <w:tab/>
        <w:t>Preparativos de la CMR-27</w:t>
      </w:r>
      <w:bookmarkEnd w:id="39"/>
      <w:bookmarkEnd w:id="40"/>
    </w:p>
    <w:p w14:paraId="5CA9501A" w14:textId="6E7F1C04" w:rsidR="006D51CF" w:rsidRPr="0059263F" w:rsidRDefault="006D51CF" w:rsidP="006D51CF">
      <w:pPr>
        <w:rPr>
          <w:lang w:val="es-ES"/>
        </w:rPr>
      </w:pPr>
      <w:r w:rsidRPr="0059263F">
        <w:rPr>
          <w:lang w:val="es-ES"/>
        </w:rPr>
        <w:t>El orden del día de la Conferencia Mundial de Radiocomunicaciones de 2027 (C</w:t>
      </w:r>
      <w:r>
        <w:rPr>
          <w:lang w:val="es-ES"/>
        </w:rPr>
        <w:t>MR</w:t>
      </w:r>
      <w:r w:rsidRPr="0059263F">
        <w:rPr>
          <w:lang w:val="es-ES"/>
        </w:rPr>
        <w:t xml:space="preserve">-27), </w:t>
      </w:r>
      <w:r>
        <w:rPr>
          <w:lang w:val="es-ES"/>
        </w:rPr>
        <w:t>que figura en la Resolución</w:t>
      </w:r>
      <w:r w:rsidRPr="0059263F">
        <w:rPr>
          <w:lang w:val="es-ES"/>
        </w:rPr>
        <w:t xml:space="preserve"> </w:t>
      </w:r>
      <w:r w:rsidRPr="0059263F">
        <w:rPr>
          <w:b/>
          <w:lang w:val="es-ES"/>
        </w:rPr>
        <w:t>81</w:t>
      </w:r>
      <w:r w:rsidRPr="0059263F">
        <w:rPr>
          <w:b/>
          <w:bCs/>
          <w:lang w:val="es-ES"/>
        </w:rPr>
        <w:t>3</w:t>
      </w:r>
      <w:r w:rsidRPr="0059263F">
        <w:rPr>
          <w:b/>
          <w:lang w:val="es-ES"/>
        </w:rPr>
        <w:t xml:space="preserve"> (</w:t>
      </w:r>
      <w:r>
        <w:rPr>
          <w:b/>
          <w:lang w:val="es-ES"/>
        </w:rPr>
        <w:t>CMR</w:t>
      </w:r>
      <w:r w:rsidRPr="0059263F">
        <w:rPr>
          <w:b/>
          <w:lang w:val="es-ES"/>
        </w:rPr>
        <w:t>-</w:t>
      </w:r>
      <w:r w:rsidRPr="0059263F">
        <w:rPr>
          <w:b/>
          <w:bCs/>
          <w:lang w:val="es-ES"/>
        </w:rPr>
        <w:t>23</w:t>
      </w:r>
      <w:r w:rsidRPr="0059263F">
        <w:rPr>
          <w:b/>
          <w:lang w:val="es-ES"/>
        </w:rPr>
        <w:t>)</w:t>
      </w:r>
      <w:r w:rsidRPr="0059263F">
        <w:rPr>
          <w:lang w:val="es-ES"/>
        </w:rPr>
        <w:t xml:space="preserve">, </w:t>
      </w:r>
      <w:r>
        <w:rPr>
          <w:lang w:val="es-ES"/>
        </w:rPr>
        <w:t>fue objeto de examen en la reunión de 2024 del Consejo (Ginebra</w:t>
      </w:r>
      <w:r w:rsidRPr="0059263F">
        <w:rPr>
          <w:lang w:val="es-ES"/>
        </w:rPr>
        <w:t xml:space="preserve">, 4-14 </w:t>
      </w:r>
      <w:r>
        <w:rPr>
          <w:lang w:val="es-ES"/>
        </w:rPr>
        <w:t>de junio de</w:t>
      </w:r>
      <w:r w:rsidRPr="0059263F">
        <w:rPr>
          <w:lang w:val="es-ES"/>
        </w:rPr>
        <w:t xml:space="preserve"> 2024).</w:t>
      </w:r>
      <w:r w:rsidRPr="0059263F">
        <w:rPr>
          <w:rFonts w:eastAsia="Arial Unicode MS"/>
          <w:szCs w:val="24"/>
          <w:lang w:val="es-ES"/>
        </w:rPr>
        <w:t xml:space="preserve"> El Consejo adoptó la </w:t>
      </w:r>
      <w:hyperlink r:id="rId35" w:history="1">
        <w:r w:rsidRPr="0059263F">
          <w:rPr>
            <w:rStyle w:val="Hyperlink"/>
            <w:rFonts w:eastAsia="Arial Unicode MS"/>
            <w:szCs w:val="24"/>
            <w:lang w:val="es-ES"/>
          </w:rPr>
          <w:t>Reso</w:t>
        </w:r>
        <w:r w:rsidRPr="0059263F">
          <w:rPr>
            <w:rStyle w:val="Hyperlink"/>
            <w:rFonts w:eastAsia="Arial Unicode MS"/>
            <w:szCs w:val="24"/>
            <w:lang w:val="es-ES"/>
          </w:rPr>
          <w:t>l</w:t>
        </w:r>
        <w:r w:rsidRPr="0059263F">
          <w:rPr>
            <w:rStyle w:val="Hyperlink"/>
            <w:rFonts w:eastAsia="Arial Unicode MS"/>
            <w:szCs w:val="24"/>
            <w:lang w:val="es-ES"/>
          </w:rPr>
          <w:t xml:space="preserve">ución </w:t>
        </w:r>
        <w:r w:rsidRPr="0059263F">
          <w:rPr>
            <w:rStyle w:val="Hyperlink"/>
            <w:lang w:val="es-ES"/>
          </w:rPr>
          <w:t>1422 (C24)</w:t>
        </w:r>
      </w:hyperlink>
      <w:r w:rsidRPr="0059263F">
        <w:rPr>
          <w:lang w:val="es-ES"/>
        </w:rPr>
        <w:t xml:space="preserve">, que contiene el orden del día </w:t>
      </w:r>
      <w:r>
        <w:rPr>
          <w:lang w:val="es-ES"/>
        </w:rPr>
        <w:t>de la CMR-27 con los mismos puntos específicos y permanentes que el orden del día de la Resolución</w:t>
      </w:r>
      <w:r w:rsidRPr="0059263F">
        <w:rPr>
          <w:lang w:val="es-ES"/>
        </w:rPr>
        <w:t xml:space="preserve"> </w:t>
      </w:r>
      <w:r w:rsidRPr="0059263F">
        <w:rPr>
          <w:b/>
          <w:bCs/>
          <w:lang w:val="es-ES"/>
        </w:rPr>
        <w:t>813</w:t>
      </w:r>
      <w:r w:rsidR="00CF44BF">
        <w:rPr>
          <w:b/>
          <w:bCs/>
          <w:lang w:val="es-ES"/>
        </w:rPr>
        <w:t> </w:t>
      </w:r>
      <w:r w:rsidRPr="0059263F">
        <w:rPr>
          <w:b/>
          <w:bCs/>
          <w:lang w:val="es-ES"/>
        </w:rPr>
        <w:t>(</w:t>
      </w:r>
      <w:r>
        <w:rPr>
          <w:b/>
          <w:bCs/>
          <w:lang w:val="es-ES"/>
        </w:rPr>
        <w:t>CMR</w:t>
      </w:r>
      <w:r w:rsidRPr="0059263F">
        <w:rPr>
          <w:b/>
          <w:bCs/>
          <w:lang w:val="es-ES"/>
        </w:rPr>
        <w:t>-23)</w:t>
      </w:r>
      <w:r w:rsidRPr="0059263F">
        <w:rPr>
          <w:rFonts w:eastAsia="Arial Unicode MS"/>
          <w:szCs w:val="24"/>
          <w:lang w:val="es-ES"/>
        </w:rPr>
        <w:t>. El 31 de agosto de 2024 los Estados Miembros de la UIT ap</w:t>
      </w:r>
      <w:r>
        <w:rPr>
          <w:rFonts w:eastAsia="Arial Unicode MS"/>
          <w:szCs w:val="24"/>
          <w:lang w:val="es-ES"/>
        </w:rPr>
        <w:t>robaron dicho orden del día (véanse las Cartas Circulares</w:t>
      </w:r>
      <w:r w:rsidRPr="0059263F">
        <w:rPr>
          <w:rFonts w:eastAsia="Arial Unicode MS"/>
          <w:szCs w:val="24"/>
          <w:lang w:val="es-ES"/>
        </w:rPr>
        <w:t xml:space="preserve"> </w:t>
      </w:r>
      <w:hyperlink r:id="rId36" w:history="1">
        <w:r w:rsidRPr="0059263F">
          <w:rPr>
            <w:rStyle w:val="Hyperlink"/>
            <w:rFonts w:eastAsia="Arial Unicode MS"/>
            <w:lang w:val="es-ES"/>
          </w:rPr>
          <w:t>CL-2</w:t>
        </w:r>
        <w:r w:rsidRPr="0059263F">
          <w:rPr>
            <w:rStyle w:val="Hyperlink"/>
            <w:rFonts w:eastAsia="Arial Unicode MS"/>
            <w:lang w:val="es-ES"/>
          </w:rPr>
          <w:t>4</w:t>
        </w:r>
        <w:r w:rsidRPr="0059263F">
          <w:rPr>
            <w:rStyle w:val="Hyperlink"/>
            <w:rFonts w:eastAsia="Arial Unicode MS"/>
            <w:lang w:val="es-ES"/>
          </w:rPr>
          <w:t>/38</w:t>
        </w:r>
      </w:hyperlink>
      <w:r w:rsidRPr="0059263F">
        <w:rPr>
          <w:rFonts w:eastAsia="Arial Unicode MS"/>
          <w:lang w:val="es-ES"/>
        </w:rPr>
        <w:t xml:space="preserve"> </w:t>
      </w:r>
      <w:r>
        <w:rPr>
          <w:rFonts w:eastAsia="Arial Unicode MS"/>
          <w:lang w:val="es-ES"/>
        </w:rPr>
        <w:t>y</w:t>
      </w:r>
      <w:r w:rsidRPr="0059263F">
        <w:rPr>
          <w:rFonts w:eastAsia="Arial Unicode MS"/>
          <w:lang w:val="es-ES"/>
        </w:rPr>
        <w:t xml:space="preserve"> </w:t>
      </w:r>
      <w:hyperlink r:id="rId37" w:history="1">
        <w:r w:rsidRPr="0059263F">
          <w:rPr>
            <w:rStyle w:val="Hyperlink"/>
            <w:rFonts w:eastAsia="Arial Unicode MS"/>
            <w:lang w:val="es-ES"/>
          </w:rPr>
          <w:t>CL-2</w:t>
        </w:r>
        <w:r w:rsidRPr="0059263F">
          <w:rPr>
            <w:rStyle w:val="Hyperlink"/>
            <w:rFonts w:eastAsia="Arial Unicode MS"/>
            <w:lang w:val="es-ES"/>
          </w:rPr>
          <w:t>4</w:t>
        </w:r>
        <w:r w:rsidRPr="0059263F">
          <w:rPr>
            <w:rStyle w:val="Hyperlink"/>
            <w:rFonts w:eastAsia="Arial Unicode MS"/>
            <w:lang w:val="es-ES"/>
          </w:rPr>
          <w:t>/49</w:t>
        </w:r>
      </w:hyperlink>
      <w:r w:rsidRPr="0059263F">
        <w:rPr>
          <w:rFonts w:eastAsia="Arial Unicode MS"/>
          <w:lang w:val="es-ES"/>
        </w:rPr>
        <w:t>).</w:t>
      </w:r>
    </w:p>
    <w:p w14:paraId="6672DB1F" w14:textId="59BCE237" w:rsidR="006D51CF" w:rsidRPr="0059263F" w:rsidRDefault="006D51CF" w:rsidP="006D51CF">
      <w:pPr>
        <w:rPr>
          <w:lang w:val="es-ES"/>
        </w:rPr>
      </w:pPr>
      <w:r w:rsidRPr="0059263F">
        <w:rPr>
          <w:lang w:val="es-ES"/>
        </w:rPr>
        <w:t xml:space="preserve">Tras la aprobación del orden del día de la CMR-27 se invitó al Consejo, en su reunión de 2025, a adoptar </w:t>
      </w:r>
      <w:r>
        <w:rPr>
          <w:lang w:val="es-ES"/>
        </w:rPr>
        <w:t>un nuevo Acuerdo con las fechas y el lugar de celebración de la AR-27 y la CMR-27</w:t>
      </w:r>
      <w:r w:rsidRPr="0059263F">
        <w:rPr>
          <w:lang w:val="es-ES"/>
        </w:rPr>
        <w:t xml:space="preserve">. </w:t>
      </w:r>
    </w:p>
    <w:p w14:paraId="3F1EDF52" w14:textId="77777777" w:rsidR="00CF44BF" w:rsidRDefault="006D51CF" w:rsidP="006D51CF">
      <w:pPr>
        <w:rPr>
          <w:rFonts w:cs="Calibri"/>
          <w:i/>
          <w:iCs/>
          <w:lang w:val="es-ES"/>
        </w:rPr>
      </w:pPr>
      <w:r w:rsidRPr="0059263F">
        <w:rPr>
          <w:lang w:val="es-ES"/>
        </w:rPr>
        <w:t>El Consejo decidió, de conformidad con el Resumen de</w:t>
      </w:r>
      <w:r>
        <w:rPr>
          <w:lang w:val="es-ES"/>
        </w:rPr>
        <w:t xml:space="preserve"> </w:t>
      </w:r>
      <w:r w:rsidRPr="0059263F">
        <w:rPr>
          <w:lang w:val="es-ES"/>
        </w:rPr>
        <w:t xml:space="preserve">los debates de la séptima Sesión Plenaria (documento C25/113): </w:t>
      </w:r>
      <w:r w:rsidR="00CF44BF">
        <w:rPr>
          <w:lang w:val="es-ES"/>
        </w:rPr>
        <w:t>«</w:t>
      </w:r>
      <w:r w:rsidRPr="00CF44BF">
        <w:rPr>
          <w:i/>
          <w:iCs/>
          <w:lang w:val="es-ES"/>
        </w:rPr>
        <w:t>aceptar</w:t>
      </w:r>
      <w:r w:rsidRPr="0059263F">
        <w:rPr>
          <w:i/>
          <w:iCs/>
          <w:lang w:val="es-ES"/>
        </w:rPr>
        <w:t xml:space="preserve"> la invitación de Ch</w:t>
      </w:r>
      <w:r>
        <w:rPr>
          <w:i/>
          <w:iCs/>
          <w:lang w:val="es-ES"/>
        </w:rPr>
        <w:t>ina para celebrar la Asamblea de Radiocomunicaciones de 2027 (AR</w:t>
      </w:r>
      <w:r w:rsidRPr="0059263F">
        <w:rPr>
          <w:rFonts w:cs="Calibri"/>
          <w:i/>
          <w:iCs/>
          <w:lang w:val="es-ES"/>
        </w:rPr>
        <w:t xml:space="preserve">-27), </w:t>
      </w:r>
      <w:r>
        <w:rPr>
          <w:rFonts w:cs="Calibri"/>
          <w:i/>
          <w:iCs/>
          <w:lang w:val="es-ES"/>
        </w:rPr>
        <w:t>la Conferencia Mundial de Radiocomunicaciones de 2027 (CMR-27) y la primera sesión de la Reunión Preparatoria de la Conferencia para la CMR-31</w:t>
      </w:r>
    </w:p>
    <w:p w14:paraId="5F4D20C2" w14:textId="6FDD9B18" w:rsidR="006D51CF" w:rsidRPr="005D39B6" w:rsidRDefault="006D51CF" w:rsidP="00CF44BF">
      <w:pPr>
        <w:spacing w:before="0"/>
        <w:rPr>
          <w:lang w:val="es-ES"/>
        </w:rPr>
      </w:pPr>
      <w:r>
        <w:rPr>
          <w:rFonts w:cs="Calibri"/>
          <w:i/>
          <w:iCs/>
          <w:lang w:val="es-ES"/>
        </w:rPr>
        <w:t>(RPC</w:t>
      </w:r>
      <w:r w:rsidRPr="0059263F">
        <w:rPr>
          <w:rFonts w:cs="Calibri"/>
          <w:i/>
          <w:iCs/>
          <w:lang w:val="es-ES"/>
        </w:rPr>
        <w:t xml:space="preserve">31-1) </w:t>
      </w:r>
      <w:r>
        <w:rPr>
          <w:rFonts w:cs="Calibri"/>
          <w:i/>
          <w:iCs/>
          <w:lang w:val="es-ES"/>
        </w:rPr>
        <w:t>e</w:t>
      </w:r>
      <w:r w:rsidRPr="0059263F">
        <w:rPr>
          <w:rFonts w:cs="Calibri"/>
          <w:i/>
          <w:iCs/>
          <w:lang w:val="es-ES"/>
        </w:rPr>
        <w:t>n Shangh</w:t>
      </w:r>
      <w:r>
        <w:rPr>
          <w:rFonts w:cs="Calibri"/>
          <w:i/>
          <w:iCs/>
          <w:lang w:val="es-ES"/>
        </w:rPr>
        <w:t>á</w:t>
      </w:r>
      <w:r w:rsidRPr="0059263F">
        <w:rPr>
          <w:rFonts w:cs="Calibri"/>
          <w:i/>
          <w:iCs/>
          <w:lang w:val="es-ES"/>
        </w:rPr>
        <w:t xml:space="preserve">i. </w:t>
      </w:r>
      <w:r w:rsidRPr="005D39B6">
        <w:rPr>
          <w:rFonts w:cs="Calibri"/>
          <w:i/>
          <w:iCs/>
          <w:lang w:val="es-ES"/>
        </w:rPr>
        <w:t xml:space="preserve">Así, siempre y cuando lo ratifiquen la mayoría de los Estados Miembros de la Unión, la Conferencia Mundial de Radiocomunicaciones de 2027 </w:t>
      </w:r>
      <w:r>
        <w:rPr>
          <w:rFonts w:cs="Calibri"/>
          <w:i/>
          <w:iCs/>
          <w:lang w:val="es-ES"/>
        </w:rPr>
        <w:t xml:space="preserve">se celebrará en </w:t>
      </w:r>
      <w:r w:rsidRPr="005D39B6">
        <w:rPr>
          <w:rFonts w:cs="Calibri"/>
          <w:i/>
          <w:iCs/>
          <w:lang w:val="es-ES"/>
        </w:rPr>
        <w:t>Shangh</w:t>
      </w:r>
      <w:r>
        <w:rPr>
          <w:rFonts w:cs="Calibri"/>
          <w:i/>
          <w:iCs/>
          <w:lang w:val="es-ES"/>
        </w:rPr>
        <w:t>á</w:t>
      </w:r>
      <w:r w:rsidRPr="005D39B6">
        <w:rPr>
          <w:rFonts w:cs="Calibri"/>
          <w:i/>
          <w:iCs/>
          <w:lang w:val="es-ES"/>
        </w:rPr>
        <w:t>i, China, preced</w:t>
      </w:r>
      <w:r>
        <w:rPr>
          <w:rFonts w:cs="Calibri"/>
          <w:i/>
          <w:iCs/>
          <w:lang w:val="es-ES"/>
        </w:rPr>
        <w:t>ida por la Asamblea de Radiocomunicaciones de 2027</w:t>
      </w:r>
      <w:r w:rsidR="00CF44BF">
        <w:rPr>
          <w:lang w:val="es-ES"/>
        </w:rPr>
        <w:t>»</w:t>
      </w:r>
      <w:r w:rsidRPr="005D39B6">
        <w:rPr>
          <w:lang w:val="es-ES"/>
        </w:rPr>
        <w:t xml:space="preserve">. </w:t>
      </w:r>
    </w:p>
    <w:p w14:paraId="0BB96028" w14:textId="77777777" w:rsidR="00CF44BF" w:rsidRDefault="006D51CF" w:rsidP="006D51CF">
      <w:pPr>
        <w:rPr>
          <w:rFonts w:cs="Calibri"/>
          <w:lang w:val="es-ES"/>
        </w:rPr>
      </w:pPr>
      <w:r w:rsidRPr="005D39B6">
        <w:rPr>
          <w:rFonts w:cs="Calibri"/>
          <w:lang w:val="es-ES"/>
        </w:rPr>
        <w:t xml:space="preserve">De acuerdo con esta decisión y en virtud del número 42 del Convenio de la UIT, la Secretaría General consultó con los Estados Miembros la fecha y el lugar de </w:t>
      </w:r>
      <w:r>
        <w:rPr>
          <w:rFonts w:cs="Calibri"/>
          <w:lang w:val="es-ES"/>
        </w:rPr>
        <w:t xml:space="preserve">celebración precisos de la AR-27 y la </w:t>
      </w:r>
    </w:p>
    <w:p w14:paraId="2CEE8CEB" w14:textId="64723072" w:rsidR="006D51CF" w:rsidRPr="005D39B6" w:rsidRDefault="006D51CF" w:rsidP="00CF44BF">
      <w:pPr>
        <w:spacing w:before="0"/>
        <w:rPr>
          <w:rFonts w:cs="Calibri"/>
          <w:lang w:val="es-ES"/>
        </w:rPr>
      </w:pPr>
      <w:r>
        <w:rPr>
          <w:rFonts w:cs="Calibri"/>
          <w:lang w:val="es-ES"/>
        </w:rPr>
        <w:t>CMR-27, que recibieron el acuerdo de la mayoría necesaria de Estados Miembros, como se comunicó en la Carta Circular</w:t>
      </w:r>
      <w:r w:rsidRPr="005D39B6">
        <w:rPr>
          <w:lang w:val="es-ES"/>
        </w:rPr>
        <w:t xml:space="preserve"> CL-25/45</w:t>
      </w:r>
      <w:r w:rsidRPr="005D39B6">
        <w:rPr>
          <w:rFonts w:cs="Calibri"/>
          <w:lang w:val="es-ES"/>
        </w:rPr>
        <w:t xml:space="preserve">. Por consiguiente, los Estados Miembros acordaron que la Asamblea de Radiocomunicaciones de 2027 (AR-27) </w:t>
      </w:r>
      <w:r>
        <w:rPr>
          <w:rFonts w:cs="Calibri"/>
          <w:lang w:val="es-ES"/>
        </w:rPr>
        <w:t>y la Conferencia Mundial de Radiocomunicaciones de</w:t>
      </w:r>
      <w:r w:rsidRPr="005D39B6">
        <w:rPr>
          <w:rFonts w:cs="Calibri"/>
          <w:lang w:val="es-ES"/>
        </w:rPr>
        <w:t xml:space="preserve"> 2027 (</w:t>
      </w:r>
      <w:r>
        <w:rPr>
          <w:rFonts w:cs="Calibri"/>
          <w:lang w:val="es-ES"/>
        </w:rPr>
        <w:t>CMR</w:t>
      </w:r>
      <w:r w:rsidRPr="005D39B6">
        <w:rPr>
          <w:rFonts w:cs="Calibri"/>
          <w:lang w:val="es-ES"/>
        </w:rPr>
        <w:t xml:space="preserve">-27) </w:t>
      </w:r>
      <w:r>
        <w:rPr>
          <w:rFonts w:cs="Calibri"/>
          <w:lang w:val="es-ES"/>
        </w:rPr>
        <w:t>se celebrarán en Shanghái (China) del 11 de octubre al 12 de noviembre de</w:t>
      </w:r>
      <w:r w:rsidRPr="005D39B6">
        <w:rPr>
          <w:rFonts w:cs="Calibri"/>
          <w:lang w:val="es-ES"/>
        </w:rPr>
        <w:t xml:space="preserve"> 2027. </w:t>
      </w:r>
    </w:p>
    <w:p w14:paraId="56A0D010" w14:textId="0A5DB9CF" w:rsidR="006D51CF" w:rsidRPr="005D39B6" w:rsidRDefault="006D51CF" w:rsidP="006D51CF">
      <w:pPr>
        <w:rPr>
          <w:spacing w:val="-2"/>
          <w:lang w:val="es-ES"/>
        </w:rPr>
      </w:pPr>
      <w:r w:rsidRPr="005D39B6">
        <w:rPr>
          <w:spacing w:val="-2"/>
          <w:lang w:val="es-ES"/>
        </w:rPr>
        <w:t>Como de costumbre, la primera sesión de la Reunión Preparatoria de la Conferencia para la CMR-31 (</w:t>
      </w:r>
      <w:r>
        <w:rPr>
          <w:spacing w:val="-2"/>
          <w:lang w:val="es-ES"/>
        </w:rPr>
        <w:t>RPC</w:t>
      </w:r>
      <w:r w:rsidRPr="005D39B6">
        <w:rPr>
          <w:spacing w:val="-2"/>
          <w:lang w:val="es-ES"/>
        </w:rPr>
        <w:t xml:space="preserve">31-1) </w:t>
      </w:r>
      <w:r>
        <w:rPr>
          <w:spacing w:val="-2"/>
          <w:lang w:val="es-ES"/>
        </w:rPr>
        <w:t>también se celebrará en</w:t>
      </w:r>
      <w:r w:rsidRPr="005D39B6">
        <w:rPr>
          <w:spacing w:val="-2"/>
          <w:lang w:val="es-ES"/>
        </w:rPr>
        <w:t xml:space="preserve"> Shangh</w:t>
      </w:r>
      <w:r>
        <w:rPr>
          <w:spacing w:val="-2"/>
          <w:lang w:val="es-ES"/>
        </w:rPr>
        <w:t>á</w:t>
      </w:r>
      <w:r w:rsidRPr="005D39B6">
        <w:rPr>
          <w:spacing w:val="-2"/>
          <w:lang w:val="es-ES"/>
        </w:rPr>
        <w:t>i, i</w:t>
      </w:r>
      <w:r>
        <w:rPr>
          <w:spacing w:val="-2"/>
          <w:lang w:val="es-ES"/>
        </w:rPr>
        <w:t>nmediatamente después de la CMR</w:t>
      </w:r>
      <w:r w:rsidRPr="005D39B6">
        <w:rPr>
          <w:spacing w:val="-2"/>
          <w:lang w:val="es-ES"/>
        </w:rPr>
        <w:t xml:space="preserve">-27, </w:t>
      </w:r>
      <w:r>
        <w:rPr>
          <w:spacing w:val="-2"/>
          <w:lang w:val="es-ES"/>
        </w:rPr>
        <w:t>los días 15 y 16 de noviembre de</w:t>
      </w:r>
      <w:r w:rsidRPr="005D39B6">
        <w:rPr>
          <w:spacing w:val="-2"/>
          <w:lang w:val="es-ES"/>
        </w:rPr>
        <w:t xml:space="preserve"> 2027.</w:t>
      </w:r>
    </w:p>
    <w:p w14:paraId="725AD498" w14:textId="77777777" w:rsidR="006D51CF" w:rsidRPr="005D39B6" w:rsidRDefault="006D51CF" w:rsidP="006D51CF">
      <w:pPr>
        <w:rPr>
          <w:rFonts w:cs="Calibri"/>
          <w:lang w:val="es-ES"/>
        </w:rPr>
      </w:pPr>
      <w:r w:rsidRPr="005D39B6">
        <w:rPr>
          <w:rFonts w:cs="Calibri"/>
          <w:lang w:val="es-ES"/>
        </w:rPr>
        <w:t>Ya se ha presentado a China el proyecto de Acuerdo de País Anfitrión (HCA) y</w:t>
      </w:r>
      <w:r>
        <w:rPr>
          <w:rFonts w:cs="Calibri"/>
          <w:lang w:val="es-ES"/>
        </w:rPr>
        <w:t xml:space="preserve"> la Secretaría realizará una primera visita de las instalaciones en marzo</w:t>
      </w:r>
      <w:r w:rsidRPr="005D39B6">
        <w:rPr>
          <w:rFonts w:cs="Calibri"/>
          <w:lang w:val="es-ES"/>
        </w:rPr>
        <w:t xml:space="preserve">. </w:t>
      </w:r>
    </w:p>
    <w:p w14:paraId="219AC2CE" w14:textId="77777777" w:rsidR="006D51CF" w:rsidRPr="005D39B6" w:rsidRDefault="006D51CF" w:rsidP="006D51CF">
      <w:pPr>
        <w:rPr>
          <w:rFonts w:cs="Calibri"/>
          <w:lang w:val="es-ES"/>
        </w:rPr>
      </w:pPr>
      <w:r w:rsidRPr="005D39B6">
        <w:rPr>
          <w:rFonts w:cs="Calibri"/>
          <w:lang w:val="es-ES"/>
        </w:rPr>
        <w:t>Los servicios pertinentes de la Secretaría General y la Oficina de Radiocomunicaciones ya han empeza</w:t>
      </w:r>
      <w:r>
        <w:rPr>
          <w:rFonts w:cs="Calibri"/>
          <w:lang w:val="es-ES"/>
        </w:rPr>
        <w:t>do a coordinarse para los preparativos administrativos y logísticos de la AR</w:t>
      </w:r>
      <w:r w:rsidRPr="005D39B6">
        <w:rPr>
          <w:rFonts w:cs="Calibri"/>
          <w:lang w:val="es-ES"/>
        </w:rPr>
        <w:t xml:space="preserve">-27, </w:t>
      </w:r>
      <w:r>
        <w:rPr>
          <w:rFonts w:cs="Calibri"/>
          <w:lang w:val="es-ES"/>
        </w:rPr>
        <w:t>la CMR</w:t>
      </w:r>
      <w:r w:rsidRPr="005D39B6">
        <w:rPr>
          <w:rFonts w:cs="Calibri"/>
          <w:lang w:val="es-ES"/>
        </w:rPr>
        <w:t xml:space="preserve">-27 </w:t>
      </w:r>
      <w:r>
        <w:rPr>
          <w:rFonts w:cs="Calibri"/>
          <w:lang w:val="es-ES"/>
        </w:rPr>
        <w:t>y la RPC</w:t>
      </w:r>
      <w:r w:rsidRPr="005D39B6">
        <w:rPr>
          <w:rFonts w:cs="Calibri"/>
          <w:lang w:val="es-ES"/>
        </w:rPr>
        <w:t>31-1. Esta coordinación proseguirá y se intensificará a medida que se avance en los preparativos, igua</w:t>
      </w:r>
      <w:r>
        <w:rPr>
          <w:rFonts w:cs="Calibri"/>
          <w:lang w:val="es-ES"/>
        </w:rPr>
        <w:t>l que se seguirá interactuando con el país anfitrión</w:t>
      </w:r>
      <w:r w:rsidRPr="005D39B6">
        <w:rPr>
          <w:rFonts w:cs="Calibri"/>
          <w:lang w:val="es-ES"/>
        </w:rPr>
        <w:t>.</w:t>
      </w:r>
    </w:p>
    <w:p w14:paraId="49302EC7" w14:textId="0FEAB3D2" w:rsidR="006D51CF" w:rsidRPr="005D39B6" w:rsidRDefault="006D51CF" w:rsidP="006D51CF">
      <w:pPr>
        <w:rPr>
          <w:rFonts w:cs="Calibri"/>
          <w:lang w:val="es-ES"/>
        </w:rPr>
      </w:pPr>
      <w:r w:rsidRPr="005D39B6">
        <w:rPr>
          <w:lang w:val="es-ES"/>
        </w:rPr>
        <w:t xml:space="preserve">Se ha creado el sitio web de la UIT para la CMR-27 ( </w:t>
      </w:r>
      <w:hyperlink r:id="rId38" w:history="1">
        <w:r w:rsidR="009F084E" w:rsidRPr="00005AC2">
          <w:rPr>
            <w:rStyle w:val="Hyperlink"/>
            <w:lang w:val="es-ES"/>
          </w:rPr>
          <w:t>https://www.itu.int/wrc-27/es</w:t>
        </w:r>
      </w:hyperlink>
      <w:r w:rsidRPr="005D39B6">
        <w:rPr>
          <w:lang w:val="es-ES"/>
        </w:rPr>
        <w:t>)</w:t>
      </w:r>
      <w:r>
        <w:rPr>
          <w:lang w:val="es-ES"/>
        </w:rPr>
        <w:t>, que se irá actualizando periódicamente</w:t>
      </w:r>
      <w:r w:rsidRPr="005D39B6">
        <w:rPr>
          <w:lang w:val="es-ES"/>
        </w:rPr>
        <w:t>.</w:t>
      </w:r>
    </w:p>
    <w:p w14:paraId="587F6F3E" w14:textId="77777777" w:rsidR="006D51CF" w:rsidRPr="004C1106" w:rsidRDefault="006D51CF" w:rsidP="006D51CF">
      <w:pPr>
        <w:pStyle w:val="Heading2"/>
        <w:rPr>
          <w:lang w:val="es-ES"/>
        </w:rPr>
      </w:pPr>
      <w:bookmarkStart w:id="41" w:name="_Toc222308679"/>
      <w:bookmarkStart w:id="42" w:name="_Hlk67921078"/>
      <w:bookmarkStart w:id="43" w:name="_Toc222843148"/>
      <w:r w:rsidRPr="004C1106">
        <w:rPr>
          <w:lang w:val="es-ES"/>
        </w:rPr>
        <w:lastRenderedPageBreak/>
        <w:t>4.2</w:t>
      </w:r>
      <w:r w:rsidRPr="004C1106">
        <w:rPr>
          <w:lang w:val="es-ES"/>
        </w:rPr>
        <w:tab/>
        <w:t>Otros preparativos conexos</w:t>
      </w:r>
      <w:bookmarkEnd w:id="41"/>
      <w:bookmarkEnd w:id="43"/>
    </w:p>
    <w:p w14:paraId="2BDB8D65" w14:textId="77777777" w:rsidR="006D51CF" w:rsidRPr="00D62043" w:rsidRDefault="006D51CF" w:rsidP="006D51CF">
      <w:pPr>
        <w:rPr>
          <w:lang w:val="es-ES"/>
        </w:rPr>
      </w:pPr>
      <w:r w:rsidRPr="00D62043">
        <w:rPr>
          <w:lang w:val="es-ES"/>
        </w:rPr>
        <w:t xml:space="preserve">Tras la reunión de 2025 del Consejo, la Comisión de Dirección de la RPC-27 </w:t>
      </w:r>
      <w:r>
        <w:rPr>
          <w:lang w:val="es-ES"/>
        </w:rPr>
        <w:t xml:space="preserve">(COM-DIR-RPC) celebró dos reuniones híbridas. </w:t>
      </w:r>
      <w:r w:rsidRPr="00D62043">
        <w:rPr>
          <w:lang w:val="es-ES"/>
        </w:rPr>
        <w:t>También fueron invitados a estas reuniones los demás miembros del Equipo de Gestión de la RPC-27 (es decir, los Presidentes de todas las Co</w:t>
      </w:r>
      <w:r>
        <w:rPr>
          <w:lang w:val="es-ES"/>
        </w:rPr>
        <w:t>misiones de Estudio y Grupos de Trabajo (GT) del UIT-R responsables de puntos del orden del día de la CMR-27)</w:t>
      </w:r>
      <w:r w:rsidRPr="00D62043">
        <w:rPr>
          <w:lang w:val="es-ES"/>
        </w:rPr>
        <w:t>.</w:t>
      </w:r>
    </w:p>
    <w:p w14:paraId="20CC1670" w14:textId="77777777" w:rsidR="006D51CF" w:rsidRPr="00D62043" w:rsidRDefault="006D51CF" w:rsidP="006D51CF">
      <w:pPr>
        <w:rPr>
          <w:lang w:val="es-ES"/>
        </w:rPr>
      </w:pPr>
      <w:r w:rsidRPr="00D62043">
        <w:rPr>
          <w:lang w:val="es-ES"/>
        </w:rPr>
        <w:t>La primera reunión de la COM-DIR-RPC se celebró el 3 de julio de 2025 para examinar los progresos realizados hasta entonces por los Grupos de Trabajo responsables y resolver cualquier asunto suscitado por los estudios preparatorios pa</w:t>
      </w:r>
      <w:r>
        <w:rPr>
          <w:lang w:val="es-ES"/>
        </w:rPr>
        <w:t>ra la RPC</w:t>
      </w:r>
      <w:r w:rsidRPr="00D62043">
        <w:rPr>
          <w:lang w:val="es-ES"/>
        </w:rPr>
        <w:t xml:space="preserve">27-2 </w:t>
      </w:r>
      <w:r>
        <w:rPr>
          <w:lang w:val="es-ES"/>
        </w:rPr>
        <w:t>y la CMR</w:t>
      </w:r>
      <w:r w:rsidRPr="00D62043">
        <w:rPr>
          <w:lang w:val="es-ES"/>
        </w:rPr>
        <w:t xml:space="preserve">-27 </w:t>
      </w:r>
      <w:r>
        <w:rPr>
          <w:lang w:val="es-ES"/>
        </w:rPr>
        <w:t>y para considerar las primeras informaciones sobre la preparación de la 1ª Sesión Interregional de Información (SII) sobre los preparativos de la CMR-27</w:t>
      </w:r>
      <w:r w:rsidRPr="00D62043">
        <w:rPr>
          <w:lang w:val="es-ES"/>
        </w:rPr>
        <w:t>.</w:t>
      </w:r>
    </w:p>
    <w:p w14:paraId="508589BF" w14:textId="77777777" w:rsidR="006D51CF" w:rsidRPr="00D62043" w:rsidRDefault="006D51CF" w:rsidP="006D51CF">
      <w:pPr>
        <w:rPr>
          <w:lang w:val="es-ES"/>
        </w:rPr>
      </w:pPr>
      <w:r w:rsidRPr="00D62043">
        <w:rPr>
          <w:lang w:val="es-ES"/>
        </w:rPr>
        <w:t>La segunda reunión de la COM-DIR-RPC se celebró el 5 de diciembre para considerar los progresos realizados tras los bloques de reuniones de los GT, celebradas entre septiembre y noviembre de 2025, as</w:t>
      </w:r>
      <w:r>
        <w:rPr>
          <w:lang w:val="es-ES"/>
        </w:rPr>
        <w:t>í como todo asunto identificado en el marco de los estudios preparatorios del UIT-R para la RPC</w:t>
      </w:r>
      <w:r w:rsidRPr="00D62043">
        <w:rPr>
          <w:lang w:val="es-ES"/>
        </w:rPr>
        <w:t xml:space="preserve">27-2, </w:t>
      </w:r>
      <w:r>
        <w:rPr>
          <w:lang w:val="es-ES"/>
        </w:rPr>
        <w:t>la CMR</w:t>
      </w:r>
      <w:r w:rsidRPr="00D62043">
        <w:rPr>
          <w:lang w:val="es-ES"/>
        </w:rPr>
        <w:t xml:space="preserve">-27 </w:t>
      </w:r>
      <w:r>
        <w:rPr>
          <w:lang w:val="es-ES"/>
        </w:rPr>
        <w:t>y la CMR</w:t>
      </w:r>
      <w:r w:rsidRPr="00D62043">
        <w:rPr>
          <w:lang w:val="es-ES"/>
        </w:rPr>
        <w:t xml:space="preserve">-31. No se modificó la fecha límite previamente acordada, 23 de octubre de 2026, para la presentación de </w:t>
      </w:r>
      <w:r>
        <w:rPr>
          <w:lang w:val="es-ES"/>
        </w:rPr>
        <w:t xml:space="preserve">proyectos de texto de la RPC por los GT responsables. </w:t>
      </w:r>
      <w:r w:rsidRPr="00D62043">
        <w:rPr>
          <w:lang w:val="es-ES"/>
        </w:rPr>
        <w:t xml:space="preserve">Sin embargo, en la próxima reunión de la COM-DIR-RPC, prevista para el 12 de junio de </w:t>
      </w:r>
      <w:r>
        <w:rPr>
          <w:lang w:val="es-ES"/>
        </w:rPr>
        <w:t>2026, podrá considerarse la adopción de disposiciones prácticas en relación, por ejemplo, con la reunión prevista del GT 4A el 29 de octubre de 2026</w:t>
      </w:r>
      <w:r w:rsidRPr="00D62043">
        <w:rPr>
          <w:lang w:val="es-ES"/>
        </w:rPr>
        <w:t>.</w:t>
      </w:r>
      <w:r w:rsidRPr="00D62043" w:rsidDel="00A369B3">
        <w:rPr>
          <w:lang w:val="es-ES"/>
        </w:rPr>
        <w:t xml:space="preserve"> </w:t>
      </w:r>
    </w:p>
    <w:bookmarkEnd w:id="42"/>
    <w:p w14:paraId="2A5EA062" w14:textId="77777777" w:rsidR="009F084E" w:rsidRDefault="006D51CF" w:rsidP="006D51CF">
      <w:pPr>
        <w:rPr>
          <w:lang w:val="es-ES"/>
        </w:rPr>
      </w:pPr>
      <w:r w:rsidRPr="00D62043">
        <w:rPr>
          <w:lang w:val="es-ES"/>
        </w:rPr>
        <w:t>En la siguiente página web de la UIT, que se actualiza periódicamente, pu</w:t>
      </w:r>
      <w:r>
        <w:rPr>
          <w:lang w:val="es-ES"/>
        </w:rPr>
        <w:t xml:space="preserve">ede encontrarse información detallada acerca de los estudios preparatorios del UIT-R sobre los puntos del orden del día de la </w:t>
      </w:r>
    </w:p>
    <w:p w14:paraId="2E025408" w14:textId="29FBBB63" w:rsidR="006D51CF" w:rsidRPr="00C42923" w:rsidRDefault="006D51CF" w:rsidP="009F084E">
      <w:pPr>
        <w:spacing w:before="0"/>
        <w:rPr>
          <w:lang w:val="es-ES"/>
        </w:rPr>
      </w:pPr>
      <w:r w:rsidRPr="009F084E">
        <w:rPr>
          <w:lang w:val="en-GB"/>
        </w:rPr>
        <w:t xml:space="preserve">CMR-27: </w:t>
      </w:r>
      <w:hyperlink r:id="rId39" w:history="1">
        <w:r w:rsidRPr="009F084E">
          <w:rPr>
            <w:rStyle w:val="Hyperlink"/>
            <w:szCs w:val="24"/>
            <w:lang w:val="en-GB"/>
          </w:rPr>
          <w:t>www.itu.int/go</w:t>
        </w:r>
        <w:r w:rsidRPr="009F084E">
          <w:rPr>
            <w:rStyle w:val="Hyperlink"/>
            <w:szCs w:val="24"/>
            <w:lang w:val="en-GB"/>
          </w:rPr>
          <w:t>/</w:t>
        </w:r>
        <w:r w:rsidRPr="009F084E">
          <w:rPr>
            <w:rStyle w:val="Hyperlink"/>
            <w:szCs w:val="24"/>
            <w:lang w:val="en-GB"/>
          </w:rPr>
          <w:t>rcpm-wrc-27-studies</w:t>
        </w:r>
      </w:hyperlink>
      <w:r w:rsidRPr="009F084E">
        <w:rPr>
          <w:lang w:val="en-GB"/>
        </w:rPr>
        <w:t xml:space="preserve">. </w:t>
      </w:r>
      <w:r w:rsidRPr="00D62043">
        <w:rPr>
          <w:lang w:val="es-ES"/>
        </w:rPr>
        <w:t>La finalización de estas actividades de acuerdo con los planes de trabajo preestablecidos debería garantizar, en particular, que el proyecto de Informe de la RPC a la CMR-27 esté listo para su consideración durante la segu</w:t>
      </w:r>
      <w:r>
        <w:rPr>
          <w:lang w:val="es-ES"/>
        </w:rPr>
        <w:t>nda sesión de la RPC</w:t>
      </w:r>
      <w:r w:rsidRPr="00D62043">
        <w:rPr>
          <w:lang w:val="es-ES"/>
        </w:rPr>
        <w:noBreakHyphen/>
        <w:t>27.</w:t>
      </w:r>
      <w:r>
        <w:rPr>
          <w:lang w:val="es-ES"/>
        </w:rPr>
        <w:t xml:space="preserve"> </w:t>
      </w:r>
      <w:r w:rsidRPr="00C42923">
        <w:rPr>
          <w:lang w:val="es-ES"/>
        </w:rPr>
        <w:t xml:space="preserve">En esta página web puede encontrarse un enlace a los </w:t>
      </w:r>
      <w:hyperlink r:id="rId40" w:history="1">
        <w:r w:rsidRPr="00C42923">
          <w:rPr>
            <w:rStyle w:val="Hyperlink"/>
            <w:szCs w:val="24"/>
            <w:lang w:val="es-ES"/>
          </w:rPr>
          <w:t xml:space="preserve">estudios sobre los puntos del orden del día preliminar de la </w:t>
        </w:r>
        <w:r w:rsidRPr="00C42923">
          <w:rPr>
            <w:rStyle w:val="Hyperlink"/>
            <w:szCs w:val="24"/>
            <w:lang w:val="es-ES"/>
          </w:rPr>
          <w:t>CMR-31</w:t>
        </w:r>
      </w:hyperlink>
      <w:r w:rsidRPr="00C42923">
        <w:rPr>
          <w:lang w:val="es-ES"/>
        </w:rPr>
        <w:t>.</w:t>
      </w:r>
    </w:p>
    <w:p w14:paraId="2A5E831C" w14:textId="57CAF95F" w:rsidR="006D51CF" w:rsidRPr="00C42923" w:rsidRDefault="006D51CF" w:rsidP="006D51CF">
      <w:pPr>
        <w:rPr>
          <w:lang w:val="es-ES"/>
        </w:rPr>
      </w:pPr>
      <w:r w:rsidRPr="00C42923">
        <w:rPr>
          <w:lang w:val="es-ES"/>
        </w:rPr>
        <w:t xml:space="preserve">A finales de enero de 2026 la BR facilitó a los GT responsables </w:t>
      </w:r>
      <w:hyperlink r:id="rId41" w:history="1">
        <w:r w:rsidRPr="00C42923">
          <w:rPr>
            <w:rStyle w:val="Hyperlink"/>
            <w:lang w:val="es-ES"/>
          </w:rPr>
          <w:t>directrices y eje</w:t>
        </w:r>
        <w:r w:rsidRPr="00C42923">
          <w:rPr>
            <w:rStyle w:val="Hyperlink"/>
            <w:lang w:val="es-ES"/>
          </w:rPr>
          <w:t>m</w:t>
        </w:r>
        <w:r w:rsidRPr="00C42923">
          <w:rPr>
            <w:rStyle w:val="Hyperlink"/>
            <w:lang w:val="es-ES"/>
          </w:rPr>
          <w:t>plos adicionales</w:t>
        </w:r>
      </w:hyperlink>
      <w:r w:rsidRPr="00C42923">
        <w:rPr>
          <w:lang w:val="es-ES"/>
        </w:rPr>
        <w:t xml:space="preserve"> sobre la utilización d</w:t>
      </w:r>
      <w:r>
        <w:rPr>
          <w:lang w:val="es-ES"/>
        </w:rPr>
        <w:t>e la</w:t>
      </w:r>
      <w:r w:rsidRPr="00C42923">
        <w:rPr>
          <w:lang w:val="es-ES"/>
        </w:rPr>
        <w:t xml:space="preserve"> </w:t>
      </w:r>
      <w:hyperlink r:id="rId42" w:history="1">
        <w:r>
          <w:rPr>
            <w:rStyle w:val="Hyperlink"/>
            <w:lang w:val="es-ES"/>
          </w:rPr>
          <w:t>Interfaz de Propuestas para la Confere</w:t>
        </w:r>
        <w:r>
          <w:rPr>
            <w:rStyle w:val="Hyperlink"/>
            <w:lang w:val="es-ES"/>
          </w:rPr>
          <w:t>n</w:t>
        </w:r>
        <w:r>
          <w:rPr>
            <w:rStyle w:val="Hyperlink"/>
            <w:lang w:val="es-ES"/>
          </w:rPr>
          <w:t>cia (CPI) para la CMR-27</w:t>
        </w:r>
      </w:hyperlink>
      <w:r w:rsidRPr="00C42923">
        <w:rPr>
          <w:lang w:val="es-ES"/>
        </w:rPr>
        <w:t xml:space="preserve"> </w:t>
      </w:r>
      <w:r>
        <w:rPr>
          <w:lang w:val="es-ES"/>
        </w:rPr>
        <w:t>para elaborar ejemplos de textos reglamentarios para el proyecto de Informe de la RPC a la CMR</w:t>
      </w:r>
      <w:r w:rsidRPr="00C42923">
        <w:rPr>
          <w:lang w:val="es-ES"/>
        </w:rPr>
        <w:t>-27.</w:t>
      </w:r>
    </w:p>
    <w:p w14:paraId="326D5960" w14:textId="77777777" w:rsidR="009F084E" w:rsidRDefault="006D51CF" w:rsidP="006D51CF">
      <w:pPr>
        <w:rPr>
          <w:b/>
          <w:bCs/>
          <w:lang w:val="es-ES"/>
        </w:rPr>
      </w:pPr>
      <w:r w:rsidRPr="00C42923">
        <w:rPr>
          <w:lang w:val="es-ES"/>
        </w:rPr>
        <w:t xml:space="preserve">Conforme a lo dispuesto en la Resolución 80 (Rev. Marrakech, 2002) de la PP y la Resolución </w:t>
      </w:r>
      <w:r w:rsidRPr="00C42923">
        <w:rPr>
          <w:b/>
          <w:bCs/>
          <w:lang w:val="es-ES"/>
        </w:rPr>
        <w:t>72</w:t>
      </w:r>
    </w:p>
    <w:p w14:paraId="06D8989A" w14:textId="16D9BF97" w:rsidR="006D51CF" w:rsidRPr="00C42923" w:rsidRDefault="006D51CF" w:rsidP="009F084E">
      <w:pPr>
        <w:spacing w:before="0"/>
        <w:rPr>
          <w:lang w:val="es-ES"/>
        </w:rPr>
      </w:pPr>
      <w:r w:rsidRPr="00C42923">
        <w:rPr>
          <w:b/>
          <w:bCs/>
          <w:lang w:val="es-ES"/>
        </w:rPr>
        <w:t>(Rev.</w:t>
      </w:r>
      <w:r w:rsidR="00CE4E77">
        <w:rPr>
          <w:b/>
          <w:bCs/>
          <w:lang w:val="es-ES"/>
        </w:rPr>
        <w:t xml:space="preserve"> </w:t>
      </w:r>
      <w:r w:rsidRPr="00C42923">
        <w:rPr>
          <w:b/>
          <w:bCs/>
          <w:lang w:val="es-ES"/>
        </w:rPr>
        <w:t>CMR-19)</w:t>
      </w:r>
      <w:r w:rsidRPr="00C42923">
        <w:rPr>
          <w:lang w:val="es-ES"/>
        </w:rPr>
        <w:t>, los preparativos para la CMR‑27 prosi</w:t>
      </w:r>
      <w:r>
        <w:rPr>
          <w:lang w:val="es-ES"/>
        </w:rPr>
        <w:t>guieron también a escala regional con la participación activa de la BR en algunas reuniones de los grupos regionales, entre ellos la APT, el ASMG, la UAT, la</w:t>
      </w:r>
      <w:r w:rsidRPr="00C42923">
        <w:rPr>
          <w:lang w:val="es-ES"/>
        </w:rPr>
        <w:t xml:space="preserve"> CEPT, </w:t>
      </w:r>
      <w:r>
        <w:rPr>
          <w:lang w:val="es-ES"/>
        </w:rPr>
        <w:t xml:space="preserve">la </w:t>
      </w:r>
      <w:r w:rsidRPr="00C42923">
        <w:rPr>
          <w:lang w:val="es-ES"/>
        </w:rPr>
        <w:t xml:space="preserve">CITEL </w:t>
      </w:r>
      <w:r>
        <w:rPr>
          <w:lang w:val="es-ES"/>
        </w:rPr>
        <w:t>y la CRC, siempre que fue posible. Puede encontrarse información actualizada sobre los preparativos de los grupos regionales para la CMR</w:t>
      </w:r>
      <w:r w:rsidRPr="00C42923">
        <w:rPr>
          <w:lang w:val="es-ES"/>
        </w:rPr>
        <w:t xml:space="preserve">-27 </w:t>
      </w:r>
      <w:r>
        <w:rPr>
          <w:lang w:val="es-ES"/>
        </w:rPr>
        <w:t>en la dirección</w:t>
      </w:r>
      <w:r w:rsidRPr="00C42923">
        <w:rPr>
          <w:lang w:val="es-ES"/>
        </w:rPr>
        <w:t xml:space="preserve">: </w:t>
      </w:r>
      <w:hyperlink r:id="rId43" w:history="1">
        <w:r w:rsidRPr="00C42923">
          <w:rPr>
            <w:rStyle w:val="Hyperlink"/>
            <w:szCs w:val="24"/>
            <w:lang w:val="es-ES"/>
          </w:rPr>
          <w:t>www.itu.int/en/ITU-R/confer</w:t>
        </w:r>
        <w:r w:rsidRPr="00C42923">
          <w:rPr>
            <w:rStyle w:val="Hyperlink"/>
            <w:szCs w:val="24"/>
            <w:lang w:val="es-ES"/>
          </w:rPr>
          <w:t>e</w:t>
        </w:r>
        <w:r w:rsidRPr="00C42923">
          <w:rPr>
            <w:rStyle w:val="Hyperlink"/>
            <w:szCs w:val="24"/>
            <w:lang w:val="es-ES"/>
          </w:rPr>
          <w:t>nces/wrc/2027/Pages/reg-prep.aspx</w:t>
        </w:r>
      </w:hyperlink>
      <w:r w:rsidRPr="00C42923">
        <w:rPr>
          <w:lang w:val="es-ES"/>
        </w:rPr>
        <w:t>.</w:t>
      </w:r>
    </w:p>
    <w:p w14:paraId="3E62EDBD" w14:textId="4B212F75" w:rsidR="006D51CF" w:rsidRPr="0008385F" w:rsidRDefault="006D51CF" w:rsidP="006D51CF">
      <w:pPr>
        <w:rPr>
          <w:lang w:val="es-ES"/>
        </w:rPr>
      </w:pPr>
      <w:r w:rsidRPr="00C42923">
        <w:rPr>
          <w:lang w:val="es-ES"/>
        </w:rPr>
        <w:t xml:space="preserve">Siguiendo los consejos recibidos de la 32ª reunión del GAR, y tras las consultas realizadas con los Presidentes de los grupos regionales mencionados y los miembros del Equipo de Gestión de la RPC-27 </w:t>
      </w:r>
      <w:r>
        <w:rPr>
          <w:lang w:val="es-ES"/>
        </w:rPr>
        <w:t>sobre el programa y el formato del evento, la BR convocó la</w:t>
      </w:r>
      <w:r w:rsidRPr="00C42923">
        <w:rPr>
          <w:lang w:val="es-ES"/>
        </w:rPr>
        <w:t xml:space="preserve"> </w:t>
      </w:r>
      <w:hyperlink r:id="rId44" w:history="1">
        <w:r w:rsidRPr="00C42923">
          <w:rPr>
            <w:rStyle w:val="Hyperlink"/>
            <w:lang w:val="es-ES"/>
          </w:rPr>
          <w:t>1</w:t>
        </w:r>
        <w:r>
          <w:rPr>
            <w:rStyle w:val="Hyperlink"/>
            <w:vertAlign w:val="superscript"/>
            <w:lang w:val="es-ES"/>
          </w:rPr>
          <w:t>ª</w:t>
        </w:r>
        <w:r w:rsidRPr="00C42923">
          <w:rPr>
            <w:rStyle w:val="Hyperlink"/>
            <w:lang w:val="es-ES"/>
          </w:rPr>
          <w:t xml:space="preserve"> S</w:t>
        </w:r>
        <w:r>
          <w:rPr>
            <w:rStyle w:val="Hyperlink"/>
            <w:lang w:val="es-ES"/>
          </w:rPr>
          <w:t>II</w:t>
        </w:r>
        <w:r w:rsidRPr="00C42923">
          <w:rPr>
            <w:rStyle w:val="Hyperlink"/>
            <w:lang w:val="es-ES"/>
          </w:rPr>
          <w:t xml:space="preserve"> </w:t>
        </w:r>
        <w:r>
          <w:rPr>
            <w:rStyle w:val="Hyperlink"/>
            <w:lang w:val="es-ES"/>
          </w:rPr>
          <w:t>sobre los preparativos de la C</w:t>
        </w:r>
        <w:r>
          <w:rPr>
            <w:rStyle w:val="Hyperlink"/>
            <w:lang w:val="es-ES"/>
          </w:rPr>
          <w:t>M</w:t>
        </w:r>
        <w:r>
          <w:rPr>
            <w:rStyle w:val="Hyperlink"/>
            <w:lang w:val="es-ES"/>
          </w:rPr>
          <w:t>R</w:t>
        </w:r>
        <w:r w:rsidRPr="00C42923">
          <w:rPr>
            <w:rStyle w:val="Hyperlink"/>
            <w:lang w:val="es-ES"/>
          </w:rPr>
          <w:t>-27</w:t>
        </w:r>
      </w:hyperlink>
      <w:r w:rsidRPr="00C42923">
        <w:rPr>
          <w:lang w:val="es-ES"/>
        </w:rPr>
        <w:t xml:space="preserve">, </w:t>
      </w:r>
      <w:r>
        <w:rPr>
          <w:lang w:val="es-ES"/>
        </w:rPr>
        <w:t xml:space="preserve">que se celebró del 3 al 5 de diciembre de 2025 en formato presencial en Ginebra, con servicio de interpretación y la posibilidad de participar a distancia. </w:t>
      </w:r>
      <w:r w:rsidRPr="00C42923">
        <w:rPr>
          <w:lang w:val="es-ES"/>
        </w:rPr>
        <w:t xml:space="preserve">El programa y todos los documentos presentados a esta 1ª SII, así como los </w:t>
      </w:r>
      <w:hyperlink r:id="rId45" w:history="1">
        <w:r w:rsidRPr="00C42923">
          <w:rPr>
            <w:rStyle w:val="Hyperlink"/>
            <w:lang w:val="es-ES"/>
          </w:rPr>
          <w:t xml:space="preserve">archivos </w:t>
        </w:r>
        <w:r w:rsidRPr="00C42923">
          <w:rPr>
            <w:rStyle w:val="Hyperlink"/>
            <w:lang w:val="es-ES"/>
          </w:rPr>
          <w:t>d</w:t>
        </w:r>
        <w:r w:rsidRPr="00C42923">
          <w:rPr>
            <w:rStyle w:val="Hyperlink"/>
            <w:lang w:val="es-ES"/>
          </w:rPr>
          <w:t>e difusión web</w:t>
        </w:r>
      </w:hyperlink>
      <w:r w:rsidRPr="00C42923">
        <w:rPr>
          <w:lang w:val="es-ES"/>
        </w:rPr>
        <w:t xml:space="preserve"> </w:t>
      </w:r>
      <w:r>
        <w:rPr>
          <w:lang w:val="es-ES"/>
        </w:rPr>
        <w:t>de los debates y las transcripciones, pueden consultarse en el sitio web del evento en la dirección</w:t>
      </w:r>
      <w:r w:rsidRPr="00C42923">
        <w:rPr>
          <w:lang w:val="es-ES"/>
        </w:rPr>
        <w:t xml:space="preserve">: </w:t>
      </w:r>
      <w:hyperlink r:id="rId46" w:history="1">
        <w:r w:rsidR="009F084E">
          <w:rPr>
            <w:rStyle w:val="Hyperlink"/>
            <w:lang w:val="es-ES"/>
          </w:rPr>
          <w:t>https://www.itu.int/iris-wrc-27/2025/es</w:t>
        </w:r>
      </w:hyperlink>
      <w:r w:rsidRPr="00C42923">
        <w:rPr>
          <w:lang w:val="es-ES"/>
        </w:rPr>
        <w:t>. Se ha previsto celebrar la 2ª y la 3ª SII sobre los preparativos de la CM</w:t>
      </w:r>
      <w:r>
        <w:rPr>
          <w:lang w:val="es-ES"/>
        </w:rPr>
        <w:t>R</w:t>
      </w:r>
      <w:r w:rsidRPr="00C42923">
        <w:rPr>
          <w:lang w:val="es-ES"/>
        </w:rPr>
        <w:t xml:space="preserve">-27 </w:t>
      </w:r>
      <w:r>
        <w:rPr>
          <w:lang w:val="es-ES"/>
        </w:rPr>
        <w:t>del 14 al 16 de diciembre de 2026, antes de la RPC-27-2 y un par de meses antes de la CMR-27, respectivamente</w:t>
      </w:r>
      <w:r w:rsidRPr="00C42923">
        <w:rPr>
          <w:lang w:val="es-ES"/>
        </w:rPr>
        <w:t xml:space="preserve">. </w:t>
      </w:r>
      <w:r w:rsidRPr="0008385F">
        <w:rPr>
          <w:lang w:val="es-ES"/>
        </w:rPr>
        <w:t>La información sobre la 2ª y la 3ª SII sobre los preparativos de la CMR-27 se publicará a su de</w:t>
      </w:r>
      <w:r>
        <w:rPr>
          <w:lang w:val="es-ES"/>
        </w:rPr>
        <w:t>bido tiempo en el sitio web</w:t>
      </w:r>
      <w:r w:rsidRPr="0008385F">
        <w:rPr>
          <w:lang w:val="es-ES"/>
        </w:rPr>
        <w:t xml:space="preserve"> </w:t>
      </w:r>
      <w:hyperlink r:id="rId47" w:history="1">
        <w:r w:rsidR="00DD767D">
          <w:rPr>
            <w:rStyle w:val="Hyperlink"/>
            <w:lang w:val="es-ES"/>
          </w:rPr>
          <w:t>https://www.itu.int/iris-wrc-27/es</w:t>
        </w:r>
      </w:hyperlink>
      <w:r w:rsidRPr="0008385F">
        <w:rPr>
          <w:lang w:val="es-ES"/>
        </w:rPr>
        <w:t>.</w:t>
      </w:r>
    </w:p>
    <w:p w14:paraId="7447426D" w14:textId="77777777" w:rsidR="006D51CF" w:rsidRPr="0008385F" w:rsidRDefault="006D51CF" w:rsidP="006D51CF">
      <w:pPr>
        <w:rPr>
          <w:lang w:val="es-ES"/>
        </w:rPr>
      </w:pPr>
      <w:r w:rsidRPr="0008385F">
        <w:rPr>
          <w:lang w:val="es-ES"/>
        </w:rPr>
        <w:t xml:space="preserve">Toda esta información puede consultarse en el </w:t>
      </w:r>
      <w:hyperlink r:id="rId48" w:history="1">
        <w:r w:rsidRPr="0008385F">
          <w:rPr>
            <w:rStyle w:val="Hyperlink"/>
            <w:lang w:val="es-ES"/>
          </w:rPr>
          <w:t>sitio web</w:t>
        </w:r>
        <w:r w:rsidRPr="0008385F">
          <w:rPr>
            <w:rStyle w:val="Hyperlink"/>
            <w:lang w:val="es-ES"/>
          </w:rPr>
          <w:t xml:space="preserve"> </w:t>
        </w:r>
        <w:r w:rsidRPr="0008385F">
          <w:rPr>
            <w:rStyle w:val="Hyperlink"/>
            <w:lang w:val="es-ES"/>
          </w:rPr>
          <w:t>de la RPC</w:t>
        </w:r>
      </w:hyperlink>
      <w:r w:rsidRPr="0008385F">
        <w:rPr>
          <w:lang w:val="es-ES"/>
        </w:rPr>
        <w:t>.</w:t>
      </w:r>
    </w:p>
    <w:p w14:paraId="7152A8EE" w14:textId="77777777" w:rsidR="006D51CF" w:rsidRPr="0008385F" w:rsidRDefault="006D51CF" w:rsidP="006D51CF">
      <w:pPr>
        <w:pStyle w:val="Heading1"/>
        <w:rPr>
          <w:lang w:val="es-ES"/>
        </w:rPr>
      </w:pPr>
      <w:bookmarkStart w:id="44" w:name="_Toc222308680"/>
      <w:bookmarkStart w:id="45" w:name="_Toc222843149"/>
      <w:r w:rsidRPr="0008385F">
        <w:rPr>
          <w:lang w:val="es-ES"/>
        </w:rPr>
        <w:t>5</w:t>
      </w:r>
      <w:r w:rsidRPr="0008385F">
        <w:rPr>
          <w:lang w:val="es-ES"/>
        </w:rPr>
        <w:tab/>
        <w:t>Actividades de las Comisiones de E</w:t>
      </w:r>
      <w:r>
        <w:rPr>
          <w:lang w:val="es-ES"/>
        </w:rPr>
        <w:t>s</w:t>
      </w:r>
      <w:r w:rsidRPr="0008385F">
        <w:rPr>
          <w:lang w:val="es-ES"/>
        </w:rPr>
        <w:t>tudio</w:t>
      </w:r>
      <w:bookmarkEnd w:id="44"/>
      <w:bookmarkEnd w:id="45"/>
    </w:p>
    <w:p w14:paraId="0B279EBC" w14:textId="77777777" w:rsidR="006D51CF" w:rsidRPr="0008385F" w:rsidRDefault="006D51CF" w:rsidP="006D51CF">
      <w:pPr>
        <w:rPr>
          <w:rFonts w:eastAsia="SimSun"/>
          <w:lang w:val="es-ES"/>
        </w:rPr>
      </w:pPr>
      <w:r w:rsidRPr="0008385F">
        <w:rPr>
          <w:rFonts w:eastAsia="SimSun"/>
          <w:lang w:val="es-ES"/>
        </w:rPr>
        <w:t>Este tema se aborda en el Addéndum 1 al presente document</w:t>
      </w:r>
      <w:r>
        <w:rPr>
          <w:rFonts w:eastAsia="SimSun"/>
          <w:lang w:val="es-ES"/>
        </w:rPr>
        <w:t>o</w:t>
      </w:r>
      <w:r w:rsidRPr="0008385F">
        <w:rPr>
          <w:rFonts w:eastAsia="SimSun"/>
          <w:lang w:val="es-ES"/>
        </w:rPr>
        <w:t>.</w:t>
      </w:r>
    </w:p>
    <w:p w14:paraId="70962F4D" w14:textId="77777777" w:rsidR="006D51CF" w:rsidRPr="00717EF7" w:rsidRDefault="006D51CF" w:rsidP="006D51CF">
      <w:pPr>
        <w:pStyle w:val="Heading1"/>
        <w:numPr>
          <w:ilvl w:val="0"/>
          <w:numId w:val="1"/>
        </w:numPr>
        <w:ind w:left="792" w:hanging="792"/>
        <w:rPr>
          <w:szCs w:val="24"/>
          <w:lang w:val="en-US"/>
        </w:rPr>
      </w:pPr>
      <w:bookmarkStart w:id="46" w:name="_Toc222308681"/>
      <w:bookmarkStart w:id="47" w:name="_Toc222843150"/>
      <w:r>
        <w:rPr>
          <w:szCs w:val="24"/>
          <w:lang w:val="en-US"/>
        </w:rPr>
        <w:t>Planificación operacional</w:t>
      </w:r>
      <w:bookmarkEnd w:id="37"/>
      <w:bookmarkEnd w:id="46"/>
      <w:bookmarkEnd w:id="47"/>
    </w:p>
    <w:p w14:paraId="4CA19CE0" w14:textId="5E8F458D" w:rsidR="006D51CF" w:rsidRPr="0008385F" w:rsidRDefault="006D51CF" w:rsidP="006D51CF">
      <w:pPr>
        <w:rPr>
          <w:rFonts w:eastAsia="SimSun"/>
          <w:lang w:val="es-ES"/>
        </w:rPr>
      </w:pPr>
      <w:r w:rsidRPr="0008385F">
        <w:rPr>
          <w:rFonts w:eastAsia="SimSun"/>
          <w:lang w:val="es-ES"/>
        </w:rPr>
        <w:t>En su reunión de 2025 el Consejo aprobó el Plan Operacional cuatrienal renovable de la Unión para 2026-2029 (</w:t>
      </w:r>
      <w:hyperlink r:id="rId49" w:history="1">
        <w:r w:rsidRPr="0008385F">
          <w:rPr>
            <w:rStyle w:val="Hyperlink"/>
            <w:rFonts w:eastAsia="SimSun"/>
            <w:lang w:val="es-ES"/>
          </w:rPr>
          <w:t>Docu</w:t>
        </w:r>
        <w:r w:rsidRPr="0008385F">
          <w:rPr>
            <w:rStyle w:val="Hyperlink"/>
            <w:rFonts w:eastAsia="SimSun"/>
            <w:lang w:val="es-ES"/>
          </w:rPr>
          <w:t>m</w:t>
        </w:r>
        <w:r w:rsidRPr="0008385F">
          <w:rPr>
            <w:rStyle w:val="Hyperlink"/>
            <w:rFonts w:eastAsia="SimSun"/>
            <w:lang w:val="es-ES"/>
          </w:rPr>
          <w:t>ento C24/28</w:t>
        </w:r>
      </w:hyperlink>
      <w:r w:rsidRPr="0008385F">
        <w:rPr>
          <w:rFonts w:eastAsia="SimSun"/>
          <w:lang w:val="es-ES"/>
        </w:rPr>
        <w:t xml:space="preserve">) </w:t>
      </w:r>
      <w:r>
        <w:rPr>
          <w:rFonts w:eastAsia="SimSun"/>
          <w:lang w:val="es-ES"/>
        </w:rPr>
        <w:t>y adoptó la</w:t>
      </w:r>
      <w:r w:rsidRPr="0008385F">
        <w:rPr>
          <w:rFonts w:eastAsia="SimSun"/>
          <w:lang w:val="es-ES"/>
        </w:rPr>
        <w:t xml:space="preserve"> </w:t>
      </w:r>
      <w:hyperlink r:id="rId50" w:history="1">
        <w:r w:rsidRPr="0008385F">
          <w:rPr>
            <w:rStyle w:val="Hyperlink"/>
            <w:rFonts w:eastAsia="SimSun"/>
            <w:lang w:val="es-ES"/>
          </w:rPr>
          <w:t>Resolu</w:t>
        </w:r>
        <w:r>
          <w:rPr>
            <w:rStyle w:val="Hyperlink"/>
            <w:rFonts w:eastAsia="SimSun"/>
            <w:lang w:val="es-ES"/>
          </w:rPr>
          <w:t>ció</w:t>
        </w:r>
        <w:r>
          <w:rPr>
            <w:rStyle w:val="Hyperlink"/>
            <w:rFonts w:eastAsia="SimSun"/>
            <w:lang w:val="es-ES"/>
          </w:rPr>
          <w:t>n</w:t>
        </w:r>
        <w:r w:rsidRPr="0008385F">
          <w:rPr>
            <w:rStyle w:val="Hyperlink"/>
            <w:rFonts w:eastAsia="SimSun"/>
            <w:lang w:val="es-ES"/>
          </w:rPr>
          <w:t xml:space="preserve"> 1431</w:t>
        </w:r>
      </w:hyperlink>
      <w:r w:rsidRPr="0008385F">
        <w:rPr>
          <w:rFonts w:eastAsia="SimSun"/>
          <w:lang w:val="es-ES"/>
        </w:rPr>
        <w:t>. El Plan Operacional para este periodo contempla la implementación de cinco prioridades temáticas y 43 pr</w:t>
      </w:r>
      <w:r>
        <w:rPr>
          <w:rFonts w:eastAsia="SimSun"/>
          <w:lang w:val="es-ES"/>
        </w:rPr>
        <w:t>oductos</w:t>
      </w:r>
      <w:r w:rsidRPr="0008385F">
        <w:rPr>
          <w:rFonts w:eastAsia="SimSun"/>
          <w:lang w:val="es-ES"/>
        </w:rPr>
        <w:t>. Se ajusta a la estructura de los Planes Estratégico y Financ</w:t>
      </w:r>
      <w:r>
        <w:rPr>
          <w:rFonts w:eastAsia="SimSun"/>
          <w:lang w:val="es-ES"/>
        </w:rPr>
        <w:t>iero para</w:t>
      </w:r>
      <w:r w:rsidRPr="0008385F">
        <w:rPr>
          <w:rFonts w:eastAsia="SimSun"/>
          <w:lang w:val="es-ES"/>
        </w:rPr>
        <w:t xml:space="preserve"> 2024-2027 </w:t>
      </w:r>
      <w:r>
        <w:rPr>
          <w:rFonts w:eastAsia="SimSun"/>
          <w:lang w:val="es-ES"/>
        </w:rPr>
        <w:t>aprobados por la Conferencia de Plenipotenciarios de</w:t>
      </w:r>
      <w:r w:rsidRPr="0008385F">
        <w:rPr>
          <w:rFonts w:eastAsia="SimSun"/>
          <w:lang w:val="es-ES"/>
        </w:rPr>
        <w:t xml:space="preserve"> 2022.</w:t>
      </w:r>
    </w:p>
    <w:p w14:paraId="6F0C199C" w14:textId="5972AECA" w:rsidR="006D51CF" w:rsidRPr="0008385F" w:rsidRDefault="006D51CF" w:rsidP="006D51CF">
      <w:pPr>
        <w:rPr>
          <w:lang w:val="es-ES"/>
        </w:rPr>
      </w:pPr>
      <w:r w:rsidRPr="0008385F">
        <w:rPr>
          <w:lang w:val="es-ES"/>
        </w:rPr>
        <w:t>El proyecto de Plan Operacional renovable del UIT-R para el period</w:t>
      </w:r>
      <w:r>
        <w:rPr>
          <w:lang w:val="es-ES"/>
        </w:rPr>
        <w:t>o</w:t>
      </w:r>
      <w:r w:rsidRPr="0008385F">
        <w:rPr>
          <w:lang w:val="es-ES"/>
        </w:rPr>
        <w:t xml:space="preserve"> 2027-2030 </w:t>
      </w:r>
      <w:r>
        <w:rPr>
          <w:lang w:val="es-ES"/>
        </w:rPr>
        <w:t>y el informe de rendimiento de 2025 se presentan en el Documento</w:t>
      </w:r>
      <w:r w:rsidRPr="0008385F">
        <w:rPr>
          <w:lang w:val="es-ES"/>
        </w:rPr>
        <w:t xml:space="preserve"> </w:t>
      </w:r>
      <w:hyperlink r:id="rId51" w:history="1">
        <w:r w:rsidRPr="0008385F">
          <w:rPr>
            <w:rStyle w:val="Hyperlink"/>
            <w:lang w:val="es-ES"/>
          </w:rPr>
          <w:t>RA</w:t>
        </w:r>
        <w:r w:rsidRPr="0008385F">
          <w:rPr>
            <w:rStyle w:val="Hyperlink"/>
            <w:lang w:val="es-ES"/>
          </w:rPr>
          <w:t>G</w:t>
        </w:r>
        <w:r w:rsidRPr="0008385F">
          <w:rPr>
            <w:rStyle w:val="Hyperlink"/>
            <w:lang w:val="es-ES"/>
          </w:rPr>
          <w:t>/62</w:t>
        </w:r>
      </w:hyperlink>
      <w:r w:rsidRPr="0008385F">
        <w:rPr>
          <w:lang w:val="es-ES"/>
        </w:rPr>
        <w:t>.</w:t>
      </w:r>
    </w:p>
    <w:p w14:paraId="214C9EB6" w14:textId="77777777" w:rsidR="006D51CF" w:rsidRPr="0008385F" w:rsidRDefault="006D51CF" w:rsidP="006D51CF">
      <w:pPr>
        <w:pStyle w:val="Heading1"/>
        <w:rPr>
          <w:lang w:val="es-ES"/>
        </w:rPr>
      </w:pPr>
      <w:bookmarkStart w:id="48" w:name="_Toc446060769"/>
      <w:bookmarkStart w:id="49" w:name="_Toc222308682"/>
      <w:bookmarkStart w:id="50" w:name="_Toc222843151"/>
      <w:r w:rsidRPr="0008385F">
        <w:rPr>
          <w:lang w:val="es-ES"/>
        </w:rPr>
        <w:t>7</w:t>
      </w:r>
      <w:r w:rsidRPr="0008385F">
        <w:rPr>
          <w:lang w:val="es-ES"/>
        </w:rPr>
        <w:tab/>
        <w:t>Sistema de información de la BR</w:t>
      </w:r>
      <w:bookmarkEnd w:id="48"/>
      <w:bookmarkEnd w:id="49"/>
      <w:bookmarkEnd w:id="50"/>
    </w:p>
    <w:p w14:paraId="13716DE8" w14:textId="1FA86329" w:rsidR="006D51CF" w:rsidRPr="004C1106" w:rsidRDefault="006D51CF" w:rsidP="006D51CF">
      <w:pPr>
        <w:pStyle w:val="Heading2"/>
        <w:rPr>
          <w:lang w:val="es-ES"/>
        </w:rPr>
      </w:pPr>
      <w:bookmarkStart w:id="51" w:name="_Toc222308683"/>
      <w:bookmarkStart w:id="52" w:name="_Toc222843152"/>
      <w:r w:rsidRPr="004C1106">
        <w:rPr>
          <w:lang w:val="es-ES"/>
        </w:rPr>
        <w:t>7.1</w:t>
      </w:r>
      <w:r w:rsidRPr="004C1106">
        <w:rPr>
          <w:lang w:val="es-ES"/>
        </w:rPr>
        <w:tab/>
        <w:t>Software y herramientas terrenales</w:t>
      </w:r>
      <w:bookmarkEnd w:id="51"/>
      <w:bookmarkEnd w:id="52"/>
    </w:p>
    <w:p w14:paraId="01922332" w14:textId="19F0E554" w:rsidR="006D51CF" w:rsidRPr="0008385F" w:rsidRDefault="006D51CF" w:rsidP="006D51CF">
      <w:pPr>
        <w:pStyle w:val="Heading3"/>
        <w:rPr>
          <w:rFonts w:eastAsia="Verdana"/>
          <w:lang w:val="es-ES"/>
        </w:rPr>
      </w:pPr>
      <w:bookmarkStart w:id="53" w:name="_Toc222308684"/>
      <w:bookmarkStart w:id="54" w:name="_Toc222843153"/>
      <w:r w:rsidRPr="0008385F">
        <w:rPr>
          <w:rFonts w:eastAsia="Verdana"/>
          <w:lang w:val="es-ES"/>
        </w:rPr>
        <w:t>7.1.1</w:t>
      </w:r>
      <w:r w:rsidRPr="0008385F">
        <w:rPr>
          <w:rFonts w:eastAsia="Verdana"/>
          <w:lang w:val="es-ES"/>
        </w:rPr>
        <w:tab/>
        <w:t xml:space="preserve">Aplicación de las decisiones de la </w:t>
      </w:r>
      <w:r>
        <w:rPr>
          <w:rFonts w:eastAsia="Verdana"/>
          <w:lang w:val="es-ES"/>
        </w:rPr>
        <w:t>CMR</w:t>
      </w:r>
      <w:r w:rsidRPr="0008385F">
        <w:rPr>
          <w:rFonts w:eastAsia="Verdana"/>
          <w:lang w:val="es-ES"/>
        </w:rPr>
        <w:t xml:space="preserve">-23 </w:t>
      </w:r>
      <w:r>
        <w:rPr>
          <w:rFonts w:eastAsia="Verdana"/>
          <w:lang w:val="es-ES"/>
        </w:rPr>
        <w:t>relativas a los servicios terrenales</w:t>
      </w:r>
      <w:bookmarkEnd w:id="53"/>
      <w:bookmarkEnd w:id="54"/>
    </w:p>
    <w:p w14:paraId="5E5CD455" w14:textId="77777777" w:rsidR="006D51CF" w:rsidRPr="00AB7A78" w:rsidRDefault="006D51CF" w:rsidP="006D51CF">
      <w:pPr>
        <w:pStyle w:val="enumlev1"/>
        <w:tabs>
          <w:tab w:val="clear" w:pos="794"/>
        </w:tabs>
        <w:ind w:left="0" w:firstLine="0"/>
        <w:rPr>
          <w:lang w:val="es-ES"/>
        </w:rPr>
      </w:pPr>
      <w:r>
        <w:rPr>
          <w:lang w:val="es-ES"/>
        </w:rPr>
        <w:t>Se ha terminado de modernizar y actualizar el</w:t>
      </w:r>
      <w:r w:rsidRPr="0008385F">
        <w:rPr>
          <w:lang w:val="es-ES"/>
        </w:rPr>
        <w:t xml:space="preserve"> </w:t>
      </w:r>
      <w:r w:rsidRPr="00CE4E77">
        <w:rPr>
          <w:i/>
          <w:iCs/>
          <w:lang w:val="es-ES"/>
        </w:rPr>
        <w:t>software</w:t>
      </w:r>
      <w:r w:rsidRPr="0008385F">
        <w:rPr>
          <w:lang w:val="es-ES"/>
        </w:rPr>
        <w:t xml:space="preserve"> utilizado para tramitar y publicar notificac</w:t>
      </w:r>
      <w:r>
        <w:rPr>
          <w:lang w:val="es-ES"/>
        </w:rPr>
        <w:t>i</w:t>
      </w:r>
      <w:r w:rsidRPr="0008385F">
        <w:rPr>
          <w:lang w:val="es-ES"/>
        </w:rPr>
        <w:t>ones terrenales, en los planos tanto interno (TerRaSys) c</w:t>
      </w:r>
      <w:r>
        <w:rPr>
          <w:lang w:val="es-ES"/>
        </w:rPr>
        <w:t>omo externo</w:t>
      </w:r>
      <w:r w:rsidRPr="0008385F">
        <w:rPr>
          <w:lang w:val="es-ES"/>
        </w:rPr>
        <w:t xml:space="preserve"> (BR IFIC (</w:t>
      </w:r>
      <w:r>
        <w:rPr>
          <w:lang w:val="es-ES"/>
        </w:rPr>
        <w:t>Servicios Terrenales</w:t>
      </w:r>
      <w:r w:rsidRPr="0008385F">
        <w:rPr>
          <w:lang w:val="es-ES"/>
        </w:rPr>
        <w:t>))</w:t>
      </w:r>
      <w:r>
        <w:rPr>
          <w:lang w:val="es-ES"/>
        </w:rPr>
        <w:t>, de acuerdo con las decisiones de la CMR</w:t>
      </w:r>
      <w:r w:rsidRPr="0008385F">
        <w:rPr>
          <w:lang w:val="es-ES"/>
        </w:rPr>
        <w:t xml:space="preserve">-23 </w:t>
      </w:r>
      <w:r>
        <w:rPr>
          <w:lang w:val="es-ES"/>
        </w:rPr>
        <w:t>y las Reglas de Procedimiento conexas.</w:t>
      </w:r>
      <w:r w:rsidRPr="0008385F">
        <w:rPr>
          <w:lang w:val="es-ES"/>
        </w:rPr>
        <w:t xml:space="preserve"> </w:t>
      </w:r>
      <w:r w:rsidRPr="00AB7A78">
        <w:rPr>
          <w:lang w:val="es-ES"/>
        </w:rPr>
        <w:t xml:space="preserve">Esto incluye la modificación de las bases de datos terrenales, el </w:t>
      </w:r>
      <w:r w:rsidRPr="00956FC6">
        <w:rPr>
          <w:i/>
          <w:iCs/>
          <w:lang w:val="es-ES"/>
        </w:rPr>
        <w:t>software</w:t>
      </w:r>
      <w:r w:rsidRPr="00AB7A78">
        <w:rPr>
          <w:lang w:val="es-ES"/>
        </w:rPr>
        <w:t xml:space="preserve"> de validación </w:t>
      </w:r>
      <w:r>
        <w:rPr>
          <w:lang w:val="es-ES"/>
        </w:rPr>
        <w:t>y examen y los cuadros de referencia para las bandas de frecuencias compartidas con los servicios espaciales, a tenor del número</w:t>
      </w:r>
      <w:r w:rsidRPr="00AB7A78">
        <w:rPr>
          <w:lang w:val="es-ES"/>
        </w:rPr>
        <w:t xml:space="preserve"> </w:t>
      </w:r>
      <w:r w:rsidRPr="00AB7A78">
        <w:rPr>
          <w:b/>
          <w:bCs/>
          <w:lang w:val="es-ES"/>
        </w:rPr>
        <w:t>9.21</w:t>
      </w:r>
      <w:r w:rsidRPr="00AB7A78">
        <w:rPr>
          <w:lang w:val="es-ES"/>
        </w:rPr>
        <w:t xml:space="preserve"> </w:t>
      </w:r>
      <w:r>
        <w:rPr>
          <w:lang w:val="es-ES"/>
        </w:rPr>
        <w:t>del RR, identificadas para las</w:t>
      </w:r>
      <w:r w:rsidRPr="00AB7A78">
        <w:rPr>
          <w:lang w:val="es-ES"/>
        </w:rPr>
        <w:t xml:space="preserve"> IMT, etc. Se llevaron a cabo todos los cambios necesarios y </w:t>
      </w:r>
      <w:r>
        <w:rPr>
          <w:lang w:val="es-ES"/>
        </w:rPr>
        <w:t>se espera completar el proceso de integración en</w:t>
      </w:r>
      <w:r w:rsidRPr="00AB7A78">
        <w:rPr>
          <w:lang w:val="es-ES"/>
        </w:rPr>
        <w:t xml:space="preserve"> 2025. </w:t>
      </w:r>
    </w:p>
    <w:p w14:paraId="2A4AB04D" w14:textId="499A7B4A" w:rsidR="006D51CF" w:rsidRPr="00AB7A78" w:rsidRDefault="006D51CF" w:rsidP="006D51CF">
      <w:pPr>
        <w:pStyle w:val="Heading3"/>
        <w:rPr>
          <w:lang w:val="es-ES"/>
        </w:rPr>
      </w:pPr>
      <w:bookmarkStart w:id="55" w:name="_Toc222308685"/>
      <w:bookmarkStart w:id="56" w:name="_Toc222843154"/>
      <w:r w:rsidRPr="00AB7A78">
        <w:rPr>
          <w:rFonts w:eastAsia="Verdana"/>
          <w:lang w:val="es-ES"/>
        </w:rPr>
        <w:t>7.1.2</w:t>
      </w:r>
      <w:r w:rsidRPr="00AB7A78">
        <w:rPr>
          <w:rFonts w:eastAsia="Verdana"/>
          <w:lang w:val="es-ES"/>
        </w:rPr>
        <w:tab/>
        <w:t xml:space="preserve">Tramitación de solicitudes de coordinación con </w:t>
      </w:r>
      <w:r>
        <w:rPr>
          <w:rFonts w:eastAsia="Verdana"/>
          <w:lang w:val="es-ES"/>
        </w:rPr>
        <w:t>arreglo al número</w:t>
      </w:r>
      <w:r w:rsidRPr="00AB7A78">
        <w:rPr>
          <w:lang w:val="es-ES"/>
        </w:rPr>
        <w:t xml:space="preserve"> 9.21</w:t>
      </w:r>
      <w:bookmarkEnd w:id="55"/>
      <w:r>
        <w:rPr>
          <w:lang w:val="es-ES"/>
        </w:rPr>
        <w:t xml:space="preserve"> del RR</w:t>
      </w:r>
      <w:bookmarkEnd w:id="56"/>
    </w:p>
    <w:p w14:paraId="0E5A3CBD" w14:textId="77777777" w:rsidR="006D51CF" w:rsidRPr="00AB7A78" w:rsidRDefault="006D51CF" w:rsidP="006D51CF">
      <w:pPr>
        <w:rPr>
          <w:lang w:val="es-ES"/>
        </w:rPr>
      </w:pPr>
      <w:r w:rsidRPr="00AB7A78">
        <w:rPr>
          <w:lang w:val="es-ES"/>
        </w:rPr>
        <w:t xml:space="preserve">Durante el periodo considerado se siguió trabajando en el desarrollo de los módulos de </w:t>
      </w:r>
      <w:r w:rsidRPr="00DD767D">
        <w:rPr>
          <w:i/>
          <w:iCs/>
          <w:lang w:val="es-ES"/>
        </w:rPr>
        <w:t>software</w:t>
      </w:r>
      <w:r w:rsidRPr="00AB7A78">
        <w:rPr>
          <w:lang w:val="es-ES"/>
        </w:rPr>
        <w:t xml:space="preserve"> </w:t>
      </w:r>
      <w:r>
        <w:rPr>
          <w:lang w:val="es-ES"/>
        </w:rPr>
        <w:t>y las herramientas conexas que se utilizan para la tramitación de solicitudes de coordinación con arreglo al número</w:t>
      </w:r>
      <w:r w:rsidRPr="00AB7A78">
        <w:rPr>
          <w:lang w:val="es-ES"/>
        </w:rPr>
        <w:t xml:space="preserve"> </w:t>
      </w:r>
      <w:r w:rsidRPr="00AB7A78">
        <w:rPr>
          <w:b/>
          <w:bCs/>
          <w:lang w:val="es-ES"/>
        </w:rPr>
        <w:t>9.21</w:t>
      </w:r>
      <w:r w:rsidRPr="00AB7A78">
        <w:rPr>
          <w:lang w:val="es-ES"/>
        </w:rPr>
        <w:t xml:space="preserve"> </w:t>
      </w:r>
      <w:r>
        <w:rPr>
          <w:lang w:val="es-ES"/>
        </w:rPr>
        <w:t xml:space="preserve">del RR. </w:t>
      </w:r>
      <w:r w:rsidRPr="00AB7A78">
        <w:rPr>
          <w:lang w:val="es-ES"/>
        </w:rPr>
        <w:t xml:space="preserve">Se ha previsto </w:t>
      </w:r>
      <w:r>
        <w:rPr>
          <w:lang w:val="es-ES"/>
        </w:rPr>
        <w:t>finalizar</w:t>
      </w:r>
      <w:r w:rsidRPr="00AB7A78">
        <w:rPr>
          <w:lang w:val="es-ES"/>
        </w:rPr>
        <w:t xml:space="preserve"> el </w:t>
      </w:r>
      <w:r w:rsidRPr="00956FC6">
        <w:rPr>
          <w:i/>
          <w:iCs/>
          <w:lang w:val="es-ES"/>
        </w:rPr>
        <w:t>software</w:t>
      </w:r>
      <w:r w:rsidRPr="00AB7A78">
        <w:rPr>
          <w:lang w:val="es-ES"/>
        </w:rPr>
        <w:t xml:space="preserve"> de comprobación de las correspondientes asignaciones (conforme al número </w:t>
      </w:r>
      <w:r w:rsidRPr="00AB7A78">
        <w:rPr>
          <w:b/>
          <w:bCs/>
          <w:lang w:val="es-ES"/>
        </w:rPr>
        <w:t>9.21</w:t>
      </w:r>
      <w:r w:rsidRPr="00AB7A78">
        <w:rPr>
          <w:lang w:val="es-ES"/>
        </w:rPr>
        <w:t>) notific</w:t>
      </w:r>
      <w:r>
        <w:rPr>
          <w:lang w:val="es-ES"/>
        </w:rPr>
        <w:t>adas en virtud del Artículo</w:t>
      </w:r>
      <w:r w:rsidRPr="00AB7A78">
        <w:rPr>
          <w:color w:val="000000" w:themeColor="text1"/>
          <w:lang w:val="es-ES"/>
        </w:rPr>
        <w:t xml:space="preserve"> </w:t>
      </w:r>
      <w:r w:rsidRPr="00AB7A78">
        <w:rPr>
          <w:b/>
          <w:bCs/>
          <w:color w:val="000000" w:themeColor="text1"/>
          <w:lang w:val="es-ES"/>
        </w:rPr>
        <w:t>11</w:t>
      </w:r>
      <w:r w:rsidRPr="00AB7A78">
        <w:rPr>
          <w:color w:val="000000" w:themeColor="text1"/>
          <w:lang w:val="es-ES"/>
        </w:rPr>
        <w:t xml:space="preserve"> </w:t>
      </w:r>
      <w:r>
        <w:rPr>
          <w:color w:val="000000" w:themeColor="text1"/>
          <w:lang w:val="es-ES"/>
        </w:rPr>
        <w:t>del RR para el Registro Internacional de Frecuencias y su integración en</w:t>
      </w:r>
      <w:r w:rsidRPr="00AB7A78">
        <w:rPr>
          <w:lang w:val="es-ES"/>
        </w:rPr>
        <w:t xml:space="preserve"> TerRaSys </w:t>
      </w:r>
      <w:r>
        <w:rPr>
          <w:lang w:val="es-ES"/>
        </w:rPr>
        <w:t xml:space="preserve">a lo largo del </w:t>
      </w:r>
      <w:r w:rsidRPr="005F26E3">
        <w:rPr>
          <w:lang w:val="es-ES"/>
        </w:rPr>
        <w:t>último trimestre de 2026</w:t>
      </w:r>
      <w:r w:rsidRPr="00AB7A78">
        <w:rPr>
          <w:lang w:val="es-ES"/>
        </w:rPr>
        <w:t>.</w:t>
      </w:r>
    </w:p>
    <w:p w14:paraId="36D8CC11" w14:textId="4678B36E" w:rsidR="006D51CF" w:rsidRPr="00AB7A78" w:rsidRDefault="006D51CF" w:rsidP="006D51CF">
      <w:pPr>
        <w:pStyle w:val="Heading3"/>
        <w:rPr>
          <w:rFonts w:eastAsia="Verdana"/>
          <w:lang w:val="es-ES"/>
        </w:rPr>
      </w:pPr>
      <w:bookmarkStart w:id="57" w:name="_Toc222308686"/>
      <w:bookmarkStart w:id="58" w:name="_Toc222843155"/>
      <w:r w:rsidRPr="00AB7A78">
        <w:rPr>
          <w:rFonts w:eastAsia="Verdana"/>
          <w:lang w:val="es-ES"/>
        </w:rPr>
        <w:t>7.1.3</w:t>
      </w:r>
      <w:r w:rsidRPr="00AB7A78">
        <w:rPr>
          <w:rFonts w:eastAsia="Verdana"/>
          <w:lang w:val="es-ES"/>
        </w:rPr>
        <w:tab/>
        <w:t>Tramitación de notificaciones HAPS</w:t>
      </w:r>
      <w:bookmarkEnd w:id="57"/>
      <w:bookmarkEnd w:id="58"/>
    </w:p>
    <w:p w14:paraId="361984DD" w14:textId="4216128C" w:rsidR="006D51CF" w:rsidRPr="00AB7A78" w:rsidRDefault="006D51CF" w:rsidP="006D51CF">
      <w:pPr>
        <w:rPr>
          <w:lang w:val="es-ES"/>
        </w:rPr>
      </w:pPr>
      <w:r w:rsidRPr="00AB7A78">
        <w:rPr>
          <w:color w:val="000000" w:themeColor="text1"/>
          <w:lang w:val="es-ES"/>
        </w:rPr>
        <w:t>Se ha seguido trabajando en el desarrollo de los módulos de cálculo utiliz</w:t>
      </w:r>
      <w:r>
        <w:rPr>
          <w:color w:val="000000" w:themeColor="text1"/>
          <w:lang w:val="es-ES"/>
        </w:rPr>
        <w:t>ados para comprobar las condiciones técnicas especificadas en las Resoluciones</w:t>
      </w:r>
      <w:r w:rsidRPr="00AB7A78">
        <w:rPr>
          <w:lang w:val="es-ES"/>
        </w:rPr>
        <w:t xml:space="preserve"> </w:t>
      </w:r>
      <w:r w:rsidRPr="00AB7A78">
        <w:rPr>
          <w:b/>
          <w:bCs/>
          <w:lang w:val="es-ES"/>
        </w:rPr>
        <w:t>122 (Rev.</w:t>
      </w:r>
      <w:r w:rsidR="007B25F1">
        <w:rPr>
          <w:b/>
          <w:bCs/>
          <w:lang w:val="es-ES"/>
        </w:rPr>
        <w:t xml:space="preserve"> </w:t>
      </w:r>
      <w:r>
        <w:rPr>
          <w:b/>
          <w:bCs/>
          <w:lang w:val="es-ES"/>
        </w:rPr>
        <w:t>CMR</w:t>
      </w:r>
      <w:r w:rsidRPr="00AB7A78">
        <w:rPr>
          <w:b/>
          <w:bCs/>
          <w:lang w:val="es-ES"/>
        </w:rPr>
        <w:t>-19)</w:t>
      </w:r>
      <w:r w:rsidRPr="00AB7A78">
        <w:rPr>
          <w:lang w:val="es-ES"/>
        </w:rPr>
        <w:t xml:space="preserve">, </w:t>
      </w:r>
      <w:r w:rsidRPr="00AB7A78">
        <w:rPr>
          <w:b/>
          <w:bCs/>
          <w:lang w:val="es-ES"/>
        </w:rPr>
        <w:t>145</w:t>
      </w:r>
      <w:r w:rsidRPr="00AB7A78">
        <w:rPr>
          <w:lang w:val="es-ES"/>
        </w:rPr>
        <w:t xml:space="preserve"> </w:t>
      </w:r>
      <w:r w:rsidRPr="00AB7A78">
        <w:rPr>
          <w:b/>
          <w:bCs/>
          <w:lang w:val="es-ES"/>
        </w:rPr>
        <w:t>(Rev.</w:t>
      </w:r>
      <w:r w:rsidR="007B25F1">
        <w:rPr>
          <w:b/>
          <w:bCs/>
          <w:lang w:val="es-ES"/>
        </w:rPr>
        <w:t xml:space="preserve"> </w:t>
      </w:r>
      <w:r>
        <w:rPr>
          <w:b/>
          <w:bCs/>
          <w:lang w:val="es-ES"/>
        </w:rPr>
        <w:t>CMR</w:t>
      </w:r>
      <w:r w:rsidRPr="00AB7A78">
        <w:rPr>
          <w:b/>
          <w:bCs/>
          <w:lang w:val="es-ES"/>
        </w:rPr>
        <w:t>-19)</w:t>
      </w:r>
      <w:r w:rsidRPr="00AB7A78">
        <w:rPr>
          <w:lang w:val="es-ES"/>
        </w:rPr>
        <w:t xml:space="preserve">, </w:t>
      </w:r>
      <w:r w:rsidRPr="00AB7A78">
        <w:rPr>
          <w:b/>
          <w:bCs/>
          <w:lang w:val="es-ES"/>
        </w:rPr>
        <w:t>165</w:t>
      </w:r>
      <w:r w:rsidR="00C65E67">
        <w:rPr>
          <w:b/>
          <w:bCs/>
          <w:lang w:val="es-ES"/>
        </w:rPr>
        <w:t> </w:t>
      </w:r>
      <w:r w:rsidRPr="00AB7A78">
        <w:rPr>
          <w:b/>
          <w:bCs/>
          <w:lang w:val="es-ES"/>
        </w:rPr>
        <w:t>(Rev.</w:t>
      </w:r>
      <w:r w:rsidR="007B25F1">
        <w:rPr>
          <w:b/>
          <w:bCs/>
          <w:lang w:val="es-ES"/>
        </w:rPr>
        <w:t xml:space="preserve"> </w:t>
      </w:r>
      <w:r>
        <w:rPr>
          <w:b/>
          <w:bCs/>
          <w:lang w:val="es-ES"/>
        </w:rPr>
        <w:t>CMR</w:t>
      </w:r>
      <w:r w:rsidRPr="00AB7A78">
        <w:rPr>
          <w:b/>
          <w:bCs/>
          <w:lang w:val="es-ES"/>
        </w:rPr>
        <w:t>-23)</w:t>
      </w:r>
      <w:r w:rsidRPr="00AB7A78">
        <w:rPr>
          <w:lang w:val="es-ES"/>
        </w:rPr>
        <w:t xml:space="preserve">, </w:t>
      </w:r>
      <w:r w:rsidRPr="00AB7A78">
        <w:rPr>
          <w:b/>
          <w:bCs/>
          <w:lang w:val="es-ES"/>
        </w:rPr>
        <w:t>166 (Rev.</w:t>
      </w:r>
      <w:r w:rsidR="007B25F1">
        <w:rPr>
          <w:b/>
          <w:bCs/>
          <w:lang w:val="es-ES"/>
        </w:rPr>
        <w:t xml:space="preserve"> </w:t>
      </w:r>
      <w:r>
        <w:rPr>
          <w:b/>
          <w:bCs/>
          <w:lang w:val="es-ES"/>
        </w:rPr>
        <w:t>CMR</w:t>
      </w:r>
      <w:r w:rsidRPr="00AB7A78">
        <w:rPr>
          <w:b/>
          <w:bCs/>
          <w:lang w:val="es-ES"/>
        </w:rPr>
        <w:t>-23)</w:t>
      </w:r>
      <w:r w:rsidRPr="00AB7A78">
        <w:rPr>
          <w:lang w:val="es-ES"/>
        </w:rPr>
        <w:t xml:space="preserve">, </w:t>
      </w:r>
      <w:r w:rsidRPr="00AB7A78">
        <w:rPr>
          <w:b/>
          <w:bCs/>
          <w:lang w:val="es-ES"/>
        </w:rPr>
        <w:t>167 (Rev.</w:t>
      </w:r>
      <w:r w:rsidR="00DD767D">
        <w:rPr>
          <w:b/>
          <w:bCs/>
          <w:lang w:val="es-ES"/>
        </w:rPr>
        <w:t xml:space="preserve"> </w:t>
      </w:r>
      <w:r>
        <w:rPr>
          <w:b/>
          <w:bCs/>
          <w:lang w:val="es-ES"/>
        </w:rPr>
        <w:t>CMR</w:t>
      </w:r>
      <w:r w:rsidRPr="00AB7A78">
        <w:rPr>
          <w:b/>
          <w:bCs/>
          <w:lang w:val="es-ES"/>
        </w:rPr>
        <w:t>-23)</w:t>
      </w:r>
      <w:r w:rsidRPr="00AB7A78">
        <w:rPr>
          <w:lang w:val="es-ES"/>
        </w:rPr>
        <w:t xml:space="preserve"> </w:t>
      </w:r>
      <w:r>
        <w:rPr>
          <w:lang w:val="es-ES"/>
        </w:rPr>
        <w:t>y</w:t>
      </w:r>
      <w:r w:rsidRPr="00AB7A78">
        <w:rPr>
          <w:lang w:val="es-ES"/>
        </w:rPr>
        <w:t xml:space="preserve"> </w:t>
      </w:r>
      <w:r w:rsidRPr="00AB7A78">
        <w:rPr>
          <w:b/>
          <w:bCs/>
          <w:lang w:val="es-ES"/>
        </w:rPr>
        <w:t>168 (Rev.</w:t>
      </w:r>
      <w:r w:rsidR="007B25F1">
        <w:rPr>
          <w:b/>
          <w:bCs/>
          <w:lang w:val="es-ES"/>
        </w:rPr>
        <w:t xml:space="preserve"> </w:t>
      </w:r>
      <w:r>
        <w:rPr>
          <w:b/>
          <w:bCs/>
          <w:lang w:val="es-ES"/>
        </w:rPr>
        <w:t>CMR</w:t>
      </w:r>
      <w:r w:rsidRPr="00AB7A78">
        <w:rPr>
          <w:b/>
          <w:bCs/>
          <w:lang w:val="es-ES"/>
        </w:rPr>
        <w:t>-23)</w:t>
      </w:r>
      <w:r w:rsidRPr="00AB7A78">
        <w:rPr>
          <w:lang w:val="es-ES"/>
        </w:rPr>
        <w:t>.</w:t>
      </w:r>
    </w:p>
    <w:p w14:paraId="0C0AE037" w14:textId="77777777" w:rsidR="006D51CF" w:rsidRPr="004C1106" w:rsidRDefault="006D51CF" w:rsidP="006D51CF">
      <w:pPr>
        <w:pStyle w:val="Heading3"/>
        <w:rPr>
          <w:lang w:val="es-ES"/>
        </w:rPr>
      </w:pPr>
      <w:bookmarkStart w:id="59" w:name="_Toc222308687"/>
      <w:bookmarkStart w:id="60" w:name="_Toc222843156"/>
      <w:r w:rsidRPr="004C1106">
        <w:rPr>
          <w:lang w:val="es-ES"/>
        </w:rPr>
        <w:t>7.1.4</w:t>
      </w:r>
      <w:r w:rsidRPr="004C1106">
        <w:rPr>
          <w:lang w:val="es-ES"/>
        </w:rPr>
        <w:tab/>
        <w:t>Reingeniería del software HFBC</w:t>
      </w:r>
      <w:bookmarkEnd w:id="59"/>
      <w:bookmarkEnd w:id="60"/>
    </w:p>
    <w:p w14:paraId="18484DDD" w14:textId="77777777" w:rsidR="006D51CF" w:rsidRPr="00561C3C" w:rsidRDefault="006D51CF" w:rsidP="006D51CF">
      <w:pPr>
        <w:rPr>
          <w:lang w:val="es-ES"/>
        </w:rPr>
      </w:pPr>
      <w:r w:rsidRPr="00561C3C">
        <w:rPr>
          <w:lang w:val="es-ES"/>
        </w:rPr>
        <w:t xml:space="preserve">De conformidad con lo dispuesto en el Artículo </w:t>
      </w:r>
      <w:r w:rsidRPr="00561C3C">
        <w:rPr>
          <w:b/>
          <w:bCs/>
          <w:lang w:val="es-ES"/>
        </w:rPr>
        <w:t xml:space="preserve">12 </w:t>
      </w:r>
      <w:r w:rsidRPr="00561C3C">
        <w:rPr>
          <w:lang w:val="es-ES"/>
        </w:rPr>
        <w:t xml:space="preserve">del RR, la BR prepara y publica el horario estacional de radiodifusión por ondas decamétricas (HFBC) </w:t>
      </w:r>
      <w:r>
        <w:rPr>
          <w:lang w:val="es-ES"/>
        </w:rPr>
        <w:t xml:space="preserve">junto con los resultados de los análisis de compatibilidad. </w:t>
      </w:r>
      <w:r w:rsidRPr="00561C3C">
        <w:rPr>
          <w:lang w:val="es-ES"/>
        </w:rPr>
        <w:t>Los horarios están disponibles en el sitio web de la BR.</w:t>
      </w:r>
    </w:p>
    <w:p w14:paraId="28DFCD63" w14:textId="17C81F7D" w:rsidR="006D51CF" w:rsidRPr="00561C3C" w:rsidRDefault="006D51CF" w:rsidP="006D51CF">
      <w:pPr>
        <w:rPr>
          <w:szCs w:val="24"/>
          <w:lang w:val="es-ES"/>
        </w:rPr>
      </w:pPr>
      <w:r w:rsidRPr="00561C3C">
        <w:rPr>
          <w:szCs w:val="24"/>
          <w:lang w:val="es-ES"/>
        </w:rPr>
        <w:t>Entre las nuevas funcionalid</w:t>
      </w:r>
      <w:r w:rsidR="00C65E67">
        <w:rPr>
          <w:szCs w:val="24"/>
          <w:lang w:val="es-ES"/>
        </w:rPr>
        <w:t>a</w:t>
      </w:r>
      <w:r w:rsidRPr="00561C3C">
        <w:rPr>
          <w:szCs w:val="24"/>
          <w:lang w:val="es-ES"/>
        </w:rPr>
        <w:t>des y mejoras se</w:t>
      </w:r>
      <w:r>
        <w:rPr>
          <w:szCs w:val="24"/>
          <w:lang w:val="es-ES"/>
        </w:rPr>
        <w:t xml:space="preserve"> cuentan las siguientes</w:t>
      </w:r>
      <w:r w:rsidRPr="00561C3C">
        <w:rPr>
          <w:szCs w:val="24"/>
          <w:lang w:val="es-ES"/>
        </w:rPr>
        <w:t xml:space="preserve">: </w:t>
      </w:r>
    </w:p>
    <w:p w14:paraId="2CD707FD" w14:textId="63DCB698" w:rsidR="006D51CF" w:rsidRPr="00561C3C" w:rsidRDefault="006859C6" w:rsidP="006859C6">
      <w:pPr>
        <w:pStyle w:val="enumlev1"/>
        <w:rPr>
          <w:szCs w:val="24"/>
          <w:lang w:val="es-ES"/>
        </w:rPr>
      </w:pPr>
      <w:r>
        <w:rPr>
          <w:lang w:val="es-ES"/>
        </w:rPr>
        <w:t>–</w:t>
      </w:r>
      <w:r>
        <w:rPr>
          <w:lang w:val="es-ES"/>
        </w:rPr>
        <w:tab/>
      </w:r>
      <w:r w:rsidR="006D51CF" w:rsidRPr="00561C3C">
        <w:rPr>
          <w:lang w:val="es-ES"/>
        </w:rPr>
        <w:t>Informe de validación de notificaciones en cuadrícu</w:t>
      </w:r>
      <w:r w:rsidR="006D51CF">
        <w:rPr>
          <w:lang w:val="es-ES"/>
        </w:rPr>
        <w:t>la editable para la corrección de errores en línea</w:t>
      </w:r>
      <w:r>
        <w:rPr>
          <w:szCs w:val="24"/>
          <w:lang w:val="es-ES"/>
        </w:rPr>
        <w:t>;</w:t>
      </w:r>
    </w:p>
    <w:p w14:paraId="505A3127" w14:textId="11EE6270" w:rsidR="006D51CF" w:rsidRPr="00561C3C" w:rsidRDefault="006859C6" w:rsidP="006859C6">
      <w:pPr>
        <w:pStyle w:val="enumlev1"/>
        <w:rPr>
          <w:lang w:val="es-ES"/>
        </w:rPr>
      </w:pPr>
      <w:r>
        <w:rPr>
          <w:lang w:val="es-ES"/>
        </w:rPr>
        <w:lastRenderedPageBreak/>
        <w:t>–</w:t>
      </w:r>
      <w:r>
        <w:rPr>
          <w:lang w:val="es-ES"/>
        </w:rPr>
        <w:tab/>
      </w:r>
      <w:r w:rsidR="006D51CF" w:rsidRPr="00561C3C">
        <w:rPr>
          <w:lang w:val="es-ES"/>
        </w:rPr>
        <w:t>Actualización automática de las notificaciones de la estación</w:t>
      </w:r>
      <w:r w:rsidR="006D51CF">
        <w:rPr>
          <w:lang w:val="es-ES"/>
        </w:rPr>
        <w:t xml:space="preserve"> anterior para su reutilización en la estación en curso</w:t>
      </w:r>
      <w:r w:rsidR="006D51CF" w:rsidRPr="00561C3C">
        <w:rPr>
          <w:lang w:val="es-ES"/>
        </w:rPr>
        <w:t>.</w:t>
      </w:r>
    </w:p>
    <w:p w14:paraId="2F1C8082" w14:textId="77777777" w:rsidR="006D51CF" w:rsidRPr="00561C3C" w:rsidRDefault="006D51CF" w:rsidP="006D51CF">
      <w:pPr>
        <w:pStyle w:val="Heading3"/>
        <w:rPr>
          <w:lang w:val="es-ES"/>
        </w:rPr>
      </w:pPr>
      <w:bookmarkStart w:id="61" w:name="_Toc222308688"/>
      <w:bookmarkStart w:id="62" w:name="_Toc222843157"/>
      <w:r w:rsidRPr="00561C3C">
        <w:rPr>
          <w:lang w:val="es-ES"/>
        </w:rPr>
        <w:t>7.1.5</w:t>
      </w:r>
      <w:r w:rsidRPr="00561C3C">
        <w:rPr>
          <w:lang w:val="es-ES"/>
        </w:rPr>
        <w:tab/>
        <w:t>Migración de Ingres a SQL Server</w:t>
      </w:r>
      <w:bookmarkEnd w:id="61"/>
      <w:bookmarkEnd w:id="62"/>
    </w:p>
    <w:p w14:paraId="737ABECF" w14:textId="77777777" w:rsidR="006D51CF" w:rsidRPr="00561C3C" w:rsidRDefault="006D51CF" w:rsidP="006D51CF">
      <w:pPr>
        <w:rPr>
          <w:lang w:val="es-ES"/>
        </w:rPr>
      </w:pPr>
      <w:bookmarkStart w:id="63" w:name="_Hlk221622139"/>
      <w:r w:rsidRPr="00561C3C">
        <w:rPr>
          <w:lang w:val="es-ES"/>
        </w:rPr>
        <w:t>La migración y modernización del sistema TerRaSys han concluido y el nuevo sistema se</w:t>
      </w:r>
      <w:r>
        <w:rPr>
          <w:lang w:val="es-ES"/>
        </w:rPr>
        <w:t xml:space="preserve"> halla en fase de producción desde el 3 de marzo de</w:t>
      </w:r>
      <w:r w:rsidRPr="00561C3C">
        <w:rPr>
          <w:lang w:val="es-ES"/>
        </w:rPr>
        <w:t xml:space="preserve"> 2025. Esto comprende una nueva estructura de base de datos, que integra nu</w:t>
      </w:r>
      <w:r>
        <w:rPr>
          <w:lang w:val="es-ES"/>
        </w:rPr>
        <w:t xml:space="preserve">evos elementos de Apéndice 4 del RR. </w:t>
      </w:r>
      <w:r w:rsidRPr="00561C3C">
        <w:rPr>
          <w:lang w:val="es-ES"/>
        </w:rPr>
        <w:t xml:space="preserve">Los Módulos de </w:t>
      </w:r>
      <w:r w:rsidRPr="006859C6">
        <w:rPr>
          <w:i/>
          <w:iCs/>
          <w:lang w:val="es-ES"/>
        </w:rPr>
        <w:t>software</w:t>
      </w:r>
      <w:r w:rsidRPr="00561C3C">
        <w:rPr>
          <w:lang w:val="es-ES"/>
        </w:rPr>
        <w:t xml:space="preserve"> para la validación de datos de notificacion</w:t>
      </w:r>
      <w:r>
        <w:rPr>
          <w:lang w:val="es-ES"/>
        </w:rPr>
        <w:t>es terrenales electrónicas se revisaron y actualizaron en consecuencia</w:t>
      </w:r>
      <w:r w:rsidRPr="00561C3C">
        <w:rPr>
          <w:lang w:val="es-ES"/>
        </w:rPr>
        <w:t xml:space="preserve">. También se ajustaron convenientemente los módulos de </w:t>
      </w:r>
      <w:r w:rsidRPr="006859C6">
        <w:rPr>
          <w:i/>
          <w:iCs/>
          <w:lang w:val="es-ES"/>
        </w:rPr>
        <w:t>software</w:t>
      </w:r>
      <w:r w:rsidRPr="00561C3C">
        <w:rPr>
          <w:lang w:val="es-ES"/>
        </w:rPr>
        <w:t xml:space="preserve"> para la tramitación de notificaciones terrenales para </w:t>
      </w:r>
      <w:r>
        <w:rPr>
          <w:lang w:val="es-ES"/>
        </w:rPr>
        <w:t>su inscripción en el Registro Internacional de Frecuencias y los diversos planes terrenales</w:t>
      </w:r>
      <w:r w:rsidRPr="00561C3C">
        <w:rPr>
          <w:lang w:val="es-ES"/>
        </w:rPr>
        <w:t xml:space="preserve">. Asimismo, se modernizaron los módulos de </w:t>
      </w:r>
      <w:r w:rsidRPr="00956FC6">
        <w:rPr>
          <w:i/>
          <w:iCs/>
          <w:lang w:val="es-ES"/>
        </w:rPr>
        <w:t>software</w:t>
      </w:r>
      <w:r w:rsidRPr="00561C3C">
        <w:rPr>
          <w:lang w:val="es-ES"/>
        </w:rPr>
        <w:t xml:space="preserve"> utilizados para los </w:t>
      </w:r>
      <w:r>
        <w:rPr>
          <w:lang w:val="es-ES"/>
        </w:rPr>
        <w:t>exámenes técnicos, incluidos los módulos de visualización de los resultados de los exámenes. Se h</w:t>
      </w:r>
      <w:r w:rsidRPr="00561C3C">
        <w:rPr>
          <w:lang w:val="es-ES"/>
        </w:rPr>
        <w:t xml:space="preserve">an concluido </w:t>
      </w:r>
      <w:r>
        <w:rPr>
          <w:lang w:val="es-ES"/>
        </w:rPr>
        <w:t xml:space="preserve">también </w:t>
      </w:r>
      <w:r w:rsidRPr="00561C3C">
        <w:rPr>
          <w:lang w:val="es-ES"/>
        </w:rPr>
        <w:t xml:space="preserve">los trabajos encaminados a la publicación preparación de </w:t>
      </w:r>
      <w:r>
        <w:rPr>
          <w:lang w:val="es-ES"/>
        </w:rPr>
        <w:t>los nuevos paquetes de la BR IFIC</w:t>
      </w:r>
      <w:r w:rsidRPr="00561C3C">
        <w:rPr>
          <w:lang w:val="es-ES"/>
        </w:rPr>
        <w:t>.</w:t>
      </w:r>
      <w:bookmarkEnd w:id="63"/>
    </w:p>
    <w:p w14:paraId="46F70542" w14:textId="77777777" w:rsidR="006D51CF" w:rsidRPr="00561C3C" w:rsidRDefault="006D51CF" w:rsidP="006D51CF">
      <w:pPr>
        <w:rPr>
          <w:color w:val="000000" w:themeColor="text1"/>
          <w:lang w:val="es-ES"/>
        </w:rPr>
      </w:pPr>
      <w:r w:rsidRPr="00561C3C">
        <w:rPr>
          <w:lang w:val="es-ES"/>
        </w:rPr>
        <w:t xml:space="preserve">Se han diseñado e implementado varias aplicaciones web, que se han sometido al entorno de producción para permitir el acceso en línea a las consultas de la base de </w:t>
      </w:r>
      <w:r>
        <w:rPr>
          <w:lang w:val="es-ES"/>
        </w:rPr>
        <w:t xml:space="preserve">datos y otras herramientas de </w:t>
      </w:r>
      <w:r w:rsidRPr="00CE4E77">
        <w:rPr>
          <w:i/>
          <w:iCs/>
          <w:lang w:val="es-ES"/>
        </w:rPr>
        <w:t>software</w:t>
      </w:r>
      <w:r>
        <w:rPr>
          <w:lang w:val="es-ES"/>
        </w:rPr>
        <w:t>, incluida la validación en línea de las notificaciones terrenales de asignaciones de frecuencias</w:t>
      </w:r>
      <w:r w:rsidRPr="00561C3C">
        <w:rPr>
          <w:lang w:val="es-ES"/>
        </w:rPr>
        <w:t>. Ya se dispone de copias de</w:t>
      </w:r>
      <w:r>
        <w:rPr>
          <w:lang w:val="es-ES"/>
        </w:rPr>
        <w:t xml:space="preserve"> </w:t>
      </w:r>
      <w:r w:rsidRPr="00561C3C">
        <w:rPr>
          <w:lang w:val="es-ES"/>
        </w:rPr>
        <w:t>la base de datos de servicios terrenales existente en la nueva plataforma SGBD, que utilizan diversas</w:t>
      </w:r>
      <w:r>
        <w:rPr>
          <w:lang w:val="es-ES"/>
        </w:rPr>
        <w:t xml:space="preserve"> aplicaciones de la BR a través de la web para visualizar, validar y tramitar notificaciones de frecuencias terrenales</w:t>
      </w:r>
      <w:r w:rsidRPr="00561C3C">
        <w:rPr>
          <w:color w:val="000000" w:themeColor="text1"/>
          <w:lang w:val="es-ES"/>
        </w:rPr>
        <w:t>.</w:t>
      </w:r>
    </w:p>
    <w:p w14:paraId="0D918AC6" w14:textId="77777777" w:rsidR="006D51CF" w:rsidRPr="00C7053A" w:rsidRDefault="006D51CF" w:rsidP="006D51CF">
      <w:pPr>
        <w:rPr>
          <w:lang w:val="es-ES"/>
        </w:rPr>
      </w:pPr>
      <w:r w:rsidRPr="00C7053A">
        <w:rPr>
          <w:lang w:val="es-ES"/>
        </w:rPr>
        <w:t>Como consecuencia de este trabajo, y de acuerdo con la nueva política de acceso, las Administraciones de</w:t>
      </w:r>
      <w:r>
        <w:rPr>
          <w:lang w:val="es-ES"/>
        </w:rPr>
        <w:t xml:space="preserve"> </w:t>
      </w:r>
      <w:r w:rsidRPr="00C7053A">
        <w:rPr>
          <w:lang w:val="es-ES"/>
        </w:rPr>
        <w:t>los Estados Miembros pueden acceder gratuitamente en línea a la BR IFIC (Servicios Te</w:t>
      </w:r>
      <w:r>
        <w:rPr>
          <w:lang w:val="es-ES"/>
        </w:rPr>
        <w:t xml:space="preserve">rrenales) actual en </w:t>
      </w:r>
      <w:hyperlink r:id="rId52">
        <w:r w:rsidRPr="00C7053A">
          <w:rPr>
            <w:rStyle w:val="Hyperlink"/>
            <w:lang w:val="es-ES"/>
          </w:rPr>
          <w:t>Terrest</w:t>
        </w:r>
        <w:r w:rsidRPr="00C7053A">
          <w:rPr>
            <w:rStyle w:val="Hyperlink"/>
            <w:lang w:val="es-ES"/>
          </w:rPr>
          <w:t>r</w:t>
        </w:r>
        <w:r w:rsidRPr="00C7053A">
          <w:rPr>
            <w:rStyle w:val="Hyperlink"/>
            <w:lang w:val="es-ES"/>
          </w:rPr>
          <w:t>ial BR IFIC</w:t>
        </w:r>
      </w:hyperlink>
      <w:r w:rsidRPr="00C7053A">
        <w:rPr>
          <w:lang w:val="es-ES"/>
        </w:rPr>
        <w:t xml:space="preserve">, </w:t>
      </w:r>
      <w:r>
        <w:rPr>
          <w:lang w:val="es-ES"/>
        </w:rPr>
        <w:t>así como a ediciones anteriores de dicha</w:t>
      </w:r>
      <w:r w:rsidRPr="00C7053A">
        <w:rPr>
          <w:lang w:val="es-ES"/>
        </w:rPr>
        <w:t xml:space="preserve"> BR IFIC</w:t>
      </w:r>
      <w:r>
        <w:rPr>
          <w:lang w:val="es-ES"/>
        </w:rPr>
        <w:t xml:space="preserve"> publicadas durante el año en curso. También se han puesto a disposición en línea varias herramientas de consulta y exportación</w:t>
      </w:r>
      <w:r w:rsidRPr="00C7053A">
        <w:rPr>
          <w:lang w:val="es-ES"/>
        </w:rPr>
        <w:t>.</w:t>
      </w:r>
    </w:p>
    <w:p w14:paraId="23858095" w14:textId="77777777" w:rsidR="006D51CF" w:rsidRPr="00C7053A" w:rsidRDefault="006D51CF" w:rsidP="006D51CF">
      <w:pPr>
        <w:rPr>
          <w:lang w:val="es-ES"/>
        </w:rPr>
      </w:pPr>
      <w:r w:rsidRPr="00C7053A">
        <w:rPr>
          <w:lang w:val="es-ES"/>
        </w:rPr>
        <w:t>La estructura de datos de la base de da</w:t>
      </w:r>
      <w:r>
        <w:rPr>
          <w:lang w:val="es-ES"/>
        </w:rPr>
        <w:t>tos terrenal publicada</w:t>
      </w:r>
      <w:r w:rsidRPr="00C7053A">
        <w:rPr>
          <w:lang w:val="es-ES"/>
        </w:rPr>
        <w:t xml:space="preserve"> (</w:t>
      </w:r>
      <w:r w:rsidRPr="00C7053A">
        <w:rPr>
          <w:b/>
          <w:i/>
          <w:lang w:val="es-ES"/>
        </w:rPr>
        <w:t>TerRaBase</w:t>
      </w:r>
      <w:r w:rsidRPr="00C7053A">
        <w:rPr>
          <w:lang w:val="es-ES"/>
        </w:rPr>
        <w:t>)</w:t>
      </w:r>
      <w:r>
        <w:rPr>
          <w:lang w:val="es-ES"/>
        </w:rPr>
        <w:t>, basada en archivos de imagen</w:t>
      </w:r>
      <w:r w:rsidRPr="00C7053A">
        <w:rPr>
          <w:lang w:val="es-ES"/>
        </w:rPr>
        <w:t xml:space="preserve"> ISO</w:t>
      </w:r>
      <w:r>
        <w:rPr>
          <w:lang w:val="es-ES"/>
        </w:rPr>
        <w:t xml:space="preserve">, se ajusta a la nueva estructura de datos. </w:t>
      </w:r>
      <w:r w:rsidRPr="00C7053A">
        <w:rPr>
          <w:lang w:val="es-ES"/>
        </w:rPr>
        <w:t>Esta transición se hizo de manera transparente para</w:t>
      </w:r>
      <w:r>
        <w:rPr>
          <w:lang w:val="es-ES"/>
        </w:rPr>
        <w:t xml:space="preserve"> los usuarios utilizando las herramientas facilitadas por la Oficina para los archivos de imagen ISO (a saber,</w:t>
      </w:r>
      <w:r w:rsidRPr="00C7053A">
        <w:rPr>
          <w:lang w:val="es-ES"/>
        </w:rPr>
        <w:t xml:space="preserve"> </w:t>
      </w:r>
      <w:r w:rsidRPr="00C7053A">
        <w:rPr>
          <w:b/>
          <w:i/>
          <w:lang w:val="es-ES"/>
        </w:rPr>
        <w:t>TerRaQ</w:t>
      </w:r>
      <w:r w:rsidRPr="00C7053A">
        <w:rPr>
          <w:lang w:val="es-ES"/>
        </w:rPr>
        <w:t xml:space="preserve"> </w:t>
      </w:r>
      <w:r>
        <w:rPr>
          <w:lang w:val="es-ES"/>
        </w:rPr>
        <w:t>y</w:t>
      </w:r>
      <w:r w:rsidRPr="00C7053A">
        <w:rPr>
          <w:lang w:val="es-ES"/>
        </w:rPr>
        <w:t xml:space="preserve"> </w:t>
      </w:r>
      <w:r w:rsidRPr="00C7053A">
        <w:rPr>
          <w:b/>
          <w:i/>
          <w:lang w:val="es-ES"/>
        </w:rPr>
        <w:t>TerRaNotices</w:t>
      </w:r>
      <w:r w:rsidRPr="00C7053A">
        <w:rPr>
          <w:lang w:val="es-ES"/>
        </w:rPr>
        <w:t>).</w:t>
      </w:r>
    </w:p>
    <w:p w14:paraId="53A2A5E0" w14:textId="198F63F6" w:rsidR="006D51CF" w:rsidRPr="00C7053A" w:rsidRDefault="006D51CF" w:rsidP="006D51CF">
      <w:pPr>
        <w:rPr>
          <w:lang w:val="es-ES"/>
        </w:rPr>
      </w:pPr>
      <w:r w:rsidRPr="00C7053A">
        <w:rPr>
          <w:lang w:val="es-ES"/>
        </w:rPr>
        <w:t xml:space="preserve">En aras de una transición fluida para el </w:t>
      </w:r>
      <w:r w:rsidRPr="00956FC6">
        <w:rPr>
          <w:i/>
          <w:iCs/>
          <w:lang w:val="es-ES"/>
        </w:rPr>
        <w:t>software</w:t>
      </w:r>
      <w:r w:rsidRPr="00C7053A">
        <w:rPr>
          <w:lang w:val="es-ES"/>
        </w:rPr>
        <w:t xml:space="preserve"> desarrollado por terceros, la BR también ha de</w:t>
      </w:r>
      <w:r>
        <w:rPr>
          <w:lang w:val="es-ES"/>
        </w:rPr>
        <w:t xml:space="preserve">sarrollado una </w:t>
      </w:r>
      <w:r w:rsidR="006859C6">
        <w:rPr>
          <w:lang w:val="es-ES"/>
        </w:rPr>
        <w:t>«</w:t>
      </w:r>
      <w:r>
        <w:rPr>
          <w:lang w:val="es-ES"/>
        </w:rPr>
        <w:t>herramienta de conversión de retrocompatibilidad</w:t>
      </w:r>
      <w:r w:rsidR="006859C6">
        <w:rPr>
          <w:lang w:val="es-ES"/>
        </w:rPr>
        <w:t>»</w:t>
      </w:r>
      <w:r>
        <w:rPr>
          <w:lang w:val="es-ES"/>
        </w:rPr>
        <w:t xml:space="preserve">, que permite generar automáticamente un archivo de base de datos convertido. </w:t>
      </w:r>
      <w:r w:rsidRPr="00C7053A">
        <w:rPr>
          <w:lang w:val="es-ES"/>
        </w:rPr>
        <w:t>La descripción de las modificaciones introducidas en la estructura de la base de da</w:t>
      </w:r>
      <w:r>
        <w:rPr>
          <w:lang w:val="es-ES"/>
        </w:rPr>
        <w:t>tos puede consultarse en</w:t>
      </w:r>
      <w:r w:rsidRPr="00C7053A">
        <w:rPr>
          <w:lang w:val="es-ES"/>
        </w:rPr>
        <w:t xml:space="preserve"> </w:t>
      </w:r>
      <w:hyperlink r:id="rId53">
        <w:r w:rsidRPr="00C7053A">
          <w:rPr>
            <w:rStyle w:val="Hyperlink"/>
            <w:lang w:val="es-ES"/>
          </w:rPr>
          <w:t>https://www.i</w:t>
        </w:r>
        <w:r w:rsidRPr="00C7053A">
          <w:rPr>
            <w:rStyle w:val="Hyperlink"/>
            <w:lang w:val="es-ES"/>
          </w:rPr>
          <w:t>t</w:t>
        </w:r>
        <w:r w:rsidRPr="00C7053A">
          <w:rPr>
            <w:rStyle w:val="Hyperlink"/>
            <w:lang w:val="es-ES"/>
          </w:rPr>
          <w:t>u.int/ITU-R/terrasys/docs</w:t>
        </w:r>
      </w:hyperlink>
      <w:r w:rsidRPr="00C7053A">
        <w:rPr>
          <w:lang w:val="es-ES"/>
        </w:rPr>
        <w:t xml:space="preserve">, </w:t>
      </w:r>
      <w:r>
        <w:rPr>
          <w:lang w:val="es-ES"/>
        </w:rPr>
        <w:t xml:space="preserve">donde se recoge la información detallada sobre las diferencias entre la estructura antigua y la nueva. </w:t>
      </w:r>
      <w:r w:rsidRPr="00C7053A">
        <w:rPr>
          <w:lang w:val="es-ES"/>
        </w:rPr>
        <w:t xml:space="preserve">Véase más información al respecto en la Carta Circular </w:t>
      </w:r>
      <w:hyperlink r:id="rId54">
        <w:r w:rsidRPr="00C7053A">
          <w:rPr>
            <w:rStyle w:val="Hyperlink"/>
            <w:lang w:val="es-ES"/>
          </w:rPr>
          <w:t>CR/</w:t>
        </w:r>
        <w:r w:rsidRPr="00C7053A">
          <w:rPr>
            <w:rStyle w:val="Hyperlink"/>
            <w:lang w:val="es-ES"/>
          </w:rPr>
          <w:t>5</w:t>
        </w:r>
        <w:r w:rsidRPr="00C7053A">
          <w:rPr>
            <w:rStyle w:val="Hyperlink"/>
            <w:lang w:val="es-ES"/>
          </w:rPr>
          <w:t>16</w:t>
        </w:r>
      </w:hyperlink>
      <w:r w:rsidRPr="00C7053A">
        <w:rPr>
          <w:lang w:val="es-ES"/>
        </w:rPr>
        <w:t>.</w:t>
      </w:r>
    </w:p>
    <w:p w14:paraId="21C262BC" w14:textId="77777777" w:rsidR="006D51CF" w:rsidRPr="00C7053A" w:rsidRDefault="006D51CF" w:rsidP="006D51CF">
      <w:pPr>
        <w:pStyle w:val="Heading3"/>
        <w:rPr>
          <w:lang w:val="es-ES"/>
        </w:rPr>
      </w:pPr>
      <w:bookmarkStart w:id="64" w:name="_Toc222308689"/>
      <w:bookmarkStart w:id="65" w:name="_Toc222843158"/>
      <w:r w:rsidRPr="00C7053A">
        <w:rPr>
          <w:lang w:val="es-ES"/>
        </w:rPr>
        <w:t>7.1.6</w:t>
      </w:r>
      <w:r w:rsidRPr="00C7053A">
        <w:rPr>
          <w:lang w:val="es-ES"/>
        </w:rPr>
        <w:tab/>
        <w:t xml:space="preserve">Proyecto de publicaciones de </w:t>
      </w:r>
      <w:r>
        <w:rPr>
          <w:lang w:val="es-ES"/>
        </w:rPr>
        <w:t>servicios marítimos</w:t>
      </w:r>
      <w:bookmarkEnd w:id="64"/>
      <w:bookmarkEnd w:id="65"/>
    </w:p>
    <w:p w14:paraId="39529067" w14:textId="77777777" w:rsidR="006D51CF" w:rsidRPr="00C7053A" w:rsidRDefault="006D51CF" w:rsidP="006D51CF">
      <w:pPr>
        <w:rPr>
          <w:lang w:val="es-ES"/>
        </w:rPr>
      </w:pPr>
      <w:r w:rsidRPr="00C7053A">
        <w:rPr>
          <w:lang w:val="es-ES"/>
        </w:rPr>
        <w:t>La BR ha emprendido la fase final de este proyecto. La plataforma de venta en línea y la aplicación</w:t>
      </w:r>
      <w:r>
        <w:rPr>
          <w:lang w:val="es-ES"/>
        </w:rPr>
        <w:t xml:space="preserve"> de escritorio que contiene las tres publicaciones digitales (Lista</w:t>
      </w:r>
      <w:r w:rsidRPr="00C7053A">
        <w:rPr>
          <w:lang w:val="es-ES"/>
        </w:rPr>
        <w:t xml:space="preserve"> IV, Lista</w:t>
      </w:r>
      <w:r>
        <w:rPr>
          <w:lang w:val="es-ES"/>
        </w:rPr>
        <w:t xml:space="preserve"> </w:t>
      </w:r>
      <w:r w:rsidRPr="00C7053A">
        <w:rPr>
          <w:lang w:val="es-ES"/>
        </w:rPr>
        <w:t xml:space="preserve">V </w:t>
      </w:r>
      <w:r>
        <w:rPr>
          <w:lang w:val="es-ES"/>
        </w:rPr>
        <w:t>y Manual Marítimo) se hallan en fase de producción. En cuanto a las aplicaciones móviles asociadas, cabe señalar que la aplicación móvil para usuario, que incluye versiones simplificadas de las tres publicaciones digitales, está casi terminada</w:t>
      </w:r>
      <w:r w:rsidRPr="00C7053A">
        <w:rPr>
          <w:lang w:val="es-ES"/>
        </w:rPr>
        <w:t>. La aplicación para inspectores (ITU Publication Verifier) está terminada y lista para su pu</w:t>
      </w:r>
      <w:r>
        <w:rPr>
          <w:lang w:val="es-ES"/>
        </w:rPr>
        <w:t>esta a disposición de forma gratuita en las principales tiendas de aplicaciones móviles</w:t>
      </w:r>
      <w:r w:rsidRPr="00C7053A">
        <w:rPr>
          <w:lang w:val="es-ES"/>
        </w:rPr>
        <w:t xml:space="preserve"> (Google </w:t>
      </w:r>
      <w:r>
        <w:rPr>
          <w:lang w:val="es-ES"/>
        </w:rPr>
        <w:t>y</w:t>
      </w:r>
      <w:r w:rsidRPr="00C7053A">
        <w:rPr>
          <w:lang w:val="es-ES"/>
        </w:rPr>
        <w:t xml:space="preserve"> Apple). Antes del lanzamiento de las aplicaciones móviles, la BR está estudiando diversas formas de aborda</w:t>
      </w:r>
      <w:r>
        <w:rPr>
          <w:lang w:val="es-ES"/>
        </w:rPr>
        <w:t>r los requisitos específicos para habilitar la publicación</w:t>
      </w:r>
      <w:r w:rsidRPr="00C7053A">
        <w:rPr>
          <w:lang w:val="es-ES"/>
        </w:rPr>
        <w:t>.</w:t>
      </w:r>
    </w:p>
    <w:p w14:paraId="2F7A8B8C" w14:textId="72AF6871" w:rsidR="006D51CF" w:rsidRPr="0031651D" w:rsidRDefault="006D51CF" w:rsidP="006D51CF">
      <w:pPr>
        <w:pStyle w:val="Heading3"/>
        <w:rPr>
          <w:lang w:val="es-ES"/>
        </w:rPr>
      </w:pPr>
      <w:bookmarkStart w:id="66" w:name="_Toc222308690"/>
      <w:bookmarkStart w:id="67" w:name="_Toc222843159"/>
      <w:r w:rsidRPr="0031651D">
        <w:rPr>
          <w:lang w:val="es-ES"/>
        </w:rPr>
        <w:t>7.1.7</w:t>
      </w:r>
      <w:r w:rsidRPr="0031651D">
        <w:rPr>
          <w:lang w:val="es-ES"/>
        </w:rPr>
        <w:tab/>
        <w:t>Interferencia perjudicial a servicios terrenales (HITS)</w:t>
      </w:r>
      <w:bookmarkEnd w:id="66"/>
      <w:bookmarkEnd w:id="67"/>
    </w:p>
    <w:p w14:paraId="0B484252" w14:textId="520DB396" w:rsidR="006D51CF" w:rsidRPr="0031651D" w:rsidRDefault="006D51CF" w:rsidP="006D51CF">
      <w:pPr>
        <w:rPr>
          <w:lang w:val="es-ES"/>
        </w:rPr>
      </w:pPr>
      <w:r w:rsidRPr="0031651D">
        <w:rPr>
          <w:lang w:val="es-ES"/>
        </w:rPr>
        <w:t>La versión oficial de HITS se puso a disposición de to</w:t>
      </w:r>
      <w:r>
        <w:rPr>
          <w:lang w:val="es-ES"/>
        </w:rPr>
        <w:t>dos los Estados Miembros en diciembre de</w:t>
      </w:r>
      <w:r w:rsidRPr="0031651D">
        <w:rPr>
          <w:lang w:val="es-ES"/>
        </w:rPr>
        <w:t xml:space="preserve"> 2025 (</w:t>
      </w:r>
      <w:r>
        <w:rPr>
          <w:lang w:val="es-ES"/>
        </w:rPr>
        <w:t>véase</w:t>
      </w:r>
      <w:r w:rsidRPr="0031651D">
        <w:rPr>
          <w:lang w:val="es-ES"/>
        </w:rPr>
        <w:t xml:space="preserve"> </w:t>
      </w:r>
      <w:hyperlink r:id="rId55" w:history="1">
        <w:r w:rsidRPr="0031651D">
          <w:rPr>
            <w:rStyle w:val="Hyperlink"/>
            <w:lang w:val="es-ES"/>
          </w:rPr>
          <w:t>CR/</w:t>
        </w:r>
        <w:r w:rsidRPr="0031651D">
          <w:rPr>
            <w:rStyle w:val="Hyperlink"/>
            <w:lang w:val="es-ES"/>
          </w:rPr>
          <w:t>5</w:t>
        </w:r>
        <w:r w:rsidRPr="0031651D">
          <w:rPr>
            <w:rStyle w:val="Hyperlink"/>
            <w:lang w:val="es-ES"/>
          </w:rPr>
          <w:t>26</w:t>
        </w:r>
      </w:hyperlink>
      <w:r w:rsidRPr="0031651D">
        <w:rPr>
          <w:lang w:val="es-ES"/>
        </w:rPr>
        <w:t xml:space="preserve">). Esta herramienta está diseñada para comunicar a la Oficina casos de interferencia </w:t>
      </w:r>
      <w:r w:rsidRPr="0031651D">
        <w:rPr>
          <w:lang w:val="es-ES"/>
        </w:rPr>
        <w:lastRenderedPageBreak/>
        <w:t xml:space="preserve">perjudicial e infracciones en relación con </w:t>
      </w:r>
      <w:r>
        <w:rPr>
          <w:lang w:val="es-ES"/>
        </w:rPr>
        <w:t>los servicios terrenales, intercambiar información al respecto y acceder al archivo de correspondencia</w:t>
      </w:r>
      <w:r w:rsidRPr="0031651D">
        <w:rPr>
          <w:lang w:val="es-ES"/>
        </w:rPr>
        <w:t xml:space="preserve">. Siguen en curso los trabajos derivados de las observaciones recibidas de las </w:t>
      </w:r>
      <w:r>
        <w:rPr>
          <w:lang w:val="es-ES"/>
        </w:rPr>
        <w:t>administraciones y para la adición de nuevas funcionalidades</w:t>
      </w:r>
      <w:r w:rsidRPr="0031651D">
        <w:rPr>
          <w:lang w:val="es-ES"/>
        </w:rPr>
        <w:t xml:space="preserve">. </w:t>
      </w:r>
    </w:p>
    <w:p w14:paraId="6E24E9B3" w14:textId="77777777" w:rsidR="006D51CF" w:rsidRPr="0031651D" w:rsidRDefault="006D51CF" w:rsidP="006D51CF">
      <w:pPr>
        <w:pStyle w:val="Heading3"/>
        <w:rPr>
          <w:lang w:val="es-ES"/>
        </w:rPr>
      </w:pPr>
      <w:bookmarkStart w:id="68" w:name="_Toc222308691"/>
      <w:bookmarkStart w:id="69" w:name="_Toc222843160"/>
      <w:r w:rsidRPr="0031651D">
        <w:rPr>
          <w:lang w:val="es-ES"/>
        </w:rPr>
        <w:t>7.1.8</w:t>
      </w:r>
      <w:r w:rsidRPr="0031651D">
        <w:rPr>
          <w:lang w:val="es-ES"/>
        </w:rPr>
        <w:tab/>
        <w:t>Nuevas mejoras de las herramient</w:t>
      </w:r>
      <w:r>
        <w:rPr>
          <w:lang w:val="es-ES"/>
        </w:rPr>
        <w:t>as web</w:t>
      </w:r>
      <w:bookmarkEnd w:id="68"/>
      <w:bookmarkEnd w:id="69"/>
      <w:r w:rsidRPr="0031651D">
        <w:rPr>
          <w:lang w:val="es-ES"/>
        </w:rPr>
        <w:t xml:space="preserve"> </w:t>
      </w:r>
    </w:p>
    <w:p w14:paraId="192674C9" w14:textId="77777777" w:rsidR="006D51CF" w:rsidRPr="0031651D" w:rsidRDefault="006D51CF" w:rsidP="006D51CF">
      <w:pPr>
        <w:rPr>
          <w:szCs w:val="24"/>
          <w:lang w:val="es-ES"/>
        </w:rPr>
      </w:pPr>
      <w:r w:rsidRPr="0031651D">
        <w:rPr>
          <w:szCs w:val="24"/>
          <w:lang w:val="es-ES"/>
        </w:rPr>
        <w:t>La BR sigue trabajando en el desarrollo de herramientas web terrenales</w:t>
      </w:r>
      <w:r>
        <w:rPr>
          <w:szCs w:val="24"/>
          <w:lang w:val="es-ES"/>
        </w:rPr>
        <w:t xml:space="preserve"> y su integración en el portal</w:t>
      </w:r>
      <w:r w:rsidRPr="0031651D">
        <w:rPr>
          <w:szCs w:val="24"/>
          <w:lang w:val="es-ES"/>
        </w:rPr>
        <w:t xml:space="preserve"> eTerrestrial</w:t>
      </w:r>
      <w:r>
        <w:rPr>
          <w:szCs w:val="24"/>
          <w:lang w:val="es-ES"/>
        </w:rPr>
        <w:t>, que cuenta con las tecnologías web más novedosas, tal y como se describe a continuación</w:t>
      </w:r>
      <w:r w:rsidRPr="0031651D">
        <w:rPr>
          <w:szCs w:val="24"/>
          <w:lang w:val="es-ES"/>
        </w:rPr>
        <w:t xml:space="preserve">. </w:t>
      </w:r>
    </w:p>
    <w:p w14:paraId="735B0720" w14:textId="77777777" w:rsidR="006D51CF" w:rsidRPr="0031651D" w:rsidRDefault="006D51CF" w:rsidP="006D51CF">
      <w:pPr>
        <w:rPr>
          <w:szCs w:val="24"/>
          <w:lang w:val="es-ES"/>
        </w:rPr>
      </w:pPr>
      <w:r w:rsidRPr="0031651D">
        <w:rPr>
          <w:szCs w:val="24"/>
          <w:lang w:val="es-ES"/>
        </w:rPr>
        <w:t>Se ha implementado en eBroadcasting la integración en eTools del examen de conformidad en virtud del Artículo 5 del Acue</w:t>
      </w:r>
      <w:r>
        <w:rPr>
          <w:szCs w:val="24"/>
          <w:lang w:val="es-ES"/>
        </w:rPr>
        <w:t>rdo</w:t>
      </w:r>
      <w:r w:rsidRPr="0031651D">
        <w:rPr>
          <w:szCs w:val="24"/>
          <w:lang w:val="es-ES"/>
        </w:rPr>
        <w:t xml:space="preserve"> GE06</w:t>
      </w:r>
      <w:r>
        <w:rPr>
          <w:szCs w:val="24"/>
          <w:lang w:val="es-ES"/>
        </w:rPr>
        <w:t>, lo que ha permitido retirar la correspondiente funcionalidad en la herramienta autónoma</w:t>
      </w:r>
      <w:r w:rsidRPr="0031651D">
        <w:rPr>
          <w:szCs w:val="24"/>
          <w:lang w:val="es-ES"/>
        </w:rPr>
        <w:t xml:space="preserve"> GE06Calc</w:t>
      </w:r>
      <w:r>
        <w:rPr>
          <w:szCs w:val="24"/>
          <w:lang w:val="es-ES"/>
        </w:rPr>
        <w:t xml:space="preserve">. </w:t>
      </w:r>
      <w:r w:rsidRPr="0031651D">
        <w:rPr>
          <w:szCs w:val="24"/>
          <w:lang w:val="es-ES"/>
        </w:rPr>
        <w:t xml:space="preserve">Además, se ha mejorado la herramienta GE84 Compatibility Analyses se </w:t>
      </w:r>
      <w:r>
        <w:rPr>
          <w:szCs w:val="24"/>
          <w:lang w:val="es-ES"/>
        </w:rPr>
        <w:t>ha mejorado con la integración de mapas y la visualización de los datos de las estaciones</w:t>
      </w:r>
      <w:r w:rsidRPr="0031651D">
        <w:rPr>
          <w:szCs w:val="24"/>
          <w:lang w:val="es-ES"/>
        </w:rPr>
        <w:t>.</w:t>
      </w:r>
    </w:p>
    <w:p w14:paraId="062D5B1A" w14:textId="77777777" w:rsidR="006D51CF" w:rsidRPr="00731A4E" w:rsidRDefault="006D51CF" w:rsidP="006D51CF">
      <w:pPr>
        <w:rPr>
          <w:szCs w:val="24"/>
          <w:lang w:val="es-ES"/>
        </w:rPr>
      </w:pPr>
      <w:r w:rsidRPr="00731A4E">
        <w:rPr>
          <w:szCs w:val="24"/>
          <w:lang w:val="es-ES"/>
        </w:rPr>
        <w:t>Tras la finalización de la herramienta P.452 Point-to-Point (P2P), se está</w:t>
      </w:r>
      <w:r>
        <w:rPr>
          <w:szCs w:val="24"/>
          <w:lang w:val="es-ES"/>
        </w:rPr>
        <w:t xml:space="preserve"> desarrollando la herramienta de simulación</w:t>
      </w:r>
      <w:r w:rsidRPr="00731A4E">
        <w:rPr>
          <w:szCs w:val="24"/>
          <w:lang w:val="es-ES"/>
        </w:rPr>
        <w:t xml:space="preserve"> P452 Point-to-Area</w:t>
      </w:r>
      <w:r>
        <w:rPr>
          <w:szCs w:val="24"/>
          <w:lang w:val="es-ES"/>
        </w:rPr>
        <w:t>. Esta herramienta está diseñada para que las administraciones puedan realizar fácilmente análisis de interferencia geográficos integrales a partir de un modelo de elevación digital y un modelo de tierra lisa a fin de identificar a los países vecinos potencialmente afectados en aplicación del número</w:t>
      </w:r>
      <w:r w:rsidRPr="00731A4E">
        <w:rPr>
          <w:szCs w:val="24"/>
          <w:lang w:val="es-ES"/>
        </w:rPr>
        <w:t xml:space="preserve"> </w:t>
      </w:r>
      <w:r w:rsidRPr="00731A4E">
        <w:rPr>
          <w:b/>
          <w:szCs w:val="24"/>
          <w:lang w:val="es-ES"/>
        </w:rPr>
        <w:t xml:space="preserve">9.21 </w:t>
      </w:r>
      <w:r>
        <w:rPr>
          <w:bCs/>
          <w:szCs w:val="24"/>
          <w:lang w:val="es-ES"/>
        </w:rPr>
        <w:t>del RR</w:t>
      </w:r>
      <w:r w:rsidRPr="00731A4E">
        <w:rPr>
          <w:szCs w:val="24"/>
          <w:lang w:val="es-ES"/>
        </w:rPr>
        <w:t xml:space="preserve">. </w:t>
      </w:r>
    </w:p>
    <w:p w14:paraId="150CAD52" w14:textId="77777777" w:rsidR="006D51CF" w:rsidRPr="00731A4E" w:rsidRDefault="006D51CF" w:rsidP="006D51CF">
      <w:pPr>
        <w:rPr>
          <w:lang w:val="es-ES"/>
        </w:rPr>
      </w:pPr>
      <w:r w:rsidRPr="00731A4E">
        <w:rPr>
          <w:lang w:val="es-ES"/>
        </w:rPr>
        <w:t xml:space="preserve">Las herramientas ePubFXM y MyAdminFXM se desarrollaron e integraron en la plataforma en línea para servicios terrenales (excepto la radiodifusión) (eFXM) en 2024. ePubFXM </w:t>
      </w:r>
      <w:r>
        <w:rPr>
          <w:lang w:val="es-ES"/>
        </w:rPr>
        <w:t>se ha mejorado con nuevas funcionalidades que permiten a las administraciones hacer un seguimiento del flujo de trabajo de coordinación de las Secciones Especiales del número</w:t>
      </w:r>
      <w:r w:rsidRPr="00731A4E">
        <w:rPr>
          <w:lang w:val="es-ES"/>
        </w:rPr>
        <w:t xml:space="preserve"> </w:t>
      </w:r>
      <w:r w:rsidRPr="00731A4E">
        <w:rPr>
          <w:b/>
          <w:bCs/>
          <w:lang w:val="es-ES"/>
        </w:rPr>
        <w:t xml:space="preserve">9.21 </w:t>
      </w:r>
      <w:r>
        <w:rPr>
          <w:lang w:val="es-ES"/>
        </w:rPr>
        <w:t>del RR y el Acuerdo</w:t>
      </w:r>
      <w:r w:rsidRPr="00731A4E">
        <w:rPr>
          <w:lang w:val="es-ES"/>
        </w:rPr>
        <w:t xml:space="preserve"> GE06L </w:t>
      </w:r>
      <w:r>
        <w:rPr>
          <w:lang w:val="es-ES"/>
        </w:rPr>
        <w:t>anexas a la</w:t>
      </w:r>
      <w:r w:rsidRPr="00731A4E">
        <w:rPr>
          <w:lang w:val="es-ES"/>
        </w:rPr>
        <w:t xml:space="preserve"> BR IFIC (</w:t>
      </w:r>
      <w:r>
        <w:rPr>
          <w:lang w:val="es-ES"/>
        </w:rPr>
        <w:t>Servicios Terrenales)</w:t>
      </w:r>
      <w:r w:rsidRPr="00731A4E">
        <w:rPr>
          <w:lang w:val="es-ES"/>
        </w:rPr>
        <w:t>. Recientemente se ha desarrollado e integrado en eFXM la herramienta MyAdminFXM, que ayuda a las administraciones a gestionar el</w:t>
      </w:r>
      <w:r>
        <w:rPr>
          <w:lang w:val="es-ES"/>
        </w:rPr>
        <w:t xml:space="preserve"> seguimiento de la coordinación FSM y los procedimientos de modificación del plan FXM</w:t>
      </w:r>
      <w:r w:rsidRPr="00731A4E">
        <w:rPr>
          <w:lang w:val="es-ES"/>
        </w:rPr>
        <w:t>.</w:t>
      </w:r>
    </w:p>
    <w:p w14:paraId="2261D119" w14:textId="77777777" w:rsidR="006D51CF" w:rsidRPr="004C1106" w:rsidRDefault="006D51CF" w:rsidP="006D51CF">
      <w:pPr>
        <w:pStyle w:val="Heading2"/>
        <w:rPr>
          <w:lang w:val="es-ES"/>
        </w:rPr>
      </w:pPr>
      <w:bookmarkStart w:id="70" w:name="_Toc222308692"/>
      <w:bookmarkStart w:id="71" w:name="_Toc222843161"/>
      <w:r w:rsidRPr="004C1106">
        <w:rPr>
          <w:lang w:val="es-ES"/>
        </w:rPr>
        <w:t>7.2</w:t>
      </w:r>
      <w:r w:rsidRPr="004C1106">
        <w:rPr>
          <w:lang w:val="es-ES"/>
        </w:rPr>
        <w:tab/>
        <w:t>Software y herramientas espaciales</w:t>
      </w:r>
      <w:bookmarkEnd w:id="70"/>
      <w:bookmarkEnd w:id="71"/>
    </w:p>
    <w:p w14:paraId="1D9F694D" w14:textId="4E46A6EB" w:rsidR="006D51CF" w:rsidRPr="00731A4E" w:rsidRDefault="006D51CF" w:rsidP="006D51CF">
      <w:pPr>
        <w:pStyle w:val="Heading3"/>
        <w:rPr>
          <w:rFonts w:eastAsia="Verdana"/>
          <w:lang w:val="es-ES"/>
        </w:rPr>
      </w:pPr>
      <w:bookmarkStart w:id="72" w:name="_Toc222308693"/>
      <w:bookmarkStart w:id="73" w:name="_Toc222843162"/>
      <w:r w:rsidRPr="00731A4E">
        <w:rPr>
          <w:rFonts w:eastAsia="Verdana"/>
          <w:lang w:val="es-ES"/>
        </w:rPr>
        <w:t>7.2.1</w:t>
      </w:r>
      <w:r w:rsidRPr="00731A4E">
        <w:rPr>
          <w:rFonts w:eastAsia="Verdana"/>
          <w:lang w:val="es-ES"/>
        </w:rPr>
        <w:tab/>
        <w:t xml:space="preserve">Aplicación de las decisiones de la </w:t>
      </w:r>
      <w:r>
        <w:rPr>
          <w:rFonts w:eastAsia="Verdana"/>
          <w:lang w:val="es-ES"/>
        </w:rPr>
        <w:t>CMR-23 relativas a los servicios espaciales</w:t>
      </w:r>
      <w:bookmarkEnd w:id="72"/>
      <w:bookmarkEnd w:id="73"/>
    </w:p>
    <w:p w14:paraId="079771D0" w14:textId="77777777" w:rsidR="006D51CF" w:rsidRPr="00731A4E" w:rsidRDefault="006D51CF" w:rsidP="006D51CF">
      <w:pPr>
        <w:rPr>
          <w:rStyle w:val="CommentReference"/>
          <w:lang w:val="es-ES"/>
        </w:rPr>
      </w:pPr>
      <w:r w:rsidRPr="00731A4E">
        <w:rPr>
          <w:lang w:val="es-ES"/>
        </w:rPr>
        <w:t xml:space="preserve">Tras la publicación de la versión v10 del </w:t>
      </w:r>
      <w:r w:rsidRPr="007B25F1">
        <w:rPr>
          <w:i/>
          <w:iCs/>
          <w:lang w:val="es-ES"/>
        </w:rPr>
        <w:t>software</w:t>
      </w:r>
      <w:r w:rsidRPr="00731A4E">
        <w:rPr>
          <w:lang w:val="es-ES"/>
        </w:rPr>
        <w:t xml:space="preserve"> espacial de la BR a principios de 2025, la Oficina siguió, a lo </w:t>
      </w:r>
      <w:r>
        <w:rPr>
          <w:lang w:val="es-ES"/>
        </w:rPr>
        <w:t>largo de todo el año, aportando modificaciones para aplicar las decisiones de la CMR, a saber</w:t>
      </w:r>
      <w:r w:rsidRPr="00731A4E">
        <w:rPr>
          <w:rStyle w:val="CommentReference"/>
          <w:lang w:val="es-ES"/>
        </w:rPr>
        <w:t>:</w:t>
      </w:r>
    </w:p>
    <w:p w14:paraId="57F5ECF0" w14:textId="024B4B04" w:rsidR="006D51CF" w:rsidRPr="00731A4E" w:rsidRDefault="007B25F1" w:rsidP="007B25F1">
      <w:pPr>
        <w:pStyle w:val="enumlev1"/>
        <w:rPr>
          <w:lang w:val="es-ES"/>
        </w:rPr>
      </w:pPr>
      <w:r>
        <w:rPr>
          <w:lang w:val="es-ES"/>
        </w:rPr>
        <w:t>–</w:t>
      </w:r>
      <w:r>
        <w:rPr>
          <w:lang w:val="es-ES"/>
        </w:rPr>
        <w:tab/>
      </w:r>
      <w:r w:rsidR="006D51CF" w:rsidRPr="00731A4E">
        <w:rPr>
          <w:lang w:val="es-ES"/>
        </w:rPr>
        <w:t>Introducción de la validación de la</w:t>
      </w:r>
      <w:r w:rsidR="006D51CF">
        <w:rPr>
          <w:lang w:val="es-ES"/>
        </w:rPr>
        <w:t>s notificaciones de la</w:t>
      </w:r>
      <w:r w:rsidR="006D51CF" w:rsidRPr="00731A4E">
        <w:rPr>
          <w:lang w:val="es-ES"/>
        </w:rPr>
        <w:t xml:space="preserve"> Resolución </w:t>
      </w:r>
      <w:r w:rsidR="006D51CF" w:rsidRPr="00731A4E">
        <w:rPr>
          <w:b/>
          <w:bCs/>
          <w:lang w:val="es-ES"/>
        </w:rPr>
        <w:t>8 (</w:t>
      </w:r>
      <w:r w:rsidR="006D51CF">
        <w:rPr>
          <w:b/>
          <w:bCs/>
          <w:lang w:val="es-ES"/>
        </w:rPr>
        <w:t>CMR</w:t>
      </w:r>
      <w:r w:rsidR="006D51CF" w:rsidRPr="00731A4E">
        <w:rPr>
          <w:b/>
          <w:bCs/>
          <w:lang w:val="es-ES"/>
        </w:rPr>
        <w:t xml:space="preserve">-23) </w:t>
      </w:r>
      <w:r w:rsidR="006D51CF">
        <w:rPr>
          <w:lang w:val="es-ES"/>
        </w:rPr>
        <w:t>y la Resolución</w:t>
      </w:r>
      <w:r w:rsidR="006D51CF" w:rsidRPr="00731A4E">
        <w:rPr>
          <w:lang w:val="es-ES"/>
        </w:rPr>
        <w:t xml:space="preserve"> </w:t>
      </w:r>
      <w:r w:rsidR="006D51CF" w:rsidRPr="00731A4E">
        <w:rPr>
          <w:b/>
          <w:bCs/>
          <w:lang w:val="es-ES"/>
        </w:rPr>
        <w:t>35 (</w:t>
      </w:r>
      <w:r w:rsidR="006D51CF">
        <w:rPr>
          <w:b/>
          <w:bCs/>
          <w:lang w:val="es-ES"/>
        </w:rPr>
        <w:t>R</w:t>
      </w:r>
      <w:r w:rsidR="006D51CF" w:rsidRPr="00731A4E">
        <w:rPr>
          <w:b/>
          <w:bCs/>
          <w:lang w:val="es-ES"/>
        </w:rPr>
        <w:t xml:space="preserve">ev. </w:t>
      </w:r>
      <w:r w:rsidR="006D51CF">
        <w:rPr>
          <w:b/>
          <w:bCs/>
          <w:lang w:val="es-ES"/>
        </w:rPr>
        <w:t>CMR</w:t>
      </w:r>
      <w:r w:rsidR="006D51CF" w:rsidRPr="00731A4E">
        <w:rPr>
          <w:b/>
          <w:bCs/>
          <w:lang w:val="es-ES"/>
        </w:rPr>
        <w:t xml:space="preserve">-23) </w:t>
      </w:r>
      <w:r w:rsidR="006D51CF">
        <w:rPr>
          <w:lang w:val="es-ES"/>
        </w:rPr>
        <w:t>en</w:t>
      </w:r>
      <w:r w:rsidR="006D51CF" w:rsidRPr="00731A4E">
        <w:rPr>
          <w:lang w:val="es-ES"/>
        </w:rPr>
        <w:t xml:space="preserve"> BRSIS-Capture</w:t>
      </w:r>
      <w:r>
        <w:rPr>
          <w:lang w:val="es-ES"/>
        </w:rPr>
        <w:t>.</w:t>
      </w:r>
    </w:p>
    <w:p w14:paraId="108F8BC2" w14:textId="1D898231" w:rsidR="006D51CF" w:rsidRPr="00731A4E" w:rsidRDefault="007B25F1" w:rsidP="007B25F1">
      <w:pPr>
        <w:pStyle w:val="enumlev1"/>
        <w:rPr>
          <w:szCs w:val="24"/>
          <w:lang w:val="es-ES"/>
        </w:rPr>
      </w:pPr>
      <w:r>
        <w:rPr>
          <w:lang w:val="es-ES"/>
        </w:rPr>
        <w:t>–</w:t>
      </w:r>
      <w:r>
        <w:rPr>
          <w:lang w:val="es-ES"/>
        </w:rPr>
        <w:tab/>
      </w:r>
      <w:r w:rsidR="006D51CF" w:rsidRPr="00731A4E">
        <w:rPr>
          <w:szCs w:val="24"/>
          <w:lang w:val="es-ES"/>
        </w:rPr>
        <w:t>Soporte de la nueva publicación d</w:t>
      </w:r>
      <w:r w:rsidR="006D51CF">
        <w:rPr>
          <w:szCs w:val="24"/>
          <w:lang w:val="es-ES"/>
        </w:rPr>
        <w:t>e la Resolución</w:t>
      </w:r>
      <w:r w:rsidR="006D51CF" w:rsidRPr="00731A4E">
        <w:rPr>
          <w:szCs w:val="24"/>
          <w:lang w:val="es-ES"/>
        </w:rPr>
        <w:t xml:space="preserve"> </w:t>
      </w:r>
      <w:r w:rsidR="006D51CF" w:rsidRPr="00731A4E">
        <w:rPr>
          <w:b/>
          <w:bCs/>
          <w:szCs w:val="24"/>
          <w:lang w:val="es-ES"/>
        </w:rPr>
        <w:t>170 (</w:t>
      </w:r>
      <w:r w:rsidR="006D51CF">
        <w:rPr>
          <w:b/>
          <w:bCs/>
          <w:szCs w:val="24"/>
          <w:lang w:val="es-ES"/>
        </w:rPr>
        <w:t>R</w:t>
      </w:r>
      <w:r w:rsidR="006D51CF" w:rsidRPr="00731A4E">
        <w:rPr>
          <w:b/>
          <w:bCs/>
          <w:szCs w:val="24"/>
          <w:lang w:val="es-ES"/>
        </w:rPr>
        <w:t xml:space="preserve">ev. </w:t>
      </w:r>
      <w:r w:rsidR="006D51CF">
        <w:rPr>
          <w:b/>
          <w:bCs/>
          <w:szCs w:val="24"/>
          <w:lang w:val="es-ES"/>
        </w:rPr>
        <w:t>CMR</w:t>
      </w:r>
      <w:r w:rsidR="006D51CF" w:rsidRPr="00731A4E">
        <w:rPr>
          <w:b/>
          <w:bCs/>
          <w:szCs w:val="24"/>
          <w:lang w:val="es-ES"/>
        </w:rPr>
        <w:t xml:space="preserve">-23) </w:t>
      </w:r>
      <w:r w:rsidR="006D51CF">
        <w:rPr>
          <w:szCs w:val="24"/>
          <w:lang w:val="es-ES"/>
        </w:rPr>
        <w:t>en</w:t>
      </w:r>
      <w:r w:rsidR="006D51CF" w:rsidRPr="00731A4E">
        <w:rPr>
          <w:szCs w:val="24"/>
          <w:lang w:val="es-ES"/>
        </w:rPr>
        <w:t xml:space="preserve"> BRSIS-Publication</w:t>
      </w:r>
      <w:r>
        <w:rPr>
          <w:szCs w:val="24"/>
          <w:lang w:val="es-ES"/>
        </w:rPr>
        <w:t>.</w:t>
      </w:r>
    </w:p>
    <w:p w14:paraId="6DF13969" w14:textId="3F544BF3" w:rsidR="006D51CF" w:rsidRPr="00731A4E" w:rsidRDefault="007B25F1" w:rsidP="007B25F1">
      <w:pPr>
        <w:pStyle w:val="enumlev1"/>
        <w:rPr>
          <w:szCs w:val="24"/>
          <w:lang w:val="es-ES"/>
        </w:rPr>
      </w:pPr>
      <w:r>
        <w:rPr>
          <w:lang w:val="es-ES"/>
        </w:rPr>
        <w:t>–</w:t>
      </w:r>
      <w:r>
        <w:rPr>
          <w:lang w:val="es-ES"/>
        </w:rPr>
        <w:tab/>
      </w:r>
      <w:r w:rsidR="006D51CF" w:rsidRPr="00731A4E">
        <w:rPr>
          <w:szCs w:val="24"/>
          <w:lang w:val="es-ES"/>
        </w:rPr>
        <w:t xml:space="preserve">Aplicación de la máscara de dfp </w:t>
      </w:r>
      <w:r w:rsidR="006D51CF">
        <w:rPr>
          <w:szCs w:val="24"/>
          <w:lang w:val="es-ES"/>
        </w:rPr>
        <w:t>de la Resolución</w:t>
      </w:r>
      <w:r w:rsidR="006D51CF" w:rsidRPr="00731A4E">
        <w:rPr>
          <w:szCs w:val="24"/>
          <w:lang w:val="es-ES"/>
        </w:rPr>
        <w:t xml:space="preserve"> </w:t>
      </w:r>
      <w:r w:rsidR="006D51CF" w:rsidRPr="00731A4E">
        <w:rPr>
          <w:b/>
          <w:bCs/>
          <w:szCs w:val="24"/>
          <w:lang w:val="es-ES"/>
        </w:rPr>
        <w:t>553 (</w:t>
      </w:r>
      <w:r w:rsidR="006D51CF">
        <w:rPr>
          <w:b/>
          <w:bCs/>
          <w:szCs w:val="24"/>
          <w:lang w:val="es-ES"/>
        </w:rPr>
        <w:t>R</w:t>
      </w:r>
      <w:r w:rsidR="006D51CF" w:rsidRPr="00731A4E">
        <w:rPr>
          <w:b/>
          <w:bCs/>
          <w:szCs w:val="24"/>
          <w:lang w:val="es-ES"/>
        </w:rPr>
        <w:t xml:space="preserve">ev. </w:t>
      </w:r>
      <w:r w:rsidR="006D51CF">
        <w:rPr>
          <w:b/>
          <w:bCs/>
          <w:szCs w:val="24"/>
          <w:lang w:val="es-ES"/>
        </w:rPr>
        <w:t>CMR</w:t>
      </w:r>
      <w:r w:rsidR="006D51CF" w:rsidRPr="00731A4E">
        <w:rPr>
          <w:b/>
          <w:bCs/>
          <w:szCs w:val="24"/>
          <w:lang w:val="es-ES"/>
        </w:rPr>
        <w:t>-23)</w:t>
      </w:r>
      <w:r w:rsidR="006D51CF" w:rsidRPr="00731A4E">
        <w:rPr>
          <w:szCs w:val="24"/>
          <w:lang w:val="es-ES"/>
        </w:rPr>
        <w:t xml:space="preserve"> </w:t>
      </w:r>
      <w:r w:rsidR="006D51CF">
        <w:rPr>
          <w:szCs w:val="24"/>
          <w:lang w:val="es-ES"/>
        </w:rPr>
        <w:t>para el procedimiento especial en</w:t>
      </w:r>
      <w:r w:rsidR="006D51CF" w:rsidRPr="00731A4E">
        <w:rPr>
          <w:szCs w:val="24"/>
          <w:lang w:val="es-ES"/>
        </w:rPr>
        <w:t xml:space="preserve"> GIBC-AP8</w:t>
      </w:r>
      <w:r>
        <w:rPr>
          <w:szCs w:val="24"/>
          <w:lang w:val="es-ES"/>
        </w:rPr>
        <w:t>.</w:t>
      </w:r>
    </w:p>
    <w:p w14:paraId="5A346A3A" w14:textId="1FF271F6" w:rsidR="006D51CF" w:rsidRPr="00731A4E" w:rsidRDefault="007B25F1" w:rsidP="007B25F1">
      <w:pPr>
        <w:pStyle w:val="enumlev1"/>
        <w:rPr>
          <w:szCs w:val="24"/>
          <w:lang w:val="es-ES"/>
        </w:rPr>
      </w:pPr>
      <w:r>
        <w:rPr>
          <w:lang w:val="es-ES"/>
        </w:rPr>
        <w:t>–</w:t>
      </w:r>
      <w:r>
        <w:rPr>
          <w:lang w:val="es-ES"/>
        </w:rPr>
        <w:tab/>
      </w:r>
      <w:r w:rsidR="006D51CF" w:rsidRPr="00731A4E">
        <w:rPr>
          <w:szCs w:val="24"/>
          <w:lang w:val="es-ES"/>
        </w:rPr>
        <w:t>Introducción de una opción para realizar el examen de la dfp en API y apli</w:t>
      </w:r>
      <w:r w:rsidR="006D51CF">
        <w:rPr>
          <w:szCs w:val="24"/>
          <w:lang w:val="es-ES"/>
        </w:rPr>
        <w:t>cación del límite de dfp estricto de la Resolución</w:t>
      </w:r>
      <w:r w:rsidR="006D51CF" w:rsidRPr="00731A4E">
        <w:rPr>
          <w:szCs w:val="24"/>
          <w:lang w:val="es-ES"/>
        </w:rPr>
        <w:t xml:space="preserve"> </w:t>
      </w:r>
      <w:r w:rsidR="006D51CF" w:rsidRPr="00731A4E">
        <w:rPr>
          <w:b/>
          <w:bCs/>
          <w:szCs w:val="24"/>
          <w:lang w:val="es-ES"/>
        </w:rPr>
        <w:t>678 (</w:t>
      </w:r>
      <w:r w:rsidR="006D51CF">
        <w:rPr>
          <w:b/>
          <w:bCs/>
          <w:szCs w:val="24"/>
          <w:lang w:val="es-ES"/>
        </w:rPr>
        <w:t>CMR</w:t>
      </w:r>
      <w:r w:rsidR="006D51CF" w:rsidRPr="00731A4E">
        <w:rPr>
          <w:b/>
          <w:bCs/>
          <w:szCs w:val="24"/>
          <w:lang w:val="es-ES"/>
        </w:rPr>
        <w:t>-23)</w:t>
      </w:r>
      <w:r w:rsidR="006D51CF" w:rsidRPr="00731A4E">
        <w:rPr>
          <w:szCs w:val="24"/>
          <w:lang w:val="es-ES"/>
        </w:rPr>
        <w:t xml:space="preserve"> </w:t>
      </w:r>
      <w:r w:rsidR="006D51CF">
        <w:rPr>
          <w:szCs w:val="24"/>
          <w:lang w:val="es-ES"/>
        </w:rPr>
        <w:t>e</w:t>
      </w:r>
      <w:r w:rsidR="006D51CF" w:rsidRPr="00731A4E">
        <w:rPr>
          <w:szCs w:val="24"/>
          <w:lang w:val="es-ES"/>
        </w:rPr>
        <w:t>n GIBC-PFD NGSO</w:t>
      </w:r>
      <w:r>
        <w:rPr>
          <w:szCs w:val="24"/>
          <w:lang w:val="es-ES"/>
        </w:rPr>
        <w:t>.</w:t>
      </w:r>
    </w:p>
    <w:p w14:paraId="27DC214B" w14:textId="330AA530" w:rsidR="006D51CF" w:rsidRPr="00731A4E" w:rsidRDefault="007B25F1" w:rsidP="007B25F1">
      <w:pPr>
        <w:pStyle w:val="enumlev1"/>
        <w:spacing w:before="120" w:after="240"/>
        <w:rPr>
          <w:szCs w:val="24"/>
          <w:lang w:val="es-ES"/>
        </w:rPr>
      </w:pPr>
      <w:r>
        <w:rPr>
          <w:lang w:val="es-ES"/>
        </w:rPr>
        <w:t>–</w:t>
      </w:r>
      <w:r>
        <w:rPr>
          <w:lang w:val="es-ES"/>
        </w:rPr>
        <w:tab/>
      </w:r>
      <w:r w:rsidR="006D51CF" w:rsidRPr="00731A4E">
        <w:rPr>
          <w:szCs w:val="24"/>
          <w:lang w:val="es-ES"/>
        </w:rPr>
        <w:t xml:space="preserve">Aplicación de la </w:t>
      </w:r>
      <w:r w:rsidR="006D51CF">
        <w:rPr>
          <w:szCs w:val="24"/>
          <w:lang w:val="es-ES"/>
        </w:rPr>
        <w:t>Resolución</w:t>
      </w:r>
      <w:r w:rsidR="006D51CF" w:rsidRPr="00731A4E">
        <w:rPr>
          <w:szCs w:val="24"/>
          <w:lang w:val="es-ES"/>
        </w:rPr>
        <w:t xml:space="preserve"> </w:t>
      </w:r>
      <w:r w:rsidR="006D51CF" w:rsidRPr="00731A4E">
        <w:rPr>
          <w:b/>
          <w:bCs/>
          <w:szCs w:val="24"/>
          <w:lang w:val="es-ES"/>
        </w:rPr>
        <w:t>678 (</w:t>
      </w:r>
      <w:r w:rsidR="006D51CF">
        <w:rPr>
          <w:b/>
          <w:bCs/>
          <w:szCs w:val="24"/>
          <w:lang w:val="es-ES"/>
        </w:rPr>
        <w:t>CMR</w:t>
      </w:r>
      <w:r w:rsidR="006D51CF" w:rsidRPr="00731A4E">
        <w:rPr>
          <w:b/>
          <w:bCs/>
          <w:szCs w:val="24"/>
          <w:lang w:val="es-ES"/>
        </w:rPr>
        <w:t>-23)</w:t>
      </w:r>
      <w:r w:rsidR="006D51CF" w:rsidRPr="00731A4E">
        <w:rPr>
          <w:szCs w:val="24"/>
          <w:lang w:val="es-ES"/>
        </w:rPr>
        <w:t xml:space="preserve"> </w:t>
      </w:r>
      <w:r w:rsidR="006D51CF">
        <w:rPr>
          <w:szCs w:val="24"/>
          <w:lang w:val="es-ES"/>
        </w:rPr>
        <w:t>e</w:t>
      </w:r>
      <w:r w:rsidR="006D51CF" w:rsidRPr="00731A4E">
        <w:rPr>
          <w:szCs w:val="24"/>
          <w:lang w:val="es-ES"/>
        </w:rPr>
        <w:t>n GIBC-PFD GSO</w:t>
      </w:r>
      <w:r>
        <w:rPr>
          <w:szCs w:val="24"/>
          <w:lang w:val="es-ES"/>
        </w:rPr>
        <w:t>.</w:t>
      </w:r>
    </w:p>
    <w:p w14:paraId="42F5F524" w14:textId="67C5AE12" w:rsidR="006D51CF" w:rsidRPr="00A61EDF" w:rsidRDefault="006D51CF" w:rsidP="006D51CF">
      <w:pPr>
        <w:rPr>
          <w:szCs w:val="24"/>
          <w:lang w:val="es-ES"/>
        </w:rPr>
      </w:pPr>
      <w:r w:rsidRPr="00A61EDF">
        <w:rPr>
          <w:szCs w:val="24"/>
          <w:lang w:val="es-ES"/>
        </w:rPr>
        <w:t xml:space="preserve">Además, de confromidad con el </w:t>
      </w:r>
      <w:r w:rsidRPr="00A61EDF">
        <w:rPr>
          <w:i/>
          <w:iCs/>
          <w:szCs w:val="24"/>
          <w:lang w:val="es-ES"/>
        </w:rPr>
        <w:t xml:space="preserve">encarga a la Oficina de Radiocomunicaciones </w:t>
      </w:r>
      <w:r w:rsidRPr="00A61EDF">
        <w:rPr>
          <w:szCs w:val="24"/>
          <w:lang w:val="es-ES"/>
        </w:rPr>
        <w:t>3</w:t>
      </w:r>
      <w:r w:rsidRPr="00A61EDF">
        <w:rPr>
          <w:i/>
          <w:iCs/>
          <w:szCs w:val="24"/>
          <w:lang w:val="es-ES"/>
        </w:rPr>
        <w:t xml:space="preserve"> </w:t>
      </w:r>
      <w:r w:rsidRPr="00A61EDF">
        <w:rPr>
          <w:szCs w:val="24"/>
          <w:lang w:val="es-ES"/>
        </w:rPr>
        <w:t xml:space="preserve">de la Resolución </w:t>
      </w:r>
      <w:r w:rsidRPr="00A61EDF">
        <w:rPr>
          <w:b/>
          <w:bCs/>
          <w:szCs w:val="24"/>
          <w:lang w:val="es-ES"/>
        </w:rPr>
        <w:t>8</w:t>
      </w:r>
      <w:r w:rsidR="007B25F1">
        <w:rPr>
          <w:b/>
          <w:bCs/>
          <w:szCs w:val="24"/>
          <w:lang w:val="es-ES"/>
        </w:rPr>
        <w:t> </w:t>
      </w:r>
      <w:r w:rsidRPr="00A61EDF">
        <w:rPr>
          <w:b/>
          <w:bCs/>
          <w:szCs w:val="24"/>
          <w:lang w:val="es-ES"/>
        </w:rPr>
        <w:t>(CMR-23)</w:t>
      </w:r>
      <w:r w:rsidRPr="00A61EDF">
        <w:rPr>
          <w:szCs w:val="24"/>
          <w:lang w:val="es-ES"/>
        </w:rPr>
        <w:t>, la Oficina de Radiocomunicaciones ha desarrollado un</w:t>
      </w:r>
      <w:r>
        <w:rPr>
          <w:szCs w:val="24"/>
          <w:lang w:val="es-ES"/>
        </w:rPr>
        <w:t>a herramienta en línea</w:t>
      </w:r>
      <w:r w:rsidRPr="00A61EDF">
        <w:rPr>
          <w:szCs w:val="24"/>
          <w:lang w:val="es-ES"/>
        </w:rPr>
        <w:t xml:space="preserve"> (Argus) </w:t>
      </w:r>
      <w:r>
        <w:rPr>
          <w:szCs w:val="24"/>
          <w:lang w:val="es-ES"/>
        </w:rPr>
        <w:t>para visualizar y dar transparencia al despliegue de sistemas de satélites no geoestacionarios sujetos a la Resolución</w:t>
      </w:r>
      <w:r w:rsidRPr="00A61EDF">
        <w:rPr>
          <w:szCs w:val="24"/>
          <w:lang w:val="es-ES"/>
        </w:rPr>
        <w:t xml:space="preserve"> </w:t>
      </w:r>
      <w:r w:rsidRPr="00A61EDF">
        <w:rPr>
          <w:b/>
          <w:bCs/>
          <w:szCs w:val="24"/>
          <w:lang w:val="es-ES"/>
        </w:rPr>
        <w:t>8 (</w:t>
      </w:r>
      <w:r>
        <w:rPr>
          <w:b/>
          <w:bCs/>
          <w:szCs w:val="24"/>
          <w:lang w:val="es-ES"/>
        </w:rPr>
        <w:t>CMR</w:t>
      </w:r>
      <w:r w:rsidRPr="00A61EDF">
        <w:rPr>
          <w:b/>
          <w:bCs/>
          <w:szCs w:val="24"/>
          <w:lang w:val="es-ES"/>
        </w:rPr>
        <w:t>-23)</w:t>
      </w:r>
      <w:r>
        <w:rPr>
          <w:b/>
          <w:bCs/>
          <w:szCs w:val="24"/>
          <w:lang w:val="es-ES"/>
        </w:rPr>
        <w:t xml:space="preserve">, </w:t>
      </w:r>
      <w:r>
        <w:rPr>
          <w:szCs w:val="24"/>
          <w:lang w:val="es-ES"/>
        </w:rPr>
        <w:t>facilitando al mismo tiempo las comunicaciones directas entre los operadores de satélites responsables de esos sistemas</w:t>
      </w:r>
      <w:r w:rsidRPr="00A61EDF">
        <w:rPr>
          <w:szCs w:val="24"/>
          <w:lang w:val="es-ES"/>
        </w:rPr>
        <w:t>.</w:t>
      </w:r>
    </w:p>
    <w:p w14:paraId="70CA3713" w14:textId="77777777" w:rsidR="006D51CF" w:rsidRPr="00A61EDF" w:rsidRDefault="006D51CF" w:rsidP="006D51CF">
      <w:pPr>
        <w:tabs>
          <w:tab w:val="left" w:pos="900"/>
        </w:tabs>
        <w:spacing w:after="120"/>
        <w:rPr>
          <w:szCs w:val="24"/>
          <w:lang w:val="es-ES"/>
        </w:rPr>
      </w:pPr>
      <w:r w:rsidRPr="00A61EDF">
        <w:rPr>
          <w:szCs w:val="24"/>
          <w:lang w:val="es-ES"/>
        </w:rPr>
        <w:t>Al usar Argus, las administraciones y operadores de satélites podrán visualizar y extraer la si</w:t>
      </w:r>
      <w:r>
        <w:rPr>
          <w:szCs w:val="24"/>
          <w:lang w:val="es-ES"/>
        </w:rPr>
        <w:t>guiente información</w:t>
      </w:r>
      <w:r w:rsidRPr="00A61EDF">
        <w:rPr>
          <w:szCs w:val="24"/>
          <w:lang w:val="es-ES"/>
        </w:rPr>
        <w:t>:</w:t>
      </w:r>
    </w:p>
    <w:p w14:paraId="18AFBB4E" w14:textId="5327745A" w:rsidR="006D51CF" w:rsidRPr="00A61EDF" w:rsidRDefault="007B25F1" w:rsidP="007B25F1">
      <w:pPr>
        <w:pStyle w:val="enumlev1"/>
        <w:rPr>
          <w:szCs w:val="24"/>
          <w:lang w:val="es-ES"/>
        </w:rPr>
      </w:pPr>
      <w:r>
        <w:rPr>
          <w:lang w:val="es-ES"/>
        </w:rPr>
        <w:lastRenderedPageBreak/>
        <w:t>–</w:t>
      </w:r>
      <w:r>
        <w:rPr>
          <w:lang w:val="es-ES"/>
        </w:rPr>
        <w:tab/>
      </w:r>
      <w:r w:rsidR="006D51CF" w:rsidRPr="00A61EDF">
        <w:rPr>
          <w:szCs w:val="24"/>
          <w:lang w:val="es-ES"/>
        </w:rPr>
        <w:t>parámetros orbitales de un sistema de satélites o vehículo espacial seleccionado</w:t>
      </w:r>
      <w:r w:rsidR="006D51CF">
        <w:rPr>
          <w:szCs w:val="24"/>
          <w:lang w:val="es-ES"/>
        </w:rPr>
        <w:t xml:space="preserve"> notificados o declarados en virtud de la Resolución</w:t>
      </w:r>
      <w:r w:rsidR="006D51CF" w:rsidRPr="00A61EDF">
        <w:rPr>
          <w:szCs w:val="24"/>
          <w:lang w:val="es-ES"/>
        </w:rPr>
        <w:t xml:space="preserve"> </w:t>
      </w:r>
      <w:r w:rsidR="006D51CF" w:rsidRPr="00A61EDF">
        <w:rPr>
          <w:b/>
          <w:bCs/>
          <w:szCs w:val="24"/>
          <w:lang w:val="es-ES"/>
        </w:rPr>
        <w:t>8 (</w:t>
      </w:r>
      <w:r w:rsidR="006D51CF">
        <w:rPr>
          <w:b/>
          <w:bCs/>
          <w:szCs w:val="24"/>
          <w:lang w:val="es-ES"/>
        </w:rPr>
        <w:t>CMR</w:t>
      </w:r>
      <w:r w:rsidR="006D51CF" w:rsidRPr="00A61EDF">
        <w:rPr>
          <w:b/>
          <w:bCs/>
          <w:szCs w:val="24"/>
          <w:lang w:val="es-ES"/>
        </w:rPr>
        <w:t>-23)</w:t>
      </w:r>
      <w:r w:rsidR="006D51CF" w:rsidRPr="00A61EDF">
        <w:rPr>
          <w:szCs w:val="24"/>
          <w:lang w:val="es-ES"/>
        </w:rPr>
        <w:t xml:space="preserve"> </w:t>
      </w:r>
      <w:r w:rsidR="006D51CF">
        <w:rPr>
          <w:szCs w:val="24"/>
          <w:lang w:val="es-ES"/>
        </w:rPr>
        <w:t>por una administración notificante</w:t>
      </w:r>
      <w:r w:rsidR="00A52540">
        <w:rPr>
          <w:szCs w:val="24"/>
          <w:lang w:val="es-ES"/>
        </w:rPr>
        <w:t>;</w:t>
      </w:r>
    </w:p>
    <w:p w14:paraId="28B16C4A" w14:textId="05A219AE" w:rsidR="006D51CF" w:rsidRPr="00A61EDF" w:rsidRDefault="007B25F1" w:rsidP="007B25F1">
      <w:pPr>
        <w:pStyle w:val="enumlev1"/>
        <w:rPr>
          <w:szCs w:val="24"/>
          <w:lang w:val="es-ES"/>
        </w:rPr>
      </w:pPr>
      <w:r>
        <w:rPr>
          <w:lang w:val="es-ES"/>
        </w:rPr>
        <w:t>–</w:t>
      </w:r>
      <w:r>
        <w:rPr>
          <w:lang w:val="es-ES"/>
        </w:rPr>
        <w:tab/>
      </w:r>
      <w:r w:rsidR="006D51CF" w:rsidRPr="00A61EDF">
        <w:rPr>
          <w:szCs w:val="24"/>
          <w:lang w:val="es-ES"/>
        </w:rPr>
        <w:t>parámetros orbitales reales asociados obtenidos periódicamente de fuentes públicas fiables</w:t>
      </w:r>
      <w:r w:rsidR="00A52540">
        <w:rPr>
          <w:szCs w:val="24"/>
          <w:lang w:val="es-ES"/>
        </w:rPr>
        <w:t>;</w:t>
      </w:r>
    </w:p>
    <w:p w14:paraId="39941B44" w14:textId="7AC03092" w:rsidR="006D51CF" w:rsidRPr="00A61EDF" w:rsidRDefault="007B25F1" w:rsidP="007B25F1">
      <w:pPr>
        <w:pStyle w:val="enumlev1"/>
        <w:rPr>
          <w:szCs w:val="24"/>
          <w:lang w:val="es-ES"/>
        </w:rPr>
      </w:pPr>
      <w:r>
        <w:rPr>
          <w:lang w:val="es-ES"/>
        </w:rPr>
        <w:t>–</w:t>
      </w:r>
      <w:r>
        <w:rPr>
          <w:lang w:val="es-ES"/>
        </w:rPr>
        <w:tab/>
      </w:r>
      <w:r w:rsidR="006D51CF" w:rsidRPr="00A61EDF">
        <w:rPr>
          <w:szCs w:val="24"/>
          <w:lang w:val="es-ES"/>
        </w:rPr>
        <w:t xml:space="preserve">verificación de que los satélites se mantienen dentro de las tolerancias de altitud e inclinación definidas en la Resolución </w:t>
      </w:r>
      <w:r w:rsidR="006D51CF" w:rsidRPr="00A61EDF">
        <w:rPr>
          <w:b/>
          <w:bCs/>
          <w:szCs w:val="24"/>
          <w:lang w:val="es-ES"/>
        </w:rPr>
        <w:t>8 (</w:t>
      </w:r>
      <w:r w:rsidR="006D51CF">
        <w:rPr>
          <w:b/>
          <w:bCs/>
          <w:szCs w:val="24"/>
          <w:lang w:val="es-ES"/>
        </w:rPr>
        <w:t>CMR</w:t>
      </w:r>
      <w:r w:rsidR="006D51CF" w:rsidRPr="00A61EDF">
        <w:rPr>
          <w:b/>
          <w:bCs/>
          <w:szCs w:val="24"/>
          <w:lang w:val="es-ES"/>
        </w:rPr>
        <w:t>-23)</w:t>
      </w:r>
      <w:r w:rsidR="00A52540">
        <w:rPr>
          <w:szCs w:val="24"/>
          <w:lang w:val="es-ES"/>
        </w:rPr>
        <w:t>;</w:t>
      </w:r>
    </w:p>
    <w:p w14:paraId="01E6C504" w14:textId="3694DF42" w:rsidR="006D51CF" w:rsidRPr="00A61EDF" w:rsidRDefault="007B25F1" w:rsidP="007B25F1">
      <w:pPr>
        <w:pStyle w:val="enumlev1"/>
        <w:rPr>
          <w:szCs w:val="24"/>
          <w:lang w:val="es-ES"/>
        </w:rPr>
      </w:pPr>
      <w:r>
        <w:rPr>
          <w:lang w:val="es-ES"/>
        </w:rPr>
        <w:t>–</w:t>
      </w:r>
      <w:r>
        <w:rPr>
          <w:lang w:val="es-ES"/>
        </w:rPr>
        <w:tab/>
      </w:r>
      <w:r w:rsidR="006D51CF">
        <w:rPr>
          <w:szCs w:val="24"/>
          <w:lang w:val="es-ES"/>
        </w:rPr>
        <w:t>f</w:t>
      </w:r>
      <w:r w:rsidR="006D51CF" w:rsidRPr="00A61EDF">
        <w:rPr>
          <w:szCs w:val="24"/>
          <w:lang w:val="es-ES"/>
        </w:rPr>
        <w:t>iltrar por bandas de frecuencias, apogeo, perigeo, inclinación y ascensión recta del nodo ascendente (RAAN)</w:t>
      </w:r>
      <w:r w:rsidR="00A52540">
        <w:rPr>
          <w:szCs w:val="24"/>
          <w:lang w:val="es-ES"/>
        </w:rPr>
        <w:t>;</w:t>
      </w:r>
    </w:p>
    <w:p w14:paraId="0D20DE9B" w14:textId="06024763" w:rsidR="006D51CF" w:rsidRPr="00A61EDF" w:rsidRDefault="007B25F1" w:rsidP="007B25F1">
      <w:pPr>
        <w:pStyle w:val="enumlev1"/>
        <w:rPr>
          <w:szCs w:val="24"/>
          <w:lang w:val="es-ES"/>
        </w:rPr>
      </w:pPr>
      <w:r>
        <w:rPr>
          <w:lang w:val="es-ES"/>
        </w:rPr>
        <w:t>–</w:t>
      </w:r>
      <w:r>
        <w:rPr>
          <w:lang w:val="es-ES"/>
        </w:rPr>
        <w:tab/>
      </w:r>
      <w:r w:rsidR="006D51CF" w:rsidRPr="00A61EDF">
        <w:rPr>
          <w:szCs w:val="24"/>
          <w:lang w:val="es-ES"/>
        </w:rPr>
        <w:t>detalles de las asignaciones de frecuencias asociadas inscritas en el Registro Internacional de Frecuencias para un sistema de satélites seleccionado</w:t>
      </w:r>
      <w:r w:rsidR="00A52540">
        <w:rPr>
          <w:szCs w:val="24"/>
          <w:lang w:val="es-ES"/>
        </w:rPr>
        <w:t>;</w:t>
      </w:r>
    </w:p>
    <w:p w14:paraId="4108A3F9" w14:textId="6A3EBDFF" w:rsidR="006D51CF" w:rsidRPr="00A61EDF" w:rsidRDefault="007B25F1" w:rsidP="007B25F1">
      <w:pPr>
        <w:pStyle w:val="enumlev1"/>
        <w:rPr>
          <w:szCs w:val="24"/>
          <w:lang w:val="es-ES"/>
        </w:rPr>
      </w:pPr>
      <w:r>
        <w:rPr>
          <w:lang w:val="es-ES"/>
        </w:rPr>
        <w:t>–</w:t>
      </w:r>
      <w:r>
        <w:rPr>
          <w:lang w:val="es-ES"/>
        </w:rPr>
        <w:tab/>
      </w:r>
      <w:r w:rsidR="006D51CF" w:rsidRPr="00A61EDF">
        <w:rPr>
          <w:szCs w:val="24"/>
          <w:lang w:val="es-ES"/>
        </w:rPr>
        <w:t xml:space="preserve">enlace a las Secciones especiales asociadas publicadas en virtud de la Resolución </w:t>
      </w:r>
      <w:r w:rsidR="006D51CF" w:rsidRPr="00A61EDF">
        <w:rPr>
          <w:b/>
          <w:bCs/>
          <w:szCs w:val="24"/>
          <w:lang w:val="es-ES"/>
        </w:rPr>
        <w:t>8 (C</w:t>
      </w:r>
      <w:r w:rsidR="006D51CF">
        <w:rPr>
          <w:b/>
          <w:bCs/>
          <w:szCs w:val="24"/>
          <w:lang w:val="es-ES"/>
        </w:rPr>
        <w:t>MR</w:t>
      </w:r>
      <w:r w:rsidR="006D51CF" w:rsidRPr="00A61EDF">
        <w:rPr>
          <w:b/>
          <w:bCs/>
          <w:szCs w:val="24"/>
          <w:lang w:val="es-ES"/>
        </w:rPr>
        <w:t>-23)</w:t>
      </w:r>
      <w:r w:rsidR="006D51CF" w:rsidRPr="00A61EDF">
        <w:rPr>
          <w:szCs w:val="24"/>
          <w:lang w:val="es-ES"/>
        </w:rPr>
        <w:t xml:space="preserve"> </w:t>
      </w:r>
      <w:r w:rsidR="006D51CF">
        <w:rPr>
          <w:szCs w:val="24"/>
          <w:lang w:val="es-ES"/>
        </w:rPr>
        <w:t>y situación de despliegue en virtud de la Resolución</w:t>
      </w:r>
      <w:r w:rsidR="006D51CF" w:rsidRPr="00A61EDF">
        <w:rPr>
          <w:szCs w:val="24"/>
          <w:lang w:val="es-ES"/>
        </w:rPr>
        <w:t xml:space="preserve"> </w:t>
      </w:r>
      <w:r w:rsidR="006D51CF" w:rsidRPr="00A61EDF">
        <w:rPr>
          <w:b/>
          <w:bCs/>
          <w:szCs w:val="24"/>
          <w:lang w:val="es-ES"/>
        </w:rPr>
        <w:t>35 (</w:t>
      </w:r>
      <w:r w:rsidR="006D51CF">
        <w:rPr>
          <w:b/>
          <w:bCs/>
          <w:szCs w:val="24"/>
          <w:lang w:val="es-ES"/>
        </w:rPr>
        <w:t>R</w:t>
      </w:r>
      <w:r w:rsidR="006D51CF" w:rsidRPr="00A61EDF">
        <w:rPr>
          <w:b/>
          <w:bCs/>
          <w:szCs w:val="24"/>
          <w:lang w:val="es-ES"/>
        </w:rPr>
        <w:t xml:space="preserve">ev. </w:t>
      </w:r>
      <w:r w:rsidR="006D51CF">
        <w:rPr>
          <w:b/>
          <w:bCs/>
          <w:szCs w:val="24"/>
          <w:lang w:val="es-ES"/>
        </w:rPr>
        <w:t>CMR</w:t>
      </w:r>
      <w:r w:rsidR="006D51CF" w:rsidRPr="00A61EDF">
        <w:rPr>
          <w:b/>
          <w:bCs/>
          <w:szCs w:val="24"/>
          <w:lang w:val="es-ES"/>
        </w:rPr>
        <w:t>-23)</w:t>
      </w:r>
      <w:r w:rsidR="00A52540">
        <w:rPr>
          <w:szCs w:val="24"/>
          <w:lang w:val="es-ES"/>
        </w:rPr>
        <w:t>;</w:t>
      </w:r>
    </w:p>
    <w:p w14:paraId="038752C1" w14:textId="4371E077" w:rsidR="006D51CF" w:rsidRPr="00A61EDF" w:rsidRDefault="007B25F1" w:rsidP="007B25F1">
      <w:pPr>
        <w:pStyle w:val="enumlev1"/>
        <w:spacing w:before="120" w:after="120"/>
        <w:rPr>
          <w:szCs w:val="24"/>
          <w:lang w:val="es-ES"/>
        </w:rPr>
      </w:pPr>
      <w:r>
        <w:rPr>
          <w:lang w:val="es-ES"/>
        </w:rPr>
        <w:t>–</w:t>
      </w:r>
      <w:r>
        <w:rPr>
          <w:lang w:val="es-ES"/>
        </w:rPr>
        <w:tab/>
      </w:r>
      <w:r w:rsidR="006D51CF" w:rsidRPr="00A61EDF">
        <w:rPr>
          <w:szCs w:val="24"/>
          <w:lang w:val="es-ES"/>
        </w:rPr>
        <w:t>acceso a puntos de contacto directos para la mitigación de la interferencia de radiofrecuencia y las operaciones espaciales.</w:t>
      </w:r>
    </w:p>
    <w:p w14:paraId="797E6F5B" w14:textId="77777777" w:rsidR="006D51CF" w:rsidRPr="00A61EDF" w:rsidRDefault="006D51CF" w:rsidP="006D51CF">
      <w:pPr>
        <w:tabs>
          <w:tab w:val="left" w:pos="900"/>
        </w:tabs>
        <w:spacing w:after="120"/>
        <w:rPr>
          <w:szCs w:val="24"/>
          <w:lang w:val="es-ES"/>
        </w:rPr>
      </w:pPr>
      <w:r w:rsidRPr="00A61EDF">
        <w:rPr>
          <w:szCs w:val="24"/>
          <w:lang w:val="es-ES"/>
        </w:rPr>
        <w:t>El sistema está vinculado al Registro Internacional de Frecuencias (MIFR) y su acceso está protegido por TIES y restringido a los Miembros de Sector del UIT-R.</w:t>
      </w:r>
    </w:p>
    <w:p w14:paraId="0282ED93" w14:textId="77777777" w:rsidR="006D51CF" w:rsidRPr="00A61EDF" w:rsidRDefault="006D51CF" w:rsidP="006D51CF">
      <w:pPr>
        <w:tabs>
          <w:tab w:val="left" w:pos="900"/>
        </w:tabs>
        <w:spacing w:after="120"/>
        <w:rPr>
          <w:szCs w:val="24"/>
          <w:lang w:val="es-ES"/>
        </w:rPr>
      </w:pPr>
      <w:r w:rsidRPr="00A61EDF">
        <w:rPr>
          <w:szCs w:val="24"/>
          <w:lang w:val="es-ES"/>
        </w:rPr>
        <w:t xml:space="preserve">Se ha creado una página web dedicada a Argus, que puede consultarse en: </w:t>
      </w:r>
    </w:p>
    <w:p w14:paraId="73E0C916" w14:textId="48D8FAAC" w:rsidR="006D51CF" w:rsidRPr="004C1106" w:rsidRDefault="006D51CF" w:rsidP="006D51CF">
      <w:pPr>
        <w:tabs>
          <w:tab w:val="left" w:pos="900"/>
        </w:tabs>
        <w:spacing w:before="240" w:after="240"/>
        <w:jc w:val="center"/>
        <w:rPr>
          <w:szCs w:val="24"/>
          <w:lang w:val="es-ES"/>
        </w:rPr>
      </w:pPr>
      <w:hyperlink r:id="rId56" w:history="1">
        <w:r w:rsidR="007B25F1">
          <w:rPr>
            <w:rStyle w:val="Hyperlink"/>
            <w:szCs w:val="24"/>
            <w:lang w:val="es-ES"/>
          </w:rPr>
          <w:t>https://www.itu.int/space-argus/es</w:t>
        </w:r>
      </w:hyperlink>
    </w:p>
    <w:p w14:paraId="118F430A" w14:textId="77777777" w:rsidR="006D51CF" w:rsidRPr="00A61EDF" w:rsidRDefault="006D51CF" w:rsidP="006D51CF">
      <w:pPr>
        <w:tabs>
          <w:tab w:val="left" w:pos="900"/>
        </w:tabs>
        <w:spacing w:after="120"/>
        <w:rPr>
          <w:lang w:val="es-ES"/>
        </w:rPr>
      </w:pPr>
      <w:r w:rsidRPr="004C1106">
        <w:rPr>
          <w:szCs w:val="24"/>
          <w:lang w:val="es-ES"/>
        </w:rPr>
        <w:t xml:space="preserve">Esta herramienta se encuentra actualmente en fase de pruebas a la disposición de las administraciones y Miembros de Sector del UIT-R. La versión de prueba contiene parámetros ficticios que permiten a los usuarios familiarizarse con el sistema. </w:t>
      </w:r>
      <w:r w:rsidRPr="00A61EDF">
        <w:rPr>
          <w:szCs w:val="24"/>
          <w:lang w:val="es-ES"/>
        </w:rPr>
        <w:t xml:space="preserve">La base de datos asociada se conectará a lo largo del año 2026 para poder visualizar los sistemas de satélites notificados y puestos en servicio en la realidad. </w:t>
      </w:r>
    </w:p>
    <w:p w14:paraId="400B8C5B" w14:textId="388EBA10" w:rsidR="006D51CF" w:rsidRPr="00A61EDF" w:rsidRDefault="006D51CF" w:rsidP="006D51CF">
      <w:pPr>
        <w:pStyle w:val="Heading3"/>
        <w:rPr>
          <w:lang w:val="es-ES"/>
        </w:rPr>
      </w:pPr>
      <w:bookmarkStart w:id="74" w:name="_Toc222308694"/>
      <w:bookmarkStart w:id="75" w:name="_Toc222843163"/>
      <w:r w:rsidRPr="00A61EDF">
        <w:rPr>
          <w:lang w:val="es-ES"/>
        </w:rPr>
        <w:t>7.2.2</w:t>
      </w:r>
      <w:r w:rsidRPr="00A61EDF">
        <w:rPr>
          <w:lang w:val="es-ES"/>
        </w:rPr>
        <w:tab/>
        <w:t xml:space="preserve">Avances en el cumplimiento de la hoja de ruta </w:t>
      </w:r>
      <w:r>
        <w:rPr>
          <w:lang w:val="es-ES"/>
        </w:rPr>
        <w:t>de los sistemas de información espacial de la BR</w:t>
      </w:r>
      <w:r w:rsidRPr="00A61EDF">
        <w:rPr>
          <w:lang w:val="es-ES"/>
        </w:rPr>
        <w:t xml:space="preserve"> (</w:t>
      </w:r>
      <w:r>
        <w:rPr>
          <w:lang w:val="es-ES"/>
        </w:rPr>
        <w:t>GAR</w:t>
      </w:r>
      <w:r w:rsidRPr="00A61EDF">
        <w:rPr>
          <w:lang w:val="es-ES"/>
        </w:rPr>
        <w:t>-19, 2012)</w:t>
      </w:r>
      <w:bookmarkEnd w:id="74"/>
      <w:bookmarkEnd w:id="75"/>
    </w:p>
    <w:p w14:paraId="161461F8" w14:textId="77777777" w:rsidR="006D51CF" w:rsidRPr="00A61EDF" w:rsidRDefault="006D51CF" w:rsidP="006D51CF">
      <w:pPr>
        <w:rPr>
          <w:lang w:val="es-ES"/>
        </w:rPr>
      </w:pPr>
      <w:r w:rsidRPr="00A61EDF">
        <w:rPr>
          <w:lang w:val="es-ES"/>
        </w:rPr>
        <w:t xml:space="preserve">En su 19ª reunión (2012), el GAR aconsejó al Director que aplicase las medidas recomendadas en los plazos propuestos, tal y como se describe en la hoja de ruta, que comprende las siguientes fases: Fase 1 (Aplicación de las decisiones de la CMR 12); Fase 2 (Reescribir parte del </w:t>
      </w:r>
      <w:r w:rsidRPr="00CE4E77">
        <w:rPr>
          <w:i/>
          <w:iCs/>
          <w:lang w:val="es-ES"/>
        </w:rPr>
        <w:t>software</w:t>
      </w:r>
      <w:r w:rsidRPr="00A61EDF">
        <w:rPr>
          <w:lang w:val="es-ES"/>
        </w:rPr>
        <w:t xml:space="preserve"> existente), y Fase 3 (Crear un equipo de proyecto para implementar un marco común, un sistema de seguridad y una base de datos espacial centralizada). El GAR alentó a los Estados Miembros y a los Miembros de Sector a formular comentarios sobre la Fase 3. </w:t>
      </w:r>
    </w:p>
    <w:p w14:paraId="26FF1194" w14:textId="77777777" w:rsidR="006D51CF" w:rsidRPr="00A61EDF" w:rsidRDefault="006D51CF" w:rsidP="006D51CF">
      <w:pPr>
        <w:rPr>
          <w:lang w:val="es-ES"/>
        </w:rPr>
      </w:pPr>
      <w:r w:rsidRPr="00A61EDF">
        <w:rPr>
          <w:lang w:val="es-ES"/>
        </w:rPr>
        <w:t xml:space="preserve">En 2025 la BR continuó manteniendo el </w:t>
      </w:r>
      <w:r w:rsidRPr="00956FC6">
        <w:rPr>
          <w:i/>
          <w:iCs/>
          <w:lang w:val="es-ES"/>
        </w:rPr>
        <w:t>software</w:t>
      </w:r>
      <w:r w:rsidRPr="00A61EDF">
        <w:rPr>
          <w:lang w:val="es-ES"/>
        </w:rPr>
        <w:t xml:space="preserve"> existente, al tiempo que trabajó en la implementación de nuevas versiones de</w:t>
      </w:r>
      <w:r>
        <w:rPr>
          <w:lang w:val="es-ES"/>
        </w:rPr>
        <w:t xml:space="preserve"> aplicaciones de </w:t>
      </w:r>
      <w:r w:rsidRPr="00956FC6">
        <w:rPr>
          <w:i/>
          <w:iCs/>
          <w:lang w:val="es-ES"/>
        </w:rPr>
        <w:t>software</w:t>
      </w:r>
      <w:r>
        <w:rPr>
          <w:lang w:val="es-ES"/>
        </w:rPr>
        <w:t xml:space="preserve"> fundamentales. </w:t>
      </w:r>
      <w:r w:rsidRPr="00A61EDF">
        <w:rPr>
          <w:lang w:val="es-ES"/>
        </w:rPr>
        <w:t>Este esfuerzo paralelo es tanto una necesidad, dadas las exigencias operacionales, como la razón por la que ciertos proyectos de modernización siguen en curso.</w:t>
      </w:r>
    </w:p>
    <w:p w14:paraId="2252343B" w14:textId="77777777" w:rsidR="006D51CF" w:rsidRPr="008C3006" w:rsidRDefault="006D51CF" w:rsidP="006D51CF">
      <w:pPr>
        <w:pStyle w:val="Heading3"/>
        <w:rPr>
          <w:lang w:val="es-ES"/>
        </w:rPr>
      </w:pPr>
      <w:bookmarkStart w:id="76" w:name="_Toc222308695"/>
      <w:bookmarkStart w:id="77" w:name="_Toc222843164"/>
      <w:r w:rsidRPr="008C3006">
        <w:rPr>
          <w:lang w:val="es-ES"/>
        </w:rPr>
        <w:t>7.2.3</w:t>
      </w:r>
      <w:r w:rsidRPr="008C3006">
        <w:rPr>
          <w:lang w:val="es-ES"/>
        </w:rPr>
        <w:tab/>
        <w:t>Avances en la consecución de los obje</w:t>
      </w:r>
      <w:r>
        <w:rPr>
          <w:lang w:val="es-ES"/>
        </w:rPr>
        <w:t>t</w:t>
      </w:r>
      <w:r w:rsidRPr="008C3006">
        <w:rPr>
          <w:lang w:val="es-ES"/>
        </w:rPr>
        <w:t xml:space="preserve">ivos de la Fase </w:t>
      </w:r>
      <w:r>
        <w:rPr>
          <w:lang w:val="es-ES"/>
        </w:rPr>
        <w:t>2 de la hoja de ruta</w:t>
      </w:r>
      <w:bookmarkEnd w:id="76"/>
      <w:bookmarkEnd w:id="77"/>
    </w:p>
    <w:p w14:paraId="46AA90A1" w14:textId="5684D326" w:rsidR="006D51CF" w:rsidRPr="008C3006" w:rsidRDefault="006D51CF" w:rsidP="006D51CF">
      <w:pPr>
        <w:pStyle w:val="Heading4"/>
        <w:rPr>
          <w:lang w:val="es-ES"/>
        </w:rPr>
      </w:pPr>
      <w:r w:rsidRPr="008C3006">
        <w:rPr>
          <w:lang w:val="es-ES"/>
        </w:rPr>
        <w:t>7.2.3.1</w:t>
      </w:r>
      <w:r w:rsidRPr="008C3006">
        <w:rPr>
          <w:lang w:val="es-ES"/>
        </w:rPr>
        <w:tab/>
        <w:t>Reescritura del software existente para los exámenes técn</w:t>
      </w:r>
      <w:r>
        <w:rPr>
          <w:lang w:val="es-ES"/>
        </w:rPr>
        <w:t>icos</w:t>
      </w:r>
    </w:p>
    <w:p w14:paraId="187B381F" w14:textId="59503178" w:rsidR="006D51CF" w:rsidRPr="008C3006" w:rsidRDefault="00942117" w:rsidP="00942117">
      <w:pPr>
        <w:pStyle w:val="enumlev1"/>
        <w:rPr>
          <w:lang w:val="es-ES"/>
        </w:rPr>
      </w:pPr>
      <w:r w:rsidRPr="008C3006">
        <w:rPr>
          <w:lang w:val="es-ES"/>
        </w:rPr>
        <w:t>–</w:t>
      </w:r>
      <w:r>
        <w:rPr>
          <w:lang w:val="es-ES"/>
        </w:rPr>
        <w:tab/>
      </w:r>
      <w:r w:rsidR="006D51CF" w:rsidRPr="008C3006">
        <w:rPr>
          <w:lang w:val="es-ES"/>
        </w:rPr>
        <w:t xml:space="preserve">Migración de los componentes de GIMS Fortran: </w:t>
      </w:r>
      <w:r w:rsidR="006D51CF">
        <w:rPr>
          <w:lang w:val="es-ES"/>
        </w:rPr>
        <w:t>la BR está estudiando nuevos enfoques para migrar el código existente mediante IA, tanto con la asistencia de consultores con experiencia en la migración de código heredado por IA como invirtiendo en el desarrollo de esas competencias y capacidades de IA a nivel interno</w:t>
      </w:r>
      <w:r w:rsidR="006D51CF" w:rsidRPr="008C3006">
        <w:rPr>
          <w:lang w:val="es-ES"/>
        </w:rPr>
        <w:t>.</w:t>
      </w:r>
    </w:p>
    <w:p w14:paraId="4A24C99D" w14:textId="212037E8" w:rsidR="006D51CF" w:rsidRPr="008C3006" w:rsidRDefault="00942117" w:rsidP="00942117">
      <w:pPr>
        <w:pStyle w:val="enumlev1"/>
        <w:rPr>
          <w:lang w:val="es-ES"/>
        </w:rPr>
      </w:pPr>
      <w:r w:rsidRPr="008C3006">
        <w:rPr>
          <w:lang w:val="es-ES"/>
        </w:rPr>
        <w:t>–</w:t>
      </w:r>
      <w:r>
        <w:rPr>
          <w:lang w:val="es-ES"/>
        </w:rPr>
        <w:tab/>
      </w:r>
      <w:r w:rsidR="006D51CF" w:rsidRPr="008C3006">
        <w:rPr>
          <w:lang w:val="es-ES"/>
        </w:rPr>
        <w:t xml:space="preserve">Mspace – Migración de los componentes de Visual Basic 6 a .NET: </w:t>
      </w:r>
      <w:r w:rsidR="006D51CF">
        <w:rPr>
          <w:lang w:val="es-ES"/>
        </w:rPr>
        <w:t>en curso</w:t>
      </w:r>
      <w:r w:rsidR="006D51CF" w:rsidRPr="008C3006">
        <w:rPr>
          <w:lang w:val="es-ES"/>
        </w:rPr>
        <w:t>.</w:t>
      </w:r>
    </w:p>
    <w:p w14:paraId="00576966" w14:textId="6C0D8D6E" w:rsidR="006D51CF" w:rsidRPr="008C3006" w:rsidRDefault="006D51CF" w:rsidP="006D51CF">
      <w:pPr>
        <w:pStyle w:val="Heading4"/>
        <w:rPr>
          <w:lang w:val="es-ES"/>
        </w:rPr>
      </w:pPr>
      <w:r w:rsidRPr="008C3006">
        <w:rPr>
          <w:lang w:val="es-ES"/>
        </w:rPr>
        <w:lastRenderedPageBreak/>
        <w:t>7.2.3.2</w:t>
      </w:r>
      <w:r w:rsidRPr="008C3006">
        <w:rPr>
          <w:lang w:val="es-ES"/>
        </w:rPr>
        <w:tab/>
        <w:t>Diseño y desarrollo del sistema de información</w:t>
      </w:r>
      <w:r>
        <w:rPr>
          <w:lang w:val="es-ES"/>
        </w:rPr>
        <w:t xml:space="preserve"> espacial de la BR</w:t>
      </w:r>
      <w:r w:rsidRPr="008C3006">
        <w:rPr>
          <w:lang w:val="es-ES"/>
        </w:rPr>
        <w:t xml:space="preserve"> (BR SIS)</w:t>
      </w:r>
    </w:p>
    <w:p w14:paraId="34732DF8" w14:textId="5EF7A01B" w:rsidR="006D51CF" w:rsidRPr="008C3006" w:rsidRDefault="00942117" w:rsidP="00942117">
      <w:pPr>
        <w:pStyle w:val="enumlev1"/>
        <w:rPr>
          <w:lang w:val="es-ES"/>
        </w:rPr>
      </w:pPr>
      <w:r w:rsidRPr="008C3006">
        <w:rPr>
          <w:lang w:val="es-ES"/>
        </w:rPr>
        <w:t>–</w:t>
      </w:r>
      <w:r>
        <w:rPr>
          <w:lang w:val="es-ES"/>
        </w:rPr>
        <w:tab/>
      </w:r>
      <w:r w:rsidR="006D51CF" w:rsidRPr="008C3006">
        <w:rPr>
          <w:lang w:val="es-ES"/>
        </w:rPr>
        <w:t>Reescritura de la versión SpaceCap en Visual Basic 6: en curso. La migración de la funcionalidad SpaceCap al módulo BRSIS-Capture s</w:t>
      </w:r>
      <w:r w:rsidR="006D51CF">
        <w:rPr>
          <w:lang w:val="es-ES"/>
        </w:rPr>
        <w:t>e prolongará a lo largo de 2026 con el objetivo de presentar una versión de demostración en el SMR</w:t>
      </w:r>
      <w:r w:rsidR="006D51CF" w:rsidRPr="008C3006">
        <w:rPr>
          <w:lang w:val="es-ES"/>
        </w:rPr>
        <w:t>-26.</w:t>
      </w:r>
    </w:p>
    <w:p w14:paraId="41B75A9D" w14:textId="5CC6226B" w:rsidR="006D51CF" w:rsidRPr="008C3006" w:rsidRDefault="00942117" w:rsidP="00942117">
      <w:pPr>
        <w:pStyle w:val="enumlev1"/>
        <w:tabs>
          <w:tab w:val="left" w:pos="4536"/>
        </w:tabs>
        <w:rPr>
          <w:lang w:val="es-ES"/>
        </w:rPr>
      </w:pPr>
      <w:r w:rsidRPr="008C3006">
        <w:rPr>
          <w:lang w:val="es-ES"/>
        </w:rPr>
        <w:t>–</w:t>
      </w:r>
      <w:r>
        <w:rPr>
          <w:lang w:val="es-ES"/>
        </w:rPr>
        <w:tab/>
      </w:r>
      <w:r w:rsidR="006D51CF" w:rsidRPr="008C3006">
        <w:rPr>
          <w:lang w:val="es-ES"/>
        </w:rPr>
        <w:t xml:space="preserve">Reescritura de la versión SpaceCom en Visual Basic 6: en curso. </w:t>
      </w:r>
      <w:r w:rsidR="006D51CF">
        <w:rPr>
          <w:lang w:val="es-ES"/>
        </w:rPr>
        <w:t>Este punto se aborda más detalladamente en la sección</w:t>
      </w:r>
      <w:r w:rsidR="006D51CF" w:rsidRPr="008C3006">
        <w:rPr>
          <w:lang w:val="es-ES"/>
        </w:rPr>
        <w:t xml:space="preserve"> </w:t>
      </w:r>
      <w:r w:rsidR="006D51CF" w:rsidRPr="00717EF7">
        <w:fldChar w:fldCharType="begin"/>
      </w:r>
      <w:r w:rsidR="006D51CF" w:rsidRPr="008C3006">
        <w:rPr>
          <w:lang w:val="es-ES"/>
        </w:rPr>
        <w:instrText xml:space="preserve"> REF _Ref222156293  \* MERGEFORMAT </w:instrText>
      </w:r>
      <w:r w:rsidR="006D51CF" w:rsidRPr="00717EF7">
        <w:fldChar w:fldCharType="separate"/>
      </w:r>
      <w:r w:rsidR="006D51CF" w:rsidRPr="008C3006">
        <w:rPr>
          <w:lang w:val="es-ES"/>
        </w:rPr>
        <w:t xml:space="preserve">7.2.6.4 </w:t>
      </w:r>
      <w:r w:rsidR="006D51CF" w:rsidRPr="008C3006">
        <w:rPr>
          <w:lang w:val="es-ES"/>
        </w:rPr>
        <w:tab/>
      </w:r>
      <w:r w:rsidR="006D51CF">
        <w:rPr>
          <w:lang w:val="es-ES"/>
        </w:rPr>
        <w:t>Sistema de presentación de comentarios en línea</w:t>
      </w:r>
      <w:r w:rsidR="006D51CF" w:rsidRPr="00717EF7">
        <w:fldChar w:fldCharType="end"/>
      </w:r>
      <w:r w:rsidR="006D51CF" w:rsidRPr="008C3006">
        <w:rPr>
          <w:lang w:val="es-ES"/>
        </w:rPr>
        <w:t xml:space="preserve">. </w:t>
      </w:r>
    </w:p>
    <w:p w14:paraId="321C00E4" w14:textId="38235151" w:rsidR="006D51CF" w:rsidRPr="008C3006" w:rsidRDefault="00942117" w:rsidP="00942117">
      <w:pPr>
        <w:pStyle w:val="enumlev1"/>
        <w:rPr>
          <w:lang w:val="es-ES"/>
        </w:rPr>
      </w:pPr>
      <w:r w:rsidRPr="008C3006">
        <w:rPr>
          <w:lang w:val="es-ES"/>
        </w:rPr>
        <w:t>–</w:t>
      </w:r>
      <w:r>
        <w:rPr>
          <w:lang w:val="es-ES"/>
        </w:rPr>
        <w:tab/>
      </w:r>
      <w:r w:rsidR="006D51CF" w:rsidRPr="008C3006">
        <w:rPr>
          <w:lang w:val="es-ES"/>
        </w:rPr>
        <w:t>Migración de SRS MDB a una tecnología má</w:t>
      </w:r>
      <w:r w:rsidR="006D51CF">
        <w:rPr>
          <w:lang w:val="es-ES"/>
        </w:rPr>
        <w:t xml:space="preserve">s moderna: en curso. </w:t>
      </w:r>
      <w:r w:rsidR="006D51CF" w:rsidRPr="008C3006">
        <w:rPr>
          <w:lang w:val="es-ES"/>
        </w:rPr>
        <w:t xml:space="preserve">El </w:t>
      </w:r>
      <w:r w:rsidR="006D51CF" w:rsidRPr="00942117">
        <w:rPr>
          <w:i/>
          <w:iCs/>
          <w:lang w:val="es-ES"/>
        </w:rPr>
        <w:t>software</w:t>
      </w:r>
      <w:r w:rsidR="006D51CF" w:rsidRPr="008C3006">
        <w:rPr>
          <w:lang w:val="es-ES"/>
        </w:rPr>
        <w:t xml:space="preserve"> de examen FOT puede conectarse a la base de da</w:t>
      </w:r>
      <w:r w:rsidR="006D51CF">
        <w:rPr>
          <w:lang w:val="es-ES"/>
        </w:rPr>
        <w:t>tos IFIC terrenal, en formato</w:t>
      </w:r>
      <w:r w:rsidR="006D51CF" w:rsidRPr="008C3006">
        <w:rPr>
          <w:lang w:val="es-ES"/>
        </w:rPr>
        <w:t xml:space="preserve"> SQLite,</w:t>
      </w:r>
      <w:r w:rsidR="006D51CF">
        <w:rPr>
          <w:lang w:val="es-ES"/>
        </w:rPr>
        <w:t xml:space="preserve"> que también soportan algunas bases de datos de resultados de exámenes. </w:t>
      </w:r>
      <w:r w:rsidR="006D51CF" w:rsidRPr="008C3006">
        <w:rPr>
          <w:lang w:val="es-ES"/>
        </w:rPr>
        <w:t>Una vez efectuada la migración de la</w:t>
      </w:r>
      <w:r w:rsidR="006D51CF">
        <w:rPr>
          <w:lang w:val="es-ES"/>
        </w:rPr>
        <w:t xml:space="preserve">s aplicaciones de </w:t>
      </w:r>
      <w:r w:rsidR="006D51CF" w:rsidRPr="00956FC6">
        <w:rPr>
          <w:i/>
          <w:iCs/>
          <w:lang w:val="es-ES"/>
        </w:rPr>
        <w:t>software</w:t>
      </w:r>
      <w:r w:rsidR="006D51CF">
        <w:rPr>
          <w:lang w:val="es-ES"/>
        </w:rPr>
        <w:t xml:space="preserve"> espacial de la BR a</w:t>
      </w:r>
      <w:r w:rsidR="006D51CF" w:rsidRPr="008C3006">
        <w:rPr>
          <w:lang w:val="es-ES"/>
        </w:rPr>
        <w:t xml:space="preserve"> SQLite, q</w:t>
      </w:r>
      <w:r w:rsidR="006D51CF">
        <w:rPr>
          <w:lang w:val="es-ES"/>
        </w:rPr>
        <w:t>uedará garantizada la retrocompatibilidad con el formato</w:t>
      </w:r>
      <w:r w:rsidR="006D51CF" w:rsidRPr="008C3006">
        <w:rPr>
          <w:lang w:val="es-ES"/>
        </w:rPr>
        <w:t xml:space="preserve"> MDB </w:t>
      </w:r>
      <w:r w:rsidR="006D51CF">
        <w:rPr>
          <w:lang w:val="es-ES"/>
        </w:rPr>
        <w:t>y las herramientas de conversión conexas</w:t>
      </w:r>
      <w:r w:rsidR="006D51CF" w:rsidRPr="008C3006">
        <w:rPr>
          <w:lang w:val="es-ES"/>
        </w:rPr>
        <w:t>.</w:t>
      </w:r>
    </w:p>
    <w:p w14:paraId="775B0C15" w14:textId="3DF3603A" w:rsidR="006D51CF" w:rsidRPr="008C3006" w:rsidRDefault="00942117" w:rsidP="00942117">
      <w:pPr>
        <w:pStyle w:val="enumlev1"/>
        <w:rPr>
          <w:lang w:val="es-ES"/>
        </w:rPr>
      </w:pPr>
      <w:r w:rsidRPr="008C3006">
        <w:rPr>
          <w:lang w:val="es-ES"/>
        </w:rPr>
        <w:t>–</w:t>
      </w:r>
      <w:r>
        <w:rPr>
          <w:lang w:val="es-ES"/>
        </w:rPr>
        <w:tab/>
      </w:r>
      <w:r w:rsidR="006D51CF" w:rsidRPr="008C3006">
        <w:rPr>
          <w:lang w:val="es-ES"/>
        </w:rPr>
        <w:t xml:space="preserve">Examen de SNTrack: en curso. </w:t>
      </w:r>
      <w:r w:rsidR="006D51CF" w:rsidRPr="004C1106">
        <w:rPr>
          <w:lang w:val="es-ES"/>
        </w:rPr>
        <w:t xml:space="preserve">Ongoing. </w:t>
      </w:r>
      <w:r w:rsidR="006D51CF" w:rsidRPr="008C3006">
        <w:rPr>
          <w:lang w:val="es-ES"/>
        </w:rPr>
        <w:t>SNTrack se reemplazará gradualmente por un sistema de información de gestión espacial, que complementará la funcionalidad de administración del sistema e-Submissions.</w:t>
      </w:r>
    </w:p>
    <w:p w14:paraId="7AEB78FD" w14:textId="77777777" w:rsidR="006D51CF" w:rsidRPr="008C3006" w:rsidRDefault="006D51CF" w:rsidP="006D51CF">
      <w:pPr>
        <w:pStyle w:val="Heading3"/>
        <w:rPr>
          <w:lang w:val="es-ES"/>
        </w:rPr>
      </w:pPr>
      <w:bookmarkStart w:id="78" w:name="_Toc222308696"/>
      <w:bookmarkStart w:id="79" w:name="_Toc222843165"/>
      <w:r w:rsidRPr="008C3006">
        <w:rPr>
          <w:lang w:val="es-ES"/>
        </w:rPr>
        <w:t>7.2.4</w:t>
      </w:r>
      <w:r w:rsidRPr="008C3006">
        <w:rPr>
          <w:lang w:val="es-ES"/>
        </w:rPr>
        <w:tab/>
        <w:t xml:space="preserve">Avances en la consecución de los objetivos de la Fase </w:t>
      </w:r>
      <w:r>
        <w:rPr>
          <w:lang w:val="es-ES"/>
        </w:rPr>
        <w:t>3 de la hoja de ruta</w:t>
      </w:r>
      <w:bookmarkEnd w:id="78"/>
      <w:bookmarkEnd w:id="79"/>
    </w:p>
    <w:p w14:paraId="368D6963" w14:textId="77777777" w:rsidR="006D51CF" w:rsidRPr="008C3006" w:rsidRDefault="006D51CF" w:rsidP="006D51CF">
      <w:pPr>
        <w:rPr>
          <w:lang w:val="es-ES"/>
        </w:rPr>
      </w:pPr>
      <w:r w:rsidRPr="008C3006">
        <w:rPr>
          <w:lang w:val="es-ES"/>
        </w:rPr>
        <w:t>El trabajo realizado durante las fases anteriores, así como las opciones tecnológicas y de diseño adoptadas, constituyen la base para finalizar de forma satisfactoria la Fase 3, que se desarrollará como sigue:</w:t>
      </w:r>
    </w:p>
    <w:p w14:paraId="6A10CEF5" w14:textId="5B453AA9" w:rsidR="006D51CF" w:rsidRPr="008C3006" w:rsidRDefault="00942117" w:rsidP="00942117">
      <w:pPr>
        <w:pStyle w:val="enumlev1"/>
        <w:rPr>
          <w:lang w:val="es-ES"/>
        </w:rPr>
      </w:pPr>
      <w:r w:rsidRPr="008C3006">
        <w:rPr>
          <w:lang w:val="es-ES"/>
        </w:rPr>
        <w:t>–</w:t>
      </w:r>
      <w:r>
        <w:rPr>
          <w:lang w:val="es-ES"/>
        </w:rPr>
        <w:tab/>
      </w:r>
      <w:r w:rsidR="006D51CF" w:rsidRPr="008C3006">
        <w:rPr>
          <w:lang w:val="es-ES"/>
        </w:rPr>
        <w:t>El rediseño de la arquitectura, conservando la equivalencia de los datos, pero con el objetivo de eliminar ciertas redundancias, se entregará como v10.5 a principios de 2027, en un punto intermedio entre la implementación de las decisiones de la CRM-23 y la CMR-27, a fin de no modificar la arquitectura de la base de datos con excesiva frecuencia.</w:t>
      </w:r>
    </w:p>
    <w:p w14:paraId="21E07E99" w14:textId="09E84D79" w:rsidR="006D51CF" w:rsidRPr="008C3006" w:rsidRDefault="00942117" w:rsidP="00942117">
      <w:pPr>
        <w:pStyle w:val="enumlev1"/>
        <w:rPr>
          <w:lang w:val="es-ES"/>
        </w:rPr>
      </w:pPr>
      <w:r w:rsidRPr="008C3006">
        <w:rPr>
          <w:lang w:val="es-ES"/>
        </w:rPr>
        <w:t>–</w:t>
      </w:r>
      <w:r>
        <w:rPr>
          <w:lang w:val="es-ES"/>
        </w:rPr>
        <w:tab/>
      </w:r>
      <w:r w:rsidR="006D51CF" w:rsidRPr="008C3006">
        <w:rPr>
          <w:lang w:val="es-ES"/>
        </w:rPr>
        <w:t xml:space="preserve">Las actividades relacionadas con la centralización y racionalización de la gestión de riesgos, la recuperación y la seguridad están en curso. </w:t>
      </w:r>
    </w:p>
    <w:p w14:paraId="3C657525" w14:textId="77777777" w:rsidR="006D51CF" w:rsidRPr="008C3006" w:rsidRDefault="006D51CF" w:rsidP="006D51CF">
      <w:pPr>
        <w:pStyle w:val="Heading3"/>
        <w:rPr>
          <w:lang w:val="es-ES"/>
        </w:rPr>
      </w:pPr>
      <w:bookmarkStart w:id="80" w:name="_Toc222308697"/>
      <w:bookmarkStart w:id="81" w:name="_Toc222843166"/>
      <w:r w:rsidRPr="008C3006">
        <w:rPr>
          <w:lang w:val="es-ES"/>
        </w:rPr>
        <w:t>7.2.5</w:t>
      </w:r>
      <w:r w:rsidRPr="008C3006">
        <w:rPr>
          <w:lang w:val="es-ES"/>
        </w:rPr>
        <w:tab/>
        <w:t xml:space="preserve">Actividades relacionadas con los </w:t>
      </w:r>
      <w:r>
        <w:rPr>
          <w:lang w:val="es-ES"/>
        </w:rPr>
        <w:t>servicios espaciales</w:t>
      </w:r>
      <w:bookmarkEnd w:id="80"/>
      <w:bookmarkEnd w:id="81"/>
    </w:p>
    <w:p w14:paraId="1B4BE3CF" w14:textId="56FB6245" w:rsidR="006D51CF" w:rsidRPr="00D01382" w:rsidRDefault="006D51CF" w:rsidP="006D51CF">
      <w:pPr>
        <w:rPr>
          <w:lang w:val="es-ES"/>
        </w:rPr>
      </w:pPr>
      <w:r w:rsidRPr="008C3006">
        <w:rPr>
          <w:lang w:val="es-ES"/>
        </w:rPr>
        <w:t>La Oficina tomó nota de que los Grupos de Trabajo del UIT-R solicitaban cada vez más a la Oficina que extrajera datos de las bases de datos de la BR (véase, por ejempl</w:t>
      </w:r>
      <w:r>
        <w:rPr>
          <w:lang w:val="es-ES"/>
        </w:rPr>
        <w:t>o, precedentes informes del Presidente del Grupo de Trabajo</w:t>
      </w:r>
      <w:r w:rsidRPr="008C3006">
        <w:rPr>
          <w:lang w:val="es-ES"/>
        </w:rPr>
        <w:t xml:space="preserve"> 4</w:t>
      </w:r>
      <w:r>
        <w:rPr>
          <w:lang w:val="es-ES"/>
        </w:rPr>
        <w:t>A del UIT-R</w:t>
      </w:r>
      <w:r w:rsidRPr="008C3006">
        <w:rPr>
          <w:lang w:val="es-ES"/>
        </w:rPr>
        <w:t>: Anex</w:t>
      </w:r>
      <w:r>
        <w:rPr>
          <w:lang w:val="es-ES"/>
        </w:rPr>
        <w:t>o</w:t>
      </w:r>
      <w:r w:rsidRPr="008C3006">
        <w:rPr>
          <w:lang w:val="es-ES"/>
        </w:rPr>
        <w:t xml:space="preserve"> 42 </w:t>
      </w:r>
      <w:r>
        <w:rPr>
          <w:lang w:val="es-ES"/>
        </w:rPr>
        <w:t>al</w:t>
      </w:r>
      <w:r w:rsidRPr="008C3006">
        <w:rPr>
          <w:lang w:val="es-ES"/>
        </w:rPr>
        <w:t xml:space="preserve"> Document</w:t>
      </w:r>
      <w:r>
        <w:rPr>
          <w:lang w:val="es-ES"/>
        </w:rPr>
        <w:t>o</w:t>
      </w:r>
      <w:r w:rsidRPr="008C3006">
        <w:rPr>
          <w:lang w:val="es-ES"/>
        </w:rPr>
        <w:t xml:space="preserve"> </w:t>
      </w:r>
      <w:hyperlink r:id="rId57" w:history="1">
        <w:r w:rsidRPr="008C3006">
          <w:rPr>
            <w:rStyle w:val="Hyperlink"/>
            <w:lang w:val="es-ES"/>
          </w:rPr>
          <w:t>4A/</w:t>
        </w:r>
        <w:r w:rsidRPr="008C3006">
          <w:rPr>
            <w:rStyle w:val="Hyperlink"/>
            <w:lang w:val="es-ES"/>
          </w:rPr>
          <w:t>3</w:t>
        </w:r>
        <w:r w:rsidRPr="008C3006">
          <w:rPr>
            <w:rStyle w:val="Hyperlink"/>
            <w:lang w:val="es-ES"/>
          </w:rPr>
          <w:t>43</w:t>
        </w:r>
      </w:hyperlink>
      <w:r w:rsidRPr="008C3006">
        <w:rPr>
          <w:lang w:val="es-ES"/>
        </w:rPr>
        <w:t xml:space="preserve"> o Anex</w:t>
      </w:r>
      <w:r>
        <w:rPr>
          <w:lang w:val="es-ES"/>
        </w:rPr>
        <w:t>o</w:t>
      </w:r>
      <w:r w:rsidRPr="008C3006">
        <w:rPr>
          <w:lang w:val="es-ES"/>
        </w:rPr>
        <w:t xml:space="preserve"> 61 </w:t>
      </w:r>
      <w:r>
        <w:rPr>
          <w:lang w:val="es-ES"/>
        </w:rPr>
        <w:t>al</w:t>
      </w:r>
      <w:r w:rsidRPr="008C3006">
        <w:rPr>
          <w:lang w:val="es-ES"/>
        </w:rPr>
        <w:t xml:space="preserve"> Document</w:t>
      </w:r>
      <w:r>
        <w:rPr>
          <w:lang w:val="es-ES"/>
        </w:rPr>
        <w:t>o</w:t>
      </w:r>
      <w:r w:rsidRPr="008C3006">
        <w:rPr>
          <w:lang w:val="es-ES"/>
        </w:rPr>
        <w:t xml:space="preserve"> </w:t>
      </w:r>
      <w:hyperlink r:id="rId58" w:history="1">
        <w:r w:rsidRPr="008C3006">
          <w:rPr>
            <w:rStyle w:val="Hyperlink"/>
            <w:lang w:val="es-ES"/>
          </w:rPr>
          <w:t>4A/8</w:t>
        </w:r>
        <w:r w:rsidRPr="008C3006">
          <w:rPr>
            <w:rStyle w:val="Hyperlink"/>
            <w:lang w:val="es-ES"/>
          </w:rPr>
          <w:t>3</w:t>
        </w:r>
        <w:r w:rsidRPr="008C3006">
          <w:rPr>
            <w:rStyle w:val="Hyperlink"/>
            <w:lang w:val="es-ES"/>
          </w:rPr>
          <w:t>0</w:t>
        </w:r>
      </w:hyperlink>
      <w:r w:rsidRPr="008C3006">
        <w:rPr>
          <w:lang w:val="es-ES"/>
        </w:rPr>
        <w:t xml:space="preserve">) </w:t>
      </w:r>
      <w:r>
        <w:rPr>
          <w:lang w:val="es-ES"/>
        </w:rPr>
        <w:t>, si bien disponen de herramientas a tal efecto, como</w:t>
      </w:r>
      <w:r w:rsidRPr="008C3006">
        <w:rPr>
          <w:lang w:val="es-ES"/>
        </w:rPr>
        <w:t xml:space="preserve"> BRSIS-Query o Space Explorer</w:t>
      </w:r>
      <w:r>
        <w:rPr>
          <w:lang w:val="es-ES"/>
        </w:rPr>
        <w:t xml:space="preserve">. </w:t>
      </w:r>
      <w:r w:rsidRPr="00D01382">
        <w:rPr>
          <w:lang w:val="es-ES"/>
        </w:rPr>
        <w:t xml:space="preserve">Habida cuenta de los recursos que necesita la Oficina para desarrollar dichas herramientas, así como de las actuales limitaciones presupuestarias, se invita a las Administraciones a indicar a la Oficina si consideran necesario que dichas herramientas de búsqueda sigan desarrollándose. </w:t>
      </w:r>
    </w:p>
    <w:p w14:paraId="496F4E18" w14:textId="77777777" w:rsidR="006D51CF" w:rsidRPr="00942117" w:rsidRDefault="006D51CF" w:rsidP="006D51CF">
      <w:pPr>
        <w:pStyle w:val="Heading3"/>
        <w:rPr>
          <w:lang w:val="es-ES"/>
        </w:rPr>
      </w:pPr>
      <w:bookmarkStart w:id="82" w:name="_Toc222308698"/>
      <w:bookmarkStart w:id="83" w:name="_Toc222843167"/>
      <w:r w:rsidRPr="00D01382">
        <w:rPr>
          <w:lang w:val="es-ES"/>
        </w:rPr>
        <w:t>7.2.6</w:t>
      </w:r>
      <w:r w:rsidRPr="00D01382">
        <w:rPr>
          <w:lang w:val="es-ES"/>
        </w:rPr>
        <w:tab/>
        <w:t>Aplicación de la Resolución 55 (Rev.CMR-23</w:t>
      </w:r>
      <w:r w:rsidRPr="00942117">
        <w:rPr>
          <w:lang w:val="es-ES"/>
        </w:rPr>
        <w:t>), Presentación electrónica de formularios de notificación para redes de satélites, estaciones terrenas, estaciones de radioastronomía e informes de interferencia perjudicial causada a servicios espaciales, y comunicaciones correspondientes</w:t>
      </w:r>
      <w:bookmarkEnd w:id="82"/>
      <w:bookmarkEnd w:id="83"/>
    </w:p>
    <w:p w14:paraId="4E13DD03" w14:textId="77777777" w:rsidR="006D51CF" w:rsidRPr="00D01382" w:rsidRDefault="006D51CF" w:rsidP="006D51CF">
      <w:pPr>
        <w:pStyle w:val="Heading4"/>
        <w:rPr>
          <w:lang w:val="es-ES"/>
        </w:rPr>
      </w:pPr>
      <w:r w:rsidRPr="00D01382">
        <w:rPr>
          <w:lang w:val="es-ES"/>
        </w:rPr>
        <w:t>7.2.6.1</w:t>
      </w:r>
      <w:r w:rsidRPr="00D01382">
        <w:rPr>
          <w:lang w:val="es-ES"/>
        </w:rPr>
        <w:tab/>
        <w:t xml:space="preserve">Sistema de </w:t>
      </w:r>
      <w:r>
        <w:rPr>
          <w:lang w:val="es-ES"/>
        </w:rPr>
        <w:t>presentación electrónica (</w:t>
      </w:r>
      <w:r w:rsidRPr="00D01382">
        <w:rPr>
          <w:lang w:val="es-ES"/>
        </w:rPr>
        <w:t>e-Submission</w:t>
      </w:r>
      <w:r>
        <w:rPr>
          <w:lang w:val="es-ES"/>
        </w:rPr>
        <w:t>)</w:t>
      </w:r>
    </w:p>
    <w:p w14:paraId="6B12A450" w14:textId="77777777" w:rsidR="006D51CF" w:rsidRPr="00D01382" w:rsidRDefault="006D51CF" w:rsidP="006D51CF">
      <w:pPr>
        <w:rPr>
          <w:rFonts w:eastAsia="Calibri"/>
          <w:lang w:val="es-ES"/>
        </w:rPr>
      </w:pPr>
      <w:r w:rsidRPr="00D01382">
        <w:rPr>
          <w:rFonts w:eastAsia="Calibri"/>
          <w:lang w:val="es-ES"/>
        </w:rPr>
        <w:t>El sistema e-Submission ha estado funcionando de forma fiable las 24 horas del día a lo largo de 2025, con el objetivo</w:t>
      </w:r>
      <w:r>
        <w:rPr>
          <w:rFonts w:eastAsia="Calibri"/>
          <w:lang w:val="es-ES"/>
        </w:rPr>
        <w:t xml:space="preserve"> de que las administraciones y empresas de explotación pudieran notificar sus redes de satélites. </w:t>
      </w:r>
      <w:r w:rsidRPr="00D01382">
        <w:rPr>
          <w:rFonts w:eastAsia="Calibri"/>
          <w:lang w:val="es-ES"/>
        </w:rPr>
        <w:t xml:space="preserve">El número de administraciones registradas ha aumentado de 156 a principios de 2025 a 157 en la fecha de redacción del </w:t>
      </w:r>
      <w:r>
        <w:rPr>
          <w:rFonts w:eastAsia="Calibri"/>
          <w:lang w:val="es-ES"/>
        </w:rPr>
        <w:t>presente informe</w:t>
      </w:r>
      <w:r w:rsidRPr="00D01382">
        <w:rPr>
          <w:rFonts w:eastAsia="Calibri"/>
          <w:lang w:val="es-ES"/>
        </w:rPr>
        <w:t>.</w:t>
      </w:r>
    </w:p>
    <w:p w14:paraId="4536844D" w14:textId="394D0C0F" w:rsidR="006D51CF" w:rsidRPr="00D01382" w:rsidRDefault="006D51CF" w:rsidP="006D51CF">
      <w:pPr>
        <w:rPr>
          <w:lang w:val="es-ES" w:eastAsia="ja-JP"/>
        </w:rPr>
      </w:pPr>
      <w:r w:rsidRPr="00D01382">
        <w:rPr>
          <w:lang w:val="es-ES" w:eastAsia="ja-JP"/>
        </w:rPr>
        <w:t>Conforme a lo indicado en la Carta Circular</w:t>
      </w:r>
      <w:r w:rsidRPr="00D01382">
        <w:rPr>
          <w:rFonts w:eastAsia="Calibri"/>
          <w:lang w:val="es-ES"/>
        </w:rPr>
        <w:t xml:space="preserve"> </w:t>
      </w:r>
      <w:hyperlink r:id="rId59" w:history="1">
        <w:r w:rsidRPr="00D01382">
          <w:rPr>
            <w:rStyle w:val="Hyperlink"/>
            <w:rFonts w:eastAsia="Calibri"/>
            <w:lang w:val="es-ES"/>
          </w:rPr>
          <w:t>CR/</w:t>
        </w:r>
        <w:r w:rsidRPr="00D01382">
          <w:rPr>
            <w:rStyle w:val="Hyperlink"/>
            <w:lang w:val="es-ES" w:eastAsia="ja-JP"/>
          </w:rPr>
          <w:t>5</w:t>
        </w:r>
        <w:r w:rsidRPr="00D01382">
          <w:rPr>
            <w:rStyle w:val="Hyperlink"/>
            <w:lang w:val="es-ES" w:eastAsia="ja-JP"/>
          </w:rPr>
          <w:t>1</w:t>
        </w:r>
        <w:r w:rsidRPr="00D01382">
          <w:rPr>
            <w:rStyle w:val="Hyperlink"/>
            <w:lang w:val="es-ES" w:eastAsia="ja-JP"/>
          </w:rPr>
          <w:t>1</w:t>
        </w:r>
      </w:hyperlink>
      <w:r w:rsidRPr="00D01382">
        <w:rPr>
          <w:rFonts w:eastAsia="Calibri"/>
          <w:lang w:val="es-ES"/>
        </w:rPr>
        <w:t>, el sistema e-Submission acepta la presentación oficial de</w:t>
      </w:r>
      <w:r>
        <w:rPr>
          <w:rFonts w:eastAsia="Calibri"/>
          <w:lang w:val="es-ES"/>
        </w:rPr>
        <w:t xml:space="preserve"> notificaciones en formato</w:t>
      </w:r>
      <w:r w:rsidRPr="00D01382">
        <w:rPr>
          <w:rFonts w:eastAsia="Calibri"/>
          <w:lang w:val="es-ES"/>
        </w:rPr>
        <w:t xml:space="preserve"> SNS </w:t>
      </w:r>
      <w:r w:rsidRPr="00D01382">
        <w:rPr>
          <w:lang w:val="es-ES" w:eastAsia="ja-JP"/>
        </w:rPr>
        <w:t>V10</w:t>
      </w:r>
      <w:r w:rsidRPr="00D01382">
        <w:rPr>
          <w:rFonts w:eastAsia="Calibri"/>
          <w:lang w:val="es-ES"/>
        </w:rPr>
        <w:t xml:space="preserve"> </w:t>
      </w:r>
      <w:r>
        <w:rPr>
          <w:rFonts w:eastAsia="Calibri"/>
          <w:lang w:val="es-ES"/>
        </w:rPr>
        <w:t>desde el 1 de enero de</w:t>
      </w:r>
      <w:r w:rsidRPr="00D01382">
        <w:rPr>
          <w:lang w:val="es-ES" w:eastAsia="ja-JP"/>
        </w:rPr>
        <w:t xml:space="preserve"> 2025</w:t>
      </w:r>
      <w:r w:rsidRPr="00D01382">
        <w:rPr>
          <w:rFonts w:eastAsia="Calibri"/>
          <w:lang w:val="es-ES"/>
        </w:rPr>
        <w:t>.</w:t>
      </w:r>
      <w:r w:rsidRPr="00D01382">
        <w:rPr>
          <w:rFonts w:hint="eastAsia"/>
          <w:lang w:val="es-ES" w:eastAsia="ja-JP"/>
        </w:rPr>
        <w:t xml:space="preserve"> </w:t>
      </w:r>
      <w:r w:rsidRPr="00D01382">
        <w:rPr>
          <w:lang w:val="es-ES" w:eastAsia="ja-JP"/>
        </w:rPr>
        <w:t xml:space="preserve">Además, </w:t>
      </w:r>
      <w:r>
        <w:rPr>
          <w:lang w:val="es-ES" w:eastAsia="ja-JP"/>
        </w:rPr>
        <w:t xml:space="preserve">a lo largo de 2025 </w:t>
      </w:r>
      <w:r w:rsidRPr="00D01382">
        <w:rPr>
          <w:lang w:val="es-ES" w:eastAsia="ja-JP"/>
        </w:rPr>
        <w:lastRenderedPageBreak/>
        <w:t xml:space="preserve">la Oficina </w:t>
      </w:r>
      <w:r>
        <w:rPr>
          <w:lang w:val="es-ES" w:eastAsia="ja-JP"/>
        </w:rPr>
        <w:t xml:space="preserve">ha </w:t>
      </w:r>
      <w:r w:rsidRPr="00D01382">
        <w:rPr>
          <w:lang w:val="es-ES" w:eastAsia="ja-JP"/>
        </w:rPr>
        <w:t>actualiz</w:t>
      </w:r>
      <w:r>
        <w:rPr>
          <w:lang w:val="es-ES" w:eastAsia="ja-JP"/>
        </w:rPr>
        <w:t>ado</w:t>
      </w:r>
      <w:r w:rsidRPr="00D01382">
        <w:rPr>
          <w:lang w:val="es-ES" w:eastAsia="ja-JP"/>
        </w:rPr>
        <w:t xml:space="preserve"> el sistema para mejorar su estabilidad y re</w:t>
      </w:r>
      <w:r>
        <w:rPr>
          <w:lang w:val="es-ES" w:eastAsia="ja-JP"/>
        </w:rPr>
        <w:t xml:space="preserve">ndimiento. </w:t>
      </w:r>
      <w:r w:rsidRPr="00D01382">
        <w:rPr>
          <w:lang w:val="es-ES" w:eastAsia="ja-JP"/>
        </w:rPr>
        <w:t>Por otra parte, la Oficina actualizó el sistema el 8 de diciembre de 2025 pa</w:t>
      </w:r>
      <w:r>
        <w:rPr>
          <w:lang w:val="es-ES" w:eastAsia="ja-JP"/>
        </w:rPr>
        <w:t>ra que las administraciones pudiesen presentar voluntariamente explicaciones cuando en la fase de notificación hubiera modificaciones de las características técnicas inicialmente publicadas en virtud del número</w:t>
      </w:r>
      <w:r w:rsidRPr="00D01382">
        <w:rPr>
          <w:lang w:val="es-ES" w:eastAsia="ja-JP"/>
        </w:rPr>
        <w:t xml:space="preserve"> </w:t>
      </w:r>
      <w:r w:rsidRPr="00D01382">
        <w:rPr>
          <w:b/>
          <w:bCs/>
          <w:lang w:val="es-ES" w:eastAsia="ja-JP"/>
        </w:rPr>
        <w:t>9.2B</w:t>
      </w:r>
      <w:r w:rsidRPr="00D01382">
        <w:rPr>
          <w:lang w:val="es-ES" w:eastAsia="ja-JP"/>
        </w:rPr>
        <w:t xml:space="preserve"> </w:t>
      </w:r>
      <w:r>
        <w:rPr>
          <w:lang w:val="es-ES" w:eastAsia="ja-JP"/>
        </w:rPr>
        <w:t xml:space="preserve">del RR </w:t>
      </w:r>
      <w:r w:rsidRPr="00D01382">
        <w:rPr>
          <w:rFonts w:hint="eastAsia"/>
          <w:lang w:val="es-ES" w:eastAsia="ja-JP"/>
        </w:rPr>
        <w:t>(API/A)</w:t>
      </w:r>
      <w:r w:rsidRPr="00D01382">
        <w:rPr>
          <w:lang w:val="es-ES" w:eastAsia="ja-JP"/>
        </w:rPr>
        <w:t xml:space="preserve"> </w:t>
      </w:r>
      <w:r>
        <w:rPr>
          <w:lang w:val="es-ES" w:eastAsia="ja-JP"/>
        </w:rPr>
        <w:t>a fin de facilitar la presentación por otras administraciones de sus observaciones en virtud del número</w:t>
      </w:r>
      <w:r w:rsidRPr="00D01382">
        <w:rPr>
          <w:lang w:val="es-ES" w:eastAsia="ja-JP"/>
        </w:rPr>
        <w:t xml:space="preserve"> </w:t>
      </w:r>
      <w:r w:rsidRPr="00D01382">
        <w:rPr>
          <w:b/>
          <w:bCs/>
          <w:lang w:val="es-ES" w:eastAsia="ja-JP"/>
        </w:rPr>
        <w:t>11.28.1</w:t>
      </w:r>
      <w:r>
        <w:rPr>
          <w:b/>
          <w:bCs/>
          <w:lang w:val="es-ES" w:eastAsia="ja-JP"/>
        </w:rPr>
        <w:t xml:space="preserve"> </w:t>
      </w:r>
      <w:r>
        <w:rPr>
          <w:lang w:val="es-ES" w:eastAsia="ja-JP"/>
        </w:rPr>
        <w:t>del RR</w:t>
      </w:r>
      <w:r w:rsidRPr="00D01382">
        <w:rPr>
          <w:rFonts w:hint="eastAsia"/>
          <w:lang w:val="es-ES" w:eastAsia="ja-JP"/>
        </w:rPr>
        <w:t>.</w:t>
      </w:r>
    </w:p>
    <w:p w14:paraId="577E65E6" w14:textId="77777777" w:rsidR="006D51CF" w:rsidRPr="00D01382" w:rsidRDefault="006D51CF" w:rsidP="006D51CF">
      <w:pPr>
        <w:rPr>
          <w:rFonts w:eastAsia="Calibri"/>
          <w:lang w:val="es-ES"/>
        </w:rPr>
      </w:pPr>
      <w:r w:rsidRPr="00D01382">
        <w:rPr>
          <w:rFonts w:eastAsia="Calibri"/>
          <w:lang w:val="es-ES"/>
        </w:rPr>
        <w:t>Con miras a facilitar el desarrollo y la puesta a prueba de esta herramienta, la Administración de Japón ha realizado una contribución financiera y ha puesto a disposición un experto en cuestiones técnicas y normativas de los servicios espaciales en la Sede de la UIT. La Oficina de Radiocomunicaciones reitera su agradecimiento a la Administración de Japón por su constante apoyo y por la asistencia prestada en el desarrollo de este proyecto.</w:t>
      </w:r>
    </w:p>
    <w:p w14:paraId="2717FFEC" w14:textId="77777777" w:rsidR="006D51CF" w:rsidRPr="00D01382" w:rsidRDefault="006D51CF" w:rsidP="006D51CF">
      <w:pPr>
        <w:pStyle w:val="Heading4"/>
        <w:rPr>
          <w:lang w:val="es-ES"/>
        </w:rPr>
      </w:pPr>
      <w:r w:rsidRPr="00D01382">
        <w:rPr>
          <w:lang w:val="es-ES"/>
        </w:rPr>
        <w:t>7.2.6.2</w:t>
      </w:r>
      <w:r w:rsidRPr="00D01382">
        <w:rPr>
          <w:lang w:val="es-ES"/>
        </w:rPr>
        <w:tab/>
        <w:t>Sistema de comun</w:t>
      </w:r>
      <w:r>
        <w:rPr>
          <w:lang w:val="es-ES"/>
        </w:rPr>
        <w:t>icaciones electrónicas (</w:t>
      </w:r>
      <w:r w:rsidRPr="00D01382">
        <w:rPr>
          <w:lang w:val="es-ES"/>
        </w:rPr>
        <w:t>e-Communications</w:t>
      </w:r>
      <w:r>
        <w:rPr>
          <w:lang w:val="es-ES"/>
        </w:rPr>
        <w:t>)</w:t>
      </w:r>
    </w:p>
    <w:p w14:paraId="5EC1D2A1" w14:textId="77777777" w:rsidR="006D51CF" w:rsidRPr="00D01382" w:rsidRDefault="006D51CF" w:rsidP="006D51CF">
      <w:pPr>
        <w:rPr>
          <w:rFonts w:eastAsia="Calibri"/>
          <w:lang w:val="es-ES"/>
        </w:rPr>
      </w:pPr>
      <w:r w:rsidRPr="00D01382">
        <w:rPr>
          <w:rFonts w:eastAsia="Calibri"/>
          <w:lang w:val="es-ES"/>
        </w:rPr>
        <w:t>El sistema e-Communications también ha estado funcionando de forma fiable las 24 horas del día a lo</w:t>
      </w:r>
      <w:r>
        <w:rPr>
          <w:rFonts w:eastAsia="Calibri"/>
          <w:lang w:val="es-ES"/>
        </w:rPr>
        <w:t xml:space="preserve"> largo de 2025 para que las administraciones pudieran enviar comunicaciones. </w:t>
      </w:r>
      <w:r w:rsidRPr="00D01382">
        <w:rPr>
          <w:rFonts w:eastAsia="Calibri"/>
          <w:lang w:val="es-ES"/>
        </w:rPr>
        <w:t xml:space="preserve">El número de administraciones registradas ha pasado de 163 a principios de 2025 a 164, de las </w:t>
      </w:r>
      <w:r>
        <w:rPr>
          <w:rFonts w:eastAsia="Calibri"/>
          <w:lang w:val="es-ES"/>
        </w:rPr>
        <w:t>cuales 138 habían enviado correspondencia a través del sistema en la fecha en que se redactó el presente informe</w:t>
      </w:r>
      <w:r w:rsidRPr="00D01382">
        <w:rPr>
          <w:rFonts w:eastAsia="Calibri"/>
          <w:lang w:val="es-ES"/>
        </w:rPr>
        <w:t>.</w:t>
      </w:r>
    </w:p>
    <w:p w14:paraId="4CBA58C8" w14:textId="77777777" w:rsidR="006D51CF" w:rsidRPr="007D3AE5" w:rsidRDefault="006D51CF" w:rsidP="006D51CF">
      <w:pPr>
        <w:rPr>
          <w:rFonts w:eastAsia="Calibri"/>
          <w:lang w:val="es-ES"/>
        </w:rPr>
      </w:pPr>
      <w:r w:rsidRPr="007D3AE5">
        <w:rPr>
          <w:lang w:val="es-ES" w:eastAsia="ja-JP"/>
        </w:rPr>
        <w:t>A lo largo de 2025 la Oficina ha actualizado el sistema pa</w:t>
      </w:r>
      <w:r>
        <w:rPr>
          <w:lang w:val="es-ES" w:eastAsia="ja-JP"/>
        </w:rPr>
        <w:t xml:space="preserve">ra mejorar su estabilidad y rendimiento. </w:t>
      </w:r>
      <w:r w:rsidRPr="007D3AE5">
        <w:rPr>
          <w:lang w:val="es-ES" w:eastAsia="ja-JP"/>
        </w:rPr>
        <w:t>Además, se están aportando otras mejoras para ofrecer funcionalida</w:t>
      </w:r>
      <w:r>
        <w:rPr>
          <w:lang w:val="es-ES" w:eastAsia="ja-JP"/>
        </w:rPr>
        <w:t>des adicionales, como que las empresas de explotación utilicen el sistema</w:t>
      </w:r>
      <w:r w:rsidRPr="007D3AE5">
        <w:rPr>
          <w:rFonts w:eastAsia="Calibri"/>
          <w:lang w:val="es-ES"/>
        </w:rPr>
        <w:t xml:space="preserve"> e-Communications.</w:t>
      </w:r>
      <w:r>
        <w:rPr>
          <w:rFonts w:eastAsia="Calibri"/>
          <w:lang w:val="es-ES"/>
        </w:rPr>
        <w:t xml:space="preserve"> Los usuarios de empresas de explotación sólo podrán comunicarse con sus administraciones notificantes, tal y cómo se solicitó en anteriores reuniones del GAR. Se prevé poner en marcha esta funcionalidad en el segundo trimestre de</w:t>
      </w:r>
      <w:r w:rsidRPr="007D3AE5">
        <w:rPr>
          <w:rFonts w:eastAsia="Calibri"/>
          <w:lang w:val="es-ES"/>
        </w:rPr>
        <w:t xml:space="preserve"> 202</w:t>
      </w:r>
      <w:r w:rsidRPr="007D3AE5">
        <w:rPr>
          <w:rFonts w:hint="eastAsia"/>
          <w:lang w:val="es-ES" w:eastAsia="ja-JP"/>
        </w:rPr>
        <w:t>6</w:t>
      </w:r>
      <w:r w:rsidRPr="007D3AE5">
        <w:rPr>
          <w:rFonts w:eastAsia="Calibri"/>
          <w:lang w:val="es-ES"/>
        </w:rPr>
        <w:t>.</w:t>
      </w:r>
    </w:p>
    <w:p w14:paraId="23ECD8E2" w14:textId="77777777" w:rsidR="006D51CF" w:rsidRPr="004C1106" w:rsidRDefault="006D51CF" w:rsidP="006D51CF">
      <w:pPr>
        <w:pStyle w:val="Heading4"/>
        <w:rPr>
          <w:lang w:val="es-ES"/>
        </w:rPr>
      </w:pPr>
      <w:r w:rsidRPr="004C1106">
        <w:rPr>
          <w:lang w:val="es-ES"/>
        </w:rPr>
        <w:t xml:space="preserve">7.2.6.3 </w:t>
      </w:r>
      <w:r w:rsidRPr="004C1106">
        <w:rPr>
          <w:lang w:val="es-ES"/>
        </w:rPr>
        <w:tab/>
      </w:r>
      <w:r w:rsidRPr="004C1106">
        <w:rPr>
          <w:rFonts w:eastAsia="Calibri"/>
          <w:lang w:val="es-ES"/>
        </w:rPr>
        <w:t>SIRRS</w:t>
      </w:r>
    </w:p>
    <w:p w14:paraId="504922FA" w14:textId="2A144F05" w:rsidR="006D51CF" w:rsidRPr="007D3AE5" w:rsidRDefault="006D51CF" w:rsidP="006D51CF">
      <w:pPr>
        <w:rPr>
          <w:rFonts w:eastAsia="Calibri"/>
          <w:lang w:val="es-ES"/>
        </w:rPr>
      </w:pPr>
      <w:r w:rsidRPr="007D3AE5">
        <w:rPr>
          <w:rFonts w:eastAsia="Calibri"/>
          <w:lang w:val="es-ES"/>
        </w:rPr>
        <w:t>Habida cuenta del creciente número de casos de interferencia deliberada y suplantación que afectan a receptores del servicio de radionavegació</w:t>
      </w:r>
      <w:r w:rsidR="00D0088D">
        <w:rPr>
          <w:rFonts w:eastAsia="Calibri"/>
          <w:lang w:val="es-ES"/>
        </w:rPr>
        <w:t>n</w:t>
      </w:r>
      <w:r w:rsidRPr="007D3AE5">
        <w:rPr>
          <w:rFonts w:eastAsia="Calibri"/>
          <w:lang w:val="es-ES"/>
        </w:rPr>
        <w:t xml:space="preserve"> por satélite a bordo de aeronaves y barcos, la UIT ha intensificado su cooperación con la OACI y la OMI, como se desprende de la Declaración conjunta firmada por los tres Secretarios Generales en marzo de 2025, y ha mejorado el sistema de presentación de informes de interferencia perjudicial a fin de evaluar y seguir de cerca la situación actual.</w:t>
      </w:r>
    </w:p>
    <w:p w14:paraId="20CFB899" w14:textId="77777777" w:rsidR="006D51CF" w:rsidRPr="007D3AE5" w:rsidRDefault="006D51CF" w:rsidP="006D51CF">
      <w:pPr>
        <w:rPr>
          <w:rFonts w:eastAsia="Calibri"/>
          <w:lang w:val="es-ES"/>
        </w:rPr>
      </w:pPr>
      <w:r w:rsidRPr="007D3AE5">
        <w:rPr>
          <w:rFonts w:eastAsia="Calibri"/>
          <w:lang w:val="es-ES"/>
        </w:rPr>
        <w:t>En este sentido, y respondiendo a lo solicitado por la OACI, la Oficina me</w:t>
      </w:r>
      <w:r>
        <w:rPr>
          <w:rFonts w:eastAsia="Calibri"/>
          <w:lang w:val="es-ES"/>
        </w:rPr>
        <w:t>joró la interfaz de gestión de usuario de</w:t>
      </w:r>
      <w:r w:rsidRPr="007D3AE5">
        <w:rPr>
          <w:rFonts w:eastAsia="Calibri"/>
          <w:lang w:val="es-ES"/>
        </w:rPr>
        <w:t xml:space="preserve"> SIRRS </w:t>
      </w:r>
      <w:r>
        <w:rPr>
          <w:rFonts w:eastAsia="Calibri"/>
          <w:lang w:val="es-ES"/>
        </w:rPr>
        <w:t>para acomodar a los usuarios de las NN.UU./OACI</w:t>
      </w:r>
      <w:r w:rsidRPr="007D3AE5">
        <w:rPr>
          <w:rFonts w:eastAsia="Calibri"/>
          <w:lang w:val="es-ES"/>
        </w:rPr>
        <w:t>.</w:t>
      </w:r>
    </w:p>
    <w:p w14:paraId="5BE98F03" w14:textId="6828404A" w:rsidR="006D51CF" w:rsidRPr="007D3AE5" w:rsidRDefault="006D51CF" w:rsidP="006D51CF">
      <w:pPr>
        <w:rPr>
          <w:rFonts w:eastAsia="Calibri"/>
          <w:lang w:val="es-ES"/>
        </w:rPr>
      </w:pPr>
      <w:r w:rsidRPr="007D3AE5">
        <w:rPr>
          <w:rFonts w:eastAsia="Calibri"/>
          <w:lang w:val="es-ES"/>
        </w:rPr>
        <w:t>En febrero de 2026 se impartió una formación al personal de la sede y las oficinas regional</w:t>
      </w:r>
      <w:r>
        <w:rPr>
          <w:rFonts w:eastAsia="Calibri"/>
          <w:lang w:val="es-ES"/>
        </w:rPr>
        <w:t>es de la OACI a fin de que puedan presentar los informes pertinentes</w:t>
      </w:r>
      <w:r w:rsidRPr="007D3AE5">
        <w:rPr>
          <w:rFonts w:eastAsia="Calibri"/>
          <w:lang w:val="es-ES"/>
        </w:rPr>
        <w:t>.</w:t>
      </w:r>
    </w:p>
    <w:p w14:paraId="2A20403B" w14:textId="6B37500A" w:rsidR="006D51CF" w:rsidRPr="007D3AE5" w:rsidRDefault="006D51CF" w:rsidP="006D51CF">
      <w:pPr>
        <w:pStyle w:val="Heading4"/>
        <w:rPr>
          <w:lang w:val="es-ES"/>
        </w:rPr>
      </w:pPr>
      <w:bookmarkStart w:id="84" w:name="_Ref222156293"/>
      <w:r w:rsidRPr="007D3AE5">
        <w:rPr>
          <w:lang w:val="es-ES"/>
        </w:rPr>
        <w:t>7.2.6.4</w:t>
      </w:r>
      <w:r w:rsidRPr="007D3AE5">
        <w:rPr>
          <w:lang w:val="es-ES"/>
        </w:rPr>
        <w:tab/>
        <w:t>Sistema de presentación de comentarios en</w:t>
      </w:r>
      <w:r>
        <w:rPr>
          <w:lang w:val="es-ES"/>
        </w:rPr>
        <w:t xml:space="preserve"> línea (e-Comment</w:t>
      </w:r>
      <w:bookmarkEnd w:id="84"/>
      <w:r>
        <w:rPr>
          <w:rFonts w:eastAsia="Calibri"/>
          <w:lang w:val="es-ES"/>
        </w:rPr>
        <w:t>)</w:t>
      </w:r>
    </w:p>
    <w:p w14:paraId="324CDE9E" w14:textId="77777777" w:rsidR="006D51CF" w:rsidRPr="00DC5CBC" w:rsidRDefault="006D51CF" w:rsidP="006D51CF">
      <w:pPr>
        <w:rPr>
          <w:lang w:val="es-ES"/>
        </w:rPr>
      </w:pPr>
      <w:r w:rsidRPr="007D3AE5">
        <w:rPr>
          <w:rFonts w:eastAsia="Calibri"/>
          <w:lang w:val="es-ES"/>
        </w:rPr>
        <w:t>En 2025 la Oficina emprendió el desarrollo de un sistema de presentación de comentarios en línea,</w:t>
      </w:r>
      <w:r w:rsidRPr="007D3AE5">
        <w:rPr>
          <w:rFonts w:hint="eastAsia"/>
          <w:lang w:val="es-ES" w:eastAsia="ja-JP"/>
        </w:rPr>
        <w:t xml:space="preserve"> e-Comment</w:t>
      </w:r>
      <w:r w:rsidRPr="007D3AE5">
        <w:rPr>
          <w:lang w:val="es-ES" w:eastAsia="ja-JP"/>
        </w:rPr>
        <w:t xml:space="preserve">, </w:t>
      </w:r>
      <w:r>
        <w:rPr>
          <w:lang w:val="es-ES" w:eastAsia="ja-JP"/>
        </w:rPr>
        <w:t>que es una aplicación web diseñada para sustituir la antigua aplicación de escritorio</w:t>
      </w:r>
      <w:r w:rsidRPr="007D3AE5">
        <w:rPr>
          <w:lang w:val="es-ES" w:eastAsia="ja-JP"/>
        </w:rPr>
        <w:t> SpaceCom </w:t>
      </w:r>
      <w:r>
        <w:rPr>
          <w:lang w:val="es-ES" w:eastAsia="ja-JP"/>
        </w:rPr>
        <w:t xml:space="preserve">y transformar todo el proceso reglamentario de presentación de comentarios y que en adelante se lleve a cabo totalmente en línea y en formato digital. </w:t>
      </w:r>
      <w:r w:rsidRPr="007D3AE5">
        <w:rPr>
          <w:lang w:val="es-ES" w:eastAsia="ja-JP"/>
        </w:rPr>
        <w:t xml:space="preserve">El principal objetivo es que las administraciones puedan </w:t>
      </w:r>
      <w:r>
        <w:rPr>
          <w:lang w:val="es-ES" w:eastAsia="ja-JP"/>
        </w:rPr>
        <w:t>redactar fácilmente sus comentarios en línea y presentarlos sin escollos a la Oficina y que las administraciones puedan ver y verificar también en línea los comentarios enviados y recibidos</w:t>
      </w:r>
      <w:r w:rsidRPr="00DC5CBC">
        <w:rPr>
          <w:rFonts w:eastAsia="Calibri"/>
          <w:lang w:val="es-ES"/>
        </w:rPr>
        <w:t xml:space="preserve">. </w:t>
      </w:r>
    </w:p>
    <w:p w14:paraId="4A051C4E" w14:textId="77777777" w:rsidR="006D51CF" w:rsidRPr="0081439B" w:rsidRDefault="006D51CF" w:rsidP="006D51CF">
      <w:pPr>
        <w:pStyle w:val="Heading2"/>
        <w:rPr>
          <w:sz w:val="28"/>
          <w:szCs w:val="28"/>
          <w:lang w:val="es-ES"/>
        </w:rPr>
      </w:pPr>
      <w:bookmarkStart w:id="85" w:name="_Toc222308699"/>
      <w:bookmarkStart w:id="86" w:name="_Toc222843168"/>
      <w:r w:rsidRPr="0081439B">
        <w:rPr>
          <w:lang w:val="es-ES"/>
        </w:rPr>
        <w:lastRenderedPageBreak/>
        <w:t>7.3</w:t>
      </w:r>
      <w:r w:rsidRPr="0081439B">
        <w:rPr>
          <w:lang w:val="es-ES"/>
        </w:rPr>
        <w:tab/>
        <w:t>Otras herramientas y software de la BR</w:t>
      </w:r>
      <w:bookmarkEnd w:id="85"/>
      <w:bookmarkEnd w:id="86"/>
    </w:p>
    <w:p w14:paraId="411BAC0F" w14:textId="440684D2" w:rsidR="006D51CF" w:rsidRPr="0081439B" w:rsidRDefault="006D51CF" w:rsidP="006D51CF">
      <w:pPr>
        <w:pStyle w:val="Heading3"/>
        <w:rPr>
          <w:lang w:val="es-ES"/>
        </w:rPr>
      </w:pPr>
      <w:bookmarkStart w:id="87" w:name="_Toc222308700"/>
      <w:bookmarkStart w:id="88" w:name="_Toc222843169"/>
      <w:r w:rsidRPr="0081439B">
        <w:rPr>
          <w:lang w:val="es-ES"/>
        </w:rPr>
        <w:t>7.3.1</w:t>
      </w:r>
      <w:r w:rsidRPr="0081439B">
        <w:rPr>
          <w:lang w:val="es-ES"/>
        </w:rPr>
        <w:tab/>
        <w:t>Herramientas relativas al Reglamento de Ra</w:t>
      </w:r>
      <w:r>
        <w:rPr>
          <w:lang w:val="es-ES"/>
        </w:rPr>
        <w:t>di</w:t>
      </w:r>
      <w:r w:rsidR="00D0088D">
        <w:rPr>
          <w:lang w:val="es-ES"/>
        </w:rPr>
        <w:t>o</w:t>
      </w:r>
      <w:r>
        <w:rPr>
          <w:lang w:val="es-ES"/>
        </w:rPr>
        <w:t>comunicaciones</w:t>
      </w:r>
      <w:bookmarkEnd w:id="87"/>
      <w:bookmarkEnd w:id="88"/>
    </w:p>
    <w:p w14:paraId="5DA49F7A" w14:textId="77777777" w:rsidR="006D51CF" w:rsidRPr="0081439B" w:rsidRDefault="006D51CF" w:rsidP="006D51CF">
      <w:pPr>
        <w:rPr>
          <w:lang w:val="es-ES"/>
        </w:rPr>
      </w:pPr>
      <w:r w:rsidRPr="0081439B">
        <w:rPr>
          <w:lang w:val="es-ES"/>
        </w:rPr>
        <w:t xml:space="preserve">La Oficina sigue actualizando y manteniendo herramientas de </w:t>
      </w:r>
      <w:r w:rsidRPr="00956FC6">
        <w:rPr>
          <w:i/>
          <w:iCs/>
          <w:lang w:val="es-ES"/>
        </w:rPr>
        <w:t>software</w:t>
      </w:r>
      <w:r w:rsidRPr="0081439B">
        <w:rPr>
          <w:lang w:val="es-ES"/>
        </w:rPr>
        <w:t xml:space="preserve"> para facilitar la utilización y el análisis del Reglamento de Radiocomunicaciones (RR), en concreto:</w:t>
      </w:r>
    </w:p>
    <w:p w14:paraId="0F86F7F8" w14:textId="77777777" w:rsidR="006D51CF" w:rsidRPr="0081439B" w:rsidRDefault="006D51CF" w:rsidP="006D51CF">
      <w:pPr>
        <w:rPr>
          <w:lang w:val="es-ES"/>
        </w:rPr>
      </w:pPr>
      <w:r w:rsidRPr="0081439B">
        <w:rPr>
          <w:lang w:val="es-ES"/>
        </w:rPr>
        <w:t>a)</w:t>
      </w:r>
      <w:r w:rsidRPr="0081439B">
        <w:rPr>
          <w:lang w:val="es-ES"/>
        </w:rPr>
        <w:tab/>
        <w:t xml:space="preserve">Se ha completado la actualización de la </w:t>
      </w:r>
      <w:r w:rsidRPr="0081439B">
        <w:rPr>
          <w:b/>
          <w:bCs/>
          <w:i/>
          <w:iCs/>
          <w:lang w:val="es-ES"/>
        </w:rPr>
        <w:t>Herramienta de navegación del Reglamento d</w:t>
      </w:r>
      <w:r>
        <w:rPr>
          <w:b/>
          <w:bCs/>
          <w:i/>
          <w:iCs/>
          <w:lang w:val="es-ES"/>
        </w:rPr>
        <w:t>e Radiocomunicaciones</w:t>
      </w:r>
      <w:r w:rsidRPr="0081439B">
        <w:rPr>
          <w:lang w:val="es-ES"/>
        </w:rPr>
        <w:t xml:space="preserve"> </w:t>
      </w:r>
      <w:r>
        <w:rPr>
          <w:lang w:val="es-ES"/>
        </w:rPr>
        <w:t xml:space="preserve">para adecuarla a la edición de 2024 del RR y demás textos pertinentes (Reglas de Procedimiento, Textos fundamentales). </w:t>
      </w:r>
      <w:r w:rsidRPr="0081439B">
        <w:rPr>
          <w:lang w:val="es-ES"/>
        </w:rPr>
        <w:t xml:space="preserve">El </w:t>
      </w:r>
      <w:r w:rsidRPr="00D0088D">
        <w:rPr>
          <w:i/>
          <w:iCs/>
          <w:lang w:val="es-ES"/>
        </w:rPr>
        <w:t>software</w:t>
      </w:r>
      <w:r w:rsidRPr="0081439B">
        <w:rPr>
          <w:lang w:val="es-ES"/>
        </w:rPr>
        <w:t xml:space="preserve"> actualizado </w:t>
      </w:r>
      <w:r>
        <w:rPr>
          <w:lang w:val="es-ES"/>
        </w:rPr>
        <w:t xml:space="preserve">se puso a disposición </w:t>
      </w:r>
      <w:r w:rsidRPr="0081439B">
        <w:rPr>
          <w:lang w:val="es-ES"/>
        </w:rPr>
        <w:t>(gratuit</w:t>
      </w:r>
      <w:r>
        <w:rPr>
          <w:lang w:val="es-ES"/>
        </w:rPr>
        <w:t>amente</w:t>
      </w:r>
      <w:r w:rsidRPr="0081439B">
        <w:rPr>
          <w:lang w:val="es-ES"/>
        </w:rPr>
        <w:t xml:space="preserve"> para todos los usuarios) en agos</w:t>
      </w:r>
      <w:r>
        <w:rPr>
          <w:lang w:val="es-ES"/>
        </w:rPr>
        <w:t>to de</w:t>
      </w:r>
      <w:r w:rsidRPr="0081439B">
        <w:rPr>
          <w:lang w:val="es-ES"/>
        </w:rPr>
        <w:t xml:space="preserve"> 2025.</w:t>
      </w:r>
    </w:p>
    <w:p w14:paraId="47E3A71B" w14:textId="4367ABF8" w:rsidR="006D51CF" w:rsidRPr="0081439B" w:rsidRDefault="006D51CF" w:rsidP="006D51CF">
      <w:pPr>
        <w:rPr>
          <w:lang w:val="es-ES"/>
        </w:rPr>
      </w:pPr>
      <w:r w:rsidRPr="0081439B">
        <w:rPr>
          <w:lang w:val="es-ES"/>
        </w:rPr>
        <w:t>b)</w:t>
      </w:r>
      <w:r w:rsidRPr="0081439B">
        <w:rPr>
          <w:lang w:val="es-ES"/>
        </w:rPr>
        <w:tab/>
        <w:t xml:space="preserve">La herramienta de </w:t>
      </w:r>
      <w:r w:rsidRPr="00D0088D">
        <w:rPr>
          <w:i/>
          <w:iCs/>
          <w:lang w:val="es-ES"/>
        </w:rPr>
        <w:t>software</w:t>
      </w:r>
      <w:r w:rsidRPr="0081439B">
        <w:rPr>
          <w:lang w:val="es-ES"/>
        </w:rPr>
        <w:t xml:space="preserve"> del </w:t>
      </w:r>
      <w:r w:rsidRPr="0081439B">
        <w:rPr>
          <w:b/>
          <w:bCs/>
          <w:i/>
          <w:iCs/>
          <w:lang w:val="es-ES"/>
        </w:rPr>
        <w:t>Cuadro de atribución de bandas de frecuencias del Artículo 5</w:t>
      </w:r>
      <w:r w:rsidR="00D0088D">
        <w:rPr>
          <w:b/>
          <w:bCs/>
          <w:i/>
          <w:iCs/>
          <w:lang w:val="es-ES"/>
        </w:rPr>
        <w:t> </w:t>
      </w:r>
      <w:r w:rsidRPr="0081439B">
        <w:rPr>
          <w:b/>
          <w:bCs/>
          <w:i/>
          <w:iCs/>
          <w:lang w:val="es-ES"/>
        </w:rPr>
        <w:t>del RR</w:t>
      </w:r>
      <w:r w:rsidRPr="0081439B">
        <w:rPr>
          <w:lang w:val="es-ES"/>
        </w:rPr>
        <w:t>, diseñada para realizar búsquedas y análisis detallados del Cuadro de atribución de bandas de frecuencias del Artículo 5 del Reglamento de Radiocomunicaciones, permite filtrar y reconfigurar los datos en función de la gama de frecuencias, el servicio, la categoría de servicio, la nota, el país, etc.</w:t>
      </w:r>
    </w:p>
    <w:p w14:paraId="038E91A0" w14:textId="77777777" w:rsidR="006D51CF" w:rsidRPr="0081439B" w:rsidRDefault="006D51CF" w:rsidP="006D51CF">
      <w:pPr>
        <w:rPr>
          <w:lang w:val="es-ES"/>
        </w:rPr>
      </w:pPr>
      <w:r w:rsidRPr="0081439B">
        <w:rPr>
          <w:lang w:val="es-ES"/>
        </w:rPr>
        <w:t>La herramienta se ha actualizado de acuerdo con los resultados de la CMR-23 y la edición de 2024 del RR, a fin de incorporar los cambios en las atribuciones de frecuencias, las notas de los países y las referencias correspondientes a las Resoluciones y Recomendaciones asociadas. También se han incluido enlaces a las Recomendaciones UIT-R pertinentes a las que se remite el Artículo 5 del RR, además de la última versión de las Reglas de Procedimiento aplicables.</w:t>
      </w:r>
    </w:p>
    <w:p w14:paraId="0F75604C" w14:textId="77777777" w:rsidR="006D51CF" w:rsidRPr="0081439B" w:rsidRDefault="006D51CF" w:rsidP="006D51CF">
      <w:pPr>
        <w:rPr>
          <w:lang w:val="es-ES"/>
        </w:rPr>
      </w:pPr>
      <w:r w:rsidRPr="0081439B">
        <w:rPr>
          <w:lang w:val="es-ES"/>
        </w:rPr>
        <w:t>El paquete incluye asimismo un servicio que permite extraer el Cuadro nacional de atribución de frecuencias de un país concreto, previa combinación de las diferentes disposiciones del Artículo 5 del RR. Se han incluido módulos adicionales para dar acceso a las disposiciones pertinentes de otros Artícu</w:t>
      </w:r>
      <w:r>
        <w:rPr>
          <w:lang w:val="es-ES"/>
        </w:rPr>
        <w:t xml:space="preserve">los del RR directamente relacionados con las notas al Cuadro de atribución de bandas de frecuencias del Artículo 5 del RR. </w:t>
      </w:r>
      <w:r w:rsidRPr="0081439B">
        <w:rPr>
          <w:lang w:val="es-ES"/>
        </w:rPr>
        <w:t>A lo largo de 2025 se hicieron demostraciones de la herramienta en diversos Se</w:t>
      </w:r>
      <w:r>
        <w:rPr>
          <w:lang w:val="es-ES"/>
        </w:rPr>
        <w:t>minarios Regionales de Radiocomunicaciones y talleres dedicados a la gestión del espectro</w:t>
      </w:r>
      <w:r w:rsidRPr="0081439B">
        <w:rPr>
          <w:lang w:val="es-ES"/>
        </w:rPr>
        <w:t xml:space="preserve"> (Djibouti, Tegucigalpa, Chengdu).</w:t>
      </w:r>
    </w:p>
    <w:p w14:paraId="24FC0DCA" w14:textId="77777777" w:rsidR="006D51CF" w:rsidRPr="0081439B" w:rsidRDefault="006D51CF" w:rsidP="006D51CF">
      <w:pPr>
        <w:rPr>
          <w:lang w:val="es-ES"/>
        </w:rPr>
      </w:pPr>
      <w:r w:rsidRPr="0081439B">
        <w:rPr>
          <w:lang w:val="es-ES"/>
        </w:rPr>
        <w:t xml:space="preserve">Todas las actualizaciones del </w:t>
      </w:r>
      <w:r w:rsidRPr="00D0088D">
        <w:rPr>
          <w:i/>
          <w:iCs/>
          <w:lang w:val="es-ES"/>
        </w:rPr>
        <w:t>software</w:t>
      </w:r>
      <w:r w:rsidRPr="0081439B">
        <w:rPr>
          <w:lang w:val="es-ES"/>
        </w:rPr>
        <w:t xml:space="preserve"> y de los datos se proporcionarán de forma periódica y gratuita a los suscriptores hasta que se publique la nueva versión, conforme a las decisiones de la CMR-27.</w:t>
      </w:r>
    </w:p>
    <w:p w14:paraId="74A9D17A" w14:textId="77777777" w:rsidR="006D51CF" w:rsidRPr="0081439B" w:rsidRDefault="006D51CF" w:rsidP="006D51CF">
      <w:pPr>
        <w:pStyle w:val="Heading3"/>
        <w:rPr>
          <w:lang w:val="es-ES"/>
        </w:rPr>
      </w:pPr>
      <w:bookmarkStart w:id="89" w:name="_Toc222308701"/>
      <w:bookmarkStart w:id="90" w:name="_Toc222843170"/>
      <w:r w:rsidRPr="0081439B">
        <w:rPr>
          <w:lang w:val="es-ES"/>
        </w:rPr>
        <w:t>7.3.2</w:t>
      </w:r>
      <w:r w:rsidRPr="0081439B">
        <w:rPr>
          <w:lang w:val="es-ES"/>
        </w:rPr>
        <w:tab/>
        <w:t>Sistema de información geo</w:t>
      </w:r>
      <w:r>
        <w:rPr>
          <w:lang w:val="es-ES"/>
        </w:rPr>
        <w:t xml:space="preserve">gráfica de la </w:t>
      </w:r>
      <w:r w:rsidRPr="0081439B">
        <w:rPr>
          <w:lang w:val="es-ES" w:eastAsia="zh-CN"/>
        </w:rPr>
        <w:t>BR</w:t>
      </w:r>
      <w:r w:rsidRPr="0081439B">
        <w:rPr>
          <w:shd w:val="clear" w:color="auto" w:fill="FFFFFF"/>
          <w:lang w:val="es-ES"/>
        </w:rPr>
        <w:t xml:space="preserve"> (</w:t>
      </w:r>
      <w:r>
        <w:rPr>
          <w:shd w:val="clear" w:color="auto" w:fill="FFFFFF"/>
          <w:lang w:val="es-ES"/>
        </w:rPr>
        <w:t>GIS</w:t>
      </w:r>
      <w:r w:rsidRPr="0081439B">
        <w:rPr>
          <w:shd w:val="clear" w:color="auto" w:fill="FFFFFF"/>
          <w:lang w:val="es-ES"/>
        </w:rPr>
        <w:t>)</w:t>
      </w:r>
      <w:bookmarkEnd w:id="89"/>
      <w:bookmarkEnd w:id="90"/>
    </w:p>
    <w:p w14:paraId="31D62005" w14:textId="77777777" w:rsidR="006D51CF" w:rsidRPr="0081439B" w:rsidRDefault="006D51CF" w:rsidP="006D51CF">
      <w:pPr>
        <w:rPr>
          <w:lang w:val="es-ES"/>
        </w:rPr>
      </w:pPr>
      <w:r w:rsidRPr="0081439B">
        <w:rPr>
          <w:lang w:val="es-ES"/>
        </w:rPr>
        <w:t>El Grupo de Tareas Especiales sobre el Sistema de Información Geográfica (</w:t>
      </w:r>
      <w:r>
        <w:rPr>
          <w:lang w:val="es-ES"/>
        </w:rPr>
        <w:t>GIS</w:t>
      </w:r>
      <w:r w:rsidRPr="0081439B">
        <w:rPr>
          <w:lang w:val="es-ES"/>
        </w:rPr>
        <w:t xml:space="preserve">) de la BR, compuesto por personal de todos los departamentos de la Oficina, se creó con el objetivo de armonizar las actividades relacionadas con el </w:t>
      </w:r>
      <w:r>
        <w:rPr>
          <w:lang w:val="es-ES"/>
        </w:rPr>
        <w:t>GIS</w:t>
      </w:r>
      <w:r w:rsidRPr="0081439B">
        <w:rPr>
          <w:lang w:val="es-ES"/>
        </w:rPr>
        <w:t xml:space="preserve"> en la BR. </w:t>
      </w:r>
    </w:p>
    <w:p w14:paraId="7E972C77" w14:textId="525FF31B" w:rsidR="006D51CF" w:rsidRPr="0081439B" w:rsidRDefault="006D51CF" w:rsidP="006D51CF">
      <w:pPr>
        <w:rPr>
          <w:lang w:val="es-ES"/>
        </w:rPr>
      </w:pPr>
      <w:r w:rsidRPr="0081439B">
        <w:rPr>
          <w:lang w:val="es-ES"/>
        </w:rPr>
        <w:t xml:space="preserve">El Grupo de Tareas Especiales implementó la </w:t>
      </w:r>
      <w:hyperlink r:id="rId60" w:history="1">
        <w:r w:rsidRPr="0081439B">
          <w:rPr>
            <w:rStyle w:val="Hyperlink"/>
            <w:lang w:val="es-ES"/>
          </w:rPr>
          <w:t>plataform</w:t>
        </w:r>
        <w:r w:rsidRPr="0081439B">
          <w:rPr>
            <w:rStyle w:val="Hyperlink"/>
            <w:lang w:val="es-ES"/>
          </w:rPr>
          <w:t>a</w:t>
        </w:r>
        <w:r w:rsidRPr="0081439B">
          <w:rPr>
            <w:rStyle w:val="Hyperlink"/>
            <w:lang w:val="es-ES"/>
          </w:rPr>
          <w:t xml:space="preserve"> SIG BR</w:t>
        </w:r>
      </w:hyperlink>
      <w:r w:rsidRPr="0081439B">
        <w:rPr>
          <w:lang w:val="es-ES"/>
        </w:rPr>
        <w:t xml:space="preserve"> como </w:t>
      </w:r>
      <w:r>
        <w:rPr>
          <w:lang w:val="es-ES"/>
        </w:rPr>
        <w:t xml:space="preserve">una moderna </w:t>
      </w:r>
      <w:r w:rsidRPr="0081439B">
        <w:rPr>
          <w:lang w:val="es-ES"/>
        </w:rPr>
        <w:t>plataforma geoespacial por contenedores de có</w:t>
      </w:r>
      <w:r>
        <w:rPr>
          <w:lang w:val="es-ES"/>
        </w:rPr>
        <w:t>digo abierto que gestiona datos geoespaciales (incluidos datos del</w:t>
      </w:r>
      <w:r w:rsidRPr="0081439B">
        <w:rPr>
          <w:lang w:val="es-ES"/>
        </w:rPr>
        <w:t xml:space="preserve"> IDWM </w:t>
      </w:r>
      <w:r>
        <w:rPr>
          <w:lang w:val="es-ES"/>
        </w:rPr>
        <w:t>y radiometeorológicos de la CE</w:t>
      </w:r>
      <w:r w:rsidRPr="0081439B">
        <w:rPr>
          <w:lang w:val="es-ES"/>
        </w:rPr>
        <w:t xml:space="preserve">3), </w:t>
      </w:r>
      <w:r>
        <w:rPr>
          <w:lang w:val="es-ES"/>
        </w:rPr>
        <w:t>que ya está lista para su despliegue en la nube</w:t>
      </w:r>
      <w:r w:rsidRPr="0081439B">
        <w:rPr>
          <w:lang w:val="es-ES"/>
        </w:rPr>
        <w:t>.</w:t>
      </w:r>
    </w:p>
    <w:p w14:paraId="0891CA78" w14:textId="77777777" w:rsidR="006D51CF" w:rsidRPr="0081439B" w:rsidRDefault="006D51CF" w:rsidP="006D51CF">
      <w:pPr>
        <w:rPr>
          <w:lang w:val="es-ES"/>
        </w:rPr>
      </w:pPr>
      <w:r w:rsidRPr="0081439B">
        <w:rPr>
          <w:lang w:val="es-ES"/>
        </w:rPr>
        <w:t>La biblioteca de plantillas de mapas creada por el Grupo de Tareas Especiales sigue integrándose en diversas herramientas terrenales y puede reut</w:t>
      </w:r>
      <w:r>
        <w:rPr>
          <w:lang w:val="es-ES"/>
        </w:rPr>
        <w:t>ilizarse para garantizar la coherencia visual de las aplicaciones web de la BR</w:t>
      </w:r>
      <w:r w:rsidRPr="0081439B">
        <w:rPr>
          <w:lang w:val="es-ES"/>
        </w:rPr>
        <w:t>.</w:t>
      </w:r>
    </w:p>
    <w:p w14:paraId="5C110D2C" w14:textId="77777777" w:rsidR="006D51CF" w:rsidRPr="004567AD" w:rsidRDefault="006D51CF" w:rsidP="006D51CF">
      <w:pPr>
        <w:pStyle w:val="Heading3"/>
        <w:rPr>
          <w:lang w:val="es-ES"/>
        </w:rPr>
      </w:pPr>
      <w:bookmarkStart w:id="91" w:name="_Toc222308702"/>
      <w:bookmarkStart w:id="92" w:name="_Toc222843171"/>
      <w:r w:rsidRPr="004567AD">
        <w:rPr>
          <w:lang w:val="es-ES"/>
        </w:rPr>
        <w:t>7.3.3</w:t>
      </w:r>
      <w:r w:rsidRPr="004567AD">
        <w:rPr>
          <w:lang w:val="es-ES"/>
        </w:rPr>
        <w:tab/>
        <w:t xml:space="preserve">Actividades de la BR </w:t>
      </w:r>
      <w:r>
        <w:rPr>
          <w:lang w:val="es-ES"/>
        </w:rPr>
        <w:t>sobre inteligencia artificial geoespacial</w:t>
      </w:r>
      <w:r w:rsidRPr="004567AD">
        <w:rPr>
          <w:lang w:val="es-ES"/>
        </w:rPr>
        <w:t xml:space="preserve"> (GeoAI)</w:t>
      </w:r>
      <w:bookmarkEnd w:id="91"/>
      <w:bookmarkEnd w:id="92"/>
      <w:r w:rsidRPr="004567AD">
        <w:rPr>
          <w:lang w:val="es-ES"/>
        </w:rPr>
        <w:t xml:space="preserve"> </w:t>
      </w:r>
    </w:p>
    <w:p w14:paraId="153337F0" w14:textId="67A8C9CD" w:rsidR="006D51CF" w:rsidRPr="004567AD" w:rsidRDefault="006D51CF" w:rsidP="006D51CF">
      <w:pPr>
        <w:rPr>
          <w:lang w:val="es-ES"/>
        </w:rPr>
      </w:pPr>
      <w:r w:rsidRPr="004567AD">
        <w:rPr>
          <w:lang w:val="es-ES"/>
        </w:rPr>
        <w:t xml:space="preserve">La BR, junto con socios como la ESA y el </w:t>
      </w:r>
      <w:r w:rsidR="00D0088D" w:rsidRPr="004567AD">
        <w:rPr>
          <w:lang w:val="es-ES"/>
        </w:rPr>
        <w:t>Politécnico</w:t>
      </w:r>
      <w:r w:rsidRPr="004567AD">
        <w:rPr>
          <w:lang w:val="es-ES"/>
        </w:rPr>
        <w:t xml:space="preserve"> di Milano, está estudiando cómo aprovechar los </w:t>
      </w:r>
      <w:r>
        <w:rPr>
          <w:lang w:val="es-ES"/>
        </w:rPr>
        <w:t>modelos</w:t>
      </w:r>
      <w:r w:rsidRPr="004567AD">
        <w:rPr>
          <w:lang w:val="es-ES"/>
        </w:rPr>
        <w:t xml:space="preserve"> GeoAI </w:t>
      </w:r>
      <w:r>
        <w:rPr>
          <w:lang w:val="es-ES"/>
        </w:rPr>
        <w:t>y</w:t>
      </w:r>
      <w:r w:rsidRPr="004567AD">
        <w:rPr>
          <w:lang w:val="es-ES"/>
        </w:rPr>
        <w:t xml:space="preserve"> Geospatial Foundation </w:t>
      </w:r>
      <w:r>
        <w:rPr>
          <w:lang w:val="es-ES"/>
        </w:rPr>
        <w:t>para desarrollar un conjunto mundial de datos formado por modelos digitales de superficie</w:t>
      </w:r>
      <w:r w:rsidRPr="004567AD">
        <w:rPr>
          <w:lang w:val="es-ES"/>
        </w:rPr>
        <w:t xml:space="preserve"> (DSM) </w:t>
      </w:r>
      <w:r>
        <w:rPr>
          <w:lang w:val="es-ES"/>
        </w:rPr>
        <w:t>y modelos digitales de terreno</w:t>
      </w:r>
      <w:r w:rsidRPr="004567AD">
        <w:rPr>
          <w:lang w:val="es-ES"/>
        </w:rPr>
        <w:t xml:space="preserve"> (DTM) </w:t>
      </w:r>
      <w:r>
        <w:rPr>
          <w:lang w:val="es-ES"/>
        </w:rPr>
        <w:t xml:space="preserve">con diversas coberturas del terreno utilizando únicamente imágenes de satélite de código abierto. </w:t>
      </w:r>
      <w:r w:rsidRPr="004567AD">
        <w:rPr>
          <w:lang w:val="es-ES"/>
        </w:rPr>
        <w:t xml:space="preserve">Estos conjuntos mundiales de datos son esenciales para la </w:t>
      </w:r>
      <w:r>
        <w:rPr>
          <w:lang w:val="es-ES"/>
        </w:rPr>
        <w:t xml:space="preserve">aplicación de algunos métodos de predicción de la propagación de ondas radioeléctricas del UIT-R, que se utilizan para facilitar la identificación de oportunidades de </w:t>
      </w:r>
      <w:r>
        <w:rPr>
          <w:lang w:val="es-ES"/>
        </w:rPr>
        <w:lastRenderedPageBreak/>
        <w:t>compartición del espectro, mejorar el análisis de interferencias, estimar la cobertura y coordinar los esfuerzos</w:t>
      </w:r>
      <w:r w:rsidRPr="004567AD">
        <w:rPr>
          <w:lang w:val="es-ES"/>
        </w:rPr>
        <w:t>.</w:t>
      </w:r>
    </w:p>
    <w:p w14:paraId="68F5BBB1" w14:textId="77777777" w:rsidR="006D51CF" w:rsidRPr="004567AD" w:rsidRDefault="006D51CF" w:rsidP="006D51CF">
      <w:pPr>
        <w:pStyle w:val="Heading2"/>
        <w:rPr>
          <w:lang w:val="es-ES"/>
        </w:rPr>
      </w:pPr>
      <w:bookmarkStart w:id="93" w:name="_Ref222157273"/>
      <w:bookmarkStart w:id="94" w:name="_Toc222308703"/>
      <w:bookmarkStart w:id="95" w:name="_Toc222843172"/>
      <w:r w:rsidRPr="004567AD">
        <w:rPr>
          <w:lang w:val="es-ES"/>
        </w:rPr>
        <w:t>7.4</w:t>
      </w:r>
      <w:r w:rsidRPr="004567AD">
        <w:rPr>
          <w:lang w:val="es-ES"/>
        </w:rPr>
        <w:tab/>
        <w:t>Continuidad de las actividades y recuperación</w:t>
      </w:r>
      <w:r>
        <w:rPr>
          <w:lang w:val="es-ES"/>
        </w:rPr>
        <w:t xml:space="preserve"> en caso de catástrofe</w:t>
      </w:r>
      <w:bookmarkEnd w:id="93"/>
      <w:bookmarkEnd w:id="94"/>
      <w:bookmarkEnd w:id="95"/>
    </w:p>
    <w:p w14:paraId="362E5669" w14:textId="77777777" w:rsidR="006D51CF" w:rsidRPr="004567AD" w:rsidRDefault="006D51CF" w:rsidP="006D51CF">
      <w:pPr>
        <w:spacing w:line="259" w:lineRule="auto"/>
        <w:jc w:val="both"/>
        <w:rPr>
          <w:lang w:val="es-ES"/>
        </w:rPr>
      </w:pPr>
      <w:r w:rsidRPr="004567AD">
        <w:rPr>
          <w:lang w:val="es-ES"/>
        </w:rPr>
        <w:t xml:space="preserve">El registro de riesgos de la BR se contempla </w:t>
      </w:r>
      <w:r>
        <w:rPr>
          <w:lang w:val="es-ES"/>
        </w:rPr>
        <w:t xml:space="preserve">en el Plan Operacional de la BR. </w:t>
      </w:r>
      <w:r w:rsidRPr="004567AD">
        <w:rPr>
          <w:lang w:val="es-ES"/>
        </w:rPr>
        <w:t>En 2026 se seguirá trabajando para reforzar aún má</w:t>
      </w:r>
      <w:r>
        <w:rPr>
          <w:lang w:val="es-ES"/>
        </w:rPr>
        <w:t>s el marco de gestión de riesgos de la UIT por conducto de diversas sesiones de formación que organizarán el coordinador del Sistema de Gestión de la Resiliencia Institucional de la UIT</w:t>
      </w:r>
      <w:r w:rsidRPr="004567AD">
        <w:rPr>
          <w:lang w:val="es-ES"/>
        </w:rPr>
        <w:t xml:space="preserve"> (ORMS) y</w:t>
      </w:r>
      <w:r>
        <w:rPr>
          <w:lang w:val="es-ES"/>
        </w:rPr>
        <w:t xml:space="preserve"> el Gestor de Riesgos Institucionales de la UIT</w:t>
      </w:r>
      <w:r w:rsidRPr="004567AD">
        <w:rPr>
          <w:lang w:val="es-ES"/>
        </w:rPr>
        <w:t xml:space="preserve">. </w:t>
      </w:r>
    </w:p>
    <w:p w14:paraId="2AB5BD35" w14:textId="5152A253" w:rsidR="006D51CF" w:rsidRPr="004C1106" w:rsidRDefault="006D51CF" w:rsidP="006D51CF">
      <w:pPr>
        <w:pStyle w:val="Heading2"/>
        <w:jc w:val="both"/>
        <w:rPr>
          <w:lang w:val="es-ES"/>
        </w:rPr>
      </w:pPr>
      <w:bookmarkStart w:id="96" w:name="_Ref222157196"/>
      <w:bookmarkStart w:id="97" w:name="_Toc222308704"/>
      <w:bookmarkStart w:id="98" w:name="_Toc222843173"/>
      <w:r w:rsidRPr="004C1106">
        <w:rPr>
          <w:lang w:val="es-ES"/>
        </w:rPr>
        <w:t>7.5</w:t>
      </w:r>
      <w:r w:rsidRPr="004C1106">
        <w:rPr>
          <w:lang w:val="es-ES"/>
        </w:rPr>
        <w:tab/>
        <w:t>Computación en la nube</w:t>
      </w:r>
      <w:bookmarkEnd w:id="96"/>
      <w:bookmarkEnd w:id="97"/>
      <w:bookmarkEnd w:id="98"/>
    </w:p>
    <w:p w14:paraId="19286389" w14:textId="77777777" w:rsidR="006D51CF" w:rsidRPr="004567AD" w:rsidRDefault="006D51CF" w:rsidP="006D51CF">
      <w:pPr>
        <w:spacing w:line="259" w:lineRule="auto"/>
        <w:jc w:val="both"/>
        <w:rPr>
          <w:lang w:val="es-ES"/>
        </w:rPr>
      </w:pPr>
      <w:r w:rsidRPr="004567AD">
        <w:rPr>
          <w:lang w:val="es-ES"/>
        </w:rPr>
        <w:t>El Grupo de Tareas Especiales sobre Migración a la Nube de la BR siguió colaborando estrechamente con otros Jefes de División de la BR y con el Departamento IS para definir una hoja de ruta de migración a la nube de las aplicaci</w:t>
      </w:r>
      <w:r>
        <w:rPr>
          <w:lang w:val="es-ES"/>
        </w:rPr>
        <w:t>ones de la BR, de conformidad con la estrategia global de la UIT de migración a la nube</w:t>
      </w:r>
      <w:r w:rsidRPr="004567AD">
        <w:rPr>
          <w:lang w:val="es-ES"/>
        </w:rPr>
        <w:t>.</w:t>
      </w:r>
    </w:p>
    <w:p w14:paraId="3D7F4AF9" w14:textId="77777777" w:rsidR="006D51CF" w:rsidRPr="004C1106" w:rsidRDefault="006D51CF" w:rsidP="006D51CF">
      <w:pPr>
        <w:pStyle w:val="Heading1"/>
        <w:ind w:left="0" w:firstLine="0"/>
        <w:rPr>
          <w:i/>
          <w:iCs/>
          <w:lang w:val="es-ES"/>
        </w:rPr>
      </w:pPr>
      <w:bookmarkStart w:id="99" w:name="_Toc446060776"/>
      <w:bookmarkStart w:id="100" w:name="_Toc222308705"/>
      <w:bookmarkStart w:id="101" w:name="_Toc222843174"/>
      <w:r w:rsidRPr="004C1106">
        <w:rPr>
          <w:lang w:val="es-ES"/>
        </w:rPr>
        <w:t>8</w:t>
      </w:r>
      <w:r w:rsidRPr="004C1106">
        <w:rPr>
          <w:lang w:val="es-ES"/>
        </w:rPr>
        <w:tab/>
      </w:r>
      <w:bookmarkEnd w:id="99"/>
      <w:r w:rsidRPr="004C1106">
        <w:rPr>
          <w:lang w:val="es-ES"/>
        </w:rPr>
        <w:t>Divulgación</w:t>
      </w:r>
      <w:bookmarkEnd w:id="100"/>
      <w:bookmarkEnd w:id="101"/>
    </w:p>
    <w:p w14:paraId="576C01E1" w14:textId="77777777" w:rsidR="006D51CF" w:rsidRPr="007E040D" w:rsidRDefault="006D51CF" w:rsidP="006D51CF">
      <w:pPr>
        <w:rPr>
          <w:lang w:val="es-ES"/>
        </w:rPr>
      </w:pPr>
      <w:r w:rsidRPr="004567AD">
        <w:rPr>
          <w:lang w:val="es-ES"/>
        </w:rPr>
        <w:t xml:space="preserve">Las actividades de divulgación comprenden la difusión de información y asistencia a los miembros, la publicación de productos del UIT-R, la organización de seminarios y talleres, además de la participación en los mismos, y la elaboración y mantenimiento de herramientas de comunicación y promoción. El objetivo de estas actividades es garantizar que los productos del UIT-R (Reglamentos, Recomendaciones, Informes y Manuales) se difundan a escala mundial, de manera que puedan sentar las bases necesarias para la formulación de políticas y decisiones nacionales y regionales a efectos de la utilización del espectro radioeléctrico. </w:t>
      </w:r>
      <w:r w:rsidRPr="007E040D">
        <w:rPr>
          <w:lang w:val="es-ES"/>
        </w:rPr>
        <w:t>Para llevar a cabo estas actividades, la BR coopera estrechamente con las demás Oficinas, así como con la Secretaría General, las Oficinas Regionales y Zonales de la UIT, y las organizaciones internacionales y autoridades nacionales pertinentes.</w:t>
      </w:r>
    </w:p>
    <w:p w14:paraId="65910341" w14:textId="77777777" w:rsidR="006D51CF" w:rsidRPr="004C1106" w:rsidRDefault="006D51CF" w:rsidP="006D51CF">
      <w:pPr>
        <w:pStyle w:val="Heading2"/>
        <w:rPr>
          <w:lang w:val="es-ES"/>
        </w:rPr>
      </w:pPr>
      <w:bookmarkStart w:id="102" w:name="_Toc418163376"/>
      <w:bookmarkStart w:id="103" w:name="_Toc418232294"/>
      <w:bookmarkStart w:id="104" w:name="_Toc424047595"/>
      <w:bookmarkStart w:id="105" w:name="_Toc446060777"/>
      <w:bookmarkStart w:id="106" w:name="_Toc222308706"/>
      <w:bookmarkStart w:id="107" w:name="_Toc222843175"/>
      <w:r w:rsidRPr="004C1106">
        <w:rPr>
          <w:lang w:val="es-ES"/>
        </w:rPr>
        <w:t>8.1</w:t>
      </w:r>
      <w:r w:rsidRPr="004C1106">
        <w:rPr>
          <w:lang w:val="es-ES"/>
        </w:rPr>
        <w:tab/>
        <w:t>Publicaciones</w:t>
      </w:r>
      <w:bookmarkEnd w:id="102"/>
      <w:bookmarkEnd w:id="103"/>
      <w:bookmarkEnd w:id="104"/>
      <w:bookmarkEnd w:id="105"/>
      <w:bookmarkEnd w:id="106"/>
      <w:bookmarkEnd w:id="107"/>
    </w:p>
    <w:p w14:paraId="0736D1BF" w14:textId="77777777" w:rsidR="006D51CF" w:rsidRPr="004C1106" w:rsidRDefault="006D51CF" w:rsidP="006D51CF">
      <w:pPr>
        <w:pStyle w:val="Heading3"/>
        <w:rPr>
          <w:lang w:val="es-ES"/>
        </w:rPr>
      </w:pPr>
      <w:bookmarkStart w:id="108" w:name="_Toc424047596"/>
      <w:bookmarkStart w:id="109" w:name="_Toc446060778"/>
      <w:bookmarkStart w:id="110" w:name="_Toc222308707"/>
      <w:bookmarkStart w:id="111" w:name="_Toc222843176"/>
      <w:r w:rsidRPr="004C1106">
        <w:rPr>
          <w:lang w:val="es-ES"/>
        </w:rPr>
        <w:t>8.1.1</w:t>
      </w:r>
      <w:r w:rsidRPr="004C1106">
        <w:rPr>
          <w:lang w:val="es-ES"/>
        </w:rPr>
        <w:tab/>
        <w:t>Publicaciones reglamentarias</w:t>
      </w:r>
      <w:bookmarkEnd w:id="108"/>
      <w:bookmarkEnd w:id="109"/>
      <w:bookmarkEnd w:id="110"/>
      <w:bookmarkEnd w:id="111"/>
    </w:p>
    <w:p w14:paraId="5D194CE6" w14:textId="77777777" w:rsidR="006D51CF" w:rsidRPr="007E040D" w:rsidRDefault="006D51CF" w:rsidP="006D51CF">
      <w:pPr>
        <w:rPr>
          <w:lang w:val="es-ES"/>
        </w:rPr>
      </w:pPr>
      <w:r w:rsidRPr="007E040D">
        <w:rPr>
          <w:lang w:val="es-ES"/>
        </w:rPr>
        <w:t xml:space="preserve">Las publicaciones reglamentarias forman parte integrante del Reglamento Administrativo. Constituyen publicaciones reglamentarias el Reglamento de Radiocomunicaciones, que contiene los textos completos adoptados por la CMR, y las Actas Finales y Reglas de Procedimiento, </w:t>
      </w:r>
      <w:r>
        <w:rPr>
          <w:lang w:val="es-ES"/>
        </w:rPr>
        <w:t>que</w:t>
      </w:r>
      <w:r w:rsidRPr="007E040D">
        <w:rPr>
          <w:lang w:val="es-ES"/>
        </w:rPr>
        <w:t xml:space="preserve"> complementan el Reglamento de Radiocomunicaciones.</w:t>
      </w:r>
    </w:p>
    <w:p w14:paraId="2EA7FC75" w14:textId="77777777" w:rsidR="006D51CF" w:rsidRPr="007E040D" w:rsidRDefault="006D51CF" w:rsidP="006D51CF">
      <w:pPr>
        <w:rPr>
          <w:lang w:val="es-ES"/>
        </w:rPr>
      </w:pPr>
      <w:r w:rsidRPr="007E040D">
        <w:rPr>
          <w:lang w:val="es-ES"/>
        </w:rPr>
        <w:t>La sexta actualización de las Reglas de Procedimiento, ed</w:t>
      </w:r>
      <w:r>
        <w:rPr>
          <w:lang w:val="es-ES"/>
        </w:rPr>
        <w:t>ición de 2021, se publicó en julio de</w:t>
      </w:r>
      <w:r w:rsidRPr="007E040D">
        <w:rPr>
          <w:lang w:val="es-ES"/>
        </w:rPr>
        <w:t xml:space="preserve"> 2025.</w:t>
      </w:r>
    </w:p>
    <w:p w14:paraId="7D8CD35E" w14:textId="77777777" w:rsidR="006D51CF" w:rsidRPr="007E040D" w:rsidRDefault="006D51CF" w:rsidP="006D51CF">
      <w:pPr>
        <w:rPr>
          <w:lang w:val="es-ES"/>
        </w:rPr>
      </w:pPr>
      <w:r w:rsidRPr="007E040D">
        <w:rPr>
          <w:lang w:val="es-ES"/>
        </w:rPr>
        <w:t>Las Reglas de Procedimiento, edición de 2025, se publicaron en diciembre de 2025.</w:t>
      </w:r>
    </w:p>
    <w:p w14:paraId="1E95A633" w14:textId="77777777" w:rsidR="006D51CF" w:rsidRPr="007E040D" w:rsidRDefault="006D51CF" w:rsidP="006D51CF">
      <w:pPr>
        <w:rPr>
          <w:lang w:val="es-ES"/>
        </w:rPr>
      </w:pPr>
      <w:r w:rsidRPr="007E040D">
        <w:rPr>
          <w:lang w:val="es-ES"/>
        </w:rPr>
        <w:t xml:space="preserve">La BR también publicó los once horarios HFBC por año que prescribe el Artículo </w:t>
      </w:r>
      <w:r w:rsidRPr="007E040D">
        <w:rPr>
          <w:b/>
          <w:bCs/>
          <w:lang w:val="es-ES"/>
        </w:rPr>
        <w:t xml:space="preserve">12 </w:t>
      </w:r>
      <w:r>
        <w:rPr>
          <w:lang w:val="es-ES"/>
        </w:rPr>
        <w:t>del Reglamento de Radiocomunicaciones.</w:t>
      </w:r>
    </w:p>
    <w:p w14:paraId="6E15BF7A" w14:textId="77777777" w:rsidR="006D51CF" w:rsidRPr="007E040D" w:rsidRDefault="006D51CF" w:rsidP="006D51CF">
      <w:pPr>
        <w:pStyle w:val="Heading3"/>
        <w:rPr>
          <w:lang w:val="es-ES"/>
        </w:rPr>
      </w:pPr>
      <w:bookmarkStart w:id="112" w:name="_Toc424047597"/>
      <w:bookmarkStart w:id="113" w:name="_Toc446060779"/>
      <w:bookmarkStart w:id="114" w:name="_Toc222308708"/>
      <w:bookmarkStart w:id="115" w:name="_Toc222843177"/>
      <w:r w:rsidRPr="007E040D">
        <w:rPr>
          <w:lang w:val="es-ES"/>
        </w:rPr>
        <w:t>8.1.2</w:t>
      </w:r>
      <w:r w:rsidRPr="007E040D">
        <w:rPr>
          <w:lang w:val="es-ES"/>
        </w:rPr>
        <w:tab/>
        <w:t>Publicaciones de servicio</w:t>
      </w:r>
      <w:bookmarkEnd w:id="112"/>
      <w:bookmarkEnd w:id="113"/>
      <w:bookmarkEnd w:id="114"/>
      <w:bookmarkEnd w:id="115"/>
    </w:p>
    <w:p w14:paraId="535F9A10" w14:textId="77777777" w:rsidR="006D51CF" w:rsidRPr="004C1106" w:rsidRDefault="006D51CF" w:rsidP="006D51CF">
      <w:pPr>
        <w:pStyle w:val="Heading4"/>
        <w:rPr>
          <w:lang w:val="es-ES"/>
        </w:rPr>
      </w:pPr>
      <w:r w:rsidRPr="004C1106">
        <w:rPr>
          <w:lang w:val="es-ES"/>
        </w:rPr>
        <w:t>8.1.2.1</w:t>
      </w:r>
      <w:r w:rsidRPr="004C1106">
        <w:rPr>
          <w:lang w:val="es-ES"/>
        </w:rPr>
        <w:tab/>
        <w:t>Antecedentes y observaciones generales</w:t>
      </w:r>
    </w:p>
    <w:p w14:paraId="15A643A3" w14:textId="77777777" w:rsidR="006D51CF" w:rsidRPr="007E040D" w:rsidRDefault="006D51CF" w:rsidP="006D51CF">
      <w:pPr>
        <w:rPr>
          <w:lang w:val="es-ES"/>
        </w:rPr>
      </w:pPr>
      <w:r w:rsidRPr="007E040D">
        <w:rPr>
          <w:lang w:val="es-ES"/>
        </w:rPr>
        <w:t xml:space="preserve">La Oficina elabora y publica los siguientes documentos de servicio, tal como especifica el Artículo </w:t>
      </w:r>
      <w:r w:rsidRPr="00D0088D">
        <w:rPr>
          <w:b/>
          <w:bCs/>
          <w:lang w:val="es-ES"/>
        </w:rPr>
        <w:t>20</w:t>
      </w:r>
      <w:r w:rsidRPr="007E040D">
        <w:rPr>
          <w:lang w:val="es-ES"/>
        </w:rPr>
        <w:t xml:space="preserve"> del Reglamento de Radiocomunicaciones:</w:t>
      </w:r>
    </w:p>
    <w:p w14:paraId="267D864E" w14:textId="7AE52D9B" w:rsidR="006D51CF" w:rsidRPr="007E040D" w:rsidRDefault="00D0088D" w:rsidP="00D0088D">
      <w:pPr>
        <w:pStyle w:val="enumlev1"/>
        <w:rPr>
          <w:lang w:val="es-ES"/>
        </w:rPr>
      </w:pPr>
      <w:r w:rsidRPr="008C3006">
        <w:rPr>
          <w:lang w:val="es-ES"/>
        </w:rPr>
        <w:t>–</w:t>
      </w:r>
      <w:r>
        <w:rPr>
          <w:lang w:val="es-ES"/>
        </w:rPr>
        <w:tab/>
      </w:r>
      <w:r w:rsidR="006D51CF" w:rsidRPr="007E040D">
        <w:rPr>
          <w:lang w:val="es-ES"/>
        </w:rPr>
        <w:t>BR IFIC – Circular Internacional de Información sobre Frecuencias</w:t>
      </w:r>
    </w:p>
    <w:p w14:paraId="389619C1" w14:textId="01049727" w:rsidR="006D51CF" w:rsidRPr="007E040D" w:rsidRDefault="00D0088D" w:rsidP="00D0088D">
      <w:pPr>
        <w:pStyle w:val="enumlev1"/>
        <w:rPr>
          <w:lang w:val="es-ES"/>
        </w:rPr>
      </w:pPr>
      <w:r w:rsidRPr="008C3006">
        <w:rPr>
          <w:lang w:val="es-ES"/>
        </w:rPr>
        <w:t>–</w:t>
      </w:r>
      <w:r>
        <w:rPr>
          <w:lang w:val="es-ES"/>
        </w:rPr>
        <w:tab/>
      </w:r>
      <w:r w:rsidR="006D51CF" w:rsidRPr="007E040D">
        <w:rPr>
          <w:lang w:val="es-ES"/>
        </w:rPr>
        <w:t>Lista IV − Nomenclátor de las estaciones costeras y de las estaciones que efectúan servicios especiales</w:t>
      </w:r>
    </w:p>
    <w:p w14:paraId="7166DC86" w14:textId="28275A35" w:rsidR="006D51CF" w:rsidRPr="007E040D" w:rsidRDefault="00D0088D" w:rsidP="00D0088D">
      <w:pPr>
        <w:pStyle w:val="enumlev1"/>
        <w:rPr>
          <w:lang w:val="es-ES"/>
        </w:rPr>
      </w:pPr>
      <w:r w:rsidRPr="008C3006">
        <w:rPr>
          <w:lang w:val="es-ES"/>
        </w:rPr>
        <w:lastRenderedPageBreak/>
        <w:t>–</w:t>
      </w:r>
      <w:r>
        <w:rPr>
          <w:lang w:val="es-ES"/>
        </w:rPr>
        <w:tab/>
      </w:r>
      <w:r w:rsidR="006D51CF" w:rsidRPr="007E040D">
        <w:rPr>
          <w:lang w:val="es-ES"/>
        </w:rPr>
        <w:t>Lista V − Nomenclátor de las estaciones de barco y de las asignaciones a identidades del servicio móvil marítimo</w:t>
      </w:r>
    </w:p>
    <w:p w14:paraId="1226F19A" w14:textId="08BC6F16" w:rsidR="006D51CF" w:rsidRPr="007E040D" w:rsidRDefault="00D0088D" w:rsidP="00D0088D">
      <w:pPr>
        <w:pStyle w:val="enumlev1"/>
        <w:rPr>
          <w:lang w:val="es-ES"/>
        </w:rPr>
      </w:pPr>
      <w:r w:rsidRPr="008C3006">
        <w:rPr>
          <w:lang w:val="es-ES"/>
        </w:rPr>
        <w:t>–</w:t>
      </w:r>
      <w:r>
        <w:rPr>
          <w:lang w:val="es-ES"/>
        </w:rPr>
        <w:tab/>
      </w:r>
      <w:r w:rsidR="006D51CF" w:rsidRPr="007E040D">
        <w:rPr>
          <w:lang w:val="es-ES"/>
        </w:rPr>
        <w:t>Lista VIII − Nomenclátor de las estaciones de comprobación técnica internacional de las emisiones</w:t>
      </w:r>
    </w:p>
    <w:p w14:paraId="7B0F4A3A" w14:textId="3FFE5714" w:rsidR="006D51CF" w:rsidRPr="007E040D" w:rsidRDefault="00D0088D" w:rsidP="00D0088D">
      <w:pPr>
        <w:pStyle w:val="enumlev1"/>
        <w:rPr>
          <w:lang w:val="es-ES"/>
        </w:rPr>
      </w:pPr>
      <w:r w:rsidRPr="008C3006">
        <w:rPr>
          <w:lang w:val="es-ES"/>
        </w:rPr>
        <w:t>–</w:t>
      </w:r>
      <w:r>
        <w:rPr>
          <w:lang w:val="es-ES"/>
        </w:rPr>
        <w:tab/>
      </w:r>
      <w:r w:rsidR="006D51CF" w:rsidRPr="007E040D">
        <w:rPr>
          <w:lang w:val="es-ES"/>
        </w:rPr>
        <w:t>Manual para uso de los servicios móvil marítimo y móvil marítimo por satélite (Manual Marítimo)</w:t>
      </w:r>
    </w:p>
    <w:p w14:paraId="149F967F" w14:textId="77777777" w:rsidR="006D51CF" w:rsidRPr="007E040D" w:rsidRDefault="006D51CF" w:rsidP="006D51CF">
      <w:pPr>
        <w:pStyle w:val="Heading4"/>
        <w:rPr>
          <w:lang w:val="es-ES"/>
        </w:rPr>
      </w:pPr>
      <w:r w:rsidRPr="007E040D">
        <w:rPr>
          <w:lang w:val="es-ES"/>
        </w:rPr>
        <w:t>8.1.2.2</w:t>
      </w:r>
      <w:r w:rsidRPr="007E040D">
        <w:rPr>
          <w:lang w:val="es-ES"/>
        </w:rPr>
        <w:tab/>
        <w:t>Nomenclátor de las estaciones costeras y de las estaciones</w:t>
      </w:r>
      <w:r>
        <w:rPr>
          <w:lang w:val="es-ES"/>
        </w:rPr>
        <w:t xml:space="preserve"> que efectúan servicios especiales</w:t>
      </w:r>
      <w:r w:rsidRPr="007E040D">
        <w:rPr>
          <w:lang w:val="es-ES"/>
        </w:rPr>
        <w:t xml:space="preserve"> (List</w:t>
      </w:r>
      <w:r>
        <w:rPr>
          <w:lang w:val="es-ES"/>
        </w:rPr>
        <w:t>a</w:t>
      </w:r>
      <w:r w:rsidRPr="007E040D">
        <w:rPr>
          <w:lang w:val="es-ES"/>
        </w:rPr>
        <w:t xml:space="preserve"> IV)</w:t>
      </w:r>
    </w:p>
    <w:p w14:paraId="495D50B1" w14:textId="77777777" w:rsidR="006D51CF" w:rsidRPr="007E040D" w:rsidRDefault="006D51CF" w:rsidP="006D51CF">
      <w:pPr>
        <w:rPr>
          <w:lang w:val="es-ES"/>
        </w:rPr>
      </w:pPr>
      <w:r w:rsidRPr="007E040D">
        <w:rPr>
          <w:lang w:val="es-ES"/>
        </w:rPr>
        <w:t xml:space="preserve">Este Nomenclátor contiene la información notificada a la UIT (es decir, distintivo de llamada, MMSI, coordenadas geográficas, frecuencias de transmisión y de recepción, etc.) en relación con las estaciones costeras que prestan servicios de vigilancia mediante técnicas de llamada selectiva digital, servicio de correspondencia pública, asesoramiento médico, avisos náuticos y meteorológicos, avisos a los navegantes y señales horarias radioeléctricas, etc. </w:t>
      </w:r>
    </w:p>
    <w:p w14:paraId="1BED65E1" w14:textId="77777777" w:rsidR="006D51CF" w:rsidRPr="007E040D" w:rsidRDefault="006D51CF" w:rsidP="006D51CF">
      <w:pPr>
        <w:jc w:val="both"/>
        <w:rPr>
          <w:lang w:val="es-ES"/>
        </w:rPr>
      </w:pPr>
      <w:r w:rsidRPr="007E040D">
        <w:rPr>
          <w:lang w:val="es-ES"/>
        </w:rPr>
        <w:t>El Nomenclátor de las estaciones costeras y de las estaciones que ef</w:t>
      </w:r>
      <w:r>
        <w:rPr>
          <w:lang w:val="es-ES"/>
        </w:rPr>
        <w:t>ectúan servicios especiales (Lista</w:t>
      </w:r>
      <w:r w:rsidRPr="007E040D">
        <w:rPr>
          <w:lang w:val="es-ES"/>
        </w:rPr>
        <w:t xml:space="preserve"> IV) </w:t>
      </w:r>
      <w:r>
        <w:rPr>
          <w:lang w:val="es-ES"/>
        </w:rPr>
        <w:t>se publica con una periodicidad bienal. La última edición de la Lista IV se publicó en noviembre de</w:t>
      </w:r>
      <w:r w:rsidRPr="007E040D">
        <w:rPr>
          <w:lang w:val="es-ES"/>
        </w:rPr>
        <w:t xml:space="preserve"> 2025. </w:t>
      </w:r>
    </w:p>
    <w:p w14:paraId="7D6A1877" w14:textId="77777777" w:rsidR="006D51CF" w:rsidRPr="007E040D" w:rsidRDefault="006D51CF" w:rsidP="006D51CF">
      <w:pPr>
        <w:rPr>
          <w:lang w:val="es-ES"/>
        </w:rPr>
      </w:pPr>
      <w:r w:rsidRPr="007E040D">
        <w:rPr>
          <w:lang w:val="es-ES"/>
        </w:rPr>
        <w:t xml:space="preserve">La información relativa a esta Lista puede consultarse a través del sistema de información en línea «Sistema de acceso y extracción en el servicio móvil marítimo» (MARS) de la UIT. </w:t>
      </w:r>
    </w:p>
    <w:p w14:paraId="6A39821E" w14:textId="77777777" w:rsidR="006D51CF" w:rsidRPr="007E040D" w:rsidRDefault="006D51CF" w:rsidP="006D51CF">
      <w:pPr>
        <w:pStyle w:val="Heading4"/>
        <w:rPr>
          <w:lang w:val="es-ES"/>
        </w:rPr>
      </w:pPr>
      <w:r w:rsidRPr="007E040D">
        <w:rPr>
          <w:lang w:val="es-ES"/>
        </w:rPr>
        <w:t>8.1.2.3</w:t>
      </w:r>
      <w:r w:rsidRPr="007E040D">
        <w:rPr>
          <w:lang w:val="es-ES"/>
        </w:rPr>
        <w:tab/>
        <w:t xml:space="preserve">Nomenclátor de las estaciones de barco y de </w:t>
      </w:r>
      <w:r>
        <w:rPr>
          <w:lang w:val="es-ES"/>
        </w:rPr>
        <w:t>las asignaciones a identidades del servicio móvil marítimo</w:t>
      </w:r>
      <w:r w:rsidRPr="007E040D">
        <w:rPr>
          <w:lang w:val="es-ES"/>
        </w:rPr>
        <w:t xml:space="preserve"> (List</w:t>
      </w:r>
      <w:r>
        <w:rPr>
          <w:lang w:val="es-ES"/>
        </w:rPr>
        <w:t>a</w:t>
      </w:r>
      <w:r w:rsidRPr="007E040D">
        <w:rPr>
          <w:lang w:val="es-ES"/>
        </w:rPr>
        <w:t xml:space="preserve"> V)</w:t>
      </w:r>
    </w:p>
    <w:p w14:paraId="3B41A086" w14:textId="77777777" w:rsidR="006D51CF" w:rsidRPr="007E040D" w:rsidRDefault="006D51CF" w:rsidP="006D51CF">
      <w:pPr>
        <w:rPr>
          <w:lang w:val="es-ES"/>
        </w:rPr>
      </w:pPr>
      <w:r w:rsidRPr="007E040D">
        <w:rPr>
          <w:lang w:val="es-ES"/>
        </w:rPr>
        <w:t>Este Nomenclátor contiene la información notificada a la UIT en relación con las estaciones de barco, costeras y de aeronaves de búsqueda y salvamento (SAR), las estaciones a bordo de aeronaves, los códigos de identificación de la autoridad encargada de la contabilidad (CCA) y la información de contacto de las administraciones notificantes.</w:t>
      </w:r>
    </w:p>
    <w:p w14:paraId="5FB81689" w14:textId="77777777" w:rsidR="006D51CF" w:rsidRPr="0018201F" w:rsidRDefault="006D51CF" w:rsidP="006D51CF">
      <w:pPr>
        <w:rPr>
          <w:lang w:val="es-ES"/>
        </w:rPr>
      </w:pPr>
      <w:r w:rsidRPr="007E040D">
        <w:rPr>
          <w:lang w:val="es-ES"/>
        </w:rPr>
        <w:t>El Nomenclátor de las estaciones de barco y de las asignaciones a id</w:t>
      </w:r>
      <w:r>
        <w:rPr>
          <w:lang w:val="es-ES"/>
        </w:rPr>
        <w:t xml:space="preserve">entidades del servicio móvil marítimo (Lista V) se publica con periodicidad anual. </w:t>
      </w:r>
      <w:r w:rsidRPr="0018201F">
        <w:rPr>
          <w:lang w:val="es-ES"/>
        </w:rPr>
        <w:t>La última edición de la Lista V se publicó en abril de 2025.</w:t>
      </w:r>
      <w:r w:rsidRPr="0018201F">
        <w:rPr>
          <w:rFonts w:asciiTheme="majorBidi" w:eastAsiaTheme="minorEastAsia" w:hAnsiTheme="majorBidi" w:cstheme="majorBidi"/>
          <w:lang w:val="es-ES" w:eastAsia="zh-CN"/>
        </w:rPr>
        <w:t xml:space="preserve"> </w:t>
      </w:r>
    </w:p>
    <w:p w14:paraId="34456827" w14:textId="77777777" w:rsidR="006D51CF" w:rsidRPr="0018201F" w:rsidRDefault="006D51CF" w:rsidP="006D51CF">
      <w:pPr>
        <w:rPr>
          <w:lang w:val="es-ES"/>
        </w:rPr>
      </w:pPr>
      <w:r w:rsidRPr="0018201F">
        <w:rPr>
          <w:lang w:val="es-ES"/>
        </w:rPr>
        <w:t>La información relativa a esta Lista también puede consultarse a través del sistema de información en línea MARS. Cada tres meses, se publica en la web una recopilación de todos los cambios notificados a la UIT.</w:t>
      </w:r>
    </w:p>
    <w:p w14:paraId="65B96699" w14:textId="77777777" w:rsidR="006D51CF" w:rsidRPr="0018201F" w:rsidRDefault="006D51CF" w:rsidP="006D51CF">
      <w:pPr>
        <w:pStyle w:val="Heading4"/>
        <w:rPr>
          <w:lang w:val="es-ES"/>
        </w:rPr>
      </w:pPr>
      <w:r w:rsidRPr="0018201F">
        <w:rPr>
          <w:lang w:val="es-ES"/>
        </w:rPr>
        <w:t>8.1.2.4</w:t>
      </w:r>
      <w:r w:rsidRPr="0018201F">
        <w:rPr>
          <w:lang w:val="es-ES"/>
        </w:rPr>
        <w:tab/>
        <w:t xml:space="preserve">Nomenclátor de las estaciones de comprobación </w:t>
      </w:r>
      <w:r>
        <w:rPr>
          <w:lang w:val="es-ES"/>
        </w:rPr>
        <w:t>técnica internacional de las emisiones</w:t>
      </w:r>
      <w:r w:rsidRPr="0018201F">
        <w:rPr>
          <w:lang w:val="es-ES"/>
        </w:rPr>
        <w:t xml:space="preserve"> (List</w:t>
      </w:r>
      <w:r>
        <w:rPr>
          <w:lang w:val="es-ES"/>
        </w:rPr>
        <w:t>a</w:t>
      </w:r>
      <w:r w:rsidRPr="0018201F">
        <w:rPr>
          <w:lang w:val="es-ES"/>
        </w:rPr>
        <w:t xml:space="preserve"> VIII)</w:t>
      </w:r>
    </w:p>
    <w:p w14:paraId="14A1F1E6" w14:textId="77777777" w:rsidR="006D51CF" w:rsidRPr="0018201F" w:rsidRDefault="006D51CF" w:rsidP="006D51CF">
      <w:pPr>
        <w:rPr>
          <w:b/>
          <w:lang w:val="es-ES"/>
        </w:rPr>
      </w:pPr>
      <w:r w:rsidRPr="0018201F">
        <w:rPr>
          <w:lang w:val="es-ES"/>
        </w:rPr>
        <w:t xml:space="preserve">El Nomenclátor de las estaciones de comprobación técnica internacional de las emisiones (Lista VIII) contiene las direcciones y otros datos pertinentes de las oficinas centralizadoras, incluida información detallada sobre las estaciones de comprobación técnica que miden emisiones terrenales y espaciales. </w:t>
      </w:r>
    </w:p>
    <w:p w14:paraId="23C9B0C4" w14:textId="77777777" w:rsidR="006D51CF" w:rsidRPr="0018201F" w:rsidRDefault="006D51CF" w:rsidP="006D51CF">
      <w:pPr>
        <w:rPr>
          <w:lang w:val="es-ES"/>
        </w:rPr>
      </w:pPr>
      <w:r w:rsidRPr="0018201F">
        <w:rPr>
          <w:lang w:val="es-ES"/>
        </w:rPr>
        <w:t xml:space="preserve">La última edición de esta Lista se publicó en noviembre </w:t>
      </w:r>
      <w:r>
        <w:rPr>
          <w:lang w:val="es-ES"/>
        </w:rPr>
        <w:t>de</w:t>
      </w:r>
      <w:r w:rsidRPr="0018201F">
        <w:rPr>
          <w:lang w:val="es-ES"/>
        </w:rPr>
        <w:t xml:space="preserve"> 2025.</w:t>
      </w:r>
    </w:p>
    <w:p w14:paraId="0B8F0920" w14:textId="0331A20D" w:rsidR="006D51CF" w:rsidRPr="0018201F" w:rsidRDefault="006D51CF" w:rsidP="006D51CF">
      <w:pPr>
        <w:pStyle w:val="Heading4"/>
        <w:rPr>
          <w:lang w:val="es-ES"/>
        </w:rPr>
      </w:pPr>
      <w:r w:rsidRPr="0018201F">
        <w:rPr>
          <w:lang w:val="es-ES"/>
        </w:rPr>
        <w:t>8.1.2.5</w:t>
      </w:r>
      <w:r w:rsidRPr="0018201F">
        <w:rPr>
          <w:lang w:val="es-ES"/>
        </w:rPr>
        <w:tab/>
        <w:t xml:space="preserve">Manual para uso de los servicios móvil </w:t>
      </w:r>
      <w:r>
        <w:rPr>
          <w:lang w:val="es-ES"/>
        </w:rPr>
        <w:t>marítimo y móvil marítimo por satélite (Manual Marítimo</w:t>
      </w:r>
      <w:r w:rsidRPr="0018201F">
        <w:rPr>
          <w:lang w:val="es-ES"/>
        </w:rPr>
        <w:t>)</w:t>
      </w:r>
    </w:p>
    <w:p w14:paraId="095DD3C4" w14:textId="2C741C0B" w:rsidR="006D51CF" w:rsidRPr="0018201F" w:rsidRDefault="006D51CF" w:rsidP="006D51CF">
      <w:pPr>
        <w:rPr>
          <w:lang w:val="es-ES"/>
        </w:rPr>
      </w:pPr>
      <w:r w:rsidRPr="0018201F">
        <w:rPr>
          <w:lang w:val="es-ES"/>
        </w:rPr>
        <w:t xml:space="preserve">El Manual para uso de los servicios móvil marítimo y móvil marítimo por satélite (Manual Marítimo) es un documento de referencia, en el que se describen de forma exhaustiva las comunicaciones marítimas. La edición de 2024, publicada en diciembre de 2024, incluye las decisiones adoptadas por la CMR-23 en relación </w:t>
      </w:r>
      <w:r>
        <w:rPr>
          <w:lang w:val="es-ES"/>
        </w:rPr>
        <w:t>con los servicios mencionados y las últimas novedades relativas a los actuales sistemas de radiocomunicaciones marítimas, que reflejan los avances más recientes en la materia</w:t>
      </w:r>
      <w:r w:rsidRPr="0018201F">
        <w:rPr>
          <w:lang w:val="es-ES"/>
        </w:rPr>
        <w:t>.</w:t>
      </w:r>
    </w:p>
    <w:p w14:paraId="6F91B016" w14:textId="77777777" w:rsidR="006D51CF" w:rsidRPr="0018201F" w:rsidRDefault="006D51CF" w:rsidP="006D51CF">
      <w:pPr>
        <w:rPr>
          <w:lang w:val="es-ES"/>
        </w:rPr>
      </w:pPr>
      <w:r w:rsidRPr="0018201F">
        <w:rPr>
          <w:lang w:val="es-ES"/>
        </w:rPr>
        <w:lastRenderedPageBreak/>
        <w:t>En el volumen 1 se describe la organización y el funcionamien</w:t>
      </w:r>
      <w:r>
        <w:rPr>
          <w:lang w:val="es-ES"/>
        </w:rPr>
        <w:t>to del SMSSM y otros procedimientos operativos marítimos</w:t>
      </w:r>
      <w:r w:rsidRPr="0018201F">
        <w:rPr>
          <w:lang w:val="es-ES"/>
        </w:rPr>
        <w:t xml:space="preserve">. El Volumen 2 contiene una recopilación de los textos reglamentarios, técnicos y operativos pertinentes de la UIT que guardan relación con los servicios móvil marítimo y móvil marítimo por satélite. </w:t>
      </w:r>
    </w:p>
    <w:p w14:paraId="431D2A70" w14:textId="6760C135" w:rsidR="006D51CF" w:rsidRPr="0018201F" w:rsidRDefault="006D51CF" w:rsidP="006D51CF">
      <w:pPr>
        <w:pStyle w:val="Heading4"/>
        <w:rPr>
          <w:lang w:val="es-ES"/>
        </w:rPr>
      </w:pPr>
      <w:r w:rsidRPr="0018201F">
        <w:rPr>
          <w:lang w:val="es-ES"/>
        </w:rPr>
        <w:t>8.1.2.6</w:t>
      </w:r>
      <w:r w:rsidRPr="0018201F">
        <w:rPr>
          <w:lang w:val="es-ES"/>
        </w:rPr>
        <w:tab/>
        <w:t>Lista de documentos de servicio pu</w:t>
      </w:r>
      <w:r>
        <w:rPr>
          <w:lang w:val="es-ES"/>
        </w:rPr>
        <w:t>blicados</w:t>
      </w:r>
    </w:p>
    <w:p w14:paraId="50F1DAA3" w14:textId="77777777" w:rsidR="006D51CF" w:rsidRPr="0018201F" w:rsidRDefault="006D51CF" w:rsidP="006D51CF">
      <w:pPr>
        <w:rPr>
          <w:lang w:val="es-ES"/>
        </w:rPr>
      </w:pPr>
      <w:r w:rsidRPr="0018201F">
        <w:rPr>
          <w:lang w:val="es-ES"/>
        </w:rPr>
        <w:t>En el Cuadro 8.1.2.5-1 se resumen las diferentes publicaciones del periodo 2022-2025:</w:t>
      </w:r>
    </w:p>
    <w:p w14:paraId="0F31C507" w14:textId="77777777" w:rsidR="00A83356" w:rsidRDefault="006D51CF" w:rsidP="00A83356">
      <w:pPr>
        <w:pStyle w:val="TableNoBR"/>
        <w:spacing w:before="480"/>
        <w:rPr>
          <w:b/>
          <w:caps w:val="0"/>
          <w:lang w:val="es-ES"/>
        </w:rPr>
      </w:pPr>
      <w:r w:rsidRPr="0018201F">
        <w:rPr>
          <w:bCs/>
          <w:lang w:val="es-ES"/>
        </w:rPr>
        <w:t>CUADRO 8.1.2.5-1</w:t>
      </w:r>
    </w:p>
    <w:p w14:paraId="695D71C9" w14:textId="74C6F1A9" w:rsidR="006D51CF" w:rsidRPr="005F26E3" w:rsidRDefault="006D51CF" w:rsidP="005F26E3">
      <w:pPr>
        <w:pStyle w:val="Tabletitle"/>
        <w:rPr>
          <w:sz w:val="24"/>
          <w:szCs w:val="24"/>
          <w:lang w:val="es-ES"/>
        </w:rPr>
      </w:pPr>
      <w:r w:rsidRPr="00A83356">
        <w:rPr>
          <w:sz w:val="24"/>
          <w:szCs w:val="24"/>
          <w:lang w:val="es-ES"/>
        </w:rPr>
        <w:t>Lista de documentos de servicio publicados, 2022-2025</w:t>
      </w:r>
    </w:p>
    <w:tbl>
      <w:tblPr>
        <w:tblStyle w:val="GridTable5Dark-Accent1"/>
        <w:tblW w:w="9868" w:type="dxa"/>
        <w:jc w:val="center"/>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Layout w:type="fixed"/>
        <w:tblLook w:val="04A0" w:firstRow="1" w:lastRow="0" w:firstColumn="1" w:lastColumn="0" w:noHBand="0" w:noVBand="1"/>
      </w:tblPr>
      <w:tblGrid>
        <w:gridCol w:w="3201"/>
        <w:gridCol w:w="1666"/>
        <w:gridCol w:w="1667"/>
        <w:gridCol w:w="1667"/>
        <w:gridCol w:w="1667"/>
      </w:tblGrid>
      <w:tr w:rsidR="006D51CF" w:rsidRPr="00E43D09" w14:paraId="51B86BA1" w14:textId="77777777" w:rsidTr="002E3B6B">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01" w:type="dxa"/>
            <w:tcBorders>
              <w:top w:val="none" w:sz="0" w:space="0" w:color="auto"/>
              <w:left w:val="none" w:sz="0" w:space="0" w:color="auto"/>
              <w:right w:val="none" w:sz="0" w:space="0" w:color="auto"/>
            </w:tcBorders>
          </w:tcPr>
          <w:p w14:paraId="40E30C4D" w14:textId="77777777" w:rsidR="006D51CF" w:rsidRPr="0018201F" w:rsidRDefault="006D51CF" w:rsidP="002E3B6B">
            <w:pPr>
              <w:spacing w:before="0"/>
              <w:jc w:val="center"/>
              <w:rPr>
                <w:sz w:val="22"/>
                <w:szCs w:val="18"/>
                <w:lang w:val="es-ES"/>
              </w:rPr>
            </w:pPr>
            <w:r w:rsidRPr="0018201F">
              <w:rPr>
                <w:sz w:val="22"/>
                <w:szCs w:val="18"/>
                <w:lang w:val="es-ES"/>
              </w:rPr>
              <w:t xml:space="preserve"> </w:t>
            </w:r>
          </w:p>
        </w:tc>
        <w:tc>
          <w:tcPr>
            <w:tcW w:w="1666" w:type="dxa"/>
            <w:tcBorders>
              <w:top w:val="none" w:sz="0" w:space="0" w:color="auto"/>
              <w:left w:val="none" w:sz="0" w:space="0" w:color="auto"/>
              <w:right w:val="none" w:sz="0" w:space="0" w:color="auto"/>
            </w:tcBorders>
          </w:tcPr>
          <w:p w14:paraId="615BCF78" w14:textId="77777777" w:rsidR="006D51CF" w:rsidRPr="00673D36" w:rsidRDefault="006D51CF" w:rsidP="002E3B6B">
            <w:pPr>
              <w:spacing w:before="0"/>
              <w:jc w:val="center"/>
              <w:cnfStyle w:val="100000000000" w:firstRow="1" w:lastRow="0" w:firstColumn="0" w:lastColumn="0" w:oddVBand="0" w:evenVBand="0" w:oddHBand="0" w:evenHBand="0" w:firstRowFirstColumn="0" w:firstRowLastColumn="0" w:lastRowFirstColumn="0" w:lastRowLastColumn="0"/>
              <w:rPr>
                <w:sz w:val="22"/>
                <w:szCs w:val="18"/>
              </w:rPr>
            </w:pPr>
            <w:r w:rsidRPr="00673D36">
              <w:rPr>
                <w:sz w:val="22"/>
                <w:szCs w:val="18"/>
              </w:rPr>
              <w:t>2022</w:t>
            </w:r>
          </w:p>
        </w:tc>
        <w:tc>
          <w:tcPr>
            <w:tcW w:w="1667" w:type="dxa"/>
            <w:tcBorders>
              <w:top w:val="none" w:sz="0" w:space="0" w:color="auto"/>
              <w:left w:val="none" w:sz="0" w:space="0" w:color="auto"/>
              <w:right w:val="none" w:sz="0" w:space="0" w:color="auto"/>
            </w:tcBorders>
          </w:tcPr>
          <w:p w14:paraId="1A332535" w14:textId="77777777" w:rsidR="006D51CF" w:rsidRPr="00673D36" w:rsidRDefault="006D51CF" w:rsidP="002E3B6B">
            <w:pPr>
              <w:spacing w:before="0"/>
              <w:jc w:val="center"/>
              <w:cnfStyle w:val="100000000000" w:firstRow="1" w:lastRow="0" w:firstColumn="0" w:lastColumn="0" w:oddVBand="0" w:evenVBand="0" w:oddHBand="0" w:evenHBand="0" w:firstRowFirstColumn="0" w:firstRowLastColumn="0" w:lastRowFirstColumn="0" w:lastRowLastColumn="0"/>
              <w:rPr>
                <w:sz w:val="22"/>
                <w:szCs w:val="18"/>
              </w:rPr>
            </w:pPr>
            <w:r w:rsidRPr="00673D36">
              <w:rPr>
                <w:sz w:val="22"/>
                <w:szCs w:val="18"/>
              </w:rPr>
              <w:t>2023</w:t>
            </w:r>
          </w:p>
        </w:tc>
        <w:tc>
          <w:tcPr>
            <w:tcW w:w="1667" w:type="dxa"/>
            <w:tcBorders>
              <w:top w:val="none" w:sz="0" w:space="0" w:color="auto"/>
              <w:left w:val="none" w:sz="0" w:space="0" w:color="auto"/>
              <w:right w:val="none" w:sz="0" w:space="0" w:color="auto"/>
            </w:tcBorders>
          </w:tcPr>
          <w:p w14:paraId="37272A56" w14:textId="77777777" w:rsidR="006D51CF" w:rsidRPr="00673D36" w:rsidRDefault="006D51CF" w:rsidP="002E3B6B">
            <w:pPr>
              <w:spacing w:before="0"/>
              <w:jc w:val="center"/>
              <w:cnfStyle w:val="100000000000" w:firstRow="1" w:lastRow="0" w:firstColumn="0" w:lastColumn="0" w:oddVBand="0" w:evenVBand="0" w:oddHBand="0" w:evenHBand="0" w:firstRowFirstColumn="0" w:firstRowLastColumn="0" w:lastRowFirstColumn="0" w:lastRowLastColumn="0"/>
              <w:rPr>
                <w:sz w:val="22"/>
                <w:szCs w:val="18"/>
              </w:rPr>
            </w:pPr>
            <w:r w:rsidRPr="00673D36">
              <w:rPr>
                <w:sz w:val="22"/>
                <w:szCs w:val="18"/>
              </w:rPr>
              <w:t>2024</w:t>
            </w:r>
          </w:p>
        </w:tc>
        <w:tc>
          <w:tcPr>
            <w:tcW w:w="1667" w:type="dxa"/>
            <w:tcBorders>
              <w:top w:val="none" w:sz="0" w:space="0" w:color="auto"/>
              <w:left w:val="none" w:sz="0" w:space="0" w:color="auto"/>
              <w:right w:val="none" w:sz="0" w:space="0" w:color="auto"/>
            </w:tcBorders>
          </w:tcPr>
          <w:p w14:paraId="748FF50A" w14:textId="77777777" w:rsidR="006D51CF" w:rsidRPr="00673D36" w:rsidRDefault="006D51CF" w:rsidP="002E3B6B">
            <w:pPr>
              <w:spacing w:before="0"/>
              <w:jc w:val="center"/>
              <w:cnfStyle w:val="100000000000" w:firstRow="1" w:lastRow="0" w:firstColumn="0" w:lastColumn="0" w:oddVBand="0" w:evenVBand="0" w:oddHBand="0" w:evenHBand="0" w:firstRowFirstColumn="0" w:firstRowLastColumn="0" w:lastRowFirstColumn="0" w:lastRowLastColumn="0"/>
              <w:rPr>
                <w:sz w:val="22"/>
                <w:szCs w:val="18"/>
              </w:rPr>
            </w:pPr>
            <w:r w:rsidRPr="00673D36">
              <w:rPr>
                <w:sz w:val="22"/>
                <w:szCs w:val="18"/>
              </w:rPr>
              <w:t>2025</w:t>
            </w:r>
          </w:p>
        </w:tc>
      </w:tr>
      <w:tr w:rsidR="006D51CF" w:rsidRPr="00E43D09" w14:paraId="76C3116E" w14:textId="77777777" w:rsidTr="002E3B6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01" w:type="dxa"/>
            <w:tcBorders>
              <w:left w:val="none" w:sz="0" w:space="0" w:color="auto"/>
            </w:tcBorders>
            <w:vAlign w:val="center"/>
          </w:tcPr>
          <w:p w14:paraId="2B05E804" w14:textId="77777777" w:rsidR="006D51CF" w:rsidRPr="0018201F" w:rsidRDefault="006D51CF" w:rsidP="002E3B6B">
            <w:pPr>
              <w:spacing w:before="0"/>
              <w:rPr>
                <w:sz w:val="22"/>
                <w:szCs w:val="18"/>
                <w:lang w:val="es-ES"/>
              </w:rPr>
            </w:pPr>
            <w:r w:rsidRPr="0018201F">
              <w:rPr>
                <w:sz w:val="22"/>
                <w:szCs w:val="18"/>
                <w:lang w:val="es-ES"/>
              </w:rPr>
              <w:t>BR IFIC (</w:t>
            </w:r>
            <w:r w:rsidRPr="007E040D">
              <w:rPr>
                <w:lang w:val="es-ES"/>
              </w:rPr>
              <w:t>Circular Internacional de Información sobre Frecuencias</w:t>
            </w:r>
            <w:r w:rsidRPr="0018201F">
              <w:rPr>
                <w:sz w:val="22"/>
                <w:szCs w:val="18"/>
                <w:lang w:val="es-ES"/>
              </w:rPr>
              <w:t>)</w:t>
            </w:r>
          </w:p>
        </w:tc>
        <w:tc>
          <w:tcPr>
            <w:tcW w:w="1666" w:type="dxa"/>
            <w:vAlign w:val="center"/>
          </w:tcPr>
          <w:p w14:paraId="1CA2A3D8" w14:textId="77777777" w:rsidR="006D51CF" w:rsidRPr="00673D36" w:rsidRDefault="006D51CF" w:rsidP="002E3B6B">
            <w:pPr>
              <w:spacing w:before="0"/>
              <w:jc w:val="center"/>
              <w:cnfStyle w:val="000000100000" w:firstRow="0" w:lastRow="0" w:firstColumn="0" w:lastColumn="0" w:oddVBand="0" w:evenVBand="0" w:oddHBand="1" w:evenHBand="0" w:firstRowFirstColumn="0" w:firstRowLastColumn="0" w:lastRowFirstColumn="0" w:lastRowLastColumn="0"/>
              <w:rPr>
                <w:sz w:val="22"/>
                <w:szCs w:val="18"/>
              </w:rPr>
            </w:pPr>
            <w:r w:rsidRPr="00673D36">
              <w:rPr>
                <w:sz w:val="22"/>
                <w:szCs w:val="18"/>
              </w:rPr>
              <w:t>26</w:t>
            </w:r>
          </w:p>
        </w:tc>
        <w:tc>
          <w:tcPr>
            <w:tcW w:w="1667" w:type="dxa"/>
            <w:vAlign w:val="center"/>
          </w:tcPr>
          <w:p w14:paraId="26744666" w14:textId="77777777" w:rsidR="006D51CF" w:rsidRPr="00673D36" w:rsidRDefault="006D51CF" w:rsidP="002E3B6B">
            <w:pPr>
              <w:spacing w:before="0"/>
              <w:jc w:val="center"/>
              <w:cnfStyle w:val="000000100000" w:firstRow="0" w:lastRow="0" w:firstColumn="0" w:lastColumn="0" w:oddVBand="0" w:evenVBand="0" w:oddHBand="1" w:evenHBand="0" w:firstRowFirstColumn="0" w:firstRowLastColumn="0" w:lastRowFirstColumn="0" w:lastRowLastColumn="0"/>
              <w:rPr>
                <w:sz w:val="22"/>
                <w:szCs w:val="18"/>
              </w:rPr>
            </w:pPr>
            <w:r w:rsidRPr="00673D36">
              <w:rPr>
                <w:sz w:val="22"/>
                <w:szCs w:val="18"/>
              </w:rPr>
              <w:t>25</w:t>
            </w:r>
          </w:p>
        </w:tc>
        <w:tc>
          <w:tcPr>
            <w:tcW w:w="1667" w:type="dxa"/>
            <w:vAlign w:val="center"/>
          </w:tcPr>
          <w:p w14:paraId="55BD81FB" w14:textId="77777777" w:rsidR="006D51CF" w:rsidRPr="00673D36" w:rsidRDefault="006D51CF" w:rsidP="002E3B6B">
            <w:pPr>
              <w:spacing w:before="0"/>
              <w:jc w:val="center"/>
              <w:cnfStyle w:val="000000100000" w:firstRow="0" w:lastRow="0" w:firstColumn="0" w:lastColumn="0" w:oddVBand="0" w:evenVBand="0" w:oddHBand="1" w:evenHBand="0" w:firstRowFirstColumn="0" w:firstRowLastColumn="0" w:lastRowFirstColumn="0" w:lastRowLastColumn="0"/>
              <w:rPr>
                <w:sz w:val="22"/>
                <w:szCs w:val="18"/>
              </w:rPr>
            </w:pPr>
            <w:r w:rsidRPr="00673D36">
              <w:rPr>
                <w:sz w:val="22"/>
                <w:szCs w:val="18"/>
              </w:rPr>
              <w:t>25</w:t>
            </w:r>
          </w:p>
        </w:tc>
        <w:tc>
          <w:tcPr>
            <w:tcW w:w="1667" w:type="dxa"/>
            <w:vAlign w:val="center"/>
          </w:tcPr>
          <w:p w14:paraId="62306C99" w14:textId="77777777" w:rsidR="006D51CF" w:rsidRPr="00673D36" w:rsidRDefault="006D51CF" w:rsidP="002E3B6B">
            <w:pPr>
              <w:spacing w:before="0"/>
              <w:jc w:val="center"/>
              <w:cnfStyle w:val="000000100000" w:firstRow="0" w:lastRow="0" w:firstColumn="0" w:lastColumn="0" w:oddVBand="0" w:evenVBand="0" w:oddHBand="1" w:evenHBand="0" w:firstRowFirstColumn="0" w:firstRowLastColumn="0" w:lastRowFirstColumn="0" w:lastRowLastColumn="0"/>
              <w:rPr>
                <w:sz w:val="22"/>
                <w:szCs w:val="18"/>
              </w:rPr>
            </w:pPr>
            <w:r w:rsidRPr="00673D36">
              <w:rPr>
                <w:sz w:val="22"/>
                <w:szCs w:val="18"/>
              </w:rPr>
              <w:t>25</w:t>
            </w:r>
          </w:p>
        </w:tc>
      </w:tr>
      <w:tr w:rsidR="006D51CF" w:rsidRPr="00E43D09" w14:paraId="7D8B520B" w14:textId="77777777" w:rsidTr="002E3B6B">
        <w:trPr>
          <w:trHeight w:val="300"/>
          <w:jc w:val="center"/>
        </w:trPr>
        <w:tc>
          <w:tcPr>
            <w:cnfStyle w:val="001000000000" w:firstRow="0" w:lastRow="0" w:firstColumn="1" w:lastColumn="0" w:oddVBand="0" w:evenVBand="0" w:oddHBand="0" w:evenHBand="0" w:firstRowFirstColumn="0" w:firstRowLastColumn="0" w:lastRowFirstColumn="0" w:lastRowLastColumn="0"/>
            <w:tcW w:w="3201" w:type="dxa"/>
            <w:tcBorders>
              <w:left w:val="none" w:sz="0" w:space="0" w:color="auto"/>
            </w:tcBorders>
            <w:vAlign w:val="center"/>
          </w:tcPr>
          <w:p w14:paraId="34809FB9" w14:textId="77777777" w:rsidR="006D51CF" w:rsidRPr="0018201F" w:rsidRDefault="006D51CF" w:rsidP="002E3B6B">
            <w:pPr>
              <w:spacing w:before="0"/>
              <w:rPr>
                <w:sz w:val="22"/>
                <w:szCs w:val="18"/>
                <w:lang w:val="es-ES"/>
              </w:rPr>
            </w:pPr>
            <w:r w:rsidRPr="0018201F">
              <w:rPr>
                <w:sz w:val="22"/>
                <w:szCs w:val="18"/>
                <w:lang w:val="es-ES"/>
              </w:rPr>
              <w:t>Lista IV (</w:t>
            </w:r>
            <w:r w:rsidRPr="007E040D">
              <w:rPr>
                <w:lang w:val="es-ES"/>
              </w:rPr>
              <w:t>Nomenclátor de las estaciones costeras y de las estaciones que efectúan servicios especiales</w:t>
            </w:r>
            <w:r w:rsidRPr="0018201F">
              <w:rPr>
                <w:sz w:val="22"/>
                <w:szCs w:val="18"/>
                <w:lang w:val="es-ES"/>
              </w:rPr>
              <w:t>)</w:t>
            </w:r>
          </w:p>
        </w:tc>
        <w:tc>
          <w:tcPr>
            <w:tcW w:w="1666" w:type="dxa"/>
            <w:vAlign w:val="center"/>
          </w:tcPr>
          <w:p w14:paraId="457C524D" w14:textId="77777777" w:rsidR="006D51CF" w:rsidRPr="0018201F" w:rsidRDefault="006D51CF" w:rsidP="002E3B6B">
            <w:pPr>
              <w:spacing w:before="0"/>
              <w:jc w:val="center"/>
              <w:cnfStyle w:val="000000000000" w:firstRow="0" w:lastRow="0" w:firstColumn="0" w:lastColumn="0" w:oddVBand="0" w:evenVBand="0" w:oddHBand="0" w:evenHBand="0" w:firstRowFirstColumn="0" w:firstRowLastColumn="0" w:lastRowFirstColumn="0" w:lastRowLastColumn="0"/>
              <w:rPr>
                <w:sz w:val="22"/>
                <w:szCs w:val="18"/>
                <w:lang w:val="es-ES"/>
              </w:rPr>
            </w:pPr>
          </w:p>
        </w:tc>
        <w:tc>
          <w:tcPr>
            <w:tcW w:w="1667" w:type="dxa"/>
            <w:vAlign w:val="center"/>
          </w:tcPr>
          <w:p w14:paraId="4D6E227F" w14:textId="77777777" w:rsidR="006D51CF" w:rsidRPr="00673D36" w:rsidRDefault="006D51CF" w:rsidP="002E3B6B">
            <w:pPr>
              <w:spacing w:before="0"/>
              <w:jc w:val="center"/>
              <w:cnfStyle w:val="000000000000" w:firstRow="0" w:lastRow="0" w:firstColumn="0" w:lastColumn="0" w:oddVBand="0" w:evenVBand="0" w:oddHBand="0" w:evenHBand="0" w:firstRowFirstColumn="0" w:firstRowLastColumn="0" w:lastRowFirstColumn="0" w:lastRowLastColumn="0"/>
              <w:rPr>
                <w:sz w:val="22"/>
                <w:szCs w:val="18"/>
              </w:rPr>
            </w:pPr>
            <w:r w:rsidRPr="00673D36">
              <w:rPr>
                <w:sz w:val="22"/>
                <w:szCs w:val="18"/>
              </w:rPr>
              <w:t>Edi</w:t>
            </w:r>
            <w:r>
              <w:rPr>
                <w:sz w:val="22"/>
                <w:szCs w:val="18"/>
              </w:rPr>
              <w:t>ción de</w:t>
            </w:r>
            <w:r w:rsidRPr="00673D36">
              <w:rPr>
                <w:sz w:val="22"/>
                <w:szCs w:val="18"/>
              </w:rPr>
              <w:t xml:space="preserve"> 2023</w:t>
            </w:r>
            <w:r w:rsidRPr="00673D36">
              <w:rPr>
                <w:sz w:val="22"/>
                <w:szCs w:val="18"/>
              </w:rPr>
              <w:br/>
              <w:t>(</w:t>
            </w:r>
            <w:r>
              <w:rPr>
                <w:sz w:val="22"/>
                <w:szCs w:val="18"/>
              </w:rPr>
              <w:t>diciembre</w:t>
            </w:r>
            <w:r w:rsidRPr="00673D36">
              <w:rPr>
                <w:sz w:val="22"/>
                <w:szCs w:val="18"/>
              </w:rPr>
              <w:t>)</w:t>
            </w:r>
          </w:p>
        </w:tc>
        <w:tc>
          <w:tcPr>
            <w:tcW w:w="1667" w:type="dxa"/>
            <w:vAlign w:val="center"/>
          </w:tcPr>
          <w:p w14:paraId="152E49C4" w14:textId="77777777" w:rsidR="006D51CF" w:rsidRPr="00673D36" w:rsidRDefault="006D51CF" w:rsidP="002E3B6B">
            <w:pPr>
              <w:spacing w:before="0"/>
              <w:jc w:val="center"/>
              <w:cnfStyle w:val="000000000000" w:firstRow="0" w:lastRow="0" w:firstColumn="0" w:lastColumn="0" w:oddVBand="0" w:evenVBand="0" w:oddHBand="0" w:evenHBand="0" w:firstRowFirstColumn="0" w:firstRowLastColumn="0" w:lastRowFirstColumn="0" w:lastRowLastColumn="0"/>
              <w:rPr>
                <w:sz w:val="22"/>
                <w:szCs w:val="18"/>
              </w:rPr>
            </w:pPr>
          </w:p>
        </w:tc>
        <w:tc>
          <w:tcPr>
            <w:tcW w:w="1667" w:type="dxa"/>
            <w:vAlign w:val="center"/>
          </w:tcPr>
          <w:p w14:paraId="2BD09FB3" w14:textId="77777777" w:rsidR="006D51CF" w:rsidRPr="00673D36" w:rsidRDefault="006D51CF" w:rsidP="002E3B6B">
            <w:pPr>
              <w:spacing w:before="0"/>
              <w:jc w:val="center"/>
              <w:cnfStyle w:val="000000000000" w:firstRow="0" w:lastRow="0" w:firstColumn="0" w:lastColumn="0" w:oddVBand="0" w:evenVBand="0" w:oddHBand="0" w:evenHBand="0" w:firstRowFirstColumn="0" w:firstRowLastColumn="0" w:lastRowFirstColumn="0" w:lastRowLastColumn="0"/>
              <w:rPr>
                <w:sz w:val="22"/>
                <w:szCs w:val="18"/>
              </w:rPr>
            </w:pPr>
            <w:r w:rsidRPr="00673D36">
              <w:rPr>
                <w:sz w:val="22"/>
                <w:szCs w:val="18"/>
              </w:rPr>
              <w:t>Edi</w:t>
            </w:r>
            <w:r>
              <w:rPr>
                <w:sz w:val="22"/>
                <w:szCs w:val="18"/>
              </w:rPr>
              <w:t>ción de</w:t>
            </w:r>
            <w:r w:rsidRPr="00673D36">
              <w:rPr>
                <w:sz w:val="22"/>
                <w:szCs w:val="18"/>
              </w:rPr>
              <w:t xml:space="preserve"> 2025</w:t>
            </w:r>
            <w:r w:rsidRPr="00673D36">
              <w:rPr>
                <w:sz w:val="22"/>
                <w:szCs w:val="18"/>
              </w:rPr>
              <w:br/>
              <w:t xml:space="preserve"> (</w:t>
            </w:r>
            <w:r>
              <w:rPr>
                <w:sz w:val="22"/>
                <w:szCs w:val="18"/>
              </w:rPr>
              <w:t>noviembre</w:t>
            </w:r>
            <w:r w:rsidRPr="00673D36">
              <w:rPr>
                <w:sz w:val="22"/>
                <w:szCs w:val="18"/>
              </w:rPr>
              <w:t>)</w:t>
            </w:r>
          </w:p>
        </w:tc>
      </w:tr>
      <w:tr w:rsidR="006D51CF" w:rsidRPr="00E43D09" w14:paraId="65689773" w14:textId="77777777" w:rsidTr="002E3B6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01" w:type="dxa"/>
            <w:tcBorders>
              <w:left w:val="none" w:sz="0" w:space="0" w:color="auto"/>
            </w:tcBorders>
            <w:vAlign w:val="center"/>
          </w:tcPr>
          <w:p w14:paraId="64D75CCA" w14:textId="77777777" w:rsidR="006D51CF" w:rsidRPr="0018201F" w:rsidRDefault="006D51CF" w:rsidP="002E3B6B">
            <w:pPr>
              <w:spacing w:before="0"/>
              <w:rPr>
                <w:sz w:val="22"/>
                <w:szCs w:val="18"/>
                <w:lang w:val="es-ES"/>
              </w:rPr>
            </w:pPr>
            <w:r w:rsidRPr="0018201F">
              <w:rPr>
                <w:sz w:val="22"/>
                <w:szCs w:val="18"/>
                <w:lang w:val="es-ES"/>
              </w:rPr>
              <w:t>Lista V (</w:t>
            </w:r>
            <w:r w:rsidRPr="007E040D">
              <w:rPr>
                <w:lang w:val="es-ES"/>
              </w:rPr>
              <w:t>Nomenclátor de las estaciones de barco y de las asignaciones a identidades del servicio móvil marítimo</w:t>
            </w:r>
            <w:r w:rsidRPr="0018201F">
              <w:rPr>
                <w:sz w:val="22"/>
                <w:szCs w:val="18"/>
                <w:lang w:val="es-ES"/>
              </w:rPr>
              <w:t>)</w:t>
            </w:r>
          </w:p>
        </w:tc>
        <w:tc>
          <w:tcPr>
            <w:tcW w:w="1666" w:type="dxa"/>
            <w:vAlign w:val="center"/>
          </w:tcPr>
          <w:p w14:paraId="350FA7B2" w14:textId="77777777" w:rsidR="006D51CF" w:rsidRPr="00673D36" w:rsidRDefault="006D51CF" w:rsidP="002E3B6B">
            <w:pPr>
              <w:spacing w:before="0"/>
              <w:jc w:val="center"/>
              <w:cnfStyle w:val="000000100000" w:firstRow="0" w:lastRow="0" w:firstColumn="0" w:lastColumn="0" w:oddVBand="0" w:evenVBand="0" w:oddHBand="1" w:evenHBand="0" w:firstRowFirstColumn="0" w:firstRowLastColumn="0" w:lastRowFirstColumn="0" w:lastRowLastColumn="0"/>
              <w:rPr>
                <w:sz w:val="22"/>
                <w:szCs w:val="18"/>
              </w:rPr>
            </w:pPr>
            <w:r w:rsidRPr="00673D36">
              <w:rPr>
                <w:sz w:val="22"/>
                <w:szCs w:val="18"/>
              </w:rPr>
              <w:t>Edi</w:t>
            </w:r>
            <w:r>
              <w:rPr>
                <w:sz w:val="22"/>
                <w:szCs w:val="18"/>
              </w:rPr>
              <w:t>ción de</w:t>
            </w:r>
            <w:r w:rsidRPr="00673D36">
              <w:rPr>
                <w:sz w:val="22"/>
                <w:szCs w:val="18"/>
              </w:rPr>
              <w:t xml:space="preserve"> 2022</w:t>
            </w:r>
            <w:r w:rsidRPr="00673D36">
              <w:rPr>
                <w:sz w:val="22"/>
                <w:szCs w:val="18"/>
              </w:rPr>
              <w:br/>
              <w:t xml:space="preserve"> (</w:t>
            </w:r>
            <w:r>
              <w:rPr>
                <w:sz w:val="22"/>
                <w:szCs w:val="18"/>
              </w:rPr>
              <w:t>abril</w:t>
            </w:r>
            <w:r w:rsidRPr="00673D36">
              <w:rPr>
                <w:sz w:val="22"/>
                <w:szCs w:val="18"/>
              </w:rPr>
              <w:t>)</w:t>
            </w:r>
          </w:p>
        </w:tc>
        <w:tc>
          <w:tcPr>
            <w:tcW w:w="1667" w:type="dxa"/>
            <w:vAlign w:val="center"/>
          </w:tcPr>
          <w:p w14:paraId="34A12A3C" w14:textId="77777777" w:rsidR="006D51CF" w:rsidRPr="00673D36" w:rsidRDefault="006D51CF" w:rsidP="002E3B6B">
            <w:pPr>
              <w:spacing w:before="0"/>
              <w:jc w:val="center"/>
              <w:cnfStyle w:val="000000100000" w:firstRow="0" w:lastRow="0" w:firstColumn="0" w:lastColumn="0" w:oddVBand="0" w:evenVBand="0" w:oddHBand="1" w:evenHBand="0" w:firstRowFirstColumn="0" w:firstRowLastColumn="0" w:lastRowFirstColumn="0" w:lastRowLastColumn="0"/>
              <w:rPr>
                <w:sz w:val="22"/>
                <w:szCs w:val="18"/>
              </w:rPr>
            </w:pPr>
            <w:r w:rsidRPr="00673D36">
              <w:rPr>
                <w:sz w:val="22"/>
                <w:szCs w:val="18"/>
              </w:rPr>
              <w:t>Edi</w:t>
            </w:r>
            <w:r>
              <w:rPr>
                <w:sz w:val="22"/>
                <w:szCs w:val="18"/>
              </w:rPr>
              <w:t>ción de</w:t>
            </w:r>
            <w:r w:rsidRPr="00673D36">
              <w:rPr>
                <w:sz w:val="22"/>
                <w:szCs w:val="18"/>
              </w:rPr>
              <w:t xml:space="preserve"> 2023</w:t>
            </w:r>
            <w:r w:rsidRPr="00673D36">
              <w:rPr>
                <w:sz w:val="22"/>
                <w:szCs w:val="18"/>
              </w:rPr>
              <w:br/>
              <w:t xml:space="preserve"> (</w:t>
            </w:r>
            <w:r>
              <w:rPr>
                <w:sz w:val="22"/>
                <w:szCs w:val="18"/>
              </w:rPr>
              <w:t>abril</w:t>
            </w:r>
            <w:r w:rsidRPr="00673D36">
              <w:rPr>
                <w:sz w:val="22"/>
                <w:szCs w:val="18"/>
              </w:rPr>
              <w:t>)</w:t>
            </w:r>
          </w:p>
        </w:tc>
        <w:tc>
          <w:tcPr>
            <w:tcW w:w="1667" w:type="dxa"/>
            <w:vAlign w:val="center"/>
          </w:tcPr>
          <w:p w14:paraId="25DE2015" w14:textId="77777777" w:rsidR="006D51CF" w:rsidRPr="00673D36" w:rsidRDefault="006D51CF" w:rsidP="002E3B6B">
            <w:pPr>
              <w:spacing w:before="0"/>
              <w:jc w:val="center"/>
              <w:cnfStyle w:val="000000100000" w:firstRow="0" w:lastRow="0" w:firstColumn="0" w:lastColumn="0" w:oddVBand="0" w:evenVBand="0" w:oddHBand="1" w:evenHBand="0" w:firstRowFirstColumn="0" w:firstRowLastColumn="0" w:lastRowFirstColumn="0" w:lastRowLastColumn="0"/>
              <w:rPr>
                <w:sz w:val="22"/>
                <w:szCs w:val="18"/>
              </w:rPr>
            </w:pPr>
            <w:r w:rsidRPr="00673D36">
              <w:rPr>
                <w:sz w:val="22"/>
                <w:szCs w:val="18"/>
              </w:rPr>
              <w:t>Edi</w:t>
            </w:r>
            <w:r>
              <w:rPr>
                <w:sz w:val="22"/>
                <w:szCs w:val="18"/>
              </w:rPr>
              <w:t>ción de</w:t>
            </w:r>
            <w:r w:rsidRPr="00673D36">
              <w:rPr>
                <w:sz w:val="22"/>
                <w:szCs w:val="18"/>
              </w:rPr>
              <w:t xml:space="preserve"> 2024</w:t>
            </w:r>
            <w:r w:rsidRPr="00673D36">
              <w:rPr>
                <w:sz w:val="22"/>
                <w:szCs w:val="18"/>
              </w:rPr>
              <w:br/>
              <w:t>(</w:t>
            </w:r>
            <w:r>
              <w:rPr>
                <w:sz w:val="22"/>
                <w:szCs w:val="18"/>
              </w:rPr>
              <w:t>abril</w:t>
            </w:r>
            <w:r w:rsidRPr="00673D36">
              <w:rPr>
                <w:sz w:val="22"/>
                <w:szCs w:val="18"/>
              </w:rPr>
              <w:t>)</w:t>
            </w:r>
          </w:p>
        </w:tc>
        <w:tc>
          <w:tcPr>
            <w:tcW w:w="1667" w:type="dxa"/>
            <w:vAlign w:val="center"/>
          </w:tcPr>
          <w:p w14:paraId="558188C3" w14:textId="77777777" w:rsidR="006D51CF" w:rsidRPr="00673D36" w:rsidRDefault="006D51CF" w:rsidP="002E3B6B">
            <w:pPr>
              <w:spacing w:before="0"/>
              <w:jc w:val="center"/>
              <w:cnfStyle w:val="000000100000" w:firstRow="0" w:lastRow="0" w:firstColumn="0" w:lastColumn="0" w:oddVBand="0" w:evenVBand="0" w:oddHBand="1" w:evenHBand="0" w:firstRowFirstColumn="0" w:firstRowLastColumn="0" w:lastRowFirstColumn="0" w:lastRowLastColumn="0"/>
              <w:rPr>
                <w:rFonts w:ascii="Times New Roman Bold" w:eastAsia="Times New Roman Bold" w:hAnsi="Times New Roman Bold" w:cs="Times New Roman Bold"/>
                <w:b/>
                <w:color w:val="212121"/>
                <w:sz w:val="22"/>
                <w:szCs w:val="18"/>
              </w:rPr>
            </w:pPr>
            <w:r w:rsidRPr="00673D36">
              <w:rPr>
                <w:sz w:val="22"/>
                <w:szCs w:val="18"/>
              </w:rPr>
              <w:t>Edi</w:t>
            </w:r>
            <w:r>
              <w:rPr>
                <w:sz w:val="22"/>
                <w:szCs w:val="18"/>
              </w:rPr>
              <w:t>ción de</w:t>
            </w:r>
            <w:r w:rsidRPr="00673D36">
              <w:rPr>
                <w:sz w:val="22"/>
                <w:szCs w:val="18"/>
              </w:rPr>
              <w:t xml:space="preserve"> 2025</w:t>
            </w:r>
            <w:r w:rsidRPr="00673D36">
              <w:rPr>
                <w:sz w:val="22"/>
                <w:szCs w:val="18"/>
              </w:rPr>
              <w:br/>
              <w:t>(</w:t>
            </w:r>
            <w:r>
              <w:rPr>
                <w:sz w:val="22"/>
                <w:szCs w:val="18"/>
              </w:rPr>
              <w:t>abril</w:t>
            </w:r>
            <w:r w:rsidRPr="00673D36">
              <w:rPr>
                <w:sz w:val="22"/>
                <w:szCs w:val="18"/>
              </w:rPr>
              <w:t>)</w:t>
            </w:r>
          </w:p>
        </w:tc>
      </w:tr>
      <w:tr w:rsidR="006D51CF" w:rsidRPr="00E43D09" w14:paraId="6BCD58A4" w14:textId="77777777" w:rsidTr="002E3B6B">
        <w:trPr>
          <w:trHeight w:val="300"/>
          <w:jc w:val="center"/>
        </w:trPr>
        <w:tc>
          <w:tcPr>
            <w:cnfStyle w:val="001000000000" w:firstRow="0" w:lastRow="0" w:firstColumn="1" w:lastColumn="0" w:oddVBand="0" w:evenVBand="0" w:oddHBand="0" w:evenHBand="0" w:firstRowFirstColumn="0" w:firstRowLastColumn="0" w:lastRowFirstColumn="0" w:lastRowLastColumn="0"/>
            <w:tcW w:w="3201" w:type="dxa"/>
            <w:tcBorders>
              <w:left w:val="none" w:sz="0" w:space="0" w:color="auto"/>
            </w:tcBorders>
            <w:vAlign w:val="center"/>
          </w:tcPr>
          <w:p w14:paraId="78870538" w14:textId="77777777" w:rsidR="006D51CF" w:rsidRPr="0018201F" w:rsidRDefault="006D51CF" w:rsidP="002E3B6B">
            <w:pPr>
              <w:spacing w:before="0"/>
              <w:rPr>
                <w:sz w:val="22"/>
                <w:szCs w:val="18"/>
                <w:lang w:val="es-ES"/>
              </w:rPr>
            </w:pPr>
            <w:r w:rsidRPr="0018201F">
              <w:rPr>
                <w:sz w:val="22"/>
                <w:szCs w:val="18"/>
                <w:lang w:val="es-ES"/>
              </w:rPr>
              <w:t>Lista VIII (</w:t>
            </w:r>
            <w:r w:rsidRPr="007E040D">
              <w:rPr>
                <w:lang w:val="es-ES"/>
              </w:rPr>
              <w:t>Nomenclátor de las estaciones de comprobación técnica internacional de las emisiones</w:t>
            </w:r>
            <w:r w:rsidRPr="0018201F">
              <w:rPr>
                <w:sz w:val="22"/>
                <w:szCs w:val="18"/>
                <w:lang w:val="es-ES"/>
              </w:rPr>
              <w:t>)</w:t>
            </w:r>
          </w:p>
        </w:tc>
        <w:tc>
          <w:tcPr>
            <w:tcW w:w="1666" w:type="dxa"/>
            <w:vAlign w:val="center"/>
          </w:tcPr>
          <w:p w14:paraId="6EE02B81" w14:textId="77777777" w:rsidR="006D51CF" w:rsidRPr="00673D36" w:rsidRDefault="006D51CF" w:rsidP="002E3B6B">
            <w:pPr>
              <w:spacing w:before="0"/>
              <w:jc w:val="center"/>
              <w:cnfStyle w:val="000000000000" w:firstRow="0" w:lastRow="0" w:firstColumn="0" w:lastColumn="0" w:oddVBand="0" w:evenVBand="0" w:oddHBand="0" w:evenHBand="0" w:firstRowFirstColumn="0" w:firstRowLastColumn="0" w:lastRowFirstColumn="0" w:lastRowLastColumn="0"/>
              <w:rPr>
                <w:sz w:val="22"/>
                <w:szCs w:val="18"/>
              </w:rPr>
            </w:pPr>
            <w:r w:rsidRPr="00673D36">
              <w:rPr>
                <w:sz w:val="22"/>
                <w:szCs w:val="18"/>
              </w:rPr>
              <w:t>Edi</w:t>
            </w:r>
            <w:r>
              <w:rPr>
                <w:sz w:val="22"/>
                <w:szCs w:val="18"/>
              </w:rPr>
              <w:t>ción de</w:t>
            </w:r>
            <w:r w:rsidRPr="00673D36">
              <w:rPr>
                <w:sz w:val="22"/>
                <w:szCs w:val="18"/>
              </w:rPr>
              <w:t xml:space="preserve"> 2022</w:t>
            </w:r>
            <w:r w:rsidRPr="00673D36">
              <w:rPr>
                <w:sz w:val="22"/>
                <w:szCs w:val="18"/>
              </w:rPr>
              <w:br/>
              <w:t>(</w:t>
            </w:r>
            <w:r>
              <w:rPr>
                <w:sz w:val="22"/>
                <w:szCs w:val="18"/>
              </w:rPr>
              <w:t>diciembre</w:t>
            </w:r>
            <w:r w:rsidRPr="00673D36">
              <w:rPr>
                <w:sz w:val="22"/>
                <w:szCs w:val="18"/>
              </w:rPr>
              <w:t>)</w:t>
            </w:r>
          </w:p>
        </w:tc>
        <w:tc>
          <w:tcPr>
            <w:tcW w:w="1667" w:type="dxa"/>
            <w:vAlign w:val="center"/>
          </w:tcPr>
          <w:p w14:paraId="28F1DEF0" w14:textId="77777777" w:rsidR="006D51CF" w:rsidRPr="00673D36" w:rsidRDefault="006D51CF" w:rsidP="002E3B6B">
            <w:pPr>
              <w:spacing w:before="0"/>
              <w:jc w:val="center"/>
              <w:cnfStyle w:val="000000000000" w:firstRow="0" w:lastRow="0" w:firstColumn="0" w:lastColumn="0" w:oddVBand="0" w:evenVBand="0" w:oddHBand="0" w:evenHBand="0" w:firstRowFirstColumn="0" w:firstRowLastColumn="0" w:lastRowFirstColumn="0" w:lastRowLastColumn="0"/>
              <w:rPr>
                <w:sz w:val="22"/>
                <w:szCs w:val="18"/>
              </w:rPr>
            </w:pPr>
          </w:p>
        </w:tc>
        <w:tc>
          <w:tcPr>
            <w:tcW w:w="1667" w:type="dxa"/>
            <w:vAlign w:val="center"/>
          </w:tcPr>
          <w:p w14:paraId="62026664" w14:textId="77777777" w:rsidR="006D51CF" w:rsidRPr="00673D36" w:rsidRDefault="006D51CF" w:rsidP="002E3B6B">
            <w:pPr>
              <w:spacing w:before="0"/>
              <w:jc w:val="center"/>
              <w:cnfStyle w:val="000000000000" w:firstRow="0" w:lastRow="0" w:firstColumn="0" w:lastColumn="0" w:oddVBand="0" w:evenVBand="0" w:oddHBand="0" w:evenHBand="0" w:firstRowFirstColumn="0" w:firstRowLastColumn="0" w:lastRowFirstColumn="0" w:lastRowLastColumn="0"/>
              <w:rPr>
                <w:sz w:val="22"/>
                <w:szCs w:val="18"/>
              </w:rPr>
            </w:pPr>
          </w:p>
        </w:tc>
        <w:tc>
          <w:tcPr>
            <w:tcW w:w="1667" w:type="dxa"/>
            <w:vAlign w:val="center"/>
          </w:tcPr>
          <w:p w14:paraId="111EF5EE" w14:textId="77777777" w:rsidR="006D51CF" w:rsidRPr="00673D36" w:rsidRDefault="006D51CF" w:rsidP="002E3B6B">
            <w:pPr>
              <w:spacing w:before="0"/>
              <w:jc w:val="center"/>
              <w:cnfStyle w:val="000000000000" w:firstRow="0" w:lastRow="0" w:firstColumn="0" w:lastColumn="0" w:oddVBand="0" w:evenVBand="0" w:oddHBand="0" w:evenHBand="0" w:firstRowFirstColumn="0" w:firstRowLastColumn="0" w:lastRowFirstColumn="0" w:lastRowLastColumn="0"/>
              <w:rPr>
                <w:sz w:val="22"/>
                <w:szCs w:val="18"/>
              </w:rPr>
            </w:pPr>
            <w:r w:rsidRPr="00673D36">
              <w:rPr>
                <w:sz w:val="22"/>
                <w:szCs w:val="18"/>
              </w:rPr>
              <w:t>Edi</w:t>
            </w:r>
            <w:r>
              <w:rPr>
                <w:sz w:val="22"/>
                <w:szCs w:val="18"/>
              </w:rPr>
              <w:t>ción de</w:t>
            </w:r>
            <w:r w:rsidRPr="00673D36">
              <w:rPr>
                <w:sz w:val="22"/>
                <w:szCs w:val="18"/>
              </w:rPr>
              <w:t xml:space="preserve"> 2025</w:t>
            </w:r>
            <w:r w:rsidRPr="00673D36">
              <w:rPr>
                <w:sz w:val="22"/>
                <w:szCs w:val="18"/>
              </w:rPr>
              <w:br/>
              <w:t>(</w:t>
            </w:r>
            <w:r>
              <w:rPr>
                <w:sz w:val="22"/>
                <w:szCs w:val="18"/>
              </w:rPr>
              <w:t>noviembre</w:t>
            </w:r>
            <w:r w:rsidRPr="00673D36">
              <w:rPr>
                <w:sz w:val="22"/>
                <w:szCs w:val="18"/>
              </w:rPr>
              <w:t>)</w:t>
            </w:r>
          </w:p>
        </w:tc>
      </w:tr>
      <w:tr w:rsidR="006D51CF" w:rsidRPr="00E43D09" w14:paraId="29B3C33B" w14:textId="77777777" w:rsidTr="002E3B6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201" w:type="dxa"/>
            <w:tcBorders>
              <w:left w:val="none" w:sz="0" w:space="0" w:color="auto"/>
              <w:bottom w:val="none" w:sz="0" w:space="0" w:color="auto"/>
            </w:tcBorders>
            <w:vAlign w:val="center"/>
          </w:tcPr>
          <w:p w14:paraId="3FCE79B9" w14:textId="77777777" w:rsidR="006D51CF" w:rsidRPr="00673D36" w:rsidRDefault="006D51CF" w:rsidP="002E3B6B">
            <w:pPr>
              <w:spacing w:before="0"/>
              <w:rPr>
                <w:sz w:val="22"/>
                <w:szCs w:val="18"/>
              </w:rPr>
            </w:pPr>
            <w:r>
              <w:rPr>
                <w:sz w:val="22"/>
                <w:szCs w:val="18"/>
              </w:rPr>
              <w:t>Manual Marítimo</w:t>
            </w:r>
          </w:p>
        </w:tc>
        <w:tc>
          <w:tcPr>
            <w:tcW w:w="1666" w:type="dxa"/>
            <w:vAlign w:val="center"/>
          </w:tcPr>
          <w:p w14:paraId="6F2088A5" w14:textId="77777777" w:rsidR="006D51CF" w:rsidRPr="00673D36" w:rsidRDefault="006D51CF" w:rsidP="002E3B6B">
            <w:pPr>
              <w:spacing w:before="0"/>
              <w:jc w:val="center"/>
              <w:cnfStyle w:val="000000100000" w:firstRow="0" w:lastRow="0" w:firstColumn="0" w:lastColumn="0" w:oddVBand="0" w:evenVBand="0" w:oddHBand="1" w:evenHBand="0" w:firstRowFirstColumn="0" w:firstRowLastColumn="0" w:lastRowFirstColumn="0" w:lastRowLastColumn="0"/>
              <w:rPr>
                <w:sz w:val="22"/>
                <w:szCs w:val="18"/>
              </w:rPr>
            </w:pPr>
          </w:p>
        </w:tc>
        <w:tc>
          <w:tcPr>
            <w:tcW w:w="1667" w:type="dxa"/>
            <w:vAlign w:val="center"/>
          </w:tcPr>
          <w:p w14:paraId="4E2704FF" w14:textId="77777777" w:rsidR="006D51CF" w:rsidRPr="00673D36" w:rsidRDefault="006D51CF" w:rsidP="002E3B6B">
            <w:pPr>
              <w:spacing w:before="0"/>
              <w:jc w:val="center"/>
              <w:cnfStyle w:val="000000100000" w:firstRow="0" w:lastRow="0" w:firstColumn="0" w:lastColumn="0" w:oddVBand="0" w:evenVBand="0" w:oddHBand="1" w:evenHBand="0" w:firstRowFirstColumn="0" w:firstRowLastColumn="0" w:lastRowFirstColumn="0" w:lastRowLastColumn="0"/>
              <w:rPr>
                <w:sz w:val="22"/>
                <w:szCs w:val="18"/>
              </w:rPr>
            </w:pPr>
          </w:p>
        </w:tc>
        <w:tc>
          <w:tcPr>
            <w:tcW w:w="1667" w:type="dxa"/>
            <w:vAlign w:val="center"/>
          </w:tcPr>
          <w:p w14:paraId="49F78992" w14:textId="77777777" w:rsidR="006D51CF" w:rsidRPr="00673D36" w:rsidRDefault="006D51CF" w:rsidP="002E3B6B">
            <w:pPr>
              <w:spacing w:before="0"/>
              <w:jc w:val="center"/>
              <w:cnfStyle w:val="000000100000" w:firstRow="0" w:lastRow="0" w:firstColumn="0" w:lastColumn="0" w:oddVBand="0" w:evenVBand="0" w:oddHBand="1" w:evenHBand="0" w:firstRowFirstColumn="0" w:firstRowLastColumn="0" w:lastRowFirstColumn="0" w:lastRowLastColumn="0"/>
              <w:rPr>
                <w:sz w:val="22"/>
                <w:szCs w:val="18"/>
              </w:rPr>
            </w:pPr>
          </w:p>
        </w:tc>
        <w:tc>
          <w:tcPr>
            <w:tcW w:w="1667" w:type="dxa"/>
            <w:vAlign w:val="center"/>
          </w:tcPr>
          <w:p w14:paraId="38658533" w14:textId="09CD1A93" w:rsidR="006D51CF" w:rsidRPr="00673D36" w:rsidRDefault="00431831" w:rsidP="002E3B6B">
            <w:pPr>
              <w:spacing w:before="0"/>
              <w:jc w:val="center"/>
              <w:cnfStyle w:val="000000100000" w:firstRow="0" w:lastRow="0" w:firstColumn="0" w:lastColumn="0" w:oddVBand="0" w:evenVBand="0" w:oddHBand="1" w:evenHBand="0" w:firstRowFirstColumn="0" w:firstRowLastColumn="0" w:lastRowFirstColumn="0" w:lastRowLastColumn="0"/>
              <w:rPr>
                <w:sz w:val="22"/>
                <w:szCs w:val="18"/>
              </w:rPr>
            </w:pPr>
            <w:r w:rsidRPr="00673D36">
              <w:rPr>
                <w:sz w:val="22"/>
                <w:szCs w:val="18"/>
              </w:rPr>
              <w:t>Edic</w:t>
            </w:r>
            <w:r>
              <w:rPr>
                <w:sz w:val="22"/>
                <w:szCs w:val="18"/>
              </w:rPr>
              <w:t>ión</w:t>
            </w:r>
            <w:r w:rsidR="006D51CF">
              <w:rPr>
                <w:sz w:val="22"/>
                <w:szCs w:val="18"/>
              </w:rPr>
              <w:t xml:space="preserve"> de</w:t>
            </w:r>
            <w:r w:rsidR="006D51CF" w:rsidRPr="00673D36">
              <w:rPr>
                <w:sz w:val="22"/>
                <w:szCs w:val="18"/>
              </w:rPr>
              <w:t xml:space="preserve"> 2024 (</w:t>
            </w:r>
            <w:r w:rsidR="006D51CF">
              <w:rPr>
                <w:sz w:val="22"/>
                <w:szCs w:val="18"/>
              </w:rPr>
              <w:t>diciembre</w:t>
            </w:r>
            <w:r w:rsidR="006D51CF" w:rsidRPr="00673D36">
              <w:rPr>
                <w:sz w:val="22"/>
                <w:szCs w:val="18"/>
              </w:rPr>
              <w:t>)</w:t>
            </w:r>
          </w:p>
        </w:tc>
      </w:tr>
    </w:tbl>
    <w:p w14:paraId="18ADC165" w14:textId="77777777" w:rsidR="006D51CF" w:rsidRPr="00CD0972" w:rsidRDefault="006D51CF" w:rsidP="00A83356">
      <w:pPr>
        <w:pStyle w:val="Heading3"/>
        <w:spacing w:before="240"/>
        <w:rPr>
          <w:lang w:val="es-ES"/>
        </w:rPr>
      </w:pPr>
      <w:bookmarkStart w:id="116" w:name="_Toc222308709"/>
      <w:bookmarkStart w:id="117" w:name="_Toc418163378"/>
      <w:bookmarkStart w:id="118" w:name="_Toc418232296"/>
      <w:bookmarkStart w:id="119" w:name="_Toc424047598"/>
      <w:bookmarkStart w:id="120" w:name="_Toc446060780"/>
      <w:bookmarkStart w:id="121" w:name="_Toc222843178"/>
      <w:r w:rsidRPr="00CD0972">
        <w:rPr>
          <w:lang w:val="es-ES"/>
        </w:rPr>
        <w:t>8.1.3</w:t>
      </w:r>
      <w:r w:rsidRPr="00CD0972">
        <w:rPr>
          <w:lang w:val="es-ES"/>
        </w:rPr>
        <w:tab/>
        <w:t>Publicaciones de las Comisiones de Estudi</w:t>
      </w:r>
      <w:r>
        <w:rPr>
          <w:lang w:val="es-ES"/>
        </w:rPr>
        <w:t>o</w:t>
      </w:r>
      <w:bookmarkEnd w:id="116"/>
      <w:bookmarkEnd w:id="121"/>
    </w:p>
    <w:p w14:paraId="5CE0F7A9" w14:textId="77777777" w:rsidR="006D51CF" w:rsidRPr="00CD0972" w:rsidRDefault="006D51CF" w:rsidP="006D51CF">
      <w:pPr>
        <w:rPr>
          <w:lang w:val="es-ES"/>
        </w:rPr>
      </w:pPr>
      <w:r w:rsidRPr="00CD0972">
        <w:rPr>
          <w:lang w:val="es-ES"/>
        </w:rPr>
        <w:t>Las publicaciones de las Comisiones de Estudio del UIT-R han seguido el</w:t>
      </w:r>
      <w:r>
        <w:rPr>
          <w:lang w:val="es-ES"/>
        </w:rPr>
        <w:t>aborándose de conformidad con la Resolución UIT</w:t>
      </w:r>
      <w:r w:rsidRPr="00CD0972">
        <w:rPr>
          <w:lang w:val="es-ES"/>
        </w:rPr>
        <w:t>-R 1.</w:t>
      </w:r>
    </w:p>
    <w:p w14:paraId="3D8A0289" w14:textId="77777777" w:rsidR="006D51CF" w:rsidRPr="00CD0972" w:rsidRDefault="006D51CF" w:rsidP="006D51CF">
      <w:pPr>
        <w:rPr>
          <w:lang w:val="es-ES"/>
        </w:rPr>
      </w:pPr>
      <w:r w:rsidRPr="00CD0972">
        <w:rPr>
          <w:lang w:val="es-ES"/>
        </w:rPr>
        <w:t>El Addéndum 1 al presente informe contiene la lista completa de las Cuestiones UIT-R, las Recomendaciones UIT-R y los Informes UIT-R aprobados.</w:t>
      </w:r>
    </w:p>
    <w:p w14:paraId="72900A13" w14:textId="77777777" w:rsidR="006D51CF" w:rsidRPr="00CD0972" w:rsidRDefault="006D51CF" w:rsidP="006D51CF">
      <w:pPr>
        <w:pStyle w:val="Heading3"/>
        <w:rPr>
          <w:lang w:val="es-ES"/>
        </w:rPr>
      </w:pPr>
      <w:bookmarkStart w:id="122" w:name="_Toc424047599"/>
      <w:bookmarkStart w:id="123" w:name="_Toc446060781"/>
      <w:bookmarkStart w:id="124" w:name="_Toc222308710"/>
      <w:bookmarkStart w:id="125" w:name="_Toc222843179"/>
      <w:bookmarkEnd w:id="117"/>
      <w:bookmarkEnd w:id="118"/>
      <w:bookmarkEnd w:id="119"/>
      <w:bookmarkEnd w:id="120"/>
      <w:r w:rsidRPr="00CD0972">
        <w:rPr>
          <w:lang w:val="es-ES"/>
        </w:rPr>
        <w:t>8.1.4</w:t>
      </w:r>
      <w:r w:rsidRPr="00CD0972">
        <w:rPr>
          <w:lang w:val="es-ES"/>
        </w:rPr>
        <w:tab/>
        <w:t>Descargas y envíos de publicaciones del</w:t>
      </w:r>
      <w:r>
        <w:rPr>
          <w:lang w:val="es-ES"/>
        </w:rPr>
        <w:t xml:space="preserve"> UIT-R</w:t>
      </w:r>
      <w:bookmarkEnd w:id="122"/>
      <w:bookmarkEnd w:id="123"/>
      <w:bookmarkEnd w:id="124"/>
      <w:bookmarkEnd w:id="125"/>
    </w:p>
    <w:p w14:paraId="1ADF5F9C" w14:textId="77777777" w:rsidR="006D51CF" w:rsidRPr="00CD0972" w:rsidRDefault="006D51CF" w:rsidP="006D51CF">
      <w:pPr>
        <w:pStyle w:val="Heading4"/>
        <w:rPr>
          <w:lang w:val="es-ES"/>
        </w:rPr>
      </w:pPr>
      <w:bookmarkStart w:id="126" w:name="_Toc424047600"/>
      <w:bookmarkStart w:id="127" w:name="_Toc446060782"/>
      <w:r w:rsidRPr="00CD0972">
        <w:rPr>
          <w:lang w:val="es-ES"/>
        </w:rPr>
        <w:t>8.1.4.1</w:t>
      </w:r>
      <w:r w:rsidRPr="00CD0972">
        <w:rPr>
          <w:lang w:val="es-ES"/>
        </w:rPr>
        <w:tab/>
        <w:t>Reglamento de Radiocomunicaciones y Reglas de Procedim</w:t>
      </w:r>
      <w:r>
        <w:rPr>
          <w:lang w:val="es-ES"/>
        </w:rPr>
        <w:t>iento</w:t>
      </w:r>
      <w:r w:rsidRPr="00CD0972">
        <w:rPr>
          <w:lang w:val="es-ES"/>
        </w:rPr>
        <w:t xml:space="preserve"> </w:t>
      </w:r>
    </w:p>
    <w:p w14:paraId="06639BF2" w14:textId="6A6E6B23" w:rsidR="006D51CF" w:rsidRPr="00CD0972" w:rsidRDefault="006D51CF" w:rsidP="006D51CF">
      <w:pPr>
        <w:rPr>
          <w:lang w:val="es-ES"/>
        </w:rPr>
      </w:pPr>
      <w:r w:rsidRPr="00CD0972">
        <w:rPr>
          <w:lang w:val="es-ES"/>
        </w:rPr>
        <w:t>En relación con estos documentos reglamentarios, en el Cua</w:t>
      </w:r>
      <w:r>
        <w:rPr>
          <w:lang w:val="es-ES"/>
        </w:rPr>
        <w:t>dro</w:t>
      </w:r>
      <w:r w:rsidRPr="00CD0972">
        <w:rPr>
          <w:lang w:val="es-ES"/>
        </w:rPr>
        <w:t xml:space="preserve"> 8.1.4.1-1 s</w:t>
      </w:r>
      <w:r>
        <w:rPr>
          <w:lang w:val="es-ES"/>
        </w:rPr>
        <w:t>e indica el número de ejemplares distribuidos de las ediciones de</w:t>
      </w:r>
      <w:r w:rsidRPr="00CD0972">
        <w:rPr>
          <w:lang w:val="es-ES"/>
        </w:rPr>
        <w:t xml:space="preserve"> </w:t>
      </w:r>
      <w:hyperlink r:id="rId61" w:history="1">
        <w:r w:rsidRPr="00CD0972">
          <w:rPr>
            <w:rStyle w:val="Hyperlink"/>
            <w:lang w:val="es-ES"/>
          </w:rPr>
          <w:t>20</w:t>
        </w:r>
        <w:r w:rsidRPr="00CD0972">
          <w:rPr>
            <w:rStyle w:val="Hyperlink"/>
            <w:lang w:val="es-ES"/>
          </w:rPr>
          <w:t>2</w:t>
        </w:r>
        <w:r w:rsidRPr="00CD0972">
          <w:rPr>
            <w:rStyle w:val="Hyperlink"/>
            <w:lang w:val="es-ES"/>
          </w:rPr>
          <w:t>0</w:t>
        </w:r>
      </w:hyperlink>
      <w:r w:rsidRPr="00CD0972">
        <w:rPr>
          <w:lang w:val="es-ES"/>
        </w:rPr>
        <w:t xml:space="preserve"> </w:t>
      </w:r>
      <w:r>
        <w:rPr>
          <w:lang w:val="es-ES"/>
        </w:rPr>
        <w:t>y</w:t>
      </w:r>
      <w:r w:rsidRPr="00CD0972">
        <w:rPr>
          <w:lang w:val="es-ES"/>
        </w:rPr>
        <w:t xml:space="preserve"> </w:t>
      </w:r>
      <w:hyperlink r:id="rId62" w:history="1">
        <w:r w:rsidRPr="00CD0972">
          <w:rPr>
            <w:rStyle w:val="Hyperlink"/>
            <w:lang w:val="es-ES"/>
          </w:rPr>
          <w:t>20</w:t>
        </w:r>
        <w:r w:rsidRPr="00CD0972">
          <w:rPr>
            <w:rStyle w:val="Hyperlink"/>
            <w:lang w:val="es-ES"/>
          </w:rPr>
          <w:t>2</w:t>
        </w:r>
        <w:r w:rsidRPr="00CD0972">
          <w:rPr>
            <w:rStyle w:val="Hyperlink"/>
            <w:lang w:val="es-ES"/>
          </w:rPr>
          <w:t>4</w:t>
        </w:r>
      </w:hyperlink>
      <w:r w:rsidRPr="00CD0972">
        <w:rPr>
          <w:lang w:val="es-ES"/>
        </w:rPr>
        <w:t xml:space="preserve"> </w:t>
      </w:r>
      <w:r>
        <w:rPr>
          <w:lang w:val="es-ES"/>
        </w:rPr>
        <w:t>del RR</w:t>
      </w:r>
      <w:r w:rsidRPr="00CD0972">
        <w:rPr>
          <w:lang w:val="es-ES"/>
        </w:rPr>
        <w:t xml:space="preserve">. </w:t>
      </w:r>
    </w:p>
    <w:p w14:paraId="36625633" w14:textId="77777777" w:rsidR="006D51CF" w:rsidRPr="00CD0972" w:rsidRDefault="006D51CF" w:rsidP="006D51CF">
      <w:pPr>
        <w:rPr>
          <w:lang w:val="es-ES"/>
        </w:rPr>
      </w:pPr>
      <w:r w:rsidRPr="00CD0972">
        <w:rPr>
          <w:lang w:val="es-ES"/>
        </w:rPr>
        <w:t>Atendiendo a la solicitud que se formuló en la reunión del GAR, las versiones en pdf y MS Word del Reglamento de Radiocomunicaciones pueden descargarse gratuitamente desde el sitio web de la UIT.</w:t>
      </w:r>
    </w:p>
    <w:p w14:paraId="7591C0B6" w14:textId="77777777" w:rsidR="006D51CF" w:rsidRPr="00CD0972" w:rsidRDefault="006D51CF" w:rsidP="006D51CF">
      <w:pPr>
        <w:pStyle w:val="TableNo"/>
        <w:spacing w:before="360"/>
        <w:rPr>
          <w:lang w:val="es-ES"/>
        </w:rPr>
      </w:pPr>
      <w:r w:rsidRPr="00CD0972">
        <w:rPr>
          <w:lang w:val="es-ES"/>
        </w:rPr>
        <w:lastRenderedPageBreak/>
        <w:t>CUADRO 8.1.4.1-1</w:t>
      </w:r>
    </w:p>
    <w:p w14:paraId="739AEC51" w14:textId="77777777" w:rsidR="006D51CF" w:rsidRPr="005F26E3" w:rsidRDefault="006D51CF" w:rsidP="006D51CF">
      <w:pPr>
        <w:pStyle w:val="Tabletitle"/>
        <w:rPr>
          <w:sz w:val="24"/>
          <w:szCs w:val="24"/>
          <w:lang w:val="es-ES"/>
        </w:rPr>
      </w:pPr>
      <w:r w:rsidRPr="005F26E3">
        <w:rPr>
          <w:sz w:val="24"/>
          <w:szCs w:val="24"/>
          <w:lang w:val="es-ES"/>
        </w:rPr>
        <w:t>Número de envíos del Reglamento de Radiocomunicaciones</w:t>
      </w:r>
    </w:p>
    <w:tbl>
      <w:tblPr>
        <w:tblStyle w:val="GridTable5Dark-Accent11"/>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1395"/>
        <w:gridCol w:w="1395"/>
        <w:gridCol w:w="2088"/>
        <w:gridCol w:w="1941"/>
      </w:tblGrid>
      <w:tr w:rsidR="006D51CF" w:rsidRPr="00132FE6" w14:paraId="058A324E" w14:textId="77777777" w:rsidTr="00A83356">
        <w:trPr>
          <w:cnfStyle w:val="100000000000" w:firstRow="1" w:lastRow="0" w:firstColumn="0" w:lastColumn="0" w:oddVBand="0" w:evenVBand="0" w:oddHBand="0"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2197" w:type="dxa"/>
            <w:hideMark/>
          </w:tcPr>
          <w:p w14:paraId="1968D657" w14:textId="77777777" w:rsidR="006D51CF" w:rsidRPr="00CD0972" w:rsidRDefault="006D51CF" w:rsidP="002E3B6B">
            <w:pPr>
              <w:spacing w:before="0"/>
              <w:rPr>
                <w:sz w:val="20"/>
                <w:lang w:val="es-ES"/>
              </w:rPr>
            </w:pPr>
          </w:p>
        </w:tc>
        <w:tc>
          <w:tcPr>
            <w:tcW w:w="1395" w:type="dxa"/>
          </w:tcPr>
          <w:p w14:paraId="65F38545" w14:textId="77777777" w:rsidR="006D51CF" w:rsidRPr="00132FE6" w:rsidRDefault="006D51CF" w:rsidP="00A83356">
            <w:pPr>
              <w:spacing w:before="0"/>
              <w:jc w:val="center"/>
              <w:cnfStyle w:val="100000000000" w:firstRow="1" w:lastRow="0" w:firstColumn="0" w:lastColumn="0" w:oddVBand="0" w:evenVBand="0" w:oddHBand="0" w:evenHBand="0" w:firstRowFirstColumn="0" w:firstRowLastColumn="0" w:lastRowFirstColumn="0" w:lastRowLastColumn="0"/>
              <w:rPr>
                <w:sz w:val="20"/>
                <w:lang w:val="en-US"/>
              </w:rPr>
            </w:pPr>
            <w:r w:rsidRPr="00132FE6">
              <w:rPr>
                <w:sz w:val="20"/>
                <w:lang w:val="en-US"/>
              </w:rPr>
              <w:t>2022</w:t>
            </w:r>
            <w:r w:rsidRPr="00132FE6">
              <w:rPr>
                <w:sz w:val="20"/>
                <w:lang w:val="en-US"/>
              </w:rPr>
              <w:br/>
              <w:t>RR-20</w:t>
            </w:r>
          </w:p>
        </w:tc>
        <w:tc>
          <w:tcPr>
            <w:tcW w:w="1395" w:type="dxa"/>
          </w:tcPr>
          <w:p w14:paraId="4A4C94B6" w14:textId="77777777" w:rsidR="006D51CF" w:rsidRPr="00132FE6" w:rsidRDefault="006D51CF" w:rsidP="00A83356">
            <w:pPr>
              <w:spacing w:before="0"/>
              <w:jc w:val="center"/>
              <w:cnfStyle w:val="100000000000" w:firstRow="1" w:lastRow="0" w:firstColumn="0" w:lastColumn="0" w:oddVBand="0" w:evenVBand="0" w:oddHBand="0" w:evenHBand="0" w:firstRowFirstColumn="0" w:firstRowLastColumn="0" w:lastRowFirstColumn="0" w:lastRowLastColumn="0"/>
              <w:rPr>
                <w:sz w:val="20"/>
                <w:lang w:val="en-US"/>
              </w:rPr>
            </w:pPr>
            <w:r w:rsidRPr="00132FE6">
              <w:rPr>
                <w:sz w:val="20"/>
                <w:lang w:val="en-US"/>
              </w:rPr>
              <w:t>2023</w:t>
            </w:r>
            <w:r w:rsidRPr="00132FE6">
              <w:rPr>
                <w:sz w:val="20"/>
                <w:lang w:val="en-US"/>
              </w:rPr>
              <w:br/>
              <w:t>RR-20</w:t>
            </w:r>
          </w:p>
        </w:tc>
        <w:tc>
          <w:tcPr>
            <w:tcW w:w="2088" w:type="dxa"/>
          </w:tcPr>
          <w:p w14:paraId="76F1F27D" w14:textId="77777777" w:rsidR="006D51CF" w:rsidRPr="00132FE6" w:rsidRDefault="006D51CF" w:rsidP="00A83356">
            <w:pPr>
              <w:spacing w:before="0"/>
              <w:jc w:val="center"/>
              <w:cnfStyle w:val="100000000000" w:firstRow="1" w:lastRow="0" w:firstColumn="0" w:lastColumn="0" w:oddVBand="0" w:evenVBand="0" w:oddHBand="0" w:evenHBand="0" w:firstRowFirstColumn="0" w:firstRowLastColumn="0" w:lastRowFirstColumn="0" w:lastRowLastColumn="0"/>
              <w:rPr>
                <w:sz w:val="20"/>
                <w:lang w:val="en-US"/>
              </w:rPr>
            </w:pPr>
            <w:r w:rsidRPr="00132FE6">
              <w:rPr>
                <w:sz w:val="20"/>
                <w:lang w:val="en-US"/>
              </w:rPr>
              <w:t>2024</w:t>
            </w:r>
          </w:p>
          <w:p w14:paraId="3AF0A696" w14:textId="77777777" w:rsidR="006D51CF" w:rsidRPr="00132FE6" w:rsidRDefault="006D51CF" w:rsidP="00A83356">
            <w:pPr>
              <w:spacing w:before="0"/>
              <w:jc w:val="center"/>
              <w:cnfStyle w:val="100000000000" w:firstRow="1" w:lastRow="0" w:firstColumn="0" w:lastColumn="0" w:oddVBand="0" w:evenVBand="0" w:oddHBand="0" w:evenHBand="0" w:firstRowFirstColumn="0" w:firstRowLastColumn="0" w:lastRowFirstColumn="0" w:lastRowLastColumn="0"/>
              <w:rPr>
                <w:sz w:val="20"/>
                <w:lang w:val="en-US"/>
              </w:rPr>
            </w:pPr>
            <w:r w:rsidRPr="00132FE6">
              <w:rPr>
                <w:sz w:val="20"/>
                <w:lang w:val="en-US"/>
              </w:rPr>
              <w:t>RR-20 &amp; 24</w:t>
            </w:r>
          </w:p>
        </w:tc>
        <w:tc>
          <w:tcPr>
            <w:tcW w:w="1941" w:type="dxa"/>
          </w:tcPr>
          <w:p w14:paraId="3D33A807" w14:textId="77777777" w:rsidR="006D51CF" w:rsidRPr="00132FE6" w:rsidRDefault="006D51CF" w:rsidP="00A83356">
            <w:pPr>
              <w:spacing w:before="0"/>
              <w:jc w:val="center"/>
              <w:cnfStyle w:val="100000000000" w:firstRow="1" w:lastRow="0" w:firstColumn="0" w:lastColumn="0" w:oddVBand="0" w:evenVBand="0" w:oddHBand="0" w:evenHBand="0" w:firstRowFirstColumn="0" w:firstRowLastColumn="0" w:lastRowFirstColumn="0" w:lastRowLastColumn="0"/>
              <w:rPr>
                <w:sz w:val="20"/>
                <w:lang w:val="en-US"/>
              </w:rPr>
            </w:pPr>
            <w:r w:rsidRPr="00132FE6">
              <w:rPr>
                <w:sz w:val="20"/>
                <w:lang w:val="en-US"/>
              </w:rPr>
              <w:t>2025</w:t>
            </w:r>
          </w:p>
          <w:p w14:paraId="01C1DEBA" w14:textId="77777777" w:rsidR="006D51CF" w:rsidRPr="00132FE6" w:rsidRDefault="006D51CF" w:rsidP="00A83356">
            <w:pPr>
              <w:spacing w:before="0"/>
              <w:jc w:val="center"/>
              <w:cnfStyle w:val="100000000000" w:firstRow="1" w:lastRow="0" w:firstColumn="0" w:lastColumn="0" w:oddVBand="0" w:evenVBand="0" w:oddHBand="0" w:evenHBand="0" w:firstRowFirstColumn="0" w:firstRowLastColumn="0" w:lastRowFirstColumn="0" w:lastRowLastColumn="0"/>
              <w:rPr>
                <w:sz w:val="20"/>
                <w:lang w:val="en-US"/>
              </w:rPr>
            </w:pPr>
            <w:r w:rsidRPr="00132FE6">
              <w:rPr>
                <w:sz w:val="20"/>
                <w:lang w:val="en-US"/>
              </w:rPr>
              <w:t>RR-24</w:t>
            </w:r>
          </w:p>
        </w:tc>
      </w:tr>
      <w:tr w:rsidR="006D51CF" w:rsidRPr="00132FE6" w14:paraId="32DA2F3F" w14:textId="77777777" w:rsidTr="00A8335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197" w:type="dxa"/>
            <w:hideMark/>
          </w:tcPr>
          <w:p w14:paraId="21B89EAD" w14:textId="77777777" w:rsidR="006D51CF" w:rsidRPr="00132FE6" w:rsidRDefault="006D51CF" w:rsidP="002E3B6B">
            <w:pPr>
              <w:spacing w:before="0"/>
              <w:rPr>
                <w:sz w:val="20"/>
                <w:lang w:val="en-US"/>
              </w:rPr>
            </w:pPr>
            <w:r>
              <w:rPr>
                <w:sz w:val="20"/>
                <w:lang w:val="en-US"/>
              </w:rPr>
              <w:t>Copias impresas vendidas</w:t>
            </w:r>
          </w:p>
        </w:tc>
        <w:tc>
          <w:tcPr>
            <w:tcW w:w="1395" w:type="dxa"/>
          </w:tcPr>
          <w:p w14:paraId="42AC1021" w14:textId="77777777" w:rsidR="006D51CF" w:rsidRPr="00132FE6" w:rsidRDefault="006D51CF" w:rsidP="00A83356">
            <w:pPr>
              <w:spacing w:before="0"/>
              <w:jc w:val="center"/>
              <w:cnfStyle w:val="000000100000" w:firstRow="0" w:lastRow="0" w:firstColumn="0" w:lastColumn="0" w:oddVBand="0" w:evenVBand="0" w:oddHBand="1" w:evenHBand="0" w:firstRowFirstColumn="0" w:firstRowLastColumn="0" w:lastRowFirstColumn="0" w:lastRowLastColumn="0"/>
              <w:rPr>
                <w:sz w:val="20"/>
                <w:lang w:val="en-US"/>
              </w:rPr>
            </w:pPr>
            <w:r w:rsidRPr="00132FE6">
              <w:rPr>
                <w:sz w:val="20"/>
                <w:lang w:val="en-US"/>
              </w:rPr>
              <w:t>117</w:t>
            </w:r>
          </w:p>
        </w:tc>
        <w:tc>
          <w:tcPr>
            <w:tcW w:w="1395" w:type="dxa"/>
          </w:tcPr>
          <w:p w14:paraId="5DF3A2E8" w14:textId="21A19A39" w:rsidR="006D51CF" w:rsidRPr="00132FE6" w:rsidRDefault="006D51CF" w:rsidP="00A83356">
            <w:pPr>
              <w:spacing w:before="0"/>
              <w:jc w:val="center"/>
              <w:cnfStyle w:val="000000100000" w:firstRow="0" w:lastRow="0" w:firstColumn="0" w:lastColumn="0" w:oddVBand="0" w:evenVBand="0" w:oddHBand="1" w:evenHBand="0" w:firstRowFirstColumn="0" w:firstRowLastColumn="0" w:lastRowFirstColumn="0" w:lastRowLastColumn="0"/>
              <w:rPr>
                <w:sz w:val="20"/>
                <w:lang w:val="en-US"/>
              </w:rPr>
            </w:pPr>
            <w:r w:rsidRPr="00132FE6">
              <w:rPr>
                <w:sz w:val="20"/>
                <w:lang w:val="en-US"/>
              </w:rPr>
              <w:t>1</w:t>
            </w:r>
            <w:r w:rsidR="00A83356">
              <w:rPr>
                <w:sz w:val="20"/>
                <w:lang w:val="en-US"/>
              </w:rPr>
              <w:t> </w:t>
            </w:r>
            <w:r w:rsidRPr="00132FE6">
              <w:rPr>
                <w:sz w:val="20"/>
                <w:lang w:val="en-US"/>
              </w:rPr>
              <w:t>611</w:t>
            </w:r>
          </w:p>
        </w:tc>
        <w:tc>
          <w:tcPr>
            <w:tcW w:w="2088" w:type="dxa"/>
          </w:tcPr>
          <w:p w14:paraId="66BD896D" w14:textId="41E5860D" w:rsidR="006D51CF" w:rsidRPr="009204F2" w:rsidRDefault="006D51CF" w:rsidP="00A83356">
            <w:pPr>
              <w:spacing w:before="0"/>
              <w:jc w:val="center"/>
              <w:cnfStyle w:val="000000100000" w:firstRow="0" w:lastRow="0" w:firstColumn="0" w:lastColumn="0" w:oddVBand="0" w:evenVBand="0" w:oddHBand="1" w:evenHBand="0" w:firstRowFirstColumn="0" w:firstRowLastColumn="0" w:lastRowFirstColumn="0" w:lastRowLastColumn="0"/>
              <w:rPr>
                <w:sz w:val="20"/>
                <w:lang w:val="en-US"/>
              </w:rPr>
            </w:pPr>
            <w:r w:rsidRPr="009204F2">
              <w:rPr>
                <w:sz w:val="20"/>
                <w:lang w:val="en-US"/>
              </w:rPr>
              <w:t>2020:</w:t>
            </w:r>
            <w:r w:rsidR="00EF671E">
              <w:rPr>
                <w:sz w:val="20"/>
                <w:lang w:val="en-US"/>
              </w:rPr>
              <w:t xml:space="preserve"> </w:t>
            </w:r>
            <w:r w:rsidRPr="009204F2">
              <w:rPr>
                <w:sz w:val="20"/>
                <w:lang w:val="en-US"/>
              </w:rPr>
              <w:t>22</w:t>
            </w:r>
          </w:p>
          <w:p w14:paraId="104E1110" w14:textId="1D54771E" w:rsidR="006D51CF" w:rsidRPr="009204F2" w:rsidRDefault="006D51CF" w:rsidP="00A83356">
            <w:pPr>
              <w:spacing w:before="0"/>
              <w:jc w:val="center"/>
              <w:cnfStyle w:val="000000100000" w:firstRow="0" w:lastRow="0" w:firstColumn="0" w:lastColumn="0" w:oddVBand="0" w:evenVBand="0" w:oddHBand="1" w:evenHBand="0" w:firstRowFirstColumn="0" w:firstRowLastColumn="0" w:lastRowFirstColumn="0" w:lastRowLastColumn="0"/>
              <w:rPr>
                <w:sz w:val="20"/>
                <w:lang w:val="en-US"/>
              </w:rPr>
            </w:pPr>
            <w:r w:rsidRPr="009204F2">
              <w:rPr>
                <w:sz w:val="20"/>
                <w:lang w:val="en-US"/>
              </w:rPr>
              <w:t>2024:</w:t>
            </w:r>
            <w:r w:rsidR="00EF671E">
              <w:rPr>
                <w:sz w:val="20"/>
                <w:lang w:val="en-US"/>
              </w:rPr>
              <w:t xml:space="preserve"> </w:t>
            </w:r>
            <w:r w:rsidRPr="009204F2">
              <w:rPr>
                <w:sz w:val="20"/>
                <w:lang w:val="en-US"/>
              </w:rPr>
              <w:t>231</w:t>
            </w:r>
          </w:p>
          <w:p w14:paraId="1DF14CF6" w14:textId="77777777" w:rsidR="006D51CF" w:rsidRPr="009204F2" w:rsidRDefault="006D51CF" w:rsidP="00A83356">
            <w:pPr>
              <w:spacing w:before="0"/>
              <w:jc w:val="center"/>
              <w:cnfStyle w:val="000000100000" w:firstRow="0" w:lastRow="0" w:firstColumn="0" w:lastColumn="0" w:oddVBand="0" w:evenVBand="0" w:oddHBand="1" w:evenHBand="0" w:firstRowFirstColumn="0" w:firstRowLastColumn="0" w:lastRowFirstColumn="0" w:lastRowLastColumn="0"/>
              <w:rPr>
                <w:sz w:val="20"/>
                <w:lang w:val="en-US"/>
              </w:rPr>
            </w:pPr>
            <w:r w:rsidRPr="009204F2">
              <w:rPr>
                <w:sz w:val="20"/>
                <w:lang w:val="en-US"/>
              </w:rPr>
              <w:t>Total: 253</w:t>
            </w:r>
          </w:p>
        </w:tc>
        <w:tc>
          <w:tcPr>
            <w:tcW w:w="1941" w:type="dxa"/>
          </w:tcPr>
          <w:p w14:paraId="4D222B0B" w14:textId="77777777" w:rsidR="006D51CF" w:rsidRPr="00132FE6" w:rsidRDefault="006D51CF" w:rsidP="00A83356">
            <w:pPr>
              <w:spacing w:before="0"/>
              <w:jc w:val="center"/>
              <w:cnfStyle w:val="000000100000" w:firstRow="0" w:lastRow="0" w:firstColumn="0" w:lastColumn="0" w:oddVBand="0" w:evenVBand="0" w:oddHBand="1" w:evenHBand="0" w:firstRowFirstColumn="0" w:firstRowLastColumn="0" w:lastRowFirstColumn="0" w:lastRowLastColumn="0"/>
              <w:rPr>
                <w:sz w:val="20"/>
                <w:lang w:val="en-US"/>
              </w:rPr>
            </w:pPr>
            <w:r w:rsidRPr="00132FE6">
              <w:rPr>
                <w:sz w:val="20"/>
                <w:lang w:val="en-US"/>
              </w:rPr>
              <w:t>418</w:t>
            </w:r>
          </w:p>
        </w:tc>
      </w:tr>
      <w:tr w:rsidR="006D51CF" w:rsidRPr="00132FE6" w14:paraId="55309801" w14:textId="77777777" w:rsidTr="00A83356">
        <w:trPr>
          <w:trHeight w:val="315"/>
          <w:jc w:val="center"/>
        </w:trPr>
        <w:tc>
          <w:tcPr>
            <w:cnfStyle w:val="001000000000" w:firstRow="0" w:lastRow="0" w:firstColumn="1" w:lastColumn="0" w:oddVBand="0" w:evenVBand="0" w:oddHBand="0" w:evenHBand="0" w:firstRowFirstColumn="0" w:firstRowLastColumn="0" w:lastRowFirstColumn="0" w:lastRowLastColumn="0"/>
            <w:tcW w:w="2197" w:type="dxa"/>
            <w:hideMark/>
          </w:tcPr>
          <w:p w14:paraId="77534D17" w14:textId="77777777" w:rsidR="006D51CF" w:rsidRPr="00132FE6" w:rsidRDefault="006D51CF" w:rsidP="002E3B6B">
            <w:pPr>
              <w:spacing w:before="0"/>
              <w:rPr>
                <w:sz w:val="20"/>
                <w:lang w:val="en-US"/>
              </w:rPr>
            </w:pPr>
            <w:r w:rsidRPr="00132FE6">
              <w:rPr>
                <w:sz w:val="20"/>
                <w:lang w:val="en-US"/>
              </w:rPr>
              <w:t>DVD</w:t>
            </w:r>
            <w:r>
              <w:rPr>
                <w:sz w:val="20"/>
                <w:lang w:val="en-US"/>
              </w:rPr>
              <w:t xml:space="preserve"> vendidos</w:t>
            </w:r>
          </w:p>
        </w:tc>
        <w:tc>
          <w:tcPr>
            <w:tcW w:w="1395" w:type="dxa"/>
          </w:tcPr>
          <w:p w14:paraId="51C156F4" w14:textId="4FA64873" w:rsidR="006D51CF" w:rsidRPr="00132FE6" w:rsidRDefault="006D51CF" w:rsidP="00A83356">
            <w:pPr>
              <w:spacing w:before="0"/>
              <w:jc w:val="center"/>
              <w:cnfStyle w:val="000000000000" w:firstRow="0" w:lastRow="0" w:firstColumn="0" w:lastColumn="0" w:oddVBand="0" w:evenVBand="0" w:oddHBand="0" w:evenHBand="0" w:firstRowFirstColumn="0" w:firstRowLastColumn="0" w:lastRowFirstColumn="0" w:lastRowLastColumn="0"/>
              <w:rPr>
                <w:sz w:val="20"/>
                <w:lang w:val="en-US"/>
              </w:rPr>
            </w:pPr>
            <w:r w:rsidRPr="00132FE6">
              <w:rPr>
                <w:sz w:val="20"/>
                <w:lang w:val="en-US"/>
              </w:rPr>
              <w:t>1</w:t>
            </w:r>
            <w:r w:rsidR="00A83356">
              <w:rPr>
                <w:sz w:val="20"/>
                <w:lang w:val="en-US"/>
              </w:rPr>
              <w:t> </w:t>
            </w:r>
            <w:r w:rsidRPr="00132FE6">
              <w:rPr>
                <w:sz w:val="20"/>
                <w:lang w:val="en-US"/>
              </w:rPr>
              <w:t>638</w:t>
            </w:r>
          </w:p>
        </w:tc>
        <w:tc>
          <w:tcPr>
            <w:tcW w:w="1395" w:type="dxa"/>
          </w:tcPr>
          <w:p w14:paraId="0131A231" w14:textId="0D556F75" w:rsidR="006D51CF" w:rsidRPr="00132FE6" w:rsidRDefault="006D51CF" w:rsidP="00A83356">
            <w:pPr>
              <w:spacing w:before="0"/>
              <w:jc w:val="center"/>
              <w:cnfStyle w:val="000000000000" w:firstRow="0" w:lastRow="0" w:firstColumn="0" w:lastColumn="0" w:oddVBand="0" w:evenVBand="0" w:oddHBand="0" w:evenHBand="0" w:firstRowFirstColumn="0" w:firstRowLastColumn="0" w:lastRowFirstColumn="0" w:lastRowLastColumn="0"/>
              <w:rPr>
                <w:sz w:val="20"/>
                <w:lang w:val="en-US"/>
              </w:rPr>
            </w:pPr>
            <w:r w:rsidRPr="00132FE6">
              <w:rPr>
                <w:sz w:val="20"/>
                <w:lang w:val="en-US"/>
              </w:rPr>
              <w:t>11</w:t>
            </w:r>
            <w:r w:rsidR="00A83356">
              <w:rPr>
                <w:sz w:val="20"/>
                <w:lang w:val="en-US"/>
              </w:rPr>
              <w:t> </w:t>
            </w:r>
            <w:r w:rsidRPr="00132FE6">
              <w:rPr>
                <w:sz w:val="20"/>
                <w:lang w:val="en-US"/>
              </w:rPr>
              <w:t>700</w:t>
            </w:r>
          </w:p>
        </w:tc>
        <w:tc>
          <w:tcPr>
            <w:tcW w:w="2088" w:type="dxa"/>
          </w:tcPr>
          <w:p w14:paraId="6827D337" w14:textId="3ECFB87E" w:rsidR="006D51CF" w:rsidRPr="009204F2" w:rsidRDefault="006D51CF" w:rsidP="00A83356">
            <w:pPr>
              <w:spacing w:before="0"/>
              <w:jc w:val="center"/>
              <w:cnfStyle w:val="000000000000" w:firstRow="0" w:lastRow="0" w:firstColumn="0" w:lastColumn="0" w:oddVBand="0" w:evenVBand="0" w:oddHBand="0" w:evenHBand="0" w:firstRowFirstColumn="0" w:firstRowLastColumn="0" w:lastRowFirstColumn="0" w:lastRowLastColumn="0"/>
              <w:rPr>
                <w:sz w:val="20"/>
                <w:lang w:val="en-US"/>
              </w:rPr>
            </w:pPr>
            <w:r w:rsidRPr="009204F2">
              <w:rPr>
                <w:sz w:val="20"/>
                <w:lang w:val="en-US"/>
              </w:rPr>
              <w:t>2020:</w:t>
            </w:r>
            <w:r w:rsidR="00EF671E">
              <w:rPr>
                <w:sz w:val="20"/>
                <w:lang w:val="en-US"/>
              </w:rPr>
              <w:t xml:space="preserve"> </w:t>
            </w:r>
            <w:r w:rsidRPr="009204F2">
              <w:rPr>
                <w:sz w:val="20"/>
                <w:lang w:val="en-US"/>
              </w:rPr>
              <w:t>922</w:t>
            </w:r>
          </w:p>
          <w:p w14:paraId="5ADEE5A2" w14:textId="65B07D9C" w:rsidR="006D51CF" w:rsidRPr="009204F2" w:rsidRDefault="006D51CF" w:rsidP="00A83356">
            <w:pPr>
              <w:spacing w:before="0"/>
              <w:jc w:val="center"/>
              <w:cnfStyle w:val="000000000000" w:firstRow="0" w:lastRow="0" w:firstColumn="0" w:lastColumn="0" w:oddVBand="0" w:evenVBand="0" w:oddHBand="0" w:evenHBand="0" w:firstRowFirstColumn="0" w:firstRowLastColumn="0" w:lastRowFirstColumn="0" w:lastRowLastColumn="0"/>
              <w:rPr>
                <w:sz w:val="20"/>
                <w:lang w:val="en-US"/>
              </w:rPr>
            </w:pPr>
            <w:r w:rsidRPr="009204F2">
              <w:rPr>
                <w:sz w:val="20"/>
                <w:lang w:val="en-US"/>
              </w:rPr>
              <w:t>2024:</w:t>
            </w:r>
            <w:r w:rsidR="00EF671E">
              <w:rPr>
                <w:sz w:val="20"/>
                <w:lang w:val="en-US"/>
              </w:rPr>
              <w:t xml:space="preserve"> </w:t>
            </w:r>
            <w:r w:rsidRPr="009204F2">
              <w:rPr>
                <w:sz w:val="20"/>
                <w:lang w:val="en-US"/>
              </w:rPr>
              <w:t>3</w:t>
            </w:r>
            <w:r w:rsidR="00A83356">
              <w:rPr>
                <w:sz w:val="20"/>
                <w:lang w:val="en-US"/>
              </w:rPr>
              <w:t> </w:t>
            </w:r>
            <w:r w:rsidRPr="009204F2">
              <w:rPr>
                <w:sz w:val="20"/>
                <w:lang w:val="en-US"/>
              </w:rPr>
              <w:t>750</w:t>
            </w:r>
          </w:p>
          <w:p w14:paraId="341C586F" w14:textId="082324CD" w:rsidR="006D51CF" w:rsidRPr="009204F2" w:rsidRDefault="006D51CF" w:rsidP="00A83356">
            <w:pPr>
              <w:spacing w:before="0"/>
              <w:jc w:val="center"/>
              <w:cnfStyle w:val="000000000000" w:firstRow="0" w:lastRow="0" w:firstColumn="0" w:lastColumn="0" w:oddVBand="0" w:evenVBand="0" w:oddHBand="0" w:evenHBand="0" w:firstRowFirstColumn="0" w:firstRowLastColumn="0" w:lastRowFirstColumn="0" w:lastRowLastColumn="0"/>
              <w:rPr>
                <w:sz w:val="20"/>
                <w:lang w:val="en-US"/>
              </w:rPr>
            </w:pPr>
            <w:r w:rsidRPr="009204F2">
              <w:rPr>
                <w:sz w:val="20"/>
                <w:lang w:val="en-US"/>
              </w:rPr>
              <w:t>Total: 4</w:t>
            </w:r>
            <w:r w:rsidR="00A83356">
              <w:rPr>
                <w:sz w:val="20"/>
                <w:lang w:val="en-US"/>
              </w:rPr>
              <w:t> </w:t>
            </w:r>
            <w:r w:rsidRPr="009204F2">
              <w:rPr>
                <w:sz w:val="20"/>
                <w:lang w:val="en-US"/>
              </w:rPr>
              <w:t>672</w:t>
            </w:r>
          </w:p>
        </w:tc>
        <w:tc>
          <w:tcPr>
            <w:tcW w:w="1941" w:type="dxa"/>
          </w:tcPr>
          <w:p w14:paraId="3E797955" w14:textId="140DC5C0" w:rsidR="006D51CF" w:rsidRPr="00132FE6" w:rsidRDefault="006D51CF" w:rsidP="00A83356">
            <w:pPr>
              <w:spacing w:before="0"/>
              <w:jc w:val="center"/>
              <w:cnfStyle w:val="000000000000" w:firstRow="0" w:lastRow="0" w:firstColumn="0" w:lastColumn="0" w:oddVBand="0" w:evenVBand="0" w:oddHBand="0" w:evenHBand="0" w:firstRowFirstColumn="0" w:firstRowLastColumn="0" w:lastRowFirstColumn="0" w:lastRowLastColumn="0"/>
              <w:rPr>
                <w:sz w:val="20"/>
                <w:lang w:val="en-US"/>
              </w:rPr>
            </w:pPr>
            <w:r w:rsidRPr="00132FE6">
              <w:rPr>
                <w:sz w:val="20"/>
                <w:lang w:val="en-US"/>
              </w:rPr>
              <w:t>4</w:t>
            </w:r>
            <w:r w:rsidR="00A83356">
              <w:rPr>
                <w:sz w:val="20"/>
                <w:lang w:val="en-US"/>
              </w:rPr>
              <w:t> </w:t>
            </w:r>
            <w:r w:rsidRPr="00132FE6">
              <w:rPr>
                <w:sz w:val="20"/>
                <w:lang w:val="en-US"/>
              </w:rPr>
              <w:t>521</w:t>
            </w:r>
          </w:p>
        </w:tc>
      </w:tr>
      <w:tr w:rsidR="006D51CF" w:rsidRPr="00132FE6" w14:paraId="6DF3F9EE" w14:textId="77777777" w:rsidTr="00A8335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197" w:type="dxa"/>
          </w:tcPr>
          <w:p w14:paraId="44444E4E" w14:textId="77777777" w:rsidR="006D51CF" w:rsidRPr="00132FE6" w:rsidRDefault="006D51CF" w:rsidP="002E3B6B">
            <w:pPr>
              <w:spacing w:before="0"/>
              <w:rPr>
                <w:sz w:val="20"/>
                <w:lang w:val="en-US"/>
              </w:rPr>
            </w:pPr>
            <w:r w:rsidRPr="00132FE6">
              <w:rPr>
                <w:sz w:val="20"/>
                <w:lang w:val="en-US"/>
              </w:rPr>
              <w:t>USB</w:t>
            </w:r>
            <w:r>
              <w:rPr>
                <w:sz w:val="20"/>
                <w:lang w:val="en-US"/>
              </w:rPr>
              <w:t xml:space="preserve"> vendidos</w:t>
            </w:r>
          </w:p>
        </w:tc>
        <w:tc>
          <w:tcPr>
            <w:tcW w:w="1395" w:type="dxa"/>
          </w:tcPr>
          <w:p w14:paraId="0B7CEE6A" w14:textId="77777777" w:rsidR="006D51CF" w:rsidRPr="00132FE6" w:rsidRDefault="006D51CF" w:rsidP="00A83356">
            <w:pPr>
              <w:spacing w:before="0"/>
              <w:jc w:val="center"/>
              <w:cnfStyle w:val="000000100000" w:firstRow="0" w:lastRow="0" w:firstColumn="0" w:lastColumn="0" w:oddVBand="0" w:evenVBand="0" w:oddHBand="1" w:evenHBand="0" w:firstRowFirstColumn="0" w:firstRowLastColumn="0" w:lastRowFirstColumn="0" w:lastRowLastColumn="0"/>
              <w:rPr>
                <w:sz w:val="20"/>
                <w:lang w:val="en-US"/>
              </w:rPr>
            </w:pPr>
            <w:r w:rsidRPr="00132FE6">
              <w:rPr>
                <w:sz w:val="20"/>
                <w:lang w:val="en-US"/>
              </w:rPr>
              <w:t>-</w:t>
            </w:r>
          </w:p>
        </w:tc>
        <w:tc>
          <w:tcPr>
            <w:tcW w:w="1395" w:type="dxa"/>
          </w:tcPr>
          <w:p w14:paraId="52D31772" w14:textId="77777777" w:rsidR="006D51CF" w:rsidRPr="00132FE6" w:rsidRDefault="006D51CF" w:rsidP="00A83356">
            <w:pPr>
              <w:spacing w:before="0"/>
              <w:jc w:val="center"/>
              <w:cnfStyle w:val="000000100000" w:firstRow="0" w:lastRow="0" w:firstColumn="0" w:lastColumn="0" w:oddVBand="0" w:evenVBand="0" w:oddHBand="1" w:evenHBand="0" w:firstRowFirstColumn="0" w:firstRowLastColumn="0" w:lastRowFirstColumn="0" w:lastRowLastColumn="0"/>
              <w:rPr>
                <w:sz w:val="20"/>
                <w:lang w:val="en-US"/>
              </w:rPr>
            </w:pPr>
            <w:r w:rsidRPr="00132FE6">
              <w:rPr>
                <w:sz w:val="20"/>
                <w:lang w:val="en-US"/>
              </w:rPr>
              <w:t>-</w:t>
            </w:r>
          </w:p>
        </w:tc>
        <w:tc>
          <w:tcPr>
            <w:tcW w:w="2088" w:type="dxa"/>
          </w:tcPr>
          <w:p w14:paraId="727B4B00" w14:textId="643FA95F" w:rsidR="006D51CF" w:rsidRPr="009204F2" w:rsidRDefault="006D51CF" w:rsidP="00A83356">
            <w:pPr>
              <w:spacing w:before="0"/>
              <w:jc w:val="center"/>
              <w:cnfStyle w:val="000000100000" w:firstRow="0" w:lastRow="0" w:firstColumn="0" w:lastColumn="0" w:oddVBand="0" w:evenVBand="0" w:oddHBand="1" w:evenHBand="0" w:firstRowFirstColumn="0" w:firstRowLastColumn="0" w:lastRowFirstColumn="0" w:lastRowLastColumn="0"/>
              <w:rPr>
                <w:sz w:val="20"/>
                <w:lang w:val="en-US"/>
              </w:rPr>
            </w:pPr>
            <w:r w:rsidRPr="009204F2">
              <w:rPr>
                <w:sz w:val="20"/>
                <w:lang w:val="en-US"/>
              </w:rPr>
              <w:t>2020-2024:3</w:t>
            </w:r>
          </w:p>
          <w:p w14:paraId="7EF9468B" w14:textId="77777777" w:rsidR="006D51CF" w:rsidRPr="009204F2" w:rsidRDefault="006D51CF" w:rsidP="00A83356">
            <w:pPr>
              <w:spacing w:before="0"/>
              <w:jc w:val="center"/>
              <w:cnfStyle w:val="000000100000" w:firstRow="0" w:lastRow="0" w:firstColumn="0" w:lastColumn="0" w:oddVBand="0" w:evenVBand="0" w:oddHBand="1" w:evenHBand="0" w:firstRowFirstColumn="0" w:firstRowLastColumn="0" w:lastRowFirstColumn="0" w:lastRowLastColumn="0"/>
              <w:rPr>
                <w:sz w:val="20"/>
                <w:lang w:val="en-US"/>
              </w:rPr>
            </w:pPr>
            <w:r w:rsidRPr="009204F2">
              <w:rPr>
                <w:sz w:val="20"/>
                <w:lang w:val="en-US"/>
              </w:rPr>
              <w:t>Total: 3</w:t>
            </w:r>
          </w:p>
        </w:tc>
        <w:tc>
          <w:tcPr>
            <w:tcW w:w="1941" w:type="dxa"/>
          </w:tcPr>
          <w:p w14:paraId="3C1432F7" w14:textId="77777777" w:rsidR="006D51CF" w:rsidRPr="00132FE6" w:rsidRDefault="006D51CF" w:rsidP="00A83356">
            <w:pPr>
              <w:spacing w:before="0"/>
              <w:jc w:val="center"/>
              <w:cnfStyle w:val="000000100000" w:firstRow="0" w:lastRow="0" w:firstColumn="0" w:lastColumn="0" w:oddVBand="0" w:evenVBand="0" w:oddHBand="1" w:evenHBand="0" w:firstRowFirstColumn="0" w:firstRowLastColumn="0" w:lastRowFirstColumn="0" w:lastRowLastColumn="0"/>
              <w:rPr>
                <w:sz w:val="20"/>
                <w:lang w:val="en-US"/>
              </w:rPr>
            </w:pPr>
            <w:r w:rsidRPr="00132FE6">
              <w:rPr>
                <w:sz w:val="20"/>
                <w:lang w:val="en-US"/>
              </w:rPr>
              <w:t>662</w:t>
            </w:r>
          </w:p>
        </w:tc>
      </w:tr>
      <w:tr w:rsidR="006D51CF" w:rsidRPr="00132FE6" w14:paraId="05DF06C8" w14:textId="77777777" w:rsidTr="00A83356">
        <w:trPr>
          <w:trHeight w:val="315"/>
          <w:jc w:val="center"/>
        </w:trPr>
        <w:tc>
          <w:tcPr>
            <w:cnfStyle w:val="001000000000" w:firstRow="0" w:lastRow="0" w:firstColumn="1" w:lastColumn="0" w:oddVBand="0" w:evenVBand="0" w:oddHBand="0" w:evenHBand="0" w:firstRowFirstColumn="0" w:firstRowLastColumn="0" w:lastRowFirstColumn="0" w:lastRowLastColumn="0"/>
            <w:tcW w:w="2197" w:type="dxa"/>
            <w:hideMark/>
          </w:tcPr>
          <w:p w14:paraId="43C81540" w14:textId="77777777" w:rsidR="006D51CF" w:rsidRPr="00132FE6" w:rsidRDefault="006D51CF" w:rsidP="002E3B6B">
            <w:pPr>
              <w:spacing w:before="0"/>
              <w:rPr>
                <w:sz w:val="20"/>
                <w:lang w:val="en-US"/>
              </w:rPr>
            </w:pPr>
            <w:r>
              <w:rPr>
                <w:sz w:val="20"/>
                <w:lang w:val="en-US"/>
              </w:rPr>
              <w:t>Descargas gratuitas</w:t>
            </w:r>
          </w:p>
        </w:tc>
        <w:tc>
          <w:tcPr>
            <w:tcW w:w="1395" w:type="dxa"/>
          </w:tcPr>
          <w:p w14:paraId="6DE40067" w14:textId="393646DF" w:rsidR="006D51CF" w:rsidRPr="00132FE6" w:rsidRDefault="006D51CF" w:rsidP="00A83356">
            <w:pPr>
              <w:spacing w:before="0"/>
              <w:jc w:val="center"/>
              <w:cnfStyle w:val="000000000000" w:firstRow="0" w:lastRow="0" w:firstColumn="0" w:lastColumn="0" w:oddVBand="0" w:evenVBand="0" w:oddHBand="0" w:evenHBand="0" w:firstRowFirstColumn="0" w:firstRowLastColumn="0" w:lastRowFirstColumn="0" w:lastRowLastColumn="0"/>
              <w:rPr>
                <w:sz w:val="20"/>
                <w:lang w:val="en-US"/>
              </w:rPr>
            </w:pPr>
            <w:r w:rsidRPr="00132FE6">
              <w:rPr>
                <w:sz w:val="20"/>
                <w:lang w:val="en-US"/>
              </w:rPr>
              <w:t>13</w:t>
            </w:r>
            <w:r w:rsidR="00A83356">
              <w:rPr>
                <w:sz w:val="20"/>
                <w:lang w:val="en-US"/>
              </w:rPr>
              <w:t> </w:t>
            </w:r>
            <w:r w:rsidRPr="00132FE6">
              <w:rPr>
                <w:sz w:val="20"/>
                <w:lang w:val="en-US"/>
              </w:rPr>
              <w:t>467</w:t>
            </w:r>
          </w:p>
        </w:tc>
        <w:tc>
          <w:tcPr>
            <w:tcW w:w="1395" w:type="dxa"/>
          </w:tcPr>
          <w:p w14:paraId="5EF06C8C" w14:textId="7249A822" w:rsidR="006D51CF" w:rsidRPr="00132FE6" w:rsidRDefault="006D51CF" w:rsidP="00A83356">
            <w:pPr>
              <w:spacing w:before="0"/>
              <w:jc w:val="center"/>
              <w:cnfStyle w:val="000000000000" w:firstRow="0" w:lastRow="0" w:firstColumn="0" w:lastColumn="0" w:oddVBand="0" w:evenVBand="0" w:oddHBand="0" w:evenHBand="0" w:firstRowFirstColumn="0" w:firstRowLastColumn="0" w:lastRowFirstColumn="0" w:lastRowLastColumn="0"/>
              <w:rPr>
                <w:sz w:val="20"/>
                <w:lang w:val="en-US"/>
              </w:rPr>
            </w:pPr>
            <w:r w:rsidRPr="00132FE6">
              <w:rPr>
                <w:sz w:val="20"/>
                <w:lang w:val="en-US"/>
              </w:rPr>
              <w:t>42</w:t>
            </w:r>
            <w:r w:rsidR="00A83356">
              <w:rPr>
                <w:sz w:val="20"/>
                <w:lang w:val="en-US"/>
              </w:rPr>
              <w:t> </w:t>
            </w:r>
            <w:r w:rsidRPr="00132FE6">
              <w:rPr>
                <w:sz w:val="20"/>
                <w:lang w:val="en-US"/>
              </w:rPr>
              <w:t>439</w:t>
            </w:r>
          </w:p>
        </w:tc>
        <w:tc>
          <w:tcPr>
            <w:tcW w:w="2088" w:type="dxa"/>
          </w:tcPr>
          <w:p w14:paraId="48811DE3" w14:textId="7951908D" w:rsidR="006D51CF" w:rsidRPr="009204F2" w:rsidRDefault="006D51CF" w:rsidP="00A83356">
            <w:pPr>
              <w:spacing w:before="0"/>
              <w:jc w:val="center"/>
              <w:cnfStyle w:val="000000000000" w:firstRow="0" w:lastRow="0" w:firstColumn="0" w:lastColumn="0" w:oddVBand="0" w:evenVBand="0" w:oddHBand="0" w:evenHBand="0" w:firstRowFirstColumn="0" w:firstRowLastColumn="0" w:lastRowFirstColumn="0" w:lastRowLastColumn="0"/>
              <w:rPr>
                <w:sz w:val="20"/>
                <w:lang w:val="en-US"/>
              </w:rPr>
            </w:pPr>
            <w:r w:rsidRPr="009204F2">
              <w:rPr>
                <w:sz w:val="20"/>
                <w:lang w:val="en-US"/>
              </w:rPr>
              <w:t>2020: 29</w:t>
            </w:r>
            <w:r w:rsidR="00EF671E">
              <w:rPr>
                <w:sz w:val="20"/>
                <w:lang w:val="en-US"/>
              </w:rPr>
              <w:t> </w:t>
            </w:r>
            <w:r w:rsidRPr="009204F2">
              <w:rPr>
                <w:sz w:val="20"/>
                <w:lang w:val="en-US"/>
              </w:rPr>
              <w:t>537</w:t>
            </w:r>
          </w:p>
          <w:p w14:paraId="1C645DF1" w14:textId="492378C5" w:rsidR="006D51CF" w:rsidRPr="009204F2" w:rsidRDefault="006D51CF" w:rsidP="00A83356">
            <w:pPr>
              <w:spacing w:before="0"/>
              <w:jc w:val="center"/>
              <w:cnfStyle w:val="000000000000" w:firstRow="0" w:lastRow="0" w:firstColumn="0" w:lastColumn="0" w:oddVBand="0" w:evenVBand="0" w:oddHBand="0" w:evenHBand="0" w:firstRowFirstColumn="0" w:firstRowLastColumn="0" w:lastRowFirstColumn="0" w:lastRowLastColumn="0"/>
              <w:rPr>
                <w:sz w:val="20"/>
                <w:lang w:val="en-US"/>
              </w:rPr>
            </w:pPr>
            <w:r w:rsidRPr="009204F2">
              <w:rPr>
                <w:sz w:val="20"/>
                <w:lang w:val="en-US"/>
              </w:rPr>
              <w:t>2024: 12</w:t>
            </w:r>
            <w:r w:rsidR="00EF671E">
              <w:rPr>
                <w:sz w:val="20"/>
                <w:lang w:val="en-US"/>
              </w:rPr>
              <w:t> </w:t>
            </w:r>
            <w:r w:rsidRPr="009204F2">
              <w:rPr>
                <w:sz w:val="20"/>
                <w:lang w:val="en-US"/>
              </w:rPr>
              <w:t>445</w:t>
            </w:r>
          </w:p>
          <w:p w14:paraId="51749D2C" w14:textId="70DCE7AB" w:rsidR="006D51CF" w:rsidRPr="009204F2" w:rsidRDefault="006D51CF" w:rsidP="00A83356">
            <w:pPr>
              <w:spacing w:before="0"/>
              <w:jc w:val="center"/>
              <w:cnfStyle w:val="000000000000" w:firstRow="0" w:lastRow="0" w:firstColumn="0" w:lastColumn="0" w:oddVBand="0" w:evenVBand="0" w:oddHBand="0" w:evenHBand="0" w:firstRowFirstColumn="0" w:firstRowLastColumn="0" w:lastRowFirstColumn="0" w:lastRowLastColumn="0"/>
              <w:rPr>
                <w:sz w:val="20"/>
                <w:lang w:val="en-US"/>
              </w:rPr>
            </w:pPr>
            <w:r w:rsidRPr="009204F2">
              <w:rPr>
                <w:sz w:val="20"/>
                <w:lang w:val="en-US"/>
              </w:rPr>
              <w:t>Total: 41</w:t>
            </w:r>
            <w:r w:rsidR="00EF671E">
              <w:rPr>
                <w:sz w:val="20"/>
                <w:lang w:val="en-US"/>
              </w:rPr>
              <w:t> </w:t>
            </w:r>
            <w:r w:rsidRPr="009204F2">
              <w:rPr>
                <w:sz w:val="20"/>
                <w:lang w:val="en-US"/>
              </w:rPr>
              <w:t>982</w:t>
            </w:r>
          </w:p>
        </w:tc>
        <w:tc>
          <w:tcPr>
            <w:tcW w:w="1941" w:type="dxa"/>
          </w:tcPr>
          <w:p w14:paraId="01BE8ACA" w14:textId="0EC4195D" w:rsidR="006D51CF" w:rsidRPr="00132FE6" w:rsidRDefault="006D51CF" w:rsidP="00A83356">
            <w:pPr>
              <w:tabs>
                <w:tab w:val="clear" w:pos="794"/>
                <w:tab w:val="clear" w:pos="1191"/>
                <w:tab w:val="clear" w:pos="1588"/>
                <w:tab w:val="clear" w:pos="1985"/>
              </w:tabs>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sz w:val="20"/>
                <w:lang w:val="en-US"/>
              </w:rPr>
            </w:pPr>
            <w:r w:rsidRPr="00132FE6">
              <w:rPr>
                <w:sz w:val="20"/>
                <w:lang w:val="en-US"/>
              </w:rPr>
              <w:t>22</w:t>
            </w:r>
            <w:r w:rsidR="00A83356">
              <w:rPr>
                <w:sz w:val="20"/>
                <w:lang w:val="en-US"/>
              </w:rPr>
              <w:t> </w:t>
            </w:r>
            <w:r w:rsidRPr="00132FE6">
              <w:rPr>
                <w:sz w:val="20"/>
                <w:lang w:val="en-US"/>
              </w:rPr>
              <w:t>939</w:t>
            </w:r>
          </w:p>
        </w:tc>
      </w:tr>
    </w:tbl>
    <w:p w14:paraId="0D424BE8" w14:textId="77777777" w:rsidR="006D51CF" w:rsidRPr="00CD0972" w:rsidRDefault="006D51CF" w:rsidP="00EF671E">
      <w:pPr>
        <w:spacing w:before="240"/>
        <w:rPr>
          <w:lang w:val="es-ES"/>
        </w:rPr>
      </w:pPr>
      <w:r w:rsidRPr="00CD0972">
        <w:rPr>
          <w:lang w:val="es-ES"/>
        </w:rPr>
        <w:t xml:space="preserve">En el Cuadro 8.1.4.1-2 se indica el número total de descargas durante el mismo periodo de las Reglas de </w:t>
      </w:r>
      <w:r>
        <w:rPr>
          <w:lang w:val="es-ES"/>
        </w:rPr>
        <w:t>Procedimiento</w:t>
      </w:r>
      <w:r w:rsidRPr="00CD0972">
        <w:rPr>
          <w:lang w:val="es-ES"/>
        </w:rPr>
        <w:t xml:space="preserve"> (R</w:t>
      </w:r>
      <w:r>
        <w:rPr>
          <w:lang w:val="es-ES"/>
        </w:rPr>
        <w:t>d</w:t>
      </w:r>
      <w:r w:rsidRPr="00CD0972">
        <w:rPr>
          <w:lang w:val="es-ES"/>
        </w:rPr>
        <w:t xml:space="preserve">P). La edición más reciente de las Reglas de Procedimiento se publicó en diciembre de 2025 e </w:t>
      </w:r>
      <w:r>
        <w:rPr>
          <w:lang w:val="es-ES"/>
        </w:rPr>
        <w:t>integra las decisiones de la CMR</w:t>
      </w:r>
      <w:r w:rsidRPr="00CD0972">
        <w:rPr>
          <w:lang w:val="es-ES"/>
        </w:rPr>
        <w:t>-23. Desde entonces, esta publicación se ha actualizado en seis ocasiones a fin de integrar las Reglas de Procedim</w:t>
      </w:r>
      <w:r>
        <w:rPr>
          <w:lang w:val="es-ES"/>
        </w:rPr>
        <w:t>iento nuevas y revisadas aprobadas por la Junta del Reglamento de Radiocomunicaciones</w:t>
      </w:r>
      <w:r w:rsidRPr="00CD0972">
        <w:rPr>
          <w:lang w:val="es-ES"/>
        </w:rPr>
        <w:t>.</w:t>
      </w:r>
    </w:p>
    <w:p w14:paraId="4366C7D7" w14:textId="77777777" w:rsidR="006D51CF" w:rsidRPr="00CD0972" w:rsidRDefault="006D51CF" w:rsidP="006D51CF">
      <w:pPr>
        <w:pStyle w:val="TableNo"/>
        <w:rPr>
          <w:lang w:val="es-ES"/>
        </w:rPr>
      </w:pPr>
      <w:r>
        <w:rPr>
          <w:lang w:val="es-ES"/>
        </w:rPr>
        <w:t>CUADRO</w:t>
      </w:r>
      <w:r w:rsidRPr="00CD0972">
        <w:rPr>
          <w:lang w:val="es-ES"/>
        </w:rPr>
        <w:t xml:space="preserve"> 8.1.4.1-2</w:t>
      </w:r>
    </w:p>
    <w:p w14:paraId="590D64A9" w14:textId="77777777" w:rsidR="006D51CF" w:rsidRPr="005F26E3" w:rsidRDefault="006D51CF" w:rsidP="006D51CF">
      <w:pPr>
        <w:pStyle w:val="Tabletitle"/>
        <w:rPr>
          <w:sz w:val="24"/>
          <w:szCs w:val="24"/>
          <w:lang w:val="es-ES"/>
        </w:rPr>
      </w:pPr>
      <w:r w:rsidRPr="005F26E3">
        <w:rPr>
          <w:sz w:val="24"/>
          <w:szCs w:val="24"/>
          <w:lang w:val="es-ES"/>
        </w:rPr>
        <w:t>Reglas de Procedimiento (descargas)</w:t>
      </w:r>
    </w:p>
    <w:tbl>
      <w:tblPr>
        <w:tblStyle w:val="GridTable5Dark-Accent1"/>
        <w:tblW w:w="9593" w:type="dxa"/>
        <w:jc w:val="center"/>
        <w:tblLook w:val="04A0" w:firstRow="1" w:lastRow="0" w:firstColumn="1" w:lastColumn="0" w:noHBand="0" w:noVBand="1"/>
      </w:tblPr>
      <w:tblGrid>
        <w:gridCol w:w="2288"/>
        <w:gridCol w:w="1827"/>
        <w:gridCol w:w="1826"/>
        <w:gridCol w:w="1826"/>
        <w:gridCol w:w="1826"/>
      </w:tblGrid>
      <w:tr w:rsidR="006D51CF" w:rsidRPr="008965B1" w14:paraId="60B90BC9" w14:textId="77777777" w:rsidTr="002E3B6B">
        <w:trPr>
          <w:cnfStyle w:val="100000000000" w:firstRow="1" w:lastRow="0" w:firstColumn="0" w:lastColumn="0" w:oddVBand="0" w:evenVBand="0" w:oddHBand="0" w:evenHBand="0" w:firstRowFirstColumn="0" w:firstRowLastColumn="0" w:lastRowFirstColumn="0" w:lastRowLastColumn="0"/>
          <w:trHeight w:val="525"/>
          <w:jc w:val="center"/>
        </w:trPr>
        <w:tc>
          <w:tcPr>
            <w:cnfStyle w:val="001000000000" w:firstRow="0" w:lastRow="0" w:firstColumn="1" w:lastColumn="0" w:oddVBand="0" w:evenVBand="0" w:oddHBand="0" w:evenHBand="0" w:firstRowFirstColumn="0" w:firstRowLastColumn="0" w:lastRowFirstColumn="0" w:lastRowLastColumn="0"/>
            <w:tcW w:w="2288" w:type="dxa"/>
            <w:hideMark/>
          </w:tcPr>
          <w:p w14:paraId="71DB9443" w14:textId="77777777" w:rsidR="006D51CF" w:rsidRPr="00CD0972" w:rsidRDefault="006D51CF" w:rsidP="002E3B6B">
            <w:pPr>
              <w:keepNext/>
              <w:keepLines/>
              <w:spacing w:before="40"/>
              <w:jc w:val="center"/>
              <w:rPr>
                <w:rFonts w:ascii="Times" w:hAnsi="Times" w:cs="Times"/>
                <w:b w:val="0"/>
                <w:bCs w:val="0"/>
                <w:color w:val="auto"/>
                <w:lang w:val="es-ES"/>
              </w:rPr>
            </w:pPr>
          </w:p>
        </w:tc>
        <w:tc>
          <w:tcPr>
            <w:tcW w:w="1827" w:type="dxa"/>
          </w:tcPr>
          <w:p w14:paraId="0FD3CBA0" w14:textId="77777777" w:rsidR="006D51CF" w:rsidRPr="00684DAC" w:rsidRDefault="006D51CF" w:rsidP="002E3B6B">
            <w:pPr>
              <w:keepNext/>
              <w:keepLines/>
              <w:spacing w:before="40"/>
              <w:jc w:val="center"/>
              <w:cnfStyle w:val="100000000000" w:firstRow="1" w:lastRow="0" w:firstColumn="0" w:lastColumn="0" w:oddVBand="0" w:evenVBand="0" w:oddHBand="0" w:evenHBand="0" w:firstRowFirstColumn="0" w:firstRowLastColumn="0" w:lastRowFirstColumn="0" w:lastRowLastColumn="0"/>
            </w:pPr>
            <w:r w:rsidRPr="00684DAC">
              <w:t>2022</w:t>
            </w:r>
          </w:p>
        </w:tc>
        <w:tc>
          <w:tcPr>
            <w:tcW w:w="1826" w:type="dxa"/>
          </w:tcPr>
          <w:p w14:paraId="4B376136" w14:textId="77777777" w:rsidR="006D51CF" w:rsidRPr="00684DAC" w:rsidRDefault="006D51CF" w:rsidP="002E3B6B">
            <w:pPr>
              <w:keepNext/>
              <w:keepLines/>
              <w:spacing w:before="40"/>
              <w:jc w:val="center"/>
              <w:cnfStyle w:val="100000000000" w:firstRow="1" w:lastRow="0" w:firstColumn="0" w:lastColumn="0" w:oddVBand="0" w:evenVBand="0" w:oddHBand="0" w:evenHBand="0" w:firstRowFirstColumn="0" w:firstRowLastColumn="0" w:lastRowFirstColumn="0" w:lastRowLastColumn="0"/>
            </w:pPr>
            <w:r w:rsidRPr="00684DAC">
              <w:t>2023</w:t>
            </w:r>
          </w:p>
        </w:tc>
        <w:tc>
          <w:tcPr>
            <w:tcW w:w="1826" w:type="dxa"/>
          </w:tcPr>
          <w:p w14:paraId="26993547" w14:textId="77777777" w:rsidR="006D51CF" w:rsidRPr="00684DAC" w:rsidRDefault="006D51CF" w:rsidP="002E3B6B">
            <w:pPr>
              <w:keepNext/>
              <w:keepLines/>
              <w:spacing w:before="40"/>
              <w:jc w:val="center"/>
              <w:cnfStyle w:val="100000000000" w:firstRow="1" w:lastRow="0" w:firstColumn="0" w:lastColumn="0" w:oddVBand="0" w:evenVBand="0" w:oddHBand="0" w:evenHBand="0" w:firstRowFirstColumn="0" w:firstRowLastColumn="0" w:lastRowFirstColumn="0" w:lastRowLastColumn="0"/>
              <w:rPr>
                <w:lang w:eastAsia="zh-CN"/>
              </w:rPr>
            </w:pPr>
            <w:r w:rsidRPr="00684DAC">
              <w:t>2024</w:t>
            </w:r>
            <w:r w:rsidRPr="00684DAC">
              <w:rPr>
                <w:lang w:eastAsia="zh-CN"/>
              </w:rPr>
              <w:t>*</w:t>
            </w:r>
          </w:p>
        </w:tc>
        <w:tc>
          <w:tcPr>
            <w:tcW w:w="1826" w:type="dxa"/>
          </w:tcPr>
          <w:p w14:paraId="5E9DA468" w14:textId="77777777" w:rsidR="006D51CF" w:rsidRPr="00684DAC" w:rsidRDefault="006D51CF" w:rsidP="002E3B6B">
            <w:pPr>
              <w:keepNext/>
              <w:keepLines/>
              <w:spacing w:before="40"/>
              <w:jc w:val="center"/>
              <w:cnfStyle w:val="100000000000" w:firstRow="1" w:lastRow="0" w:firstColumn="0" w:lastColumn="0" w:oddVBand="0" w:evenVBand="0" w:oddHBand="0" w:evenHBand="0" w:firstRowFirstColumn="0" w:firstRowLastColumn="0" w:lastRowFirstColumn="0" w:lastRowLastColumn="0"/>
            </w:pPr>
            <w:r w:rsidRPr="00684DAC">
              <w:t>202</w:t>
            </w:r>
            <w:r>
              <w:t>5</w:t>
            </w:r>
            <w:r w:rsidRPr="00684DAC">
              <w:rPr>
                <w:lang w:eastAsia="zh-CN"/>
              </w:rPr>
              <w:t>*</w:t>
            </w:r>
          </w:p>
        </w:tc>
      </w:tr>
      <w:tr w:rsidR="006D51CF" w:rsidRPr="00E43D09" w14:paraId="6E46639B" w14:textId="77777777" w:rsidTr="002E3B6B">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288" w:type="dxa"/>
            <w:hideMark/>
          </w:tcPr>
          <w:p w14:paraId="36060E57" w14:textId="77777777" w:rsidR="006D51CF" w:rsidRPr="00CD0972" w:rsidRDefault="006D51CF" w:rsidP="002E3B6B">
            <w:pPr>
              <w:keepNext/>
              <w:keepLines/>
              <w:spacing w:before="40"/>
              <w:jc w:val="center"/>
              <w:rPr>
                <w:color w:val="auto"/>
                <w:lang w:val="es-ES"/>
              </w:rPr>
            </w:pPr>
            <w:r w:rsidRPr="00CD0972">
              <w:rPr>
                <w:lang w:val="es-ES"/>
              </w:rPr>
              <w:t>RdP</w:t>
            </w:r>
            <w:r w:rsidRPr="00CD0972">
              <w:rPr>
                <w:lang w:val="es-ES"/>
              </w:rPr>
              <w:br/>
              <w:t>(Reglas de Procedimiento)</w:t>
            </w:r>
          </w:p>
        </w:tc>
        <w:tc>
          <w:tcPr>
            <w:tcW w:w="1827" w:type="dxa"/>
          </w:tcPr>
          <w:p w14:paraId="2160DDCC" w14:textId="3C40E5B2" w:rsidR="006D51CF" w:rsidRPr="008965B1" w:rsidRDefault="006D51CF" w:rsidP="002E3B6B">
            <w:pPr>
              <w:keepNext/>
              <w:keepLines/>
              <w:spacing w:before="40"/>
              <w:jc w:val="center"/>
              <w:cnfStyle w:val="000000100000" w:firstRow="0" w:lastRow="0" w:firstColumn="0" w:lastColumn="0" w:oddVBand="0" w:evenVBand="0" w:oddHBand="1" w:evenHBand="0" w:firstRowFirstColumn="0" w:firstRowLastColumn="0" w:lastRowFirstColumn="0" w:lastRowLastColumn="0"/>
            </w:pPr>
            <w:r w:rsidRPr="008965B1">
              <w:t>11</w:t>
            </w:r>
            <w:r w:rsidR="00EF671E">
              <w:t> </w:t>
            </w:r>
            <w:r w:rsidRPr="008965B1">
              <w:t>887</w:t>
            </w:r>
          </w:p>
        </w:tc>
        <w:tc>
          <w:tcPr>
            <w:tcW w:w="1826" w:type="dxa"/>
          </w:tcPr>
          <w:p w14:paraId="1C29ABCF" w14:textId="20B8A419" w:rsidR="006D51CF" w:rsidRPr="008965B1" w:rsidRDefault="006D51CF" w:rsidP="002E3B6B">
            <w:pPr>
              <w:keepNext/>
              <w:keepLines/>
              <w:spacing w:before="40"/>
              <w:jc w:val="center"/>
              <w:cnfStyle w:val="000000100000" w:firstRow="0" w:lastRow="0" w:firstColumn="0" w:lastColumn="0" w:oddVBand="0" w:evenVBand="0" w:oddHBand="1" w:evenHBand="0" w:firstRowFirstColumn="0" w:firstRowLastColumn="0" w:lastRowFirstColumn="0" w:lastRowLastColumn="0"/>
            </w:pPr>
            <w:r w:rsidRPr="008965B1">
              <w:t>16</w:t>
            </w:r>
            <w:r w:rsidR="00EF671E">
              <w:t> </w:t>
            </w:r>
            <w:r w:rsidRPr="008965B1">
              <w:t>875</w:t>
            </w:r>
          </w:p>
        </w:tc>
        <w:tc>
          <w:tcPr>
            <w:tcW w:w="1826" w:type="dxa"/>
          </w:tcPr>
          <w:p w14:paraId="05B0EFBB" w14:textId="667C2307" w:rsidR="006D51CF" w:rsidRPr="00E43D09" w:rsidRDefault="006D51CF" w:rsidP="002E3B6B">
            <w:pPr>
              <w:keepNext/>
              <w:keepLines/>
              <w:spacing w:before="40"/>
              <w:jc w:val="center"/>
              <w:cnfStyle w:val="000000100000" w:firstRow="0" w:lastRow="0" w:firstColumn="0" w:lastColumn="0" w:oddVBand="0" w:evenVBand="0" w:oddHBand="1" w:evenHBand="0" w:firstRowFirstColumn="0" w:firstRowLastColumn="0" w:lastRowFirstColumn="0" w:lastRowLastColumn="0"/>
            </w:pPr>
            <w:r w:rsidRPr="008965B1">
              <w:t>14</w:t>
            </w:r>
            <w:r w:rsidR="00EF671E">
              <w:t> </w:t>
            </w:r>
            <w:r w:rsidRPr="008965B1">
              <w:t>510</w:t>
            </w:r>
          </w:p>
        </w:tc>
        <w:tc>
          <w:tcPr>
            <w:tcW w:w="1826" w:type="dxa"/>
          </w:tcPr>
          <w:p w14:paraId="6FE99001" w14:textId="4358BC7A" w:rsidR="006D51CF" w:rsidRPr="008965B1" w:rsidRDefault="006D51CF" w:rsidP="002E3B6B">
            <w:pPr>
              <w:keepNext/>
              <w:keepLines/>
              <w:spacing w:before="40"/>
              <w:jc w:val="center"/>
              <w:cnfStyle w:val="000000100000" w:firstRow="0" w:lastRow="0" w:firstColumn="0" w:lastColumn="0" w:oddVBand="0" w:evenVBand="0" w:oddHBand="1" w:evenHBand="0" w:firstRowFirstColumn="0" w:firstRowLastColumn="0" w:lastRowFirstColumn="0" w:lastRowLastColumn="0"/>
            </w:pPr>
            <w:r>
              <w:t>17</w:t>
            </w:r>
            <w:r w:rsidR="00EF671E">
              <w:t> </w:t>
            </w:r>
            <w:r>
              <w:t>140</w:t>
            </w:r>
          </w:p>
        </w:tc>
      </w:tr>
    </w:tbl>
    <w:p w14:paraId="1D682B38" w14:textId="3CDD2172" w:rsidR="006D51CF" w:rsidRPr="00CD0972" w:rsidRDefault="006D51CF" w:rsidP="00EF671E">
      <w:pPr>
        <w:pStyle w:val="Tablelegend"/>
        <w:ind w:left="284" w:hanging="284"/>
        <w:rPr>
          <w:lang w:val="es-ES"/>
        </w:rPr>
      </w:pPr>
      <w:r w:rsidRPr="00CD0972">
        <w:rPr>
          <w:lang w:val="es-ES"/>
        </w:rPr>
        <w:t>*</w:t>
      </w:r>
      <w:r w:rsidR="00EF671E">
        <w:rPr>
          <w:lang w:val="es-ES"/>
        </w:rPr>
        <w:tab/>
      </w:r>
      <w:r w:rsidRPr="00CD0972">
        <w:rPr>
          <w:lang w:val="es-ES"/>
        </w:rPr>
        <w:t>Los valores correspondientes a 2024 y 2025 incluyen todas las RdP en vigor, independientemente de la versión d</w:t>
      </w:r>
      <w:r>
        <w:rPr>
          <w:lang w:val="es-ES"/>
        </w:rPr>
        <w:t>escargada</w:t>
      </w:r>
      <w:r w:rsidRPr="00CD0972">
        <w:rPr>
          <w:lang w:val="es-ES"/>
        </w:rPr>
        <w:t xml:space="preserve">. </w:t>
      </w:r>
    </w:p>
    <w:p w14:paraId="404ECB33" w14:textId="77777777" w:rsidR="006D51CF" w:rsidRPr="004C1106" w:rsidRDefault="006D51CF" w:rsidP="006D51CF">
      <w:pPr>
        <w:pStyle w:val="Heading4"/>
        <w:rPr>
          <w:lang w:val="es-ES"/>
        </w:rPr>
      </w:pPr>
      <w:r w:rsidRPr="004C1106">
        <w:rPr>
          <w:lang w:val="es-ES"/>
        </w:rPr>
        <w:t>8.1.4.2</w:t>
      </w:r>
      <w:r w:rsidRPr="004C1106">
        <w:rPr>
          <w:lang w:val="es-ES"/>
        </w:rPr>
        <w:tab/>
        <w:t>Recomendaciones UIT-R</w:t>
      </w:r>
    </w:p>
    <w:p w14:paraId="29D644C9" w14:textId="77777777" w:rsidR="006D51CF" w:rsidRPr="00CD0972" w:rsidRDefault="006D51CF" w:rsidP="006D51CF">
      <w:pPr>
        <w:rPr>
          <w:lang w:val="es-ES"/>
        </w:rPr>
      </w:pPr>
      <w:r w:rsidRPr="00CD0972">
        <w:rPr>
          <w:lang w:val="es-ES"/>
        </w:rPr>
        <w:t>Como resultado de la política de acceso gratuito en línea, es posible acceder a las Recomendaciones UIT-R y descargarlas desde cualquier parte del mundo. Entre enero de 2022 y diciembre de 2025 se registraron cerca de</w:t>
      </w:r>
      <w:r>
        <w:rPr>
          <w:lang w:val="es-ES"/>
        </w:rPr>
        <w:t xml:space="preserve"> siete millones de descargas de Recomendaciones UIT-R desde el sitio web de la UIT</w:t>
      </w:r>
      <w:r w:rsidRPr="00CD0972">
        <w:rPr>
          <w:lang w:val="es-ES"/>
        </w:rPr>
        <w:t xml:space="preserve">. </w:t>
      </w:r>
    </w:p>
    <w:p w14:paraId="1C19A405" w14:textId="024D09A4" w:rsidR="006D51CF" w:rsidRPr="00CD0972" w:rsidRDefault="006D51CF" w:rsidP="006D51CF">
      <w:pPr>
        <w:rPr>
          <w:lang w:val="es-ES"/>
        </w:rPr>
      </w:pPr>
      <w:r w:rsidRPr="00CD0972">
        <w:rPr>
          <w:lang w:val="es-ES"/>
        </w:rPr>
        <w:t>En el Cuadro 8.1.4.2-1 se resume su distribución</w:t>
      </w:r>
      <w:r>
        <w:rPr>
          <w:lang w:val="es-ES"/>
        </w:rPr>
        <w:t xml:space="preserve"> por año y serie. </w:t>
      </w:r>
      <w:r w:rsidRPr="00CD0972">
        <w:rPr>
          <w:lang w:val="es-ES"/>
        </w:rPr>
        <w:t>En la actualidad hay 1</w:t>
      </w:r>
      <w:r w:rsidR="00EF671E">
        <w:rPr>
          <w:lang w:val="es-ES"/>
        </w:rPr>
        <w:t> </w:t>
      </w:r>
      <w:r w:rsidRPr="00CD0972">
        <w:rPr>
          <w:lang w:val="es-ES"/>
        </w:rPr>
        <w:t>208</w:t>
      </w:r>
      <w:r w:rsidR="00EF671E">
        <w:rPr>
          <w:lang w:val="es-ES"/>
        </w:rPr>
        <w:t> </w:t>
      </w:r>
      <w:r w:rsidRPr="00CD0972">
        <w:rPr>
          <w:lang w:val="es-ES"/>
        </w:rPr>
        <w:t xml:space="preserve">Recomendaciones </w:t>
      </w:r>
      <w:r>
        <w:rPr>
          <w:lang w:val="es-ES"/>
        </w:rPr>
        <w:t>UIT-R en vigor</w:t>
      </w:r>
      <w:r w:rsidRPr="00CD0972">
        <w:rPr>
          <w:lang w:val="es-ES"/>
        </w:rPr>
        <w:t>.</w:t>
      </w:r>
    </w:p>
    <w:p w14:paraId="1EB614DB" w14:textId="77777777" w:rsidR="006D51CF" w:rsidRPr="00CD0972" w:rsidRDefault="006D51CF" w:rsidP="006D51CF">
      <w:pPr>
        <w:pStyle w:val="TableNo"/>
        <w:spacing w:before="360"/>
        <w:rPr>
          <w:lang w:val="es-ES"/>
        </w:rPr>
      </w:pPr>
      <w:r w:rsidRPr="00CD0972">
        <w:rPr>
          <w:lang w:val="es-ES"/>
        </w:rPr>
        <w:lastRenderedPageBreak/>
        <w:t>CUADRO 8.1.4.2-1</w:t>
      </w:r>
    </w:p>
    <w:p w14:paraId="4A4AE282" w14:textId="77777777" w:rsidR="006D51CF" w:rsidRPr="005F26E3" w:rsidRDefault="006D51CF" w:rsidP="006D51CF">
      <w:pPr>
        <w:pStyle w:val="Tabletitle"/>
        <w:rPr>
          <w:sz w:val="24"/>
          <w:szCs w:val="24"/>
          <w:lang w:val="es-ES"/>
        </w:rPr>
      </w:pPr>
      <w:r w:rsidRPr="005F26E3">
        <w:rPr>
          <w:sz w:val="24"/>
          <w:szCs w:val="24"/>
          <w:lang w:val="es-ES"/>
        </w:rPr>
        <w:t>Distribución de Recomendaciones UIT-R (descargas)</w:t>
      </w:r>
    </w:p>
    <w:tbl>
      <w:tblPr>
        <w:tblStyle w:val="GridTable5Dark-Accent1"/>
        <w:tblW w:w="0" w:type="auto"/>
        <w:jc w:val="center"/>
        <w:tblLook w:val="04A0" w:firstRow="1" w:lastRow="0" w:firstColumn="1" w:lastColumn="0" w:noHBand="0" w:noVBand="1"/>
      </w:tblPr>
      <w:tblGrid>
        <w:gridCol w:w="1092"/>
        <w:gridCol w:w="1261"/>
        <w:gridCol w:w="1261"/>
        <w:gridCol w:w="1261"/>
        <w:gridCol w:w="1305"/>
        <w:gridCol w:w="1200"/>
        <w:gridCol w:w="1095"/>
      </w:tblGrid>
      <w:tr w:rsidR="006D51CF" w14:paraId="0FD0ED5F" w14:textId="77777777" w:rsidTr="002E3B6B">
        <w:trPr>
          <w:cnfStyle w:val="100000000000" w:firstRow="1" w:lastRow="0" w:firstColumn="0" w:lastColumn="0" w:oddVBand="0" w:evenVBand="0" w:oddHBand="0" w:evenHBand="0" w:firstRowFirstColumn="0" w:firstRowLastColumn="0" w:lastRowFirstColumn="0" w:lastRowLastColumn="0"/>
          <w:trHeight w:val="465"/>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tcBorders>
            <w:tcMar>
              <w:left w:w="108" w:type="dxa"/>
              <w:right w:w="108" w:type="dxa"/>
            </w:tcMar>
            <w:vAlign w:val="bottom"/>
          </w:tcPr>
          <w:p w14:paraId="35E083F9" w14:textId="77777777" w:rsidR="006D51CF" w:rsidRDefault="006D51CF" w:rsidP="002E3B6B">
            <w:pPr>
              <w:spacing w:before="0"/>
              <w:jc w:val="center"/>
            </w:pPr>
            <w:r w:rsidRPr="6CC80CD3">
              <w:rPr>
                <w:szCs w:val="24"/>
              </w:rPr>
              <w:t>SERIE</w:t>
            </w:r>
          </w:p>
        </w:tc>
        <w:tc>
          <w:tcPr>
            <w:tcW w:w="1261" w:type="dxa"/>
            <w:tcBorders>
              <w:top w:val="single" w:sz="8" w:space="0" w:color="FFFFFF" w:themeColor="background1"/>
              <w:bottom w:val="single" w:sz="8" w:space="0" w:color="FFFFFF" w:themeColor="background1"/>
            </w:tcBorders>
            <w:tcMar>
              <w:left w:w="108" w:type="dxa"/>
              <w:right w:w="108" w:type="dxa"/>
            </w:tcMar>
            <w:vAlign w:val="bottom"/>
          </w:tcPr>
          <w:p w14:paraId="0133ACC5" w14:textId="77777777" w:rsidR="006D51CF" w:rsidRDefault="006D51CF" w:rsidP="002E3B6B">
            <w:pPr>
              <w:spacing w:before="0"/>
              <w:jc w:val="center"/>
              <w:cnfStyle w:val="100000000000" w:firstRow="1" w:lastRow="0" w:firstColumn="0" w:lastColumn="0" w:oddVBand="0" w:evenVBand="0" w:oddHBand="0" w:evenHBand="0" w:firstRowFirstColumn="0" w:firstRowLastColumn="0" w:lastRowFirstColumn="0" w:lastRowLastColumn="0"/>
            </w:pPr>
            <w:r w:rsidRPr="6CC80CD3">
              <w:rPr>
                <w:szCs w:val="24"/>
              </w:rPr>
              <w:t>2022</w:t>
            </w:r>
          </w:p>
        </w:tc>
        <w:tc>
          <w:tcPr>
            <w:tcW w:w="1261" w:type="dxa"/>
            <w:tcBorders>
              <w:top w:val="single" w:sz="8" w:space="0" w:color="FFFFFF" w:themeColor="background1"/>
              <w:bottom w:val="single" w:sz="8" w:space="0" w:color="FFFFFF" w:themeColor="background1"/>
            </w:tcBorders>
            <w:tcMar>
              <w:left w:w="108" w:type="dxa"/>
              <w:right w:w="108" w:type="dxa"/>
            </w:tcMar>
            <w:vAlign w:val="bottom"/>
          </w:tcPr>
          <w:p w14:paraId="3677B5B8" w14:textId="77777777" w:rsidR="006D51CF" w:rsidRDefault="006D51CF" w:rsidP="002E3B6B">
            <w:pPr>
              <w:spacing w:before="0"/>
              <w:jc w:val="center"/>
              <w:cnfStyle w:val="100000000000" w:firstRow="1" w:lastRow="0" w:firstColumn="0" w:lastColumn="0" w:oddVBand="0" w:evenVBand="0" w:oddHBand="0" w:evenHBand="0" w:firstRowFirstColumn="0" w:firstRowLastColumn="0" w:lastRowFirstColumn="0" w:lastRowLastColumn="0"/>
            </w:pPr>
            <w:r w:rsidRPr="6CC80CD3">
              <w:rPr>
                <w:szCs w:val="24"/>
              </w:rPr>
              <w:t>2023</w:t>
            </w:r>
          </w:p>
        </w:tc>
        <w:tc>
          <w:tcPr>
            <w:tcW w:w="1261" w:type="dxa"/>
            <w:tcBorders>
              <w:top w:val="single" w:sz="8" w:space="0" w:color="FFFFFF" w:themeColor="background1"/>
              <w:bottom w:val="single" w:sz="8" w:space="0" w:color="FFFFFF" w:themeColor="background1"/>
            </w:tcBorders>
            <w:tcMar>
              <w:left w:w="108" w:type="dxa"/>
              <w:right w:w="108" w:type="dxa"/>
            </w:tcMar>
            <w:vAlign w:val="bottom"/>
          </w:tcPr>
          <w:p w14:paraId="29831782" w14:textId="77777777" w:rsidR="006D51CF" w:rsidRDefault="006D51CF" w:rsidP="002E3B6B">
            <w:pPr>
              <w:spacing w:before="0"/>
              <w:jc w:val="center"/>
              <w:cnfStyle w:val="100000000000" w:firstRow="1" w:lastRow="0" w:firstColumn="0" w:lastColumn="0" w:oddVBand="0" w:evenVBand="0" w:oddHBand="0" w:evenHBand="0" w:firstRowFirstColumn="0" w:firstRowLastColumn="0" w:lastRowFirstColumn="0" w:lastRowLastColumn="0"/>
            </w:pPr>
            <w:r w:rsidRPr="6CC80CD3">
              <w:rPr>
                <w:szCs w:val="24"/>
              </w:rPr>
              <w:t>2024</w:t>
            </w:r>
          </w:p>
        </w:tc>
        <w:tc>
          <w:tcPr>
            <w:tcW w:w="1305" w:type="dxa"/>
            <w:tcBorders>
              <w:top w:val="single" w:sz="8" w:space="0" w:color="FFFFFF" w:themeColor="background1"/>
              <w:bottom w:val="single" w:sz="8" w:space="0" w:color="FFFFFF" w:themeColor="background1"/>
            </w:tcBorders>
            <w:tcMar>
              <w:left w:w="108" w:type="dxa"/>
              <w:right w:w="108" w:type="dxa"/>
            </w:tcMar>
            <w:vAlign w:val="bottom"/>
          </w:tcPr>
          <w:p w14:paraId="252995FE" w14:textId="77777777" w:rsidR="006D51CF" w:rsidRDefault="006D51CF" w:rsidP="002E3B6B">
            <w:pPr>
              <w:spacing w:before="0"/>
              <w:jc w:val="center"/>
              <w:cnfStyle w:val="100000000000" w:firstRow="1" w:lastRow="0" w:firstColumn="0" w:lastColumn="0" w:oddVBand="0" w:evenVBand="0" w:oddHBand="0" w:evenHBand="0" w:firstRowFirstColumn="0" w:firstRowLastColumn="0" w:lastRowFirstColumn="0" w:lastRowLastColumn="0"/>
            </w:pPr>
            <w:r w:rsidRPr="6CC80CD3">
              <w:rPr>
                <w:szCs w:val="24"/>
              </w:rPr>
              <w:t>2025</w:t>
            </w:r>
            <w:r>
              <w:rPr>
                <w:szCs w:val="24"/>
              </w:rPr>
              <w:t xml:space="preserve"> </w:t>
            </w:r>
            <w:r>
              <w:rPr>
                <w:rStyle w:val="FootnoteReference"/>
              </w:rPr>
              <w:footnoteReference w:id="1"/>
            </w:r>
          </w:p>
        </w:tc>
        <w:tc>
          <w:tcPr>
            <w:tcW w:w="1200" w:type="dxa"/>
            <w:tcBorders>
              <w:top w:val="single" w:sz="8" w:space="0" w:color="FFFFFF" w:themeColor="background1"/>
              <w:bottom w:val="single" w:sz="8" w:space="0" w:color="FFFFFF" w:themeColor="background1"/>
            </w:tcBorders>
            <w:tcMar>
              <w:left w:w="108" w:type="dxa"/>
              <w:right w:w="108" w:type="dxa"/>
            </w:tcMar>
            <w:vAlign w:val="bottom"/>
          </w:tcPr>
          <w:p w14:paraId="476BFADA" w14:textId="77777777" w:rsidR="006D51CF" w:rsidRDefault="006D51CF" w:rsidP="002E3B6B">
            <w:pPr>
              <w:spacing w:before="0"/>
              <w:jc w:val="center"/>
              <w:cnfStyle w:val="100000000000" w:firstRow="1" w:lastRow="0" w:firstColumn="0" w:lastColumn="0" w:oddVBand="0" w:evenVBand="0" w:oddHBand="0" w:evenHBand="0" w:firstRowFirstColumn="0" w:firstRowLastColumn="0" w:lastRowFirstColumn="0" w:lastRowLastColumn="0"/>
            </w:pPr>
            <w:r w:rsidRPr="6CC80CD3">
              <w:rPr>
                <w:szCs w:val="24"/>
              </w:rPr>
              <w:t>TOTAL</w:t>
            </w:r>
          </w:p>
        </w:tc>
        <w:tc>
          <w:tcPr>
            <w:tcW w:w="1095" w:type="dxa"/>
            <w:tcBorders>
              <w:top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14836546" w14:textId="77777777" w:rsidR="006D51CF" w:rsidRDefault="006D51CF" w:rsidP="002E3B6B">
            <w:pPr>
              <w:spacing w:before="0"/>
              <w:jc w:val="center"/>
              <w:cnfStyle w:val="100000000000" w:firstRow="1" w:lastRow="0" w:firstColumn="0" w:lastColumn="0" w:oddVBand="0" w:evenVBand="0" w:oddHBand="0" w:evenHBand="0" w:firstRowFirstColumn="0" w:firstRowLastColumn="0" w:lastRowFirstColumn="0" w:lastRowLastColumn="0"/>
            </w:pPr>
            <w:r w:rsidRPr="6CC80CD3">
              <w:rPr>
                <w:szCs w:val="24"/>
              </w:rPr>
              <w:t>%</w:t>
            </w:r>
          </w:p>
        </w:tc>
      </w:tr>
      <w:tr w:rsidR="006D51CF" w14:paraId="56D2C5C4" w14:textId="77777777" w:rsidTr="002E3B6B">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D2F1F2A" w14:textId="77777777" w:rsidR="006D51CF" w:rsidRDefault="006D51CF" w:rsidP="002E3B6B">
            <w:pPr>
              <w:spacing w:before="0"/>
              <w:jc w:val="center"/>
            </w:pPr>
            <w:r w:rsidRPr="6CC80CD3">
              <w:rPr>
                <w:rFonts w:ascii="Aptos Narrow" w:eastAsia="Aptos Narrow" w:hAnsi="Aptos Narrow" w:cs="Aptos Narrow"/>
                <w:sz w:val="22"/>
                <w:szCs w:val="22"/>
              </w:rPr>
              <w:t>P</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3CB7D4C" w14:textId="155546E3"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347</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953</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092D427" w14:textId="2ABD4A2F"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401</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927</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BE1CCA2" w14:textId="7EEE2A50"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425</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058</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0745558" w14:textId="20B05E32"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515</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984</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9FAD96D" w14:textId="218FB21A"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b/>
                <w:bCs/>
                <w:color w:val="000000" w:themeColor="text1"/>
                <w:sz w:val="22"/>
                <w:szCs w:val="22"/>
              </w:rPr>
              <w:t>1</w:t>
            </w:r>
            <w:r w:rsidR="00330123">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690</w:t>
            </w:r>
            <w:r w:rsidR="00330123">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922</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1773F6E1" w14:textId="0F4698E5"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23</w:t>
            </w:r>
            <w:r w:rsidR="00EF671E">
              <w:rPr>
                <w:rFonts w:ascii="Aptos Narrow" w:eastAsia="Aptos Narrow" w:hAnsi="Aptos Narrow" w:cs="Aptos Narrow"/>
                <w:color w:val="000000" w:themeColor="text1"/>
                <w:sz w:val="22"/>
                <w:szCs w:val="22"/>
              </w:rPr>
              <w:t>,</w:t>
            </w:r>
            <w:r w:rsidRPr="6CC80CD3">
              <w:rPr>
                <w:rFonts w:ascii="Aptos Narrow" w:eastAsia="Aptos Narrow" w:hAnsi="Aptos Narrow" w:cs="Aptos Narrow"/>
                <w:color w:val="000000" w:themeColor="text1"/>
                <w:sz w:val="22"/>
                <w:szCs w:val="22"/>
              </w:rPr>
              <w:t>71</w:t>
            </w:r>
          </w:p>
        </w:tc>
      </w:tr>
      <w:tr w:rsidR="006D51CF" w14:paraId="0B50B06F" w14:textId="77777777" w:rsidTr="002E3B6B">
        <w:trPr>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EF9DA99" w14:textId="77777777" w:rsidR="006D51CF" w:rsidRDefault="006D51CF" w:rsidP="002E3B6B">
            <w:pPr>
              <w:spacing w:before="0"/>
              <w:jc w:val="center"/>
            </w:pPr>
            <w:r w:rsidRPr="6CC80CD3">
              <w:rPr>
                <w:rFonts w:ascii="Aptos Narrow" w:eastAsia="Aptos Narrow" w:hAnsi="Aptos Narrow" w:cs="Aptos Narrow"/>
                <w:sz w:val="22"/>
                <w:szCs w:val="22"/>
              </w:rPr>
              <w:t>M</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2441D17" w14:textId="038D35AE"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314</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920</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A1CB86D" w14:textId="72F48C75"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355</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079</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ADBE281" w14:textId="11DA4DF4"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349</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004</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08D1C1D" w14:textId="291A7A55"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406</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346</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07C4407" w14:textId="5A62EEA5"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b/>
                <w:bCs/>
                <w:color w:val="000000" w:themeColor="text1"/>
                <w:sz w:val="22"/>
                <w:szCs w:val="22"/>
              </w:rPr>
              <w:t>1</w:t>
            </w:r>
            <w:r w:rsidR="00330123">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425</w:t>
            </w:r>
            <w:r w:rsidR="00330123">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349</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A4A9C08" w14:textId="7A97DC5E"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19</w:t>
            </w:r>
            <w:r w:rsidR="00EF671E">
              <w:rPr>
                <w:rFonts w:ascii="Aptos Narrow" w:eastAsia="Aptos Narrow" w:hAnsi="Aptos Narrow" w:cs="Aptos Narrow"/>
                <w:color w:val="000000" w:themeColor="text1"/>
                <w:sz w:val="22"/>
                <w:szCs w:val="22"/>
              </w:rPr>
              <w:t>,</w:t>
            </w:r>
            <w:r w:rsidRPr="6CC80CD3">
              <w:rPr>
                <w:rFonts w:ascii="Aptos Narrow" w:eastAsia="Aptos Narrow" w:hAnsi="Aptos Narrow" w:cs="Aptos Narrow"/>
                <w:color w:val="000000" w:themeColor="text1"/>
                <w:sz w:val="22"/>
                <w:szCs w:val="22"/>
              </w:rPr>
              <w:t>98</w:t>
            </w:r>
          </w:p>
        </w:tc>
      </w:tr>
      <w:tr w:rsidR="006D51CF" w14:paraId="72CF78FC" w14:textId="77777777" w:rsidTr="002E3B6B">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18D376A" w14:textId="77777777" w:rsidR="006D51CF" w:rsidRDefault="006D51CF" w:rsidP="002E3B6B">
            <w:pPr>
              <w:spacing w:before="0"/>
              <w:jc w:val="center"/>
            </w:pPr>
            <w:r w:rsidRPr="6CC80CD3">
              <w:rPr>
                <w:rFonts w:ascii="Aptos Narrow" w:eastAsia="Aptos Narrow" w:hAnsi="Aptos Narrow" w:cs="Aptos Narrow"/>
                <w:sz w:val="22"/>
                <w:szCs w:val="22"/>
              </w:rPr>
              <w:t>BT</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1193B3FA" w14:textId="5B510510"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218</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403</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A6C48D2" w14:textId="098CA076"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240</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031</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73299AC" w14:textId="7EED4C19"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237</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839</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B3E3F37" w14:textId="77D3E45E"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280</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798</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E0BF1C1" w14:textId="46995B15"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b/>
                <w:bCs/>
                <w:color w:val="000000" w:themeColor="text1"/>
                <w:sz w:val="22"/>
                <w:szCs w:val="22"/>
              </w:rPr>
              <w:t>977</w:t>
            </w:r>
            <w:r w:rsidR="00330123">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071</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1B464B9D" w14:textId="7AC0752B"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13</w:t>
            </w:r>
            <w:r w:rsidR="00EF671E">
              <w:rPr>
                <w:rFonts w:ascii="Aptos Narrow" w:eastAsia="Aptos Narrow" w:hAnsi="Aptos Narrow" w:cs="Aptos Narrow"/>
                <w:color w:val="000000" w:themeColor="text1"/>
                <w:sz w:val="22"/>
                <w:szCs w:val="22"/>
              </w:rPr>
              <w:t>,</w:t>
            </w:r>
            <w:r w:rsidRPr="6CC80CD3">
              <w:rPr>
                <w:rFonts w:ascii="Aptos Narrow" w:eastAsia="Aptos Narrow" w:hAnsi="Aptos Narrow" w:cs="Aptos Narrow"/>
                <w:color w:val="000000" w:themeColor="text1"/>
                <w:sz w:val="22"/>
                <w:szCs w:val="22"/>
              </w:rPr>
              <w:t>70</w:t>
            </w:r>
          </w:p>
        </w:tc>
      </w:tr>
      <w:tr w:rsidR="006D51CF" w14:paraId="1D222F62" w14:textId="77777777" w:rsidTr="002E3B6B">
        <w:trPr>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1C61492B" w14:textId="77777777" w:rsidR="006D51CF" w:rsidRDefault="006D51CF" w:rsidP="002E3B6B">
            <w:pPr>
              <w:spacing w:before="0"/>
              <w:jc w:val="center"/>
            </w:pPr>
            <w:r w:rsidRPr="6CC80CD3">
              <w:rPr>
                <w:rFonts w:ascii="Aptos Narrow" w:eastAsia="Aptos Narrow" w:hAnsi="Aptos Narrow" w:cs="Aptos Narrow"/>
                <w:sz w:val="22"/>
                <w:szCs w:val="22"/>
              </w:rPr>
              <w:t>SM</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B40C691" w14:textId="4E3C2123"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169</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755</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F0EA19C" w14:textId="5D971EFC"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177</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372</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F5ABDF4" w14:textId="708D5FB4"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166</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663</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7362323" w14:textId="16ECF405"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162</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704</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2EEEC54" w14:textId="61AD0B5A"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b/>
                <w:bCs/>
                <w:color w:val="000000" w:themeColor="text1"/>
                <w:sz w:val="22"/>
                <w:szCs w:val="22"/>
              </w:rPr>
              <w:t>676</w:t>
            </w:r>
            <w:r w:rsidR="00330123">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494</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2ED1A99" w14:textId="14549370"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9</w:t>
            </w:r>
            <w:r w:rsidR="00EF671E">
              <w:rPr>
                <w:rFonts w:ascii="Aptos Narrow" w:eastAsia="Aptos Narrow" w:hAnsi="Aptos Narrow" w:cs="Aptos Narrow"/>
                <w:color w:val="000000" w:themeColor="text1"/>
                <w:sz w:val="22"/>
                <w:szCs w:val="22"/>
              </w:rPr>
              <w:t>,</w:t>
            </w:r>
            <w:r w:rsidRPr="6CC80CD3">
              <w:rPr>
                <w:rFonts w:ascii="Aptos Narrow" w:eastAsia="Aptos Narrow" w:hAnsi="Aptos Narrow" w:cs="Aptos Narrow"/>
                <w:color w:val="000000" w:themeColor="text1"/>
                <w:sz w:val="22"/>
                <w:szCs w:val="22"/>
              </w:rPr>
              <w:t>48</w:t>
            </w:r>
          </w:p>
        </w:tc>
      </w:tr>
      <w:tr w:rsidR="006D51CF" w14:paraId="6AEFB86F" w14:textId="77777777" w:rsidTr="002E3B6B">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380873C" w14:textId="77777777" w:rsidR="006D51CF" w:rsidRDefault="006D51CF" w:rsidP="002E3B6B">
            <w:pPr>
              <w:spacing w:before="0"/>
              <w:jc w:val="center"/>
            </w:pPr>
            <w:r w:rsidRPr="6CC80CD3">
              <w:rPr>
                <w:rFonts w:ascii="Aptos Narrow" w:eastAsia="Aptos Narrow" w:hAnsi="Aptos Narrow" w:cs="Aptos Narrow"/>
                <w:sz w:val="22"/>
                <w:szCs w:val="22"/>
              </w:rPr>
              <w:t>BS</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4D0F153" w14:textId="73D00BE3"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143</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107</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EC6BF8A" w14:textId="71CCEC6E"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158</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493</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9AEE86D" w14:textId="7A9D69B5"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135</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612</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6176888" w14:textId="1B5A1FB0"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164</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454</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B11CF18" w14:textId="022BB435"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b/>
                <w:bCs/>
                <w:color w:val="000000" w:themeColor="text1"/>
                <w:sz w:val="22"/>
                <w:szCs w:val="22"/>
              </w:rPr>
              <w:t>601</w:t>
            </w:r>
            <w:r w:rsidR="00330123">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666</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542B393" w14:textId="699B2E5E"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8</w:t>
            </w:r>
            <w:r w:rsidR="00EF671E">
              <w:rPr>
                <w:rFonts w:ascii="Aptos Narrow" w:eastAsia="Aptos Narrow" w:hAnsi="Aptos Narrow" w:cs="Aptos Narrow"/>
                <w:color w:val="000000" w:themeColor="text1"/>
                <w:sz w:val="22"/>
                <w:szCs w:val="22"/>
              </w:rPr>
              <w:t>,</w:t>
            </w:r>
            <w:r w:rsidRPr="6CC80CD3">
              <w:rPr>
                <w:rFonts w:ascii="Aptos Narrow" w:eastAsia="Aptos Narrow" w:hAnsi="Aptos Narrow" w:cs="Aptos Narrow"/>
                <w:color w:val="000000" w:themeColor="text1"/>
                <w:sz w:val="22"/>
                <w:szCs w:val="22"/>
              </w:rPr>
              <w:t>44</w:t>
            </w:r>
          </w:p>
        </w:tc>
      </w:tr>
      <w:tr w:rsidR="006D51CF" w14:paraId="2635C09B" w14:textId="77777777" w:rsidTr="002E3B6B">
        <w:trPr>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98376B5" w14:textId="77777777" w:rsidR="006D51CF" w:rsidRDefault="006D51CF" w:rsidP="002E3B6B">
            <w:pPr>
              <w:spacing w:before="0"/>
              <w:jc w:val="center"/>
            </w:pPr>
            <w:r w:rsidRPr="6CC80CD3">
              <w:rPr>
                <w:rFonts w:ascii="Aptos Narrow" w:eastAsia="Aptos Narrow" w:hAnsi="Aptos Narrow" w:cs="Aptos Narrow"/>
                <w:sz w:val="22"/>
                <w:szCs w:val="22"/>
              </w:rPr>
              <w:t>F</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136DC550" w14:textId="0F64EAF2"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116</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539</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5375371" w14:textId="47465F90"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139</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580</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6891DE5" w14:textId="03ED458F"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123</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807</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54CC02B" w14:textId="6B7E5B6E"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140</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302</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C7513A0" w14:textId="2D5DCA6E"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b/>
                <w:bCs/>
                <w:color w:val="000000" w:themeColor="text1"/>
                <w:sz w:val="22"/>
                <w:szCs w:val="22"/>
              </w:rPr>
              <w:t>520</w:t>
            </w:r>
            <w:r w:rsidR="00330123">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228</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127ED172" w14:textId="4361F424"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7</w:t>
            </w:r>
            <w:r w:rsidR="00EF671E">
              <w:rPr>
                <w:rFonts w:ascii="Aptos Narrow" w:eastAsia="Aptos Narrow" w:hAnsi="Aptos Narrow" w:cs="Aptos Narrow"/>
                <w:color w:val="000000" w:themeColor="text1"/>
                <w:sz w:val="22"/>
                <w:szCs w:val="22"/>
              </w:rPr>
              <w:t>,</w:t>
            </w:r>
            <w:r w:rsidRPr="6CC80CD3">
              <w:rPr>
                <w:rFonts w:ascii="Aptos Narrow" w:eastAsia="Aptos Narrow" w:hAnsi="Aptos Narrow" w:cs="Aptos Narrow"/>
                <w:color w:val="000000" w:themeColor="text1"/>
                <w:sz w:val="22"/>
                <w:szCs w:val="22"/>
              </w:rPr>
              <w:t>29</w:t>
            </w:r>
          </w:p>
        </w:tc>
      </w:tr>
      <w:tr w:rsidR="006D51CF" w14:paraId="420B8663" w14:textId="77777777" w:rsidTr="002E3B6B">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72ACB01" w14:textId="77777777" w:rsidR="006D51CF" w:rsidRDefault="006D51CF" w:rsidP="002E3B6B">
            <w:pPr>
              <w:spacing w:before="0"/>
              <w:jc w:val="center"/>
            </w:pPr>
            <w:r w:rsidRPr="6CC80CD3">
              <w:rPr>
                <w:rFonts w:ascii="Aptos Narrow" w:eastAsia="Aptos Narrow" w:hAnsi="Aptos Narrow" w:cs="Aptos Narrow"/>
                <w:sz w:val="22"/>
                <w:szCs w:val="22"/>
              </w:rPr>
              <w:t>S</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FBAD741" w14:textId="2D95F38C"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87</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801</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DE0B60C" w14:textId="4F9FF9FE"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105</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480</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0B4D79B" w14:textId="40923BB7"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110</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982</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4C028DB" w14:textId="69868983"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127</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958</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AEC2156" w14:textId="6B8A2296"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b/>
                <w:bCs/>
                <w:color w:val="000000" w:themeColor="text1"/>
                <w:sz w:val="22"/>
                <w:szCs w:val="22"/>
              </w:rPr>
              <w:t>432</w:t>
            </w:r>
            <w:r w:rsidR="00330123">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221</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FC7E0E5" w14:textId="69426354"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6</w:t>
            </w:r>
            <w:r w:rsidR="00EF671E">
              <w:rPr>
                <w:rFonts w:ascii="Aptos Narrow" w:eastAsia="Aptos Narrow" w:hAnsi="Aptos Narrow" w:cs="Aptos Narrow"/>
                <w:color w:val="000000" w:themeColor="text1"/>
                <w:sz w:val="22"/>
                <w:szCs w:val="22"/>
              </w:rPr>
              <w:t>,</w:t>
            </w:r>
            <w:r w:rsidRPr="6CC80CD3">
              <w:rPr>
                <w:rFonts w:ascii="Aptos Narrow" w:eastAsia="Aptos Narrow" w:hAnsi="Aptos Narrow" w:cs="Aptos Narrow"/>
                <w:color w:val="000000" w:themeColor="text1"/>
                <w:sz w:val="22"/>
                <w:szCs w:val="22"/>
              </w:rPr>
              <w:t>06</w:t>
            </w:r>
          </w:p>
        </w:tc>
      </w:tr>
      <w:tr w:rsidR="006D51CF" w14:paraId="1BE72CDD" w14:textId="77777777" w:rsidTr="002E3B6B">
        <w:trPr>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F2F4B98" w14:textId="77777777" w:rsidR="006D51CF" w:rsidRDefault="006D51CF" w:rsidP="002E3B6B">
            <w:pPr>
              <w:spacing w:before="0"/>
              <w:jc w:val="center"/>
            </w:pPr>
            <w:r w:rsidRPr="6CC80CD3">
              <w:rPr>
                <w:rFonts w:ascii="Aptos Narrow" w:eastAsia="Aptos Narrow" w:hAnsi="Aptos Narrow" w:cs="Aptos Narrow"/>
                <w:sz w:val="22"/>
                <w:szCs w:val="22"/>
              </w:rPr>
              <w:t>SA</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473F8EF" w14:textId="6CAD0D16"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33</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274</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021C62F" w14:textId="06ADABAF"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46</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373</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ABCDF5A" w14:textId="371D501B"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49</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133</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AD15735" w14:textId="69565ED9"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59</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690</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C0B9273" w14:textId="07DE059E"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b/>
                <w:bCs/>
                <w:color w:val="000000" w:themeColor="text1"/>
                <w:sz w:val="22"/>
                <w:szCs w:val="22"/>
              </w:rPr>
              <w:t>188</w:t>
            </w:r>
            <w:r w:rsidR="00330123">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470</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2FE2BE7" w14:textId="3F9C1AD1"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2</w:t>
            </w:r>
            <w:r w:rsidR="00EF671E">
              <w:rPr>
                <w:rFonts w:ascii="Aptos Narrow" w:eastAsia="Aptos Narrow" w:hAnsi="Aptos Narrow" w:cs="Aptos Narrow"/>
                <w:color w:val="000000" w:themeColor="text1"/>
                <w:sz w:val="22"/>
                <w:szCs w:val="22"/>
              </w:rPr>
              <w:t>,</w:t>
            </w:r>
            <w:r w:rsidRPr="6CC80CD3">
              <w:rPr>
                <w:rFonts w:ascii="Aptos Narrow" w:eastAsia="Aptos Narrow" w:hAnsi="Aptos Narrow" w:cs="Aptos Narrow"/>
                <w:color w:val="000000" w:themeColor="text1"/>
                <w:sz w:val="22"/>
                <w:szCs w:val="22"/>
              </w:rPr>
              <w:t>64</w:t>
            </w:r>
          </w:p>
        </w:tc>
      </w:tr>
      <w:tr w:rsidR="006D51CF" w14:paraId="747856AD" w14:textId="77777777" w:rsidTr="002E3B6B">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EB0DC27" w14:textId="77777777" w:rsidR="006D51CF" w:rsidRDefault="006D51CF" w:rsidP="002E3B6B">
            <w:pPr>
              <w:spacing w:before="0"/>
              <w:jc w:val="center"/>
            </w:pPr>
            <w:r w:rsidRPr="6CC80CD3">
              <w:rPr>
                <w:rFonts w:ascii="Aptos Narrow" w:eastAsia="Aptos Narrow" w:hAnsi="Aptos Narrow" w:cs="Aptos Narrow"/>
                <w:sz w:val="22"/>
                <w:szCs w:val="22"/>
              </w:rPr>
              <w:t>V</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1FA6AAF" w14:textId="45DBECEB"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44</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707</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EDB7CFC" w14:textId="5766328A"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39</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508</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556BF56" w14:textId="7A96F69E"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42</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201</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1BF746BF" w14:textId="31819921"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40</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586</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861D4A4" w14:textId="556E69CF"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b/>
                <w:bCs/>
                <w:color w:val="000000" w:themeColor="text1"/>
                <w:sz w:val="22"/>
                <w:szCs w:val="22"/>
              </w:rPr>
              <w:t>167</w:t>
            </w:r>
            <w:r w:rsidR="00330123">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002</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C278DD0" w14:textId="1ED04016"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2</w:t>
            </w:r>
            <w:r w:rsidR="00EF671E">
              <w:rPr>
                <w:rFonts w:ascii="Aptos Narrow" w:eastAsia="Aptos Narrow" w:hAnsi="Aptos Narrow" w:cs="Aptos Narrow"/>
                <w:color w:val="000000" w:themeColor="text1"/>
                <w:sz w:val="22"/>
                <w:szCs w:val="22"/>
              </w:rPr>
              <w:t>,</w:t>
            </w:r>
            <w:r w:rsidRPr="6CC80CD3">
              <w:rPr>
                <w:rFonts w:ascii="Aptos Narrow" w:eastAsia="Aptos Narrow" w:hAnsi="Aptos Narrow" w:cs="Aptos Narrow"/>
                <w:color w:val="000000" w:themeColor="text1"/>
                <w:sz w:val="22"/>
                <w:szCs w:val="22"/>
              </w:rPr>
              <w:t>34</w:t>
            </w:r>
          </w:p>
        </w:tc>
      </w:tr>
      <w:tr w:rsidR="006D51CF" w14:paraId="1E33BAAD" w14:textId="77777777" w:rsidTr="002E3B6B">
        <w:trPr>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7A21D30" w14:textId="77777777" w:rsidR="006D51CF" w:rsidRDefault="006D51CF" w:rsidP="002E3B6B">
            <w:pPr>
              <w:spacing w:before="0"/>
              <w:jc w:val="center"/>
            </w:pPr>
            <w:r w:rsidRPr="6CC80CD3">
              <w:rPr>
                <w:rFonts w:ascii="Aptos Narrow" w:eastAsia="Aptos Narrow" w:hAnsi="Aptos Narrow" w:cs="Aptos Narrow"/>
                <w:sz w:val="22"/>
                <w:szCs w:val="22"/>
              </w:rPr>
              <w:t>RS</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1469B79" w14:textId="211CCAD1"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19</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350</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CC72D0C" w14:textId="507FF1A5"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24</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932</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0181921" w14:textId="0C80114C"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27</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680</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788AC87" w14:textId="53DC48D9"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33</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206</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114F90F6" w14:textId="64EC39B3"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b/>
                <w:bCs/>
                <w:color w:val="000000" w:themeColor="text1"/>
                <w:sz w:val="22"/>
                <w:szCs w:val="22"/>
              </w:rPr>
              <w:t>105</w:t>
            </w:r>
            <w:r w:rsidR="00330123">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168</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478ED48" w14:textId="015F66B3"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1</w:t>
            </w:r>
            <w:r w:rsidR="00EF671E">
              <w:rPr>
                <w:rFonts w:ascii="Aptos Narrow" w:eastAsia="Aptos Narrow" w:hAnsi="Aptos Narrow" w:cs="Aptos Narrow"/>
                <w:color w:val="000000" w:themeColor="text1"/>
                <w:sz w:val="22"/>
                <w:szCs w:val="22"/>
              </w:rPr>
              <w:t>,</w:t>
            </w:r>
            <w:r w:rsidRPr="6CC80CD3">
              <w:rPr>
                <w:rFonts w:ascii="Aptos Narrow" w:eastAsia="Aptos Narrow" w:hAnsi="Aptos Narrow" w:cs="Aptos Narrow"/>
                <w:color w:val="000000" w:themeColor="text1"/>
                <w:sz w:val="22"/>
                <w:szCs w:val="22"/>
              </w:rPr>
              <w:t>47</w:t>
            </w:r>
          </w:p>
        </w:tc>
      </w:tr>
      <w:tr w:rsidR="006D51CF" w14:paraId="3672F510" w14:textId="77777777" w:rsidTr="002E3B6B">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18D3851" w14:textId="77777777" w:rsidR="006D51CF" w:rsidRDefault="006D51CF" w:rsidP="002E3B6B">
            <w:pPr>
              <w:spacing w:before="0"/>
              <w:jc w:val="center"/>
            </w:pPr>
            <w:r w:rsidRPr="6CC80CD3">
              <w:rPr>
                <w:rFonts w:ascii="Aptos Narrow" w:eastAsia="Aptos Narrow" w:hAnsi="Aptos Narrow" w:cs="Aptos Narrow"/>
                <w:sz w:val="22"/>
                <w:szCs w:val="22"/>
              </w:rPr>
              <w:t>BO</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1B6617A" w14:textId="689D666D"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16</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489</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CC66E4C" w14:textId="3F704125"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22</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760</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3821F71" w14:textId="28245ADD"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20</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941</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1FD16FB" w14:textId="44E3A012"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26</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832</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567685D" w14:textId="251D0241"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b/>
                <w:bCs/>
                <w:color w:val="000000" w:themeColor="text1"/>
                <w:sz w:val="22"/>
                <w:szCs w:val="22"/>
              </w:rPr>
              <w:t>87</w:t>
            </w:r>
            <w:r w:rsidR="00330123">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022</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B1B6EB6" w14:textId="72CE67F2"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1</w:t>
            </w:r>
            <w:r w:rsidR="00EF671E">
              <w:rPr>
                <w:rFonts w:ascii="Aptos Narrow" w:eastAsia="Aptos Narrow" w:hAnsi="Aptos Narrow" w:cs="Aptos Narrow"/>
                <w:color w:val="000000" w:themeColor="text1"/>
                <w:sz w:val="22"/>
                <w:szCs w:val="22"/>
              </w:rPr>
              <w:t>,</w:t>
            </w:r>
            <w:r w:rsidRPr="6CC80CD3">
              <w:rPr>
                <w:rFonts w:ascii="Aptos Narrow" w:eastAsia="Aptos Narrow" w:hAnsi="Aptos Narrow" w:cs="Aptos Narrow"/>
                <w:color w:val="000000" w:themeColor="text1"/>
                <w:sz w:val="22"/>
                <w:szCs w:val="22"/>
              </w:rPr>
              <w:t>22</w:t>
            </w:r>
          </w:p>
        </w:tc>
      </w:tr>
      <w:tr w:rsidR="006D51CF" w14:paraId="5D9DC012" w14:textId="77777777" w:rsidTr="002E3B6B">
        <w:trPr>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3304272" w14:textId="77777777" w:rsidR="006D51CF" w:rsidRDefault="006D51CF" w:rsidP="002E3B6B">
            <w:pPr>
              <w:spacing w:before="0"/>
              <w:jc w:val="center"/>
            </w:pPr>
            <w:r w:rsidRPr="6CC80CD3">
              <w:rPr>
                <w:rFonts w:ascii="Aptos Narrow" w:eastAsia="Aptos Narrow" w:hAnsi="Aptos Narrow" w:cs="Aptos Narrow"/>
                <w:sz w:val="22"/>
                <w:szCs w:val="22"/>
              </w:rPr>
              <w:t>TF</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1D72153D" w14:textId="796F4DC5"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18</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211</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CA58885" w14:textId="335ADA2A"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20</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903</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5733B78" w14:textId="15BEAA5A"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20</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589</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0BD4CAD" w14:textId="6B80BA50"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25</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014</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193359C6" w14:textId="65706D46"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b/>
                <w:bCs/>
                <w:color w:val="000000" w:themeColor="text1"/>
                <w:sz w:val="22"/>
                <w:szCs w:val="22"/>
              </w:rPr>
              <w:t>84</w:t>
            </w:r>
            <w:r w:rsidR="00330123">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717</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207BAFF" w14:textId="2BF4FA8A"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1</w:t>
            </w:r>
            <w:r w:rsidR="00EF671E">
              <w:rPr>
                <w:rFonts w:ascii="Aptos Narrow" w:eastAsia="Aptos Narrow" w:hAnsi="Aptos Narrow" w:cs="Aptos Narrow"/>
                <w:color w:val="000000" w:themeColor="text1"/>
                <w:sz w:val="22"/>
                <w:szCs w:val="22"/>
              </w:rPr>
              <w:t>,</w:t>
            </w:r>
            <w:r w:rsidRPr="6CC80CD3">
              <w:rPr>
                <w:rFonts w:ascii="Aptos Narrow" w:eastAsia="Aptos Narrow" w:hAnsi="Aptos Narrow" w:cs="Aptos Narrow"/>
                <w:color w:val="000000" w:themeColor="text1"/>
                <w:sz w:val="22"/>
                <w:szCs w:val="22"/>
              </w:rPr>
              <w:t>19</w:t>
            </w:r>
          </w:p>
        </w:tc>
      </w:tr>
      <w:tr w:rsidR="006D51CF" w14:paraId="2FA64CAA" w14:textId="77777777" w:rsidTr="002E3B6B">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7DE60EA" w14:textId="77777777" w:rsidR="006D51CF" w:rsidRDefault="006D51CF" w:rsidP="002E3B6B">
            <w:pPr>
              <w:spacing w:before="0"/>
              <w:jc w:val="center"/>
            </w:pPr>
            <w:r w:rsidRPr="6CC80CD3">
              <w:rPr>
                <w:rFonts w:ascii="Aptos Narrow" w:eastAsia="Aptos Narrow" w:hAnsi="Aptos Narrow" w:cs="Aptos Narrow"/>
                <w:sz w:val="22"/>
                <w:szCs w:val="22"/>
              </w:rPr>
              <w:t>SF</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9389379" w14:textId="1BD12012"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13</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102</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A7E7814" w14:textId="04BBCAAC"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15</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980</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0D15921" w14:textId="4E99FEE9"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14</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142</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A5513DD" w14:textId="44787EDB"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15</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486</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CE7ED0F" w14:textId="294F6207"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b/>
                <w:bCs/>
                <w:color w:val="000000" w:themeColor="text1"/>
                <w:sz w:val="22"/>
                <w:szCs w:val="22"/>
              </w:rPr>
              <w:t>58</w:t>
            </w:r>
            <w:r w:rsidR="00330123">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710</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87E483E" w14:textId="54C2093C"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0</w:t>
            </w:r>
            <w:r w:rsidR="00EF671E">
              <w:rPr>
                <w:rFonts w:ascii="Aptos Narrow" w:eastAsia="Aptos Narrow" w:hAnsi="Aptos Narrow" w:cs="Aptos Narrow"/>
                <w:color w:val="000000" w:themeColor="text1"/>
                <w:sz w:val="22"/>
                <w:szCs w:val="22"/>
              </w:rPr>
              <w:t>,</w:t>
            </w:r>
            <w:r w:rsidRPr="6CC80CD3">
              <w:rPr>
                <w:rFonts w:ascii="Aptos Narrow" w:eastAsia="Aptos Narrow" w:hAnsi="Aptos Narrow" w:cs="Aptos Narrow"/>
                <w:color w:val="000000" w:themeColor="text1"/>
                <w:sz w:val="22"/>
                <w:szCs w:val="22"/>
              </w:rPr>
              <w:t>82</w:t>
            </w:r>
          </w:p>
        </w:tc>
      </w:tr>
      <w:tr w:rsidR="006D51CF" w14:paraId="4364ADE3" w14:textId="77777777" w:rsidTr="002E3B6B">
        <w:trPr>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19D7DCF1" w14:textId="77777777" w:rsidR="006D51CF" w:rsidRDefault="006D51CF" w:rsidP="002E3B6B">
            <w:pPr>
              <w:spacing w:before="0"/>
              <w:jc w:val="center"/>
            </w:pPr>
            <w:r w:rsidRPr="6CC80CD3">
              <w:rPr>
                <w:rFonts w:ascii="Aptos Narrow" w:eastAsia="Aptos Narrow" w:hAnsi="Aptos Narrow" w:cs="Aptos Narrow"/>
                <w:sz w:val="22"/>
                <w:szCs w:val="22"/>
              </w:rPr>
              <w:t>RA</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943D276" w14:textId="43B7C37C"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9</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169</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9EDA23B" w14:textId="3D947E3D"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11</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546</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C756F19" w14:textId="04D4FDAD"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13</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260</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033FEBA" w14:textId="5DA771B2"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19</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700</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5C00E19" w14:textId="49825DA5"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b/>
                <w:bCs/>
                <w:color w:val="000000" w:themeColor="text1"/>
                <w:sz w:val="22"/>
                <w:szCs w:val="22"/>
              </w:rPr>
              <w:t>53</w:t>
            </w:r>
            <w:r w:rsidR="00330123">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675</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3E99778" w14:textId="342A68D2"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0</w:t>
            </w:r>
            <w:r w:rsidR="00EF671E">
              <w:rPr>
                <w:rFonts w:ascii="Aptos Narrow" w:eastAsia="Aptos Narrow" w:hAnsi="Aptos Narrow" w:cs="Aptos Narrow"/>
                <w:color w:val="000000" w:themeColor="text1"/>
                <w:sz w:val="22"/>
                <w:szCs w:val="22"/>
              </w:rPr>
              <w:t>,</w:t>
            </w:r>
            <w:r w:rsidRPr="6CC80CD3">
              <w:rPr>
                <w:rFonts w:ascii="Aptos Narrow" w:eastAsia="Aptos Narrow" w:hAnsi="Aptos Narrow" w:cs="Aptos Narrow"/>
                <w:color w:val="000000" w:themeColor="text1"/>
                <w:sz w:val="22"/>
                <w:szCs w:val="22"/>
              </w:rPr>
              <w:t>75</w:t>
            </w:r>
          </w:p>
        </w:tc>
      </w:tr>
      <w:tr w:rsidR="006D51CF" w14:paraId="054B481E" w14:textId="77777777" w:rsidTr="002E3B6B">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86FA866" w14:textId="77777777" w:rsidR="006D51CF" w:rsidRDefault="006D51CF" w:rsidP="002E3B6B">
            <w:pPr>
              <w:spacing w:before="0"/>
              <w:jc w:val="center"/>
            </w:pPr>
            <w:r w:rsidRPr="6CC80CD3">
              <w:rPr>
                <w:rFonts w:ascii="Aptos Narrow" w:eastAsia="Aptos Narrow" w:hAnsi="Aptos Narrow" w:cs="Aptos Narrow"/>
                <w:sz w:val="22"/>
                <w:szCs w:val="22"/>
              </w:rPr>
              <w:t>BR</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E9BF6BE" w14:textId="7BD347C1"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9</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838</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055BEE1" w14:textId="66D2BC73"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13</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285</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48867C5" w14:textId="7A147ED5"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10</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619</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001ECF3" w14:textId="7BC1A735"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13</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494</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4EBFC38" w14:textId="7E77804F"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b/>
                <w:bCs/>
                <w:color w:val="000000" w:themeColor="text1"/>
                <w:sz w:val="22"/>
                <w:szCs w:val="22"/>
              </w:rPr>
              <w:t>47</w:t>
            </w:r>
            <w:r w:rsidR="00330123">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236</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C37D74B" w14:textId="66382607"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0</w:t>
            </w:r>
            <w:r w:rsidR="00EF671E">
              <w:rPr>
                <w:rFonts w:ascii="Aptos Narrow" w:eastAsia="Aptos Narrow" w:hAnsi="Aptos Narrow" w:cs="Aptos Narrow"/>
                <w:color w:val="000000" w:themeColor="text1"/>
                <w:sz w:val="22"/>
                <w:szCs w:val="22"/>
              </w:rPr>
              <w:t>,</w:t>
            </w:r>
            <w:r w:rsidRPr="6CC80CD3">
              <w:rPr>
                <w:rFonts w:ascii="Aptos Narrow" w:eastAsia="Aptos Narrow" w:hAnsi="Aptos Narrow" w:cs="Aptos Narrow"/>
                <w:color w:val="000000" w:themeColor="text1"/>
                <w:sz w:val="22"/>
                <w:szCs w:val="22"/>
              </w:rPr>
              <w:t>66</w:t>
            </w:r>
          </w:p>
        </w:tc>
      </w:tr>
      <w:tr w:rsidR="006D51CF" w14:paraId="149E411E" w14:textId="77777777" w:rsidTr="002E3B6B">
        <w:trPr>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41A61B8" w14:textId="77777777" w:rsidR="006D51CF" w:rsidRDefault="006D51CF" w:rsidP="002E3B6B">
            <w:pPr>
              <w:spacing w:before="0"/>
              <w:jc w:val="center"/>
            </w:pPr>
            <w:r w:rsidRPr="6CC80CD3">
              <w:rPr>
                <w:rFonts w:ascii="Aptos Narrow" w:eastAsia="Aptos Narrow" w:hAnsi="Aptos Narrow" w:cs="Aptos Narrow"/>
                <w:sz w:val="22"/>
                <w:szCs w:val="22"/>
              </w:rPr>
              <w:t>SNG</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32399DF" w14:textId="7374C3E7"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1</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987</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7D2EB89" w14:textId="098FA5A7"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3</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045</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1A2B36C" w14:textId="7F5298ED"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2</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673</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9CA091B" w14:textId="4F388B86"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3</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110</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6CC2699" w14:textId="17BB1092"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b/>
                <w:bCs/>
                <w:color w:val="000000" w:themeColor="text1"/>
                <w:sz w:val="22"/>
                <w:szCs w:val="22"/>
              </w:rPr>
              <w:t>10</w:t>
            </w:r>
            <w:r w:rsidR="00330123">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815</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40F1BAF6" w14:textId="10615A6A"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0</w:t>
            </w:r>
            <w:r w:rsidR="00EF671E">
              <w:rPr>
                <w:rFonts w:ascii="Aptos Narrow" w:eastAsia="Aptos Narrow" w:hAnsi="Aptos Narrow" w:cs="Aptos Narrow"/>
                <w:color w:val="000000" w:themeColor="text1"/>
                <w:sz w:val="22"/>
                <w:szCs w:val="22"/>
              </w:rPr>
              <w:t>,</w:t>
            </w:r>
            <w:r w:rsidRPr="6CC80CD3">
              <w:rPr>
                <w:rFonts w:ascii="Aptos Narrow" w:eastAsia="Aptos Narrow" w:hAnsi="Aptos Narrow" w:cs="Aptos Narrow"/>
                <w:color w:val="000000" w:themeColor="text1"/>
                <w:sz w:val="22"/>
                <w:szCs w:val="22"/>
              </w:rPr>
              <w:t>15</w:t>
            </w:r>
          </w:p>
        </w:tc>
      </w:tr>
      <w:tr w:rsidR="006D51CF" w14:paraId="0A979498" w14:textId="77777777" w:rsidTr="002E3B6B">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1634D5E5" w14:textId="77777777" w:rsidR="006D51CF" w:rsidRDefault="006D51CF" w:rsidP="002E3B6B">
            <w:pPr>
              <w:spacing w:before="0"/>
              <w:jc w:val="center"/>
            </w:pPr>
            <w:r w:rsidRPr="6CC80CD3">
              <w:rPr>
                <w:rFonts w:ascii="Aptos Narrow" w:eastAsia="Aptos Narrow" w:hAnsi="Aptos Narrow" w:cs="Aptos Narrow"/>
                <w:sz w:val="22"/>
                <w:szCs w:val="22"/>
              </w:rPr>
              <w:t>IS</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3FE7C4D" w14:textId="618C5A72"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1</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203</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4F33BBC" w14:textId="1EC1BD80"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1</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416</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12478A1E" w14:textId="77777777"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997</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D8A6D2D" w14:textId="474D637A"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1</w:t>
            </w:r>
            <w:r w:rsidR="00330123">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300</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28B2DBE" w14:textId="0E16B219"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b/>
                <w:bCs/>
                <w:color w:val="000000" w:themeColor="text1"/>
                <w:sz w:val="22"/>
                <w:szCs w:val="22"/>
              </w:rPr>
              <w:t>4</w:t>
            </w:r>
            <w:r w:rsidR="00330123">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916</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066960F" w14:textId="1460A28D"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0</w:t>
            </w:r>
            <w:r w:rsidR="00EF671E">
              <w:rPr>
                <w:rFonts w:ascii="Aptos Narrow" w:eastAsia="Aptos Narrow" w:hAnsi="Aptos Narrow" w:cs="Aptos Narrow"/>
                <w:color w:val="000000" w:themeColor="text1"/>
                <w:sz w:val="22"/>
                <w:szCs w:val="22"/>
              </w:rPr>
              <w:t>,</w:t>
            </w:r>
            <w:r w:rsidRPr="6CC80CD3">
              <w:rPr>
                <w:rFonts w:ascii="Aptos Narrow" w:eastAsia="Aptos Narrow" w:hAnsi="Aptos Narrow" w:cs="Aptos Narrow"/>
                <w:color w:val="000000" w:themeColor="text1"/>
                <w:sz w:val="22"/>
                <w:szCs w:val="22"/>
              </w:rPr>
              <w:t>07</w:t>
            </w:r>
          </w:p>
        </w:tc>
      </w:tr>
      <w:tr w:rsidR="006D51CF" w14:paraId="69174C25" w14:textId="77777777" w:rsidTr="002E3B6B">
        <w:trPr>
          <w:trHeight w:val="330"/>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42C4835" w14:textId="77777777" w:rsidR="006D51CF" w:rsidRDefault="006D51CF" w:rsidP="002E3B6B">
            <w:pPr>
              <w:spacing w:before="0"/>
              <w:jc w:val="center"/>
            </w:pPr>
            <w:r w:rsidRPr="6CC80CD3">
              <w:rPr>
                <w:rFonts w:ascii="Aptos Narrow" w:eastAsia="Aptos Narrow" w:hAnsi="Aptos Narrow" w:cs="Aptos Narrow"/>
                <w:sz w:val="22"/>
                <w:szCs w:val="22"/>
              </w:rPr>
              <w:t>PI</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1DB13E9" w14:textId="77777777"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143</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C97B8D3" w14:textId="77777777"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288</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39A2EB3" w14:textId="77777777"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248</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CFE5DC5" w14:textId="77777777"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318</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2560391E" w14:textId="77777777"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b/>
                <w:bCs/>
                <w:color w:val="000000" w:themeColor="text1"/>
                <w:sz w:val="22"/>
                <w:szCs w:val="22"/>
              </w:rPr>
              <w:t>997</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77BF29C" w14:textId="30EFF6E0" w:rsidR="006D51CF" w:rsidRDefault="006D51CF" w:rsidP="00EF671E">
            <w:pPr>
              <w:spacing w:before="0"/>
              <w:jc w:val="center"/>
              <w:cnfStyle w:val="000000000000" w:firstRow="0" w:lastRow="0" w:firstColumn="0" w:lastColumn="0" w:oddVBand="0" w:evenVBand="0" w:oddHBand="0" w:evenHBand="0" w:firstRowFirstColumn="0" w:firstRowLastColumn="0" w:lastRowFirstColumn="0" w:lastRowLastColumn="0"/>
            </w:pPr>
            <w:r w:rsidRPr="6CC80CD3">
              <w:rPr>
                <w:rFonts w:ascii="Aptos Narrow" w:eastAsia="Aptos Narrow" w:hAnsi="Aptos Narrow" w:cs="Aptos Narrow"/>
                <w:color w:val="000000" w:themeColor="text1"/>
                <w:sz w:val="22"/>
                <w:szCs w:val="22"/>
              </w:rPr>
              <w:t>0</w:t>
            </w:r>
            <w:r w:rsidR="00EF671E">
              <w:rPr>
                <w:rFonts w:ascii="Aptos Narrow" w:eastAsia="Aptos Narrow" w:hAnsi="Aptos Narrow" w:cs="Aptos Narrow"/>
                <w:color w:val="000000" w:themeColor="text1"/>
                <w:sz w:val="22"/>
                <w:szCs w:val="22"/>
              </w:rPr>
              <w:t>,</w:t>
            </w:r>
            <w:r w:rsidRPr="6CC80CD3">
              <w:rPr>
                <w:rFonts w:ascii="Aptos Narrow" w:eastAsia="Aptos Narrow" w:hAnsi="Aptos Narrow" w:cs="Aptos Narrow"/>
                <w:color w:val="000000" w:themeColor="text1"/>
                <w:sz w:val="22"/>
                <w:szCs w:val="22"/>
              </w:rPr>
              <w:t>01</w:t>
            </w:r>
          </w:p>
        </w:tc>
      </w:tr>
      <w:tr w:rsidR="006D51CF" w14:paraId="72E91DEF" w14:textId="77777777" w:rsidTr="002E3B6B">
        <w:trPr>
          <w:cnfStyle w:val="000000100000" w:firstRow="0" w:lastRow="0" w:firstColumn="0" w:lastColumn="0" w:oddVBand="0" w:evenVBand="0" w:oddHBand="1"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109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3DD122D9" w14:textId="77777777" w:rsidR="006D51CF" w:rsidRDefault="006D51CF" w:rsidP="002E3B6B">
            <w:pPr>
              <w:spacing w:before="0"/>
              <w:jc w:val="center"/>
            </w:pPr>
            <w:r w:rsidRPr="6CC80CD3">
              <w:rPr>
                <w:rFonts w:ascii="Aptos Narrow" w:eastAsia="Aptos Narrow" w:hAnsi="Aptos Narrow" w:cs="Aptos Narrow"/>
                <w:sz w:val="22"/>
                <w:szCs w:val="22"/>
              </w:rPr>
              <w:t>Total</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1B32BEE5" w14:textId="42CD0402"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b/>
                <w:bCs/>
                <w:color w:val="000000" w:themeColor="text1"/>
                <w:sz w:val="22"/>
                <w:szCs w:val="22"/>
              </w:rPr>
              <w:t>1</w:t>
            </w:r>
            <w:r w:rsidR="00330123">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565</w:t>
            </w:r>
            <w:r w:rsidR="00330123">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951</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4D2056D" w14:textId="2E2036D9"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b/>
                <w:bCs/>
                <w:color w:val="000000" w:themeColor="text1"/>
                <w:sz w:val="22"/>
                <w:szCs w:val="22"/>
              </w:rPr>
              <w:t>1</w:t>
            </w:r>
            <w:r w:rsidR="00330123">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777</w:t>
            </w:r>
            <w:r w:rsidR="00330123">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998</w:t>
            </w:r>
          </w:p>
        </w:tc>
        <w:tc>
          <w:tcPr>
            <w:tcW w:w="1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0826DCD9" w14:textId="7E59B430"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b/>
                <w:bCs/>
                <w:color w:val="000000" w:themeColor="text1"/>
                <w:sz w:val="22"/>
                <w:szCs w:val="22"/>
              </w:rPr>
              <w:t>1</w:t>
            </w:r>
            <w:r w:rsidR="00330123">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751</w:t>
            </w:r>
            <w:r w:rsidR="00330123">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448</w:t>
            </w:r>
          </w:p>
        </w:tc>
        <w:tc>
          <w:tcPr>
            <w:tcW w:w="13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55F337CA" w14:textId="2CD9B1E5"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b/>
                <w:bCs/>
                <w:color w:val="000000" w:themeColor="text1"/>
                <w:sz w:val="22"/>
                <w:szCs w:val="22"/>
              </w:rPr>
              <w:t>2</w:t>
            </w:r>
            <w:r w:rsidR="00330123">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037</w:t>
            </w:r>
            <w:r w:rsidR="00330123">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282</w:t>
            </w:r>
          </w:p>
        </w:tc>
        <w:tc>
          <w:tcPr>
            <w:tcW w:w="12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6EB01ABE" w14:textId="748E31BA"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b/>
                <w:bCs/>
                <w:color w:val="000000" w:themeColor="text1"/>
                <w:sz w:val="22"/>
                <w:szCs w:val="22"/>
              </w:rPr>
              <w:t>7</w:t>
            </w:r>
            <w:r w:rsidR="00330123">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132</w:t>
            </w:r>
            <w:r w:rsidR="00330123">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679</w:t>
            </w:r>
          </w:p>
        </w:tc>
        <w:tc>
          <w:tcPr>
            <w:tcW w:w="10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vAlign w:val="bottom"/>
          </w:tcPr>
          <w:p w14:paraId="74FEED78" w14:textId="7E21F16A" w:rsidR="006D51CF" w:rsidRDefault="006D51CF" w:rsidP="00EF671E">
            <w:pPr>
              <w:spacing w:before="0"/>
              <w:jc w:val="center"/>
              <w:cnfStyle w:val="000000100000" w:firstRow="0" w:lastRow="0" w:firstColumn="0" w:lastColumn="0" w:oddVBand="0" w:evenVBand="0" w:oddHBand="1" w:evenHBand="0" w:firstRowFirstColumn="0" w:firstRowLastColumn="0" w:lastRowFirstColumn="0" w:lastRowLastColumn="0"/>
            </w:pPr>
            <w:r w:rsidRPr="6CC80CD3">
              <w:rPr>
                <w:rFonts w:ascii="Aptos Narrow" w:eastAsia="Aptos Narrow" w:hAnsi="Aptos Narrow" w:cs="Aptos Narrow"/>
                <w:color w:val="000000" w:themeColor="text1"/>
                <w:sz w:val="22"/>
                <w:szCs w:val="22"/>
              </w:rPr>
              <w:t>100</w:t>
            </w:r>
            <w:r w:rsidR="00EF671E">
              <w:rPr>
                <w:rFonts w:ascii="Aptos Narrow" w:eastAsia="Aptos Narrow" w:hAnsi="Aptos Narrow" w:cs="Aptos Narrow"/>
                <w:color w:val="000000" w:themeColor="text1"/>
                <w:sz w:val="22"/>
                <w:szCs w:val="22"/>
              </w:rPr>
              <w:t>,</w:t>
            </w:r>
            <w:r w:rsidRPr="6CC80CD3">
              <w:rPr>
                <w:rFonts w:ascii="Aptos Narrow" w:eastAsia="Aptos Narrow" w:hAnsi="Aptos Narrow" w:cs="Aptos Narrow"/>
                <w:color w:val="000000" w:themeColor="text1"/>
                <w:sz w:val="22"/>
                <w:szCs w:val="22"/>
              </w:rPr>
              <w:t>00</w:t>
            </w:r>
          </w:p>
        </w:tc>
      </w:tr>
    </w:tbl>
    <w:p w14:paraId="742E5813" w14:textId="77777777" w:rsidR="006D51CF" w:rsidRPr="007B0A40" w:rsidRDefault="006D51CF" w:rsidP="006D51CF">
      <w:pPr>
        <w:pStyle w:val="Heading4"/>
      </w:pPr>
      <w:r w:rsidRPr="007B0A40">
        <w:t>8.1.4.3</w:t>
      </w:r>
      <w:r w:rsidRPr="007B0A40">
        <w:tab/>
      </w:r>
      <w:r>
        <w:t>Informes UIT-R</w:t>
      </w:r>
    </w:p>
    <w:p w14:paraId="30F5D3A7" w14:textId="77777777" w:rsidR="006D51CF" w:rsidRPr="004E0BA9" w:rsidRDefault="006D51CF" w:rsidP="006D51CF">
      <w:pPr>
        <w:rPr>
          <w:lang w:val="es-ES"/>
        </w:rPr>
      </w:pPr>
      <w:r w:rsidRPr="004E0BA9">
        <w:rPr>
          <w:lang w:val="es-ES"/>
        </w:rPr>
        <w:t xml:space="preserve">Al igual que en el caso de las Recomendaciones UIT-R, los Informes UIT-R se han difundido a escala mundial, alcanzando a casi todas las audiencias y contribuyendo a la definición de buenas prácticas técnicas en determinados aspectos de las radiocomunicaciones. </w:t>
      </w:r>
    </w:p>
    <w:p w14:paraId="61C58628" w14:textId="77777777" w:rsidR="006D51CF" w:rsidRPr="004E0BA9" w:rsidRDefault="006D51CF" w:rsidP="006D51CF">
      <w:pPr>
        <w:rPr>
          <w:lang w:val="es-ES"/>
        </w:rPr>
      </w:pPr>
      <w:r w:rsidRPr="004E0BA9">
        <w:rPr>
          <w:lang w:val="es-ES"/>
        </w:rPr>
        <w:t xml:space="preserve">Entre enero de 2022 y diciembre de 2025 se registraron más de un millón y medio de </w:t>
      </w:r>
      <w:r>
        <w:rPr>
          <w:lang w:val="es-ES"/>
        </w:rPr>
        <w:t xml:space="preserve">descargas de Informes UIT-R desde el sitio web de la UIT. </w:t>
      </w:r>
      <w:r w:rsidRPr="004E0BA9">
        <w:rPr>
          <w:lang w:val="es-ES"/>
        </w:rPr>
        <w:t>En el Cuadro 8.1.4.3-1 se resume su distribución</w:t>
      </w:r>
      <w:r>
        <w:rPr>
          <w:lang w:val="es-ES"/>
        </w:rPr>
        <w:t xml:space="preserve"> por año y serie. </w:t>
      </w:r>
      <w:r w:rsidRPr="004E0BA9">
        <w:rPr>
          <w:lang w:val="es-ES"/>
        </w:rPr>
        <w:t xml:space="preserve">Hay en la actualidad 662 Informes UIT-R en </w:t>
      </w:r>
      <w:r>
        <w:rPr>
          <w:lang w:val="es-ES"/>
        </w:rPr>
        <w:t>vigor</w:t>
      </w:r>
      <w:r w:rsidRPr="004E0BA9">
        <w:rPr>
          <w:lang w:val="es-ES"/>
        </w:rPr>
        <w:t>.</w:t>
      </w:r>
    </w:p>
    <w:p w14:paraId="71B89A39" w14:textId="77777777" w:rsidR="006D51CF" w:rsidRPr="004E0BA9" w:rsidRDefault="006D51CF" w:rsidP="00623BCB">
      <w:pPr>
        <w:pStyle w:val="TableNo"/>
        <w:keepLines/>
        <w:spacing w:before="360"/>
        <w:rPr>
          <w:lang w:val="es-ES"/>
        </w:rPr>
      </w:pPr>
      <w:r w:rsidRPr="004E0BA9">
        <w:rPr>
          <w:lang w:val="es-ES"/>
        </w:rPr>
        <w:t>CUADRO 8.1.4.3-1</w:t>
      </w:r>
    </w:p>
    <w:p w14:paraId="520179E9" w14:textId="77777777" w:rsidR="006D51CF" w:rsidRPr="005F26E3" w:rsidRDefault="006D51CF" w:rsidP="00623BCB">
      <w:pPr>
        <w:pStyle w:val="Tabletitle"/>
        <w:rPr>
          <w:sz w:val="24"/>
          <w:szCs w:val="24"/>
          <w:lang w:val="es-ES"/>
        </w:rPr>
      </w:pPr>
      <w:r w:rsidRPr="005F26E3">
        <w:rPr>
          <w:sz w:val="24"/>
          <w:szCs w:val="24"/>
          <w:lang w:val="es-ES"/>
        </w:rPr>
        <w:t>Distribución de Informes UIT-R (descargas)</w:t>
      </w:r>
    </w:p>
    <w:tbl>
      <w:tblPr>
        <w:tblStyle w:val="GridTable5Dark-Accent1"/>
        <w:tblW w:w="9629" w:type="dxa"/>
        <w:jc w:val="center"/>
        <w:tblLook w:val="04A0" w:firstRow="1" w:lastRow="0" w:firstColumn="1" w:lastColumn="0" w:noHBand="0" w:noVBand="1"/>
      </w:tblPr>
      <w:tblGrid>
        <w:gridCol w:w="1355"/>
        <w:gridCol w:w="1453"/>
        <w:gridCol w:w="1454"/>
        <w:gridCol w:w="1454"/>
        <w:gridCol w:w="927"/>
        <w:gridCol w:w="1664"/>
        <w:gridCol w:w="1322"/>
      </w:tblGrid>
      <w:tr w:rsidR="006D51CF" w:rsidRPr="00D61BD4" w14:paraId="62EBAFF8" w14:textId="77777777" w:rsidTr="002E3B6B">
        <w:trPr>
          <w:cnfStyle w:val="100000000000" w:firstRow="1" w:lastRow="0" w:firstColumn="0" w:lastColumn="0" w:oddVBand="0" w:evenVBand="0" w:oddHBand="0"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tcPr>
          <w:p w14:paraId="1DAECD91" w14:textId="77777777" w:rsidR="006D51CF" w:rsidRPr="6CC80CD3" w:rsidRDefault="006D51CF" w:rsidP="00623BCB">
            <w:pPr>
              <w:keepNext/>
              <w:keepLines/>
              <w:jc w:val="center"/>
              <w:rPr>
                <w:szCs w:val="24"/>
              </w:rPr>
            </w:pPr>
            <w:r w:rsidRPr="6CC80CD3">
              <w:rPr>
                <w:szCs w:val="24"/>
              </w:rPr>
              <w:t>SERIES</w:t>
            </w:r>
          </w:p>
        </w:tc>
        <w:tc>
          <w:tcPr>
            <w:tcW w:w="1457" w:type="dxa"/>
            <w:vAlign w:val="bottom"/>
          </w:tcPr>
          <w:p w14:paraId="5610F90F" w14:textId="77777777" w:rsidR="006D51CF" w:rsidRPr="6CC80CD3" w:rsidRDefault="006D51CF" w:rsidP="00623BCB">
            <w:pPr>
              <w:keepNext/>
              <w:keepLines/>
              <w:spacing w:before="0"/>
              <w:jc w:val="center"/>
              <w:cnfStyle w:val="100000000000" w:firstRow="1" w:lastRow="0" w:firstColumn="0" w:lastColumn="0" w:oddVBand="0" w:evenVBand="0" w:oddHBand="0" w:evenHBand="0" w:firstRowFirstColumn="0" w:firstRowLastColumn="0" w:lastRowFirstColumn="0" w:lastRowLastColumn="0"/>
              <w:rPr>
                <w:szCs w:val="24"/>
              </w:rPr>
            </w:pPr>
            <w:r w:rsidRPr="6CC80CD3">
              <w:rPr>
                <w:szCs w:val="24"/>
              </w:rPr>
              <w:t>2022</w:t>
            </w:r>
          </w:p>
        </w:tc>
        <w:tc>
          <w:tcPr>
            <w:tcW w:w="1457" w:type="dxa"/>
            <w:vAlign w:val="bottom"/>
          </w:tcPr>
          <w:p w14:paraId="642F95EE" w14:textId="77777777" w:rsidR="006D51CF" w:rsidRPr="6CC80CD3" w:rsidRDefault="006D51CF" w:rsidP="00623BCB">
            <w:pPr>
              <w:keepNext/>
              <w:keepLines/>
              <w:spacing w:before="0"/>
              <w:jc w:val="center"/>
              <w:cnfStyle w:val="100000000000" w:firstRow="1" w:lastRow="0" w:firstColumn="0" w:lastColumn="0" w:oddVBand="0" w:evenVBand="0" w:oddHBand="0" w:evenHBand="0" w:firstRowFirstColumn="0" w:firstRowLastColumn="0" w:lastRowFirstColumn="0" w:lastRowLastColumn="0"/>
              <w:rPr>
                <w:szCs w:val="24"/>
              </w:rPr>
            </w:pPr>
            <w:r w:rsidRPr="6CC80CD3">
              <w:rPr>
                <w:szCs w:val="24"/>
              </w:rPr>
              <w:t>2023</w:t>
            </w:r>
          </w:p>
        </w:tc>
        <w:tc>
          <w:tcPr>
            <w:tcW w:w="1457" w:type="dxa"/>
            <w:vAlign w:val="bottom"/>
          </w:tcPr>
          <w:p w14:paraId="1097B15E" w14:textId="77777777" w:rsidR="006D51CF" w:rsidRPr="6CC80CD3" w:rsidRDefault="006D51CF" w:rsidP="00623BCB">
            <w:pPr>
              <w:keepNext/>
              <w:keepLines/>
              <w:spacing w:before="0"/>
              <w:jc w:val="center"/>
              <w:cnfStyle w:val="100000000000" w:firstRow="1" w:lastRow="0" w:firstColumn="0" w:lastColumn="0" w:oddVBand="0" w:evenVBand="0" w:oddHBand="0" w:evenHBand="0" w:firstRowFirstColumn="0" w:firstRowLastColumn="0" w:lastRowFirstColumn="0" w:lastRowLastColumn="0"/>
              <w:rPr>
                <w:szCs w:val="24"/>
              </w:rPr>
            </w:pPr>
            <w:r w:rsidRPr="6CC80CD3">
              <w:rPr>
                <w:szCs w:val="24"/>
              </w:rPr>
              <w:t>2024</w:t>
            </w:r>
          </w:p>
        </w:tc>
        <w:tc>
          <w:tcPr>
            <w:tcW w:w="914" w:type="dxa"/>
            <w:vAlign w:val="bottom"/>
          </w:tcPr>
          <w:p w14:paraId="267C17D3" w14:textId="77777777" w:rsidR="006D51CF" w:rsidRPr="6CC80CD3" w:rsidRDefault="006D51CF" w:rsidP="00623BCB">
            <w:pPr>
              <w:keepNext/>
              <w:keepLines/>
              <w:spacing w:before="0"/>
              <w:jc w:val="center"/>
              <w:cnfStyle w:val="100000000000" w:firstRow="1" w:lastRow="0" w:firstColumn="0" w:lastColumn="0" w:oddVBand="0" w:evenVBand="0" w:oddHBand="0" w:evenHBand="0" w:firstRowFirstColumn="0" w:firstRowLastColumn="0" w:lastRowFirstColumn="0" w:lastRowLastColumn="0"/>
              <w:rPr>
                <w:szCs w:val="24"/>
              </w:rPr>
            </w:pPr>
            <w:r w:rsidRPr="6CC80CD3">
              <w:rPr>
                <w:szCs w:val="24"/>
              </w:rPr>
              <w:t>2025</w:t>
            </w:r>
            <w:r>
              <w:rPr>
                <w:szCs w:val="24"/>
              </w:rPr>
              <w:t xml:space="preserve"> </w:t>
            </w:r>
            <w:r w:rsidRPr="00B6225D">
              <w:rPr>
                <w:szCs w:val="24"/>
                <w:vertAlign w:val="superscript"/>
              </w:rPr>
              <w:t>1</w:t>
            </w:r>
          </w:p>
        </w:tc>
        <w:tc>
          <w:tcPr>
            <w:tcW w:w="1664" w:type="dxa"/>
            <w:noWrap/>
            <w:vAlign w:val="bottom"/>
          </w:tcPr>
          <w:p w14:paraId="01AAC7BB" w14:textId="77777777" w:rsidR="006D51CF" w:rsidRPr="6CC80CD3" w:rsidRDefault="006D51CF" w:rsidP="00623BCB">
            <w:pPr>
              <w:keepNext/>
              <w:keepLines/>
              <w:spacing w:before="0"/>
              <w:jc w:val="center"/>
              <w:cnfStyle w:val="100000000000" w:firstRow="1" w:lastRow="0" w:firstColumn="0" w:lastColumn="0" w:oddVBand="0" w:evenVBand="0" w:oddHBand="0" w:evenHBand="0" w:firstRowFirstColumn="0" w:firstRowLastColumn="0" w:lastRowFirstColumn="0" w:lastRowLastColumn="0"/>
              <w:rPr>
                <w:szCs w:val="24"/>
              </w:rPr>
            </w:pPr>
            <w:r w:rsidRPr="6CC80CD3">
              <w:rPr>
                <w:szCs w:val="24"/>
              </w:rPr>
              <w:t>TOTAL</w:t>
            </w:r>
          </w:p>
        </w:tc>
        <w:tc>
          <w:tcPr>
            <w:tcW w:w="1325" w:type="dxa"/>
            <w:vAlign w:val="bottom"/>
          </w:tcPr>
          <w:p w14:paraId="0FBD0EC1" w14:textId="77777777" w:rsidR="006D51CF" w:rsidRPr="6CC80CD3" w:rsidRDefault="006D51CF" w:rsidP="00623BCB">
            <w:pPr>
              <w:keepNext/>
              <w:keepLines/>
              <w:spacing w:before="0"/>
              <w:jc w:val="center"/>
              <w:cnfStyle w:val="100000000000" w:firstRow="1" w:lastRow="0" w:firstColumn="0" w:lastColumn="0" w:oddVBand="0" w:evenVBand="0" w:oddHBand="0" w:evenHBand="0" w:firstRowFirstColumn="0" w:firstRowLastColumn="0" w:lastRowFirstColumn="0" w:lastRowLastColumn="0"/>
              <w:rPr>
                <w:szCs w:val="24"/>
              </w:rPr>
            </w:pPr>
            <w:r w:rsidRPr="6CC80CD3">
              <w:rPr>
                <w:szCs w:val="24"/>
              </w:rPr>
              <w:t>%</w:t>
            </w:r>
          </w:p>
        </w:tc>
      </w:tr>
      <w:tr w:rsidR="006D51CF" w:rsidRPr="00D61BD4" w14:paraId="53DFBD26" w14:textId="77777777" w:rsidTr="002E3B6B">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06CAB43C" w14:textId="77777777" w:rsidR="006D51CF" w:rsidRPr="6CC80CD3" w:rsidRDefault="006D51CF" w:rsidP="00623BCB">
            <w:pPr>
              <w:keepNext/>
              <w:keepLines/>
              <w:jc w:val="center"/>
              <w:rPr>
                <w:rFonts w:ascii="Aptos Narrow" w:eastAsia="Aptos Narrow" w:hAnsi="Aptos Narrow" w:cs="Aptos Narrow"/>
                <w:sz w:val="22"/>
                <w:szCs w:val="22"/>
              </w:rPr>
            </w:pPr>
            <w:r w:rsidRPr="6CC80CD3">
              <w:rPr>
                <w:rFonts w:ascii="Aptos Narrow" w:eastAsia="Aptos Narrow" w:hAnsi="Aptos Narrow" w:cs="Aptos Narrow"/>
                <w:sz w:val="22"/>
                <w:szCs w:val="22"/>
              </w:rPr>
              <w:t>SM</w:t>
            </w:r>
          </w:p>
        </w:tc>
        <w:tc>
          <w:tcPr>
            <w:tcW w:w="1457" w:type="dxa"/>
            <w:vAlign w:val="bottom"/>
          </w:tcPr>
          <w:p w14:paraId="29710DEE" w14:textId="55EFCD42" w:rsidR="006D51CF" w:rsidRPr="6CC80CD3" w:rsidRDefault="006D51CF" w:rsidP="00623BCB">
            <w:pPr>
              <w:keepNext/>
              <w:keepLine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105</w:t>
            </w:r>
            <w:r w:rsidR="00623BCB">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880</w:t>
            </w:r>
          </w:p>
        </w:tc>
        <w:tc>
          <w:tcPr>
            <w:tcW w:w="1457" w:type="dxa"/>
            <w:vAlign w:val="bottom"/>
          </w:tcPr>
          <w:p w14:paraId="71303CC6" w14:textId="29EBCBA2" w:rsidR="006D51CF" w:rsidRPr="6CC80CD3" w:rsidRDefault="006D51CF" w:rsidP="00623BCB">
            <w:pPr>
              <w:keepNext/>
              <w:keepLine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116</w:t>
            </w:r>
            <w:r w:rsidR="00623BCB">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282</w:t>
            </w:r>
          </w:p>
        </w:tc>
        <w:tc>
          <w:tcPr>
            <w:tcW w:w="1457" w:type="dxa"/>
            <w:vAlign w:val="bottom"/>
          </w:tcPr>
          <w:p w14:paraId="6298658C" w14:textId="6AEB67A7" w:rsidR="006D51CF" w:rsidRPr="6CC80CD3" w:rsidRDefault="006D51CF" w:rsidP="00623BCB">
            <w:pPr>
              <w:keepNext/>
              <w:keepLine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128</w:t>
            </w:r>
            <w:r w:rsidR="00623BCB">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647</w:t>
            </w:r>
          </w:p>
        </w:tc>
        <w:tc>
          <w:tcPr>
            <w:tcW w:w="914" w:type="dxa"/>
            <w:vAlign w:val="bottom"/>
          </w:tcPr>
          <w:p w14:paraId="0B7CA22D" w14:textId="42ED53DF" w:rsidR="006D51CF" w:rsidRPr="6CC80CD3" w:rsidRDefault="006D51CF" w:rsidP="00623BCB">
            <w:pPr>
              <w:keepNext/>
              <w:keepLine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140</w:t>
            </w:r>
            <w:r w:rsidR="00623BCB">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290</w:t>
            </w:r>
          </w:p>
        </w:tc>
        <w:tc>
          <w:tcPr>
            <w:tcW w:w="1664" w:type="dxa"/>
            <w:noWrap/>
            <w:vAlign w:val="bottom"/>
          </w:tcPr>
          <w:p w14:paraId="4766448E" w14:textId="07398FF0" w:rsidR="006D51CF" w:rsidRPr="6CC80CD3" w:rsidRDefault="006D51CF" w:rsidP="00623BCB">
            <w:pPr>
              <w:keepNext/>
              <w:keepLine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b/>
                <w:bCs/>
                <w:color w:val="000000" w:themeColor="text1"/>
                <w:sz w:val="22"/>
                <w:szCs w:val="22"/>
              </w:rPr>
            </w:pPr>
            <w:r w:rsidRPr="6CC80CD3">
              <w:rPr>
                <w:rFonts w:ascii="Aptos Narrow" w:eastAsia="Aptos Narrow" w:hAnsi="Aptos Narrow" w:cs="Aptos Narrow"/>
                <w:b/>
                <w:bCs/>
                <w:color w:val="000000" w:themeColor="text1"/>
                <w:sz w:val="22"/>
                <w:szCs w:val="22"/>
              </w:rPr>
              <w:t>491</w:t>
            </w:r>
            <w:r w:rsidR="00623BCB">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099</w:t>
            </w:r>
          </w:p>
        </w:tc>
        <w:tc>
          <w:tcPr>
            <w:tcW w:w="1325" w:type="dxa"/>
            <w:vAlign w:val="bottom"/>
          </w:tcPr>
          <w:p w14:paraId="3960DBDF" w14:textId="3B1B4C87" w:rsidR="006D51CF" w:rsidRPr="6CC80CD3" w:rsidRDefault="006D51CF" w:rsidP="00623BCB">
            <w:pPr>
              <w:keepNext/>
              <w:keepLine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29</w:t>
            </w:r>
            <w:r w:rsidR="00623BCB">
              <w:rPr>
                <w:rFonts w:ascii="Aptos Narrow" w:eastAsia="Aptos Narrow" w:hAnsi="Aptos Narrow" w:cs="Aptos Narrow"/>
                <w:color w:val="000000" w:themeColor="text1"/>
                <w:sz w:val="22"/>
                <w:szCs w:val="22"/>
              </w:rPr>
              <w:t>,</w:t>
            </w:r>
            <w:r w:rsidRPr="6CC80CD3">
              <w:rPr>
                <w:rFonts w:ascii="Aptos Narrow" w:eastAsia="Aptos Narrow" w:hAnsi="Aptos Narrow" w:cs="Aptos Narrow"/>
                <w:color w:val="000000" w:themeColor="text1"/>
                <w:sz w:val="22"/>
                <w:szCs w:val="22"/>
              </w:rPr>
              <w:t>09</w:t>
            </w:r>
          </w:p>
        </w:tc>
      </w:tr>
      <w:tr w:rsidR="006D51CF" w:rsidRPr="00D61BD4" w14:paraId="3F64F3C9" w14:textId="77777777" w:rsidTr="002E3B6B">
        <w:trPr>
          <w:trHeight w:val="354"/>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49682B0D" w14:textId="77777777" w:rsidR="006D51CF" w:rsidRPr="6CC80CD3" w:rsidRDefault="006D51CF" w:rsidP="00623BCB">
            <w:pPr>
              <w:keepNext/>
              <w:keepLines/>
              <w:jc w:val="center"/>
              <w:rPr>
                <w:rFonts w:ascii="Aptos Narrow" w:eastAsia="Aptos Narrow" w:hAnsi="Aptos Narrow" w:cs="Aptos Narrow"/>
                <w:sz w:val="22"/>
                <w:szCs w:val="22"/>
              </w:rPr>
            </w:pPr>
            <w:r w:rsidRPr="6CC80CD3">
              <w:rPr>
                <w:rFonts w:ascii="Aptos Narrow" w:eastAsia="Aptos Narrow" w:hAnsi="Aptos Narrow" w:cs="Aptos Narrow"/>
                <w:sz w:val="22"/>
                <w:szCs w:val="22"/>
              </w:rPr>
              <w:t>M</w:t>
            </w:r>
          </w:p>
        </w:tc>
        <w:tc>
          <w:tcPr>
            <w:tcW w:w="1457" w:type="dxa"/>
            <w:vAlign w:val="bottom"/>
          </w:tcPr>
          <w:p w14:paraId="3C48802B" w14:textId="6BA23AC9" w:rsidR="006D51CF" w:rsidRPr="6CC80CD3" w:rsidRDefault="006D51CF" w:rsidP="00623BCB">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102</w:t>
            </w:r>
            <w:r w:rsidR="00623BCB">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742</w:t>
            </w:r>
          </w:p>
        </w:tc>
        <w:tc>
          <w:tcPr>
            <w:tcW w:w="1457" w:type="dxa"/>
            <w:vAlign w:val="bottom"/>
          </w:tcPr>
          <w:p w14:paraId="4469C16B" w14:textId="3512B663" w:rsidR="006D51CF" w:rsidRPr="6CC80CD3" w:rsidRDefault="006D51CF" w:rsidP="00623BCB">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121</w:t>
            </w:r>
            <w:r w:rsidR="00623BCB">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622</w:t>
            </w:r>
          </w:p>
        </w:tc>
        <w:tc>
          <w:tcPr>
            <w:tcW w:w="1457" w:type="dxa"/>
            <w:vAlign w:val="bottom"/>
          </w:tcPr>
          <w:p w14:paraId="282E10DF" w14:textId="63F46ECC" w:rsidR="006D51CF" w:rsidRPr="6CC80CD3" w:rsidRDefault="006D51CF" w:rsidP="00623BCB">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103</w:t>
            </w:r>
            <w:r w:rsidR="00623BCB">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466</w:t>
            </w:r>
          </w:p>
        </w:tc>
        <w:tc>
          <w:tcPr>
            <w:tcW w:w="914" w:type="dxa"/>
            <w:vAlign w:val="bottom"/>
          </w:tcPr>
          <w:p w14:paraId="0A49FD2D" w14:textId="34358282" w:rsidR="006D51CF" w:rsidRPr="6CC80CD3" w:rsidRDefault="006D51CF" w:rsidP="00623BCB">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129</w:t>
            </w:r>
            <w:r w:rsidR="00F1530C">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608</w:t>
            </w:r>
          </w:p>
        </w:tc>
        <w:tc>
          <w:tcPr>
            <w:tcW w:w="1664" w:type="dxa"/>
            <w:noWrap/>
            <w:vAlign w:val="bottom"/>
          </w:tcPr>
          <w:p w14:paraId="538269BC" w14:textId="4653ABD3" w:rsidR="006D51CF" w:rsidRPr="6CC80CD3" w:rsidRDefault="006D51CF" w:rsidP="00623BCB">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b/>
                <w:bCs/>
                <w:color w:val="000000" w:themeColor="text1"/>
                <w:sz w:val="22"/>
                <w:szCs w:val="22"/>
              </w:rPr>
            </w:pPr>
            <w:r w:rsidRPr="6CC80CD3">
              <w:rPr>
                <w:rFonts w:ascii="Aptos Narrow" w:eastAsia="Aptos Narrow" w:hAnsi="Aptos Narrow" w:cs="Aptos Narrow"/>
                <w:b/>
                <w:bCs/>
                <w:color w:val="000000" w:themeColor="text1"/>
                <w:sz w:val="22"/>
                <w:szCs w:val="22"/>
              </w:rPr>
              <w:t>457</w:t>
            </w:r>
            <w:r w:rsidR="00623BCB">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438</w:t>
            </w:r>
          </w:p>
        </w:tc>
        <w:tc>
          <w:tcPr>
            <w:tcW w:w="1325" w:type="dxa"/>
            <w:vAlign w:val="bottom"/>
          </w:tcPr>
          <w:p w14:paraId="4D1F2896" w14:textId="212EB15D" w:rsidR="006D51CF" w:rsidRPr="6CC80CD3" w:rsidRDefault="006D51CF" w:rsidP="00623BCB">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27</w:t>
            </w:r>
            <w:r w:rsidR="00623BCB">
              <w:rPr>
                <w:rFonts w:ascii="Aptos Narrow" w:eastAsia="Aptos Narrow" w:hAnsi="Aptos Narrow" w:cs="Aptos Narrow"/>
                <w:color w:val="000000" w:themeColor="text1"/>
                <w:sz w:val="22"/>
                <w:szCs w:val="22"/>
              </w:rPr>
              <w:t>,</w:t>
            </w:r>
            <w:r w:rsidRPr="6CC80CD3">
              <w:rPr>
                <w:rFonts w:ascii="Aptos Narrow" w:eastAsia="Aptos Narrow" w:hAnsi="Aptos Narrow" w:cs="Aptos Narrow"/>
                <w:color w:val="000000" w:themeColor="text1"/>
                <w:sz w:val="22"/>
                <w:szCs w:val="22"/>
              </w:rPr>
              <w:t>09</w:t>
            </w:r>
          </w:p>
        </w:tc>
      </w:tr>
      <w:tr w:rsidR="006D51CF" w:rsidRPr="00D61BD4" w14:paraId="1E702C40" w14:textId="77777777" w:rsidTr="002E3B6B">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1EE93213" w14:textId="77777777" w:rsidR="006D51CF" w:rsidRPr="6CC80CD3" w:rsidRDefault="006D51CF" w:rsidP="00623BCB">
            <w:pPr>
              <w:keepNext/>
              <w:keepLines/>
              <w:jc w:val="center"/>
              <w:rPr>
                <w:rFonts w:ascii="Aptos Narrow" w:eastAsia="Aptos Narrow" w:hAnsi="Aptos Narrow" w:cs="Aptos Narrow"/>
                <w:sz w:val="22"/>
                <w:szCs w:val="22"/>
              </w:rPr>
            </w:pPr>
            <w:r w:rsidRPr="6CC80CD3">
              <w:rPr>
                <w:rFonts w:ascii="Aptos Narrow" w:eastAsia="Aptos Narrow" w:hAnsi="Aptos Narrow" w:cs="Aptos Narrow"/>
                <w:sz w:val="22"/>
                <w:szCs w:val="22"/>
              </w:rPr>
              <w:t>BT</w:t>
            </w:r>
          </w:p>
        </w:tc>
        <w:tc>
          <w:tcPr>
            <w:tcW w:w="1457" w:type="dxa"/>
            <w:vAlign w:val="bottom"/>
          </w:tcPr>
          <w:p w14:paraId="7332C463" w14:textId="49B61ABE" w:rsidR="006D51CF" w:rsidRPr="6CC80CD3" w:rsidRDefault="006D51CF" w:rsidP="00623BCB">
            <w:pPr>
              <w:keepNext/>
              <w:keepLine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76</w:t>
            </w:r>
            <w:r w:rsidR="00623BCB">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421</w:t>
            </w:r>
          </w:p>
        </w:tc>
        <w:tc>
          <w:tcPr>
            <w:tcW w:w="1457" w:type="dxa"/>
            <w:vAlign w:val="bottom"/>
          </w:tcPr>
          <w:p w14:paraId="7DA500B9" w14:textId="2F2838AB" w:rsidR="006D51CF" w:rsidRPr="6CC80CD3" w:rsidRDefault="006D51CF" w:rsidP="00623BCB">
            <w:pPr>
              <w:keepNext/>
              <w:keepLine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83</w:t>
            </w:r>
            <w:r w:rsidR="00623BCB">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612</w:t>
            </w:r>
          </w:p>
        </w:tc>
        <w:tc>
          <w:tcPr>
            <w:tcW w:w="1457" w:type="dxa"/>
            <w:vAlign w:val="bottom"/>
          </w:tcPr>
          <w:p w14:paraId="3E19B5AA" w14:textId="334B6F23" w:rsidR="006D51CF" w:rsidRPr="6CC80CD3" w:rsidRDefault="006D51CF" w:rsidP="00623BCB">
            <w:pPr>
              <w:keepNext/>
              <w:keepLine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75</w:t>
            </w:r>
            <w:r w:rsidR="00623BCB">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390</w:t>
            </w:r>
          </w:p>
        </w:tc>
        <w:tc>
          <w:tcPr>
            <w:tcW w:w="914" w:type="dxa"/>
            <w:vAlign w:val="bottom"/>
          </w:tcPr>
          <w:p w14:paraId="7B5B095B" w14:textId="25B770CC" w:rsidR="006D51CF" w:rsidRPr="6CC80CD3" w:rsidRDefault="006D51CF" w:rsidP="00623BCB">
            <w:pPr>
              <w:keepNext/>
              <w:keepLine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105</w:t>
            </w:r>
            <w:r w:rsidR="00623BCB">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962</w:t>
            </w:r>
          </w:p>
        </w:tc>
        <w:tc>
          <w:tcPr>
            <w:tcW w:w="1664" w:type="dxa"/>
            <w:noWrap/>
            <w:vAlign w:val="bottom"/>
          </w:tcPr>
          <w:p w14:paraId="6E82D6A6" w14:textId="12F39BFD" w:rsidR="006D51CF" w:rsidRPr="6CC80CD3" w:rsidRDefault="006D51CF" w:rsidP="00623BCB">
            <w:pPr>
              <w:keepNext/>
              <w:keepLine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b/>
                <w:bCs/>
                <w:color w:val="000000" w:themeColor="text1"/>
                <w:sz w:val="22"/>
                <w:szCs w:val="22"/>
              </w:rPr>
            </w:pPr>
            <w:r w:rsidRPr="6CC80CD3">
              <w:rPr>
                <w:rFonts w:ascii="Aptos Narrow" w:eastAsia="Aptos Narrow" w:hAnsi="Aptos Narrow" w:cs="Aptos Narrow"/>
                <w:b/>
                <w:bCs/>
                <w:color w:val="000000" w:themeColor="text1"/>
                <w:sz w:val="22"/>
                <w:szCs w:val="22"/>
              </w:rPr>
              <w:t>341</w:t>
            </w:r>
            <w:r w:rsidR="00623BCB">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385</w:t>
            </w:r>
          </w:p>
        </w:tc>
        <w:tc>
          <w:tcPr>
            <w:tcW w:w="1325" w:type="dxa"/>
            <w:vAlign w:val="bottom"/>
          </w:tcPr>
          <w:p w14:paraId="2C71A268" w14:textId="00BBA471" w:rsidR="006D51CF" w:rsidRPr="6CC80CD3" w:rsidRDefault="006D51CF" w:rsidP="00623BCB">
            <w:pPr>
              <w:keepNext/>
              <w:keepLine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20</w:t>
            </w:r>
            <w:r w:rsidR="00623BCB">
              <w:rPr>
                <w:rFonts w:ascii="Aptos Narrow" w:eastAsia="Aptos Narrow" w:hAnsi="Aptos Narrow" w:cs="Aptos Narrow"/>
                <w:color w:val="000000" w:themeColor="text1"/>
                <w:sz w:val="22"/>
                <w:szCs w:val="22"/>
              </w:rPr>
              <w:t>,</w:t>
            </w:r>
            <w:r w:rsidRPr="6CC80CD3">
              <w:rPr>
                <w:rFonts w:ascii="Aptos Narrow" w:eastAsia="Aptos Narrow" w:hAnsi="Aptos Narrow" w:cs="Aptos Narrow"/>
                <w:color w:val="000000" w:themeColor="text1"/>
                <w:sz w:val="22"/>
                <w:szCs w:val="22"/>
              </w:rPr>
              <w:t>22</w:t>
            </w:r>
          </w:p>
        </w:tc>
      </w:tr>
      <w:tr w:rsidR="006D51CF" w:rsidRPr="00D61BD4" w14:paraId="385B2C74" w14:textId="77777777" w:rsidTr="002E3B6B">
        <w:trPr>
          <w:trHeight w:val="33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505E5D21" w14:textId="77777777" w:rsidR="006D51CF" w:rsidRPr="6CC80CD3" w:rsidRDefault="006D51CF" w:rsidP="00623BCB">
            <w:pPr>
              <w:keepNext/>
              <w:keepLines/>
              <w:jc w:val="center"/>
              <w:rPr>
                <w:rFonts w:ascii="Aptos Narrow" w:eastAsia="Aptos Narrow" w:hAnsi="Aptos Narrow" w:cs="Aptos Narrow"/>
                <w:sz w:val="22"/>
                <w:szCs w:val="22"/>
              </w:rPr>
            </w:pPr>
            <w:r w:rsidRPr="6CC80CD3">
              <w:rPr>
                <w:rFonts w:ascii="Aptos Narrow" w:eastAsia="Aptos Narrow" w:hAnsi="Aptos Narrow" w:cs="Aptos Narrow"/>
                <w:sz w:val="22"/>
                <w:szCs w:val="22"/>
              </w:rPr>
              <w:t>BS</w:t>
            </w:r>
          </w:p>
        </w:tc>
        <w:tc>
          <w:tcPr>
            <w:tcW w:w="1457" w:type="dxa"/>
            <w:vAlign w:val="bottom"/>
          </w:tcPr>
          <w:p w14:paraId="4F279893" w14:textId="6A2CD040" w:rsidR="006D51CF" w:rsidRPr="6CC80CD3" w:rsidRDefault="006D51CF" w:rsidP="00623BCB">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30</w:t>
            </w:r>
            <w:r w:rsidR="00623BCB">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002</w:t>
            </w:r>
          </w:p>
        </w:tc>
        <w:tc>
          <w:tcPr>
            <w:tcW w:w="1457" w:type="dxa"/>
            <w:vAlign w:val="bottom"/>
          </w:tcPr>
          <w:p w14:paraId="3D151439" w14:textId="5FF4031C" w:rsidR="006D51CF" w:rsidRPr="6CC80CD3" w:rsidRDefault="006D51CF" w:rsidP="00623BCB">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31</w:t>
            </w:r>
            <w:r w:rsidR="00623BCB">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013</w:t>
            </w:r>
          </w:p>
        </w:tc>
        <w:tc>
          <w:tcPr>
            <w:tcW w:w="1457" w:type="dxa"/>
            <w:vAlign w:val="bottom"/>
          </w:tcPr>
          <w:p w14:paraId="6CB599DC" w14:textId="6FF3622F" w:rsidR="006D51CF" w:rsidRPr="6CC80CD3" w:rsidRDefault="006D51CF" w:rsidP="00623BCB">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25</w:t>
            </w:r>
            <w:r w:rsidR="00623BCB">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730</w:t>
            </w:r>
          </w:p>
        </w:tc>
        <w:tc>
          <w:tcPr>
            <w:tcW w:w="914" w:type="dxa"/>
            <w:vAlign w:val="bottom"/>
          </w:tcPr>
          <w:p w14:paraId="0DDC6DE2" w14:textId="096F1356" w:rsidR="006D51CF" w:rsidRPr="6CC80CD3" w:rsidRDefault="006D51CF" w:rsidP="00623BCB">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28</w:t>
            </w:r>
            <w:r w:rsidR="00623BCB">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500</w:t>
            </w:r>
          </w:p>
        </w:tc>
        <w:tc>
          <w:tcPr>
            <w:tcW w:w="1664" w:type="dxa"/>
            <w:noWrap/>
            <w:vAlign w:val="bottom"/>
          </w:tcPr>
          <w:p w14:paraId="5C702C60" w14:textId="26B406B0" w:rsidR="006D51CF" w:rsidRPr="6CC80CD3" w:rsidRDefault="006D51CF" w:rsidP="00623BCB">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b/>
                <w:bCs/>
                <w:color w:val="000000" w:themeColor="text1"/>
                <w:sz w:val="22"/>
                <w:szCs w:val="22"/>
              </w:rPr>
            </w:pPr>
            <w:r w:rsidRPr="6CC80CD3">
              <w:rPr>
                <w:rFonts w:ascii="Aptos Narrow" w:eastAsia="Aptos Narrow" w:hAnsi="Aptos Narrow" w:cs="Aptos Narrow"/>
                <w:b/>
                <w:bCs/>
                <w:color w:val="000000" w:themeColor="text1"/>
                <w:sz w:val="22"/>
                <w:szCs w:val="22"/>
              </w:rPr>
              <w:t>115</w:t>
            </w:r>
            <w:r w:rsidR="00623BCB">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245</w:t>
            </w:r>
          </w:p>
        </w:tc>
        <w:tc>
          <w:tcPr>
            <w:tcW w:w="1325" w:type="dxa"/>
            <w:vAlign w:val="bottom"/>
          </w:tcPr>
          <w:p w14:paraId="56633E55" w14:textId="530522F5" w:rsidR="006D51CF" w:rsidRPr="6CC80CD3" w:rsidRDefault="006D51CF" w:rsidP="00623BCB">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6</w:t>
            </w:r>
            <w:r w:rsidR="00623BCB">
              <w:rPr>
                <w:rFonts w:ascii="Aptos Narrow" w:eastAsia="Aptos Narrow" w:hAnsi="Aptos Narrow" w:cs="Aptos Narrow"/>
                <w:color w:val="000000" w:themeColor="text1"/>
                <w:sz w:val="22"/>
                <w:szCs w:val="22"/>
              </w:rPr>
              <w:t>,</w:t>
            </w:r>
            <w:r w:rsidRPr="6CC80CD3">
              <w:rPr>
                <w:rFonts w:ascii="Aptos Narrow" w:eastAsia="Aptos Narrow" w:hAnsi="Aptos Narrow" w:cs="Aptos Narrow"/>
                <w:color w:val="000000" w:themeColor="text1"/>
                <w:sz w:val="22"/>
                <w:szCs w:val="22"/>
              </w:rPr>
              <w:t>83</w:t>
            </w:r>
          </w:p>
        </w:tc>
      </w:tr>
      <w:tr w:rsidR="006D51CF" w:rsidRPr="00D61BD4" w14:paraId="7FBF95AF" w14:textId="77777777" w:rsidTr="002E3B6B">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1CC5355C" w14:textId="77777777" w:rsidR="006D51CF" w:rsidRPr="6CC80CD3" w:rsidRDefault="006D51CF" w:rsidP="00623BCB">
            <w:pPr>
              <w:keepNext/>
              <w:keepLines/>
              <w:spacing w:line="257" w:lineRule="auto"/>
              <w:jc w:val="center"/>
              <w:rPr>
                <w:rFonts w:ascii="Aptos Narrow" w:eastAsia="Aptos Narrow" w:hAnsi="Aptos Narrow" w:cs="Aptos Narrow"/>
                <w:sz w:val="22"/>
                <w:szCs w:val="22"/>
              </w:rPr>
            </w:pPr>
            <w:r w:rsidRPr="6CC80CD3">
              <w:rPr>
                <w:rFonts w:ascii="Aptos Narrow" w:eastAsia="Aptos Narrow" w:hAnsi="Aptos Narrow" w:cs="Aptos Narrow"/>
                <w:sz w:val="22"/>
                <w:szCs w:val="22"/>
              </w:rPr>
              <w:t>P</w:t>
            </w:r>
          </w:p>
        </w:tc>
        <w:tc>
          <w:tcPr>
            <w:tcW w:w="1457" w:type="dxa"/>
            <w:vAlign w:val="bottom"/>
          </w:tcPr>
          <w:p w14:paraId="549CCE62" w14:textId="543E104C" w:rsidR="006D51CF" w:rsidRPr="6CC80CD3" w:rsidRDefault="006D51CF" w:rsidP="00623BCB">
            <w:pPr>
              <w:keepNext/>
              <w:keepLine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15</w:t>
            </w:r>
            <w:r w:rsidR="00623BCB">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647</w:t>
            </w:r>
          </w:p>
        </w:tc>
        <w:tc>
          <w:tcPr>
            <w:tcW w:w="1457" w:type="dxa"/>
            <w:vAlign w:val="bottom"/>
          </w:tcPr>
          <w:p w14:paraId="1EA655C7" w14:textId="4FB4A392" w:rsidR="006D51CF" w:rsidRPr="6CC80CD3" w:rsidRDefault="006D51CF" w:rsidP="00623BCB">
            <w:pPr>
              <w:keepNext/>
              <w:keepLine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15</w:t>
            </w:r>
            <w:r w:rsidR="00623BCB">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536</w:t>
            </w:r>
          </w:p>
        </w:tc>
        <w:tc>
          <w:tcPr>
            <w:tcW w:w="1457" w:type="dxa"/>
            <w:vAlign w:val="bottom"/>
          </w:tcPr>
          <w:p w14:paraId="6E357467" w14:textId="670AA86C" w:rsidR="006D51CF" w:rsidRPr="6CC80CD3" w:rsidRDefault="006D51CF" w:rsidP="00623BCB">
            <w:pPr>
              <w:keepNext/>
              <w:keepLine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13</w:t>
            </w:r>
            <w:r w:rsidR="00623BCB">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740</w:t>
            </w:r>
          </w:p>
        </w:tc>
        <w:tc>
          <w:tcPr>
            <w:tcW w:w="914" w:type="dxa"/>
            <w:vAlign w:val="bottom"/>
          </w:tcPr>
          <w:p w14:paraId="13BF8DB4" w14:textId="054579D3" w:rsidR="006D51CF" w:rsidRPr="6CC80CD3" w:rsidRDefault="006D51CF" w:rsidP="00623BCB">
            <w:pPr>
              <w:keepNext/>
              <w:keepLine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18</w:t>
            </w:r>
            <w:r w:rsidR="00623BCB">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476</w:t>
            </w:r>
          </w:p>
        </w:tc>
        <w:tc>
          <w:tcPr>
            <w:tcW w:w="1664" w:type="dxa"/>
            <w:noWrap/>
            <w:vAlign w:val="bottom"/>
          </w:tcPr>
          <w:p w14:paraId="36ABF6A7" w14:textId="6371563E" w:rsidR="006D51CF" w:rsidRPr="6CC80CD3" w:rsidRDefault="006D51CF" w:rsidP="00623BCB">
            <w:pPr>
              <w:keepNext/>
              <w:keepLine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b/>
                <w:bCs/>
                <w:color w:val="000000" w:themeColor="text1"/>
                <w:sz w:val="22"/>
                <w:szCs w:val="22"/>
              </w:rPr>
            </w:pPr>
            <w:r w:rsidRPr="6CC80CD3">
              <w:rPr>
                <w:rFonts w:ascii="Aptos Narrow" w:eastAsia="Aptos Narrow" w:hAnsi="Aptos Narrow" w:cs="Aptos Narrow"/>
                <w:b/>
                <w:bCs/>
                <w:color w:val="000000" w:themeColor="text1"/>
                <w:sz w:val="22"/>
                <w:szCs w:val="22"/>
              </w:rPr>
              <w:t>63</w:t>
            </w:r>
            <w:r w:rsidR="00623BCB">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399</w:t>
            </w:r>
          </w:p>
        </w:tc>
        <w:tc>
          <w:tcPr>
            <w:tcW w:w="1325" w:type="dxa"/>
            <w:vAlign w:val="bottom"/>
          </w:tcPr>
          <w:p w14:paraId="7E222A59" w14:textId="2DC75C9E" w:rsidR="006D51CF" w:rsidRPr="6CC80CD3" w:rsidRDefault="006D51CF" w:rsidP="00623BCB">
            <w:pPr>
              <w:keepNext/>
              <w:keepLine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3</w:t>
            </w:r>
            <w:r w:rsidR="00623BCB">
              <w:rPr>
                <w:rFonts w:ascii="Aptos Narrow" w:eastAsia="Aptos Narrow" w:hAnsi="Aptos Narrow" w:cs="Aptos Narrow"/>
                <w:color w:val="000000" w:themeColor="text1"/>
                <w:sz w:val="22"/>
                <w:szCs w:val="22"/>
              </w:rPr>
              <w:t>,</w:t>
            </w:r>
            <w:r w:rsidRPr="6CC80CD3">
              <w:rPr>
                <w:rFonts w:ascii="Aptos Narrow" w:eastAsia="Aptos Narrow" w:hAnsi="Aptos Narrow" w:cs="Aptos Narrow"/>
                <w:color w:val="000000" w:themeColor="text1"/>
                <w:sz w:val="22"/>
                <w:szCs w:val="22"/>
              </w:rPr>
              <w:t>76</w:t>
            </w:r>
          </w:p>
        </w:tc>
      </w:tr>
      <w:tr w:rsidR="006D51CF" w:rsidRPr="00D61BD4" w14:paraId="7D9EDE3F" w14:textId="77777777" w:rsidTr="002E3B6B">
        <w:trPr>
          <w:trHeight w:val="33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73DE566E" w14:textId="77777777" w:rsidR="006D51CF" w:rsidRPr="6CC80CD3" w:rsidRDefault="006D51CF" w:rsidP="00623BCB">
            <w:pPr>
              <w:keepNext/>
              <w:keepLines/>
              <w:jc w:val="center"/>
              <w:rPr>
                <w:rFonts w:ascii="Aptos Narrow" w:eastAsia="Aptos Narrow" w:hAnsi="Aptos Narrow" w:cs="Aptos Narrow"/>
                <w:sz w:val="22"/>
                <w:szCs w:val="22"/>
              </w:rPr>
            </w:pPr>
            <w:r w:rsidRPr="6CC80CD3">
              <w:rPr>
                <w:rFonts w:ascii="Aptos Narrow" w:eastAsia="Aptos Narrow" w:hAnsi="Aptos Narrow" w:cs="Aptos Narrow"/>
                <w:sz w:val="22"/>
                <w:szCs w:val="22"/>
              </w:rPr>
              <w:t>BO</w:t>
            </w:r>
          </w:p>
        </w:tc>
        <w:tc>
          <w:tcPr>
            <w:tcW w:w="1457" w:type="dxa"/>
            <w:vAlign w:val="bottom"/>
          </w:tcPr>
          <w:p w14:paraId="33A69D8B" w14:textId="6C0426C6" w:rsidR="006D51CF" w:rsidRPr="6CC80CD3" w:rsidRDefault="006D51CF" w:rsidP="00623BCB">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16</w:t>
            </w:r>
            <w:r w:rsidR="00623BCB">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721</w:t>
            </w:r>
          </w:p>
        </w:tc>
        <w:tc>
          <w:tcPr>
            <w:tcW w:w="1457" w:type="dxa"/>
            <w:vAlign w:val="bottom"/>
          </w:tcPr>
          <w:p w14:paraId="19F6A069" w14:textId="3C9F8B6D" w:rsidR="006D51CF" w:rsidRPr="6CC80CD3" w:rsidRDefault="006D51CF" w:rsidP="00623BCB">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16</w:t>
            </w:r>
            <w:r w:rsidR="00623BCB">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993</w:t>
            </w:r>
          </w:p>
        </w:tc>
        <w:tc>
          <w:tcPr>
            <w:tcW w:w="1457" w:type="dxa"/>
            <w:vAlign w:val="bottom"/>
          </w:tcPr>
          <w:p w14:paraId="2574977D" w14:textId="1EEC211C" w:rsidR="006D51CF" w:rsidRPr="6CC80CD3" w:rsidRDefault="006D51CF" w:rsidP="00623BCB">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11</w:t>
            </w:r>
            <w:r w:rsidR="00623BCB">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673</w:t>
            </w:r>
          </w:p>
        </w:tc>
        <w:tc>
          <w:tcPr>
            <w:tcW w:w="914" w:type="dxa"/>
            <w:vAlign w:val="bottom"/>
          </w:tcPr>
          <w:p w14:paraId="04E46ADC" w14:textId="555F543D" w:rsidR="006D51CF" w:rsidRPr="6CC80CD3" w:rsidRDefault="006D51CF" w:rsidP="00623BCB">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9</w:t>
            </w:r>
            <w:r w:rsidR="00623BCB">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330</w:t>
            </w:r>
          </w:p>
        </w:tc>
        <w:tc>
          <w:tcPr>
            <w:tcW w:w="1664" w:type="dxa"/>
            <w:noWrap/>
            <w:vAlign w:val="bottom"/>
          </w:tcPr>
          <w:p w14:paraId="49E4223C" w14:textId="0E066D3B" w:rsidR="006D51CF" w:rsidRPr="6CC80CD3" w:rsidRDefault="006D51CF" w:rsidP="00623BCB">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b/>
                <w:bCs/>
                <w:color w:val="000000" w:themeColor="text1"/>
                <w:sz w:val="22"/>
                <w:szCs w:val="22"/>
              </w:rPr>
            </w:pPr>
            <w:r w:rsidRPr="6CC80CD3">
              <w:rPr>
                <w:rFonts w:ascii="Aptos Narrow" w:eastAsia="Aptos Narrow" w:hAnsi="Aptos Narrow" w:cs="Aptos Narrow"/>
                <w:b/>
                <w:bCs/>
                <w:color w:val="000000" w:themeColor="text1"/>
                <w:sz w:val="22"/>
                <w:szCs w:val="22"/>
              </w:rPr>
              <w:t>54</w:t>
            </w:r>
            <w:r w:rsidR="00623BCB">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717</w:t>
            </w:r>
          </w:p>
        </w:tc>
        <w:tc>
          <w:tcPr>
            <w:tcW w:w="1325" w:type="dxa"/>
            <w:vAlign w:val="bottom"/>
          </w:tcPr>
          <w:p w14:paraId="500226FF" w14:textId="260F3166" w:rsidR="006D51CF" w:rsidRPr="6CC80CD3" w:rsidRDefault="006D51CF" w:rsidP="00623BCB">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3</w:t>
            </w:r>
            <w:r w:rsidR="00623BCB">
              <w:rPr>
                <w:rFonts w:ascii="Aptos Narrow" w:eastAsia="Aptos Narrow" w:hAnsi="Aptos Narrow" w:cs="Aptos Narrow"/>
                <w:color w:val="000000" w:themeColor="text1"/>
                <w:sz w:val="22"/>
                <w:szCs w:val="22"/>
              </w:rPr>
              <w:t>,</w:t>
            </w:r>
            <w:r w:rsidRPr="6CC80CD3">
              <w:rPr>
                <w:rFonts w:ascii="Aptos Narrow" w:eastAsia="Aptos Narrow" w:hAnsi="Aptos Narrow" w:cs="Aptos Narrow"/>
                <w:color w:val="000000" w:themeColor="text1"/>
                <w:sz w:val="22"/>
                <w:szCs w:val="22"/>
              </w:rPr>
              <w:t>24</w:t>
            </w:r>
          </w:p>
        </w:tc>
      </w:tr>
      <w:tr w:rsidR="006D51CF" w:rsidRPr="00D61BD4" w14:paraId="3CA66801" w14:textId="77777777" w:rsidTr="002E3B6B">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52C12061" w14:textId="77777777" w:rsidR="006D51CF" w:rsidRPr="6CC80CD3" w:rsidRDefault="006D51CF" w:rsidP="00623BCB">
            <w:pPr>
              <w:keepNext/>
              <w:keepLines/>
              <w:jc w:val="center"/>
              <w:rPr>
                <w:rFonts w:ascii="Aptos Narrow" w:eastAsia="Aptos Narrow" w:hAnsi="Aptos Narrow" w:cs="Aptos Narrow"/>
                <w:sz w:val="22"/>
                <w:szCs w:val="22"/>
              </w:rPr>
            </w:pPr>
            <w:r w:rsidRPr="6CC80CD3">
              <w:rPr>
                <w:rFonts w:ascii="Aptos Narrow" w:eastAsia="Aptos Narrow" w:hAnsi="Aptos Narrow" w:cs="Aptos Narrow"/>
                <w:sz w:val="22"/>
                <w:szCs w:val="22"/>
              </w:rPr>
              <w:t>F</w:t>
            </w:r>
          </w:p>
        </w:tc>
        <w:tc>
          <w:tcPr>
            <w:tcW w:w="1457" w:type="dxa"/>
            <w:vAlign w:val="bottom"/>
          </w:tcPr>
          <w:p w14:paraId="56040F11" w14:textId="76505ABC" w:rsidR="006D51CF" w:rsidRPr="6CC80CD3" w:rsidRDefault="006D51CF" w:rsidP="00623BCB">
            <w:pPr>
              <w:keepNext/>
              <w:keepLine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8</w:t>
            </w:r>
            <w:r w:rsidR="00623BCB">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623</w:t>
            </w:r>
          </w:p>
        </w:tc>
        <w:tc>
          <w:tcPr>
            <w:tcW w:w="1457" w:type="dxa"/>
            <w:vAlign w:val="bottom"/>
          </w:tcPr>
          <w:p w14:paraId="74C2D33E" w14:textId="09A290F4" w:rsidR="006D51CF" w:rsidRPr="6CC80CD3" w:rsidRDefault="006D51CF" w:rsidP="00623BCB">
            <w:pPr>
              <w:keepNext/>
              <w:keepLine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9</w:t>
            </w:r>
            <w:r w:rsidR="00623BCB">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397</w:t>
            </w:r>
          </w:p>
        </w:tc>
        <w:tc>
          <w:tcPr>
            <w:tcW w:w="1457" w:type="dxa"/>
            <w:vAlign w:val="bottom"/>
          </w:tcPr>
          <w:p w14:paraId="712EEA15" w14:textId="63BEFBE6" w:rsidR="006D51CF" w:rsidRPr="6CC80CD3" w:rsidRDefault="006D51CF" w:rsidP="00623BCB">
            <w:pPr>
              <w:keepNext/>
              <w:keepLine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9</w:t>
            </w:r>
            <w:r w:rsidR="00623BCB">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940</w:t>
            </w:r>
          </w:p>
        </w:tc>
        <w:tc>
          <w:tcPr>
            <w:tcW w:w="914" w:type="dxa"/>
            <w:vAlign w:val="bottom"/>
          </w:tcPr>
          <w:p w14:paraId="2FD70B82" w14:textId="452F9807" w:rsidR="006D51CF" w:rsidRPr="6CC80CD3" w:rsidRDefault="006D51CF" w:rsidP="00623BCB">
            <w:pPr>
              <w:keepNext/>
              <w:keepLine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15</w:t>
            </w:r>
            <w:r w:rsidR="00623BCB">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190</w:t>
            </w:r>
          </w:p>
        </w:tc>
        <w:tc>
          <w:tcPr>
            <w:tcW w:w="1664" w:type="dxa"/>
            <w:noWrap/>
            <w:vAlign w:val="bottom"/>
          </w:tcPr>
          <w:p w14:paraId="67E15902" w14:textId="279928B5" w:rsidR="006D51CF" w:rsidRPr="6CC80CD3" w:rsidRDefault="006D51CF" w:rsidP="00623BCB">
            <w:pPr>
              <w:keepNext/>
              <w:keepLine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b/>
                <w:bCs/>
                <w:color w:val="000000" w:themeColor="text1"/>
                <w:sz w:val="22"/>
                <w:szCs w:val="22"/>
              </w:rPr>
            </w:pPr>
            <w:r w:rsidRPr="6CC80CD3">
              <w:rPr>
                <w:rFonts w:ascii="Aptos Narrow" w:eastAsia="Aptos Narrow" w:hAnsi="Aptos Narrow" w:cs="Aptos Narrow"/>
                <w:b/>
                <w:bCs/>
                <w:color w:val="000000" w:themeColor="text1"/>
                <w:sz w:val="22"/>
                <w:szCs w:val="22"/>
              </w:rPr>
              <w:t>43</w:t>
            </w:r>
            <w:r w:rsidR="00623BCB">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150</w:t>
            </w:r>
          </w:p>
        </w:tc>
        <w:tc>
          <w:tcPr>
            <w:tcW w:w="1325" w:type="dxa"/>
            <w:vAlign w:val="bottom"/>
          </w:tcPr>
          <w:p w14:paraId="4B209950" w14:textId="4432D38D" w:rsidR="006D51CF" w:rsidRPr="6CC80CD3" w:rsidRDefault="006D51CF" w:rsidP="00623BCB">
            <w:pPr>
              <w:keepNext/>
              <w:keepLine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2</w:t>
            </w:r>
            <w:r w:rsidR="00623BCB">
              <w:rPr>
                <w:rFonts w:ascii="Aptos Narrow" w:eastAsia="Aptos Narrow" w:hAnsi="Aptos Narrow" w:cs="Aptos Narrow"/>
                <w:color w:val="000000" w:themeColor="text1"/>
                <w:sz w:val="22"/>
                <w:szCs w:val="22"/>
              </w:rPr>
              <w:t>,</w:t>
            </w:r>
            <w:r w:rsidRPr="6CC80CD3">
              <w:rPr>
                <w:rFonts w:ascii="Aptos Narrow" w:eastAsia="Aptos Narrow" w:hAnsi="Aptos Narrow" w:cs="Aptos Narrow"/>
                <w:color w:val="000000" w:themeColor="text1"/>
                <w:sz w:val="22"/>
                <w:szCs w:val="22"/>
              </w:rPr>
              <w:t>56</w:t>
            </w:r>
          </w:p>
        </w:tc>
      </w:tr>
      <w:tr w:rsidR="006D51CF" w:rsidRPr="00D61BD4" w14:paraId="072FDB38" w14:textId="77777777" w:rsidTr="002E3B6B">
        <w:trPr>
          <w:trHeight w:val="33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56F0D550" w14:textId="77777777" w:rsidR="006D51CF" w:rsidRPr="6CC80CD3" w:rsidRDefault="006D51CF" w:rsidP="00623BCB">
            <w:pPr>
              <w:keepNext/>
              <w:keepLines/>
              <w:jc w:val="center"/>
              <w:rPr>
                <w:rFonts w:ascii="Aptos Narrow" w:eastAsia="Aptos Narrow" w:hAnsi="Aptos Narrow" w:cs="Aptos Narrow"/>
                <w:sz w:val="22"/>
                <w:szCs w:val="22"/>
              </w:rPr>
            </w:pPr>
            <w:r w:rsidRPr="6CC80CD3">
              <w:rPr>
                <w:rFonts w:ascii="Aptos Narrow" w:eastAsia="Aptos Narrow" w:hAnsi="Aptos Narrow" w:cs="Aptos Narrow"/>
                <w:sz w:val="22"/>
                <w:szCs w:val="22"/>
              </w:rPr>
              <w:t>S</w:t>
            </w:r>
          </w:p>
        </w:tc>
        <w:tc>
          <w:tcPr>
            <w:tcW w:w="1457" w:type="dxa"/>
            <w:vAlign w:val="bottom"/>
          </w:tcPr>
          <w:p w14:paraId="70344DEE" w14:textId="03B5D237" w:rsidR="006D51CF" w:rsidRPr="6CC80CD3" w:rsidRDefault="006D51CF" w:rsidP="00623BCB">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9</w:t>
            </w:r>
            <w:r w:rsidR="00623BCB">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170</w:t>
            </w:r>
          </w:p>
        </w:tc>
        <w:tc>
          <w:tcPr>
            <w:tcW w:w="1457" w:type="dxa"/>
            <w:vAlign w:val="bottom"/>
          </w:tcPr>
          <w:p w14:paraId="219E8492" w14:textId="21D1D344" w:rsidR="006D51CF" w:rsidRPr="6CC80CD3" w:rsidRDefault="006D51CF" w:rsidP="00623BCB">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10</w:t>
            </w:r>
            <w:r w:rsidR="00623BCB">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174</w:t>
            </w:r>
          </w:p>
        </w:tc>
        <w:tc>
          <w:tcPr>
            <w:tcW w:w="1457" w:type="dxa"/>
            <w:vAlign w:val="bottom"/>
          </w:tcPr>
          <w:p w14:paraId="59509819" w14:textId="30D28065" w:rsidR="006D51CF" w:rsidRPr="6CC80CD3" w:rsidRDefault="006D51CF" w:rsidP="00623BCB">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8</w:t>
            </w:r>
            <w:r w:rsidR="00623BCB">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220</w:t>
            </w:r>
          </w:p>
        </w:tc>
        <w:tc>
          <w:tcPr>
            <w:tcW w:w="914" w:type="dxa"/>
            <w:vAlign w:val="bottom"/>
          </w:tcPr>
          <w:p w14:paraId="03E7E6BB" w14:textId="4DE825A6" w:rsidR="006D51CF" w:rsidRPr="6CC80CD3" w:rsidRDefault="006D51CF" w:rsidP="00623BCB">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12</w:t>
            </w:r>
            <w:r w:rsidR="00623BCB">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192</w:t>
            </w:r>
          </w:p>
        </w:tc>
        <w:tc>
          <w:tcPr>
            <w:tcW w:w="1664" w:type="dxa"/>
            <w:noWrap/>
            <w:vAlign w:val="bottom"/>
          </w:tcPr>
          <w:p w14:paraId="728B39C5" w14:textId="39BB6B0A" w:rsidR="006D51CF" w:rsidRPr="6CC80CD3" w:rsidRDefault="006D51CF" w:rsidP="00623BCB">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b/>
                <w:bCs/>
                <w:color w:val="000000" w:themeColor="text1"/>
                <w:sz w:val="22"/>
                <w:szCs w:val="22"/>
              </w:rPr>
            </w:pPr>
            <w:r w:rsidRPr="6CC80CD3">
              <w:rPr>
                <w:rFonts w:ascii="Aptos Narrow" w:eastAsia="Aptos Narrow" w:hAnsi="Aptos Narrow" w:cs="Aptos Narrow"/>
                <w:b/>
                <w:bCs/>
                <w:color w:val="000000" w:themeColor="text1"/>
                <w:sz w:val="22"/>
                <w:szCs w:val="22"/>
              </w:rPr>
              <w:t>39</w:t>
            </w:r>
            <w:r w:rsidR="00623BCB">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756</w:t>
            </w:r>
          </w:p>
        </w:tc>
        <w:tc>
          <w:tcPr>
            <w:tcW w:w="1325" w:type="dxa"/>
            <w:vAlign w:val="bottom"/>
          </w:tcPr>
          <w:p w14:paraId="6234305A" w14:textId="01A8625B" w:rsidR="006D51CF" w:rsidRPr="6CC80CD3" w:rsidRDefault="006D51CF" w:rsidP="00623BCB">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2</w:t>
            </w:r>
            <w:r w:rsidR="00623BCB">
              <w:rPr>
                <w:rFonts w:ascii="Aptos Narrow" w:eastAsia="Aptos Narrow" w:hAnsi="Aptos Narrow" w:cs="Aptos Narrow"/>
                <w:color w:val="000000" w:themeColor="text1"/>
                <w:sz w:val="22"/>
                <w:szCs w:val="22"/>
              </w:rPr>
              <w:t>,</w:t>
            </w:r>
            <w:r w:rsidRPr="6CC80CD3">
              <w:rPr>
                <w:rFonts w:ascii="Aptos Narrow" w:eastAsia="Aptos Narrow" w:hAnsi="Aptos Narrow" w:cs="Aptos Narrow"/>
                <w:color w:val="000000" w:themeColor="text1"/>
                <w:sz w:val="22"/>
                <w:szCs w:val="22"/>
              </w:rPr>
              <w:t>35</w:t>
            </w:r>
          </w:p>
        </w:tc>
      </w:tr>
      <w:tr w:rsidR="006D51CF" w:rsidRPr="00D61BD4" w14:paraId="2362F8CA" w14:textId="77777777" w:rsidTr="002E3B6B">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51F9A3BF" w14:textId="77777777" w:rsidR="006D51CF" w:rsidRPr="6CC80CD3" w:rsidRDefault="006D51CF" w:rsidP="00623BCB">
            <w:pPr>
              <w:keepNext/>
              <w:keepLines/>
              <w:jc w:val="center"/>
              <w:rPr>
                <w:rFonts w:ascii="Aptos Narrow" w:eastAsia="Aptos Narrow" w:hAnsi="Aptos Narrow" w:cs="Aptos Narrow"/>
                <w:sz w:val="22"/>
                <w:szCs w:val="22"/>
              </w:rPr>
            </w:pPr>
            <w:r w:rsidRPr="6CC80CD3">
              <w:rPr>
                <w:rFonts w:ascii="Aptos Narrow" w:eastAsia="Aptos Narrow" w:hAnsi="Aptos Narrow" w:cs="Aptos Narrow"/>
                <w:sz w:val="22"/>
                <w:szCs w:val="22"/>
              </w:rPr>
              <w:t>SA</w:t>
            </w:r>
          </w:p>
        </w:tc>
        <w:tc>
          <w:tcPr>
            <w:tcW w:w="1457" w:type="dxa"/>
            <w:vAlign w:val="bottom"/>
          </w:tcPr>
          <w:p w14:paraId="710BBD43" w14:textId="714E3B74" w:rsidR="006D51CF" w:rsidRPr="6CC80CD3" w:rsidRDefault="006D51CF" w:rsidP="00623BCB">
            <w:pPr>
              <w:keepNext/>
              <w:keepLine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5</w:t>
            </w:r>
            <w:r w:rsidR="00623BCB">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346</w:t>
            </w:r>
          </w:p>
        </w:tc>
        <w:tc>
          <w:tcPr>
            <w:tcW w:w="1457" w:type="dxa"/>
            <w:vAlign w:val="bottom"/>
          </w:tcPr>
          <w:p w14:paraId="6A689C3D" w14:textId="4E39FDFE" w:rsidR="006D51CF" w:rsidRPr="6CC80CD3" w:rsidRDefault="006D51CF" w:rsidP="00623BCB">
            <w:pPr>
              <w:keepNext/>
              <w:keepLine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6</w:t>
            </w:r>
            <w:r w:rsidR="00623BCB">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856</w:t>
            </w:r>
          </w:p>
        </w:tc>
        <w:tc>
          <w:tcPr>
            <w:tcW w:w="1457" w:type="dxa"/>
            <w:vAlign w:val="bottom"/>
          </w:tcPr>
          <w:p w14:paraId="4A3EB563" w14:textId="1694745E" w:rsidR="006D51CF" w:rsidRPr="6CC80CD3" w:rsidRDefault="006D51CF" w:rsidP="00623BCB">
            <w:pPr>
              <w:keepNext/>
              <w:keepLine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6</w:t>
            </w:r>
            <w:r w:rsidR="00623BCB">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584</w:t>
            </w:r>
          </w:p>
        </w:tc>
        <w:tc>
          <w:tcPr>
            <w:tcW w:w="914" w:type="dxa"/>
            <w:vAlign w:val="bottom"/>
          </w:tcPr>
          <w:p w14:paraId="62C18003" w14:textId="5DF93ABA" w:rsidR="006D51CF" w:rsidRPr="6CC80CD3" w:rsidRDefault="006D51CF" w:rsidP="00623BCB">
            <w:pPr>
              <w:keepNext/>
              <w:keepLine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6</w:t>
            </w:r>
            <w:r w:rsidR="00623BCB">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832</w:t>
            </w:r>
          </w:p>
        </w:tc>
        <w:tc>
          <w:tcPr>
            <w:tcW w:w="1664" w:type="dxa"/>
            <w:noWrap/>
            <w:vAlign w:val="bottom"/>
          </w:tcPr>
          <w:p w14:paraId="3458E641" w14:textId="66063CD1" w:rsidR="006D51CF" w:rsidRPr="6CC80CD3" w:rsidRDefault="006D51CF" w:rsidP="00623BCB">
            <w:pPr>
              <w:keepNext/>
              <w:keepLine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b/>
                <w:bCs/>
                <w:color w:val="000000" w:themeColor="text1"/>
                <w:sz w:val="22"/>
                <w:szCs w:val="22"/>
              </w:rPr>
            </w:pPr>
            <w:r w:rsidRPr="6CC80CD3">
              <w:rPr>
                <w:rFonts w:ascii="Aptos Narrow" w:eastAsia="Aptos Narrow" w:hAnsi="Aptos Narrow" w:cs="Aptos Narrow"/>
                <w:b/>
                <w:bCs/>
                <w:color w:val="000000" w:themeColor="text1"/>
                <w:sz w:val="22"/>
                <w:szCs w:val="22"/>
              </w:rPr>
              <w:t>25</w:t>
            </w:r>
            <w:r w:rsidR="00623BCB">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618</w:t>
            </w:r>
          </w:p>
        </w:tc>
        <w:tc>
          <w:tcPr>
            <w:tcW w:w="1325" w:type="dxa"/>
            <w:vAlign w:val="bottom"/>
          </w:tcPr>
          <w:p w14:paraId="51862C6B" w14:textId="1A726D83" w:rsidR="006D51CF" w:rsidRPr="6CC80CD3" w:rsidRDefault="006D51CF" w:rsidP="00623BCB">
            <w:pPr>
              <w:keepNext/>
              <w:keepLine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w:t>
            </w:r>
            <w:r w:rsidR="00623BCB">
              <w:rPr>
                <w:rFonts w:ascii="Aptos Narrow" w:eastAsia="Aptos Narrow" w:hAnsi="Aptos Narrow" w:cs="Aptos Narrow"/>
                <w:color w:val="000000" w:themeColor="text1"/>
                <w:sz w:val="22"/>
                <w:szCs w:val="22"/>
              </w:rPr>
              <w:t>,</w:t>
            </w:r>
            <w:r w:rsidRPr="6CC80CD3">
              <w:rPr>
                <w:rFonts w:ascii="Aptos Narrow" w:eastAsia="Aptos Narrow" w:hAnsi="Aptos Narrow" w:cs="Aptos Narrow"/>
                <w:color w:val="000000" w:themeColor="text1"/>
                <w:sz w:val="22"/>
                <w:szCs w:val="22"/>
              </w:rPr>
              <w:t>52</w:t>
            </w:r>
          </w:p>
        </w:tc>
      </w:tr>
      <w:tr w:rsidR="006D51CF" w:rsidRPr="00D61BD4" w14:paraId="30B0C689" w14:textId="77777777" w:rsidTr="002E3B6B">
        <w:trPr>
          <w:trHeight w:val="33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26EF10C9" w14:textId="77777777" w:rsidR="006D51CF" w:rsidRPr="6CC80CD3" w:rsidRDefault="006D51CF" w:rsidP="00623BCB">
            <w:pPr>
              <w:keepNext/>
              <w:keepLines/>
              <w:jc w:val="center"/>
              <w:rPr>
                <w:rFonts w:ascii="Aptos Narrow" w:eastAsia="Aptos Narrow" w:hAnsi="Aptos Narrow" w:cs="Aptos Narrow"/>
                <w:sz w:val="22"/>
                <w:szCs w:val="22"/>
              </w:rPr>
            </w:pPr>
            <w:r w:rsidRPr="6CC80CD3">
              <w:rPr>
                <w:rFonts w:ascii="Aptos Narrow" w:eastAsia="Aptos Narrow" w:hAnsi="Aptos Narrow" w:cs="Aptos Narrow"/>
                <w:sz w:val="22"/>
                <w:szCs w:val="22"/>
              </w:rPr>
              <w:t>RA</w:t>
            </w:r>
          </w:p>
        </w:tc>
        <w:tc>
          <w:tcPr>
            <w:tcW w:w="1457" w:type="dxa"/>
            <w:vAlign w:val="bottom"/>
          </w:tcPr>
          <w:p w14:paraId="3C63B9B9" w14:textId="614BC92D" w:rsidR="006D51CF" w:rsidRPr="6CC80CD3" w:rsidRDefault="006D51CF" w:rsidP="00623BCB">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4</w:t>
            </w:r>
            <w:r w:rsidR="00623BCB">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840</w:t>
            </w:r>
          </w:p>
        </w:tc>
        <w:tc>
          <w:tcPr>
            <w:tcW w:w="1457" w:type="dxa"/>
            <w:vAlign w:val="bottom"/>
          </w:tcPr>
          <w:p w14:paraId="58D8CBB7" w14:textId="1CDFBBF2" w:rsidR="006D51CF" w:rsidRPr="6CC80CD3" w:rsidRDefault="006D51CF" w:rsidP="00623BCB">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6</w:t>
            </w:r>
            <w:r w:rsidR="00623BCB">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463</w:t>
            </w:r>
          </w:p>
        </w:tc>
        <w:tc>
          <w:tcPr>
            <w:tcW w:w="1457" w:type="dxa"/>
            <w:vAlign w:val="bottom"/>
          </w:tcPr>
          <w:p w14:paraId="100C1FB3" w14:textId="5840ED2C" w:rsidR="006D51CF" w:rsidRPr="6CC80CD3" w:rsidRDefault="006D51CF" w:rsidP="00623BCB">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6</w:t>
            </w:r>
            <w:r w:rsidR="00623BCB">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208</w:t>
            </w:r>
          </w:p>
        </w:tc>
        <w:tc>
          <w:tcPr>
            <w:tcW w:w="914" w:type="dxa"/>
            <w:vAlign w:val="bottom"/>
          </w:tcPr>
          <w:p w14:paraId="3C28BEF0" w14:textId="3D4EE137" w:rsidR="006D51CF" w:rsidRPr="6CC80CD3" w:rsidRDefault="006D51CF" w:rsidP="00623BCB">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9</w:t>
            </w:r>
            <w:r w:rsidR="00623BCB">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272</w:t>
            </w:r>
          </w:p>
        </w:tc>
        <w:tc>
          <w:tcPr>
            <w:tcW w:w="1664" w:type="dxa"/>
            <w:noWrap/>
            <w:vAlign w:val="bottom"/>
          </w:tcPr>
          <w:p w14:paraId="0231DDC6" w14:textId="18580421" w:rsidR="006D51CF" w:rsidRPr="6CC80CD3" w:rsidRDefault="006D51CF" w:rsidP="00623BCB">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b/>
                <w:bCs/>
                <w:color w:val="000000" w:themeColor="text1"/>
                <w:sz w:val="22"/>
                <w:szCs w:val="22"/>
              </w:rPr>
            </w:pPr>
            <w:r w:rsidRPr="6CC80CD3">
              <w:rPr>
                <w:rFonts w:ascii="Aptos Narrow" w:eastAsia="Aptos Narrow" w:hAnsi="Aptos Narrow" w:cs="Aptos Narrow"/>
                <w:b/>
                <w:bCs/>
                <w:color w:val="000000" w:themeColor="text1"/>
                <w:sz w:val="22"/>
                <w:szCs w:val="22"/>
              </w:rPr>
              <w:t>26</w:t>
            </w:r>
            <w:r w:rsidR="00623BCB">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783</w:t>
            </w:r>
          </w:p>
        </w:tc>
        <w:tc>
          <w:tcPr>
            <w:tcW w:w="1325" w:type="dxa"/>
            <w:vAlign w:val="bottom"/>
          </w:tcPr>
          <w:p w14:paraId="4E15AD93" w14:textId="5439DE39" w:rsidR="006D51CF" w:rsidRPr="6CC80CD3" w:rsidRDefault="006D51CF" w:rsidP="00623BCB">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w:t>
            </w:r>
            <w:r w:rsidR="00623BCB">
              <w:rPr>
                <w:rFonts w:ascii="Aptos Narrow" w:eastAsia="Aptos Narrow" w:hAnsi="Aptos Narrow" w:cs="Aptos Narrow"/>
                <w:color w:val="000000" w:themeColor="text1"/>
                <w:sz w:val="22"/>
                <w:szCs w:val="22"/>
              </w:rPr>
              <w:t>,</w:t>
            </w:r>
            <w:r w:rsidRPr="6CC80CD3">
              <w:rPr>
                <w:rFonts w:ascii="Aptos Narrow" w:eastAsia="Aptos Narrow" w:hAnsi="Aptos Narrow" w:cs="Aptos Narrow"/>
                <w:color w:val="000000" w:themeColor="text1"/>
                <w:sz w:val="22"/>
                <w:szCs w:val="22"/>
              </w:rPr>
              <w:t>59</w:t>
            </w:r>
          </w:p>
        </w:tc>
      </w:tr>
      <w:tr w:rsidR="006D51CF" w:rsidRPr="00D61BD4" w14:paraId="0B31CBA8" w14:textId="77777777" w:rsidTr="002E3B6B">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08BD2FFE" w14:textId="77777777" w:rsidR="006D51CF" w:rsidRPr="6CC80CD3" w:rsidRDefault="006D51CF" w:rsidP="00623BCB">
            <w:pPr>
              <w:keepNext/>
              <w:keepLines/>
              <w:jc w:val="center"/>
              <w:rPr>
                <w:rFonts w:ascii="Aptos Narrow" w:eastAsia="Aptos Narrow" w:hAnsi="Aptos Narrow" w:cs="Aptos Narrow"/>
                <w:sz w:val="22"/>
                <w:szCs w:val="22"/>
              </w:rPr>
            </w:pPr>
            <w:r w:rsidRPr="6CC80CD3">
              <w:rPr>
                <w:rFonts w:ascii="Aptos Narrow" w:eastAsia="Aptos Narrow" w:hAnsi="Aptos Narrow" w:cs="Aptos Narrow"/>
                <w:sz w:val="22"/>
                <w:szCs w:val="22"/>
              </w:rPr>
              <w:t>RS</w:t>
            </w:r>
          </w:p>
        </w:tc>
        <w:tc>
          <w:tcPr>
            <w:tcW w:w="1457" w:type="dxa"/>
            <w:vAlign w:val="bottom"/>
          </w:tcPr>
          <w:p w14:paraId="5CE6DBEB" w14:textId="33719CE3" w:rsidR="006D51CF" w:rsidRPr="6CC80CD3" w:rsidRDefault="006D51CF" w:rsidP="00623BCB">
            <w:pPr>
              <w:keepNext/>
              <w:keepLine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4</w:t>
            </w:r>
            <w:r w:rsidR="00623BCB">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486</w:t>
            </w:r>
          </w:p>
        </w:tc>
        <w:tc>
          <w:tcPr>
            <w:tcW w:w="1457" w:type="dxa"/>
            <w:vAlign w:val="bottom"/>
          </w:tcPr>
          <w:p w14:paraId="1F8FAC80" w14:textId="3053E0B1" w:rsidR="006D51CF" w:rsidRPr="6CC80CD3" w:rsidRDefault="006D51CF" w:rsidP="00623BCB">
            <w:pPr>
              <w:keepNext/>
              <w:keepLine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6</w:t>
            </w:r>
            <w:r w:rsidR="00623BCB">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236</w:t>
            </w:r>
          </w:p>
        </w:tc>
        <w:tc>
          <w:tcPr>
            <w:tcW w:w="1457" w:type="dxa"/>
            <w:vAlign w:val="bottom"/>
          </w:tcPr>
          <w:p w14:paraId="65D97414" w14:textId="4DD7A593" w:rsidR="006D51CF" w:rsidRPr="6CC80CD3" w:rsidRDefault="006D51CF" w:rsidP="00623BCB">
            <w:pPr>
              <w:keepNext/>
              <w:keepLine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6</w:t>
            </w:r>
            <w:r w:rsidR="00623BCB">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745</w:t>
            </w:r>
          </w:p>
        </w:tc>
        <w:tc>
          <w:tcPr>
            <w:tcW w:w="914" w:type="dxa"/>
            <w:vAlign w:val="bottom"/>
          </w:tcPr>
          <w:p w14:paraId="62470B57" w14:textId="1622C72F" w:rsidR="006D51CF" w:rsidRPr="6CC80CD3" w:rsidRDefault="006D51CF" w:rsidP="00623BCB">
            <w:pPr>
              <w:keepNext/>
              <w:keepLine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7</w:t>
            </w:r>
            <w:r w:rsidR="00623BCB">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096</w:t>
            </w:r>
          </w:p>
        </w:tc>
        <w:tc>
          <w:tcPr>
            <w:tcW w:w="1664" w:type="dxa"/>
            <w:noWrap/>
            <w:vAlign w:val="bottom"/>
          </w:tcPr>
          <w:p w14:paraId="5A8AEDE8" w14:textId="03A3368A" w:rsidR="006D51CF" w:rsidRPr="6CC80CD3" w:rsidRDefault="006D51CF" w:rsidP="00623BCB">
            <w:pPr>
              <w:keepNext/>
              <w:keepLine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b/>
                <w:bCs/>
                <w:color w:val="000000" w:themeColor="text1"/>
                <w:sz w:val="22"/>
                <w:szCs w:val="22"/>
              </w:rPr>
            </w:pPr>
            <w:r w:rsidRPr="6CC80CD3">
              <w:rPr>
                <w:rFonts w:ascii="Aptos Narrow" w:eastAsia="Aptos Narrow" w:hAnsi="Aptos Narrow" w:cs="Aptos Narrow"/>
                <w:b/>
                <w:bCs/>
                <w:color w:val="000000" w:themeColor="text1"/>
                <w:sz w:val="22"/>
                <w:szCs w:val="22"/>
              </w:rPr>
              <w:t>24</w:t>
            </w:r>
            <w:r w:rsidR="00623BCB">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563</w:t>
            </w:r>
          </w:p>
        </w:tc>
        <w:tc>
          <w:tcPr>
            <w:tcW w:w="1325" w:type="dxa"/>
            <w:vAlign w:val="bottom"/>
          </w:tcPr>
          <w:p w14:paraId="1ED5CD4D" w14:textId="1A04CACB" w:rsidR="006D51CF" w:rsidRPr="6CC80CD3" w:rsidRDefault="006D51CF" w:rsidP="00623BCB">
            <w:pPr>
              <w:keepNext/>
              <w:keepLine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w:t>
            </w:r>
            <w:r w:rsidR="00623BCB">
              <w:rPr>
                <w:rFonts w:ascii="Aptos Narrow" w:eastAsia="Aptos Narrow" w:hAnsi="Aptos Narrow" w:cs="Aptos Narrow"/>
                <w:color w:val="000000" w:themeColor="text1"/>
                <w:sz w:val="22"/>
                <w:szCs w:val="22"/>
              </w:rPr>
              <w:t>,</w:t>
            </w:r>
            <w:r w:rsidRPr="6CC80CD3">
              <w:rPr>
                <w:rFonts w:ascii="Aptos Narrow" w:eastAsia="Aptos Narrow" w:hAnsi="Aptos Narrow" w:cs="Aptos Narrow"/>
                <w:color w:val="000000" w:themeColor="text1"/>
                <w:sz w:val="22"/>
                <w:szCs w:val="22"/>
              </w:rPr>
              <w:t>45</w:t>
            </w:r>
          </w:p>
        </w:tc>
      </w:tr>
      <w:tr w:rsidR="006D51CF" w:rsidRPr="00D61BD4" w14:paraId="33EC9389" w14:textId="77777777" w:rsidTr="002E3B6B">
        <w:trPr>
          <w:trHeight w:val="330"/>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105EA6DA" w14:textId="77777777" w:rsidR="006D51CF" w:rsidRPr="6CC80CD3" w:rsidRDefault="006D51CF" w:rsidP="00623BCB">
            <w:pPr>
              <w:keepNext/>
              <w:keepLines/>
              <w:jc w:val="center"/>
              <w:rPr>
                <w:rFonts w:ascii="Aptos Narrow" w:eastAsia="Aptos Narrow" w:hAnsi="Aptos Narrow" w:cs="Aptos Narrow"/>
                <w:sz w:val="22"/>
                <w:szCs w:val="22"/>
              </w:rPr>
            </w:pPr>
            <w:r w:rsidRPr="6CC80CD3">
              <w:rPr>
                <w:rFonts w:ascii="Aptos Narrow" w:eastAsia="Aptos Narrow" w:hAnsi="Aptos Narrow" w:cs="Aptos Narrow"/>
                <w:sz w:val="22"/>
                <w:szCs w:val="22"/>
              </w:rPr>
              <w:t>TF</w:t>
            </w:r>
          </w:p>
        </w:tc>
        <w:tc>
          <w:tcPr>
            <w:tcW w:w="1457" w:type="dxa"/>
            <w:vAlign w:val="bottom"/>
          </w:tcPr>
          <w:p w14:paraId="1A33C33A" w14:textId="77777777" w:rsidR="006D51CF" w:rsidRPr="6CC80CD3" w:rsidRDefault="006D51CF" w:rsidP="00623BCB">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466</w:t>
            </w:r>
          </w:p>
        </w:tc>
        <w:tc>
          <w:tcPr>
            <w:tcW w:w="1457" w:type="dxa"/>
            <w:vAlign w:val="bottom"/>
          </w:tcPr>
          <w:p w14:paraId="4ED54D3B" w14:textId="77777777" w:rsidR="006D51CF" w:rsidRPr="6CC80CD3" w:rsidRDefault="006D51CF" w:rsidP="00623BCB">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948</w:t>
            </w:r>
          </w:p>
        </w:tc>
        <w:tc>
          <w:tcPr>
            <w:tcW w:w="1457" w:type="dxa"/>
            <w:vAlign w:val="bottom"/>
          </w:tcPr>
          <w:p w14:paraId="68009D02" w14:textId="64F7C427" w:rsidR="006D51CF" w:rsidRPr="6CC80CD3" w:rsidRDefault="006D51CF" w:rsidP="00623BCB">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w:t>
            </w:r>
            <w:r w:rsidR="00623BCB">
              <w:rPr>
                <w:rFonts w:ascii="Aptos Narrow" w:eastAsia="Aptos Narrow" w:hAnsi="Aptos Narrow" w:cs="Aptos Narrow"/>
                <w:color w:val="000000" w:themeColor="text1"/>
                <w:sz w:val="22"/>
                <w:szCs w:val="22"/>
              </w:rPr>
              <w:t> </w:t>
            </w:r>
            <w:r w:rsidRPr="6CC80CD3">
              <w:rPr>
                <w:rFonts w:ascii="Aptos Narrow" w:eastAsia="Aptos Narrow" w:hAnsi="Aptos Narrow" w:cs="Aptos Narrow"/>
                <w:color w:val="000000" w:themeColor="text1"/>
                <w:sz w:val="22"/>
                <w:szCs w:val="22"/>
              </w:rPr>
              <w:t>017</w:t>
            </w:r>
          </w:p>
        </w:tc>
        <w:tc>
          <w:tcPr>
            <w:tcW w:w="914" w:type="dxa"/>
            <w:vAlign w:val="bottom"/>
          </w:tcPr>
          <w:p w14:paraId="7A9447FD" w14:textId="77777777" w:rsidR="006D51CF" w:rsidRPr="6CC80CD3" w:rsidRDefault="006D51CF" w:rsidP="00623BCB">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960</w:t>
            </w:r>
          </w:p>
        </w:tc>
        <w:tc>
          <w:tcPr>
            <w:tcW w:w="1664" w:type="dxa"/>
            <w:noWrap/>
            <w:vAlign w:val="bottom"/>
          </w:tcPr>
          <w:p w14:paraId="259AB530" w14:textId="277009BA" w:rsidR="006D51CF" w:rsidRPr="6CC80CD3" w:rsidRDefault="006D51CF" w:rsidP="00623BCB">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b/>
                <w:bCs/>
                <w:color w:val="000000" w:themeColor="text1"/>
                <w:sz w:val="22"/>
                <w:szCs w:val="22"/>
              </w:rPr>
            </w:pPr>
            <w:r w:rsidRPr="6CC80CD3">
              <w:rPr>
                <w:rFonts w:ascii="Aptos Narrow" w:eastAsia="Aptos Narrow" w:hAnsi="Aptos Narrow" w:cs="Aptos Narrow"/>
                <w:b/>
                <w:bCs/>
                <w:color w:val="000000" w:themeColor="text1"/>
                <w:sz w:val="22"/>
                <w:szCs w:val="22"/>
              </w:rPr>
              <w:t>3</w:t>
            </w:r>
            <w:r w:rsidR="00623BCB">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391</w:t>
            </w:r>
          </w:p>
        </w:tc>
        <w:tc>
          <w:tcPr>
            <w:tcW w:w="1325" w:type="dxa"/>
            <w:vAlign w:val="bottom"/>
          </w:tcPr>
          <w:p w14:paraId="3B25CB14" w14:textId="0E916A1F" w:rsidR="006D51CF" w:rsidRPr="6CC80CD3" w:rsidRDefault="006D51CF" w:rsidP="00623BCB">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0</w:t>
            </w:r>
            <w:r w:rsidR="00623BCB">
              <w:rPr>
                <w:rFonts w:ascii="Aptos Narrow" w:eastAsia="Aptos Narrow" w:hAnsi="Aptos Narrow" w:cs="Aptos Narrow"/>
                <w:color w:val="000000" w:themeColor="text1"/>
                <w:sz w:val="22"/>
                <w:szCs w:val="22"/>
              </w:rPr>
              <w:t>,</w:t>
            </w:r>
            <w:r w:rsidRPr="6CC80CD3">
              <w:rPr>
                <w:rFonts w:ascii="Aptos Narrow" w:eastAsia="Aptos Narrow" w:hAnsi="Aptos Narrow" w:cs="Aptos Narrow"/>
                <w:color w:val="000000" w:themeColor="text1"/>
                <w:sz w:val="22"/>
                <w:szCs w:val="22"/>
              </w:rPr>
              <w:t>20</w:t>
            </w:r>
          </w:p>
        </w:tc>
      </w:tr>
      <w:tr w:rsidR="006D51CF" w:rsidRPr="00D61BD4" w14:paraId="092DB041" w14:textId="77777777" w:rsidTr="002E3B6B">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15E4BD5F" w14:textId="77777777" w:rsidR="006D51CF" w:rsidRPr="6CC80CD3" w:rsidRDefault="006D51CF" w:rsidP="00623BCB">
            <w:pPr>
              <w:keepNext/>
              <w:keepLines/>
              <w:jc w:val="center"/>
              <w:rPr>
                <w:rFonts w:ascii="Aptos Narrow" w:eastAsia="Aptos Narrow" w:hAnsi="Aptos Narrow" w:cs="Aptos Narrow"/>
                <w:sz w:val="22"/>
                <w:szCs w:val="22"/>
              </w:rPr>
            </w:pPr>
            <w:r w:rsidRPr="6CC80CD3">
              <w:rPr>
                <w:rFonts w:ascii="Aptos Narrow" w:eastAsia="Aptos Narrow" w:hAnsi="Aptos Narrow" w:cs="Aptos Narrow"/>
                <w:sz w:val="22"/>
                <w:szCs w:val="22"/>
              </w:rPr>
              <w:t>SF</w:t>
            </w:r>
          </w:p>
        </w:tc>
        <w:tc>
          <w:tcPr>
            <w:tcW w:w="1457" w:type="dxa"/>
            <w:vAlign w:val="bottom"/>
          </w:tcPr>
          <w:p w14:paraId="0341ADBF" w14:textId="77777777" w:rsidR="006D51CF" w:rsidRPr="6CC80CD3" w:rsidRDefault="006D51CF" w:rsidP="00623BCB">
            <w:pPr>
              <w:keepNext/>
              <w:keepLine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326</w:t>
            </w:r>
          </w:p>
        </w:tc>
        <w:tc>
          <w:tcPr>
            <w:tcW w:w="1457" w:type="dxa"/>
            <w:vAlign w:val="bottom"/>
          </w:tcPr>
          <w:p w14:paraId="09B32FC3" w14:textId="77777777" w:rsidR="006D51CF" w:rsidRPr="6CC80CD3" w:rsidRDefault="006D51CF" w:rsidP="00623BCB">
            <w:pPr>
              <w:keepNext/>
              <w:keepLine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345</w:t>
            </w:r>
          </w:p>
        </w:tc>
        <w:tc>
          <w:tcPr>
            <w:tcW w:w="1457" w:type="dxa"/>
            <w:vAlign w:val="bottom"/>
          </w:tcPr>
          <w:p w14:paraId="3A3C083C" w14:textId="77777777" w:rsidR="006D51CF" w:rsidRPr="6CC80CD3" w:rsidRDefault="006D51CF" w:rsidP="00623BCB">
            <w:pPr>
              <w:keepNext/>
              <w:keepLine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269</w:t>
            </w:r>
          </w:p>
        </w:tc>
        <w:tc>
          <w:tcPr>
            <w:tcW w:w="914" w:type="dxa"/>
            <w:vAlign w:val="bottom"/>
          </w:tcPr>
          <w:p w14:paraId="2C14BFB4" w14:textId="77777777" w:rsidR="006D51CF" w:rsidRPr="6CC80CD3" w:rsidRDefault="006D51CF" w:rsidP="00623BCB">
            <w:pPr>
              <w:keepNext/>
              <w:keepLine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438</w:t>
            </w:r>
          </w:p>
        </w:tc>
        <w:tc>
          <w:tcPr>
            <w:tcW w:w="1664" w:type="dxa"/>
            <w:noWrap/>
            <w:vAlign w:val="bottom"/>
          </w:tcPr>
          <w:p w14:paraId="330B25BF" w14:textId="1031E3E3" w:rsidR="006D51CF" w:rsidRPr="6CC80CD3" w:rsidRDefault="006D51CF" w:rsidP="00623BCB">
            <w:pPr>
              <w:keepNext/>
              <w:keepLine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b/>
                <w:bCs/>
                <w:color w:val="000000" w:themeColor="text1"/>
                <w:sz w:val="22"/>
                <w:szCs w:val="22"/>
              </w:rPr>
            </w:pPr>
            <w:r w:rsidRPr="6CC80CD3">
              <w:rPr>
                <w:rFonts w:ascii="Aptos Narrow" w:eastAsia="Aptos Narrow" w:hAnsi="Aptos Narrow" w:cs="Aptos Narrow"/>
                <w:b/>
                <w:bCs/>
                <w:color w:val="000000" w:themeColor="text1"/>
                <w:sz w:val="22"/>
                <w:szCs w:val="22"/>
              </w:rPr>
              <w:t>1</w:t>
            </w:r>
            <w:r w:rsidR="00623BCB">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378</w:t>
            </w:r>
          </w:p>
        </w:tc>
        <w:tc>
          <w:tcPr>
            <w:tcW w:w="1325" w:type="dxa"/>
            <w:vAlign w:val="bottom"/>
          </w:tcPr>
          <w:p w14:paraId="4DB3E38E" w14:textId="66C041A3" w:rsidR="006D51CF" w:rsidRPr="6CC80CD3" w:rsidRDefault="006D51CF" w:rsidP="00623BCB">
            <w:pPr>
              <w:keepNext/>
              <w:keepLine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0</w:t>
            </w:r>
            <w:r w:rsidR="00623BCB">
              <w:rPr>
                <w:rFonts w:ascii="Aptos Narrow" w:eastAsia="Aptos Narrow" w:hAnsi="Aptos Narrow" w:cs="Aptos Narrow"/>
                <w:color w:val="000000" w:themeColor="text1"/>
                <w:sz w:val="22"/>
                <w:szCs w:val="22"/>
              </w:rPr>
              <w:t>,</w:t>
            </w:r>
            <w:r w:rsidRPr="6CC80CD3">
              <w:rPr>
                <w:rFonts w:ascii="Aptos Narrow" w:eastAsia="Aptos Narrow" w:hAnsi="Aptos Narrow" w:cs="Aptos Narrow"/>
                <w:color w:val="000000" w:themeColor="text1"/>
                <w:sz w:val="22"/>
                <w:szCs w:val="22"/>
              </w:rPr>
              <w:t>08</w:t>
            </w:r>
          </w:p>
        </w:tc>
      </w:tr>
      <w:tr w:rsidR="006D51CF" w:rsidRPr="00D61BD4" w14:paraId="23EA5CE4" w14:textId="77777777" w:rsidTr="002E3B6B">
        <w:trPr>
          <w:trHeight w:val="361"/>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tcPr>
          <w:p w14:paraId="38CF7625" w14:textId="77777777" w:rsidR="006D51CF" w:rsidRPr="6CC80CD3" w:rsidRDefault="006D51CF" w:rsidP="00623BCB">
            <w:pPr>
              <w:keepNext/>
              <w:keepLines/>
              <w:jc w:val="center"/>
              <w:rPr>
                <w:rFonts w:ascii="Aptos Narrow" w:eastAsia="Aptos Narrow" w:hAnsi="Aptos Narrow" w:cs="Aptos Narrow"/>
                <w:sz w:val="22"/>
                <w:szCs w:val="22"/>
              </w:rPr>
            </w:pPr>
            <w:r w:rsidRPr="6CC80CD3">
              <w:rPr>
                <w:rFonts w:ascii="Aptos Narrow" w:eastAsia="Aptos Narrow" w:hAnsi="Aptos Narrow" w:cs="Aptos Narrow"/>
                <w:sz w:val="22"/>
                <w:szCs w:val="22"/>
              </w:rPr>
              <w:t>BR</w:t>
            </w:r>
          </w:p>
        </w:tc>
        <w:tc>
          <w:tcPr>
            <w:tcW w:w="1457" w:type="dxa"/>
            <w:vAlign w:val="bottom"/>
          </w:tcPr>
          <w:p w14:paraId="09F43CB1" w14:textId="77777777" w:rsidR="006D51CF" w:rsidRPr="6CC80CD3" w:rsidRDefault="006D51CF" w:rsidP="00623BCB">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88</w:t>
            </w:r>
          </w:p>
        </w:tc>
        <w:tc>
          <w:tcPr>
            <w:tcW w:w="1457" w:type="dxa"/>
            <w:vAlign w:val="bottom"/>
          </w:tcPr>
          <w:p w14:paraId="79C8FE35" w14:textId="77777777" w:rsidR="006D51CF" w:rsidRPr="6CC80CD3" w:rsidRDefault="006D51CF" w:rsidP="00623BCB">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97</w:t>
            </w:r>
          </w:p>
        </w:tc>
        <w:tc>
          <w:tcPr>
            <w:tcW w:w="1457" w:type="dxa"/>
            <w:vAlign w:val="bottom"/>
          </w:tcPr>
          <w:p w14:paraId="2ECD2207" w14:textId="77777777" w:rsidR="006D51CF" w:rsidRPr="6CC80CD3" w:rsidRDefault="006D51CF" w:rsidP="00623BCB">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65</w:t>
            </w:r>
          </w:p>
        </w:tc>
        <w:tc>
          <w:tcPr>
            <w:tcW w:w="914" w:type="dxa"/>
            <w:vAlign w:val="bottom"/>
          </w:tcPr>
          <w:p w14:paraId="0E9F3A3E" w14:textId="77777777" w:rsidR="006D51CF" w:rsidRPr="6CC80CD3" w:rsidRDefault="006D51CF" w:rsidP="00623BCB">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118</w:t>
            </w:r>
          </w:p>
        </w:tc>
        <w:tc>
          <w:tcPr>
            <w:tcW w:w="1664" w:type="dxa"/>
            <w:noWrap/>
            <w:vAlign w:val="bottom"/>
          </w:tcPr>
          <w:p w14:paraId="0D8A0BE2" w14:textId="77777777" w:rsidR="006D51CF" w:rsidRPr="6CC80CD3" w:rsidRDefault="006D51CF" w:rsidP="00623BCB">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b/>
                <w:bCs/>
                <w:color w:val="000000" w:themeColor="text1"/>
                <w:sz w:val="22"/>
                <w:szCs w:val="22"/>
              </w:rPr>
            </w:pPr>
            <w:r w:rsidRPr="6CC80CD3">
              <w:rPr>
                <w:rFonts w:ascii="Aptos Narrow" w:eastAsia="Aptos Narrow" w:hAnsi="Aptos Narrow" w:cs="Aptos Narrow"/>
                <w:b/>
                <w:bCs/>
                <w:color w:val="000000" w:themeColor="text1"/>
                <w:sz w:val="22"/>
                <w:szCs w:val="22"/>
              </w:rPr>
              <w:t>368</w:t>
            </w:r>
          </w:p>
        </w:tc>
        <w:tc>
          <w:tcPr>
            <w:tcW w:w="1325" w:type="dxa"/>
            <w:vAlign w:val="bottom"/>
          </w:tcPr>
          <w:p w14:paraId="03F688CA" w14:textId="20B4097A" w:rsidR="006D51CF" w:rsidRPr="6CC80CD3" w:rsidRDefault="006D51CF" w:rsidP="00623BCB">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0</w:t>
            </w:r>
            <w:r w:rsidR="00623BCB">
              <w:rPr>
                <w:rFonts w:ascii="Aptos Narrow" w:eastAsia="Aptos Narrow" w:hAnsi="Aptos Narrow" w:cs="Aptos Narrow"/>
                <w:color w:val="000000" w:themeColor="text1"/>
                <w:sz w:val="22"/>
                <w:szCs w:val="22"/>
              </w:rPr>
              <w:t>,</w:t>
            </w:r>
            <w:r w:rsidRPr="6CC80CD3">
              <w:rPr>
                <w:rFonts w:ascii="Aptos Narrow" w:eastAsia="Aptos Narrow" w:hAnsi="Aptos Narrow" w:cs="Aptos Narrow"/>
                <w:color w:val="000000" w:themeColor="text1"/>
                <w:sz w:val="22"/>
                <w:szCs w:val="22"/>
              </w:rPr>
              <w:t>02</w:t>
            </w:r>
          </w:p>
        </w:tc>
      </w:tr>
      <w:tr w:rsidR="006D51CF" w:rsidRPr="00D61BD4" w14:paraId="0B6BBB81" w14:textId="77777777" w:rsidTr="002E3B6B">
        <w:trPr>
          <w:cnfStyle w:val="000000100000" w:firstRow="0" w:lastRow="0" w:firstColumn="0" w:lastColumn="0" w:oddVBand="0" w:evenVBand="0" w:oddHBand="1" w:evenHBand="0" w:firstRowFirstColumn="0" w:firstRowLastColumn="0" w:lastRowFirstColumn="0" w:lastRowLastColumn="0"/>
          <w:trHeight w:val="511"/>
          <w:jc w:val="center"/>
        </w:trPr>
        <w:tc>
          <w:tcPr>
            <w:cnfStyle w:val="001000000000" w:firstRow="0" w:lastRow="0" w:firstColumn="1" w:lastColumn="0" w:oddVBand="0" w:evenVBand="0" w:oddHBand="0" w:evenHBand="0" w:firstRowFirstColumn="0" w:firstRowLastColumn="0" w:lastRowFirstColumn="0" w:lastRowLastColumn="0"/>
            <w:tcW w:w="1355" w:type="dxa"/>
            <w:noWrap/>
            <w:vAlign w:val="bottom"/>
            <w:hideMark/>
          </w:tcPr>
          <w:p w14:paraId="70FA5072" w14:textId="77777777" w:rsidR="006D51CF" w:rsidRPr="6CC80CD3" w:rsidRDefault="006D51CF" w:rsidP="00623BCB">
            <w:pPr>
              <w:keepNext/>
              <w:keepLines/>
              <w:jc w:val="center"/>
              <w:rPr>
                <w:rFonts w:ascii="Aptos Narrow" w:eastAsia="Aptos Narrow" w:hAnsi="Aptos Narrow" w:cs="Aptos Narrow"/>
                <w:sz w:val="22"/>
                <w:szCs w:val="22"/>
              </w:rPr>
            </w:pPr>
            <w:r w:rsidRPr="6CC80CD3">
              <w:rPr>
                <w:rFonts w:ascii="Aptos Narrow" w:eastAsia="Aptos Narrow" w:hAnsi="Aptos Narrow" w:cs="Aptos Narrow"/>
                <w:sz w:val="22"/>
                <w:szCs w:val="22"/>
              </w:rPr>
              <w:t>Total</w:t>
            </w:r>
          </w:p>
        </w:tc>
        <w:tc>
          <w:tcPr>
            <w:tcW w:w="1457" w:type="dxa"/>
            <w:vAlign w:val="bottom"/>
          </w:tcPr>
          <w:p w14:paraId="4DED1967" w14:textId="289C8CA1" w:rsidR="006D51CF" w:rsidRPr="6CC80CD3" w:rsidRDefault="006D51CF" w:rsidP="00623BCB">
            <w:pPr>
              <w:keepNext/>
              <w:keepLine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b/>
                <w:bCs/>
                <w:color w:val="000000" w:themeColor="text1"/>
                <w:sz w:val="22"/>
                <w:szCs w:val="22"/>
              </w:rPr>
            </w:pPr>
            <w:r w:rsidRPr="6CC80CD3">
              <w:rPr>
                <w:rFonts w:ascii="Aptos Narrow" w:eastAsia="Aptos Narrow" w:hAnsi="Aptos Narrow" w:cs="Aptos Narrow"/>
                <w:b/>
                <w:bCs/>
                <w:color w:val="000000" w:themeColor="text1"/>
                <w:sz w:val="22"/>
                <w:szCs w:val="22"/>
              </w:rPr>
              <w:t>380</w:t>
            </w:r>
            <w:r w:rsidR="00623BCB">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758</w:t>
            </w:r>
          </w:p>
        </w:tc>
        <w:tc>
          <w:tcPr>
            <w:tcW w:w="1457" w:type="dxa"/>
            <w:vAlign w:val="bottom"/>
          </w:tcPr>
          <w:p w14:paraId="1BF46527" w14:textId="292CA21C" w:rsidR="006D51CF" w:rsidRPr="6CC80CD3" w:rsidRDefault="006D51CF" w:rsidP="00623BCB">
            <w:pPr>
              <w:keepNext/>
              <w:keepLine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b/>
                <w:bCs/>
                <w:color w:val="000000" w:themeColor="text1"/>
                <w:sz w:val="22"/>
                <w:szCs w:val="22"/>
              </w:rPr>
            </w:pPr>
            <w:r w:rsidRPr="6CC80CD3">
              <w:rPr>
                <w:rFonts w:ascii="Aptos Narrow" w:eastAsia="Aptos Narrow" w:hAnsi="Aptos Narrow" w:cs="Aptos Narrow"/>
                <w:b/>
                <w:bCs/>
                <w:color w:val="000000" w:themeColor="text1"/>
                <w:sz w:val="22"/>
                <w:szCs w:val="22"/>
              </w:rPr>
              <w:t>425</w:t>
            </w:r>
            <w:r w:rsidR="00623BCB">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574</w:t>
            </w:r>
          </w:p>
        </w:tc>
        <w:tc>
          <w:tcPr>
            <w:tcW w:w="1457" w:type="dxa"/>
            <w:vAlign w:val="bottom"/>
          </w:tcPr>
          <w:p w14:paraId="09D94FC1" w14:textId="102CFE83" w:rsidR="006D51CF" w:rsidRPr="6CC80CD3" w:rsidRDefault="006D51CF" w:rsidP="00623BCB">
            <w:pPr>
              <w:keepNext/>
              <w:keepLine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b/>
                <w:bCs/>
                <w:color w:val="000000" w:themeColor="text1"/>
                <w:sz w:val="22"/>
                <w:szCs w:val="22"/>
              </w:rPr>
            </w:pPr>
            <w:r w:rsidRPr="6CC80CD3">
              <w:rPr>
                <w:rFonts w:ascii="Aptos Narrow" w:eastAsia="Aptos Narrow" w:hAnsi="Aptos Narrow" w:cs="Aptos Narrow"/>
                <w:b/>
                <w:bCs/>
                <w:color w:val="000000" w:themeColor="text1"/>
                <w:sz w:val="22"/>
                <w:szCs w:val="22"/>
              </w:rPr>
              <w:t>397</w:t>
            </w:r>
            <w:r w:rsidR="00623BCB">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694</w:t>
            </w:r>
          </w:p>
        </w:tc>
        <w:tc>
          <w:tcPr>
            <w:tcW w:w="914" w:type="dxa"/>
            <w:vAlign w:val="bottom"/>
          </w:tcPr>
          <w:p w14:paraId="70D556A2" w14:textId="4F40257F" w:rsidR="006D51CF" w:rsidRPr="6CC80CD3" w:rsidRDefault="006D51CF" w:rsidP="00623BCB">
            <w:pPr>
              <w:keepNext/>
              <w:keepLines/>
              <w:tabs>
                <w:tab w:val="left" w:pos="720"/>
              </w:tab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b/>
                <w:bCs/>
                <w:color w:val="000000" w:themeColor="text1"/>
                <w:sz w:val="22"/>
                <w:szCs w:val="22"/>
              </w:rPr>
            </w:pPr>
            <w:r w:rsidRPr="6CC80CD3">
              <w:rPr>
                <w:rFonts w:ascii="Aptos Narrow" w:eastAsia="Aptos Narrow" w:hAnsi="Aptos Narrow" w:cs="Aptos Narrow"/>
                <w:b/>
                <w:bCs/>
                <w:color w:val="000000" w:themeColor="text1"/>
                <w:sz w:val="22"/>
                <w:szCs w:val="22"/>
              </w:rPr>
              <w:t>484</w:t>
            </w:r>
            <w:r w:rsidR="00623BCB">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264</w:t>
            </w:r>
          </w:p>
        </w:tc>
        <w:tc>
          <w:tcPr>
            <w:tcW w:w="1664" w:type="dxa"/>
            <w:noWrap/>
            <w:vAlign w:val="bottom"/>
          </w:tcPr>
          <w:p w14:paraId="4369758B" w14:textId="55E16505" w:rsidR="006D51CF" w:rsidRPr="6CC80CD3" w:rsidRDefault="006D51CF" w:rsidP="00623BCB">
            <w:pPr>
              <w:keepNext/>
              <w:keepLines/>
              <w:tabs>
                <w:tab w:val="left" w:pos="720"/>
              </w:tab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b/>
                <w:bCs/>
                <w:color w:val="000000" w:themeColor="text1"/>
                <w:sz w:val="22"/>
                <w:szCs w:val="22"/>
              </w:rPr>
            </w:pPr>
            <w:r w:rsidRPr="6CC80CD3">
              <w:rPr>
                <w:rFonts w:ascii="Aptos Narrow" w:eastAsia="Aptos Narrow" w:hAnsi="Aptos Narrow" w:cs="Aptos Narrow"/>
                <w:b/>
                <w:bCs/>
                <w:color w:val="000000" w:themeColor="text1"/>
                <w:sz w:val="22"/>
                <w:szCs w:val="22"/>
              </w:rPr>
              <w:t>1</w:t>
            </w:r>
            <w:r w:rsidR="00623BCB">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688</w:t>
            </w:r>
            <w:r w:rsidR="00623BCB">
              <w:rPr>
                <w:rFonts w:ascii="Aptos Narrow" w:eastAsia="Aptos Narrow" w:hAnsi="Aptos Narrow" w:cs="Aptos Narrow"/>
                <w:b/>
                <w:bCs/>
                <w:color w:val="000000" w:themeColor="text1"/>
                <w:sz w:val="22"/>
                <w:szCs w:val="22"/>
              </w:rPr>
              <w:t> </w:t>
            </w:r>
            <w:r w:rsidRPr="6CC80CD3">
              <w:rPr>
                <w:rFonts w:ascii="Aptos Narrow" w:eastAsia="Aptos Narrow" w:hAnsi="Aptos Narrow" w:cs="Aptos Narrow"/>
                <w:b/>
                <w:bCs/>
                <w:color w:val="000000" w:themeColor="text1"/>
                <w:sz w:val="22"/>
                <w:szCs w:val="22"/>
              </w:rPr>
              <w:t>290</w:t>
            </w:r>
          </w:p>
        </w:tc>
        <w:tc>
          <w:tcPr>
            <w:tcW w:w="1325" w:type="dxa"/>
            <w:vAlign w:val="bottom"/>
          </w:tcPr>
          <w:p w14:paraId="3FCF3687" w14:textId="61E77327" w:rsidR="006D51CF" w:rsidRPr="6CC80CD3" w:rsidRDefault="006D51CF" w:rsidP="00623BCB">
            <w:pPr>
              <w:keepNext/>
              <w:keepLines/>
              <w:spacing w:before="0"/>
              <w:jc w:val="center"/>
              <w:cnfStyle w:val="000000100000" w:firstRow="0" w:lastRow="0" w:firstColumn="0" w:lastColumn="0" w:oddVBand="0" w:evenVBand="0" w:oddHBand="1" w:evenHBand="0" w:firstRowFirstColumn="0" w:firstRowLastColumn="0" w:lastRowFirstColumn="0" w:lastRowLastColumn="0"/>
              <w:rPr>
                <w:rFonts w:ascii="Aptos Narrow" w:eastAsia="Aptos Narrow" w:hAnsi="Aptos Narrow" w:cs="Aptos Narrow"/>
                <w:color w:val="000000" w:themeColor="text1"/>
                <w:sz w:val="22"/>
                <w:szCs w:val="22"/>
              </w:rPr>
            </w:pPr>
            <w:r w:rsidRPr="6CC80CD3">
              <w:rPr>
                <w:rFonts w:ascii="Aptos Narrow" w:eastAsia="Aptos Narrow" w:hAnsi="Aptos Narrow" w:cs="Aptos Narrow"/>
                <w:color w:val="000000" w:themeColor="text1"/>
                <w:sz w:val="22"/>
                <w:szCs w:val="22"/>
              </w:rPr>
              <w:t>100</w:t>
            </w:r>
            <w:r w:rsidR="00623BCB">
              <w:rPr>
                <w:rFonts w:ascii="Aptos Narrow" w:eastAsia="Aptos Narrow" w:hAnsi="Aptos Narrow" w:cs="Aptos Narrow"/>
                <w:color w:val="000000" w:themeColor="text1"/>
                <w:sz w:val="22"/>
                <w:szCs w:val="22"/>
              </w:rPr>
              <w:t>,</w:t>
            </w:r>
            <w:r w:rsidRPr="6CC80CD3">
              <w:rPr>
                <w:rFonts w:ascii="Aptos Narrow" w:eastAsia="Aptos Narrow" w:hAnsi="Aptos Narrow" w:cs="Aptos Narrow"/>
                <w:color w:val="000000" w:themeColor="text1"/>
                <w:sz w:val="22"/>
                <w:szCs w:val="22"/>
              </w:rPr>
              <w:t>00</w:t>
            </w:r>
          </w:p>
        </w:tc>
      </w:tr>
    </w:tbl>
    <w:p w14:paraId="3F04EAE7" w14:textId="77777777" w:rsidR="006D51CF" w:rsidRPr="00F673BE" w:rsidRDefault="006D51CF" w:rsidP="006D51CF">
      <w:pPr>
        <w:pStyle w:val="Heading4"/>
        <w:keepNext w:val="0"/>
        <w:keepLines w:val="0"/>
      </w:pPr>
      <w:r w:rsidRPr="00F673BE">
        <w:t>8.1.4.4</w:t>
      </w:r>
      <w:r>
        <w:tab/>
        <w:t>Manuales</w:t>
      </w:r>
    </w:p>
    <w:p w14:paraId="3AB46BBF" w14:textId="77777777" w:rsidR="006D51CF" w:rsidRPr="004E0BA9" w:rsidRDefault="006D51CF" w:rsidP="006D51CF">
      <w:pPr>
        <w:rPr>
          <w:lang w:val="es-ES"/>
        </w:rPr>
      </w:pPr>
      <w:r w:rsidRPr="004E0BA9">
        <w:rPr>
          <w:lang w:val="es-ES"/>
        </w:rPr>
        <w:t xml:space="preserve">Los Manuales del UIT-R también pueden descargarse gratuitamente desde el sitio web de la </w:t>
      </w:r>
      <w:r>
        <w:rPr>
          <w:lang w:val="es-ES"/>
        </w:rPr>
        <w:t xml:space="preserve">UIT. </w:t>
      </w:r>
      <w:r w:rsidRPr="004E0BA9">
        <w:rPr>
          <w:lang w:val="es-ES"/>
        </w:rPr>
        <w:t>Entre 2022 y 2025 se registró casi medio millón de de</w:t>
      </w:r>
      <w:r>
        <w:rPr>
          <w:lang w:val="es-ES"/>
        </w:rPr>
        <w:t xml:space="preserve">scargas. </w:t>
      </w:r>
      <w:r w:rsidRPr="004E0BA9">
        <w:rPr>
          <w:lang w:val="es-ES"/>
        </w:rPr>
        <w:t>En el Cuadro 8.1.4.4-1 se indica el número</w:t>
      </w:r>
      <w:r>
        <w:rPr>
          <w:lang w:val="es-ES"/>
        </w:rPr>
        <w:t xml:space="preserve"> de ejemplares distribuidos de Manuales del UIT-T sobre gestión del espectro, así como de otros Manuales a la venta</w:t>
      </w:r>
      <w:r w:rsidRPr="004E0BA9">
        <w:rPr>
          <w:lang w:val="es-ES"/>
        </w:rPr>
        <w:t xml:space="preserve">. </w:t>
      </w:r>
    </w:p>
    <w:p w14:paraId="36965155" w14:textId="77777777" w:rsidR="006D51CF" w:rsidRPr="004E0BA9" w:rsidRDefault="006D51CF" w:rsidP="006D51CF">
      <w:pPr>
        <w:rPr>
          <w:lang w:val="es-ES"/>
        </w:rPr>
      </w:pPr>
      <w:r w:rsidRPr="004E0BA9">
        <w:rPr>
          <w:lang w:val="es-ES"/>
        </w:rPr>
        <w:t xml:space="preserve">En la actualidad hay publicados en el sitio web </w:t>
      </w:r>
      <w:r>
        <w:rPr>
          <w:lang w:val="es-ES"/>
        </w:rPr>
        <w:t>de la UIT</w:t>
      </w:r>
      <w:r w:rsidRPr="004E0BA9">
        <w:rPr>
          <w:lang w:val="es-ES"/>
        </w:rPr>
        <w:t xml:space="preserve"> 48 </w:t>
      </w:r>
      <w:r>
        <w:rPr>
          <w:lang w:val="es-ES"/>
        </w:rPr>
        <w:t>Manuales UIT-R</w:t>
      </w:r>
      <w:r w:rsidRPr="004E0BA9">
        <w:rPr>
          <w:lang w:val="es-ES"/>
        </w:rPr>
        <w:t>.</w:t>
      </w:r>
    </w:p>
    <w:p w14:paraId="3FBB06A4" w14:textId="77777777" w:rsidR="006D51CF" w:rsidRPr="004C1106" w:rsidRDefault="006D51CF" w:rsidP="006D51CF">
      <w:pPr>
        <w:pStyle w:val="TableNo"/>
        <w:keepNext w:val="0"/>
        <w:spacing w:before="360"/>
        <w:rPr>
          <w:lang w:val="es-ES"/>
        </w:rPr>
      </w:pPr>
      <w:r w:rsidRPr="004C1106">
        <w:rPr>
          <w:lang w:val="es-ES"/>
        </w:rPr>
        <w:t>CUADRO 8.1.4.4-1</w:t>
      </w:r>
    </w:p>
    <w:p w14:paraId="04FA967A" w14:textId="77777777" w:rsidR="006D51CF" w:rsidRPr="005F26E3" w:rsidRDefault="006D51CF" w:rsidP="005F26E3">
      <w:pPr>
        <w:pStyle w:val="Tabletitle"/>
        <w:rPr>
          <w:sz w:val="24"/>
          <w:szCs w:val="24"/>
          <w:lang w:val="es-ES"/>
        </w:rPr>
      </w:pPr>
      <w:r w:rsidRPr="005F26E3">
        <w:rPr>
          <w:sz w:val="24"/>
          <w:szCs w:val="24"/>
          <w:lang w:val="es-ES"/>
        </w:rPr>
        <w:t>Distribución de Manuales del UIT-R sobre gestión del espectro y otros Manuales</w:t>
      </w:r>
    </w:p>
    <w:tbl>
      <w:tblPr>
        <w:tblW w:w="9307" w:type="dxa"/>
        <w:jc w:val="center"/>
        <w:tblBorders>
          <w:top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Look w:val="04A0" w:firstRow="1" w:lastRow="0" w:firstColumn="1" w:lastColumn="0" w:noHBand="0" w:noVBand="1"/>
      </w:tblPr>
      <w:tblGrid>
        <w:gridCol w:w="3828"/>
        <w:gridCol w:w="1482"/>
        <w:gridCol w:w="1335"/>
        <w:gridCol w:w="1331"/>
        <w:gridCol w:w="1331"/>
      </w:tblGrid>
      <w:tr w:rsidR="006D51CF" w:rsidRPr="005E575F" w14:paraId="0DD37B73" w14:textId="77777777" w:rsidTr="00F1530C">
        <w:trPr>
          <w:trHeight w:val="481"/>
          <w:jc w:val="center"/>
        </w:trPr>
        <w:tc>
          <w:tcPr>
            <w:tcW w:w="3828" w:type="dxa"/>
            <w:shd w:val="clear" w:color="auto" w:fill="4472C4"/>
            <w:tcMar>
              <w:top w:w="0" w:type="dxa"/>
              <w:left w:w="108" w:type="dxa"/>
              <w:bottom w:w="0" w:type="dxa"/>
              <w:right w:w="108" w:type="dxa"/>
            </w:tcMar>
            <w:vAlign w:val="center"/>
            <w:hideMark/>
          </w:tcPr>
          <w:p w14:paraId="1C6B7215" w14:textId="77777777" w:rsidR="006D51CF" w:rsidRPr="00D61BD4" w:rsidRDefault="006D51CF" w:rsidP="002E3B6B">
            <w:pPr>
              <w:spacing w:before="0"/>
              <w:jc w:val="center"/>
              <w:rPr>
                <w:b/>
                <w:color w:val="FFFFFF" w:themeColor="background1"/>
                <w:szCs w:val="24"/>
              </w:rPr>
            </w:pPr>
            <w:r>
              <w:rPr>
                <w:b/>
                <w:color w:val="FFFFFF" w:themeColor="background1"/>
                <w:szCs w:val="24"/>
              </w:rPr>
              <w:t>Manual</w:t>
            </w:r>
          </w:p>
        </w:tc>
        <w:tc>
          <w:tcPr>
            <w:tcW w:w="1482" w:type="dxa"/>
            <w:shd w:val="clear" w:color="auto" w:fill="4472C4"/>
            <w:vAlign w:val="center"/>
          </w:tcPr>
          <w:p w14:paraId="6104461A" w14:textId="77777777" w:rsidR="006D51CF" w:rsidRPr="00D61BD4" w:rsidRDefault="006D51CF" w:rsidP="002E3B6B">
            <w:pPr>
              <w:spacing w:before="0"/>
              <w:jc w:val="center"/>
              <w:rPr>
                <w:b/>
                <w:color w:val="FFFFFF" w:themeColor="background1"/>
                <w:szCs w:val="24"/>
                <w:lang w:val="en-US"/>
              </w:rPr>
            </w:pPr>
            <w:r w:rsidRPr="00D61BD4">
              <w:rPr>
                <w:b/>
                <w:color w:val="FFFFFF" w:themeColor="background1"/>
                <w:szCs w:val="24"/>
                <w:lang w:val="en-US"/>
              </w:rPr>
              <w:t>2022</w:t>
            </w:r>
          </w:p>
        </w:tc>
        <w:tc>
          <w:tcPr>
            <w:tcW w:w="1335" w:type="dxa"/>
            <w:shd w:val="clear" w:color="auto" w:fill="4472C4"/>
            <w:vAlign w:val="center"/>
          </w:tcPr>
          <w:p w14:paraId="7C022F4E" w14:textId="77777777" w:rsidR="006D51CF" w:rsidRPr="00D61BD4" w:rsidRDefault="006D51CF" w:rsidP="002E3B6B">
            <w:pPr>
              <w:spacing w:before="0"/>
              <w:jc w:val="center"/>
              <w:rPr>
                <w:b/>
                <w:color w:val="FFFFFF" w:themeColor="background1"/>
                <w:szCs w:val="24"/>
                <w:lang w:val="en-US"/>
              </w:rPr>
            </w:pPr>
            <w:r w:rsidRPr="00D61BD4">
              <w:rPr>
                <w:b/>
                <w:color w:val="FFFFFF" w:themeColor="background1"/>
                <w:szCs w:val="24"/>
                <w:lang w:val="en-US"/>
              </w:rPr>
              <w:t>2023</w:t>
            </w:r>
          </w:p>
        </w:tc>
        <w:tc>
          <w:tcPr>
            <w:tcW w:w="1331" w:type="dxa"/>
            <w:shd w:val="clear" w:color="auto" w:fill="4472C4"/>
            <w:vAlign w:val="center"/>
          </w:tcPr>
          <w:p w14:paraId="7ADDB7B2" w14:textId="77777777" w:rsidR="006D51CF" w:rsidRPr="00D61BD4" w:rsidRDefault="006D51CF" w:rsidP="002E3B6B">
            <w:pPr>
              <w:spacing w:before="0"/>
              <w:jc w:val="center"/>
              <w:rPr>
                <w:b/>
                <w:color w:val="FFFFFF" w:themeColor="background1"/>
                <w:szCs w:val="24"/>
                <w:lang w:val="en-US"/>
              </w:rPr>
            </w:pPr>
            <w:r w:rsidRPr="00D61BD4">
              <w:rPr>
                <w:b/>
                <w:color w:val="FFFFFF" w:themeColor="background1"/>
                <w:szCs w:val="24"/>
                <w:lang w:val="en-US"/>
              </w:rPr>
              <w:t>2024</w:t>
            </w:r>
          </w:p>
        </w:tc>
        <w:tc>
          <w:tcPr>
            <w:tcW w:w="1331" w:type="dxa"/>
            <w:shd w:val="clear" w:color="auto" w:fill="4472C4"/>
            <w:vAlign w:val="center"/>
          </w:tcPr>
          <w:p w14:paraId="26DD2B51" w14:textId="77777777" w:rsidR="006D51CF" w:rsidRPr="00D61BD4" w:rsidRDefault="006D51CF" w:rsidP="002E3B6B">
            <w:pPr>
              <w:spacing w:before="0"/>
              <w:jc w:val="center"/>
              <w:rPr>
                <w:b/>
                <w:color w:val="FFFFFF" w:themeColor="background1"/>
                <w:lang w:val="en-US"/>
              </w:rPr>
            </w:pPr>
            <w:r w:rsidRPr="6CC80CD3">
              <w:rPr>
                <w:b/>
                <w:color w:val="FFFFFF" w:themeColor="background1"/>
                <w:lang w:val="en-US"/>
              </w:rPr>
              <w:t>2025</w:t>
            </w:r>
            <w:r>
              <w:rPr>
                <w:b/>
                <w:color w:val="FFFFFF" w:themeColor="background1"/>
                <w:lang w:val="en-US"/>
              </w:rPr>
              <w:t xml:space="preserve"> </w:t>
            </w:r>
            <w:r w:rsidRPr="00B6225D">
              <w:rPr>
                <w:b/>
                <w:bCs/>
                <w:color w:val="FFFFFF" w:themeColor="background1"/>
                <w:vertAlign w:val="superscript"/>
                <w:lang w:val="en-US"/>
              </w:rPr>
              <w:t>1</w:t>
            </w:r>
          </w:p>
        </w:tc>
      </w:tr>
      <w:tr w:rsidR="006D51CF" w:rsidRPr="005E575F" w14:paraId="62B31EAA" w14:textId="77777777" w:rsidTr="00F1530C">
        <w:trPr>
          <w:trHeight w:val="510"/>
          <w:jc w:val="center"/>
        </w:trPr>
        <w:tc>
          <w:tcPr>
            <w:tcW w:w="3828" w:type="dxa"/>
            <w:shd w:val="clear" w:color="auto" w:fill="4472C4"/>
            <w:tcMar>
              <w:top w:w="0" w:type="dxa"/>
              <w:left w:w="108" w:type="dxa"/>
              <w:bottom w:w="0" w:type="dxa"/>
              <w:right w:w="108" w:type="dxa"/>
            </w:tcMar>
            <w:vAlign w:val="center"/>
            <w:hideMark/>
          </w:tcPr>
          <w:p w14:paraId="299B4628" w14:textId="1EEABF46" w:rsidR="006D51CF" w:rsidRPr="00D61BD4" w:rsidRDefault="006D51CF" w:rsidP="00F1530C">
            <w:pPr>
              <w:spacing w:before="0"/>
              <w:jc w:val="center"/>
              <w:rPr>
                <w:b/>
                <w:color w:val="FFFFFF" w:themeColor="background1"/>
                <w:szCs w:val="24"/>
              </w:rPr>
            </w:pPr>
            <w:r w:rsidRPr="004E0BA9">
              <w:rPr>
                <w:b/>
                <w:color w:val="FFFFFF" w:themeColor="background1"/>
                <w:szCs w:val="24"/>
                <w:lang w:val="es-ES"/>
              </w:rPr>
              <w:t>Serie Gestión del espectro (copias imp</w:t>
            </w:r>
            <w:r>
              <w:rPr>
                <w:b/>
                <w:color w:val="FFFFFF" w:themeColor="background1"/>
                <w:szCs w:val="24"/>
                <w:lang w:val="es-ES"/>
              </w:rPr>
              <w:t>resas vendidas</w:t>
            </w:r>
            <w:r w:rsidRPr="00D61BD4">
              <w:rPr>
                <w:b/>
                <w:color w:val="FFFFFF" w:themeColor="background1"/>
                <w:szCs w:val="24"/>
              </w:rPr>
              <w:t>)</w:t>
            </w:r>
          </w:p>
        </w:tc>
        <w:tc>
          <w:tcPr>
            <w:tcW w:w="1482" w:type="dxa"/>
            <w:shd w:val="clear" w:color="auto" w:fill="B4C6E7"/>
            <w:vAlign w:val="center"/>
          </w:tcPr>
          <w:p w14:paraId="44DF301E" w14:textId="77777777" w:rsidR="006D51CF" w:rsidRPr="00D61BD4" w:rsidRDefault="006D51CF" w:rsidP="002E3B6B">
            <w:pPr>
              <w:spacing w:before="0"/>
              <w:jc w:val="center"/>
              <w:rPr>
                <w:color w:val="000000" w:themeColor="text1"/>
                <w:szCs w:val="24"/>
                <w:lang w:val="en-US"/>
              </w:rPr>
            </w:pPr>
            <w:r w:rsidRPr="00D61BD4">
              <w:rPr>
                <w:color w:val="000000" w:themeColor="text1"/>
                <w:szCs w:val="24"/>
                <w:lang w:val="en-US"/>
              </w:rPr>
              <w:t>0</w:t>
            </w:r>
          </w:p>
        </w:tc>
        <w:tc>
          <w:tcPr>
            <w:tcW w:w="1335" w:type="dxa"/>
            <w:shd w:val="clear" w:color="auto" w:fill="B4C6E7"/>
            <w:vAlign w:val="center"/>
          </w:tcPr>
          <w:p w14:paraId="4145C298" w14:textId="77777777" w:rsidR="006D51CF" w:rsidRPr="00D61BD4" w:rsidRDefault="006D51CF" w:rsidP="002E3B6B">
            <w:pPr>
              <w:spacing w:before="0"/>
              <w:jc w:val="center"/>
              <w:rPr>
                <w:color w:val="000000" w:themeColor="text1"/>
                <w:szCs w:val="24"/>
                <w:lang w:val="en-US"/>
              </w:rPr>
            </w:pPr>
            <w:r w:rsidRPr="00D61BD4">
              <w:rPr>
                <w:color w:val="000000" w:themeColor="text1"/>
                <w:szCs w:val="24"/>
                <w:lang w:val="en-US"/>
              </w:rPr>
              <w:t>-</w:t>
            </w:r>
          </w:p>
        </w:tc>
        <w:tc>
          <w:tcPr>
            <w:tcW w:w="1331" w:type="dxa"/>
            <w:shd w:val="clear" w:color="auto" w:fill="B4C6E7"/>
            <w:vAlign w:val="center"/>
          </w:tcPr>
          <w:p w14:paraId="2C4716F0" w14:textId="77777777" w:rsidR="006D51CF" w:rsidRPr="00D61BD4" w:rsidRDefault="006D51CF" w:rsidP="002E3B6B">
            <w:pPr>
              <w:spacing w:before="0"/>
              <w:jc w:val="center"/>
              <w:rPr>
                <w:color w:val="000000" w:themeColor="text1"/>
                <w:szCs w:val="24"/>
                <w:lang w:val="en-US"/>
              </w:rPr>
            </w:pPr>
            <w:r w:rsidRPr="00D61BD4">
              <w:rPr>
                <w:color w:val="000000" w:themeColor="text1"/>
                <w:szCs w:val="24"/>
                <w:lang w:val="en-US"/>
              </w:rPr>
              <w:t>0</w:t>
            </w:r>
          </w:p>
        </w:tc>
        <w:tc>
          <w:tcPr>
            <w:tcW w:w="1331" w:type="dxa"/>
            <w:shd w:val="clear" w:color="auto" w:fill="B4C6E7"/>
            <w:vAlign w:val="center"/>
          </w:tcPr>
          <w:p w14:paraId="3E47C73C" w14:textId="77777777" w:rsidR="006D51CF" w:rsidRPr="00D61BD4" w:rsidRDefault="006D51CF" w:rsidP="002E3B6B">
            <w:pPr>
              <w:spacing w:before="0"/>
              <w:jc w:val="center"/>
              <w:rPr>
                <w:color w:val="000000" w:themeColor="text1"/>
                <w:szCs w:val="24"/>
                <w:lang w:val="en-US"/>
              </w:rPr>
            </w:pPr>
            <w:r w:rsidRPr="00D61BD4">
              <w:rPr>
                <w:color w:val="000000" w:themeColor="text1"/>
                <w:szCs w:val="24"/>
                <w:lang w:val="en-US"/>
              </w:rPr>
              <w:t>0</w:t>
            </w:r>
          </w:p>
        </w:tc>
      </w:tr>
      <w:tr w:rsidR="006D51CF" w:rsidRPr="005E575F" w14:paraId="1C9384DB" w14:textId="77777777" w:rsidTr="00F1530C">
        <w:trPr>
          <w:trHeight w:val="441"/>
          <w:jc w:val="center"/>
        </w:trPr>
        <w:tc>
          <w:tcPr>
            <w:tcW w:w="3828" w:type="dxa"/>
            <w:shd w:val="clear" w:color="auto" w:fill="4472C4"/>
            <w:tcMar>
              <w:top w:w="0" w:type="dxa"/>
              <w:left w:w="108" w:type="dxa"/>
              <w:bottom w:w="0" w:type="dxa"/>
              <w:right w:w="108" w:type="dxa"/>
            </w:tcMar>
            <w:vAlign w:val="center"/>
            <w:hideMark/>
          </w:tcPr>
          <w:p w14:paraId="471629A6" w14:textId="2EB8B613" w:rsidR="006D51CF" w:rsidRPr="004C1106" w:rsidRDefault="006D51CF" w:rsidP="00F1530C">
            <w:pPr>
              <w:spacing w:before="0"/>
              <w:jc w:val="center"/>
              <w:rPr>
                <w:b/>
                <w:color w:val="FFFFFF" w:themeColor="background1"/>
                <w:szCs w:val="24"/>
                <w:lang w:val="es-ES"/>
              </w:rPr>
            </w:pPr>
            <w:r w:rsidRPr="004E0BA9">
              <w:rPr>
                <w:b/>
                <w:color w:val="FFFFFF" w:themeColor="background1"/>
                <w:szCs w:val="24"/>
                <w:lang w:val="es-ES"/>
              </w:rPr>
              <w:t>Otros manuales (copias impresas vendidas</w:t>
            </w:r>
            <w:r w:rsidRPr="004C1106">
              <w:rPr>
                <w:b/>
                <w:color w:val="FFFFFF" w:themeColor="background1"/>
                <w:szCs w:val="24"/>
                <w:lang w:val="es-ES"/>
              </w:rPr>
              <w:t>)</w:t>
            </w:r>
          </w:p>
        </w:tc>
        <w:tc>
          <w:tcPr>
            <w:tcW w:w="1482" w:type="dxa"/>
            <w:shd w:val="clear" w:color="auto" w:fill="D9E2F3"/>
            <w:vAlign w:val="center"/>
          </w:tcPr>
          <w:p w14:paraId="3848A60A" w14:textId="77777777" w:rsidR="006D51CF" w:rsidRPr="00D61BD4" w:rsidRDefault="006D51CF" w:rsidP="002E3B6B">
            <w:pPr>
              <w:spacing w:before="0"/>
              <w:jc w:val="center"/>
              <w:rPr>
                <w:color w:val="000000" w:themeColor="text1"/>
                <w:szCs w:val="24"/>
                <w:lang w:val="en-US"/>
              </w:rPr>
            </w:pPr>
            <w:r w:rsidRPr="00D61BD4">
              <w:rPr>
                <w:color w:val="000000" w:themeColor="text1"/>
                <w:szCs w:val="24"/>
                <w:lang w:val="en-US"/>
              </w:rPr>
              <w:t>4</w:t>
            </w:r>
          </w:p>
        </w:tc>
        <w:tc>
          <w:tcPr>
            <w:tcW w:w="1335" w:type="dxa"/>
            <w:shd w:val="clear" w:color="auto" w:fill="D9E2F3"/>
            <w:vAlign w:val="center"/>
          </w:tcPr>
          <w:p w14:paraId="56169437" w14:textId="77777777" w:rsidR="006D51CF" w:rsidRPr="00D61BD4" w:rsidRDefault="006D51CF" w:rsidP="002E3B6B">
            <w:pPr>
              <w:spacing w:before="0"/>
              <w:jc w:val="center"/>
              <w:rPr>
                <w:color w:val="000000" w:themeColor="text1"/>
                <w:szCs w:val="24"/>
                <w:lang w:val="en-US"/>
              </w:rPr>
            </w:pPr>
            <w:r w:rsidRPr="00D61BD4">
              <w:rPr>
                <w:color w:val="000000" w:themeColor="text1"/>
                <w:szCs w:val="24"/>
                <w:lang w:val="en-US"/>
              </w:rPr>
              <w:t>-</w:t>
            </w:r>
          </w:p>
        </w:tc>
        <w:tc>
          <w:tcPr>
            <w:tcW w:w="1331" w:type="dxa"/>
            <w:shd w:val="clear" w:color="auto" w:fill="D9E2F3"/>
            <w:vAlign w:val="center"/>
          </w:tcPr>
          <w:p w14:paraId="3B40DFDE" w14:textId="77777777" w:rsidR="006D51CF" w:rsidRPr="00D61BD4" w:rsidRDefault="006D51CF" w:rsidP="002E3B6B">
            <w:pPr>
              <w:spacing w:before="0"/>
              <w:jc w:val="center"/>
              <w:rPr>
                <w:color w:val="000000" w:themeColor="text1"/>
                <w:szCs w:val="24"/>
                <w:lang w:val="en-US"/>
              </w:rPr>
            </w:pPr>
            <w:r w:rsidRPr="00D61BD4">
              <w:rPr>
                <w:color w:val="000000" w:themeColor="text1"/>
                <w:szCs w:val="24"/>
                <w:lang w:val="en-US"/>
              </w:rPr>
              <w:t>0</w:t>
            </w:r>
          </w:p>
        </w:tc>
        <w:tc>
          <w:tcPr>
            <w:tcW w:w="1331" w:type="dxa"/>
            <w:shd w:val="clear" w:color="auto" w:fill="D9E2F3"/>
            <w:vAlign w:val="center"/>
          </w:tcPr>
          <w:p w14:paraId="42D911FA" w14:textId="77777777" w:rsidR="006D51CF" w:rsidRPr="00D61BD4" w:rsidRDefault="006D51CF" w:rsidP="002E3B6B">
            <w:pPr>
              <w:spacing w:before="0"/>
              <w:jc w:val="center"/>
              <w:rPr>
                <w:color w:val="000000" w:themeColor="text1"/>
                <w:szCs w:val="24"/>
                <w:lang w:val="en-US"/>
              </w:rPr>
            </w:pPr>
            <w:r w:rsidRPr="00D61BD4">
              <w:rPr>
                <w:color w:val="000000" w:themeColor="text1"/>
                <w:szCs w:val="24"/>
                <w:lang w:val="en-US"/>
              </w:rPr>
              <w:t>0</w:t>
            </w:r>
          </w:p>
        </w:tc>
      </w:tr>
      <w:tr w:rsidR="006D51CF" w:rsidRPr="005E575F" w14:paraId="68E8AC93" w14:textId="77777777" w:rsidTr="00F1530C">
        <w:trPr>
          <w:trHeight w:val="248"/>
          <w:jc w:val="center"/>
        </w:trPr>
        <w:tc>
          <w:tcPr>
            <w:tcW w:w="3828" w:type="dxa"/>
            <w:shd w:val="clear" w:color="auto" w:fill="4472C4"/>
            <w:tcMar>
              <w:top w:w="0" w:type="dxa"/>
              <w:left w:w="108" w:type="dxa"/>
              <w:bottom w:w="0" w:type="dxa"/>
              <w:right w:w="108" w:type="dxa"/>
            </w:tcMar>
            <w:vAlign w:val="center"/>
            <w:hideMark/>
          </w:tcPr>
          <w:p w14:paraId="625C81A6" w14:textId="77777777" w:rsidR="006D51CF" w:rsidRPr="00D61BD4" w:rsidRDefault="006D51CF" w:rsidP="002E3B6B">
            <w:pPr>
              <w:spacing w:before="0"/>
              <w:jc w:val="center"/>
              <w:rPr>
                <w:b/>
                <w:color w:val="FFFFFF" w:themeColor="background1"/>
                <w:szCs w:val="24"/>
              </w:rPr>
            </w:pPr>
            <w:r>
              <w:rPr>
                <w:b/>
                <w:bCs/>
                <w:color w:val="FFFFFF" w:themeColor="background1"/>
                <w:szCs w:val="24"/>
              </w:rPr>
              <w:t>Total</w:t>
            </w:r>
          </w:p>
        </w:tc>
        <w:tc>
          <w:tcPr>
            <w:tcW w:w="1482" w:type="dxa"/>
            <w:shd w:val="clear" w:color="auto" w:fill="B4C6E7"/>
            <w:vAlign w:val="center"/>
          </w:tcPr>
          <w:p w14:paraId="11E6B112" w14:textId="77777777" w:rsidR="006D51CF" w:rsidRPr="00D61BD4" w:rsidRDefault="006D51CF" w:rsidP="002E3B6B">
            <w:pPr>
              <w:spacing w:before="0"/>
              <w:jc w:val="center"/>
              <w:rPr>
                <w:b/>
                <w:color w:val="000000" w:themeColor="text1"/>
                <w:szCs w:val="24"/>
                <w:lang w:val="en-US"/>
              </w:rPr>
            </w:pPr>
            <w:r w:rsidRPr="00D61BD4">
              <w:rPr>
                <w:b/>
                <w:color w:val="000000" w:themeColor="text1"/>
                <w:szCs w:val="24"/>
                <w:lang w:val="en-US"/>
              </w:rPr>
              <w:t>4</w:t>
            </w:r>
          </w:p>
        </w:tc>
        <w:tc>
          <w:tcPr>
            <w:tcW w:w="1335" w:type="dxa"/>
            <w:shd w:val="clear" w:color="auto" w:fill="B4C6E7"/>
            <w:vAlign w:val="center"/>
          </w:tcPr>
          <w:p w14:paraId="5A23CB5D" w14:textId="77777777" w:rsidR="006D51CF" w:rsidRPr="00D61BD4" w:rsidRDefault="006D51CF" w:rsidP="002E3B6B">
            <w:pPr>
              <w:spacing w:before="0"/>
              <w:jc w:val="center"/>
              <w:rPr>
                <w:b/>
                <w:color w:val="000000" w:themeColor="text1"/>
                <w:szCs w:val="24"/>
                <w:lang w:val="en-US"/>
              </w:rPr>
            </w:pPr>
            <w:r w:rsidRPr="00D61BD4">
              <w:rPr>
                <w:b/>
                <w:color w:val="000000" w:themeColor="text1"/>
                <w:szCs w:val="24"/>
                <w:lang w:val="en-US"/>
              </w:rPr>
              <w:t>-</w:t>
            </w:r>
          </w:p>
        </w:tc>
        <w:tc>
          <w:tcPr>
            <w:tcW w:w="1331" w:type="dxa"/>
            <w:shd w:val="clear" w:color="auto" w:fill="B4C6E7"/>
            <w:vAlign w:val="center"/>
          </w:tcPr>
          <w:p w14:paraId="2A3DA819" w14:textId="77777777" w:rsidR="006D51CF" w:rsidRPr="00D61BD4" w:rsidRDefault="006D51CF" w:rsidP="002E3B6B">
            <w:pPr>
              <w:spacing w:before="0"/>
              <w:jc w:val="center"/>
              <w:rPr>
                <w:b/>
                <w:color w:val="000000" w:themeColor="text1"/>
                <w:szCs w:val="24"/>
                <w:lang w:val="en-US"/>
              </w:rPr>
            </w:pPr>
            <w:r w:rsidRPr="00D61BD4">
              <w:rPr>
                <w:b/>
                <w:color w:val="000000" w:themeColor="text1"/>
                <w:szCs w:val="24"/>
                <w:lang w:val="en-US"/>
              </w:rPr>
              <w:t>0</w:t>
            </w:r>
          </w:p>
        </w:tc>
        <w:tc>
          <w:tcPr>
            <w:tcW w:w="1331" w:type="dxa"/>
            <w:shd w:val="clear" w:color="auto" w:fill="B4C6E7"/>
            <w:vAlign w:val="center"/>
          </w:tcPr>
          <w:p w14:paraId="1A667D7C" w14:textId="77777777" w:rsidR="006D51CF" w:rsidRPr="00D61BD4" w:rsidRDefault="006D51CF" w:rsidP="002E3B6B">
            <w:pPr>
              <w:spacing w:before="0"/>
              <w:jc w:val="center"/>
              <w:rPr>
                <w:b/>
                <w:color w:val="000000" w:themeColor="text1"/>
                <w:szCs w:val="24"/>
                <w:lang w:val="en-US"/>
              </w:rPr>
            </w:pPr>
            <w:r w:rsidRPr="00D61BD4">
              <w:rPr>
                <w:b/>
                <w:color w:val="000000" w:themeColor="text1"/>
                <w:szCs w:val="24"/>
                <w:lang w:val="en-US"/>
              </w:rPr>
              <w:t>0</w:t>
            </w:r>
          </w:p>
        </w:tc>
      </w:tr>
      <w:tr w:rsidR="006D51CF" w:rsidRPr="005E575F" w14:paraId="42109402" w14:textId="77777777" w:rsidTr="00F1530C">
        <w:trPr>
          <w:trHeight w:val="248"/>
          <w:jc w:val="center"/>
        </w:trPr>
        <w:tc>
          <w:tcPr>
            <w:tcW w:w="3828" w:type="dxa"/>
            <w:shd w:val="clear" w:color="auto" w:fill="4472C4"/>
            <w:tcMar>
              <w:top w:w="0" w:type="dxa"/>
              <w:left w:w="108" w:type="dxa"/>
              <w:bottom w:w="0" w:type="dxa"/>
              <w:right w:w="108" w:type="dxa"/>
            </w:tcMar>
            <w:vAlign w:val="center"/>
          </w:tcPr>
          <w:p w14:paraId="41317BE3" w14:textId="77777777" w:rsidR="006D51CF" w:rsidRPr="00D61BD4" w:rsidRDefault="006D51CF" w:rsidP="002E3B6B">
            <w:pPr>
              <w:spacing w:before="0"/>
              <w:jc w:val="center"/>
              <w:rPr>
                <w:b/>
                <w:color w:val="FFFFFF" w:themeColor="background1"/>
                <w:szCs w:val="24"/>
              </w:rPr>
            </w:pPr>
            <w:r>
              <w:rPr>
                <w:b/>
                <w:color w:val="FFFFFF" w:themeColor="background1"/>
                <w:szCs w:val="24"/>
              </w:rPr>
              <w:t>Descargas GRATUITAS</w:t>
            </w:r>
          </w:p>
        </w:tc>
        <w:tc>
          <w:tcPr>
            <w:tcW w:w="1482" w:type="dxa"/>
            <w:shd w:val="clear" w:color="auto" w:fill="B4C6E7"/>
            <w:vAlign w:val="center"/>
          </w:tcPr>
          <w:p w14:paraId="226A904E" w14:textId="641F55AD" w:rsidR="006D51CF" w:rsidRPr="00D61BD4" w:rsidRDefault="006D51CF" w:rsidP="002E3B6B">
            <w:pPr>
              <w:spacing w:before="0"/>
              <w:jc w:val="center"/>
              <w:rPr>
                <w:b/>
                <w:szCs w:val="24"/>
              </w:rPr>
            </w:pPr>
            <w:r w:rsidRPr="00D61BD4">
              <w:rPr>
                <w:b/>
                <w:szCs w:val="24"/>
              </w:rPr>
              <w:t>134</w:t>
            </w:r>
            <w:r w:rsidR="00F1530C">
              <w:rPr>
                <w:b/>
                <w:szCs w:val="24"/>
              </w:rPr>
              <w:t> </w:t>
            </w:r>
            <w:r w:rsidRPr="00D61BD4">
              <w:rPr>
                <w:b/>
                <w:szCs w:val="24"/>
              </w:rPr>
              <w:t>159</w:t>
            </w:r>
          </w:p>
        </w:tc>
        <w:tc>
          <w:tcPr>
            <w:tcW w:w="1335" w:type="dxa"/>
            <w:shd w:val="clear" w:color="auto" w:fill="B4C6E7"/>
            <w:vAlign w:val="center"/>
          </w:tcPr>
          <w:p w14:paraId="6D2EB5D5" w14:textId="2126BA33" w:rsidR="006D51CF" w:rsidRPr="00D61BD4" w:rsidRDefault="006D51CF" w:rsidP="002E3B6B">
            <w:pPr>
              <w:spacing w:before="0"/>
              <w:jc w:val="center"/>
              <w:rPr>
                <w:b/>
                <w:szCs w:val="24"/>
              </w:rPr>
            </w:pPr>
            <w:r w:rsidRPr="00D61BD4">
              <w:rPr>
                <w:b/>
                <w:szCs w:val="24"/>
              </w:rPr>
              <w:t>143</w:t>
            </w:r>
            <w:r w:rsidR="00F1530C">
              <w:rPr>
                <w:b/>
                <w:szCs w:val="24"/>
              </w:rPr>
              <w:t> </w:t>
            </w:r>
            <w:r w:rsidRPr="00D61BD4">
              <w:rPr>
                <w:b/>
                <w:szCs w:val="24"/>
              </w:rPr>
              <w:t>478</w:t>
            </w:r>
          </w:p>
        </w:tc>
        <w:tc>
          <w:tcPr>
            <w:tcW w:w="1331" w:type="dxa"/>
            <w:shd w:val="clear" w:color="auto" w:fill="B4C6E7"/>
            <w:vAlign w:val="center"/>
          </w:tcPr>
          <w:p w14:paraId="3402A0BE" w14:textId="65C1F3AB" w:rsidR="006D51CF" w:rsidRPr="00D61BD4" w:rsidRDefault="006D51CF" w:rsidP="002E3B6B">
            <w:pPr>
              <w:spacing w:before="0"/>
              <w:jc w:val="center"/>
              <w:rPr>
                <w:b/>
                <w:szCs w:val="24"/>
              </w:rPr>
            </w:pPr>
            <w:r w:rsidRPr="00D61BD4">
              <w:rPr>
                <w:b/>
                <w:szCs w:val="24"/>
              </w:rPr>
              <w:t>97</w:t>
            </w:r>
            <w:r w:rsidR="00F1530C">
              <w:rPr>
                <w:b/>
                <w:szCs w:val="24"/>
              </w:rPr>
              <w:t> </w:t>
            </w:r>
            <w:r w:rsidRPr="00D61BD4">
              <w:rPr>
                <w:b/>
                <w:szCs w:val="24"/>
              </w:rPr>
              <w:t>290</w:t>
            </w:r>
          </w:p>
        </w:tc>
        <w:tc>
          <w:tcPr>
            <w:tcW w:w="1331" w:type="dxa"/>
            <w:shd w:val="clear" w:color="auto" w:fill="B4C6E7"/>
          </w:tcPr>
          <w:p w14:paraId="63DD764F" w14:textId="5CADC95A" w:rsidR="006D51CF" w:rsidRPr="00D61BD4" w:rsidRDefault="006D51CF" w:rsidP="002E3B6B">
            <w:pPr>
              <w:spacing w:before="0" w:line="259" w:lineRule="auto"/>
              <w:jc w:val="center"/>
            </w:pPr>
            <w:r w:rsidRPr="6CC80CD3">
              <w:rPr>
                <w:b/>
                <w:bCs/>
              </w:rPr>
              <w:t>98</w:t>
            </w:r>
            <w:r w:rsidR="00F1530C">
              <w:rPr>
                <w:b/>
                <w:bCs/>
              </w:rPr>
              <w:t> </w:t>
            </w:r>
            <w:r w:rsidRPr="6CC80CD3">
              <w:rPr>
                <w:b/>
                <w:bCs/>
              </w:rPr>
              <w:t>944</w:t>
            </w:r>
          </w:p>
        </w:tc>
      </w:tr>
    </w:tbl>
    <w:p w14:paraId="110AEC5E" w14:textId="77777777" w:rsidR="006D51CF" w:rsidRPr="00AA6DB2" w:rsidRDefault="006D51CF" w:rsidP="00F1530C">
      <w:pPr>
        <w:pStyle w:val="Heading4"/>
      </w:pPr>
      <w:r w:rsidRPr="00AA6DB2">
        <w:t>8.1.4.5</w:t>
      </w:r>
      <w:r>
        <w:tab/>
      </w:r>
      <w:r w:rsidRPr="00AA6DB2">
        <w:t xml:space="preserve"> </w:t>
      </w:r>
      <w:r>
        <w:t>Manual Marítimo</w:t>
      </w:r>
    </w:p>
    <w:p w14:paraId="6B1A8B3E" w14:textId="1C45F3A2" w:rsidR="006D51CF" w:rsidRPr="004E0BA9" w:rsidRDefault="006D51CF" w:rsidP="006D51CF">
      <w:pPr>
        <w:rPr>
          <w:lang w:val="es-ES"/>
        </w:rPr>
      </w:pPr>
      <w:r w:rsidRPr="004E0BA9">
        <w:rPr>
          <w:lang w:val="es-ES"/>
        </w:rPr>
        <w:t>En el Cuadro 8.1.4.5-1 se indica el número de envíos de las e</w:t>
      </w:r>
      <w:r>
        <w:rPr>
          <w:lang w:val="es-ES"/>
        </w:rPr>
        <w:t xml:space="preserve">diciones de 2020 y 2024 del Manual Marítimo (MM). </w:t>
      </w:r>
      <w:r w:rsidRPr="004E0BA9">
        <w:rPr>
          <w:lang w:val="es-ES"/>
        </w:rPr>
        <w:t xml:space="preserve">La edición de 2024, publicada en diciembre de 2024, está </w:t>
      </w:r>
      <w:r>
        <w:rPr>
          <w:lang w:val="es-ES"/>
        </w:rPr>
        <w:t>a la venta en formato</w:t>
      </w:r>
      <w:r w:rsidRPr="004E0BA9">
        <w:rPr>
          <w:lang w:val="es-ES"/>
        </w:rPr>
        <w:t xml:space="preserve"> CD</w:t>
      </w:r>
      <w:r w:rsidR="00F1530C">
        <w:rPr>
          <w:lang w:val="es-ES"/>
        </w:rPr>
        <w:noBreakHyphen/>
      </w:r>
      <w:r w:rsidRPr="004E0BA9">
        <w:rPr>
          <w:lang w:val="es-ES"/>
        </w:rPr>
        <w:t xml:space="preserve">ROM, USB, digital </w:t>
      </w:r>
      <w:r>
        <w:rPr>
          <w:lang w:val="es-ES"/>
        </w:rPr>
        <w:t>o impreso</w:t>
      </w:r>
      <w:r w:rsidRPr="004E0BA9">
        <w:rPr>
          <w:lang w:val="es-ES"/>
        </w:rPr>
        <w:t xml:space="preserve">. </w:t>
      </w:r>
    </w:p>
    <w:p w14:paraId="745CB318" w14:textId="77777777" w:rsidR="006D51CF" w:rsidRPr="00146FC3" w:rsidRDefault="006D51CF" w:rsidP="006D51CF">
      <w:pPr>
        <w:pStyle w:val="TableNo"/>
      </w:pPr>
      <w:r>
        <w:rPr>
          <w:lang w:val="es-ES"/>
        </w:rPr>
        <w:lastRenderedPageBreak/>
        <w:t>CUADRO</w:t>
      </w:r>
      <w:r w:rsidRPr="00146FC3">
        <w:t xml:space="preserve"> 8.1.4.5-1</w:t>
      </w:r>
    </w:p>
    <w:p w14:paraId="234F9D60" w14:textId="77777777" w:rsidR="006D51CF" w:rsidRPr="00440902" w:rsidRDefault="006D51CF" w:rsidP="00FD250D">
      <w:pPr>
        <w:pStyle w:val="Tabletitle"/>
        <w:keepNext w:val="0"/>
        <w:keepLines w:val="0"/>
        <w:rPr>
          <w:b w:val="0"/>
          <w:bCs/>
          <w:sz w:val="24"/>
          <w:szCs w:val="24"/>
        </w:rPr>
      </w:pPr>
      <w:r w:rsidRPr="00440902">
        <w:rPr>
          <w:bCs/>
          <w:sz w:val="24"/>
          <w:szCs w:val="24"/>
        </w:rPr>
        <w:t>Manual Marítimo</w:t>
      </w:r>
    </w:p>
    <w:tbl>
      <w:tblPr>
        <w:tblStyle w:val="GridTable5Dark-Accent12"/>
        <w:tblW w:w="0" w:type="auto"/>
        <w:jc w:val="center"/>
        <w:tblLayout w:type="fixed"/>
        <w:tblLook w:val="04A0" w:firstRow="1" w:lastRow="0" w:firstColumn="1" w:lastColumn="0" w:noHBand="0" w:noVBand="1"/>
      </w:tblPr>
      <w:tblGrid>
        <w:gridCol w:w="1588"/>
        <w:gridCol w:w="1340"/>
        <w:gridCol w:w="1305"/>
        <w:gridCol w:w="2319"/>
        <w:gridCol w:w="2319"/>
      </w:tblGrid>
      <w:tr w:rsidR="006D51CF" w:rsidRPr="009E340B" w14:paraId="65CA23F2" w14:textId="77777777" w:rsidTr="00431831">
        <w:trPr>
          <w:cnfStyle w:val="100000000000" w:firstRow="1" w:lastRow="0" w:firstColumn="0" w:lastColumn="0" w:oddVBand="0" w:evenVBand="0" w:oddHBand="0" w:evenHBand="0" w:firstRowFirstColumn="0" w:firstRowLastColumn="0" w:lastRowFirstColumn="0" w:lastRowLastColumn="0"/>
          <w:trHeight w:val="601"/>
          <w:jc w:val="center"/>
        </w:trPr>
        <w:tc>
          <w:tcPr>
            <w:cnfStyle w:val="001000000000" w:firstRow="0" w:lastRow="0" w:firstColumn="1" w:lastColumn="0" w:oddVBand="0" w:evenVBand="0" w:oddHBand="0" w:evenHBand="0" w:firstRowFirstColumn="0" w:firstRowLastColumn="0" w:lastRowFirstColumn="0" w:lastRowLastColumn="0"/>
            <w:tcW w:w="1588" w:type="dxa"/>
            <w:tcBorders>
              <w:top w:val="single" w:sz="8" w:space="0" w:color="FFFFFF"/>
              <w:left w:val="single" w:sz="8" w:space="0" w:color="FFFFFF"/>
              <w:bottom w:val="single" w:sz="8" w:space="0" w:color="FFFFFF"/>
            </w:tcBorders>
            <w:tcMar>
              <w:left w:w="108" w:type="dxa"/>
              <w:right w:w="108" w:type="dxa"/>
            </w:tcMar>
          </w:tcPr>
          <w:p w14:paraId="405536E1" w14:textId="77777777" w:rsidR="006D51CF" w:rsidRPr="009E340B" w:rsidRDefault="006D51CF" w:rsidP="002E3B6B">
            <w:pPr>
              <w:spacing w:before="0"/>
              <w:rPr>
                <w:sz w:val="20"/>
                <w:lang w:val="en-US"/>
              </w:rPr>
            </w:pPr>
          </w:p>
        </w:tc>
        <w:tc>
          <w:tcPr>
            <w:tcW w:w="1340" w:type="dxa"/>
            <w:tcBorders>
              <w:top w:val="single" w:sz="8" w:space="0" w:color="FFFFFF"/>
              <w:bottom w:val="single" w:sz="8" w:space="0" w:color="FFFFFF"/>
            </w:tcBorders>
            <w:tcMar>
              <w:left w:w="108" w:type="dxa"/>
              <w:right w:w="108" w:type="dxa"/>
            </w:tcMar>
          </w:tcPr>
          <w:p w14:paraId="202728C3" w14:textId="77777777" w:rsidR="006D51CF" w:rsidRPr="009E340B" w:rsidRDefault="006D51CF" w:rsidP="00F1530C">
            <w:pPr>
              <w:spacing w:before="0" w:after="120"/>
              <w:jc w:val="center"/>
              <w:cnfStyle w:val="100000000000" w:firstRow="1" w:lastRow="0" w:firstColumn="0" w:lastColumn="0" w:oddVBand="0" w:evenVBand="0" w:oddHBand="0" w:evenHBand="0" w:firstRowFirstColumn="0" w:firstRowLastColumn="0" w:lastRowFirstColumn="0" w:lastRowLastColumn="0"/>
              <w:rPr>
                <w:sz w:val="20"/>
                <w:lang w:val="en-US"/>
              </w:rPr>
            </w:pPr>
            <w:r w:rsidRPr="009E340B">
              <w:rPr>
                <w:sz w:val="20"/>
                <w:lang w:val="en-US"/>
              </w:rPr>
              <w:t>2022</w:t>
            </w:r>
            <w:r w:rsidRPr="009E340B">
              <w:rPr>
                <w:sz w:val="20"/>
                <w:lang w:val="en-US"/>
              </w:rPr>
              <w:br/>
              <w:t>MM-20</w:t>
            </w:r>
          </w:p>
        </w:tc>
        <w:tc>
          <w:tcPr>
            <w:tcW w:w="1305" w:type="dxa"/>
            <w:tcBorders>
              <w:top w:val="single" w:sz="8" w:space="0" w:color="FFFFFF"/>
              <w:bottom w:val="single" w:sz="8" w:space="0" w:color="FFFFFF"/>
            </w:tcBorders>
            <w:tcMar>
              <w:left w:w="108" w:type="dxa"/>
              <w:right w:w="108" w:type="dxa"/>
            </w:tcMar>
          </w:tcPr>
          <w:p w14:paraId="19537E35" w14:textId="42A05542" w:rsidR="006D51CF" w:rsidRPr="009E340B" w:rsidRDefault="006D51CF" w:rsidP="00F1530C">
            <w:pPr>
              <w:spacing w:before="0" w:after="120"/>
              <w:jc w:val="center"/>
              <w:cnfStyle w:val="100000000000" w:firstRow="1" w:lastRow="0" w:firstColumn="0" w:lastColumn="0" w:oddVBand="0" w:evenVBand="0" w:oddHBand="0" w:evenHBand="0" w:firstRowFirstColumn="0" w:firstRowLastColumn="0" w:lastRowFirstColumn="0" w:lastRowLastColumn="0"/>
              <w:rPr>
                <w:sz w:val="20"/>
                <w:lang w:val="en-US"/>
              </w:rPr>
            </w:pPr>
            <w:r w:rsidRPr="009E340B">
              <w:rPr>
                <w:sz w:val="20"/>
                <w:lang w:val="en-US"/>
              </w:rPr>
              <w:t>2023</w:t>
            </w:r>
            <w:r w:rsidRPr="009E340B">
              <w:rPr>
                <w:sz w:val="20"/>
                <w:lang w:val="en-US"/>
              </w:rPr>
              <w:br/>
              <w:t>MM-20</w:t>
            </w:r>
          </w:p>
        </w:tc>
        <w:tc>
          <w:tcPr>
            <w:tcW w:w="2319" w:type="dxa"/>
            <w:tcBorders>
              <w:top w:val="single" w:sz="8" w:space="0" w:color="FFFFFF"/>
              <w:bottom w:val="single" w:sz="8" w:space="0" w:color="FFFFFF"/>
              <w:right w:val="single" w:sz="8" w:space="0" w:color="FFFFFF"/>
            </w:tcBorders>
            <w:tcMar>
              <w:left w:w="108" w:type="dxa"/>
              <w:right w:w="108" w:type="dxa"/>
            </w:tcMar>
          </w:tcPr>
          <w:p w14:paraId="331D8807" w14:textId="77777777" w:rsidR="006D51CF" w:rsidRPr="009E340B" w:rsidRDefault="006D51CF" w:rsidP="00F1530C">
            <w:pPr>
              <w:spacing w:before="0" w:after="120"/>
              <w:jc w:val="center"/>
              <w:cnfStyle w:val="100000000000" w:firstRow="1" w:lastRow="0" w:firstColumn="0" w:lastColumn="0" w:oddVBand="0" w:evenVBand="0" w:oddHBand="0" w:evenHBand="0" w:firstRowFirstColumn="0" w:firstRowLastColumn="0" w:lastRowFirstColumn="0" w:lastRowLastColumn="0"/>
              <w:rPr>
                <w:sz w:val="20"/>
                <w:lang w:val="en-US"/>
              </w:rPr>
            </w:pPr>
            <w:r w:rsidRPr="009E340B">
              <w:rPr>
                <w:sz w:val="20"/>
                <w:lang w:val="en-US"/>
              </w:rPr>
              <w:t>2024</w:t>
            </w:r>
            <w:r w:rsidRPr="009E340B">
              <w:rPr>
                <w:sz w:val="20"/>
                <w:lang w:val="en-US"/>
              </w:rPr>
              <w:br/>
              <w:t>Edi</w:t>
            </w:r>
            <w:r>
              <w:rPr>
                <w:sz w:val="20"/>
                <w:lang w:val="en-US"/>
              </w:rPr>
              <w:t>ción</w:t>
            </w:r>
            <w:r w:rsidRPr="009E340B">
              <w:rPr>
                <w:sz w:val="20"/>
                <w:lang w:val="en-US"/>
              </w:rPr>
              <w:t xml:space="preserve"> 20</w:t>
            </w:r>
            <w:r>
              <w:rPr>
                <w:sz w:val="20"/>
                <w:lang w:val="en-US"/>
              </w:rPr>
              <w:t>20</w:t>
            </w:r>
            <w:r w:rsidRPr="009E340B">
              <w:rPr>
                <w:sz w:val="20"/>
                <w:lang w:val="en-US"/>
              </w:rPr>
              <w:t xml:space="preserve"> </w:t>
            </w:r>
            <w:r>
              <w:rPr>
                <w:sz w:val="20"/>
                <w:lang w:val="en-US"/>
              </w:rPr>
              <w:t>y</w:t>
            </w:r>
            <w:r w:rsidRPr="009E340B">
              <w:rPr>
                <w:sz w:val="20"/>
                <w:lang w:val="en-US"/>
              </w:rPr>
              <w:t xml:space="preserve"> </w:t>
            </w:r>
            <w:r>
              <w:rPr>
                <w:sz w:val="20"/>
                <w:lang w:val="en-US"/>
              </w:rPr>
              <w:t>20</w:t>
            </w:r>
            <w:r w:rsidRPr="009E340B">
              <w:rPr>
                <w:sz w:val="20"/>
                <w:lang w:val="en-US"/>
              </w:rPr>
              <w:t>24</w:t>
            </w:r>
          </w:p>
        </w:tc>
        <w:tc>
          <w:tcPr>
            <w:tcW w:w="2319" w:type="dxa"/>
            <w:tcBorders>
              <w:top w:val="single" w:sz="8" w:space="0" w:color="FFFFFF"/>
              <w:bottom w:val="single" w:sz="8" w:space="0" w:color="FFFFFF"/>
              <w:right w:val="single" w:sz="8" w:space="0" w:color="FFFFFF"/>
            </w:tcBorders>
          </w:tcPr>
          <w:p w14:paraId="0EF8470B" w14:textId="77777777" w:rsidR="006D51CF" w:rsidRPr="009E340B" w:rsidRDefault="006D51CF" w:rsidP="00F1530C">
            <w:pPr>
              <w:spacing w:before="0" w:after="120"/>
              <w:jc w:val="center"/>
              <w:cnfStyle w:val="100000000000" w:firstRow="1" w:lastRow="0" w:firstColumn="0" w:lastColumn="0" w:oddVBand="0" w:evenVBand="0" w:oddHBand="0" w:evenHBand="0" w:firstRowFirstColumn="0" w:firstRowLastColumn="0" w:lastRowFirstColumn="0" w:lastRowLastColumn="0"/>
              <w:rPr>
                <w:b w:val="0"/>
                <w:sz w:val="20"/>
                <w:lang w:val="en-US"/>
              </w:rPr>
            </w:pPr>
            <w:r w:rsidRPr="0061346D">
              <w:rPr>
                <w:sz w:val="20"/>
                <w:lang w:val="en-US"/>
              </w:rPr>
              <w:t>2025</w:t>
            </w:r>
            <w:r>
              <w:rPr>
                <w:sz w:val="20"/>
                <w:lang w:val="en-US"/>
              </w:rPr>
              <w:br/>
            </w:r>
            <w:r w:rsidRPr="0061346D">
              <w:rPr>
                <w:sz w:val="20"/>
                <w:lang w:val="en-US"/>
              </w:rPr>
              <w:t>MM-24</w:t>
            </w:r>
          </w:p>
        </w:tc>
      </w:tr>
      <w:tr w:rsidR="006D51CF" w:rsidRPr="009E340B" w14:paraId="2B7883F0" w14:textId="77777777" w:rsidTr="0043183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88"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16D1E889" w14:textId="77777777" w:rsidR="006D51CF" w:rsidRPr="009E340B" w:rsidRDefault="006D51CF" w:rsidP="002E3B6B">
            <w:pPr>
              <w:spacing w:before="0" w:after="120"/>
              <w:rPr>
                <w:sz w:val="20"/>
                <w:lang w:val="en-US"/>
              </w:rPr>
            </w:pPr>
            <w:r>
              <w:rPr>
                <w:sz w:val="20"/>
                <w:lang w:val="en-US"/>
              </w:rPr>
              <w:t>Copias impresas vendidas</w:t>
            </w:r>
          </w:p>
        </w:tc>
        <w:tc>
          <w:tcPr>
            <w:tcW w:w="1340"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0DD29FA5" w14:textId="77777777" w:rsidR="006D51CF" w:rsidRPr="009E340B" w:rsidRDefault="006D51CF" w:rsidP="00F1530C">
            <w:pPr>
              <w:spacing w:before="0"/>
              <w:jc w:val="center"/>
              <w:cnfStyle w:val="000000100000" w:firstRow="0" w:lastRow="0" w:firstColumn="0" w:lastColumn="0" w:oddVBand="0" w:evenVBand="0" w:oddHBand="1" w:evenHBand="0" w:firstRowFirstColumn="0" w:firstRowLastColumn="0" w:lastRowFirstColumn="0" w:lastRowLastColumn="0"/>
              <w:rPr>
                <w:color w:val="000000"/>
                <w:sz w:val="20"/>
                <w:lang w:val="en-US"/>
              </w:rPr>
            </w:pPr>
            <w:r w:rsidRPr="009E340B">
              <w:rPr>
                <w:color w:val="000000"/>
                <w:sz w:val="20"/>
                <w:lang w:val="en-US"/>
              </w:rPr>
              <w:t>189</w:t>
            </w:r>
          </w:p>
        </w:tc>
        <w:tc>
          <w:tcPr>
            <w:tcW w:w="1305"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6443488B" w14:textId="77777777" w:rsidR="006D51CF" w:rsidRPr="009E340B" w:rsidRDefault="006D51CF" w:rsidP="00F1530C">
            <w:pPr>
              <w:spacing w:before="0"/>
              <w:jc w:val="center"/>
              <w:cnfStyle w:val="000000100000" w:firstRow="0" w:lastRow="0" w:firstColumn="0" w:lastColumn="0" w:oddVBand="0" w:evenVBand="0" w:oddHBand="1" w:evenHBand="0" w:firstRowFirstColumn="0" w:firstRowLastColumn="0" w:lastRowFirstColumn="0" w:lastRowLastColumn="0"/>
              <w:rPr>
                <w:color w:val="000000"/>
                <w:sz w:val="20"/>
                <w:lang w:val="en-US"/>
              </w:rPr>
            </w:pPr>
            <w:r w:rsidRPr="009E340B">
              <w:rPr>
                <w:color w:val="000000"/>
                <w:sz w:val="20"/>
                <w:lang w:val="en-US"/>
              </w:rPr>
              <w:t>73</w:t>
            </w:r>
          </w:p>
        </w:tc>
        <w:tc>
          <w:tcPr>
            <w:tcW w:w="2319"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0442E0E7" w14:textId="77777777" w:rsidR="006D51CF" w:rsidRPr="009E340B" w:rsidRDefault="006D51CF" w:rsidP="00F1530C">
            <w:pPr>
              <w:spacing w:before="0"/>
              <w:jc w:val="center"/>
              <w:cnfStyle w:val="000000100000" w:firstRow="0" w:lastRow="0" w:firstColumn="0" w:lastColumn="0" w:oddVBand="0" w:evenVBand="0" w:oddHBand="1" w:evenHBand="0" w:firstRowFirstColumn="0" w:firstRowLastColumn="0" w:lastRowFirstColumn="0" w:lastRowLastColumn="0"/>
              <w:rPr>
                <w:color w:val="000000"/>
                <w:sz w:val="20"/>
                <w:lang w:val="en-US"/>
              </w:rPr>
            </w:pPr>
            <w:r w:rsidRPr="009E340B">
              <w:rPr>
                <w:color w:val="000000"/>
                <w:sz w:val="20"/>
                <w:lang w:val="en-US"/>
              </w:rPr>
              <w:t>2020:64</w:t>
            </w:r>
          </w:p>
          <w:p w14:paraId="14BAC0AF" w14:textId="77777777" w:rsidR="006D51CF" w:rsidRPr="009E340B" w:rsidRDefault="006D51CF" w:rsidP="00F1530C">
            <w:pPr>
              <w:spacing w:before="0"/>
              <w:jc w:val="center"/>
              <w:cnfStyle w:val="000000100000" w:firstRow="0" w:lastRow="0" w:firstColumn="0" w:lastColumn="0" w:oddVBand="0" w:evenVBand="0" w:oddHBand="1" w:evenHBand="0" w:firstRowFirstColumn="0" w:firstRowLastColumn="0" w:lastRowFirstColumn="0" w:lastRowLastColumn="0"/>
              <w:rPr>
                <w:color w:val="000000"/>
                <w:sz w:val="20"/>
                <w:lang w:val="en-US"/>
              </w:rPr>
            </w:pPr>
            <w:r w:rsidRPr="009E340B">
              <w:rPr>
                <w:color w:val="000000"/>
                <w:sz w:val="20"/>
                <w:lang w:val="en-US"/>
              </w:rPr>
              <w:t>2024:148</w:t>
            </w:r>
          </w:p>
          <w:p w14:paraId="5B7EA6FB" w14:textId="77777777" w:rsidR="006D51CF" w:rsidRPr="009E340B" w:rsidRDefault="006D51CF" w:rsidP="00F1530C">
            <w:pPr>
              <w:spacing w:before="0"/>
              <w:jc w:val="center"/>
              <w:cnfStyle w:val="000000100000" w:firstRow="0" w:lastRow="0" w:firstColumn="0" w:lastColumn="0" w:oddVBand="0" w:evenVBand="0" w:oddHBand="1" w:evenHBand="0" w:firstRowFirstColumn="0" w:firstRowLastColumn="0" w:lastRowFirstColumn="0" w:lastRowLastColumn="0"/>
              <w:rPr>
                <w:bCs/>
                <w:color w:val="000000"/>
                <w:sz w:val="20"/>
                <w:lang w:val="en-US"/>
              </w:rPr>
            </w:pPr>
            <w:r w:rsidRPr="009E340B">
              <w:rPr>
                <w:bCs/>
                <w:color w:val="000000"/>
                <w:sz w:val="20"/>
                <w:lang w:val="en-US"/>
              </w:rPr>
              <w:t>Total: 212</w:t>
            </w:r>
          </w:p>
        </w:tc>
        <w:tc>
          <w:tcPr>
            <w:tcW w:w="2319" w:type="dxa"/>
            <w:tcBorders>
              <w:top w:val="single" w:sz="8" w:space="0" w:color="FFFFFF"/>
              <w:left w:val="single" w:sz="8" w:space="0" w:color="FFFFFF"/>
              <w:bottom w:val="single" w:sz="8" w:space="0" w:color="FFFFFF"/>
              <w:right w:val="single" w:sz="8" w:space="0" w:color="FFFFFF"/>
            </w:tcBorders>
          </w:tcPr>
          <w:p w14:paraId="24D8C7DF" w14:textId="77777777" w:rsidR="006D51CF" w:rsidRPr="009E340B" w:rsidRDefault="006D51CF" w:rsidP="00F1530C">
            <w:pPr>
              <w:spacing w:before="0"/>
              <w:jc w:val="center"/>
              <w:cnfStyle w:val="000000100000" w:firstRow="0" w:lastRow="0" w:firstColumn="0" w:lastColumn="0" w:oddVBand="0" w:evenVBand="0" w:oddHBand="1" w:evenHBand="0" w:firstRowFirstColumn="0" w:firstRowLastColumn="0" w:lastRowFirstColumn="0" w:lastRowLastColumn="0"/>
              <w:rPr>
                <w:color w:val="000000"/>
                <w:sz w:val="20"/>
                <w:lang w:val="en-US"/>
              </w:rPr>
            </w:pPr>
            <w:r w:rsidRPr="009E340B">
              <w:rPr>
                <w:color w:val="000000"/>
                <w:sz w:val="20"/>
                <w:lang w:val="en-US"/>
              </w:rPr>
              <w:t>519</w:t>
            </w:r>
          </w:p>
        </w:tc>
      </w:tr>
      <w:tr w:rsidR="006D51CF" w:rsidRPr="009E340B" w14:paraId="455472AC" w14:textId="77777777" w:rsidTr="00431831">
        <w:trPr>
          <w:trHeight w:val="315"/>
          <w:jc w:val="center"/>
        </w:trPr>
        <w:tc>
          <w:tcPr>
            <w:cnfStyle w:val="001000000000" w:firstRow="0" w:lastRow="0" w:firstColumn="1" w:lastColumn="0" w:oddVBand="0" w:evenVBand="0" w:oddHBand="0" w:evenHBand="0" w:firstRowFirstColumn="0" w:firstRowLastColumn="0" w:lastRowFirstColumn="0" w:lastRowLastColumn="0"/>
            <w:tcW w:w="1588"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496A646E" w14:textId="77777777" w:rsidR="006D51CF" w:rsidRPr="009E340B" w:rsidRDefault="006D51CF" w:rsidP="002E3B6B">
            <w:pPr>
              <w:spacing w:before="0" w:after="120"/>
              <w:rPr>
                <w:sz w:val="20"/>
                <w:lang w:val="en-US"/>
              </w:rPr>
            </w:pPr>
            <w:r w:rsidRPr="009E0880">
              <w:rPr>
                <w:sz w:val="20"/>
              </w:rPr>
              <w:t>CD-ROM</w:t>
            </w:r>
            <w:r>
              <w:rPr>
                <w:sz w:val="20"/>
              </w:rPr>
              <w:t xml:space="preserve"> vendidos</w:t>
            </w:r>
          </w:p>
        </w:tc>
        <w:tc>
          <w:tcPr>
            <w:tcW w:w="1340"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119BAC6D" w14:textId="49DA9574" w:rsidR="006D51CF" w:rsidRPr="009E340B" w:rsidRDefault="006D51CF" w:rsidP="00F1530C">
            <w:pPr>
              <w:spacing w:before="0"/>
              <w:jc w:val="center"/>
              <w:cnfStyle w:val="000000000000" w:firstRow="0" w:lastRow="0" w:firstColumn="0" w:lastColumn="0" w:oddVBand="0" w:evenVBand="0" w:oddHBand="0" w:evenHBand="0" w:firstRowFirstColumn="0" w:firstRowLastColumn="0" w:lastRowFirstColumn="0" w:lastRowLastColumn="0"/>
              <w:rPr>
                <w:color w:val="000000"/>
                <w:sz w:val="20"/>
                <w:lang w:val="en-US"/>
              </w:rPr>
            </w:pPr>
            <w:r w:rsidRPr="009E340B">
              <w:rPr>
                <w:color w:val="000000"/>
                <w:sz w:val="20"/>
                <w:lang w:val="en-US"/>
              </w:rPr>
              <w:t>5</w:t>
            </w:r>
            <w:r w:rsidR="00F1530C">
              <w:rPr>
                <w:color w:val="000000"/>
                <w:sz w:val="20"/>
                <w:lang w:val="en-US"/>
              </w:rPr>
              <w:t> </w:t>
            </w:r>
            <w:r w:rsidRPr="009E340B">
              <w:rPr>
                <w:color w:val="000000"/>
                <w:sz w:val="20"/>
                <w:lang w:val="en-US"/>
              </w:rPr>
              <w:t>637</w:t>
            </w:r>
          </w:p>
        </w:tc>
        <w:tc>
          <w:tcPr>
            <w:tcW w:w="1305"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1C328A9F" w14:textId="61A46E10" w:rsidR="006D51CF" w:rsidRPr="009E340B" w:rsidRDefault="006D51CF" w:rsidP="00F1530C">
            <w:pPr>
              <w:spacing w:before="0"/>
              <w:jc w:val="center"/>
              <w:cnfStyle w:val="000000000000" w:firstRow="0" w:lastRow="0" w:firstColumn="0" w:lastColumn="0" w:oddVBand="0" w:evenVBand="0" w:oddHBand="0" w:evenHBand="0" w:firstRowFirstColumn="0" w:firstRowLastColumn="0" w:lastRowFirstColumn="0" w:lastRowLastColumn="0"/>
              <w:rPr>
                <w:color w:val="000000"/>
                <w:sz w:val="20"/>
                <w:lang w:val="en-US"/>
              </w:rPr>
            </w:pPr>
            <w:r w:rsidRPr="009E340B">
              <w:rPr>
                <w:color w:val="000000"/>
                <w:sz w:val="20"/>
                <w:lang w:val="en-US"/>
              </w:rPr>
              <w:t>3</w:t>
            </w:r>
            <w:r w:rsidR="00F1530C">
              <w:rPr>
                <w:color w:val="000000"/>
                <w:sz w:val="20"/>
                <w:lang w:val="en-US"/>
              </w:rPr>
              <w:t> </w:t>
            </w:r>
            <w:r w:rsidRPr="009E340B">
              <w:rPr>
                <w:color w:val="000000"/>
                <w:sz w:val="20"/>
                <w:lang w:val="en-US"/>
              </w:rPr>
              <w:t>363</w:t>
            </w:r>
          </w:p>
        </w:tc>
        <w:tc>
          <w:tcPr>
            <w:tcW w:w="2319"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59FCB201" w14:textId="6C8752C1" w:rsidR="006D51CF" w:rsidRPr="009E340B" w:rsidRDefault="006D51CF" w:rsidP="00F1530C">
            <w:pPr>
              <w:spacing w:before="0"/>
              <w:jc w:val="center"/>
              <w:cnfStyle w:val="000000000000" w:firstRow="0" w:lastRow="0" w:firstColumn="0" w:lastColumn="0" w:oddVBand="0" w:evenVBand="0" w:oddHBand="0" w:evenHBand="0" w:firstRowFirstColumn="0" w:firstRowLastColumn="0" w:lastRowFirstColumn="0" w:lastRowLastColumn="0"/>
              <w:rPr>
                <w:color w:val="000000"/>
                <w:sz w:val="20"/>
                <w:lang w:val="en-US"/>
              </w:rPr>
            </w:pPr>
            <w:r w:rsidRPr="009E340B">
              <w:rPr>
                <w:color w:val="000000"/>
                <w:sz w:val="20"/>
                <w:lang w:val="en-US"/>
              </w:rPr>
              <w:t>2020:2</w:t>
            </w:r>
            <w:r w:rsidR="00F1530C">
              <w:rPr>
                <w:color w:val="000000"/>
                <w:sz w:val="20"/>
                <w:lang w:val="en-US"/>
              </w:rPr>
              <w:t> </w:t>
            </w:r>
            <w:r w:rsidRPr="009E340B">
              <w:rPr>
                <w:color w:val="000000"/>
                <w:sz w:val="20"/>
                <w:lang w:val="en-US"/>
              </w:rPr>
              <w:t>771</w:t>
            </w:r>
          </w:p>
          <w:p w14:paraId="4E45ABB3" w14:textId="1E7E986C" w:rsidR="006D51CF" w:rsidRPr="009E340B" w:rsidRDefault="006D51CF" w:rsidP="00F1530C">
            <w:pPr>
              <w:spacing w:before="0"/>
              <w:jc w:val="center"/>
              <w:cnfStyle w:val="000000000000" w:firstRow="0" w:lastRow="0" w:firstColumn="0" w:lastColumn="0" w:oddVBand="0" w:evenVBand="0" w:oddHBand="0" w:evenHBand="0" w:firstRowFirstColumn="0" w:firstRowLastColumn="0" w:lastRowFirstColumn="0" w:lastRowLastColumn="0"/>
              <w:rPr>
                <w:color w:val="000000"/>
                <w:sz w:val="20"/>
                <w:lang w:val="en-US"/>
              </w:rPr>
            </w:pPr>
            <w:r w:rsidRPr="009E340B">
              <w:rPr>
                <w:color w:val="000000"/>
                <w:sz w:val="20"/>
                <w:lang w:val="en-US"/>
              </w:rPr>
              <w:t>2024:10</w:t>
            </w:r>
            <w:r w:rsidR="00F1530C">
              <w:rPr>
                <w:color w:val="000000"/>
                <w:sz w:val="20"/>
                <w:lang w:val="en-US"/>
              </w:rPr>
              <w:t> </w:t>
            </w:r>
            <w:r w:rsidRPr="009E340B">
              <w:rPr>
                <w:color w:val="000000"/>
                <w:sz w:val="20"/>
                <w:lang w:val="en-US"/>
              </w:rPr>
              <w:t>166</w:t>
            </w:r>
          </w:p>
          <w:p w14:paraId="61D8DBF9" w14:textId="79AA26B2" w:rsidR="006D51CF" w:rsidRPr="009E340B" w:rsidRDefault="006D51CF" w:rsidP="00F1530C">
            <w:pPr>
              <w:spacing w:before="0"/>
              <w:jc w:val="center"/>
              <w:cnfStyle w:val="000000000000" w:firstRow="0" w:lastRow="0" w:firstColumn="0" w:lastColumn="0" w:oddVBand="0" w:evenVBand="0" w:oddHBand="0" w:evenHBand="0" w:firstRowFirstColumn="0" w:firstRowLastColumn="0" w:lastRowFirstColumn="0" w:lastRowLastColumn="0"/>
              <w:rPr>
                <w:bCs/>
                <w:color w:val="000000"/>
                <w:sz w:val="20"/>
                <w:lang w:val="en-US"/>
              </w:rPr>
            </w:pPr>
            <w:r w:rsidRPr="009E340B">
              <w:rPr>
                <w:bCs/>
                <w:color w:val="000000"/>
                <w:sz w:val="20"/>
                <w:lang w:val="en-US"/>
              </w:rPr>
              <w:t>Total: 12</w:t>
            </w:r>
            <w:r w:rsidR="00F1530C">
              <w:rPr>
                <w:bCs/>
                <w:color w:val="000000"/>
                <w:sz w:val="20"/>
                <w:lang w:val="en-US"/>
              </w:rPr>
              <w:t> </w:t>
            </w:r>
            <w:r w:rsidRPr="009E340B">
              <w:rPr>
                <w:bCs/>
                <w:color w:val="000000"/>
                <w:sz w:val="20"/>
                <w:lang w:val="en-US"/>
              </w:rPr>
              <w:t>937</w:t>
            </w:r>
          </w:p>
        </w:tc>
        <w:tc>
          <w:tcPr>
            <w:tcW w:w="2319" w:type="dxa"/>
            <w:tcBorders>
              <w:top w:val="single" w:sz="8" w:space="0" w:color="FFFFFF"/>
              <w:left w:val="single" w:sz="8" w:space="0" w:color="FFFFFF"/>
              <w:bottom w:val="single" w:sz="8" w:space="0" w:color="FFFFFF"/>
              <w:right w:val="single" w:sz="8" w:space="0" w:color="FFFFFF"/>
            </w:tcBorders>
          </w:tcPr>
          <w:p w14:paraId="577BD984" w14:textId="0FAAC8F0" w:rsidR="006D51CF" w:rsidRPr="009E340B" w:rsidRDefault="006D51CF" w:rsidP="00F1530C">
            <w:pPr>
              <w:spacing w:before="0"/>
              <w:jc w:val="center"/>
              <w:cnfStyle w:val="000000000000" w:firstRow="0" w:lastRow="0" w:firstColumn="0" w:lastColumn="0" w:oddVBand="0" w:evenVBand="0" w:oddHBand="0" w:evenHBand="0" w:firstRowFirstColumn="0" w:firstRowLastColumn="0" w:lastRowFirstColumn="0" w:lastRowLastColumn="0"/>
              <w:rPr>
                <w:color w:val="000000"/>
                <w:sz w:val="20"/>
                <w:lang w:val="en-US"/>
              </w:rPr>
            </w:pPr>
            <w:r w:rsidRPr="009E340B">
              <w:rPr>
                <w:color w:val="000000"/>
                <w:sz w:val="20"/>
                <w:lang w:val="en-US"/>
              </w:rPr>
              <w:t>18</w:t>
            </w:r>
            <w:r w:rsidR="00F1530C">
              <w:rPr>
                <w:color w:val="000000"/>
                <w:sz w:val="20"/>
                <w:lang w:val="en-US"/>
              </w:rPr>
              <w:t> </w:t>
            </w:r>
            <w:r w:rsidRPr="009E340B">
              <w:rPr>
                <w:color w:val="000000"/>
                <w:sz w:val="20"/>
                <w:lang w:val="en-US"/>
              </w:rPr>
              <w:t>132</w:t>
            </w:r>
          </w:p>
        </w:tc>
      </w:tr>
      <w:tr w:rsidR="006D51CF" w:rsidRPr="009E340B" w14:paraId="72026335" w14:textId="77777777" w:rsidTr="0043183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588"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53C00288" w14:textId="1C812A2F" w:rsidR="006D51CF" w:rsidRPr="009E340B" w:rsidRDefault="006D51CF" w:rsidP="002E3B6B">
            <w:pPr>
              <w:spacing w:before="0" w:after="120"/>
              <w:rPr>
                <w:sz w:val="20"/>
                <w:lang w:val="en-US"/>
              </w:rPr>
            </w:pPr>
            <w:r w:rsidRPr="009E340B">
              <w:rPr>
                <w:sz w:val="20"/>
                <w:lang w:val="en-US"/>
              </w:rPr>
              <w:t>USB</w:t>
            </w:r>
            <w:r w:rsidR="00431831">
              <w:rPr>
                <w:sz w:val="20"/>
                <w:lang w:val="en-US"/>
              </w:rPr>
              <w:t xml:space="preserve"> </w:t>
            </w:r>
            <w:r>
              <w:rPr>
                <w:sz w:val="20"/>
                <w:lang w:val="en-US"/>
              </w:rPr>
              <w:t>vendidos</w:t>
            </w:r>
          </w:p>
        </w:tc>
        <w:tc>
          <w:tcPr>
            <w:tcW w:w="1340"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082DF147" w14:textId="77777777" w:rsidR="006D51CF" w:rsidRPr="009E340B" w:rsidRDefault="006D51CF" w:rsidP="00F1530C">
            <w:pPr>
              <w:spacing w:before="0"/>
              <w:jc w:val="center"/>
              <w:cnfStyle w:val="000000100000" w:firstRow="0" w:lastRow="0" w:firstColumn="0" w:lastColumn="0" w:oddVBand="0" w:evenVBand="0" w:oddHBand="1" w:evenHBand="0" w:firstRowFirstColumn="0" w:firstRowLastColumn="0" w:lastRowFirstColumn="0" w:lastRowLastColumn="0"/>
              <w:rPr>
                <w:color w:val="000000"/>
                <w:sz w:val="20"/>
                <w:lang w:val="en-US"/>
              </w:rPr>
            </w:pPr>
            <w:r w:rsidRPr="009E340B">
              <w:rPr>
                <w:color w:val="000000"/>
                <w:sz w:val="20"/>
                <w:lang w:val="en-US"/>
              </w:rPr>
              <w:t>-</w:t>
            </w:r>
          </w:p>
        </w:tc>
        <w:tc>
          <w:tcPr>
            <w:tcW w:w="1305"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658DEA69" w14:textId="77777777" w:rsidR="006D51CF" w:rsidRPr="009E340B" w:rsidRDefault="006D51CF" w:rsidP="00F1530C">
            <w:pPr>
              <w:spacing w:before="0"/>
              <w:jc w:val="center"/>
              <w:cnfStyle w:val="000000100000" w:firstRow="0" w:lastRow="0" w:firstColumn="0" w:lastColumn="0" w:oddVBand="0" w:evenVBand="0" w:oddHBand="1" w:evenHBand="0" w:firstRowFirstColumn="0" w:firstRowLastColumn="0" w:lastRowFirstColumn="0" w:lastRowLastColumn="0"/>
              <w:rPr>
                <w:color w:val="000000"/>
                <w:sz w:val="20"/>
                <w:lang w:val="en-US"/>
              </w:rPr>
            </w:pPr>
            <w:r w:rsidRPr="009E340B">
              <w:rPr>
                <w:color w:val="000000"/>
                <w:sz w:val="20"/>
                <w:lang w:val="en-US"/>
              </w:rPr>
              <w:t>-</w:t>
            </w:r>
          </w:p>
        </w:tc>
        <w:tc>
          <w:tcPr>
            <w:tcW w:w="2319"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4ECCA315" w14:textId="59E8126D" w:rsidR="006D51CF" w:rsidRPr="009E340B" w:rsidRDefault="006D51CF" w:rsidP="00F1530C">
            <w:pPr>
              <w:spacing w:before="0"/>
              <w:jc w:val="center"/>
              <w:cnfStyle w:val="000000100000" w:firstRow="0" w:lastRow="0" w:firstColumn="0" w:lastColumn="0" w:oddVBand="0" w:evenVBand="0" w:oddHBand="1" w:evenHBand="0" w:firstRowFirstColumn="0" w:firstRowLastColumn="0" w:lastRowFirstColumn="0" w:lastRowLastColumn="0"/>
              <w:rPr>
                <w:color w:val="000000"/>
                <w:sz w:val="20"/>
                <w:lang w:val="en-US"/>
              </w:rPr>
            </w:pPr>
            <w:r w:rsidRPr="009E340B">
              <w:rPr>
                <w:color w:val="000000"/>
                <w:sz w:val="20"/>
                <w:lang w:val="en-US"/>
              </w:rPr>
              <w:t>2020-2024: 440</w:t>
            </w:r>
          </w:p>
          <w:p w14:paraId="1B994994" w14:textId="77777777" w:rsidR="006D51CF" w:rsidRPr="009E340B" w:rsidRDefault="006D51CF" w:rsidP="00F1530C">
            <w:pPr>
              <w:spacing w:before="0"/>
              <w:jc w:val="center"/>
              <w:cnfStyle w:val="000000100000" w:firstRow="0" w:lastRow="0" w:firstColumn="0" w:lastColumn="0" w:oddVBand="0" w:evenVBand="0" w:oddHBand="1" w:evenHBand="0" w:firstRowFirstColumn="0" w:firstRowLastColumn="0" w:lastRowFirstColumn="0" w:lastRowLastColumn="0"/>
              <w:rPr>
                <w:bCs/>
                <w:color w:val="000000"/>
                <w:sz w:val="20"/>
                <w:lang w:val="en-US"/>
              </w:rPr>
            </w:pPr>
            <w:r w:rsidRPr="009E340B">
              <w:rPr>
                <w:bCs/>
                <w:color w:val="000000"/>
                <w:sz w:val="20"/>
                <w:lang w:val="en-US"/>
              </w:rPr>
              <w:t>Total: 440</w:t>
            </w:r>
          </w:p>
        </w:tc>
        <w:tc>
          <w:tcPr>
            <w:tcW w:w="2319" w:type="dxa"/>
            <w:tcBorders>
              <w:top w:val="single" w:sz="8" w:space="0" w:color="FFFFFF"/>
              <w:left w:val="single" w:sz="8" w:space="0" w:color="FFFFFF"/>
              <w:bottom w:val="single" w:sz="8" w:space="0" w:color="FFFFFF"/>
              <w:right w:val="single" w:sz="8" w:space="0" w:color="FFFFFF"/>
            </w:tcBorders>
          </w:tcPr>
          <w:p w14:paraId="62A86A49" w14:textId="25EB4B79" w:rsidR="006D51CF" w:rsidRPr="009E340B" w:rsidRDefault="006D51CF" w:rsidP="00F1530C">
            <w:pPr>
              <w:spacing w:before="0"/>
              <w:jc w:val="center"/>
              <w:cnfStyle w:val="000000100000" w:firstRow="0" w:lastRow="0" w:firstColumn="0" w:lastColumn="0" w:oddVBand="0" w:evenVBand="0" w:oddHBand="1" w:evenHBand="0" w:firstRowFirstColumn="0" w:firstRowLastColumn="0" w:lastRowFirstColumn="0" w:lastRowLastColumn="0"/>
              <w:rPr>
                <w:color w:val="000000"/>
                <w:sz w:val="20"/>
                <w:lang w:val="en-US"/>
              </w:rPr>
            </w:pPr>
            <w:r w:rsidRPr="009E340B">
              <w:rPr>
                <w:color w:val="000000"/>
                <w:sz w:val="20"/>
                <w:lang w:val="en-US"/>
              </w:rPr>
              <w:t>3</w:t>
            </w:r>
            <w:r w:rsidR="00F1530C">
              <w:rPr>
                <w:color w:val="000000"/>
                <w:sz w:val="20"/>
                <w:lang w:val="en-US"/>
              </w:rPr>
              <w:t> </w:t>
            </w:r>
            <w:r w:rsidRPr="009E340B">
              <w:rPr>
                <w:color w:val="000000"/>
                <w:sz w:val="20"/>
                <w:lang w:val="en-US"/>
              </w:rPr>
              <w:t>348</w:t>
            </w:r>
          </w:p>
        </w:tc>
      </w:tr>
      <w:tr w:rsidR="006D51CF" w:rsidRPr="009E340B" w14:paraId="43A8F2C7" w14:textId="77777777" w:rsidTr="00431831">
        <w:trPr>
          <w:trHeight w:val="315"/>
          <w:jc w:val="center"/>
        </w:trPr>
        <w:tc>
          <w:tcPr>
            <w:cnfStyle w:val="001000000000" w:firstRow="0" w:lastRow="0" w:firstColumn="1" w:lastColumn="0" w:oddVBand="0" w:evenVBand="0" w:oddHBand="0" w:evenHBand="0" w:firstRowFirstColumn="0" w:firstRowLastColumn="0" w:lastRowFirstColumn="0" w:lastRowLastColumn="0"/>
            <w:tcW w:w="1588"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60A4EFA6" w14:textId="77777777" w:rsidR="006D51CF" w:rsidRPr="009E340B" w:rsidRDefault="006D51CF" w:rsidP="002E3B6B">
            <w:pPr>
              <w:spacing w:before="0" w:after="120"/>
              <w:rPr>
                <w:sz w:val="20"/>
                <w:lang w:val="en-US"/>
              </w:rPr>
            </w:pPr>
            <w:r w:rsidRPr="009E340B">
              <w:rPr>
                <w:sz w:val="20"/>
                <w:lang w:val="en-US"/>
              </w:rPr>
              <w:t>Digital</w:t>
            </w:r>
          </w:p>
        </w:tc>
        <w:tc>
          <w:tcPr>
            <w:tcW w:w="1340"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328A95D6" w14:textId="77777777" w:rsidR="006D51CF" w:rsidRPr="009E340B" w:rsidRDefault="006D51CF" w:rsidP="00F1530C">
            <w:pPr>
              <w:spacing w:before="0"/>
              <w:jc w:val="center"/>
              <w:cnfStyle w:val="000000000000" w:firstRow="0" w:lastRow="0" w:firstColumn="0" w:lastColumn="0" w:oddVBand="0" w:evenVBand="0" w:oddHBand="0" w:evenHBand="0" w:firstRowFirstColumn="0" w:firstRowLastColumn="0" w:lastRowFirstColumn="0" w:lastRowLastColumn="0"/>
              <w:rPr>
                <w:color w:val="000000"/>
                <w:sz w:val="20"/>
                <w:lang w:val="en-US"/>
              </w:rPr>
            </w:pPr>
            <w:r w:rsidRPr="009E340B">
              <w:rPr>
                <w:color w:val="000000"/>
                <w:sz w:val="20"/>
                <w:lang w:val="en-US"/>
              </w:rPr>
              <w:t>-</w:t>
            </w:r>
          </w:p>
        </w:tc>
        <w:tc>
          <w:tcPr>
            <w:tcW w:w="1305"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09A3071D" w14:textId="77777777" w:rsidR="006D51CF" w:rsidRPr="009E340B" w:rsidRDefault="006D51CF" w:rsidP="00F1530C">
            <w:pPr>
              <w:spacing w:before="0"/>
              <w:jc w:val="center"/>
              <w:cnfStyle w:val="000000000000" w:firstRow="0" w:lastRow="0" w:firstColumn="0" w:lastColumn="0" w:oddVBand="0" w:evenVBand="0" w:oddHBand="0" w:evenHBand="0" w:firstRowFirstColumn="0" w:firstRowLastColumn="0" w:lastRowFirstColumn="0" w:lastRowLastColumn="0"/>
              <w:rPr>
                <w:color w:val="000000"/>
                <w:sz w:val="20"/>
                <w:lang w:val="en-US"/>
              </w:rPr>
            </w:pPr>
            <w:r w:rsidRPr="009E340B">
              <w:rPr>
                <w:color w:val="000000"/>
                <w:sz w:val="20"/>
                <w:lang w:val="en-US"/>
              </w:rPr>
              <w:t>-</w:t>
            </w:r>
          </w:p>
        </w:tc>
        <w:tc>
          <w:tcPr>
            <w:tcW w:w="2319" w:type="dxa"/>
            <w:tcBorders>
              <w:top w:val="single" w:sz="8" w:space="0" w:color="FFFFFF"/>
              <w:left w:val="single" w:sz="8" w:space="0" w:color="FFFFFF"/>
              <w:bottom w:val="single" w:sz="8" w:space="0" w:color="FFFFFF"/>
              <w:right w:val="single" w:sz="8" w:space="0" w:color="FFFFFF"/>
            </w:tcBorders>
            <w:tcMar>
              <w:left w:w="108" w:type="dxa"/>
              <w:right w:w="108" w:type="dxa"/>
            </w:tcMar>
          </w:tcPr>
          <w:p w14:paraId="213A3CD9" w14:textId="27C6C61B" w:rsidR="006D51CF" w:rsidRPr="009E340B" w:rsidRDefault="006D51CF" w:rsidP="00F1530C">
            <w:pPr>
              <w:spacing w:before="0"/>
              <w:jc w:val="center"/>
              <w:cnfStyle w:val="000000000000" w:firstRow="0" w:lastRow="0" w:firstColumn="0" w:lastColumn="0" w:oddVBand="0" w:evenVBand="0" w:oddHBand="0" w:evenHBand="0" w:firstRowFirstColumn="0" w:firstRowLastColumn="0" w:lastRowFirstColumn="0" w:lastRowLastColumn="0"/>
              <w:rPr>
                <w:color w:val="000000"/>
                <w:sz w:val="20"/>
                <w:lang w:val="en-US"/>
              </w:rPr>
            </w:pPr>
            <w:r w:rsidRPr="009E340B">
              <w:rPr>
                <w:color w:val="000000"/>
                <w:sz w:val="20"/>
                <w:lang w:val="en-US"/>
              </w:rPr>
              <w:t>2020-2024:277</w:t>
            </w:r>
          </w:p>
          <w:p w14:paraId="523D03B5" w14:textId="77777777" w:rsidR="006D51CF" w:rsidRPr="009E340B" w:rsidRDefault="006D51CF" w:rsidP="00F1530C">
            <w:pPr>
              <w:spacing w:before="0"/>
              <w:jc w:val="center"/>
              <w:cnfStyle w:val="000000000000" w:firstRow="0" w:lastRow="0" w:firstColumn="0" w:lastColumn="0" w:oddVBand="0" w:evenVBand="0" w:oddHBand="0" w:evenHBand="0" w:firstRowFirstColumn="0" w:firstRowLastColumn="0" w:lastRowFirstColumn="0" w:lastRowLastColumn="0"/>
              <w:rPr>
                <w:bCs/>
                <w:color w:val="000000"/>
                <w:sz w:val="20"/>
                <w:lang w:val="en-US"/>
              </w:rPr>
            </w:pPr>
            <w:r w:rsidRPr="009E340B">
              <w:rPr>
                <w:bCs/>
                <w:color w:val="000000"/>
                <w:sz w:val="20"/>
                <w:lang w:val="en-US"/>
              </w:rPr>
              <w:t>Total: 277</w:t>
            </w:r>
          </w:p>
        </w:tc>
        <w:tc>
          <w:tcPr>
            <w:tcW w:w="2319" w:type="dxa"/>
            <w:tcBorders>
              <w:top w:val="single" w:sz="8" w:space="0" w:color="FFFFFF"/>
              <w:left w:val="single" w:sz="8" w:space="0" w:color="FFFFFF"/>
              <w:bottom w:val="single" w:sz="8" w:space="0" w:color="FFFFFF"/>
              <w:right w:val="single" w:sz="8" w:space="0" w:color="FFFFFF"/>
            </w:tcBorders>
          </w:tcPr>
          <w:p w14:paraId="09C41D69" w14:textId="4EBB21D8" w:rsidR="006D51CF" w:rsidRPr="009E340B" w:rsidRDefault="006D51CF" w:rsidP="00F1530C">
            <w:pPr>
              <w:spacing w:before="0"/>
              <w:jc w:val="center"/>
              <w:cnfStyle w:val="000000000000" w:firstRow="0" w:lastRow="0" w:firstColumn="0" w:lastColumn="0" w:oddVBand="0" w:evenVBand="0" w:oddHBand="0" w:evenHBand="0" w:firstRowFirstColumn="0" w:firstRowLastColumn="0" w:lastRowFirstColumn="0" w:lastRowLastColumn="0"/>
              <w:rPr>
                <w:color w:val="000000"/>
                <w:sz w:val="20"/>
                <w:lang w:val="en-US"/>
              </w:rPr>
            </w:pPr>
            <w:r w:rsidRPr="009E340B">
              <w:rPr>
                <w:color w:val="000000"/>
                <w:sz w:val="20"/>
                <w:lang w:val="en-US"/>
              </w:rPr>
              <w:t>4</w:t>
            </w:r>
            <w:r w:rsidR="00F1530C">
              <w:rPr>
                <w:color w:val="000000"/>
                <w:sz w:val="20"/>
                <w:lang w:val="en-US"/>
              </w:rPr>
              <w:t> </w:t>
            </w:r>
            <w:r w:rsidRPr="009E340B">
              <w:rPr>
                <w:color w:val="000000"/>
                <w:sz w:val="20"/>
                <w:lang w:val="en-US"/>
              </w:rPr>
              <w:t>232</w:t>
            </w:r>
          </w:p>
        </w:tc>
      </w:tr>
    </w:tbl>
    <w:p w14:paraId="3539E13E" w14:textId="77777777" w:rsidR="006D51CF" w:rsidRPr="006C4942" w:rsidRDefault="006D51CF" w:rsidP="006D51CF">
      <w:pPr>
        <w:pStyle w:val="Heading2"/>
        <w:rPr>
          <w:i/>
        </w:rPr>
      </w:pPr>
      <w:bookmarkStart w:id="128" w:name="_Toc424047601"/>
      <w:bookmarkStart w:id="129" w:name="_Toc446060783"/>
      <w:bookmarkStart w:id="130" w:name="_Toc222308711"/>
      <w:bookmarkStart w:id="131" w:name="_Toc222843180"/>
      <w:bookmarkEnd w:id="126"/>
      <w:bookmarkEnd w:id="127"/>
      <w:r w:rsidRPr="006C4942">
        <w:t>8.2</w:t>
      </w:r>
      <w:r w:rsidRPr="006C4942">
        <w:tab/>
        <w:t>Seminar</w:t>
      </w:r>
      <w:r>
        <w:t>ios, talleres y otros eventos</w:t>
      </w:r>
      <w:bookmarkEnd w:id="128"/>
      <w:bookmarkEnd w:id="129"/>
      <w:bookmarkEnd w:id="130"/>
      <w:bookmarkEnd w:id="131"/>
    </w:p>
    <w:p w14:paraId="0882DEE5" w14:textId="77777777" w:rsidR="006D51CF" w:rsidRPr="00F53579" w:rsidRDefault="006D51CF" w:rsidP="006D51CF">
      <w:pPr>
        <w:rPr>
          <w:lang w:val="es-ES"/>
        </w:rPr>
      </w:pPr>
      <w:r w:rsidRPr="004C1106">
        <w:rPr>
          <w:lang w:val="es-ES"/>
        </w:rPr>
        <w:t xml:space="preserve">Se ha iniciado un nuevo ciclo de seminarios SMR/SRR entre dos CMR: el ciclo SMR/SRR para el periodo 2024-2027. </w:t>
      </w:r>
      <w:r w:rsidRPr="00F53579">
        <w:rPr>
          <w:lang w:val="es-ES"/>
        </w:rPr>
        <w:t xml:space="preserve">El objetivo de estos seminarios es divulgar a escala mundial las actualizaciones que contiene la edición de 2024 del Reglamento de Radiocomunicaciones (a raíz de las decisiones adoptadas por la CMR-23) </w:t>
      </w:r>
      <w:r>
        <w:rPr>
          <w:lang w:val="es-ES"/>
        </w:rPr>
        <w:t xml:space="preserve">y las Reglas de Procedimiento (RdP) correspondientes, así como las actualizaciones de las publicaciones del UIT-R (Recomendaciones, Informes, Manuales). </w:t>
      </w:r>
      <w:r w:rsidRPr="00F53579">
        <w:rPr>
          <w:lang w:val="es-ES"/>
        </w:rPr>
        <w:t>El ciclo SMR/SRR 2024-2027 comprende dos Seminarios Mundia</w:t>
      </w:r>
      <w:r>
        <w:rPr>
          <w:lang w:val="es-ES"/>
        </w:rPr>
        <w:t>les de Radiocomunicaciones (SMR), cuya periodicidad es bienal, complementados por once Seminarios Regionales de Radiocomunicaciones</w:t>
      </w:r>
      <w:r w:rsidRPr="00F53579">
        <w:rPr>
          <w:lang w:val="es-ES"/>
        </w:rPr>
        <w:t xml:space="preserve"> (</w:t>
      </w:r>
      <w:r>
        <w:rPr>
          <w:lang w:val="es-ES"/>
        </w:rPr>
        <w:t>S</w:t>
      </w:r>
      <w:r w:rsidRPr="00F53579">
        <w:rPr>
          <w:lang w:val="es-ES"/>
        </w:rPr>
        <w:t>RR).</w:t>
      </w:r>
    </w:p>
    <w:p w14:paraId="1FADA2BA" w14:textId="77777777" w:rsidR="006D51CF" w:rsidRPr="00FD250D" w:rsidRDefault="006D51CF" w:rsidP="00FE4C11">
      <w:pPr>
        <w:pStyle w:val="TableNo"/>
        <w:keepLines/>
        <w:rPr>
          <w:lang w:val="es-ES"/>
        </w:rPr>
      </w:pPr>
      <w:r w:rsidRPr="00FD250D">
        <w:rPr>
          <w:lang w:val="es-ES"/>
        </w:rPr>
        <w:lastRenderedPageBreak/>
        <w:t>Cuadro 8.2-1</w:t>
      </w:r>
    </w:p>
    <w:p w14:paraId="63488180" w14:textId="77777777" w:rsidR="006D51CF" w:rsidRPr="00FE4C11" w:rsidRDefault="006D51CF" w:rsidP="005F26E3">
      <w:pPr>
        <w:pStyle w:val="Tabletitle"/>
        <w:rPr>
          <w:sz w:val="24"/>
          <w:szCs w:val="24"/>
          <w:lang w:val="es-ES"/>
        </w:rPr>
      </w:pPr>
      <w:r w:rsidRPr="00FE4C11">
        <w:rPr>
          <w:sz w:val="24"/>
          <w:szCs w:val="24"/>
          <w:lang w:val="es-ES"/>
        </w:rPr>
        <w:t>Ciclo SMR/SRR 2024-2027</w:t>
      </w:r>
    </w:p>
    <w:tbl>
      <w:tblPr>
        <w:tblStyle w:val="TableGrid"/>
        <w:tblW w:w="5005" w:type="pct"/>
        <w:jc w:val="center"/>
        <w:tblLayout w:type="fixed"/>
        <w:tblLook w:val="04A0" w:firstRow="1" w:lastRow="0" w:firstColumn="1" w:lastColumn="0" w:noHBand="0" w:noVBand="1"/>
      </w:tblPr>
      <w:tblGrid>
        <w:gridCol w:w="2689"/>
        <w:gridCol w:w="1984"/>
        <w:gridCol w:w="1217"/>
        <w:gridCol w:w="1604"/>
        <w:gridCol w:w="1596"/>
        <w:gridCol w:w="975"/>
      </w:tblGrid>
      <w:tr w:rsidR="006D51CF" w:rsidRPr="00B076F3" w14:paraId="66CD3A56" w14:textId="77777777" w:rsidTr="00FE4C11">
        <w:trPr>
          <w:trHeight w:val="291"/>
          <w:tblHeader/>
          <w:jc w:val="center"/>
        </w:trPr>
        <w:tc>
          <w:tcPr>
            <w:tcW w:w="2689" w:type="dxa"/>
            <w:shd w:val="clear" w:color="auto" w:fill="F2F2F2" w:themeFill="background1" w:themeFillShade="F2"/>
            <w:noWrap/>
            <w:hideMark/>
          </w:tcPr>
          <w:p w14:paraId="6F9CF3B9" w14:textId="77777777" w:rsidR="006D51CF" w:rsidRPr="00447219" w:rsidRDefault="006D51CF" w:rsidP="002E3B6B">
            <w:pPr>
              <w:pStyle w:val="Tablehead"/>
              <w:keepLines/>
              <w:rPr>
                <w:sz w:val="21"/>
                <w:szCs w:val="21"/>
              </w:rPr>
            </w:pPr>
          </w:p>
        </w:tc>
        <w:tc>
          <w:tcPr>
            <w:tcW w:w="1984" w:type="dxa"/>
            <w:shd w:val="clear" w:color="auto" w:fill="F2F2F2" w:themeFill="background1" w:themeFillShade="F2"/>
            <w:noWrap/>
            <w:hideMark/>
          </w:tcPr>
          <w:p w14:paraId="733EF372" w14:textId="77777777" w:rsidR="006D51CF" w:rsidRPr="00447219" w:rsidRDefault="006D51CF" w:rsidP="002E3B6B">
            <w:pPr>
              <w:pStyle w:val="Tablehead"/>
              <w:keepLines/>
              <w:rPr>
                <w:sz w:val="21"/>
                <w:szCs w:val="21"/>
              </w:rPr>
            </w:pPr>
            <w:r>
              <w:rPr>
                <w:sz w:val="21"/>
                <w:szCs w:val="21"/>
              </w:rPr>
              <w:t>Idioma</w:t>
            </w:r>
          </w:p>
        </w:tc>
        <w:tc>
          <w:tcPr>
            <w:tcW w:w="1217" w:type="dxa"/>
            <w:shd w:val="clear" w:color="auto" w:fill="F2F2F2" w:themeFill="background1" w:themeFillShade="F2"/>
            <w:noWrap/>
            <w:hideMark/>
          </w:tcPr>
          <w:p w14:paraId="510E4457" w14:textId="77777777" w:rsidR="006D51CF" w:rsidRPr="00447219" w:rsidRDefault="006D51CF" w:rsidP="002E3B6B">
            <w:pPr>
              <w:pStyle w:val="Tablehead"/>
              <w:keepLines/>
              <w:rPr>
                <w:sz w:val="21"/>
                <w:szCs w:val="21"/>
              </w:rPr>
            </w:pPr>
            <w:r w:rsidRPr="00447219">
              <w:rPr>
                <w:sz w:val="21"/>
                <w:szCs w:val="21"/>
              </w:rPr>
              <w:t>2024</w:t>
            </w:r>
          </w:p>
        </w:tc>
        <w:tc>
          <w:tcPr>
            <w:tcW w:w="1604" w:type="dxa"/>
            <w:shd w:val="clear" w:color="auto" w:fill="F2F2F2" w:themeFill="background1" w:themeFillShade="F2"/>
            <w:noWrap/>
            <w:hideMark/>
          </w:tcPr>
          <w:p w14:paraId="2B60950C" w14:textId="77777777" w:rsidR="006D51CF" w:rsidRPr="00447219" w:rsidRDefault="006D51CF" w:rsidP="002E3B6B">
            <w:pPr>
              <w:pStyle w:val="Tablehead"/>
              <w:keepLines/>
              <w:rPr>
                <w:sz w:val="21"/>
                <w:szCs w:val="21"/>
              </w:rPr>
            </w:pPr>
            <w:r w:rsidRPr="00447219">
              <w:rPr>
                <w:sz w:val="21"/>
                <w:szCs w:val="21"/>
              </w:rPr>
              <w:t>2025</w:t>
            </w:r>
          </w:p>
        </w:tc>
        <w:tc>
          <w:tcPr>
            <w:tcW w:w="1596" w:type="dxa"/>
            <w:shd w:val="clear" w:color="auto" w:fill="F2F2F2" w:themeFill="background1" w:themeFillShade="F2"/>
            <w:noWrap/>
            <w:hideMark/>
          </w:tcPr>
          <w:p w14:paraId="3342C63A" w14:textId="77777777" w:rsidR="006D51CF" w:rsidRPr="00447219" w:rsidRDefault="006D51CF" w:rsidP="002E3B6B">
            <w:pPr>
              <w:pStyle w:val="Tablehead"/>
              <w:keepLines/>
              <w:rPr>
                <w:sz w:val="21"/>
                <w:szCs w:val="21"/>
              </w:rPr>
            </w:pPr>
            <w:r w:rsidRPr="00447219">
              <w:rPr>
                <w:sz w:val="21"/>
                <w:szCs w:val="21"/>
              </w:rPr>
              <w:t>2026</w:t>
            </w:r>
          </w:p>
        </w:tc>
        <w:tc>
          <w:tcPr>
            <w:tcW w:w="975" w:type="dxa"/>
            <w:shd w:val="clear" w:color="auto" w:fill="F2F2F2" w:themeFill="background1" w:themeFillShade="F2"/>
            <w:noWrap/>
            <w:hideMark/>
          </w:tcPr>
          <w:p w14:paraId="23BB62E2" w14:textId="77777777" w:rsidR="006D51CF" w:rsidRPr="00447219" w:rsidRDefault="006D51CF" w:rsidP="002E3B6B">
            <w:pPr>
              <w:pStyle w:val="Tablehead"/>
              <w:keepLines/>
              <w:rPr>
                <w:sz w:val="21"/>
                <w:szCs w:val="21"/>
              </w:rPr>
            </w:pPr>
            <w:r w:rsidRPr="00447219">
              <w:rPr>
                <w:sz w:val="21"/>
                <w:szCs w:val="21"/>
              </w:rPr>
              <w:t>2027</w:t>
            </w:r>
          </w:p>
        </w:tc>
      </w:tr>
      <w:tr w:rsidR="006D51CF" w:rsidRPr="00B076F3" w14:paraId="4CACD599" w14:textId="77777777" w:rsidTr="00FE4C11">
        <w:tblPrEx>
          <w:jc w:val="left"/>
        </w:tblPrEx>
        <w:trPr>
          <w:trHeight w:val="314"/>
        </w:trPr>
        <w:tc>
          <w:tcPr>
            <w:tcW w:w="2689" w:type="dxa"/>
            <w:shd w:val="clear" w:color="auto" w:fill="DAEEF3" w:themeFill="accent5" w:themeFillTint="33"/>
            <w:noWrap/>
            <w:hideMark/>
          </w:tcPr>
          <w:p w14:paraId="6A43E4F5" w14:textId="77777777" w:rsidR="006D51CF" w:rsidRPr="00447219" w:rsidRDefault="006D51CF" w:rsidP="002E3B6B">
            <w:pPr>
              <w:pStyle w:val="Tablehead"/>
              <w:keepLines/>
              <w:jc w:val="left"/>
              <w:rPr>
                <w:sz w:val="21"/>
                <w:szCs w:val="21"/>
              </w:rPr>
            </w:pPr>
            <w:r>
              <w:rPr>
                <w:sz w:val="21"/>
                <w:szCs w:val="21"/>
              </w:rPr>
              <w:t>SMR</w:t>
            </w:r>
            <w:r w:rsidRPr="00447219">
              <w:rPr>
                <w:sz w:val="21"/>
                <w:szCs w:val="21"/>
              </w:rPr>
              <w:t xml:space="preserve"> (2)</w:t>
            </w:r>
          </w:p>
        </w:tc>
        <w:tc>
          <w:tcPr>
            <w:tcW w:w="1984" w:type="dxa"/>
            <w:noWrap/>
            <w:hideMark/>
          </w:tcPr>
          <w:p w14:paraId="49B3848A" w14:textId="77777777" w:rsidR="006D51CF" w:rsidRPr="00447219" w:rsidRDefault="006D51CF" w:rsidP="002E3B6B">
            <w:pPr>
              <w:pStyle w:val="Tabletext"/>
              <w:keepNext/>
              <w:keepLines/>
              <w:jc w:val="center"/>
              <w:rPr>
                <w:sz w:val="21"/>
                <w:szCs w:val="21"/>
              </w:rPr>
            </w:pPr>
            <w:r>
              <w:rPr>
                <w:sz w:val="21"/>
                <w:szCs w:val="21"/>
              </w:rPr>
              <w:t xml:space="preserve">6 idiomas, sólo Sesiones Plenarias </w:t>
            </w:r>
          </w:p>
        </w:tc>
        <w:tc>
          <w:tcPr>
            <w:tcW w:w="1217" w:type="dxa"/>
            <w:noWrap/>
            <w:hideMark/>
          </w:tcPr>
          <w:p w14:paraId="06F06D71" w14:textId="77777777" w:rsidR="006D51CF" w:rsidRPr="00447219" w:rsidRDefault="006D51CF" w:rsidP="002E3B6B">
            <w:pPr>
              <w:pStyle w:val="Tabletext"/>
              <w:keepNext/>
              <w:keepLines/>
              <w:jc w:val="center"/>
              <w:rPr>
                <w:sz w:val="21"/>
                <w:szCs w:val="21"/>
              </w:rPr>
            </w:pPr>
            <w:r w:rsidRPr="00447219">
              <w:rPr>
                <w:sz w:val="21"/>
                <w:szCs w:val="21"/>
              </w:rPr>
              <w:t xml:space="preserve">2-6 </w:t>
            </w:r>
            <w:r>
              <w:rPr>
                <w:sz w:val="21"/>
                <w:szCs w:val="21"/>
              </w:rPr>
              <w:t>de diciembre</w:t>
            </w:r>
          </w:p>
          <w:p w14:paraId="50A32A38" w14:textId="77777777" w:rsidR="006D51CF" w:rsidRPr="00447219" w:rsidRDefault="006D51CF" w:rsidP="002E3B6B">
            <w:pPr>
              <w:pStyle w:val="Tabletext"/>
              <w:keepNext/>
              <w:keepLines/>
              <w:jc w:val="center"/>
              <w:rPr>
                <w:sz w:val="21"/>
                <w:szCs w:val="21"/>
              </w:rPr>
            </w:pPr>
            <w:r w:rsidRPr="00447219">
              <w:rPr>
                <w:sz w:val="21"/>
                <w:szCs w:val="21"/>
              </w:rPr>
              <w:t>G</w:t>
            </w:r>
            <w:r>
              <w:rPr>
                <w:sz w:val="21"/>
                <w:szCs w:val="21"/>
              </w:rPr>
              <w:t>inebra</w:t>
            </w:r>
            <w:r w:rsidRPr="00447219">
              <w:rPr>
                <w:sz w:val="21"/>
                <w:szCs w:val="21"/>
              </w:rPr>
              <w:t xml:space="preserve"> </w:t>
            </w:r>
          </w:p>
        </w:tc>
        <w:tc>
          <w:tcPr>
            <w:tcW w:w="1604" w:type="dxa"/>
            <w:noWrap/>
            <w:hideMark/>
          </w:tcPr>
          <w:p w14:paraId="1E977997" w14:textId="77777777" w:rsidR="006D51CF" w:rsidRPr="00447219" w:rsidRDefault="006D51CF" w:rsidP="002E3B6B">
            <w:pPr>
              <w:pStyle w:val="Tabletext"/>
              <w:keepNext/>
              <w:keepLines/>
              <w:jc w:val="center"/>
              <w:rPr>
                <w:sz w:val="21"/>
                <w:szCs w:val="21"/>
              </w:rPr>
            </w:pPr>
            <w:r w:rsidRPr="00447219">
              <w:rPr>
                <w:sz w:val="21"/>
                <w:szCs w:val="21"/>
              </w:rPr>
              <w:t>−</w:t>
            </w:r>
          </w:p>
        </w:tc>
        <w:tc>
          <w:tcPr>
            <w:tcW w:w="1596" w:type="dxa"/>
            <w:noWrap/>
            <w:hideMark/>
          </w:tcPr>
          <w:p w14:paraId="34206821" w14:textId="77777777" w:rsidR="006D51CF" w:rsidRPr="00447219" w:rsidRDefault="006D51CF" w:rsidP="002E3B6B">
            <w:pPr>
              <w:pStyle w:val="Tabletext"/>
              <w:keepNext/>
              <w:keepLines/>
              <w:jc w:val="center"/>
              <w:rPr>
                <w:sz w:val="21"/>
                <w:szCs w:val="21"/>
              </w:rPr>
            </w:pPr>
            <w:r w:rsidRPr="00447219">
              <w:rPr>
                <w:sz w:val="21"/>
                <w:szCs w:val="21"/>
              </w:rPr>
              <w:t xml:space="preserve">7-11 </w:t>
            </w:r>
            <w:r>
              <w:rPr>
                <w:sz w:val="21"/>
                <w:szCs w:val="21"/>
              </w:rPr>
              <w:t>de diciembre</w:t>
            </w:r>
          </w:p>
          <w:p w14:paraId="5A477E66" w14:textId="77777777" w:rsidR="006D51CF" w:rsidRPr="00447219" w:rsidRDefault="006D51CF" w:rsidP="002E3B6B">
            <w:pPr>
              <w:pStyle w:val="Tabletext"/>
              <w:keepNext/>
              <w:keepLines/>
              <w:jc w:val="center"/>
              <w:rPr>
                <w:sz w:val="21"/>
                <w:szCs w:val="21"/>
              </w:rPr>
            </w:pPr>
            <w:r w:rsidRPr="00447219">
              <w:rPr>
                <w:sz w:val="21"/>
                <w:szCs w:val="21"/>
              </w:rPr>
              <w:t>G</w:t>
            </w:r>
            <w:r>
              <w:rPr>
                <w:sz w:val="21"/>
                <w:szCs w:val="21"/>
              </w:rPr>
              <w:t>inebra</w:t>
            </w:r>
          </w:p>
        </w:tc>
        <w:tc>
          <w:tcPr>
            <w:tcW w:w="975" w:type="dxa"/>
            <w:noWrap/>
            <w:hideMark/>
          </w:tcPr>
          <w:p w14:paraId="03C8E2AE" w14:textId="77777777" w:rsidR="006D51CF" w:rsidRPr="00447219" w:rsidRDefault="006D51CF" w:rsidP="002E3B6B">
            <w:pPr>
              <w:pStyle w:val="Tabletext"/>
              <w:keepNext/>
              <w:keepLines/>
              <w:jc w:val="center"/>
              <w:rPr>
                <w:sz w:val="21"/>
                <w:szCs w:val="21"/>
              </w:rPr>
            </w:pPr>
            <w:r w:rsidRPr="00447219">
              <w:rPr>
                <w:sz w:val="21"/>
                <w:szCs w:val="21"/>
              </w:rPr>
              <w:t>−</w:t>
            </w:r>
          </w:p>
        </w:tc>
      </w:tr>
      <w:tr w:rsidR="006D51CF" w:rsidRPr="00B076F3" w14:paraId="7E0DAF3D" w14:textId="77777777" w:rsidTr="00FE4C11">
        <w:trPr>
          <w:trHeight w:val="314"/>
          <w:jc w:val="center"/>
        </w:trPr>
        <w:tc>
          <w:tcPr>
            <w:tcW w:w="10065" w:type="dxa"/>
            <w:gridSpan w:val="6"/>
            <w:shd w:val="clear" w:color="auto" w:fill="F2F2F2" w:themeFill="background1" w:themeFillShade="F2"/>
            <w:noWrap/>
            <w:hideMark/>
          </w:tcPr>
          <w:p w14:paraId="1D8B24C1" w14:textId="77777777" w:rsidR="006D51CF" w:rsidRPr="00447219" w:rsidRDefault="006D51CF" w:rsidP="002E3B6B">
            <w:pPr>
              <w:pStyle w:val="Tabletext"/>
              <w:keepNext/>
              <w:keepLines/>
              <w:rPr>
                <w:sz w:val="21"/>
                <w:szCs w:val="21"/>
              </w:rPr>
            </w:pPr>
            <w:r>
              <w:rPr>
                <w:b/>
                <w:sz w:val="21"/>
                <w:szCs w:val="21"/>
              </w:rPr>
              <w:t>S</w:t>
            </w:r>
            <w:r w:rsidRPr="00447219">
              <w:rPr>
                <w:b/>
                <w:sz w:val="21"/>
                <w:szCs w:val="21"/>
              </w:rPr>
              <w:t>RR (11)</w:t>
            </w:r>
          </w:p>
        </w:tc>
      </w:tr>
      <w:tr w:rsidR="006D51CF" w:rsidRPr="00B076F3" w14:paraId="60E20BC6" w14:textId="77777777" w:rsidTr="00FE4C11">
        <w:trPr>
          <w:trHeight w:val="416"/>
          <w:jc w:val="center"/>
        </w:trPr>
        <w:tc>
          <w:tcPr>
            <w:tcW w:w="10065" w:type="dxa"/>
            <w:gridSpan w:val="6"/>
            <w:shd w:val="clear" w:color="auto" w:fill="F2F2F2" w:themeFill="background1" w:themeFillShade="F2"/>
            <w:hideMark/>
          </w:tcPr>
          <w:p w14:paraId="6E08C107" w14:textId="77777777" w:rsidR="006D51CF" w:rsidRPr="00447219" w:rsidRDefault="006D51CF" w:rsidP="002E3B6B">
            <w:pPr>
              <w:pStyle w:val="Tablehead"/>
              <w:keepLines/>
              <w:jc w:val="left"/>
              <w:rPr>
                <w:i/>
                <w:sz w:val="21"/>
                <w:szCs w:val="21"/>
              </w:rPr>
            </w:pPr>
            <w:r>
              <w:rPr>
                <w:sz w:val="21"/>
                <w:szCs w:val="21"/>
              </w:rPr>
              <w:t>Á</w:t>
            </w:r>
            <w:r w:rsidRPr="00447219">
              <w:rPr>
                <w:sz w:val="21"/>
                <w:szCs w:val="21"/>
              </w:rPr>
              <w:t>frica:</w:t>
            </w:r>
            <w:r w:rsidRPr="00447219">
              <w:rPr>
                <w:i/>
                <w:sz w:val="21"/>
                <w:szCs w:val="21"/>
              </w:rPr>
              <w:t xml:space="preserve"> </w:t>
            </w:r>
            <w:r w:rsidRPr="00447219">
              <w:rPr>
                <w:sz w:val="21"/>
                <w:szCs w:val="21"/>
              </w:rPr>
              <w:t>AFR (2)</w:t>
            </w:r>
          </w:p>
        </w:tc>
      </w:tr>
      <w:tr w:rsidR="006D51CF" w:rsidRPr="00B076F3" w14:paraId="43C26A44" w14:textId="77777777" w:rsidTr="00FE4C11">
        <w:trPr>
          <w:trHeight w:val="371"/>
          <w:jc w:val="center"/>
        </w:trPr>
        <w:tc>
          <w:tcPr>
            <w:tcW w:w="2689" w:type="dxa"/>
            <w:noWrap/>
            <w:hideMark/>
          </w:tcPr>
          <w:p w14:paraId="5AEA89DD" w14:textId="77777777" w:rsidR="006D51CF" w:rsidRPr="00447219" w:rsidRDefault="006D51CF" w:rsidP="002E3B6B">
            <w:pPr>
              <w:pStyle w:val="Tabletext"/>
              <w:keepNext/>
              <w:keepLines/>
              <w:rPr>
                <w:sz w:val="21"/>
                <w:szCs w:val="21"/>
              </w:rPr>
            </w:pPr>
            <w:r>
              <w:rPr>
                <w:sz w:val="21"/>
                <w:szCs w:val="21"/>
              </w:rPr>
              <w:t>Á</w:t>
            </w:r>
            <w:r w:rsidRPr="00447219">
              <w:rPr>
                <w:sz w:val="21"/>
                <w:szCs w:val="21"/>
              </w:rPr>
              <w:t>frica</w:t>
            </w:r>
          </w:p>
        </w:tc>
        <w:tc>
          <w:tcPr>
            <w:tcW w:w="1984" w:type="dxa"/>
            <w:noWrap/>
            <w:hideMark/>
          </w:tcPr>
          <w:p w14:paraId="72B7C271" w14:textId="77777777" w:rsidR="006D51CF" w:rsidRPr="00447219" w:rsidRDefault="006D51CF" w:rsidP="002E3B6B">
            <w:pPr>
              <w:pStyle w:val="Tabletext"/>
              <w:keepNext/>
              <w:keepLines/>
              <w:jc w:val="center"/>
              <w:rPr>
                <w:sz w:val="21"/>
                <w:szCs w:val="21"/>
              </w:rPr>
            </w:pPr>
            <w:r>
              <w:rPr>
                <w:sz w:val="21"/>
                <w:szCs w:val="21"/>
              </w:rPr>
              <w:t>Árabe/inglés/francés</w:t>
            </w:r>
          </w:p>
        </w:tc>
        <w:tc>
          <w:tcPr>
            <w:tcW w:w="1217" w:type="dxa"/>
            <w:noWrap/>
            <w:hideMark/>
          </w:tcPr>
          <w:p w14:paraId="0EAB5D1E" w14:textId="77777777" w:rsidR="006D51CF" w:rsidRPr="00447219" w:rsidRDefault="006D51CF" w:rsidP="002E3B6B">
            <w:pPr>
              <w:pStyle w:val="Tabletext"/>
              <w:keepNext/>
              <w:keepLines/>
              <w:jc w:val="center"/>
              <w:rPr>
                <w:sz w:val="21"/>
                <w:szCs w:val="21"/>
              </w:rPr>
            </w:pPr>
            <w:r w:rsidRPr="00447219">
              <w:rPr>
                <w:sz w:val="21"/>
                <w:szCs w:val="21"/>
              </w:rPr>
              <w:t>−</w:t>
            </w:r>
          </w:p>
        </w:tc>
        <w:tc>
          <w:tcPr>
            <w:tcW w:w="1604" w:type="dxa"/>
            <w:hideMark/>
          </w:tcPr>
          <w:p w14:paraId="5F20094F" w14:textId="77777777" w:rsidR="006D51CF" w:rsidRPr="009705FF" w:rsidRDefault="006D51CF" w:rsidP="002E3B6B">
            <w:pPr>
              <w:pStyle w:val="Tabletext"/>
              <w:keepNext/>
              <w:keepLines/>
              <w:jc w:val="center"/>
              <w:rPr>
                <w:sz w:val="21"/>
                <w:szCs w:val="21"/>
                <w:lang w:val="es-ES"/>
              </w:rPr>
            </w:pPr>
            <w:r w:rsidRPr="009705FF">
              <w:rPr>
                <w:sz w:val="21"/>
                <w:szCs w:val="21"/>
                <w:lang w:val="es-ES"/>
              </w:rPr>
              <w:t>5-8 de mayo</w:t>
            </w:r>
            <w:r w:rsidRPr="009705FF">
              <w:rPr>
                <w:sz w:val="21"/>
                <w:szCs w:val="21"/>
                <w:lang w:val="es-ES"/>
              </w:rPr>
              <w:br/>
              <w:t xml:space="preserve">Ciudad de Djibouti, Djibouti </w:t>
            </w:r>
          </w:p>
        </w:tc>
        <w:tc>
          <w:tcPr>
            <w:tcW w:w="1596" w:type="dxa"/>
            <w:noWrap/>
            <w:hideMark/>
          </w:tcPr>
          <w:p w14:paraId="6B120B7D" w14:textId="77777777" w:rsidR="006D51CF" w:rsidRPr="00447219" w:rsidRDefault="006D51CF" w:rsidP="002E3B6B">
            <w:pPr>
              <w:pStyle w:val="Tabletext"/>
              <w:keepNext/>
              <w:keepLines/>
              <w:jc w:val="center"/>
              <w:rPr>
                <w:sz w:val="21"/>
                <w:szCs w:val="21"/>
              </w:rPr>
            </w:pPr>
            <w:r w:rsidRPr="00447219">
              <w:rPr>
                <w:sz w:val="21"/>
                <w:szCs w:val="21"/>
              </w:rPr>
              <w:t>−</w:t>
            </w:r>
          </w:p>
        </w:tc>
        <w:tc>
          <w:tcPr>
            <w:tcW w:w="975" w:type="dxa"/>
            <w:noWrap/>
            <w:hideMark/>
          </w:tcPr>
          <w:p w14:paraId="2E4FBAEA" w14:textId="77777777" w:rsidR="006D51CF" w:rsidRPr="00447219" w:rsidRDefault="006D51CF" w:rsidP="002E3B6B">
            <w:pPr>
              <w:pStyle w:val="Tabletext"/>
              <w:keepNext/>
              <w:keepLines/>
              <w:jc w:val="center"/>
              <w:rPr>
                <w:sz w:val="21"/>
                <w:szCs w:val="21"/>
              </w:rPr>
            </w:pPr>
            <w:r w:rsidRPr="00447219">
              <w:rPr>
                <w:sz w:val="21"/>
                <w:szCs w:val="21"/>
              </w:rPr>
              <w:t>−</w:t>
            </w:r>
          </w:p>
        </w:tc>
      </w:tr>
      <w:tr w:rsidR="006D51CF" w:rsidRPr="00B076F3" w14:paraId="5202472B" w14:textId="77777777" w:rsidTr="00FE4C11">
        <w:trPr>
          <w:trHeight w:val="291"/>
          <w:jc w:val="center"/>
        </w:trPr>
        <w:tc>
          <w:tcPr>
            <w:tcW w:w="2689" w:type="dxa"/>
            <w:noWrap/>
            <w:hideMark/>
          </w:tcPr>
          <w:p w14:paraId="14738294" w14:textId="77777777" w:rsidR="006D51CF" w:rsidRPr="00447219" w:rsidRDefault="006D51CF" w:rsidP="002E3B6B">
            <w:pPr>
              <w:pStyle w:val="Tabletext"/>
              <w:keepNext/>
              <w:keepLines/>
              <w:rPr>
                <w:sz w:val="21"/>
                <w:szCs w:val="21"/>
              </w:rPr>
            </w:pPr>
            <w:r>
              <w:rPr>
                <w:sz w:val="21"/>
                <w:szCs w:val="21"/>
              </w:rPr>
              <w:t>Á</w:t>
            </w:r>
            <w:r w:rsidRPr="00447219">
              <w:rPr>
                <w:sz w:val="21"/>
                <w:szCs w:val="21"/>
              </w:rPr>
              <w:t>frica</w:t>
            </w:r>
          </w:p>
        </w:tc>
        <w:tc>
          <w:tcPr>
            <w:tcW w:w="1984" w:type="dxa"/>
            <w:noWrap/>
            <w:hideMark/>
          </w:tcPr>
          <w:p w14:paraId="2E65335F" w14:textId="77777777" w:rsidR="006D51CF" w:rsidRPr="00447219" w:rsidRDefault="006D51CF" w:rsidP="002E3B6B">
            <w:pPr>
              <w:pStyle w:val="Tabletext"/>
              <w:keepNext/>
              <w:keepLines/>
              <w:jc w:val="center"/>
              <w:rPr>
                <w:sz w:val="21"/>
                <w:szCs w:val="21"/>
              </w:rPr>
            </w:pPr>
            <w:r>
              <w:rPr>
                <w:sz w:val="21"/>
                <w:szCs w:val="21"/>
              </w:rPr>
              <w:t>Inglés/francés</w:t>
            </w:r>
          </w:p>
        </w:tc>
        <w:tc>
          <w:tcPr>
            <w:tcW w:w="1217" w:type="dxa"/>
            <w:noWrap/>
            <w:hideMark/>
          </w:tcPr>
          <w:p w14:paraId="7B70818D" w14:textId="77777777" w:rsidR="006D51CF" w:rsidRPr="00447219" w:rsidRDefault="006D51CF" w:rsidP="002E3B6B">
            <w:pPr>
              <w:pStyle w:val="Tabletext"/>
              <w:keepNext/>
              <w:keepLines/>
              <w:jc w:val="center"/>
              <w:rPr>
                <w:sz w:val="21"/>
                <w:szCs w:val="21"/>
              </w:rPr>
            </w:pPr>
            <w:r w:rsidRPr="00447219">
              <w:rPr>
                <w:sz w:val="21"/>
                <w:szCs w:val="21"/>
              </w:rPr>
              <w:t>−</w:t>
            </w:r>
          </w:p>
        </w:tc>
        <w:tc>
          <w:tcPr>
            <w:tcW w:w="1604" w:type="dxa"/>
            <w:noWrap/>
            <w:hideMark/>
          </w:tcPr>
          <w:p w14:paraId="2626E759" w14:textId="77777777" w:rsidR="006D51CF" w:rsidRPr="00447219" w:rsidRDefault="006D51CF" w:rsidP="002E3B6B">
            <w:pPr>
              <w:pStyle w:val="Tabletext"/>
              <w:keepNext/>
              <w:keepLines/>
              <w:jc w:val="center"/>
              <w:rPr>
                <w:sz w:val="21"/>
                <w:szCs w:val="21"/>
              </w:rPr>
            </w:pPr>
            <w:r w:rsidRPr="00447219">
              <w:rPr>
                <w:sz w:val="21"/>
                <w:szCs w:val="21"/>
              </w:rPr>
              <w:t>−</w:t>
            </w:r>
          </w:p>
        </w:tc>
        <w:tc>
          <w:tcPr>
            <w:tcW w:w="1596" w:type="dxa"/>
            <w:noWrap/>
            <w:hideMark/>
          </w:tcPr>
          <w:p w14:paraId="3D86152D" w14:textId="77777777" w:rsidR="006D51CF" w:rsidRPr="00447219" w:rsidRDefault="006D51CF" w:rsidP="002E3B6B">
            <w:pPr>
              <w:pStyle w:val="Tabletext"/>
              <w:keepNext/>
              <w:keepLines/>
              <w:jc w:val="center"/>
              <w:rPr>
                <w:sz w:val="21"/>
                <w:szCs w:val="21"/>
              </w:rPr>
            </w:pPr>
            <w:r w:rsidRPr="00447219">
              <w:rPr>
                <w:sz w:val="21"/>
                <w:szCs w:val="21"/>
              </w:rPr>
              <w:t>−</w:t>
            </w:r>
          </w:p>
        </w:tc>
        <w:tc>
          <w:tcPr>
            <w:tcW w:w="975" w:type="dxa"/>
            <w:hideMark/>
          </w:tcPr>
          <w:p w14:paraId="5BE74300" w14:textId="77777777" w:rsidR="006D51CF" w:rsidRPr="00447219" w:rsidRDefault="006D51CF" w:rsidP="002E3B6B">
            <w:pPr>
              <w:pStyle w:val="Tabletext"/>
              <w:keepNext/>
              <w:keepLines/>
              <w:jc w:val="center"/>
              <w:rPr>
                <w:sz w:val="21"/>
                <w:szCs w:val="21"/>
              </w:rPr>
            </w:pPr>
            <w:r w:rsidRPr="00447219">
              <w:rPr>
                <w:sz w:val="21"/>
                <w:szCs w:val="21"/>
              </w:rPr>
              <w:t>2</w:t>
            </w:r>
            <w:r>
              <w:rPr>
                <w:sz w:val="21"/>
                <w:szCs w:val="21"/>
              </w:rPr>
              <w:t>T</w:t>
            </w:r>
          </w:p>
        </w:tc>
      </w:tr>
      <w:tr w:rsidR="006D51CF" w:rsidRPr="00B076F3" w14:paraId="58FBE419" w14:textId="77777777" w:rsidTr="00FE4C11">
        <w:trPr>
          <w:trHeight w:val="291"/>
          <w:jc w:val="center"/>
        </w:trPr>
        <w:tc>
          <w:tcPr>
            <w:tcW w:w="10065" w:type="dxa"/>
            <w:gridSpan w:val="6"/>
            <w:shd w:val="clear" w:color="auto" w:fill="F2F2F2" w:themeFill="background1" w:themeFillShade="F2"/>
            <w:hideMark/>
          </w:tcPr>
          <w:p w14:paraId="3C71133D" w14:textId="77777777" w:rsidR="006D51CF" w:rsidRPr="00447219" w:rsidRDefault="006D51CF" w:rsidP="002E3B6B">
            <w:pPr>
              <w:pStyle w:val="Tablehead"/>
              <w:keepLines/>
              <w:jc w:val="left"/>
              <w:rPr>
                <w:sz w:val="21"/>
                <w:szCs w:val="21"/>
              </w:rPr>
            </w:pPr>
            <w:r w:rsidRPr="00447219">
              <w:rPr>
                <w:sz w:val="21"/>
                <w:szCs w:val="21"/>
              </w:rPr>
              <w:t>Am</w:t>
            </w:r>
            <w:r>
              <w:rPr>
                <w:sz w:val="21"/>
                <w:szCs w:val="21"/>
              </w:rPr>
              <w:t>é</w:t>
            </w:r>
            <w:r w:rsidRPr="00447219">
              <w:rPr>
                <w:sz w:val="21"/>
                <w:szCs w:val="21"/>
              </w:rPr>
              <w:t>ricas: AMS (3)</w:t>
            </w:r>
          </w:p>
        </w:tc>
      </w:tr>
      <w:tr w:rsidR="006D51CF" w:rsidRPr="00B076F3" w14:paraId="57E89DD0" w14:textId="77777777" w:rsidTr="00FE4C11">
        <w:trPr>
          <w:trHeight w:val="558"/>
          <w:jc w:val="center"/>
        </w:trPr>
        <w:tc>
          <w:tcPr>
            <w:tcW w:w="2689" w:type="dxa"/>
            <w:noWrap/>
          </w:tcPr>
          <w:p w14:paraId="526A8439" w14:textId="77777777" w:rsidR="006D51CF" w:rsidRPr="00447219" w:rsidRDefault="006D51CF" w:rsidP="002E3B6B">
            <w:pPr>
              <w:pStyle w:val="Tabletext"/>
              <w:keepNext/>
              <w:keepLines/>
              <w:rPr>
                <w:sz w:val="21"/>
                <w:szCs w:val="21"/>
                <w:lang w:val="es-CO"/>
              </w:rPr>
            </w:pPr>
            <w:r>
              <w:rPr>
                <w:sz w:val="21"/>
                <w:szCs w:val="21"/>
                <w:lang w:val="es-CO"/>
              </w:rPr>
              <w:t>Caribe</w:t>
            </w:r>
          </w:p>
        </w:tc>
        <w:tc>
          <w:tcPr>
            <w:tcW w:w="1984" w:type="dxa"/>
            <w:noWrap/>
          </w:tcPr>
          <w:p w14:paraId="5B5F632F" w14:textId="77777777" w:rsidR="006D51CF" w:rsidRPr="00447219" w:rsidRDefault="006D51CF" w:rsidP="002E3B6B">
            <w:pPr>
              <w:pStyle w:val="Tabletext"/>
              <w:keepNext/>
              <w:keepLines/>
              <w:jc w:val="center"/>
              <w:rPr>
                <w:sz w:val="21"/>
                <w:szCs w:val="21"/>
              </w:rPr>
            </w:pPr>
            <w:r>
              <w:rPr>
                <w:sz w:val="21"/>
                <w:szCs w:val="21"/>
              </w:rPr>
              <w:t>Inglés</w:t>
            </w:r>
          </w:p>
        </w:tc>
        <w:tc>
          <w:tcPr>
            <w:tcW w:w="1217" w:type="dxa"/>
          </w:tcPr>
          <w:p w14:paraId="756CF22A" w14:textId="77777777" w:rsidR="006D51CF" w:rsidRPr="00447219" w:rsidRDefault="006D51CF" w:rsidP="002E3B6B">
            <w:pPr>
              <w:pStyle w:val="Tabletext"/>
              <w:keepNext/>
              <w:keepLines/>
              <w:jc w:val="center"/>
              <w:rPr>
                <w:sz w:val="21"/>
                <w:szCs w:val="21"/>
              </w:rPr>
            </w:pPr>
            <w:r w:rsidRPr="00447219">
              <w:rPr>
                <w:sz w:val="21"/>
                <w:szCs w:val="21"/>
              </w:rPr>
              <w:t xml:space="preserve">22-27 </w:t>
            </w:r>
            <w:r>
              <w:rPr>
                <w:sz w:val="21"/>
                <w:szCs w:val="21"/>
              </w:rPr>
              <w:t>de julio</w:t>
            </w:r>
          </w:p>
          <w:p w14:paraId="6F932B44" w14:textId="77777777" w:rsidR="006D51CF" w:rsidRPr="00447219" w:rsidRDefault="006D51CF" w:rsidP="002E3B6B">
            <w:pPr>
              <w:pStyle w:val="Tabletext"/>
              <w:keepNext/>
              <w:keepLines/>
              <w:jc w:val="center"/>
              <w:rPr>
                <w:sz w:val="21"/>
                <w:szCs w:val="21"/>
              </w:rPr>
            </w:pPr>
            <w:r w:rsidRPr="00447219">
              <w:rPr>
                <w:sz w:val="21"/>
                <w:szCs w:val="21"/>
              </w:rPr>
              <w:t>St. George, Gr</w:t>
            </w:r>
            <w:r>
              <w:rPr>
                <w:sz w:val="21"/>
                <w:szCs w:val="21"/>
              </w:rPr>
              <w:t>a</w:t>
            </w:r>
            <w:r w:rsidRPr="00447219">
              <w:rPr>
                <w:sz w:val="21"/>
                <w:szCs w:val="21"/>
              </w:rPr>
              <w:t>nada</w:t>
            </w:r>
          </w:p>
        </w:tc>
        <w:tc>
          <w:tcPr>
            <w:tcW w:w="1604" w:type="dxa"/>
            <w:noWrap/>
          </w:tcPr>
          <w:p w14:paraId="7BEFD333" w14:textId="77777777" w:rsidR="006D51CF" w:rsidRPr="00447219" w:rsidRDefault="006D51CF" w:rsidP="002E3B6B">
            <w:pPr>
              <w:pStyle w:val="Tabletext"/>
              <w:keepNext/>
              <w:keepLines/>
              <w:jc w:val="center"/>
              <w:rPr>
                <w:sz w:val="21"/>
                <w:szCs w:val="21"/>
              </w:rPr>
            </w:pPr>
            <w:r w:rsidRPr="00447219">
              <w:rPr>
                <w:sz w:val="21"/>
                <w:szCs w:val="21"/>
              </w:rPr>
              <w:t>−</w:t>
            </w:r>
          </w:p>
        </w:tc>
        <w:tc>
          <w:tcPr>
            <w:tcW w:w="1596" w:type="dxa"/>
            <w:noWrap/>
          </w:tcPr>
          <w:p w14:paraId="3A864357" w14:textId="77777777" w:rsidR="006D51CF" w:rsidRPr="00447219" w:rsidRDefault="006D51CF" w:rsidP="002E3B6B">
            <w:pPr>
              <w:pStyle w:val="Tabletext"/>
              <w:keepNext/>
              <w:keepLines/>
              <w:jc w:val="center"/>
              <w:rPr>
                <w:sz w:val="21"/>
                <w:szCs w:val="21"/>
              </w:rPr>
            </w:pPr>
            <w:r w:rsidRPr="00447219">
              <w:rPr>
                <w:sz w:val="21"/>
                <w:szCs w:val="21"/>
              </w:rPr>
              <w:t>−</w:t>
            </w:r>
          </w:p>
        </w:tc>
        <w:tc>
          <w:tcPr>
            <w:tcW w:w="975" w:type="dxa"/>
            <w:noWrap/>
          </w:tcPr>
          <w:p w14:paraId="4BD2252A" w14:textId="77777777" w:rsidR="006D51CF" w:rsidRPr="00447219" w:rsidRDefault="006D51CF" w:rsidP="002E3B6B">
            <w:pPr>
              <w:pStyle w:val="Tabletext"/>
              <w:keepNext/>
              <w:keepLines/>
              <w:jc w:val="center"/>
              <w:rPr>
                <w:sz w:val="21"/>
                <w:szCs w:val="21"/>
              </w:rPr>
            </w:pPr>
            <w:r w:rsidRPr="00447219">
              <w:rPr>
                <w:sz w:val="21"/>
                <w:szCs w:val="21"/>
              </w:rPr>
              <w:t>−</w:t>
            </w:r>
          </w:p>
        </w:tc>
      </w:tr>
      <w:tr w:rsidR="006D51CF" w:rsidRPr="00B076F3" w14:paraId="7FA057BA" w14:textId="77777777" w:rsidTr="00FE4C11">
        <w:trPr>
          <w:trHeight w:val="220"/>
          <w:jc w:val="center"/>
        </w:trPr>
        <w:tc>
          <w:tcPr>
            <w:tcW w:w="2689" w:type="dxa"/>
            <w:noWrap/>
            <w:hideMark/>
          </w:tcPr>
          <w:p w14:paraId="11FB2170" w14:textId="77777777" w:rsidR="006D51CF" w:rsidRPr="00447219" w:rsidRDefault="006D51CF" w:rsidP="002E3B6B">
            <w:pPr>
              <w:pStyle w:val="Tabletext"/>
              <w:keepNext/>
              <w:keepLines/>
              <w:rPr>
                <w:sz w:val="21"/>
                <w:szCs w:val="21"/>
              </w:rPr>
            </w:pPr>
            <w:r>
              <w:rPr>
                <w:sz w:val="21"/>
                <w:szCs w:val="21"/>
              </w:rPr>
              <w:t>América del Sur</w:t>
            </w:r>
          </w:p>
        </w:tc>
        <w:tc>
          <w:tcPr>
            <w:tcW w:w="1984" w:type="dxa"/>
            <w:noWrap/>
            <w:hideMark/>
          </w:tcPr>
          <w:p w14:paraId="6A3E763D" w14:textId="77777777" w:rsidR="006D51CF" w:rsidRPr="00447219" w:rsidRDefault="006D51CF" w:rsidP="002E3B6B">
            <w:pPr>
              <w:pStyle w:val="Tabletext"/>
              <w:keepNext/>
              <w:keepLines/>
              <w:jc w:val="center"/>
              <w:rPr>
                <w:sz w:val="21"/>
                <w:szCs w:val="21"/>
              </w:rPr>
            </w:pPr>
            <w:r>
              <w:rPr>
                <w:sz w:val="21"/>
                <w:szCs w:val="21"/>
              </w:rPr>
              <w:t>Español/inglés</w:t>
            </w:r>
          </w:p>
        </w:tc>
        <w:tc>
          <w:tcPr>
            <w:tcW w:w="1217" w:type="dxa"/>
            <w:hideMark/>
          </w:tcPr>
          <w:p w14:paraId="794AF6F8" w14:textId="77777777" w:rsidR="006D51CF" w:rsidRPr="00447219" w:rsidRDefault="006D51CF" w:rsidP="002E3B6B">
            <w:pPr>
              <w:pStyle w:val="Tabletext"/>
              <w:keepNext/>
              <w:keepLines/>
              <w:jc w:val="center"/>
              <w:rPr>
                <w:sz w:val="21"/>
                <w:szCs w:val="21"/>
              </w:rPr>
            </w:pPr>
            <w:r w:rsidRPr="00447219">
              <w:rPr>
                <w:sz w:val="21"/>
                <w:szCs w:val="21"/>
              </w:rPr>
              <w:t>−</w:t>
            </w:r>
          </w:p>
        </w:tc>
        <w:tc>
          <w:tcPr>
            <w:tcW w:w="1604" w:type="dxa"/>
            <w:noWrap/>
            <w:hideMark/>
          </w:tcPr>
          <w:p w14:paraId="4BF18F1D" w14:textId="77777777" w:rsidR="006D51CF" w:rsidRPr="00447219" w:rsidRDefault="006D51CF" w:rsidP="002E3B6B">
            <w:pPr>
              <w:pStyle w:val="Tabletext"/>
              <w:keepNext/>
              <w:keepLines/>
              <w:jc w:val="center"/>
              <w:rPr>
                <w:sz w:val="21"/>
                <w:szCs w:val="21"/>
              </w:rPr>
            </w:pPr>
            <w:r w:rsidRPr="00447219">
              <w:rPr>
                <w:sz w:val="21"/>
                <w:szCs w:val="21"/>
              </w:rPr>
              <w:t> </w:t>
            </w:r>
          </w:p>
        </w:tc>
        <w:tc>
          <w:tcPr>
            <w:tcW w:w="1596" w:type="dxa"/>
            <w:noWrap/>
            <w:hideMark/>
          </w:tcPr>
          <w:p w14:paraId="0D0C31AA" w14:textId="77777777" w:rsidR="006D51CF" w:rsidRPr="00BD2E26" w:rsidRDefault="006D51CF" w:rsidP="002E3B6B">
            <w:pPr>
              <w:pStyle w:val="Tabletext"/>
              <w:keepNext/>
              <w:keepLines/>
              <w:jc w:val="center"/>
              <w:rPr>
                <w:sz w:val="21"/>
                <w:szCs w:val="21"/>
                <w:lang w:val="es-AR"/>
              </w:rPr>
            </w:pPr>
            <w:r w:rsidRPr="00BD2E26">
              <w:rPr>
                <w:sz w:val="21"/>
                <w:szCs w:val="21"/>
                <w:lang w:val="es-AR"/>
              </w:rPr>
              <w:t xml:space="preserve">27-31 </w:t>
            </w:r>
            <w:r>
              <w:rPr>
                <w:sz w:val="21"/>
                <w:szCs w:val="21"/>
                <w:lang w:val="es-AR"/>
              </w:rPr>
              <w:t>de julio</w:t>
            </w:r>
          </w:p>
          <w:p w14:paraId="27DA1057" w14:textId="77777777" w:rsidR="006D51CF" w:rsidRPr="00BD2E26" w:rsidRDefault="006D51CF" w:rsidP="002E3B6B">
            <w:pPr>
              <w:pStyle w:val="Tabletext"/>
              <w:keepNext/>
              <w:keepLines/>
              <w:jc w:val="center"/>
              <w:rPr>
                <w:sz w:val="21"/>
                <w:szCs w:val="21"/>
                <w:lang w:val="es-AR"/>
              </w:rPr>
            </w:pPr>
            <w:r w:rsidRPr="00BD2E26">
              <w:rPr>
                <w:sz w:val="21"/>
                <w:szCs w:val="21"/>
                <w:lang w:val="es-AR"/>
              </w:rPr>
              <w:t>La Paz, Bolivia (</w:t>
            </w:r>
            <w:r>
              <w:rPr>
                <w:sz w:val="21"/>
                <w:szCs w:val="21"/>
                <w:lang w:val="es-AR"/>
              </w:rPr>
              <w:t>por confirmar</w:t>
            </w:r>
            <w:r w:rsidRPr="00BD2E26">
              <w:rPr>
                <w:sz w:val="21"/>
                <w:szCs w:val="21"/>
                <w:lang w:val="es-AR"/>
              </w:rPr>
              <w:t>)</w:t>
            </w:r>
          </w:p>
        </w:tc>
        <w:tc>
          <w:tcPr>
            <w:tcW w:w="975" w:type="dxa"/>
            <w:noWrap/>
            <w:hideMark/>
          </w:tcPr>
          <w:p w14:paraId="73B19B51" w14:textId="77777777" w:rsidR="006D51CF" w:rsidRPr="00447219" w:rsidRDefault="006D51CF" w:rsidP="002E3B6B">
            <w:pPr>
              <w:pStyle w:val="Tabletext"/>
              <w:keepNext/>
              <w:keepLines/>
              <w:jc w:val="center"/>
              <w:rPr>
                <w:sz w:val="21"/>
                <w:szCs w:val="21"/>
              </w:rPr>
            </w:pPr>
            <w:r w:rsidRPr="00447219">
              <w:rPr>
                <w:sz w:val="21"/>
                <w:szCs w:val="21"/>
              </w:rPr>
              <w:t>−</w:t>
            </w:r>
          </w:p>
        </w:tc>
      </w:tr>
      <w:tr w:rsidR="006D51CF" w:rsidRPr="00B076F3" w14:paraId="7464071F" w14:textId="77777777" w:rsidTr="00FE4C11">
        <w:trPr>
          <w:trHeight w:val="291"/>
          <w:jc w:val="center"/>
        </w:trPr>
        <w:tc>
          <w:tcPr>
            <w:tcW w:w="2689" w:type="dxa"/>
            <w:noWrap/>
            <w:hideMark/>
          </w:tcPr>
          <w:p w14:paraId="45526A97" w14:textId="77777777" w:rsidR="006D51CF" w:rsidRPr="00447219" w:rsidRDefault="006D51CF" w:rsidP="002E3B6B">
            <w:pPr>
              <w:pStyle w:val="Tabletext"/>
              <w:keepNext/>
              <w:keepLines/>
              <w:rPr>
                <w:sz w:val="21"/>
                <w:szCs w:val="21"/>
              </w:rPr>
            </w:pPr>
            <w:r>
              <w:rPr>
                <w:sz w:val="21"/>
                <w:szCs w:val="21"/>
              </w:rPr>
              <w:t>América Central</w:t>
            </w:r>
          </w:p>
        </w:tc>
        <w:tc>
          <w:tcPr>
            <w:tcW w:w="1984" w:type="dxa"/>
            <w:noWrap/>
            <w:hideMark/>
          </w:tcPr>
          <w:p w14:paraId="05CFEB9D" w14:textId="77777777" w:rsidR="006D51CF" w:rsidRPr="00447219" w:rsidRDefault="006D51CF" w:rsidP="002E3B6B">
            <w:pPr>
              <w:pStyle w:val="Tabletext"/>
              <w:keepNext/>
              <w:keepLines/>
              <w:jc w:val="center"/>
              <w:rPr>
                <w:sz w:val="21"/>
                <w:szCs w:val="21"/>
              </w:rPr>
            </w:pPr>
            <w:r>
              <w:rPr>
                <w:sz w:val="21"/>
                <w:szCs w:val="21"/>
              </w:rPr>
              <w:t>Español/inglés</w:t>
            </w:r>
          </w:p>
        </w:tc>
        <w:tc>
          <w:tcPr>
            <w:tcW w:w="1217" w:type="dxa"/>
            <w:noWrap/>
            <w:hideMark/>
          </w:tcPr>
          <w:p w14:paraId="148EA7D3" w14:textId="77777777" w:rsidR="006D51CF" w:rsidRPr="00447219" w:rsidRDefault="006D51CF" w:rsidP="002E3B6B">
            <w:pPr>
              <w:pStyle w:val="Tabletext"/>
              <w:keepNext/>
              <w:keepLines/>
              <w:jc w:val="center"/>
              <w:rPr>
                <w:sz w:val="21"/>
                <w:szCs w:val="21"/>
              </w:rPr>
            </w:pPr>
            <w:r w:rsidRPr="00447219">
              <w:rPr>
                <w:sz w:val="21"/>
                <w:szCs w:val="21"/>
              </w:rPr>
              <w:t>−</w:t>
            </w:r>
          </w:p>
        </w:tc>
        <w:tc>
          <w:tcPr>
            <w:tcW w:w="1604" w:type="dxa"/>
            <w:noWrap/>
            <w:hideMark/>
          </w:tcPr>
          <w:p w14:paraId="3FC90F90" w14:textId="77777777" w:rsidR="006D51CF" w:rsidRPr="00447219" w:rsidRDefault="006D51CF" w:rsidP="002E3B6B">
            <w:pPr>
              <w:pStyle w:val="Tabletext"/>
              <w:keepNext/>
              <w:keepLines/>
              <w:jc w:val="center"/>
              <w:rPr>
                <w:sz w:val="21"/>
                <w:szCs w:val="21"/>
              </w:rPr>
            </w:pPr>
            <w:r w:rsidRPr="00447219">
              <w:rPr>
                <w:sz w:val="21"/>
                <w:szCs w:val="21"/>
              </w:rPr>
              <w:t xml:space="preserve">16-20 </w:t>
            </w:r>
            <w:r>
              <w:rPr>
                <w:sz w:val="21"/>
                <w:szCs w:val="21"/>
              </w:rPr>
              <w:t>de junio</w:t>
            </w:r>
            <w:r w:rsidRPr="00447219">
              <w:rPr>
                <w:sz w:val="21"/>
                <w:szCs w:val="21"/>
              </w:rPr>
              <w:br/>
              <w:t>Tegucigalpa, Honduras</w:t>
            </w:r>
          </w:p>
        </w:tc>
        <w:tc>
          <w:tcPr>
            <w:tcW w:w="1596" w:type="dxa"/>
            <w:noWrap/>
            <w:hideMark/>
          </w:tcPr>
          <w:p w14:paraId="1F66CCD9" w14:textId="77777777" w:rsidR="006D51CF" w:rsidRPr="00447219" w:rsidRDefault="006D51CF" w:rsidP="002E3B6B">
            <w:pPr>
              <w:pStyle w:val="Tabletext"/>
              <w:keepNext/>
              <w:keepLines/>
              <w:jc w:val="center"/>
              <w:rPr>
                <w:sz w:val="21"/>
                <w:szCs w:val="21"/>
              </w:rPr>
            </w:pPr>
            <w:r w:rsidRPr="00447219">
              <w:rPr>
                <w:sz w:val="21"/>
                <w:szCs w:val="21"/>
              </w:rPr>
              <w:t>−</w:t>
            </w:r>
          </w:p>
        </w:tc>
        <w:tc>
          <w:tcPr>
            <w:tcW w:w="975" w:type="dxa"/>
            <w:hideMark/>
          </w:tcPr>
          <w:p w14:paraId="45CD69E3" w14:textId="77777777" w:rsidR="006D51CF" w:rsidRPr="00447219" w:rsidRDefault="006D51CF" w:rsidP="002E3B6B">
            <w:pPr>
              <w:pStyle w:val="Tabletext"/>
              <w:keepNext/>
              <w:keepLines/>
              <w:jc w:val="center"/>
              <w:rPr>
                <w:sz w:val="21"/>
                <w:szCs w:val="21"/>
              </w:rPr>
            </w:pPr>
            <w:r w:rsidRPr="00447219">
              <w:rPr>
                <w:sz w:val="21"/>
                <w:szCs w:val="21"/>
              </w:rPr>
              <w:t>−</w:t>
            </w:r>
          </w:p>
        </w:tc>
      </w:tr>
      <w:tr w:rsidR="006D51CF" w:rsidRPr="004C1106" w14:paraId="0404D39E" w14:textId="77777777" w:rsidTr="00FE4C11">
        <w:trPr>
          <w:trHeight w:val="291"/>
          <w:jc w:val="center"/>
        </w:trPr>
        <w:tc>
          <w:tcPr>
            <w:tcW w:w="10065" w:type="dxa"/>
            <w:gridSpan w:val="6"/>
            <w:shd w:val="clear" w:color="auto" w:fill="F2F2F2" w:themeFill="background1" w:themeFillShade="F2"/>
            <w:hideMark/>
          </w:tcPr>
          <w:p w14:paraId="3C72326A" w14:textId="77777777" w:rsidR="006D51CF" w:rsidRPr="009705FF" w:rsidRDefault="006D51CF" w:rsidP="002E3B6B">
            <w:pPr>
              <w:pStyle w:val="Tablehead"/>
              <w:keepLines/>
              <w:jc w:val="left"/>
              <w:rPr>
                <w:sz w:val="21"/>
                <w:szCs w:val="21"/>
                <w:lang w:val="es-ES"/>
              </w:rPr>
            </w:pPr>
            <w:r w:rsidRPr="009705FF">
              <w:rPr>
                <w:sz w:val="21"/>
                <w:szCs w:val="21"/>
                <w:lang w:val="es-ES"/>
              </w:rPr>
              <w:t>Asia y el Pacífico: APC (3)</w:t>
            </w:r>
          </w:p>
        </w:tc>
      </w:tr>
      <w:tr w:rsidR="006D51CF" w:rsidRPr="00B076F3" w14:paraId="28B35117" w14:textId="77777777" w:rsidTr="00FE4C11">
        <w:trPr>
          <w:trHeight w:val="279"/>
          <w:jc w:val="center"/>
        </w:trPr>
        <w:tc>
          <w:tcPr>
            <w:tcW w:w="2689" w:type="dxa"/>
            <w:noWrap/>
          </w:tcPr>
          <w:p w14:paraId="48371656" w14:textId="77777777" w:rsidR="006D51CF" w:rsidRPr="00447219" w:rsidRDefault="006D51CF" w:rsidP="002E3B6B">
            <w:pPr>
              <w:pStyle w:val="Tabletext"/>
              <w:keepNext/>
              <w:keepLines/>
              <w:rPr>
                <w:sz w:val="21"/>
                <w:szCs w:val="21"/>
              </w:rPr>
            </w:pPr>
            <w:r>
              <w:rPr>
                <w:sz w:val="21"/>
                <w:szCs w:val="21"/>
                <w:lang w:val="fr-FR"/>
              </w:rPr>
              <w:t>Estados insulares del Pacífico</w:t>
            </w:r>
          </w:p>
        </w:tc>
        <w:tc>
          <w:tcPr>
            <w:tcW w:w="1984" w:type="dxa"/>
            <w:noWrap/>
          </w:tcPr>
          <w:p w14:paraId="0460B517" w14:textId="77777777" w:rsidR="006D51CF" w:rsidRPr="00447219" w:rsidRDefault="006D51CF" w:rsidP="002E3B6B">
            <w:pPr>
              <w:pStyle w:val="Tabletext"/>
              <w:keepNext/>
              <w:keepLines/>
              <w:jc w:val="center"/>
              <w:rPr>
                <w:sz w:val="21"/>
                <w:szCs w:val="21"/>
              </w:rPr>
            </w:pPr>
            <w:r>
              <w:rPr>
                <w:sz w:val="21"/>
                <w:szCs w:val="21"/>
              </w:rPr>
              <w:t>Inglés</w:t>
            </w:r>
          </w:p>
        </w:tc>
        <w:tc>
          <w:tcPr>
            <w:tcW w:w="1217" w:type="dxa"/>
            <w:noWrap/>
            <w:hideMark/>
          </w:tcPr>
          <w:p w14:paraId="0D0FF0A6" w14:textId="77777777" w:rsidR="006D51CF" w:rsidRPr="00447219" w:rsidRDefault="006D51CF" w:rsidP="002E3B6B">
            <w:pPr>
              <w:pStyle w:val="Tabletext"/>
              <w:keepNext/>
              <w:keepLines/>
              <w:jc w:val="center"/>
              <w:rPr>
                <w:sz w:val="21"/>
                <w:szCs w:val="21"/>
              </w:rPr>
            </w:pPr>
            <w:r w:rsidRPr="00447219">
              <w:rPr>
                <w:sz w:val="21"/>
                <w:szCs w:val="21"/>
              </w:rPr>
              <w:t xml:space="preserve">16-21 </w:t>
            </w:r>
            <w:r>
              <w:rPr>
                <w:sz w:val="21"/>
                <w:szCs w:val="21"/>
              </w:rPr>
              <w:t>de septiembre</w:t>
            </w:r>
          </w:p>
          <w:p w14:paraId="378FDA1C" w14:textId="77777777" w:rsidR="006D51CF" w:rsidRPr="00447219" w:rsidRDefault="006D51CF" w:rsidP="002E3B6B">
            <w:pPr>
              <w:pStyle w:val="Tabletext"/>
              <w:keepNext/>
              <w:keepLines/>
              <w:jc w:val="center"/>
              <w:rPr>
                <w:sz w:val="21"/>
                <w:szCs w:val="21"/>
              </w:rPr>
            </w:pPr>
            <w:r w:rsidRPr="00447219">
              <w:rPr>
                <w:sz w:val="21"/>
                <w:szCs w:val="21"/>
              </w:rPr>
              <w:t>Apia, Samoa</w:t>
            </w:r>
          </w:p>
        </w:tc>
        <w:tc>
          <w:tcPr>
            <w:tcW w:w="1604" w:type="dxa"/>
            <w:noWrap/>
            <w:hideMark/>
          </w:tcPr>
          <w:p w14:paraId="24AF3ACA" w14:textId="77777777" w:rsidR="006D51CF" w:rsidRPr="00447219" w:rsidRDefault="006D51CF" w:rsidP="002E3B6B">
            <w:pPr>
              <w:pStyle w:val="Tabletext"/>
              <w:keepNext/>
              <w:keepLines/>
              <w:jc w:val="center"/>
              <w:rPr>
                <w:sz w:val="21"/>
                <w:szCs w:val="21"/>
              </w:rPr>
            </w:pPr>
            <w:r w:rsidRPr="00447219">
              <w:rPr>
                <w:sz w:val="21"/>
                <w:szCs w:val="21"/>
              </w:rPr>
              <w:t>−</w:t>
            </w:r>
          </w:p>
        </w:tc>
        <w:tc>
          <w:tcPr>
            <w:tcW w:w="1596" w:type="dxa"/>
            <w:hideMark/>
          </w:tcPr>
          <w:p w14:paraId="716F3052" w14:textId="77777777" w:rsidR="006D51CF" w:rsidRPr="00447219" w:rsidRDefault="006D51CF" w:rsidP="002E3B6B">
            <w:pPr>
              <w:pStyle w:val="Tabletext"/>
              <w:keepNext/>
              <w:keepLines/>
              <w:jc w:val="center"/>
              <w:rPr>
                <w:sz w:val="21"/>
                <w:szCs w:val="21"/>
              </w:rPr>
            </w:pPr>
            <w:r w:rsidRPr="00447219">
              <w:rPr>
                <w:sz w:val="21"/>
                <w:szCs w:val="21"/>
              </w:rPr>
              <w:t>−</w:t>
            </w:r>
          </w:p>
        </w:tc>
        <w:tc>
          <w:tcPr>
            <w:tcW w:w="975" w:type="dxa"/>
            <w:noWrap/>
            <w:hideMark/>
          </w:tcPr>
          <w:p w14:paraId="519DAAEE" w14:textId="77777777" w:rsidR="006D51CF" w:rsidRPr="00447219" w:rsidRDefault="006D51CF" w:rsidP="002E3B6B">
            <w:pPr>
              <w:pStyle w:val="Tabletext"/>
              <w:keepNext/>
              <w:keepLines/>
              <w:jc w:val="center"/>
              <w:rPr>
                <w:sz w:val="21"/>
                <w:szCs w:val="21"/>
              </w:rPr>
            </w:pPr>
            <w:r w:rsidRPr="00447219">
              <w:rPr>
                <w:sz w:val="21"/>
                <w:szCs w:val="21"/>
              </w:rPr>
              <w:t>−</w:t>
            </w:r>
          </w:p>
        </w:tc>
      </w:tr>
      <w:tr w:rsidR="006D51CF" w:rsidRPr="00B076F3" w14:paraId="2C2C27E6" w14:textId="77777777" w:rsidTr="00FE4C11">
        <w:trPr>
          <w:trHeight w:val="396"/>
          <w:jc w:val="center"/>
        </w:trPr>
        <w:tc>
          <w:tcPr>
            <w:tcW w:w="2689" w:type="dxa"/>
            <w:noWrap/>
            <w:hideMark/>
          </w:tcPr>
          <w:p w14:paraId="023AB707" w14:textId="77777777" w:rsidR="006D51CF" w:rsidRPr="00447219" w:rsidRDefault="006D51CF" w:rsidP="002E3B6B">
            <w:pPr>
              <w:pStyle w:val="Tabletext"/>
              <w:keepNext/>
              <w:keepLines/>
              <w:rPr>
                <w:sz w:val="21"/>
                <w:szCs w:val="21"/>
              </w:rPr>
            </w:pPr>
            <w:r>
              <w:rPr>
                <w:sz w:val="21"/>
                <w:szCs w:val="21"/>
              </w:rPr>
              <w:t>Asia Meridional</w:t>
            </w:r>
          </w:p>
        </w:tc>
        <w:tc>
          <w:tcPr>
            <w:tcW w:w="1984" w:type="dxa"/>
            <w:noWrap/>
            <w:hideMark/>
          </w:tcPr>
          <w:p w14:paraId="218C2897" w14:textId="77777777" w:rsidR="006D51CF" w:rsidRPr="00447219" w:rsidRDefault="006D51CF" w:rsidP="002E3B6B">
            <w:pPr>
              <w:pStyle w:val="Tabletext"/>
              <w:keepNext/>
              <w:keepLines/>
              <w:jc w:val="center"/>
              <w:rPr>
                <w:sz w:val="21"/>
                <w:szCs w:val="21"/>
              </w:rPr>
            </w:pPr>
            <w:r>
              <w:rPr>
                <w:sz w:val="21"/>
                <w:szCs w:val="21"/>
              </w:rPr>
              <w:t>Inglés</w:t>
            </w:r>
          </w:p>
        </w:tc>
        <w:tc>
          <w:tcPr>
            <w:tcW w:w="1217" w:type="dxa"/>
            <w:hideMark/>
          </w:tcPr>
          <w:p w14:paraId="18FDE04F" w14:textId="77777777" w:rsidR="006D51CF" w:rsidRPr="00447219" w:rsidRDefault="006D51CF" w:rsidP="002E3B6B">
            <w:pPr>
              <w:pStyle w:val="Tabletext"/>
              <w:keepNext/>
              <w:keepLines/>
              <w:jc w:val="center"/>
              <w:rPr>
                <w:sz w:val="21"/>
                <w:szCs w:val="21"/>
              </w:rPr>
            </w:pPr>
            <w:r w:rsidRPr="00447219">
              <w:rPr>
                <w:sz w:val="21"/>
                <w:szCs w:val="21"/>
              </w:rPr>
              <w:t>−</w:t>
            </w:r>
          </w:p>
        </w:tc>
        <w:tc>
          <w:tcPr>
            <w:tcW w:w="1604" w:type="dxa"/>
            <w:noWrap/>
          </w:tcPr>
          <w:p w14:paraId="5E92EAB3" w14:textId="77777777" w:rsidR="006D51CF" w:rsidRPr="00447219" w:rsidRDefault="006D51CF" w:rsidP="002E3B6B">
            <w:pPr>
              <w:pStyle w:val="Tabletext"/>
              <w:keepNext/>
              <w:keepLines/>
              <w:jc w:val="center"/>
              <w:rPr>
                <w:sz w:val="21"/>
                <w:szCs w:val="21"/>
              </w:rPr>
            </w:pPr>
            <w:r w:rsidRPr="00447219">
              <w:rPr>
                <w:sz w:val="21"/>
                <w:szCs w:val="21"/>
              </w:rPr>
              <w:t xml:space="preserve">20-24 </w:t>
            </w:r>
            <w:r>
              <w:rPr>
                <w:sz w:val="21"/>
                <w:szCs w:val="21"/>
              </w:rPr>
              <w:t>de octubre</w:t>
            </w:r>
            <w:r w:rsidRPr="00447219">
              <w:rPr>
                <w:sz w:val="21"/>
                <w:szCs w:val="21"/>
              </w:rPr>
              <w:br/>
              <w:t xml:space="preserve">Chengdu, China </w:t>
            </w:r>
          </w:p>
        </w:tc>
        <w:tc>
          <w:tcPr>
            <w:tcW w:w="1596" w:type="dxa"/>
            <w:noWrap/>
            <w:hideMark/>
          </w:tcPr>
          <w:p w14:paraId="4542B11D" w14:textId="77777777" w:rsidR="006D51CF" w:rsidRPr="00447219" w:rsidRDefault="006D51CF" w:rsidP="002E3B6B">
            <w:pPr>
              <w:pStyle w:val="Tabletext"/>
              <w:keepNext/>
              <w:keepLines/>
              <w:jc w:val="center"/>
              <w:rPr>
                <w:sz w:val="21"/>
                <w:szCs w:val="21"/>
              </w:rPr>
            </w:pPr>
            <w:r w:rsidRPr="00447219">
              <w:rPr>
                <w:sz w:val="21"/>
                <w:szCs w:val="21"/>
              </w:rPr>
              <w:t>−</w:t>
            </w:r>
          </w:p>
        </w:tc>
        <w:tc>
          <w:tcPr>
            <w:tcW w:w="975" w:type="dxa"/>
            <w:noWrap/>
            <w:hideMark/>
          </w:tcPr>
          <w:p w14:paraId="2A918871" w14:textId="77777777" w:rsidR="006D51CF" w:rsidRPr="00447219" w:rsidRDefault="006D51CF" w:rsidP="002E3B6B">
            <w:pPr>
              <w:pStyle w:val="Tabletext"/>
              <w:keepNext/>
              <w:keepLines/>
              <w:jc w:val="center"/>
              <w:rPr>
                <w:sz w:val="21"/>
                <w:szCs w:val="21"/>
              </w:rPr>
            </w:pPr>
            <w:r w:rsidRPr="00447219">
              <w:rPr>
                <w:sz w:val="21"/>
                <w:szCs w:val="21"/>
              </w:rPr>
              <w:t>−</w:t>
            </w:r>
          </w:p>
        </w:tc>
      </w:tr>
      <w:tr w:rsidR="006D51CF" w:rsidRPr="00B076F3" w14:paraId="2ECE2C14" w14:textId="77777777" w:rsidTr="00FE4C11">
        <w:trPr>
          <w:trHeight w:val="402"/>
          <w:jc w:val="center"/>
        </w:trPr>
        <w:tc>
          <w:tcPr>
            <w:tcW w:w="2689" w:type="dxa"/>
            <w:noWrap/>
          </w:tcPr>
          <w:p w14:paraId="35037C05" w14:textId="77777777" w:rsidR="006D51CF" w:rsidRPr="00447219" w:rsidRDefault="006D51CF" w:rsidP="002E3B6B">
            <w:pPr>
              <w:pStyle w:val="Tabletext"/>
              <w:keepNext/>
              <w:keepLines/>
              <w:rPr>
                <w:sz w:val="21"/>
                <w:szCs w:val="21"/>
                <w:lang w:val="fr-FR"/>
              </w:rPr>
            </w:pPr>
            <w:r>
              <w:rPr>
                <w:sz w:val="21"/>
                <w:szCs w:val="21"/>
              </w:rPr>
              <w:t>Asia Central</w:t>
            </w:r>
          </w:p>
        </w:tc>
        <w:tc>
          <w:tcPr>
            <w:tcW w:w="1984" w:type="dxa"/>
            <w:noWrap/>
          </w:tcPr>
          <w:p w14:paraId="61B9A102" w14:textId="77777777" w:rsidR="006D51CF" w:rsidRPr="00447219" w:rsidRDefault="006D51CF" w:rsidP="002E3B6B">
            <w:pPr>
              <w:pStyle w:val="Tabletext"/>
              <w:keepNext/>
              <w:keepLines/>
              <w:jc w:val="center"/>
              <w:rPr>
                <w:sz w:val="21"/>
                <w:szCs w:val="21"/>
              </w:rPr>
            </w:pPr>
            <w:r>
              <w:rPr>
                <w:sz w:val="21"/>
                <w:szCs w:val="21"/>
              </w:rPr>
              <w:t>Inglés</w:t>
            </w:r>
          </w:p>
        </w:tc>
        <w:tc>
          <w:tcPr>
            <w:tcW w:w="1217" w:type="dxa"/>
            <w:noWrap/>
          </w:tcPr>
          <w:p w14:paraId="2962B7B9" w14:textId="77777777" w:rsidR="006D51CF" w:rsidRPr="00447219" w:rsidRDefault="006D51CF" w:rsidP="002E3B6B">
            <w:pPr>
              <w:pStyle w:val="Tabletext"/>
              <w:keepNext/>
              <w:keepLines/>
              <w:jc w:val="center"/>
              <w:rPr>
                <w:b/>
                <w:sz w:val="21"/>
                <w:szCs w:val="21"/>
              </w:rPr>
            </w:pPr>
            <w:r w:rsidRPr="00447219">
              <w:rPr>
                <w:sz w:val="21"/>
                <w:szCs w:val="21"/>
              </w:rPr>
              <w:t>−</w:t>
            </w:r>
          </w:p>
        </w:tc>
        <w:tc>
          <w:tcPr>
            <w:tcW w:w="1604" w:type="dxa"/>
          </w:tcPr>
          <w:p w14:paraId="4B2F008F" w14:textId="77777777" w:rsidR="006D51CF" w:rsidRPr="00447219" w:rsidRDefault="006D51CF" w:rsidP="002E3B6B">
            <w:pPr>
              <w:pStyle w:val="Tabletext"/>
              <w:keepNext/>
              <w:keepLines/>
              <w:jc w:val="center"/>
              <w:rPr>
                <w:b/>
                <w:sz w:val="21"/>
                <w:szCs w:val="21"/>
              </w:rPr>
            </w:pPr>
            <w:r w:rsidRPr="00447219">
              <w:rPr>
                <w:sz w:val="21"/>
                <w:szCs w:val="21"/>
              </w:rPr>
              <w:t>−</w:t>
            </w:r>
          </w:p>
        </w:tc>
        <w:tc>
          <w:tcPr>
            <w:tcW w:w="1596" w:type="dxa"/>
            <w:noWrap/>
          </w:tcPr>
          <w:p w14:paraId="65354B4F" w14:textId="77777777" w:rsidR="006D51CF" w:rsidRPr="009705FF" w:rsidRDefault="006D51CF" w:rsidP="002E3B6B">
            <w:pPr>
              <w:pStyle w:val="Tabletext"/>
              <w:keepNext/>
              <w:keepLines/>
              <w:jc w:val="center"/>
              <w:rPr>
                <w:sz w:val="21"/>
                <w:szCs w:val="21"/>
                <w:lang w:val="es-ES"/>
              </w:rPr>
            </w:pPr>
            <w:r w:rsidRPr="009705FF">
              <w:rPr>
                <w:sz w:val="21"/>
                <w:szCs w:val="21"/>
                <w:lang w:val="es-ES"/>
              </w:rPr>
              <w:t>21-25 de septiembre</w:t>
            </w:r>
          </w:p>
          <w:p w14:paraId="4896FBFA" w14:textId="77777777" w:rsidR="006D51CF" w:rsidRPr="009705FF" w:rsidRDefault="006D51CF" w:rsidP="002E3B6B">
            <w:pPr>
              <w:pStyle w:val="Tabletext"/>
              <w:keepNext/>
              <w:keepLines/>
              <w:jc w:val="center"/>
              <w:rPr>
                <w:sz w:val="21"/>
                <w:szCs w:val="21"/>
                <w:lang w:val="es-ES"/>
              </w:rPr>
            </w:pPr>
            <w:r w:rsidRPr="009705FF">
              <w:rPr>
                <w:sz w:val="21"/>
                <w:szCs w:val="21"/>
                <w:lang w:val="es-ES"/>
              </w:rPr>
              <w:t>Ulan</w:t>
            </w:r>
            <w:r>
              <w:rPr>
                <w:sz w:val="21"/>
                <w:szCs w:val="21"/>
                <w:lang w:val="es-ES"/>
              </w:rPr>
              <w:t xml:space="preserve"> B</w:t>
            </w:r>
            <w:r w:rsidRPr="009705FF">
              <w:rPr>
                <w:sz w:val="21"/>
                <w:szCs w:val="21"/>
                <w:lang w:val="es-ES"/>
              </w:rPr>
              <w:t>at</w:t>
            </w:r>
            <w:r>
              <w:rPr>
                <w:sz w:val="21"/>
                <w:szCs w:val="21"/>
                <w:lang w:val="es-ES"/>
              </w:rPr>
              <w:t>o</w:t>
            </w:r>
            <w:r w:rsidRPr="009705FF">
              <w:rPr>
                <w:sz w:val="21"/>
                <w:szCs w:val="21"/>
                <w:lang w:val="es-ES"/>
              </w:rPr>
              <w:t>r, Mongolia (</w:t>
            </w:r>
            <w:r>
              <w:rPr>
                <w:sz w:val="21"/>
                <w:szCs w:val="21"/>
                <w:lang w:val="es-ES"/>
              </w:rPr>
              <w:t>por confirmar</w:t>
            </w:r>
            <w:r w:rsidRPr="009705FF">
              <w:rPr>
                <w:sz w:val="21"/>
                <w:szCs w:val="21"/>
                <w:lang w:val="es-ES"/>
              </w:rPr>
              <w:t>)</w:t>
            </w:r>
          </w:p>
        </w:tc>
        <w:tc>
          <w:tcPr>
            <w:tcW w:w="975" w:type="dxa"/>
            <w:noWrap/>
          </w:tcPr>
          <w:p w14:paraId="634D7D56" w14:textId="77777777" w:rsidR="006D51CF" w:rsidRPr="00447219" w:rsidRDefault="006D51CF" w:rsidP="002E3B6B">
            <w:pPr>
              <w:pStyle w:val="Tabletext"/>
              <w:keepNext/>
              <w:keepLines/>
              <w:jc w:val="center"/>
              <w:rPr>
                <w:sz w:val="21"/>
                <w:szCs w:val="21"/>
              </w:rPr>
            </w:pPr>
            <w:r w:rsidRPr="00447219">
              <w:rPr>
                <w:sz w:val="21"/>
                <w:szCs w:val="21"/>
              </w:rPr>
              <w:t>−</w:t>
            </w:r>
          </w:p>
        </w:tc>
      </w:tr>
      <w:tr w:rsidR="006D51CF" w:rsidRPr="00B076F3" w14:paraId="2AFFD20E" w14:textId="77777777" w:rsidTr="00FE4C11">
        <w:trPr>
          <w:trHeight w:val="291"/>
          <w:jc w:val="center"/>
        </w:trPr>
        <w:tc>
          <w:tcPr>
            <w:tcW w:w="2689" w:type="dxa"/>
            <w:shd w:val="clear" w:color="auto" w:fill="F2F2F2" w:themeFill="background1" w:themeFillShade="F2"/>
            <w:hideMark/>
          </w:tcPr>
          <w:p w14:paraId="367DBAF5" w14:textId="77777777" w:rsidR="006D51CF" w:rsidRPr="00447219" w:rsidRDefault="006D51CF" w:rsidP="002E3B6B">
            <w:pPr>
              <w:pStyle w:val="Tablehead"/>
              <w:keepLines/>
              <w:jc w:val="left"/>
              <w:rPr>
                <w:sz w:val="21"/>
                <w:szCs w:val="21"/>
              </w:rPr>
            </w:pPr>
            <w:r>
              <w:rPr>
                <w:sz w:val="21"/>
                <w:szCs w:val="21"/>
              </w:rPr>
              <w:t>Estados Árabes</w:t>
            </w:r>
            <w:r w:rsidRPr="00447219">
              <w:rPr>
                <w:sz w:val="21"/>
                <w:szCs w:val="21"/>
              </w:rPr>
              <w:t>: ARB (1)</w:t>
            </w:r>
          </w:p>
        </w:tc>
        <w:tc>
          <w:tcPr>
            <w:tcW w:w="1984" w:type="dxa"/>
            <w:hideMark/>
          </w:tcPr>
          <w:p w14:paraId="107A0B9E" w14:textId="77777777" w:rsidR="006D51CF" w:rsidRPr="00447219" w:rsidRDefault="006D51CF" w:rsidP="002E3B6B">
            <w:pPr>
              <w:pStyle w:val="Tabletext"/>
              <w:keepNext/>
              <w:keepLines/>
              <w:jc w:val="center"/>
              <w:rPr>
                <w:sz w:val="21"/>
                <w:szCs w:val="21"/>
              </w:rPr>
            </w:pPr>
            <w:r>
              <w:rPr>
                <w:sz w:val="21"/>
                <w:szCs w:val="21"/>
              </w:rPr>
              <w:t>Árabe/inglés</w:t>
            </w:r>
          </w:p>
        </w:tc>
        <w:tc>
          <w:tcPr>
            <w:tcW w:w="1217" w:type="dxa"/>
            <w:noWrap/>
          </w:tcPr>
          <w:p w14:paraId="351C723C" w14:textId="77777777" w:rsidR="006D51CF" w:rsidRPr="00447219" w:rsidRDefault="006D51CF" w:rsidP="002E3B6B">
            <w:pPr>
              <w:pStyle w:val="Tabletext"/>
              <w:keepNext/>
              <w:keepLines/>
              <w:jc w:val="center"/>
              <w:rPr>
                <w:sz w:val="21"/>
                <w:szCs w:val="21"/>
              </w:rPr>
            </w:pPr>
            <w:r w:rsidRPr="00447219">
              <w:rPr>
                <w:sz w:val="21"/>
                <w:szCs w:val="21"/>
              </w:rPr>
              <w:t>−</w:t>
            </w:r>
          </w:p>
        </w:tc>
        <w:tc>
          <w:tcPr>
            <w:tcW w:w="1604" w:type="dxa"/>
            <w:noWrap/>
            <w:hideMark/>
          </w:tcPr>
          <w:p w14:paraId="1F57265D" w14:textId="77777777" w:rsidR="006D51CF" w:rsidRPr="00447219" w:rsidRDefault="006D51CF" w:rsidP="002E3B6B">
            <w:pPr>
              <w:pStyle w:val="Tabletext"/>
              <w:keepNext/>
              <w:keepLines/>
              <w:jc w:val="center"/>
              <w:rPr>
                <w:sz w:val="21"/>
                <w:szCs w:val="21"/>
              </w:rPr>
            </w:pPr>
            <w:r w:rsidRPr="00447219">
              <w:rPr>
                <w:sz w:val="21"/>
                <w:szCs w:val="21"/>
              </w:rPr>
              <w:t>−</w:t>
            </w:r>
          </w:p>
        </w:tc>
        <w:tc>
          <w:tcPr>
            <w:tcW w:w="1596" w:type="dxa"/>
            <w:noWrap/>
            <w:hideMark/>
          </w:tcPr>
          <w:p w14:paraId="6D678AF5" w14:textId="77777777" w:rsidR="006D51CF" w:rsidRPr="00447219" w:rsidRDefault="006D51CF" w:rsidP="002E3B6B">
            <w:pPr>
              <w:pStyle w:val="Tabletext"/>
              <w:keepNext/>
              <w:keepLines/>
              <w:jc w:val="center"/>
              <w:rPr>
                <w:sz w:val="21"/>
                <w:szCs w:val="21"/>
              </w:rPr>
            </w:pPr>
          </w:p>
        </w:tc>
        <w:tc>
          <w:tcPr>
            <w:tcW w:w="975" w:type="dxa"/>
            <w:noWrap/>
            <w:hideMark/>
          </w:tcPr>
          <w:p w14:paraId="384ADCA7" w14:textId="77777777" w:rsidR="006D51CF" w:rsidRPr="00447219" w:rsidRDefault="006D51CF" w:rsidP="002E3B6B">
            <w:pPr>
              <w:pStyle w:val="Tabletext"/>
              <w:keepNext/>
              <w:keepLines/>
              <w:jc w:val="center"/>
              <w:rPr>
                <w:sz w:val="21"/>
                <w:szCs w:val="21"/>
              </w:rPr>
            </w:pPr>
            <w:r w:rsidRPr="00447219">
              <w:rPr>
                <w:sz w:val="21"/>
                <w:szCs w:val="21"/>
              </w:rPr>
              <w:t>1</w:t>
            </w:r>
            <w:r>
              <w:rPr>
                <w:sz w:val="21"/>
                <w:szCs w:val="21"/>
              </w:rPr>
              <w:t>T</w:t>
            </w:r>
          </w:p>
        </w:tc>
      </w:tr>
      <w:tr w:rsidR="006D51CF" w:rsidRPr="00B076F3" w14:paraId="3CC90DE8" w14:textId="77777777" w:rsidTr="00FE4C11">
        <w:trPr>
          <w:trHeight w:val="291"/>
          <w:jc w:val="center"/>
        </w:trPr>
        <w:tc>
          <w:tcPr>
            <w:tcW w:w="2689" w:type="dxa"/>
            <w:shd w:val="clear" w:color="auto" w:fill="F2F2F2" w:themeFill="background1" w:themeFillShade="F2"/>
            <w:hideMark/>
          </w:tcPr>
          <w:p w14:paraId="332A1F54" w14:textId="77777777" w:rsidR="006D51CF" w:rsidRPr="009705FF" w:rsidRDefault="006D51CF" w:rsidP="002E3B6B">
            <w:pPr>
              <w:pStyle w:val="Tablehead"/>
              <w:keepLines/>
              <w:jc w:val="left"/>
              <w:rPr>
                <w:sz w:val="21"/>
                <w:szCs w:val="21"/>
                <w:lang w:val="es-ES"/>
              </w:rPr>
            </w:pPr>
            <w:r w:rsidRPr="009705FF">
              <w:rPr>
                <w:sz w:val="21"/>
                <w:szCs w:val="21"/>
                <w:lang w:val="es-ES"/>
              </w:rPr>
              <w:t>CEI y Europa Oriental (1)</w:t>
            </w:r>
          </w:p>
        </w:tc>
        <w:tc>
          <w:tcPr>
            <w:tcW w:w="1984" w:type="dxa"/>
            <w:hideMark/>
          </w:tcPr>
          <w:p w14:paraId="7200B4DA" w14:textId="77777777" w:rsidR="006D51CF" w:rsidRPr="00447219" w:rsidRDefault="006D51CF" w:rsidP="002E3B6B">
            <w:pPr>
              <w:pStyle w:val="Tabletext"/>
              <w:keepNext/>
              <w:keepLines/>
              <w:jc w:val="center"/>
              <w:rPr>
                <w:sz w:val="21"/>
                <w:szCs w:val="21"/>
              </w:rPr>
            </w:pPr>
            <w:r>
              <w:rPr>
                <w:sz w:val="21"/>
                <w:szCs w:val="21"/>
              </w:rPr>
              <w:t>Ruso</w:t>
            </w:r>
          </w:p>
        </w:tc>
        <w:tc>
          <w:tcPr>
            <w:tcW w:w="1217" w:type="dxa"/>
            <w:noWrap/>
            <w:hideMark/>
          </w:tcPr>
          <w:p w14:paraId="2026F925" w14:textId="77777777" w:rsidR="006D51CF" w:rsidRPr="00447219" w:rsidRDefault="006D51CF" w:rsidP="002E3B6B">
            <w:pPr>
              <w:pStyle w:val="Tabletext"/>
              <w:keepNext/>
              <w:keepLines/>
              <w:jc w:val="center"/>
              <w:rPr>
                <w:sz w:val="21"/>
                <w:szCs w:val="21"/>
              </w:rPr>
            </w:pPr>
            <w:r w:rsidRPr="00447219">
              <w:rPr>
                <w:sz w:val="21"/>
                <w:szCs w:val="21"/>
              </w:rPr>
              <w:t xml:space="preserve">15-19 </w:t>
            </w:r>
            <w:r>
              <w:rPr>
                <w:sz w:val="21"/>
                <w:szCs w:val="21"/>
              </w:rPr>
              <w:t>de abril</w:t>
            </w:r>
          </w:p>
          <w:p w14:paraId="1230D44A" w14:textId="77777777" w:rsidR="006D51CF" w:rsidRPr="00447219" w:rsidRDefault="006D51CF" w:rsidP="002E3B6B">
            <w:pPr>
              <w:pStyle w:val="Tabletext"/>
              <w:keepNext/>
              <w:keepLines/>
              <w:jc w:val="center"/>
              <w:rPr>
                <w:sz w:val="21"/>
                <w:szCs w:val="21"/>
              </w:rPr>
            </w:pPr>
            <w:r w:rsidRPr="00447219">
              <w:rPr>
                <w:sz w:val="21"/>
                <w:szCs w:val="21"/>
              </w:rPr>
              <w:t>Astana, Kaza</w:t>
            </w:r>
            <w:r>
              <w:rPr>
                <w:sz w:val="21"/>
                <w:szCs w:val="21"/>
              </w:rPr>
              <w:t>j</w:t>
            </w:r>
            <w:r w:rsidRPr="00447219">
              <w:rPr>
                <w:sz w:val="21"/>
                <w:szCs w:val="21"/>
              </w:rPr>
              <w:t>st</w:t>
            </w:r>
            <w:r>
              <w:rPr>
                <w:sz w:val="21"/>
                <w:szCs w:val="21"/>
              </w:rPr>
              <w:t>á</w:t>
            </w:r>
            <w:r w:rsidRPr="00447219">
              <w:rPr>
                <w:sz w:val="21"/>
                <w:szCs w:val="21"/>
              </w:rPr>
              <w:t>n</w:t>
            </w:r>
          </w:p>
        </w:tc>
        <w:tc>
          <w:tcPr>
            <w:tcW w:w="1604" w:type="dxa"/>
            <w:noWrap/>
            <w:hideMark/>
          </w:tcPr>
          <w:p w14:paraId="764CD82C" w14:textId="77777777" w:rsidR="006D51CF" w:rsidRPr="00447219" w:rsidRDefault="006D51CF" w:rsidP="002E3B6B">
            <w:pPr>
              <w:pStyle w:val="Tabletext"/>
              <w:keepNext/>
              <w:keepLines/>
              <w:jc w:val="center"/>
              <w:rPr>
                <w:sz w:val="21"/>
                <w:szCs w:val="21"/>
              </w:rPr>
            </w:pPr>
            <w:r w:rsidRPr="00447219">
              <w:rPr>
                <w:sz w:val="21"/>
                <w:szCs w:val="21"/>
              </w:rPr>
              <w:t>−</w:t>
            </w:r>
          </w:p>
        </w:tc>
        <w:tc>
          <w:tcPr>
            <w:tcW w:w="1596" w:type="dxa"/>
            <w:hideMark/>
          </w:tcPr>
          <w:p w14:paraId="7D0E0026" w14:textId="77777777" w:rsidR="006D51CF" w:rsidRPr="00447219" w:rsidRDefault="006D51CF" w:rsidP="002E3B6B">
            <w:pPr>
              <w:pStyle w:val="Tabletext"/>
              <w:keepNext/>
              <w:keepLines/>
              <w:jc w:val="center"/>
              <w:rPr>
                <w:sz w:val="21"/>
                <w:szCs w:val="21"/>
              </w:rPr>
            </w:pPr>
            <w:r w:rsidRPr="00447219">
              <w:rPr>
                <w:sz w:val="21"/>
                <w:szCs w:val="21"/>
              </w:rPr>
              <w:t>−</w:t>
            </w:r>
          </w:p>
        </w:tc>
        <w:tc>
          <w:tcPr>
            <w:tcW w:w="975" w:type="dxa"/>
            <w:noWrap/>
            <w:hideMark/>
          </w:tcPr>
          <w:p w14:paraId="1D28AEDD" w14:textId="77777777" w:rsidR="006D51CF" w:rsidRPr="00447219" w:rsidRDefault="006D51CF" w:rsidP="002E3B6B">
            <w:pPr>
              <w:pStyle w:val="Tabletext"/>
              <w:keepNext/>
              <w:keepLines/>
              <w:jc w:val="center"/>
              <w:rPr>
                <w:sz w:val="21"/>
                <w:szCs w:val="21"/>
              </w:rPr>
            </w:pPr>
            <w:r w:rsidRPr="00447219">
              <w:rPr>
                <w:sz w:val="21"/>
                <w:szCs w:val="21"/>
              </w:rPr>
              <w:t>−</w:t>
            </w:r>
          </w:p>
        </w:tc>
      </w:tr>
      <w:tr w:rsidR="006D51CF" w:rsidRPr="00B076F3" w14:paraId="6491C97B" w14:textId="77777777" w:rsidTr="00FE4C11">
        <w:trPr>
          <w:trHeight w:val="291"/>
          <w:jc w:val="center"/>
        </w:trPr>
        <w:tc>
          <w:tcPr>
            <w:tcW w:w="2689" w:type="dxa"/>
            <w:shd w:val="clear" w:color="auto" w:fill="F2F2F2" w:themeFill="background1" w:themeFillShade="F2"/>
            <w:hideMark/>
          </w:tcPr>
          <w:p w14:paraId="08274AE9" w14:textId="77777777" w:rsidR="006D51CF" w:rsidRPr="00447219" w:rsidRDefault="006D51CF" w:rsidP="002E3B6B">
            <w:pPr>
              <w:pStyle w:val="Tablehead"/>
              <w:keepLines/>
              <w:jc w:val="left"/>
              <w:rPr>
                <w:sz w:val="21"/>
                <w:szCs w:val="21"/>
              </w:rPr>
            </w:pPr>
            <w:r w:rsidRPr="00447219">
              <w:rPr>
                <w:sz w:val="21"/>
                <w:szCs w:val="21"/>
              </w:rPr>
              <w:t>Europ</w:t>
            </w:r>
            <w:r>
              <w:rPr>
                <w:sz w:val="21"/>
                <w:szCs w:val="21"/>
              </w:rPr>
              <w:t>a</w:t>
            </w:r>
            <w:r w:rsidRPr="00447219">
              <w:rPr>
                <w:sz w:val="21"/>
                <w:szCs w:val="21"/>
              </w:rPr>
              <w:t xml:space="preserve"> (1)</w:t>
            </w:r>
          </w:p>
        </w:tc>
        <w:tc>
          <w:tcPr>
            <w:tcW w:w="1984" w:type="dxa"/>
            <w:hideMark/>
          </w:tcPr>
          <w:p w14:paraId="66718703" w14:textId="77777777" w:rsidR="006D51CF" w:rsidRPr="00447219" w:rsidRDefault="006D51CF" w:rsidP="002E3B6B">
            <w:pPr>
              <w:pStyle w:val="Tabletext"/>
              <w:keepNext/>
              <w:keepLines/>
              <w:jc w:val="center"/>
              <w:rPr>
                <w:sz w:val="21"/>
                <w:szCs w:val="21"/>
              </w:rPr>
            </w:pPr>
            <w:r>
              <w:rPr>
                <w:sz w:val="21"/>
                <w:szCs w:val="21"/>
              </w:rPr>
              <w:t>Inglés</w:t>
            </w:r>
          </w:p>
        </w:tc>
        <w:tc>
          <w:tcPr>
            <w:tcW w:w="1217" w:type="dxa"/>
            <w:noWrap/>
            <w:hideMark/>
          </w:tcPr>
          <w:p w14:paraId="2C556B09" w14:textId="77777777" w:rsidR="006D51CF" w:rsidRPr="00447219" w:rsidRDefault="006D51CF" w:rsidP="002E3B6B">
            <w:pPr>
              <w:pStyle w:val="Tabletext"/>
              <w:keepNext/>
              <w:keepLines/>
              <w:jc w:val="center"/>
              <w:rPr>
                <w:sz w:val="21"/>
                <w:szCs w:val="21"/>
              </w:rPr>
            </w:pPr>
            <w:r w:rsidRPr="00447219">
              <w:rPr>
                <w:sz w:val="21"/>
                <w:szCs w:val="21"/>
              </w:rPr>
              <w:t>−</w:t>
            </w:r>
          </w:p>
        </w:tc>
        <w:tc>
          <w:tcPr>
            <w:tcW w:w="1604" w:type="dxa"/>
            <w:noWrap/>
            <w:hideMark/>
          </w:tcPr>
          <w:p w14:paraId="63F81627" w14:textId="77777777" w:rsidR="006D51CF" w:rsidRPr="00447219" w:rsidRDefault="006D51CF" w:rsidP="002E3B6B">
            <w:pPr>
              <w:pStyle w:val="Tabletext"/>
              <w:keepNext/>
              <w:keepLines/>
              <w:jc w:val="center"/>
              <w:rPr>
                <w:sz w:val="21"/>
                <w:szCs w:val="21"/>
              </w:rPr>
            </w:pPr>
            <w:r w:rsidRPr="00447219">
              <w:rPr>
                <w:sz w:val="21"/>
                <w:szCs w:val="21"/>
              </w:rPr>
              <w:t>−</w:t>
            </w:r>
          </w:p>
        </w:tc>
        <w:tc>
          <w:tcPr>
            <w:tcW w:w="1596" w:type="dxa"/>
            <w:noWrap/>
            <w:hideMark/>
          </w:tcPr>
          <w:p w14:paraId="3F76C6DC" w14:textId="77777777" w:rsidR="006D51CF" w:rsidRPr="00447219" w:rsidRDefault="006D51CF" w:rsidP="002E3B6B">
            <w:pPr>
              <w:pStyle w:val="Tabletext"/>
              <w:keepNext/>
              <w:keepLines/>
              <w:jc w:val="center"/>
              <w:rPr>
                <w:sz w:val="21"/>
                <w:szCs w:val="21"/>
              </w:rPr>
            </w:pPr>
            <w:r w:rsidRPr="00447219">
              <w:rPr>
                <w:sz w:val="21"/>
                <w:szCs w:val="21"/>
              </w:rPr>
              <w:t xml:space="preserve">16-20 </w:t>
            </w:r>
            <w:r>
              <w:rPr>
                <w:sz w:val="21"/>
                <w:szCs w:val="21"/>
              </w:rPr>
              <w:t>de febrero</w:t>
            </w:r>
          </w:p>
          <w:p w14:paraId="4AB7C6F4" w14:textId="77777777" w:rsidR="006D51CF" w:rsidRPr="00447219" w:rsidRDefault="006D51CF" w:rsidP="002E3B6B">
            <w:pPr>
              <w:pStyle w:val="Tabletext"/>
              <w:keepNext/>
              <w:keepLines/>
              <w:jc w:val="center"/>
              <w:rPr>
                <w:sz w:val="21"/>
                <w:szCs w:val="21"/>
              </w:rPr>
            </w:pPr>
            <w:r w:rsidRPr="00447219">
              <w:rPr>
                <w:sz w:val="21"/>
                <w:szCs w:val="21"/>
              </w:rPr>
              <w:t>At</w:t>
            </w:r>
            <w:r>
              <w:rPr>
                <w:sz w:val="21"/>
                <w:szCs w:val="21"/>
              </w:rPr>
              <w:t>e</w:t>
            </w:r>
            <w:r w:rsidRPr="00447219">
              <w:rPr>
                <w:sz w:val="21"/>
                <w:szCs w:val="21"/>
              </w:rPr>
              <w:t>n</w:t>
            </w:r>
            <w:r>
              <w:rPr>
                <w:sz w:val="21"/>
                <w:szCs w:val="21"/>
              </w:rPr>
              <w:t>a</w:t>
            </w:r>
            <w:r w:rsidRPr="00447219">
              <w:rPr>
                <w:sz w:val="21"/>
                <w:szCs w:val="21"/>
              </w:rPr>
              <w:t>s, Gre</w:t>
            </w:r>
            <w:r>
              <w:rPr>
                <w:sz w:val="21"/>
                <w:szCs w:val="21"/>
              </w:rPr>
              <w:t>cia</w:t>
            </w:r>
          </w:p>
        </w:tc>
        <w:tc>
          <w:tcPr>
            <w:tcW w:w="975" w:type="dxa"/>
            <w:hideMark/>
          </w:tcPr>
          <w:p w14:paraId="0758611A" w14:textId="77777777" w:rsidR="006D51CF" w:rsidRPr="00447219" w:rsidRDefault="006D51CF" w:rsidP="002E3B6B">
            <w:pPr>
              <w:pStyle w:val="Tabletext"/>
              <w:keepNext/>
              <w:keepLines/>
              <w:jc w:val="center"/>
              <w:rPr>
                <w:sz w:val="21"/>
                <w:szCs w:val="21"/>
              </w:rPr>
            </w:pPr>
          </w:p>
        </w:tc>
      </w:tr>
    </w:tbl>
    <w:p w14:paraId="2CB01552" w14:textId="77777777" w:rsidR="006D51CF" w:rsidRPr="009705FF" w:rsidRDefault="006D51CF" w:rsidP="006D51CF">
      <w:pPr>
        <w:rPr>
          <w:lang w:val="es-ES"/>
        </w:rPr>
      </w:pPr>
      <w:r w:rsidRPr="009705FF">
        <w:rPr>
          <w:lang w:val="es-ES"/>
        </w:rPr>
        <w:t>Como en ciclos anteriores y para optimizar los recursos necesarios, la planificación propuesta responde a los siguientes principios:</w:t>
      </w:r>
    </w:p>
    <w:p w14:paraId="7A2EC78C" w14:textId="4E1F4A1C" w:rsidR="006D51CF" w:rsidRPr="009705FF" w:rsidRDefault="004D190C" w:rsidP="004D190C">
      <w:pPr>
        <w:pStyle w:val="enumlev1"/>
        <w:rPr>
          <w:lang w:val="es-ES"/>
        </w:rPr>
      </w:pPr>
      <w:r w:rsidRPr="008C3006">
        <w:rPr>
          <w:lang w:val="es-ES"/>
        </w:rPr>
        <w:t>–</w:t>
      </w:r>
      <w:r>
        <w:rPr>
          <w:lang w:val="es-ES"/>
        </w:rPr>
        <w:tab/>
      </w:r>
      <w:r w:rsidR="006D51CF" w:rsidRPr="009705FF">
        <w:rPr>
          <w:lang w:val="es-ES"/>
        </w:rPr>
        <w:t xml:space="preserve">primer trimestre de 2024: no se celebran SMR y SRR; se actualizan el RR y las herramientas de </w:t>
      </w:r>
      <w:r w:rsidR="006D51CF" w:rsidRPr="004D190C">
        <w:rPr>
          <w:i/>
          <w:iCs/>
          <w:lang w:val="es-ES"/>
        </w:rPr>
        <w:t>software</w:t>
      </w:r>
      <w:r w:rsidR="006D51CF" w:rsidRPr="009705FF">
        <w:rPr>
          <w:lang w:val="es-ES"/>
        </w:rPr>
        <w:t xml:space="preserve"> correspondientes;</w:t>
      </w:r>
    </w:p>
    <w:p w14:paraId="6FAA411D" w14:textId="3A08A275" w:rsidR="006D51CF" w:rsidRPr="009705FF" w:rsidRDefault="004D190C" w:rsidP="004D190C">
      <w:pPr>
        <w:pStyle w:val="enumlev1"/>
        <w:rPr>
          <w:lang w:val="es-ES"/>
        </w:rPr>
      </w:pPr>
      <w:r w:rsidRPr="008C3006">
        <w:rPr>
          <w:lang w:val="es-ES"/>
        </w:rPr>
        <w:lastRenderedPageBreak/>
        <w:t>–</w:t>
      </w:r>
      <w:r>
        <w:rPr>
          <w:lang w:val="es-ES"/>
        </w:rPr>
        <w:tab/>
      </w:r>
      <w:r w:rsidR="006D51CF" w:rsidRPr="009705FF">
        <w:rPr>
          <w:lang w:val="es-ES"/>
        </w:rPr>
        <w:t>segundo semestre de 2027: no se celebran SMR y SRR; se prepara la CMR-27;</w:t>
      </w:r>
    </w:p>
    <w:p w14:paraId="7190EE18" w14:textId="784D3D3D" w:rsidR="006D51CF" w:rsidRPr="009705FF" w:rsidRDefault="004D190C" w:rsidP="004D190C">
      <w:pPr>
        <w:pStyle w:val="enumlev1"/>
        <w:rPr>
          <w:lang w:val="es-ES"/>
        </w:rPr>
      </w:pPr>
      <w:r w:rsidRPr="008C3006">
        <w:rPr>
          <w:lang w:val="es-ES"/>
        </w:rPr>
        <w:t>–</w:t>
      </w:r>
      <w:r>
        <w:rPr>
          <w:lang w:val="es-ES"/>
        </w:rPr>
        <w:tab/>
      </w:r>
      <w:r w:rsidR="006D51CF" w:rsidRPr="009705FF">
        <w:rPr>
          <w:lang w:val="es-ES"/>
        </w:rPr>
        <w:t xml:space="preserve">dos SMR por ciclo (en diciembre, cada dos años): </w:t>
      </w:r>
      <w:r w:rsidR="006D51CF">
        <w:rPr>
          <w:lang w:val="es-ES"/>
        </w:rPr>
        <w:t>SMR</w:t>
      </w:r>
      <w:r w:rsidR="006D51CF" w:rsidRPr="009705FF">
        <w:rPr>
          <w:lang w:val="es-ES"/>
        </w:rPr>
        <w:t xml:space="preserve">-24 </w:t>
      </w:r>
      <w:r w:rsidR="006D51CF">
        <w:rPr>
          <w:lang w:val="es-ES"/>
        </w:rPr>
        <w:t>y SMR</w:t>
      </w:r>
      <w:r w:rsidR="006D51CF" w:rsidRPr="009705FF">
        <w:rPr>
          <w:lang w:val="es-ES"/>
        </w:rPr>
        <w:t>-26;</w:t>
      </w:r>
    </w:p>
    <w:p w14:paraId="600AF299" w14:textId="46334C17" w:rsidR="006D51CF" w:rsidRPr="009705FF" w:rsidRDefault="004D190C" w:rsidP="004D190C">
      <w:pPr>
        <w:pStyle w:val="enumlev1"/>
        <w:rPr>
          <w:lang w:val="es-ES"/>
        </w:rPr>
      </w:pPr>
      <w:r w:rsidRPr="008C3006">
        <w:rPr>
          <w:lang w:val="es-ES"/>
        </w:rPr>
        <w:t>–</w:t>
      </w:r>
      <w:r>
        <w:rPr>
          <w:lang w:val="es-ES"/>
        </w:rPr>
        <w:tab/>
      </w:r>
      <w:r w:rsidR="006D51CF" w:rsidRPr="009705FF">
        <w:rPr>
          <w:lang w:val="es-ES"/>
        </w:rPr>
        <w:t>el primer SMR después de la CMR (SMR-24) comprenderá una reunión específica dedicada a explicar en detalle las modificaciones del RR introducidas por la CMR;</w:t>
      </w:r>
    </w:p>
    <w:p w14:paraId="1F09B65E" w14:textId="38FADCCE" w:rsidR="006D51CF" w:rsidRPr="009705FF" w:rsidRDefault="004D190C" w:rsidP="004D190C">
      <w:pPr>
        <w:pStyle w:val="enumlev1"/>
        <w:rPr>
          <w:lang w:val="es-ES"/>
        </w:rPr>
      </w:pPr>
      <w:r w:rsidRPr="008C3006">
        <w:rPr>
          <w:lang w:val="es-ES"/>
        </w:rPr>
        <w:t>–</w:t>
      </w:r>
      <w:r>
        <w:rPr>
          <w:lang w:val="es-ES"/>
        </w:rPr>
        <w:tab/>
      </w:r>
      <w:r w:rsidR="006D51CF" w:rsidRPr="009705FF">
        <w:rPr>
          <w:lang w:val="es-ES"/>
        </w:rPr>
        <w:t>los dos SRR de África no tendrán lugar el mismo año que los SMR, dado que la participación en los SRR de África es casi el doble que en los demás SRR y que es preciso distribuir equitativamente el presupuesto para becas;</w:t>
      </w:r>
    </w:p>
    <w:p w14:paraId="52A6055F" w14:textId="78425D0C" w:rsidR="006D51CF" w:rsidRPr="009705FF" w:rsidRDefault="004D190C" w:rsidP="004D190C">
      <w:pPr>
        <w:pStyle w:val="enumlev1"/>
        <w:rPr>
          <w:lang w:val="es-ES"/>
        </w:rPr>
      </w:pPr>
      <w:r w:rsidRPr="008C3006">
        <w:rPr>
          <w:lang w:val="es-ES"/>
        </w:rPr>
        <w:t>–</w:t>
      </w:r>
      <w:r>
        <w:rPr>
          <w:lang w:val="es-ES"/>
        </w:rPr>
        <w:tab/>
      </w:r>
      <w:r w:rsidR="006D51CF" w:rsidRPr="009705FF">
        <w:rPr>
          <w:lang w:val="es-ES"/>
        </w:rPr>
        <w:t>los SRR se celebrarán en el idioma predominante de la región, con el fin de reducir los costos de interpretación y facilitar el intercambio de información durante el evento;</w:t>
      </w:r>
    </w:p>
    <w:p w14:paraId="4628E374" w14:textId="54A21124" w:rsidR="006D51CF" w:rsidRPr="009705FF" w:rsidRDefault="004D190C" w:rsidP="004D190C">
      <w:pPr>
        <w:pStyle w:val="enumlev1"/>
        <w:rPr>
          <w:lang w:val="es-ES"/>
        </w:rPr>
      </w:pPr>
      <w:r w:rsidRPr="008C3006">
        <w:rPr>
          <w:lang w:val="es-ES"/>
        </w:rPr>
        <w:t>–</w:t>
      </w:r>
      <w:r>
        <w:rPr>
          <w:lang w:val="es-ES"/>
        </w:rPr>
        <w:tab/>
      </w:r>
      <w:r w:rsidR="006D51CF" w:rsidRPr="009705FF">
        <w:rPr>
          <w:lang w:val="es-ES"/>
        </w:rPr>
        <w:t>los programas de los SRR se ajustarán a las necesidades específicas de la región interesada;</w:t>
      </w:r>
    </w:p>
    <w:p w14:paraId="29AAC018" w14:textId="687887A3" w:rsidR="006D51CF" w:rsidRPr="009705FF" w:rsidRDefault="004D190C" w:rsidP="004D190C">
      <w:pPr>
        <w:pStyle w:val="enumlev1"/>
        <w:rPr>
          <w:lang w:val="es-ES"/>
        </w:rPr>
      </w:pPr>
      <w:r w:rsidRPr="008C3006">
        <w:rPr>
          <w:lang w:val="es-ES"/>
        </w:rPr>
        <w:t>–</w:t>
      </w:r>
      <w:r>
        <w:rPr>
          <w:lang w:val="es-ES"/>
        </w:rPr>
        <w:tab/>
      </w:r>
      <w:r w:rsidR="006D51CF" w:rsidRPr="009705FF">
        <w:rPr>
          <w:lang w:val="es-ES"/>
        </w:rPr>
        <w:t>los SRR incluyen sesiones tipo foro (esos días podría requerirse la prestación de servicio</w:t>
      </w:r>
      <w:r w:rsidR="006D51CF">
        <w:rPr>
          <w:lang w:val="es-ES"/>
        </w:rPr>
        <w:t>s de interpretación desde o hacia el inglés</w:t>
      </w:r>
      <w:r w:rsidR="006D51CF" w:rsidRPr="009705FF">
        <w:rPr>
          <w:lang w:val="es-ES"/>
        </w:rPr>
        <w:t>).</w:t>
      </w:r>
    </w:p>
    <w:p w14:paraId="1698223A" w14:textId="77777777" w:rsidR="006D51CF" w:rsidRPr="009705FF" w:rsidRDefault="006D51CF" w:rsidP="006D51CF">
      <w:pPr>
        <w:rPr>
          <w:szCs w:val="24"/>
          <w:lang w:val="es-ES"/>
        </w:rPr>
      </w:pPr>
      <w:r w:rsidRPr="009705FF">
        <w:rPr>
          <w:lang w:val="es-ES"/>
        </w:rPr>
        <w:t>La planificación anterior deberá coordinarse debidamente con las Oficinas Regionales (OR) de la UIT y los grupos regionales pertinentes.</w:t>
      </w:r>
    </w:p>
    <w:p w14:paraId="6565C5D0" w14:textId="77777777" w:rsidR="006D51CF" w:rsidRPr="009705FF" w:rsidRDefault="006D51CF" w:rsidP="006D51CF">
      <w:pPr>
        <w:pStyle w:val="Heading3"/>
        <w:rPr>
          <w:b w:val="0"/>
          <w:szCs w:val="24"/>
          <w:lang w:val="es-ES"/>
        </w:rPr>
      </w:pPr>
      <w:bookmarkStart w:id="132" w:name="_Toc222308712"/>
      <w:bookmarkStart w:id="133" w:name="_Toc222843181"/>
      <w:r w:rsidRPr="009705FF">
        <w:rPr>
          <w:lang w:val="es-ES"/>
        </w:rPr>
        <w:t>8.2.1</w:t>
      </w:r>
      <w:r w:rsidRPr="009705FF">
        <w:rPr>
          <w:lang w:val="es-ES"/>
        </w:rPr>
        <w:tab/>
        <w:t>Seminario Mundial de Radiocomunicac</w:t>
      </w:r>
      <w:r>
        <w:rPr>
          <w:lang w:val="es-ES"/>
        </w:rPr>
        <w:t>iones (SMR</w:t>
      </w:r>
      <w:r w:rsidRPr="009705FF">
        <w:rPr>
          <w:lang w:val="es-ES"/>
        </w:rPr>
        <w:t>)</w:t>
      </w:r>
      <w:bookmarkEnd w:id="132"/>
      <w:bookmarkEnd w:id="133"/>
      <w:r w:rsidRPr="009705FF">
        <w:rPr>
          <w:lang w:val="es-ES"/>
        </w:rPr>
        <w:t xml:space="preserve"> </w:t>
      </w:r>
    </w:p>
    <w:p w14:paraId="0C62A5FD" w14:textId="77777777" w:rsidR="006D51CF" w:rsidRPr="004C1106" w:rsidRDefault="006D51CF" w:rsidP="006D51CF">
      <w:pPr>
        <w:rPr>
          <w:lang w:val="es-ES"/>
        </w:rPr>
      </w:pPr>
      <w:r w:rsidRPr="009705FF">
        <w:rPr>
          <w:lang w:val="es-ES"/>
        </w:rPr>
        <w:t>El último SMR se celebró del 2 al 6 de diciembre de 2024 en Ginebra (Suiza) y contó con la asistenc</w:t>
      </w:r>
      <w:r>
        <w:rPr>
          <w:lang w:val="es-ES"/>
        </w:rPr>
        <w:t xml:space="preserve">ia de 657 participantes de 114 países. </w:t>
      </w:r>
      <w:r w:rsidRPr="004C1106">
        <w:rPr>
          <w:lang w:val="es-ES"/>
        </w:rPr>
        <w:t>La BR concedió 50 becas para asistir al SMR-24.</w:t>
      </w:r>
    </w:p>
    <w:p w14:paraId="3F86A431" w14:textId="77777777" w:rsidR="006D51CF" w:rsidRPr="009F36B4" w:rsidRDefault="006D51CF" w:rsidP="006D51CF">
      <w:pPr>
        <w:rPr>
          <w:lang w:val="es-ES"/>
        </w:rPr>
      </w:pPr>
      <w:r w:rsidRPr="009F36B4">
        <w:rPr>
          <w:lang w:val="es-ES"/>
        </w:rPr>
        <w:t>Las Sesiones Plenarias del SMR-24 se celebraron en formato presencial con participación a distancia durante dos días y pudieron asistir a el</w:t>
      </w:r>
      <w:r>
        <w:rPr>
          <w:lang w:val="es-ES"/>
        </w:rPr>
        <w:t>las todos los interesados.</w:t>
      </w:r>
      <w:r w:rsidRPr="009F36B4">
        <w:rPr>
          <w:lang w:val="es-ES"/>
        </w:rPr>
        <w:t xml:space="preserve"> </w:t>
      </w:r>
    </w:p>
    <w:p w14:paraId="2B55B801" w14:textId="77777777" w:rsidR="006D51CF" w:rsidRPr="009F36B4" w:rsidRDefault="006D51CF" w:rsidP="006D51CF">
      <w:pPr>
        <w:rPr>
          <w:lang w:val="es-ES"/>
        </w:rPr>
      </w:pPr>
      <w:r w:rsidRPr="009F36B4">
        <w:rPr>
          <w:lang w:val="es-ES"/>
        </w:rPr>
        <w:t xml:space="preserve">Los talleres terrenales y espaciales del SMR-24 se celebraron en paralelo a lo largo de tres días en formato exclusivamente </w:t>
      </w:r>
      <w:r>
        <w:rPr>
          <w:lang w:val="es-ES"/>
        </w:rPr>
        <w:t>presencial abierto sólo a los Miembros del UIT-R</w:t>
      </w:r>
      <w:r w:rsidRPr="009F36B4">
        <w:rPr>
          <w:lang w:val="es-ES"/>
        </w:rPr>
        <w:t xml:space="preserve">. Durante los talleres los participantes tuvieron la oportunidad de llevar a cabo experiencias prácticas con los procedimientos de notificación de la UIT, así como con el </w:t>
      </w:r>
      <w:r w:rsidRPr="00956FC6">
        <w:rPr>
          <w:i/>
          <w:iCs/>
          <w:lang w:val="es-ES"/>
        </w:rPr>
        <w:t>software</w:t>
      </w:r>
      <w:r w:rsidRPr="009F36B4">
        <w:rPr>
          <w:lang w:val="es-ES"/>
        </w:rPr>
        <w:t xml:space="preserve">, las bases de datos y las publicaciones electrónicas que la Oficina de Radiocomunicaciones pone a disposición de los Miembros de la UIT. </w:t>
      </w:r>
      <w:r>
        <w:rPr>
          <w:lang w:val="es-ES"/>
        </w:rPr>
        <w:t>S</w:t>
      </w:r>
      <w:r w:rsidRPr="009F36B4">
        <w:rPr>
          <w:lang w:val="es-ES"/>
        </w:rPr>
        <w:t xml:space="preserve">e organizaron sesiones para usuarios principiantes y avanzados específicamente dedicadas a las herramientas de </w:t>
      </w:r>
      <w:r w:rsidRPr="00956FC6">
        <w:rPr>
          <w:i/>
          <w:iCs/>
          <w:lang w:val="es-ES"/>
        </w:rPr>
        <w:t>software</w:t>
      </w:r>
      <w:r w:rsidRPr="009F36B4">
        <w:rPr>
          <w:lang w:val="es-ES"/>
        </w:rPr>
        <w:t xml:space="preserve"> de la BR. </w:t>
      </w:r>
      <w:r>
        <w:rPr>
          <w:lang w:val="es-ES"/>
        </w:rPr>
        <w:t>E</w:t>
      </w:r>
      <w:r w:rsidRPr="009F36B4">
        <w:rPr>
          <w:lang w:val="es-ES"/>
        </w:rPr>
        <w:t>l SMR-24 incluyó sesiones en las que se presentaron los aspectos reglamentarios y técnicos de los sistemas de constelación destinados a comunicaciones no OSG.</w:t>
      </w:r>
    </w:p>
    <w:p w14:paraId="1280CDCA" w14:textId="77777777" w:rsidR="006D51CF" w:rsidRPr="009F36B4" w:rsidRDefault="006D51CF" w:rsidP="006D51CF">
      <w:pPr>
        <w:rPr>
          <w:lang w:val="es-ES"/>
        </w:rPr>
      </w:pPr>
      <w:r w:rsidRPr="009F36B4">
        <w:rPr>
          <w:lang w:val="es-ES"/>
        </w:rPr>
        <w:t>Está previsto que el próximo SMR, SMR</w:t>
      </w:r>
      <w:r w:rsidRPr="009F36B4" w:rsidDel="00DE48BC">
        <w:rPr>
          <w:lang w:val="es-ES"/>
        </w:rPr>
        <w:t>-26</w:t>
      </w:r>
      <w:r w:rsidRPr="009F36B4">
        <w:rPr>
          <w:lang w:val="es-ES"/>
        </w:rPr>
        <w:t>,</w:t>
      </w:r>
      <w:r w:rsidRPr="009F36B4" w:rsidDel="00DE48BC">
        <w:rPr>
          <w:lang w:val="es-ES"/>
        </w:rPr>
        <w:t xml:space="preserve"> </w:t>
      </w:r>
      <w:r w:rsidRPr="009F36B4">
        <w:rPr>
          <w:lang w:val="es-ES"/>
        </w:rPr>
        <w:t>s</w:t>
      </w:r>
      <w:r>
        <w:rPr>
          <w:lang w:val="es-ES"/>
        </w:rPr>
        <w:t>e celebre del 7 al 11 de diciembre de</w:t>
      </w:r>
      <w:r w:rsidRPr="009F36B4">
        <w:rPr>
          <w:lang w:val="es-ES"/>
        </w:rPr>
        <w:t xml:space="preserve"> </w:t>
      </w:r>
      <w:r w:rsidRPr="009F36B4" w:rsidDel="00DE48BC">
        <w:rPr>
          <w:lang w:val="es-ES"/>
        </w:rPr>
        <w:t>2026.</w:t>
      </w:r>
    </w:p>
    <w:p w14:paraId="6F2D32E6" w14:textId="77777777" w:rsidR="006D51CF" w:rsidRPr="009F36B4" w:rsidRDefault="006D51CF" w:rsidP="006D51CF">
      <w:pPr>
        <w:pStyle w:val="Heading3"/>
        <w:rPr>
          <w:b w:val="0"/>
          <w:szCs w:val="24"/>
          <w:lang w:val="es-ES"/>
        </w:rPr>
      </w:pPr>
      <w:bookmarkStart w:id="134" w:name="_Toc222308713"/>
      <w:bookmarkStart w:id="135" w:name="_Toc222843182"/>
      <w:r w:rsidRPr="009F36B4">
        <w:rPr>
          <w:lang w:val="es-ES"/>
        </w:rPr>
        <w:t>8.2.2</w:t>
      </w:r>
      <w:r w:rsidRPr="009F36B4">
        <w:rPr>
          <w:lang w:val="es-ES"/>
        </w:rPr>
        <w:tab/>
        <w:t>Seminario Regional de Radiocomunicacion</w:t>
      </w:r>
      <w:r>
        <w:rPr>
          <w:lang w:val="es-ES"/>
        </w:rPr>
        <w:t>es</w:t>
      </w:r>
      <w:r w:rsidRPr="009F36B4">
        <w:rPr>
          <w:lang w:val="es-ES"/>
        </w:rPr>
        <w:t xml:space="preserve"> (</w:t>
      </w:r>
      <w:r>
        <w:rPr>
          <w:lang w:val="es-ES"/>
        </w:rPr>
        <w:t>S</w:t>
      </w:r>
      <w:r w:rsidRPr="009F36B4">
        <w:rPr>
          <w:lang w:val="es-ES"/>
        </w:rPr>
        <w:t>RR)</w:t>
      </w:r>
      <w:bookmarkEnd w:id="134"/>
      <w:bookmarkEnd w:id="135"/>
      <w:r w:rsidRPr="009F36B4">
        <w:rPr>
          <w:lang w:val="es-ES"/>
        </w:rPr>
        <w:t xml:space="preserve"> </w:t>
      </w:r>
    </w:p>
    <w:p w14:paraId="34068895" w14:textId="77777777" w:rsidR="006D51CF" w:rsidRPr="009F36B4" w:rsidRDefault="006D51CF" w:rsidP="006D51CF">
      <w:pPr>
        <w:rPr>
          <w:lang w:val="es-ES"/>
        </w:rPr>
      </w:pPr>
      <w:r w:rsidRPr="009F36B4">
        <w:rPr>
          <w:lang w:val="es-ES"/>
        </w:rPr>
        <w:t>A fin de complementar los SMR de carácter bienal, la BR mantuvo su estrategia de divulgación regional mediante la organización de Seminarios Regionales de Radiocomunicaciones (SRR), con el objetivo de visitar todas las regiones e impulsar la creación de capacidad en materia de utilización del espectro de radiofrecuencias y las órbitas de los satélites y, en particular, de aplicación de las disposiciones del Reglamento de Radiocomunicaciones de la UIT.</w:t>
      </w:r>
    </w:p>
    <w:p w14:paraId="79B28CAC" w14:textId="77777777" w:rsidR="006D51CF" w:rsidRPr="009F36B4" w:rsidRDefault="006D51CF" w:rsidP="006D51CF">
      <w:pPr>
        <w:rPr>
          <w:lang w:val="es-ES"/>
        </w:rPr>
      </w:pPr>
      <w:r w:rsidRPr="009F36B4">
        <w:rPr>
          <w:lang w:val="es-ES"/>
        </w:rPr>
        <w:t xml:space="preserve">Los SRR se organizan conjuntamente con las autoridades de gestión del espectro de los países anfitriones, en estrecha colaboración con las organizaciones regionales pertinentes y las Oficinas Regionales/Zonales de la UIT. Su orden del día incluye dos días de sesiones teóricas y un día de talleres sobre servicios terrenales y espaciales. Estos eventos se complementan con sesiones tipo foro dedicadas a temas relacionados con </w:t>
      </w:r>
      <w:r>
        <w:rPr>
          <w:lang w:val="es-ES"/>
        </w:rPr>
        <w:t>el espectro de especial interés para la región</w:t>
      </w:r>
      <w:r w:rsidRPr="009F36B4">
        <w:rPr>
          <w:lang w:val="es-ES"/>
        </w:rPr>
        <w:t xml:space="preserve">. </w:t>
      </w:r>
    </w:p>
    <w:p w14:paraId="51CBACCD" w14:textId="77777777" w:rsidR="006D51CF" w:rsidRPr="009F36B4" w:rsidRDefault="006D51CF" w:rsidP="006D51CF">
      <w:pPr>
        <w:rPr>
          <w:lang w:val="es-ES"/>
        </w:rPr>
      </w:pPr>
      <w:r w:rsidRPr="009F36B4">
        <w:rPr>
          <w:lang w:val="es-ES"/>
        </w:rPr>
        <w:t>En el Cuadro 8.2.2-1 se resumen detalladamente los SRR celebrados en 2025.</w:t>
      </w:r>
    </w:p>
    <w:p w14:paraId="0DB11A4E" w14:textId="77777777" w:rsidR="006D51CF" w:rsidRDefault="006D51CF" w:rsidP="006D51CF">
      <w:pPr>
        <w:rPr>
          <w:lang w:val="es-ES"/>
        </w:rPr>
      </w:pPr>
      <w:r w:rsidRPr="009F36B4">
        <w:rPr>
          <w:lang w:val="es-ES"/>
        </w:rPr>
        <w:t>En el Cuadro 8.2-1 puede encontrarse una list</w:t>
      </w:r>
      <w:r>
        <w:rPr>
          <w:lang w:val="es-ES"/>
        </w:rPr>
        <w:t>a de los SRR planificados en 2026</w:t>
      </w:r>
      <w:r w:rsidRPr="009F36B4">
        <w:rPr>
          <w:lang w:val="es-ES"/>
        </w:rPr>
        <w:t>.</w:t>
      </w:r>
    </w:p>
    <w:p w14:paraId="00D02DF1" w14:textId="77777777" w:rsidR="004D190C" w:rsidRPr="009F36B4" w:rsidRDefault="004D190C" w:rsidP="006D51CF">
      <w:pPr>
        <w:rPr>
          <w:lang w:val="es-ES"/>
        </w:rPr>
      </w:pPr>
    </w:p>
    <w:p w14:paraId="5E4AD00A" w14:textId="77777777" w:rsidR="006D51CF" w:rsidRPr="009F36B4" w:rsidRDefault="006D51CF" w:rsidP="006D51CF">
      <w:pPr>
        <w:rPr>
          <w:szCs w:val="24"/>
          <w:highlight w:val="cyan"/>
          <w:lang w:val="es-ES"/>
        </w:rPr>
        <w:sectPr w:rsidR="006D51CF" w:rsidRPr="009F36B4" w:rsidSect="001D390B">
          <w:headerReference w:type="default" r:id="rId63"/>
          <w:headerReference w:type="first" r:id="rId64"/>
          <w:pgSz w:w="11907" w:h="16834"/>
          <w:pgMar w:top="1418" w:right="708" w:bottom="1620" w:left="1134" w:header="720" w:footer="720" w:gutter="0"/>
          <w:paperSrc w:first="15" w:other="15"/>
          <w:cols w:space="720"/>
          <w:titlePg/>
          <w:docGrid w:linePitch="326"/>
        </w:sectPr>
      </w:pPr>
    </w:p>
    <w:p w14:paraId="771C0830" w14:textId="77777777" w:rsidR="006D51CF" w:rsidRPr="00CE1A75" w:rsidRDefault="006D51CF" w:rsidP="006D51CF">
      <w:pPr>
        <w:pStyle w:val="TableNo"/>
        <w:spacing w:before="120"/>
        <w:rPr>
          <w:lang w:val="es-ES"/>
        </w:rPr>
      </w:pPr>
      <w:r w:rsidRPr="00CE1A75">
        <w:rPr>
          <w:lang w:val="es-ES"/>
        </w:rPr>
        <w:lastRenderedPageBreak/>
        <w:t>CUADRO 8.2.2-</w:t>
      </w:r>
      <w:r w:rsidRPr="00CE1A75">
        <w:rPr>
          <w:bCs/>
          <w:lang w:val="es-ES"/>
        </w:rPr>
        <w:t>1</w:t>
      </w:r>
    </w:p>
    <w:p w14:paraId="0973239C" w14:textId="77777777" w:rsidR="006D51CF" w:rsidRPr="005F26E3" w:rsidRDefault="006D51CF" w:rsidP="006D51CF">
      <w:pPr>
        <w:pStyle w:val="Tabletitle"/>
        <w:rPr>
          <w:sz w:val="24"/>
          <w:szCs w:val="24"/>
          <w:lang w:val="es-ES"/>
        </w:rPr>
      </w:pPr>
      <w:r w:rsidRPr="005F26E3">
        <w:rPr>
          <w:sz w:val="24"/>
          <w:szCs w:val="24"/>
          <w:lang w:val="es-ES"/>
        </w:rPr>
        <w:t>Seminarios Regionales de Radiocomunicaciones de la UIT en 2025</w:t>
      </w:r>
    </w:p>
    <w:tbl>
      <w:tblPr>
        <w:tblStyle w:val="TableGrid"/>
        <w:tblW w:w="5254" w:type="pct"/>
        <w:jc w:val="center"/>
        <w:tblLayout w:type="fixed"/>
        <w:tblLook w:val="04A0" w:firstRow="1" w:lastRow="0" w:firstColumn="1" w:lastColumn="0" w:noHBand="0" w:noVBand="1"/>
      </w:tblPr>
      <w:tblGrid>
        <w:gridCol w:w="1081"/>
        <w:gridCol w:w="2250"/>
        <w:gridCol w:w="1580"/>
        <w:gridCol w:w="3551"/>
        <w:gridCol w:w="2157"/>
        <w:gridCol w:w="1175"/>
        <w:gridCol w:w="1809"/>
        <w:gridCol w:w="1698"/>
      </w:tblGrid>
      <w:tr w:rsidR="006D51CF" w:rsidRPr="00D2406E" w14:paraId="2014C530" w14:textId="77777777" w:rsidTr="004D190C">
        <w:trPr>
          <w:tblHeader/>
          <w:jc w:val="center"/>
        </w:trPr>
        <w:tc>
          <w:tcPr>
            <w:tcW w:w="353" w:type="pct"/>
            <w:tcBorders>
              <w:top w:val="single" w:sz="4" w:space="0" w:color="auto"/>
              <w:left w:val="single" w:sz="4" w:space="0" w:color="auto"/>
              <w:bottom w:val="single" w:sz="4" w:space="0" w:color="auto"/>
              <w:right w:val="single" w:sz="4" w:space="0" w:color="auto"/>
            </w:tcBorders>
            <w:vAlign w:val="center"/>
            <w:hideMark/>
          </w:tcPr>
          <w:p w14:paraId="2129C90D" w14:textId="77777777" w:rsidR="006D51CF" w:rsidRPr="00E00311" w:rsidRDefault="006D51CF" w:rsidP="004D190C">
            <w:pPr>
              <w:pStyle w:val="Tablehead"/>
              <w:keepLines/>
              <w:rPr>
                <w:sz w:val="20"/>
              </w:rPr>
            </w:pPr>
            <w:r w:rsidRPr="00E00311">
              <w:rPr>
                <w:sz w:val="20"/>
              </w:rPr>
              <w:t>Fecha</w:t>
            </w:r>
          </w:p>
        </w:tc>
        <w:tc>
          <w:tcPr>
            <w:tcW w:w="735" w:type="pct"/>
            <w:tcBorders>
              <w:top w:val="single" w:sz="4" w:space="0" w:color="auto"/>
              <w:left w:val="single" w:sz="4" w:space="0" w:color="auto"/>
              <w:bottom w:val="single" w:sz="4" w:space="0" w:color="auto"/>
              <w:right w:val="single" w:sz="4" w:space="0" w:color="auto"/>
            </w:tcBorders>
            <w:vAlign w:val="center"/>
            <w:hideMark/>
          </w:tcPr>
          <w:p w14:paraId="5B12C619" w14:textId="77777777" w:rsidR="006D51CF" w:rsidRPr="00E00311" w:rsidRDefault="006D51CF" w:rsidP="004D190C">
            <w:pPr>
              <w:pStyle w:val="Tablehead"/>
              <w:keepLines/>
              <w:rPr>
                <w:sz w:val="20"/>
              </w:rPr>
            </w:pPr>
            <w:r w:rsidRPr="00E00311">
              <w:rPr>
                <w:sz w:val="20"/>
              </w:rPr>
              <w:t>SRR</w:t>
            </w:r>
          </w:p>
        </w:tc>
        <w:tc>
          <w:tcPr>
            <w:tcW w:w="516" w:type="pct"/>
            <w:tcBorders>
              <w:top w:val="single" w:sz="4" w:space="0" w:color="auto"/>
              <w:left w:val="single" w:sz="4" w:space="0" w:color="auto"/>
              <w:bottom w:val="single" w:sz="4" w:space="0" w:color="auto"/>
              <w:right w:val="single" w:sz="4" w:space="0" w:color="auto"/>
            </w:tcBorders>
            <w:vAlign w:val="center"/>
            <w:hideMark/>
          </w:tcPr>
          <w:p w14:paraId="7A4686C5" w14:textId="77777777" w:rsidR="006D51CF" w:rsidRPr="00E00311" w:rsidRDefault="006D51CF" w:rsidP="004D190C">
            <w:pPr>
              <w:pStyle w:val="Tablehead"/>
              <w:keepLines/>
              <w:rPr>
                <w:sz w:val="20"/>
              </w:rPr>
            </w:pPr>
            <w:r w:rsidRPr="00E00311">
              <w:rPr>
                <w:sz w:val="20"/>
              </w:rPr>
              <w:t>Lugar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7EAD1DA9" w14:textId="77777777" w:rsidR="006D51CF" w:rsidRPr="00E00311" w:rsidRDefault="006D51CF" w:rsidP="004D190C">
            <w:pPr>
              <w:pStyle w:val="Tablehead"/>
              <w:keepLines/>
              <w:rPr>
                <w:sz w:val="20"/>
              </w:rPr>
            </w:pPr>
            <w:r w:rsidRPr="00E00311">
              <w:rPr>
                <w:sz w:val="20"/>
              </w:rPr>
              <w:t>Cooperación</w:t>
            </w:r>
          </w:p>
        </w:tc>
        <w:tc>
          <w:tcPr>
            <w:tcW w:w="705" w:type="pct"/>
            <w:tcBorders>
              <w:top w:val="single" w:sz="4" w:space="0" w:color="auto"/>
              <w:left w:val="single" w:sz="4" w:space="0" w:color="auto"/>
              <w:bottom w:val="single" w:sz="4" w:space="0" w:color="auto"/>
              <w:right w:val="single" w:sz="4" w:space="0" w:color="auto"/>
            </w:tcBorders>
            <w:vAlign w:val="center"/>
            <w:hideMark/>
          </w:tcPr>
          <w:p w14:paraId="5257E463" w14:textId="77777777" w:rsidR="006D51CF" w:rsidRPr="00E00311" w:rsidRDefault="006D51CF" w:rsidP="004D190C">
            <w:pPr>
              <w:pStyle w:val="Tablehead"/>
              <w:keepLines/>
              <w:rPr>
                <w:sz w:val="20"/>
              </w:rPr>
            </w:pPr>
            <w:r w:rsidRPr="00E00311">
              <w:rPr>
                <w:sz w:val="20"/>
              </w:rPr>
              <w:t>Temas del foro</w:t>
            </w:r>
          </w:p>
        </w:tc>
        <w:tc>
          <w:tcPr>
            <w:tcW w:w="384" w:type="pct"/>
            <w:tcBorders>
              <w:top w:val="single" w:sz="4" w:space="0" w:color="auto"/>
              <w:left w:val="single" w:sz="4" w:space="0" w:color="auto"/>
              <w:bottom w:val="single" w:sz="4" w:space="0" w:color="auto"/>
              <w:right w:val="single" w:sz="4" w:space="0" w:color="auto"/>
            </w:tcBorders>
            <w:vAlign w:val="center"/>
            <w:hideMark/>
          </w:tcPr>
          <w:p w14:paraId="10E19DE2" w14:textId="77777777" w:rsidR="006D51CF" w:rsidRPr="00E00311" w:rsidRDefault="006D51CF" w:rsidP="004D190C">
            <w:pPr>
              <w:pStyle w:val="Tablehead"/>
              <w:keepLines/>
              <w:rPr>
                <w:sz w:val="20"/>
              </w:rPr>
            </w:pPr>
            <w:r w:rsidRPr="00E00311">
              <w:rPr>
                <w:sz w:val="20"/>
              </w:rPr>
              <w:t>Idiomas</w:t>
            </w:r>
          </w:p>
        </w:tc>
        <w:tc>
          <w:tcPr>
            <w:tcW w:w="591" w:type="pct"/>
            <w:tcBorders>
              <w:top w:val="single" w:sz="4" w:space="0" w:color="auto"/>
              <w:left w:val="single" w:sz="4" w:space="0" w:color="auto"/>
              <w:bottom w:val="single" w:sz="4" w:space="0" w:color="auto"/>
              <w:right w:val="single" w:sz="4" w:space="0" w:color="auto"/>
            </w:tcBorders>
            <w:vAlign w:val="center"/>
            <w:hideMark/>
          </w:tcPr>
          <w:p w14:paraId="3A729A81" w14:textId="0F571D59" w:rsidR="006D51CF" w:rsidRPr="00E00311" w:rsidRDefault="006D51CF" w:rsidP="004D190C">
            <w:pPr>
              <w:pStyle w:val="Tablehead"/>
              <w:keepLines/>
              <w:rPr>
                <w:sz w:val="20"/>
              </w:rPr>
            </w:pPr>
            <w:r w:rsidRPr="00E00311">
              <w:rPr>
                <w:sz w:val="20"/>
              </w:rPr>
              <w:t>Participantes/</w:t>
            </w:r>
            <w:r w:rsidR="004D190C" w:rsidRPr="00E00311">
              <w:rPr>
                <w:sz w:val="20"/>
              </w:rPr>
              <w:br/>
            </w:r>
            <w:r w:rsidRPr="00E00311">
              <w:rPr>
                <w:sz w:val="20"/>
              </w:rPr>
              <w:t>administraciones</w:t>
            </w:r>
          </w:p>
        </w:tc>
        <w:tc>
          <w:tcPr>
            <w:tcW w:w="555" w:type="pct"/>
            <w:tcBorders>
              <w:top w:val="single" w:sz="4" w:space="0" w:color="auto"/>
              <w:left w:val="single" w:sz="4" w:space="0" w:color="auto"/>
              <w:bottom w:val="single" w:sz="4" w:space="0" w:color="auto"/>
              <w:right w:val="single" w:sz="4" w:space="0" w:color="auto"/>
            </w:tcBorders>
          </w:tcPr>
          <w:p w14:paraId="599E1191" w14:textId="77777777" w:rsidR="006D51CF" w:rsidRPr="00E00311" w:rsidRDefault="006D51CF" w:rsidP="004D190C">
            <w:pPr>
              <w:pStyle w:val="Tablehead"/>
              <w:keepLines/>
              <w:rPr>
                <w:sz w:val="20"/>
              </w:rPr>
            </w:pPr>
            <w:r w:rsidRPr="00E00311">
              <w:rPr>
                <w:sz w:val="20"/>
              </w:rPr>
              <w:t>Becas</w:t>
            </w:r>
          </w:p>
        </w:tc>
      </w:tr>
      <w:tr w:rsidR="006D51CF" w:rsidRPr="001D5261" w14:paraId="3ADB4338" w14:textId="77777777" w:rsidTr="004D190C">
        <w:trPr>
          <w:jc w:val="center"/>
        </w:trPr>
        <w:tc>
          <w:tcPr>
            <w:tcW w:w="353" w:type="pct"/>
            <w:tcBorders>
              <w:top w:val="single" w:sz="4" w:space="0" w:color="auto"/>
              <w:left w:val="single" w:sz="4" w:space="0" w:color="auto"/>
              <w:bottom w:val="single" w:sz="4" w:space="0" w:color="auto"/>
              <w:right w:val="single" w:sz="4" w:space="0" w:color="auto"/>
            </w:tcBorders>
            <w:vAlign w:val="center"/>
          </w:tcPr>
          <w:p w14:paraId="57DD9049" w14:textId="77777777" w:rsidR="006D51CF" w:rsidRPr="00E00311" w:rsidRDefault="006D51CF" w:rsidP="00E00311">
            <w:pPr>
              <w:pStyle w:val="Tabletext"/>
              <w:jc w:val="center"/>
              <w:rPr>
                <w:sz w:val="20"/>
                <w:lang w:val="en-US"/>
              </w:rPr>
            </w:pPr>
            <w:r w:rsidRPr="00E00311">
              <w:rPr>
                <w:sz w:val="20"/>
                <w:lang w:val="en-US"/>
              </w:rPr>
              <w:t>5-8 de mayo de 2025</w:t>
            </w:r>
          </w:p>
        </w:tc>
        <w:tc>
          <w:tcPr>
            <w:tcW w:w="735" w:type="pct"/>
            <w:tcBorders>
              <w:top w:val="single" w:sz="4" w:space="0" w:color="auto"/>
              <w:left w:val="single" w:sz="4" w:space="0" w:color="auto"/>
              <w:bottom w:val="single" w:sz="4" w:space="0" w:color="auto"/>
              <w:right w:val="single" w:sz="4" w:space="0" w:color="auto"/>
            </w:tcBorders>
            <w:vAlign w:val="center"/>
            <w:hideMark/>
          </w:tcPr>
          <w:p w14:paraId="69F53628" w14:textId="77777777" w:rsidR="006D51CF" w:rsidRPr="00E00311" w:rsidRDefault="006D51CF" w:rsidP="00E00311">
            <w:pPr>
              <w:pStyle w:val="Tabletext"/>
              <w:jc w:val="center"/>
              <w:rPr>
                <w:b/>
                <w:sz w:val="20"/>
                <w:lang w:val="en-US"/>
              </w:rPr>
            </w:pPr>
            <w:r w:rsidRPr="00E00311">
              <w:rPr>
                <w:b/>
                <w:sz w:val="20"/>
                <w:lang w:val="en-US"/>
              </w:rPr>
              <w:t>SRR-25-AFR</w:t>
            </w:r>
          </w:p>
        </w:tc>
        <w:tc>
          <w:tcPr>
            <w:tcW w:w="516" w:type="pct"/>
            <w:tcBorders>
              <w:top w:val="single" w:sz="4" w:space="0" w:color="auto"/>
              <w:left w:val="single" w:sz="4" w:space="0" w:color="auto"/>
              <w:bottom w:val="single" w:sz="4" w:space="0" w:color="auto"/>
              <w:right w:val="single" w:sz="4" w:space="0" w:color="auto"/>
            </w:tcBorders>
            <w:vAlign w:val="center"/>
            <w:hideMark/>
          </w:tcPr>
          <w:p w14:paraId="7F2B7D1C" w14:textId="77777777" w:rsidR="006D51CF" w:rsidRPr="00E00311" w:rsidRDefault="006D51CF" w:rsidP="00E00311">
            <w:pPr>
              <w:pStyle w:val="Tabletext"/>
              <w:jc w:val="center"/>
              <w:rPr>
                <w:sz w:val="20"/>
                <w:lang w:val="en-US"/>
              </w:rPr>
            </w:pPr>
            <w:r w:rsidRPr="00E00311">
              <w:rPr>
                <w:sz w:val="20"/>
                <w:lang w:val="en-US"/>
              </w:rPr>
              <w:t>Ciudad de Djibouti, Djibouti</w:t>
            </w:r>
          </w:p>
        </w:tc>
        <w:tc>
          <w:tcPr>
            <w:tcW w:w="1160" w:type="pct"/>
            <w:tcBorders>
              <w:top w:val="single" w:sz="4" w:space="0" w:color="auto"/>
              <w:left w:val="single" w:sz="4" w:space="0" w:color="auto"/>
              <w:bottom w:val="single" w:sz="4" w:space="0" w:color="auto"/>
              <w:right w:val="single" w:sz="4" w:space="0" w:color="auto"/>
            </w:tcBorders>
            <w:vAlign w:val="center"/>
            <w:hideMark/>
          </w:tcPr>
          <w:p w14:paraId="426BA08B" w14:textId="77777777" w:rsidR="006D51CF" w:rsidRPr="00E00311" w:rsidRDefault="006D51CF" w:rsidP="00E00311">
            <w:pPr>
              <w:pStyle w:val="Tabletext"/>
              <w:jc w:val="center"/>
              <w:rPr>
                <w:color w:val="000000" w:themeColor="text1"/>
                <w:sz w:val="20"/>
                <w:shd w:val="clear" w:color="auto" w:fill="FFFFFF"/>
                <w:lang w:val="fr-CA"/>
              </w:rPr>
            </w:pPr>
            <w:hyperlink r:id="rId65" w:history="1">
              <w:r w:rsidRPr="00E00311">
                <w:rPr>
                  <w:color w:val="000000" w:themeColor="text1"/>
                  <w:sz w:val="20"/>
                  <w:lang w:val="fr-CA"/>
                </w:rPr>
                <w:t>Ministerio de Comunicaciones, Correos y Telecomunicaciones</w:t>
              </w:r>
            </w:hyperlink>
            <w:r w:rsidRPr="00E00311">
              <w:rPr>
                <w:color w:val="000000" w:themeColor="text1"/>
                <w:sz w:val="20"/>
                <w:shd w:val="clear" w:color="auto" w:fill="FFFFFF"/>
                <w:lang w:val="fr-CA"/>
              </w:rPr>
              <w:t> (MCPT) de la República de Djibouti</w:t>
            </w:r>
          </w:p>
          <w:p w14:paraId="35FADAA0" w14:textId="100C37E5" w:rsidR="006D51CF" w:rsidRPr="00E00311" w:rsidRDefault="006D51CF" w:rsidP="00E00311">
            <w:pPr>
              <w:pStyle w:val="Tabletext"/>
              <w:jc w:val="center"/>
              <w:rPr>
                <w:color w:val="000000" w:themeColor="text1"/>
                <w:sz w:val="20"/>
                <w:shd w:val="clear" w:color="auto" w:fill="FFFFFF"/>
                <w:lang w:val="es-ES"/>
              </w:rPr>
            </w:pPr>
            <w:r w:rsidRPr="00E00311">
              <w:rPr>
                <w:sz w:val="20"/>
                <w:lang w:val="es-ES"/>
              </w:rPr>
              <w:t>Unión Africana de Telecomunicaciones (UAT)</w:t>
            </w:r>
          </w:p>
          <w:p w14:paraId="73A1F5B4" w14:textId="77777777" w:rsidR="006D51CF" w:rsidRPr="00E00311" w:rsidRDefault="006D51CF" w:rsidP="00E00311">
            <w:pPr>
              <w:pStyle w:val="Tabletext"/>
              <w:jc w:val="center"/>
              <w:rPr>
                <w:color w:val="000000" w:themeColor="text1"/>
                <w:sz w:val="20"/>
                <w:shd w:val="clear" w:color="auto" w:fill="FFFFFF"/>
                <w:lang w:val="es-ES"/>
              </w:rPr>
            </w:pPr>
            <w:r w:rsidRPr="00E00311">
              <w:rPr>
                <w:color w:val="000000" w:themeColor="text1"/>
                <w:sz w:val="20"/>
                <w:shd w:val="clear" w:color="auto" w:fill="FFFFFF"/>
                <w:lang w:val="es-ES"/>
              </w:rPr>
              <w:t>Grupo de Gestión del Espectro de los Estados Árabes (ASMG)</w:t>
            </w:r>
          </w:p>
          <w:p w14:paraId="275BE278" w14:textId="77777777" w:rsidR="006D51CF" w:rsidRPr="00E00311" w:rsidRDefault="006D51CF" w:rsidP="00E00311">
            <w:pPr>
              <w:pStyle w:val="Tabletext"/>
              <w:jc w:val="center"/>
              <w:rPr>
                <w:color w:val="000000" w:themeColor="text1"/>
                <w:sz w:val="20"/>
                <w:shd w:val="clear" w:color="auto" w:fill="FFFFFF"/>
                <w:lang w:val="es-ES"/>
              </w:rPr>
            </w:pPr>
            <w:r w:rsidRPr="00E00311">
              <w:rPr>
                <w:color w:val="000000" w:themeColor="text1"/>
                <w:sz w:val="20"/>
                <w:shd w:val="clear" w:color="auto" w:fill="FFFFFF"/>
                <w:lang w:val="es-ES"/>
              </w:rPr>
              <w:t>Oficina Regional de la UIT para África</w:t>
            </w:r>
          </w:p>
        </w:tc>
        <w:tc>
          <w:tcPr>
            <w:tcW w:w="705" w:type="pct"/>
            <w:tcBorders>
              <w:top w:val="single" w:sz="4" w:space="0" w:color="auto"/>
              <w:left w:val="single" w:sz="4" w:space="0" w:color="auto"/>
              <w:bottom w:val="single" w:sz="4" w:space="0" w:color="auto"/>
              <w:right w:val="single" w:sz="4" w:space="0" w:color="auto"/>
            </w:tcBorders>
            <w:vAlign w:val="center"/>
            <w:hideMark/>
          </w:tcPr>
          <w:p w14:paraId="0B0BD49D" w14:textId="77777777" w:rsidR="006D51CF" w:rsidRPr="00E00311" w:rsidRDefault="006D51CF" w:rsidP="00E00311">
            <w:pPr>
              <w:pStyle w:val="Tabletext"/>
              <w:jc w:val="center"/>
              <w:rPr>
                <w:sz w:val="20"/>
                <w:lang w:val="es-ES"/>
              </w:rPr>
            </w:pPr>
            <w:r w:rsidRPr="00E00311">
              <w:rPr>
                <w:sz w:val="20"/>
                <w:lang w:val="es-ES"/>
              </w:rPr>
              <w:t>Sistemas de radiocomunicaciones modernos y mesas redondas sobre el orden del día de la CMR-27</w:t>
            </w:r>
          </w:p>
        </w:tc>
        <w:tc>
          <w:tcPr>
            <w:tcW w:w="384" w:type="pct"/>
            <w:tcBorders>
              <w:top w:val="single" w:sz="4" w:space="0" w:color="auto"/>
              <w:left w:val="single" w:sz="4" w:space="0" w:color="auto"/>
              <w:bottom w:val="single" w:sz="4" w:space="0" w:color="auto"/>
              <w:right w:val="single" w:sz="4" w:space="0" w:color="auto"/>
            </w:tcBorders>
            <w:vAlign w:val="center"/>
            <w:hideMark/>
          </w:tcPr>
          <w:p w14:paraId="5FE8354B" w14:textId="77777777" w:rsidR="006D51CF" w:rsidRPr="00E00311" w:rsidRDefault="006D51CF" w:rsidP="00E00311">
            <w:pPr>
              <w:pStyle w:val="Tabletext"/>
              <w:jc w:val="center"/>
              <w:rPr>
                <w:sz w:val="20"/>
                <w:lang w:val="en-US"/>
              </w:rPr>
            </w:pPr>
            <w:r w:rsidRPr="00E00311">
              <w:rPr>
                <w:sz w:val="20"/>
                <w:lang w:val="en-US"/>
              </w:rPr>
              <w:t>Inglés, árabe, francés</w:t>
            </w:r>
          </w:p>
        </w:tc>
        <w:tc>
          <w:tcPr>
            <w:tcW w:w="591" w:type="pct"/>
            <w:tcBorders>
              <w:top w:val="single" w:sz="4" w:space="0" w:color="auto"/>
              <w:left w:val="single" w:sz="4" w:space="0" w:color="auto"/>
              <w:bottom w:val="single" w:sz="4" w:space="0" w:color="auto"/>
              <w:right w:val="single" w:sz="4" w:space="0" w:color="auto"/>
            </w:tcBorders>
            <w:vAlign w:val="center"/>
            <w:hideMark/>
          </w:tcPr>
          <w:p w14:paraId="6A51692B" w14:textId="77777777" w:rsidR="006D51CF" w:rsidRPr="00E00311" w:rsidRDefault="006D51CF" w:rsidP="00E00311">
            <w:pPr>
              <w:pStyle w:val="Tabletext"/>
              <w:jc w:val="center"/>
              <w:rPr>
                <w:sz w:val="20"/>
                <w:lang w:val="en-US"/>
              </w:rPr>
            </w:pPr>
            <w:r w:rsidRPr="00E00311">
              <w:rPr>
                <w:sz w:val="20"/>
                <w:lang w:val="en-US"/>
              </w:rPr>
              <w:t>210/47</w:t>
            </w:r>
          </w:p>
        </w:tc>
        <w:tc>
          <w:tcPr>
            <w:tcW w:w="555" w:type="pct"/>
            <w:tcBorders>
              <w:top w:val="single" w:sz="4" w:space="0" w:color="auto"/>
              <w:left w:val="single" w:sz="4" w:space="0" w:color="auto"/>
              <w:bottom w:val="single" w:sz="4" w:space="0" w:color="auto"/>
              <w:right w:val="single" w:sz="4" w:space="0" w:color="auto"/>
            </w:tcBorders>
            <w:vAlign w:val="center"/>
          </w:tcPr>
          <w:p w14:paraId="503C782D" w14:textId="77777777" w:rsidR="006D51CF" w:rsidRPr="00E00311" w:rsidDel="00203E0B" w:rsidRDefault="006D51CF" w:rsidP="00E00311">
            <w:pPr>
              <w:pStyle w:val="Tabletext"/>
              <w:jc w:val="center"/>
              <w:rPr>
                <w:sz w:val="20"/>
                <w:highlight w:val="yellow"/>
                <w:lang w:val="en-US"/>
              </w:rPr>
            </w:pPr>
            <w:r w:rsidRPr="00E00311">
              <w:rPr>
                <w:sz w:val="20"/>
                <w:lang w:val="en-US"/>
              </w:rPr>
              <w:t>27</w:t>
            </w:r>
          </w:p>
        </w:tc>
      </w:tr>
      <w:tr w:rsidR="006D51CF" w:rsidRPr="001D5261" w14:paraId="0AF57EAA" w14:textId="77777777" w:rsidTr="004D190C">
        <w:trPr>
          <w:jc w:val="center"/>
        </w:trPr>
        <w:tc>
          <w:tcPr>
            <w:tcW w:w="353" w:type="pct"/>
            <w:tcBorders>
              <w:top w:val="single" w:sz="4" w:space="0" w:color="auto"/>
              <w:left w:val="single" w:sz="4" w:space="0" w:color="auto"/>
              <w:bottom w:val="single" w:sz="4" w:space="0" w:color="auto"/>
              <w:right w:val="single" w:sz="4" w:space="0" w:color="auto"/>
            </w:tcBorders>
            <w:vAlign w:val="center"/>
          </w:tcPr>
          <w:p w14:paraId="08AE9244" w14:textId="77777777" w:rsidR="006D51CF" w:rsidRPr="00E00311" w:rsidRDefault="006D51CF" w:rsidP="00E00311">
            <w:pPr>
              <w:pStyle w:val="Tabletext"/>
              <w:jc w:val="center"/>
              <w:rPr>
                <w:sz w:val="20"/>
                <w:lang w:val="en-US"/>
              </w:rPr>
            </w:pPr>
            <w:r w:rsidRPr="00E00311">
              <w:rPr>
                <w:sz w:val="20"/>
              </w:rPr>
              <w:t>16-20 de junio de 2025</w:t>
            </w:r>
          </w:p>
        </w:tc>
        <w:tc>
          <w:tcPr>
            <w:tcW w:w="735" w:type="pct"/>
            <w:tcBorders>
              <w:top w:val="single" w:sz="4" w:space="0" w:color="auto"/>
              <w:left w:val="single" w:sz="4" w:space="0" w:color="auto"/>
              <w:bottom w:val="single" w:sz="4" w:space="0" w:color="auto"/>
              <w:right w:val="single" w:sz="4" w:space="0" w:color="auto"/>
            </w:tcBorders>
            <w:vAlign w:val="center"/>
            <w:hideMark/>
          </w:tcPr>
          <w:p w14:paraId="2C2DE2CB" w14:textId="77777777" w:rsidR="006D51CF" w:rsidRPr="00E00311" w:rsidRDefault="006D51CF" w:rsidP="00E00311">
            <w:pPr>
              <w:pStyle w:val="Tabletext"/>
              <w:jc w:val="center"/>
              <w:rPr>
                <w:b/>
                <w:sz w:val="20"/>
                <w:lang w:val="en-US"/>
              </w:rPr>
            </w:pPr>
            <w:r w:rsidRPr="00E00311">
              <w:rPr>
                <w:b/>
                <w:sz w:val="20"/>
                <w:lang w:val="en-US"/>
              </w:rPr>
              <w:t>SRR-25-Américas</w:t>
            </w:r>
          </w:p>
        </w:tc>
        <w:tc>
          <w:tcPr>
            <w:tcW w:w="516" w:type="pct"/>
            <w:tcBorders>
              <w:top w:val="single" w:sz="4" w:space="0" w:color="auto"/>
              <w:left w:val="single" w:sz="4" w:space="0" w:color="auto"/>
              <w:bottom w:val="single" w:sz="4" w:space="0" w:color="auto"/>
              <w:right w:val="single" w:sz="4" w:space="0" w:color="auto"/>
            </w:tcBorders>
            <w:vAlign w:val="center"/>
            <w:hideMark/>
          </w:tcPr>
          <w:p w14:paraId="7762400A" w14:textId="77777777" w:rsidR="006D51CF" w:rsidRPr="00E00311" w:rsidRDefault="006D51CF" w:rsidP="00E00311">
            <w:pPr>
              <w:pStyle w:val="Tabletext"/>
              <w:jc w:val="center"/>
              <w:rPr>
                <w:sz w:val="20"/>
                <w:lang w:val="en-US"/>
              </w:rPr>
            </w:pPr>
            <w:r w:rsidRPr="00E00311">
              <w:rPr>
                <w:sz w:val="20"/>
                <w:lang w:val="en-US"/>
              </w:rPr>
              <w:t>Tegucigalpa, Honduras</w:t>
            </w:r>
          </w:p>
        </w:tc>
        <w:tc>
          <w:tcPr>
            <w:tcW w:w="1160" w:type="pct"/>
            <w:tcBorders>
              <w:top w:val="single" w:sz="4" w:space="0" w:color="auto"/>
              <w:left w:val="single" w:sz="4" w:space="0" w:color="auto"/>
              <w:bottom w:val="single" w:sz="4" w:space="0" w:color="auto"/>
              <w:right w:val="single" w:sz="4" w:space="0" w:color="auto"/>
            </w:tcBorders>
            <w:vAlign w:val="center"/>
            <w:hideMark/>
          </w:tcPr>
          <w:p w14:paraId="0F3FA59D" w14:textId="46BDA19A" w:rsidR="006D51CF" w:rsidRPr="00E00311" w:rsidRDefault="006D51CF" w:rsidP="00E00311">
            <w:pPr>
              <w:pStyle w:val="Tabletext"/>
              <w:jc w:val="center"/>
              <w:rPr>
                <w:color w:val="000000" w:themeColor="text1"/>
                <w:sz w:val="20"/>
                <w:shd w:val="clear" w:color="auto" w:fill="FFFFFF"/>
                <w:lang w:val="es-AR"/>
              </w:rPr>
            </w:pPr>
            <w:r w:rsidRPr="00E00311">
              <w:rPr>
                <w:color w:val="000000" w:themeColor="text1"/>
                <w:sz w:val="20"/>
                <w:shd w:val="clear" w:color="auto" w:fill="FFFFFF"/>
                <w:lang w:val="es-AR"/>
              </w:rPr>
              <w:t xml:space="preserve">Comisión Nacional de Telecomunicaciones (CONATEL) </w:t>
            </w:r>
            <w:r w:rsidR="00431831">
              <w:rPr>
                <w:color w:val="000000" w:themeColor="text1"/>
                <w:sz w:val="20"/>
                <w:shd w:val="clear" w:color="auto" w:fill="FFFFFF"/>
                <w:lang w:val="es-AR"/>
              </w:rPr>
              <w:t>de</w:t>
            </w:r>
            <w:r w:rsidRPr="00E00311">
              <w:rPr>
                <w:color w:val="000000" w:themeColor="text1"/>
                <w:sz w:val="20"/>
                <w:shd w:val="clear" w:color="auto" w:fill="FFFFFF"/>
                <w:lang w:val="es-AR"/>
              </w:rPr>
              <w:t xml:space="preserve"> Honduras</w:t>
            </w:r>
          </w:p>
          <w:p w14:paraId="17C133C1" w14:textId="77777777" w:rsidR="006D51CF" w:rsidRPr="00E00311" w:rsidRDefault="006D51CF" w:rsidP="00E00311">
            <w:pPr>
              <w:pStyle w:val="Tabletext"/>
              <w:jc w:val="center"/>
              <w:rPr>
                <w:color w:val="000000" w:themeColor="text1"/>
                <w:sz w:val="20"/>
                <w:lang w:val="es-ES"/>
              </w:rPr>
            </w:pPr>
            <w:r w:rsidRPr="00E00311">
              <w:rPr>
                <w:sz w:val="20"/>
                <w:lang w:val="es-ES"/>
              </w:rPr>
              <w:t>Comisión Interamericana de Telecomunicaciones</w:t>
            </w:r>
            <w:r w:rsidRPr="00E00311">
              <w:rPr>
                <w:color w:val="000000" w:themeColor="text1"/>
                <w:sz w:val="20"/>
                <w:lang w:val="es-ES"/>
              </w:rPr>
              <w:t> </w:t>
            </w:r>
            <w:r w:rsidRPr="00E00311">
              <w:rPr>
                <w:sz w:val="20"/>
                <w:lang w:val="es-ES"/>
              </w:rPr>
              <w:t>(CITEL)</w:t>
            </w:r>
          </w:p>
          <w:p w14:paraId="69EB4409" w14:textId="77777777" w:rsidR="006D51CF" w:rsidRPr="00E00311" w:rsidRDefault="006D51CF" w:rsidP="00E00311">
            <w:pPr>
              <w:pStyle w:val="Tabletext"/>
              <w:jc w:val="center"/>
              <w:rPr>
                <w:color w:val="000000" w:themeColor="text1"/>
                <w:sz w:val="20"/>
                <w:lang w:val="es-AR"/>
              </w:rPr>
            </w:pPr>
            <w:hyperlink r:id="rId66" w:tgtFrame="_blank" w:history="1">
              <w:r w:rsidRPr="00E00311">
                <w:rPr>
                  <w:color w:val="000000" w:themeColor="text1"/>
                  <w:sz w:val="20"/>
                  <w:lang w:val="es-AR"/>
                </w:rPr>
                <w:t>Comisión Técnica Regional de Telecomunicaciones</w:t>
              </w:r>
            </w:hyperlink>
            <w:r w:rsidRPr="00E00311">
              <w:rPr>
                <w:sz w:val="20"/>
                <w:lang w:val="es-AR"/>
              </w:rPr>
              <w:t xml:space="preserve"> de América Central</w:t>
            </w:r>
            <w:r w:rsidRPr="00E00311">
              <w:rPr>
                <w:color w:val="000000" w:themeColor="text1"/>
                <w:sz w:val="20"/>
                <w:lang w:val="es-AR"/>
              </w:rPr>
              <w:t> </w:t>
            </w:r>
            <w:r w:rsidRPr="00E00311">
              <w:rPr>
                <w:sz w:val="20"/>
                <w:lang w:val="es-AR"/>
              </w:rPr>
              <w:t>(COMTELCA)</w:t>
            </w:r>
          </w:p>
          <w:p w14:paraId="019DEDB5" w14:textId="77777777" w:rsidR="006D51CF" w:rsidRPr="00E00311" w:rsidRDefault="006D51CF" w:rsidP="00E00311">
            <w:pPr>
              <w:pStyle w:val="Tabletext"/>
              <w:jc w:val="center"/>
              <w:rPr>
                <w:color w:val="000000" w:themeColor="text1"/>
                <w:sz w:val="20"/>
                <w:lang w:val="es-ES"/>
              </w:rPr>
            </w:pPr>
            <w:r w:rsidRPr="00E00311">
              <w:rPr>
                <w:sz w:val="20"/>
                <w:lang w:val="es-ES"/>
              </w:rPr>
              <w:t>Unión de Telecomunicaciones del Caribe</w:t>
            </w:r>
            <w:r w:rsidRPr="00E00311">
              <w:rPr>
                <w:color w:val="000000" w:themeColor="text1"/>
                <w:sz w:val="20"/>
                <w:lang w:val="es-ES"/>
              </w:rPr>
              <w:t> </w:t>
            </w:r>
            <w:r w:rsidRPr="00E00311">
              <w:rPr>
                <w:sz w:val="20"/>
                <w:lang w:val="es-ES"/>
              </w:rPr>
              <w:t>(CTU)</w:t>
            </w:r>
          </w:p>
          <w:p w14:paraId="22B4E377" w14:textId="77777777" w:rsidR="006D51CF" w:rsidRPr="00E00311" w:rsidRDefault="006D51CF" w:rsidP="00E00311">
            <w:pPr>
              <w:pStyle w:val="Tabletext"/>
              <w:jc w:val="center"/>
              <w:rPr>
                <w:color w:val="000000" w:themeColor="text1"/>
                <w:sz w:val="20"/>
                <w:shd w:val="clear" w:color="auto" w:fill="FFFFFF"/>
                <w:lang w:val="es-ES"/>
              </w:rPr>
            </w:pPr>
            <w:r w:rsidRPr="00E00311">
              <w:rPr>
                <w:color w:val="000000" w:themeColor="text1"/>
                <w:sz w:val="20"/>
                <w:shd w:val="clear" w:color="auto" w:fill="FFFFFF"/>
                <w:lang w:val="es-ES"/>
              </w:rPr>
              <w:t>Oficina Regional de la UIT para las Américas</w:t>
            </w:r>
          </w:p>
        </w:tc>
        <w:tc>
          <w:tcPr>
            <w:tcW w:w="705" w:type="pct"/>
            <w:tcBorders>
              <w:top w:val="single" w:sz="4" w:space="0" w:color="auto"/>
              <w:left w:val="single" w:sz="4" w:space="0" w:color="auto"/>
              <w:bottom w:val="single" w:sz="4" w:space="0" w:color="auto"/>
              <w:right w:val="single" w:sz="4" w:space="0" w:color="auto"/>
            </w:tcBorders>
            <w:vAlign w:val="center"/>
            <w:hideMark/>
          </w:tcPr>
          <w:p w14:paraId="1087143E" w14:textId="77777777" w:rsidR="006D51CF" w:rsidRPr="00E00311" w:rsidRDefault="006D51CF" w:rsidP="00E00311">
            <w:pPr>
              <w:pStyle w:val="Tabletext"/>
              <w:jc w:val="center"/>
              <w:rPr>
                <w:sz w:val="20"/>
                <w:lang w:val="es-ES"/>
              </w:rPr>
            </w:pPr>
            <w:r w:rsidRPr="00E00311">
              <w:rPr>
                <w:sz w:val="20"/>
                <w:lang w:val="es-ES"/>
              </w:rPr>
              <w:t>Sistemas de radiocomunicaciones modernos y mesas redondas sobre el orden del día de la CMR-27</w:t>
            </w:r>
          </w:p>
        </w:tc>
        <w:tc>
          <w:tcPr>
            <w:tcW w:w="384" w:type="pct"/>
            <w:tcBorders>
              <w:top w:val="single" w:sz="4" w:space="0" w:color="auto"/>
              <w:left w:val="single" w:sz="4" w:space="0" w:color="auto"/>
              <w:bottom w:val="single" w:sz="4" w:space="0" w:color="auto"/>
              <w:right w:val="single" w:sz="4" w:space="0" w:color="auto"/>
            </w:tcBorders>
            <w:vAlign w:val="center"/>
            <w:hideMark/>
          </w:tcPr>
          <w:p w14:paraId="29203C7E" w14:textId="77777777" w:rsidR="006D51CF" w:rsidRPr="00E00311" w:rsidRDefault="006D51CF" w:rsidP="00E00311">
            <w:pPr>
              <w:pStyle w:val="Tabletext"/>
              <w:jc w:val="center"/>
              <w:rPr>
                <w:sz w:val="20"/>
                <w:lang w:val="en-US"/>
              </w:rPr>
            </w:pPr>
            <w:r w:rsidRPr="00E00311">
              <w:rPr>
                <w:sz w:val="20"/>
                <w:lang w:val="en-US"/>
              </w:rPr>
              <w:t>Inglés, español</w:t>
            </w:r>
          </w:p>
        </w:tc>
        <w:tc>
          <w:tcPr>
            <w:tcW w:w="591" w:type="pct"/>
            <w:tcBorders>
              <w:top w:val="single" w:sz="4" w:space="0" w:color="auto"/>
              <w:left w:val="single" w:sz="4" w:space="0" w:color="auto"/>
              <w:bottom w:val="single" w:sz="4" w:space="0" w:color="auto"/>
              <w:right w:val="single" w:sz="4" w:space="0" w:color="auto"/>
            </w:tcBorders>
            <w:vAlign w:val="center"/>
            <w:hideMark/>
          </w:tcPr>
          <w:p w14:paraId="54BD852D" w14:textId="77777777" w:rsidR="006D51CF" w:rsidRPr="00E00311" w:rsidRDefault="006D51CF" w:rsidP="00E00311">
            <w:pPr>
              <w:pStyle w:val="Tabletext"/>
              <w:jc w:val="center"/>
              <w:rPr>
                <w:sz w:val="20"/>
                <w:lang w:val="en-US"/>
              </w:rPr>
            </w:pPr>
            <w:r w:rsidRPr="00E00311">
              <w:rPr>
                <w:sz w:val="20"/>
                <w:lang w:val="en-US"/>
              </w:rPr>
              <w:t>90/25</w:t>
            </w:r>
          </w:p>
        </w:tc>
        <w:tc>
          <w:tcPr>
            <w:tcW w:w="555" w:type="pct"/>
            <w:tcBorders>
              <w:top w:val="single" w:sz="4" w:space="0" w:color="auto"/>
              <w:left w:val="single" w:sz="4" w:space="0" w:color="auto"/>
              <w:bottom w:val="single" w:sz="4" w:space="0" w:color="auto"/>
              <w:right w:val="single" w:sz="4" w:space="0" w:color="auto"/>
            </w:tcBorders>
            <w:vAlign w:val="center"/>
          </w:tcPr>
          <w:p w14:paraId="05AAF7EA" w14:textId="77777777" w:rsidR="006D51CF" w:rsidRPr="00E00311" w:rsidDel="00203E0B" w:rsidRDefault="006D51CF" w:rsidP="00E00311">
            <w:pPr>
              <w:pStyle w:val="Tabletext"/>
              <w:jc w:val="center"/>
              <w:rPr>
                <w:sz w:val="20"/>
                <w:highlight w:val="yellow"/>
                <w:lang w:val="en-US"/>
              </w:rPr>
            </w:pPr>
            <w:r w:rsidRPr="00E00311">
              <w:rPr>
                <w:sz w:val="20"/>
                <w:lang w:val="en-US"/>
              </w:rPr>
              <w:t>9</w:t>
            </w:r>
          </w:p>
        </w:tc>
      </w:tr>
      <w:tr w:rsidR="006D51CF" w:rsidRPr="004C1106" w14:paraId="4F3722B5" w14:textId="77777777" w:rsidTr="004D190C">
        <w:trPr>
          <w:jc w:val="center"/>
        </w:trPr>
        <w:tc>
          <w:tcPr>
            <w:tcW w:w="353" w:type="pct"/>
            <w:tcBorders>
              <w:top w:val="single" w:sz="4" w:space="0" w:color="auto"/>
              <w:left w:val="single" w:sz="4" w:space="0" w:color="auto"/>
              <w:bottom w:val="single" w:sz="4" w:space="0" w:color="auto"/>
              <w:right w:val="single" w:sz="4" w:space="0" w:color="auto"/>
            </w:tcBorders>
            <w:vAlign w:val="center"/>
          </w:tcPr>
          <w:p w14:paraId="0708EB25" w14:textId="77777777" w:rsidR="006D51CF" w:rsidRPr="00E00311" w:rsidRDefault="006D51CF" w:rsidP="00E00311">
            <w:pPr>
              <w:pStyle w:val="Tabletext"/>
              <w:jc w:val="center"/>
              <w:rPr>
                <w:sz w:val="20"/>
                <w:lang w:val="en-US"/>
              </w:rPr>
            </w:pPr>
            <w:r w:rsidRPr="00E00311">
              <w:rPr>
                <w:sz w:val="20"/>
                <w:lang w:val="en-US"/>
              </w:rPr>
              <w:t>20-29 de octubre de 2025</w:t>
            </w:r>
          </w:p>
        </w:tc>
        <w:tc>
          <w:tcPr>
            <w:tcW w:w="735" w:type="pct"/>
            <w:tcBorders>
              <w:top w:val="single" w:sz="4" w:space="0" w:color="auto"/>
              <w:left w:val="single" w:sz="4" w:space="0" w:color="auto"/>
              <w:bottom w:val="single" w:sz="4" w:space="0" w:color="auto"/>
              <w:right w:val="single" w:sz="4" w:space="0" w:color="auto"/>
            </w:tcBorders>
            <w:vAlign w:val="center"/>
          </w:tcPr>
          <w:p w14:paraId="7C31A46F" w14:textId="77777777" w:rsidR="006D51CF" w:rsidRPr="00E00311" w:rsidRDefault="006D51CF" w:rsidP="00E00311">
            <w:pPr>
              <w:pStyle w:val="Tabletext"/>
              <w:jc w:val="center"/>
              <w:rPr>
                <w:sz w:val="20"/>
                <w:lang w:val="es-ES"/>
              </w:rPr>
            </w:pPr>
            <w:r w:rsidRPr="00E00311">
              <w:rPr>
                <w:b/>
                <w:sz w:val="20"/>
                <w:lang w:val="es-ES"/>
              </w:rPr>
              <w:t xml:space="preserve">SRR-25-Asia-Pacífico </w:t>
            </w:r>
            <w:r w:rsidRPr="00E00311">
              <w:rPr>
                <w:bCs/>
                <w:sz w:val="20"/>
                <w:lang w:val="es-ES"/>
              </w:rPr>
              <w:t xml:space="preserve">seguido del </w:t>
            </w:r>
            <w:r w:rsidRPr="00E00311">
              <w:rPr>
                <w:b/>
                <w:sz w:val="20"/>
                <w:lang w:val="es-ES"/>
              </w:rPr>
              <w:t xml:space="preserve">Taller de la UIT sobre Gestión moderna del espectro 2025 para la Región 3 </w:t>
            </w:r>
            <w:r w:rsidRPr="00E00311">
              <w:rPr>
                <w:b/>
                <w:bCs/>
                <w:sz w:val="20"/>
                <w:lang w:val="es-ES"/>
              </w:rPr>
              <w:br/>
            </w:r>
            <w:r w:rsidRPr="00E00311">
              <w:rPr>
                <w:b/>
                <w:sz w:val="20"/>
                <w:lang w:val="es-ES"/>
              </w:rPr>
              <w:t>(T-GMS-25-R3)</w:t>
            </w:r>
          </w:p>
        </w:tc>
        <w:tc>
          <w:tcPr>
            <w:tcW w:w="516" w:type="pct"/>
            <w:tcBorders>
              <w:top w:val="single" w:sz="4" w:space="0" w:color="auto"/>
              <w:left w:val="single" w:sz="4" w:space="0" w:color="auto"/>
              <w:bottom w:val="single" w:sz="4" w:space="0" w:color="auto"/>
              <w:right w:val="single" w:sz="4" w:space="0" w:color="auto"/>
            </w:tcBorders>
            <w:vAlign w:val="center"/>
          </w:tcPr>
          <w:p w14:paraId="177E26CB" w14:textId="77777777" w:rsidR="006D51CF" w:rsidRPr="00E00311" w:rsidRDefault="006D51CF" w:rsidP="00E00311">
            <w:pPr>
              <w:pStyle w:val="Tabletext"/>
              <w:jc w:val="center"/>
              <w:rPr>
                <w:sz w:val="20"/>
                <w:lang w:val="es-ES"/>
              </w:rPr>
            </w:pPr>
            <w:r w:rsidRPr="00E00311">
              <w:rPr>
                <w:sz w:val="20"/>
                <w:lang w:val="es-ES"/>
              </w:rPr>
              <w:t>Chengdu, China (República Popular de)</w:t>
            </w:r>
          </w:p>
        </w:tc>
        <w:tc>
          <w:tcPr>
            <w:tcW w:w="1160" w:type="pct"/>
            <w:tcBorders>
              <w:top w:val="single" w:sz="4" w:space="0" w:color="auto"/>
              <w:left w:val="single" w:sz="4" w:space="0" w:color="auto"/>
              <w:bottom w:val="single" w:sz="4" w:space="0" w:color="auto"/>
              <w:right w:val="single" w:sz="4" w:space="0" w:color="auto"/>
            </w:tcBorders>
            <w:vAlign w:val="center"/>
          </w:tcPr>
          <w:p w14:paraId="5DA305F2" w14:textId="77777777" w:rsidR="006D51CF" w:rsidRPr="00E00311" w:rsidRDefault="006D51CF" w:rsidP="00E00311">
            <w:pPr>
              <w:pStyle w:val="Tabletext"/>
              <w:jc w:val="center"/>
              <w:rPr>
                <w:color w:val="000000" w:themeColor="text1"/>
                <w:sz w:val="20"/>
                <w:shd w:val="clear" w:color="auto" w:fill="FFFFFF"/>
                <w:lang w:val="es-ES"/>
              </w:rPr>
            </w:pPr>
            <w:r w:rsidRPr="00E00311">
              <w:rPr>
                <w:color w:val="000000" w:themeColor="text1"/>
                <w:sz w:val="20"/>
                <w:shd w:val="clear" w:color="auto" w:fill="FFFFFF"/>
                <w:lang w:val="es-ES"/>
              </w:rPr>
              <w:t>Ministerio de Industria y Tecnología de la Información (MIIT) de China</w:t>
            </w:r>
          </w:p>
          <w:p w14:paraId="52280AB3" w14:textId="77777777" w:rsidR="006D51CF" w:rsidRPr="00E00311" w:rsidRDefault="006D51CF" w:rsidP="00E00311">
            <w:pPr>
              <w:pStyle w:val="Tabletext"/>
              <w:jc w:val="center"/>
              <w:rPr>
                <w:color w:val="000000" w:themeColor="text1"/>
                <w:sz w:val="20"/>
                <w:shd w:val="clear" w:color="auto" w:fill="FFFFFF"/>
                <w:lang w:val="es-ES"/>
              </w:rPr>
            </w:pPr>
            <w:r w:rsidRPr="00E00311">
              <w:rPr>
                <w:sz w:val="20"/>
                <w:lang w:val="es-ES"/>
              </w:rPr>
              <w:t xml:space="preserve">Telecomunidad </w:t>
            </w:r>
            <w:hyperlink r:id="rId67" w:tgtFrame="_blank" w:history="1">
              <w:r w:rsidRPr="00E00311">
                <w:rPr>
                  <w:color w:val="000000" w:themeColor="text1"/>
                  <w:sz w:val="20"/>
                  <w:lang w:val="es-ES"/>
                </w:rPr>
                <w:t>Asia-Pacífico (APT)</w:t>
              </w:r>
            </w:hyperlink>
          </w:p>
          <w:p w14:paraId="652F638B" w14:textId="77777777" w:rsidR="006D51CF" w:rsidRPr="00E00311" w:rsidRDefault="006D51CF" w:rsidP="00E00311">
            <w:pPr>
              <w:pStyle w:val="Tabletext"/>
              <w:jc w:val="center"/>
              <w:rPr>
                <w:color w:val="000000" w:themeColor="text1"/>
                <w:sz w:val="20"/>
                <w:shd w:val="clear" w:color="auto" w:fill="FFFFFF"/>
                <w:lang w:val="es-ES"/>
              </w:rPr>
            </w:pPr>
            <w:r w:rsidRPr="00E00311">
              <w:rPr>
                <w:color w:val="000000" w:themeColor="text1"/>
                <w:sz w:val="20"/>
                <w:shd w:val="clear" w:color="auto" w:fill="FFFFFF"/>
                <w:lang w:val="es-ES"/>
              </w:rPr>
              <w:t>Oficina Regional de la UIT para Asia y el Pacífico</w:t>
            </w:r>
          </w:p>
        </w:tc>
        <w:tc>
          <w:tcPr>
            <w:tcW w:w="705" w:type="pct"/>
            <w:tcBorders>
              <w:top w:val="single" w:sz="4" w:space="0" w:color="auto"/>
              <w:left w:val="single" w:sz="4" w:space="0" w:color="auto"/>
              <w:bottom w:val="single" w:sz="4" w:space="0" w:color="auto"/>
              <w:right w:val="single" w:sz="4" w:space="0" w:color="auto"/>
            </w:tcBorders>
            <w:vAlign w:val="center"/>
          </w:tcPr>
          <w:p w14:paraId="660AC8A0" w14:textId="77777777" w:rsidR="006D51CF" w:rsidRPr="00E00311" w:rsidRDefault="006D51CF" w:rsidP="00E00311">
            <w:pPr>
              <w:pStyle w:val="Tabletext"/>
              <w:jc w:val="center"/>
              <w:rPr>
                <w:b/>
                <w:sz w:val="20"/>
                <w:lang w:val="es-ES"/>
              </w:rPr>
            </w:pPr>
            <w:r w:rsidRPr="00E00311">
              <w:rPr>
                <w:sz w:val="20"/>
                <w:lang w:val="es-ES"/>
              </w:rPr>
              <w:t>Sistemas de radiocomunicaciones modernos y mesas redondas sobre el orden del día de la CMR-27</w:t>
            </w:r>
          </w:p>
        </w:tc>
        <w:tc>
          <w:tcPr>
            <w:tcW w:w="384" w:type="pct"/>
            <w:tcBorders>
              <w:top w:val="single" w:sz="4" w:space="0" w:color="auto"/>
              <w:left w:val="single" w:sz="4" w:space="0" w:color="auto"/>
              <w:bottom w:val="single" w:sz="4" w:space="0" w:color="auto"/>
              <w:right w:val="single" w:sz="4" w:space="0" w:color="auto"/>
            </w:tcBorders>
            <w:vAlign w:val="center"/>
          </w:tcPr>
          <w:p w14:paraId="46BF8900" w14:textId="77777777" w:rsidR="006D51CF" w:rsidRPr="00E00311" w:rsidRDefault="006D51CF" w:rsidP="00E00311">
            <w:pPr>
              <w:pStyle w:val="Tabletext"/>
              <w:jc w:val="center"/>
              <w:rPr>
                <w:sz w:val="20"/>
                <w:lang w:val="es-ES"/>
              </w:rPr>
            </w:pPr>
            <w:r w:rsidRPr="00E00311">
              <w:rPr>
                <w:sz w:val="20"/>
                <w:lang w:val="en-US"/>
              </w:rPr>
              <w:t>Inglés</w:t>
            </w:r>
          </w:p>
        </w:tc>
        <w:tc>
          <w:tcPr>
            <w:tcW w:w="591" w:type="pct"/>
            <w:tcBorders>
              <w:top w:val="single" w:sz="4" w:space="0" w:color="auto"/>
              <w:left w:val="single" w:sz="4" w:space="0" w:color="auto"/>
              <w:bottom w:val="single" w:sz="4" w:space="0" w:color="auto"/>
              <w:right w:val="single" w:sz="4" w:space="0" w:color="auto"/>
            </w:tcBorders>
            <w:vAlign w:val="center"/>
          </w:tcPr>
          <w:p w14:paraId="3CF7ADE6" w14:textId="77777777" w:rsidR="006D51CF" w:rsidRPr="00E00311" w:rsidRDefault="006D51CF" w:rsidP="00E00311">
            <w:pPr>
              <w:pStyle w:val="Tabletext"/>
              <w:jc w:val="center"/>
              <w:rPr>
                <w:sz w:val="20"/>
                <w:lang w:val="en-US"/>
              </w:rPr>
            </w:pPr>
            <w:r w:rsidRPr="00E00311">
              <w:rPr>
                <w:sz w:val="20"/>
                <w:lang w:val="en-US"/>
              </w:rPr>
              <w:t>127/25</w:t>
            </w:r>
          </w:p>
        </w:tc>
        <w:tc>
          <w:tcPr>
            <w:tcW w:w="555" w:type="pct"/>
            <w:tcBorders>
              <w:top w:val="single" w:sz="4" w:space="0" w:color="auto"/>
              <w:left w:val="single" w:sz="4" w:space="0" w:color="auto"/>
              <w:bottom w:val="single" w:sz="4" w:space="0" w:color="auto"/>
              <w:right w:val="single" w:sz="4" w:space="0" w:color="auto"/>
            </w:tcBorders>
            <w:vAlign w:val="center"/>
          </w:tcPr>
          <w:p w14:paraId="04D735C9" w14:textId="77777777" w:rsidR="006D51CF" w:rsidRPr="00E00311" w:rsidRDefault="006D51CF" w:rsidP="00E00311">
            <w:pPr>
              <w:pStyle w:val="Tabletext"/>
              <w:jc w:val="center"/>
              <w:rPr>
                <w:sz w:val="20"/>
                <w:lang w:val="es-ES"/>
              </w:rPr>
            </w:pPr>
            <w:r w:rsidRPr="00E00311">
              <w:rPr>
                <w:sz w:val="20"/>
                <w:lang w:val="es-ES"/>
              </w:rPr>
              <w:t>Evento financiado por el MIIT de China, incluidas doce becas totales: 12</w:t>
            </w:r>
          </w:p>
        </w:tc>
      </w:tr>
    </w:tbl>
    <w:p w14:paraId="113B468F" w14:textId="77777777" w:rsidR="006D51CF" w:rsidRPr="00CE1A75" w:rsidRDefault="006D51CF" w:rsidP="006D51CF">
      <w:pPr>
        <w:rPr>
          <w:lang w:val="es-ES"/>
        </w:rPr>
      </w:pPr>
      <w:r w:rsidRPr="00CE1A75">
        <w:rPr>
          <w:lang w:val="es-ES"/>
        </w:rPr>
        <w:t>La BR, conjuntamente con sus socios regionales, concedión 48 becas para los SRR (una por ad</w:t>
      </w:r>
      <w:r>
        <w:rPr>
          <w:lang w:val="es-ES"/>
        </w:rPr>
        <w:t>ministración para los países aptos</w:t>
      </w:r>
      <w:r w:rsidRPr="00CE1A75">
        <w:rPr>
          <w:lang w:val="es-ES"/>
        </w:rPr>
        <w:t xml:space="preserve">). </w:t>
      </w:r>
    </w:p>
    <w:p w14:paraId="2A0E9665" w14:textId="77777777" w:rsidR="006D51CF" w:rsidRPr="00CE1A75" w:rsidRDefault="006D51CF" w:rsidP="006D51CF">
      <w:pPr>
        <w:rPr>
          <w:rFonts w:asciiTheme="majorBidi" w:hAnsiTheme="majorBidi" w:cstheme="majorBidi"/>
          <w:highlight w:val="cyan"/>
          <w:lang w:val="es-ES"/>
        </w:rPr>
        <w:sectPr w:rsidR="006D51CF" w:rsidRPr="00CE1A75" w:rsidSect="006D51CF">
          <w:headerReference w:type="even" r:id="rId68"/>
          <w:headerReference w:type="default" r:id="rId69"/>
          <w:headerReference w:type="first" r:id="rId70"/>
          <w:footerReference w:type="first" r:id="rId71"/>
          <w:pgSz w:w="16840" w:h="11907" w:orient="landscape" w:code="9"/>
          <w:pgMar w:top="1134" w:right="1418" w:bottom="1134" w:left="851" w:header="720" w:footer="720" w:gutter="0"/>
          <w:paperSrc w:first="15" w:other="15"/>
          <w:cols w:space="720"/>
          <w:docGrid w:linePitch="326"/>
        </w:sectPr>
      </w:pPr>
    </w:p>
    <w:p w14:paraId="0CAC6E3F" w14:textId="77777777" w:rsidR="006D51CF" w:rsidRPr="00CE1A75" w:rsidDel="0071524F" w:rsidRDefault="006D51CF" w:rsidP="006D51CF">
      <w:pPr>
        <w:pStyle w:val="Heading3"/>
        <w:rPr>
          <w:highlight w:val="cyan"/>
          <w:lang w:val="es-ES"/>
        </w:rPr>
      </w:pPr>
      <w:bookmarkStart w:id="136" w:name="_Toc222308714"/>
      <w:bookmarkStart w:id="137" w:name="_Toc424047610"/>
      <w:bookmarkStart w:id="138" w:name="_Toc446060788"/>
      <w:bookmarkStart w:id="139" w:name="_Toc222843183"/>
      <w:r w:rsidRPr="00CE1A75" w:rsidDel="0071524F">
        <w:rPr>
          <w:lang w:val="es-ES"/>
        </w:rPr>
        <w:lastRenderedPageBreak/>
        <w:t>8.2.</w:t>
      </w:r>
      <w:r w:rsidRPr="00CE1A75">
        <w:rPr>
          <w:lang w:val="es-ES"/>
        </w:rPr>
        <w:t>3</w:t>
      </w:r>
      <w:r w:rsidRPr="00CE1A75" w:rsidDel="0071524F">
        <w:rPr>
          <w:lang w:val="es-ES"/>
        </w:rPr>
        <w:tab/>
      </w:r>
      <w:r w:rsidRPr="00CE1A75">
        <w:rPr>
          <w:lang w:val="es-ES"/>
        </w:rPr>
        <w:t>Talleres sobre los cuadros nacionales de atribución</w:t>
      </w:r>
      <w:r>
        <w:rPr>
          <w:lang w:val="es-ES"/>
        </w:rPr>
        <w:t xml:space="preserve"> de frecuencias (CNAF</w:t>
      </w:r>
      <w:r w:rsidRPr="00CE1A75" w:rsidDel="0071524F">
        <w:rPr>
          <w:lang w:val="es-ES"/>
        </w:rPr>
        <w:t>)</w:t>
      </w:r>
      <w:bookmarkEnd w:id="136"/>
      <w:bookmarkEnd w:id="139"/>
    </w:p>
    <w:p w14:paraId="4E0E1A49" w14:textId="77777777" w:rsidR="006D51CF" w:rsidRPr="001451D6" w:rsidDel="0071524F" w:rsidRDefault="006D51CF" w:rsidP="006D51CF">
      <w:pPr>
        <w:rPr>
          <w:rFonts w:eastAsia="Calibri"/>
          <w:lang w:val="es-ES" w:eastAsia="en-GB" w:bidi="en-GB"/>
        </w:rPr>
      </w:pPr>
      <w:r w:rsidRPr="001451D6">
        <w:rPr>
          <w:rFonts w:eastAsia="Calibri"/>
          <w:color w:val="000000"/>
          <w:lang w:val="es-ES"/>
        </w:rPr>
        <w:t>Se determinó que era necesario suplementar los SMR/SRR con formaciones dedicadas a los CNFA y sus actualizaciones para armonizarlos con el Re</w:t>
      </w:r>
      <w:r>
        <w:rPr>
          <w:rFonts w:eastAsia="Calibri"/>
          <w:color w:val="000000"/>
          <w:lang w:val="es-ES"/>
        </w:rPr>
        <w:t xml:space="preserve">glamento de Radiocomunicaciones de la UIT y las publicaciones del UIT-R. </w:t>
      </w:r>
      <w:r w:rsidRPr="001451D6">
        <w:rPr>
          <w:rFonts w:eastAsia="Calibri"/>
          <w:color w:val="000000"/>
          <w:lang w:val="es-ES"/>
        </w:rPr>
        <w:t>Así, la BR organizó</w:t>
      </w:r>
      <w:r w:rsidRPr="001451D6">
        <w:rPr>
          <w:rFonts w:eastAsia="Calibri"/>
          <w:lang w:val="es-ES" w:eastAsia="en-GB" w:bidi="en-GB"/>
        </w:rPr>
        <w:t xml:space="preserve"> </w:t>
      </w:r>
      <w:hyperlink r:id="rId72" w:history="1">
        <w:r w:rsidRPr="001451D6">
          <w:rPr>
            <w:rStyle w:val="Hyperlink"/>
            <w:rFonts w:eastAsia="Calibri"/>
            <w:lang w:val="es-ES" w:eastAsia="en-GB" w:bidi="en-GB"/>
          </w:rPr>
          <w:t>talleres CN</w:t>
        </w:r>
        <w:r w:rsidRPr="001451D6">
          <w:rPr>
            <w:rStyle w:val="Hyperlink"/>
            <w:rFonts w:eastAsia="Calibri"/>
            <w:lang w:val="es-ES" w:eastAsia="en-GB" w:bidi="en-GB"/>
          </w:rPr>
          <w:t>A</w:t>
        </w:r>
        <w:r w:rsidRPr="001451D6">
          <w:rPr>
            <w:rStyle w:val="Hyperlink"/>
            <w:rFonts w:eastAsia="Calibri"/>
            <w:lang w:val="es-ES" w:eastAsia="en-GB" w:bidi="en-GB"/>
          </w:rPr>
          <w:t>F</w:t>
        </w:r>
      </w:hyperlink>
      <w:r w:rsidRPr="001451D6">
        <w:rPr>
          <w:rFonts w:eastAsia="Calibri"/>
          <w:lang w:val="es-ES" w:eastAsia="en-GB" w:bidi="en-GB"/>
        </w:rPr>
        <w:t xml:space="preserve"> (uno por Región del RR) tras la publicación de </w:t>
      </w:r>
      <w:r>
        <w:rPr>
          <w:rFonts w:eastAsia="Calibri"/>
          <w:lang w:val="es-ES" w:eastAsia="en-GB" w:bidi="en-GB"/>
        </w:rPr>
        <w:t>la versión más reciente del Reglamento de Radiocomunicaciones</w:t>
      </w:r>
      <w:r w:rsidRPr="001451D6">
        <w:rPr>
          <w:rFonts w:eastAsia="Calibri"/>
          <w:lang w:val="es-ES" w:eastAsia="en-GB" w:bidi="en-GB"/>
        </w:rPr>
        <w:t>.</w:t>
      </w:r>
    </w:p>
    <w:p w14:paraId="0E135397" w14:textId="1483677C" w:rsidR="006D51CF" w:rsidRPr="001451D6" w:rsidRDefault="006D51CF" w:rsidP="006D51CF">
      <w:pPr>
        <w:rPr>
          <w:rFonts w:eastAsiaTheme="minorEastAsia"/>
          <w:lang w:val="es-ES" w:eastAsia="ja-JP"/>
        </w:rPr>
      </w:pPr>
      <w:r w:rsidRPr="001451D6">
        <w:rPr>
          <w:rFonts w:eastAsiaTheme="minorEastAsia"/>
          <w:lang w:val="es-ES" w:eastAsia="ja-JP"/>
        </w:rPr>
        <w:t>La próxima serie de talleres CNAF tendrá lugar durante el segundo trimestre de 2028, tras la CMR</w:t>
      </w:r>
      <w:r w:rsidR="00E00311">
        <w:rPr>
          <w:rFonts w:eastAsiaTheme="minorEastAsia"/>
          <w:lang w:val="es-ES" w:eastAsia="ja-JP"/>
        </w:rPr>
        <w:noBreakHyphen/>
      </w:r>
      <w:r w:rsidRPr="001451D6">
        <w:rPr>
          <w:rFonts w:eastAsiaTheme="minorEastAsia"/>
          <w:lang w:val="es-ES" w:eastAsia="ja-JP"/>
        </w:rPr>
        <w:t xml:space="preserve">27 y la </w:t>
      </w:r>
      <w:r>
        <w:rPr>
          <w:rFonts w:eastAsiaTheme="minorEastAsia"/>
          <w:lang w:val="es-ES" w:eastAsia="ja-JP"/>
        </w:rPr>
        <w:t>consiguiente publicación de la edición de 2028 del RR</w:t>
      </w:r>
      <w:r w:rsidRPr="001451D6">
        <w:rPr>
          <w:rFonts w:eastAsiaTheme="minorEastAsia"/>
          <w:lang w:val="es-ES" w:eastAsia="ja-JP"/>
        </w:rPr>
        <w:t>.</w:t>
      </w:r>
    </w:p>
    <w:p w14:paraId="167A7F01" w14:textId="77777777" w:rsidR="006D51CF" w:rsidRPr="001451D6" w:rsidRDefault="006D51CF" w:rsidP="006D51CF">
      <w:pPr>
        <w:pStyle w:val="Heading2"/>
        <w:rPr>
          <w:lang w:val="es-ES"/>
        </w:rPr>
      </w:pPr>
      <w:bookmarkStart w:id="140" w:name="_Toc222308715"/>
      <w:bookmarkStart w:id="141" w:name="_Toc222843184"/>
      <w:r w:rsidRPr="001451D6">
        <w:rPr>
          <w:lang w:val="es-ES"/>
        </w:rPr>
        <w:t>8.3</w:t>
      </w:r>
      <w:r w:rsidRPr="001451D6">
        <w:rPr>
          <w:lang w:val="es-ES"/>
        </w:rPr>
        <w:tab/>
        <w:t>Asistencia a los Estados Miembros</w:t>
      </w:r>
      <w:bookmarkEnd w:id="137"/>
      <w:bookmarkEnd w:id="138"/>
      <w:bookmarkEnd w:id="140"/>
      <w:bookmarkEnd w:id="141"/>
    </w:p>
    <w:p w14:paraId="74671736" w14:textId="77777777" w:rsidR="006D51CF" w:rsidRPr="006D0445" w:rsidRDefault="006D51CF" w:rsidP="006D51CF">
      <w:pPr>
        <w:rPr>
          <w:lang w:val="es-ES"/>
        </w:rPr>
      </w:pPr>
      <w:r w:rsidRPr="006D0445">
        <w:rPr>
          <w:lang w:val="es-ES"/>
        </w:rPr>
        <w:t xml:space="preserve">La Oficina sigue recibiendo numerosas solicitudes de asistencia de administraciones relacionadas con aspectos generales de la gestión del espectro, el proceso de la CMR y la participación en las Comisiones de Estudio y Grupos de Trabajo del UIT-R, así como con la inscripción de asignaciones de frecuencias a estaciones terrenales, espaciales, terrenas o de radioastronomía. </w:t>
      </w:r>
    </w:p>
    <w:p w14:paraId="31F26841" w14:textId="77777777" w:rsidR="006D51CF" w:rsidRPr="006D0445" w:rsidRDefault="006D51CF" w:rsidP="006D51CF">
      <w:pPr>
        <w:rPr>
          <w:lang w:val="es-ES"/>
        </w:rPr>
      </w:pPr>
      <w:r w:rsidRPr="006D0445">
        <w:rPr>
          <w:lang w:val="es-ES"/>
        </w:rPr>
        <w:t>La Oficina se esfuerza por responder a cada solicitud en el marco de los recursos disponibles</w:t>
      </w:r>
      <w:r>
        <w:rPr>
          <w:lang w:val="es-ES"/>
        </w:rPr>
        <w:t>,</w:t>
      </w:r>
      <w:r w:rsidRPr="006D0445">
        <w:rPr>
          <w:lang w:val="es-ES"/>
        </w:rPr>
        <w:t xml:space="preserve"> teniendo presente la necesidad de equilibrar los recursos asignados a la tramitación de notificaciones y a la respuesta a solicitudes de asistencia. No obstante, cabe señalar que la Oficina no puede dar cumplimiento a las disposiciones del Reglamento de Radiocomunicaciones en lugar de las administraciones, sino únicamente de asesorarlas sobre posibles formas de aplicar dichas disposiciones.</w:t>
      </w:r>
    </w:p>
    <w:p w14:paraId="3B966659" w14:textId="77777777" w:rsidR="006D51CF" w:rsidRPr="004C1106" w:rsidRDefault="006D51CF" w:rsidP="006D51CF">
      <w:pPr>
        <w:pStyle w:val="Heading3"/>
        <w:rPr>
          <w:lang w:val="es-ES"/>
        </w:rPr>
      </w:pPr>
      <w:bookmarkStart w:id="142" w:name="_Toc424047611"/>
      <w:bookmarkStart w:id="143" w:name="_Toc446060789"/>
      <w:bookmarkStart w:id="144" w:name="_Toc222308716"/>
      <w:bookmarkStart w:id="145" w:name="_Toc222843185"/>
      <w:r w:rsidRPr="004C1106">
        <w:rPr>
          <w:lang w:val="es-ES"/>
        </w:rPr>
        <w:t>8.3.1</w:t>
      </w:r>
      <w:r w:rsidRPr="004C1106">
        <w:rPr>
          <w:lang w:val="es-ES"/>
        </w:rPr>
        <w:tab/>
        <w:t>Asistencia a las administraciones de los países en desarrollo</w:t>
      </w:r>
      <w:bookmarkEnd w:id="142"/>
      <w:bookmarkEnd w:id="143"/>
      <w:bookmarkEnd w:id="144"/>
      <w:bookmarkEnd w:id="145"/>
    </w:p>
    <w:p w14:paraId="13E12AEB" w14:textId="77777777" w:rsidR="006D51CF" w:rsidRPr="006D0445" w:rsidRDefault="006D51CF" w:rsidP="006D51CF">
      <w:pPr>
        <w:rPr>
          <w:lang w:val="es-ES"/>
        </w:rPr>
      </w:pPr>
      <w:r w:rsidRPr="006D0445">
        <w:rPr>
          <w:lang w:val="es-ES"/>
        </w:rPr>
        <w:t>Desde la CMR-23, la Oficina ha prestado asistencia a las administraciones de los países en desarrollo mediante:</w:t>
      </w:r>
    </w:p>
    <w:p w14:paraId="403830E5" w14:textId="1E4C6A29" w:rsidR="006D51CF" w:rsidRPr="006D0445" w:rsidRDefault="00E00311" w:rsidP="00E00311">
      <w:pPr>
        <w:pStyle w:val="enumlev1"/>
        <w:rPr>
          <w:lang w:val="es-ES"/>
        </w:rPr>
      </w:pPr>
      <w:r w:rsidRPr="008C3006">
        <w:rPr>
          <w:lang w:val="es-ES"/>
        </w:rPr>
        <w:t>–</w:t>
      </w:r>
      <w:r>
        <w:rPr>
          <w:lang w:val="es-ES"/>
        </w:rPr>
        <w:tab/>
      </w:r>
      <w:r w:rsidR="006D51CF" w:rsidRPr="006D0445">
        <w:rPr>
          <w:lang w:val="es-ES"/>
        </w:rPr>
        <w:t>la participación en seminarios de capacitación sobre comunicaciones por satélite;</w:t>
      </w:r>
    </w:p>
    <w:p w14:paraId="46B88B85" w14:textId="01DAE328" w:rsidR="006D51CF" w:rsidRPr="006D0445" w:rsidRDefault="00E00311" w:rsidP="00E00311">
      <w:pPr>
        <w:pStyle w:val="enumlev1"/>
        <w:rPr>
          <w:lang w:val="es-ES"/>
        </w:rPr>
      </w:pPr>
      <w:r w:rsidRPr="008C3006">
        <w:rPr>
          <w:lang w:val="es-ES"/>
        </w:rPr>
        <w:t>–</w:t>
      </w:r>
      <w:r>
        <w:rPr>
          <w:lang w:val="es-ES"/>
        </w:rPr>
        <w:tab/>
      </w:r>
      <w:r w:rsidR="006D51CF" w:rsidRPr="006D0445">
        <w:rPr>
          <w:lang w:val="es-ES"/>
        </w:rPr>
        <w:t xml:space="preserve">a prestación de asistencia en el procedimiento de coordinación en virtud de los números </w:t>
      </w:r>
      <w:r w:rsidR="006D51CF" w:rsidRPr="006D0445">
        <w:rPr>
          <w:b/>
          <w:bCs/>
          <w:lang w:val="es-ES"/>
        </w:rPr>
        <w:t>9.18</w:t>
      </w:r>
      <w:r w:rsidR="006D51CF" w:rsidRPr="006D0445">
        <w:rPr>
          <w:lang w:val="es-ES"/>
        </w:rPr>
        <w:t xml:space="preserve">, </w:t>
      </w:r>
      <w:r w:rsidR="006D51CF" w:rsidRPr="006D0445">
        <w:rPr>
          <w:b/>
          <w:bCs/>
          <w:lang w:val="es-ES"/>
        </w:rPr>
        <w:t>9.19</w:t>
      </w:r>
      <w:r w:rsidR="006D51CF" w:rsidRPr="006D0445">
        <w:rPr>
          <w:lang w:val="es-ES"/>
        </w:rPr>
        <w:t xml:space="preserve"> y </w:t>
      </w:r>
      <w:r w:rsidR="006D51CF" w:rsidRPr="006D0445">
        <w:rPr>
          <w:b/>
          <w:bCs/>
          <w:lang w:val="es-ES"/>
        </w:rPr>
        <w:t>9.21</w:t>
      </w:r>
      <w:r w:rsidR="006D51CF" w:rsidRPr="006D0445">
        <w:rPr>
          <w:lang w:val="es-ES"/>
        </w:rPr>
        <w:t xml:space="preserve"> del RR;</w:t>
      </w:r>
    </w:p>
    <w:p w14:paraId="30CD4E5A" w14:textId="454913F4" w:rsidR="006D51CF" w:rsidRPr="006D0445" w:rsidRDefault="00E00311" w:rsidP="00E00311">
      <w:pPr>
        <w:pStyle w:val="enumlev1"/>
        <w:rPr>
          <w:lang w:val="es-ES"/>
        </w:rPr>
      </w:pPr>
      <w:r w:rsidRPr="008C3006">
        <w:rPr>
          <w:lang w:val="es-ES"/>
        </w:rPr>
        <w:t>–</w:t>
      </w:r>
      <w:r>
        <w:rPr>
          <w:lang w:val="es-ES"/>
        </w:rPr>
        <w:tab/>
      </w:r>
      <w:r w:rsidR="006D51CF" w:rsidRPr="006D0445">
        <w:rPr>
          <w:lang w:val="es-ES"/>
        </w:rPr>
        <w:t>la prestación de asistencia en los procedimientos de modificación de planes en virtud de los Acuerdos Regionales;</w:t>
      </w:r>
    </w:p>
    <w:p w14:paraId="4F438ECA" w14:textId="1F8F47BE" w:rsidR="006D51CF" w:rsidRPr="006D0445" w:rsidRDefault="00E00311" w:rsidP="00E00311">
      <w:pPr>
        <w:pStyle w:val="enumlev1"/>
        <w:rPr>
          <w:lang w:val="es-ES"/>
        </w:rPr>
      </w:pPr>
      <w:r w:rsidRPr="008C3006">
        <w:rPr>
          <w:lang w:val="es-ES"/>
        </w:rPr>
        <w:t>–</w:t>
      </w:r>
      <w:r>
        <w:rPr>
          <w:lang w:val="es-ES"/>
        </w:rPr>
        <w:tab/>
      </w:r>
      <w:r w:rsidR="006D51CF" w:rsidRPr="006D0445">
        <w:rPr>
          <w:lang w:val="es-ES"/>
        </w:rPr>
        <w:t>la prestación de asistencia en la asignación de distintivos de llamada y MMSI;</w:t>
      </w:r>
    </w:p>
    <w:p w14:paraId="6DC9A8C8" w14:textId="56C0152B" w:rsidR="006D51CF" w:rsidRPr="006D0445" w:rsidRDefault="00E00311" w:rsidP="00E00311">
      <w:pPr>
        <w:pStyle w:val="enumlev1"/>
        <w:rPr>
          <w:lang w:val="es-ES"/>
        </w:rPr>
      </w:pPr>
      <w:r w:rsidRPr="008C3006">
        <w:rPr>
          <w:lang w:val="es-ES"/>
        </w:rPr>
        <w:t>–</w:t>
      </w:r>
      <w:r>
        <w:rPr>
          <w:lang w:val="es-ES"/>
        </w:rPr>
        <w:tab/>
      </w:r>
      <w:r w:rsidR="006D51CF" w:rsidRPr="006D0445">
        <w:rPr>
          <w:lang w:val="es-ES"/>
        </w:rPr>
        <w:t xml:space="preserve">la prestación de asistencia en la presentación de notificaciones en virtud del Artículo </w:t>
      </w:r>
      <w:r w:rsidR="006D51CF" w:rsidRPr="006D0445">
        <w:rPr>
          <w:b/>
          <w:bCs/>
          <w:lang w:val="es-ES"/>
        </w:rPr>
        <w:t>11</w:t>
      </w:r>
      <w:r w:rsidR="006D51CF" w:rsidRPr="006D0445">
        <w:rPr>
          <w:lang w:val="es-ES"/>
        </w:rPr>
        <w:t xml:space="preserve"> del RR</w:t>
      </w:r>
      <w:r w:rsidR="006D51CF">
        <w:rPr>
          <w:lang w:val="es-ES"/>
        </w:rPr>
        <w:t>;</w:t>
      </w:r>
      <w:r w:rsidR="006D51CF" w:rsidRPr="006D0445">
        <w:rPr>
          <w:lang w:val="es-ES"/>
        </w:rPr>
        <w:t xml:space="preserve"> </w:t>
      </w:r>
    </w:p>
    <w:p w14:paraId="6C5CF2D8" w14:textId="21F907F6" w:rsidR="006D51CF" w:rsidRPr="006D0445" w:rsidRDefault="00E00311" w:rsidP="00E00311">
      <w:pPr>
        <w:pStyle w:val="enumlev1"/>
        <w:rPr>
          <w:lang w:val="es-ES"/>
        </w:rPr>
      </w:pPr>
      <w:r w:rsidRPr="008C3006">
        <w:rPr>
          <w:lang w:val="es-ES"/>
        </w:rPr>
        <w:t>–</w:t>
      </w:r>
      <w:r>
        <w:rPr>
          <w:lang w:val="es-ES"/>
        </w:rPr>
        <w:tab/>
      </w:r>
      <w:r w:rsidR="006D51CF" w:rsidRPr="006D0445">
        <w:rPr>
          <w:lang w:val="es-ES"/>
        </w:rPr>
        <w:t xml:space="preserve">la prestación de asistencia en los procedimientos espaciales; </w:t>
      </w:r>
    </w:p>
    <w:p w14:paraId="44DD41C7" w14:textId="114F7875" w:rsidR="006D51CF" w:rsidRPr="006D0445" w:rsidRDefault="00E00311" w:rsidP="00E00311">
      <w:pPr>
        <w:pStyle w:val="enumlev1"/>
        <w:rPr>
          <w:lang w:val="es-ES"/>
        </w:rPr>
      </w:pPr>
      <w:r w:rsidRPr="008C3006">
        <w:rPr>
          <w:lang w:val="es-ES"/>
        </w:rPr>
        <w:t>–</w:t>
      </w:r>
      <w:r>
        <w:rPr>
          <w:lang w:val="es-ES"/>
        </w:rPr>
        <w:tab/>
      </w:r>
      <w:r w:rsidR="006D51CF" w:rsidRPr="006D0445">
        <w:rPr>
          <w:lang w:val="es-ES"/>
        </w:rPr>
        <w:t xml:space="preserve">la prestación de asistencia personalizada en la aplicación de la Resolución </w:t>
      </w:r>
      <w:r w:rsidR="006D51CF" w:rsidRPr="006D0445">
        <w:rPr>
          <w:b/>
          <w:bCs/>
          <w:lang w:val="es-ES"/>
        </w:rPr>
        <w:t>170 (Rev.</w:t>
      </w:r>
      <w:r>
        <w:rPr>
          <w:b/>
          <w:bCs/>
          <w:lang w:val="es-ES"/>
        </w:rPr>
        <w:t> </w:t>
      </w:r>
      <w:r w:rsidR="006D51CF" w:rsidRPr="006D0445">
        <w:rPr>
          <w:b/>
          <w:bCs/>
          <w:lang w:val="es-ES"/>
        </w:rPr>
        <w:t>CMR</w:t>
      </w:r>
      <w:r>
        <w:rPr>
          <w:b/>
          <w:bCs/>
          <w:lang w:val="es-ES"/>
        </w:rPr>
        <w:noBreakHyphen/>
      </w:r>
      <w:r w:rsidR="006D51CF" w:rsidRPr="006D0445">
        <w:rPr>
          <w:b/>
          <w:bCs/>
          <w:lang w:val="es-ES"/>
        </w:rPr>
        <w:t>23)</w:t>
      </w:r>
      <w:r w:rsidR="006D51CF" w:rsidRPr="006D0445">
        <w:rPr>
          <w:lang w:val="es-ES"/>
        </w:rPr>
        <w:t>.</w:t>
      </w:r>
    </w:p>
    <w:p w14:paraId="77314C20" w14:textId="77777777" w:rsidR="006D51CF" w:rsidRPr="004C1106" w:rsidRDefault="006D51CF" w:rsidP="006D51CF">
      <w:pPr>
        <w:pStyle w:val="Heading3"/>
        <w:rPr>
          <w:lang w:val="es-ES"/>
        </w:rPr>
      </w:pPr>
      <w:bookmarkStart w:id="146" w:name="_Toc424047612"/>
      <w:bookmarkStart w:id="147" w:name="_Toc446060790"/>
      <w:bookmarkStart w:id="148" w:name="_Toc222308717"/>
      <w:bookmarkStart w:id="149" w:name="_Toc222843186"/>
      <w:r w:rsidRPr="004C1106">
        <w:rPr>
          <w:lang w:val="es-ES"/>
        </w:rPr>
        <w:t>8.3.2</w:t>
      </w:r>
      <w:r w:rsidRPr="004C1106">
        <w:rPr>
          <w:lang w:val="es-ES"/>
        </w:rPr>
        <w:tab/>
        <w:t>Asistencia a los Grupos Regionales</w:t>
      </w:r>
      <w:bookmarkEnd w:id="146"/>
      <w:bookmarkEnd w:id="147"/>
      <w:bookmarkEnd w:id="148"/>
      <w:bookmarkEnd w:id="149"/>
    </w:p>
    <w:p w14:paraId="394269DA" w14:textId="77777777" w:rsidR="006D51CF" w:rsidRPr="006D0445" w:rsidRDefault="006D51CF" w:rsidP="006D51CF">
      <w:pPr>
        <w:pStyle w:val="Heading4"/>
        <w:rPr>
          <w:lang w:val="es-ES"/>
        </w:rPr>
      </w:pPr>
      <w:bookmarkStart w:id="150" w:name="_Toc424047613"/>
      <w:r w:rsidRPr="006D0445">
        <w:rPr>
          <w:lang w:val="es-ES"/>
        </w:rPr>
        <w:t>8.3.2.1</w:t>
      </w:r>
      <w:r w:rsidRPr="006D0445">
        <w:rPr>
          <w:lang w:val="es-ES"/>
        </w:rPr>
        <w:tab/>
        <w:t xml:space="preserve">Asistencia a la Comunidad de </w:t>
      </w:r>
      <w:r>
        <w:rPr>
          <w:lang w:val="es-ES"/>
        </w:rPr>
        <w:t>África Meridional para el Desarrollo</w:t>
      </w:r>
      <w:r w:rsidRPr="006D0445">
        <w:rPr>
          <w:lang w:val="es-ES"/>
        </w:rPr>
        <w:t xml:space="preserve"> (SADC)</w:t>
      </w:r>
    </w:p>
    <w:p w14:paraId="43E39E58" w14:textId="77777777" w:rsidR="006D51CF" w:rsidRPr="006D0445" w:rsidRDefault="006D51CF" w:rsidP="006D51CF">
      <w:pPr>
        <w:rPr>
          <w:rFonts w:eastAsia="Calibri"/>
          <w:szCs w:val="24"/>
          <w:lang w:val="es-ES"/>
        </w:rPr>
      </w:pPr>
      <w:r w:rsidRPr="006D0445">
        <w:rPr>
          <w:rFonts w:eastAsia="Calibri"/>
          <w:szCs w:val="24"/>
          <w:lang w:val="es-ES"/>
        </w:rPr>
        <w:t xml:space="preserve">El 3 de septiembre de 2025 la Oficina recibió ocho </w:t>
      </w:r>
      <w:r>
        <w:rPr>
          <w:rFonts w:eastAsia="Calibri"/>
          <w:szCs w:val="24"/>
          <w:lang w:val="es-ES"/>
        </w:rPr>
        <w:t>notificaciones</w:t>
      </w:r>
      <w:r w:rsidRPr="006D0445">
        <w:rPr>
          <w:rFonts w:eastAsia="Calibri"/>
          <w:szCs w:val="24"/>
          <w:lang w:val="es-ES"/>
        </w:rPr>
        <w:t xml:space="preserve"> relativas a la aplicación de la Resolución </w:t>
      </w:r>
      <w:r w:rsidRPr="006D0445">
        <w:rPr>
          <w:rFonts w:eastAsia="Calibri"/>
          <w:b/>
          <w:bCs/>
          <w:szCs w:val="24"/>
          <w:lang w:val="es-ES"/>
        </w:rPr>
        <w:t xml:space="preserve">170 (Rev. </w:t>
      </w:r>
      <w:r>
        <w:rPr>
          <w:rFonts w:eastAsia="Calibri"/>
          <w:b/>
          <w:bCs/>
          <w:szCs w:val="24"/>
          <w:lang w:val="es-ES"/>
        </w:rPr>
        <w:t>CMR</w:t>
      </w:r>
      <w:r w:rsidRPr="006D0445">
        <w:rPr>
          <w:rFonts w:eastAsia="Calibri"/>
          <w:b/>
          <w:bCs/>
          <w:szCs w:val="24"/>
          <w:lang w:val="es-ES"/>
        </w:rPr>
        <w:t>-23)</w:t>
      </w:r>
      <w:r w:rsidRPr="006D0445">
        <w:rPr>
          <w:rFonts w:eastAsia="Calibri"/>
          <w:szCs w:val="24"/>
          <w:lang w:val="es-ES"/>
        </w:rPr>
        <w:t xml:space="preserve"> </w:t>
      </w:r>
      <w:r>
        <w:rPr>
          <w:rFonts w:eastAsia="Calibri"/>
          <w:szCs w:val="24"/>
          <w:lang w:val="es-ES"/>
        </w:rPr>
        <w:t>de la Administración de la República de Angola, en calidad de administración notificante de la organización intergubernamental de satélites</w:t>
      </w:r>
      <w:r w:rsidRPr="006D0445">
        <w:rPr>
          <w:rFonts w:eastAsia="Calibri"/>
          <w:szCs w:val="24"/>
          <w:lang w:val="es-ES"/>
        </w:rPr>
        <w:t xml:space="preserve"> </w:t>
      </w:r>
      <w:r w:rsidRPr="006D0445">
        <w:rPr>
          <w:rFonts w:eastAsia="Calibri"/>
          <w:i/>
          <w:iCs/>
          <w:szCs w:val="24"/>
          <w:lang w:val="es-ES"/>
        </w:rPr>
        <w:t>Southern Africa Community Satellite</w:t>
      </w:r>
      <w:r w:rsidRPr="006D0445">
        <w:rPr>
          <w:rFonts w:eastAsia="Calibri"/>
          <w:szCs w:val="24"/>
          <w:lang w:val="es-ES"/>
        </w:rPr>
        <w:t xml:space="preserve"> (AGL/SCS).</w:t>
      </w:r>
    </w:p>
    <w:p w14:paraId="0E3E811F" w14:textId="77777777" w:rsidR="006D51CF" w:rsidRPr="006D0445" w:rsidRDefault="006D51CF" w:rsidP="006D51CF">
      <w:pPr>
        <w:rPr>
          <w:rFonts w:eastAsia="Calibri"/>
          <w:szCs w:val="24"/>
          <w:lang w:val="es-ES"/>
        </w:rPr>
      </w:pPr>
      <w:r w:rsidRPr="006D0445">
        <w:rPr>
          <w:rFonts w:eastAsia="Calibri"/>
          <w:szCs w:val="24"/>
          <w:lang w:val="es-ES"/>
        </w:rPr>
        <w:t>Par tramitar esas notificaciones la Oficina creó una nueva Sección Especial (RES170/A6A), q</w:t>
      </w:r>
      <w:r>
        <w:rPr>
          <w:rFonts w:eastAsia="Calibri"/>
          <w:szCs w:val="24"/>
          <w:lang w:val="es-ES"/>
        </w:rPr>
        <w:t>ue contiene la información presentada en el marco del procedimiento especial descrito en el Adjunto 1 a la Resolución</w:t>
      </w:r>
      <w:r w:rsidRPr="006D0445">
        <w:rPr>
          <w:rFonts w:eastAsia="Calibri"/>
          <w:szCs w:val="24"/>
          <w:lang w:val="es-ES"/>
        </w:rPr>
        <w:t xml:space="preserve"> </w:t>
      </w:r>
      <w:r w:rsidRPr="006D0445">
        <w:rPr>
          <w:rFonts w:eastAsia="Calibri"/>
          <w:b/>
          <w:bCs/>
          <w:szCs w:val="24"/>
          <w:lang w:val="es-ES"/>
        </w:rPr>
        <w:t xml:space="preserve">170 (Rev. </w:t>
      </w:r>
      <w:r>
        <w:rPr>
          <w:rFonts w:eastAsia="Calibri"/>
          <w:b/>
          <w:bCs/>
          <w:szCs w:val="24"/>
          <w:lang w:val="es-ES"/>
        </w:rPr>
        <w:t>CMR</w:t>
      </w:r>
      <w:r w:rsidRPr="006D0445">
        <w:rPr>
          <w:rFonts w:eastAsia="Calibri"/>
          <w:b/>
          <w:bCs/>
          <w:szCs w:val="24"/>
          <w:lang w:val="es-ES"/>
        </w:rPr>
        <w:t>-23)</w:t>
      </w:r>
      <w:r w:rsidRPr="006D0445">
        <w:rPr>
          <w:rFonts w:eastAsia="Calibri"/>
          <w:szCs w:val="24"/>
          <w:lang w:val="es-ES"/>
        </w:rPr>
        <w:t xml:space="preserve">. Esta Sección Especial se utiliza desde el 3 de febrero de 2026, </w:t>
      </w:r>
      <w:r w:rsidRPr="006D0445">
        <w:rPr>
          <w:rFonts w:eastAsia="Calibri"/>
          <w:szCs w:val="24"/>
          <w:lang w:val="es-ES"/>
        </w:rPr>
        <w:lastRenderedPageBreak/>
        <w:t xml:space="preserve">como se </w:t>
      </w:r>
      <w:r>
        <w:rPr>
          <w:rFonts w:eastAsia="Calibri"/>
          <w:szCs w:val="24"/>
          <w:lang w:val="es-ES"/>
        </w:rPr>
        <w:t xml:space="preserve">indica en el Prefacio a la </w:t>
      </w:r>
      <w:r w:rsidRPr="007E040D">
        <w:rPr>
          <w:lang w:val="es-ES"/>
        </w:rPr>
        <w:t>Circular Internacional de Información sobre Frecuencias</w:t>
      </w:r>
      <w:r w:rsidRPr="006D0445">
        <w:rPr>
          <w:rFonts w:eastAsia="Calibri"/>
          <w:szCs w:val="24"/>
          <w:lang w:val="es-ES"/>
        </w:rPr>
        <w:t xml:space="preserve"> </w:t>
      </w:r>
      <w:r>
        <w:rPr>
          <w:rFonts w:eastAsia="Calibri"/>
          <w:szCs w:val="24"/>
          <w:lang w:val="es-ES"/>
        </w:rPr>
        <w:t>de la BR</w:t>
      </w:r>
      <w:r w:rsidRPr="006D0445">
        <w:rPr>
          <w:rFonts w:eastAsia="Calibri"/>
          <w:szCs w:val="24"/>
          <w:lang w:val="es-ES"/>
        </w:rPr>
        <w:t xml:space="preserve"> (BR IFIC) (S</w:t>
      </w:r>
      <w:r>
        <w:rPr>
          <w:rFonts w:eastAsia="Calibri"/>
          <w:szCs w:val="24"/>
          <w:lang w:val="es-ES"/>
        </w:rPr>
        <w:t>ervicios Espaciales</w:t>
      </w:r>
      <w:r w:rsidRPr="006D0445">
        <w:rPr>
          <w:rFonts w:eastAsia="Calibri"/>
          <w:szCs w:val="24"/>
          <w:lang w:val="es-ES"/>
        </w:rPr>
        <w:t>).</w:t>
      </w:r>
    </w:p>
    <w:p w14:paraId="0EEC2C00" w14:textId="77777777" w:rsidR="006D51CF" w:rsidRPr="00290E78" w:rsidRDefault="006D51CF" w:rsidP="006D51CF">
      <w:pPr>
        <w:rPr>
          <w:szCs w:val="24"/>
          <w:lang w:val="es-ES"/>
        </w:rPr>
      </w:pPr>
      <w:r w:rsidRPr="00290E78">
        <w:rPr>
          <w:rFonts w:eastAsia="Calibri"/>
          <w:szCs w:val="24"/>
          <w:lang w:val="es-ES"/>
        </w:rPr>
        <w:t xml:space="preserve">En la BR IFIC nº 3064 de 3 de febrero de 2026 se publican ocho Secciones </w:t>
      </w:r>
      <w:r>
        <w:rPr>
          <w:rFonts w:eastAsia="Calibri"/>
          <w:szCs w:val="24"/>
          <w:lang w:val="es-ES"/>
        </w:rPr>
        <w:t>Especiales sujetas a la Resolución</w:t>
      </w:r>
      <w:r w:rsidRPr="00290E78">
        <w:rPr>
          <w:rFonts w:eastAsia="Calibri"/>
          <w:szCs w:val="24"/>
          <w:lang w:val="es-ES"/>
        </w:rPr>
        <w:t xml:space="preserve"> </w:t>
      </w:r>
      <w:r w:rsidRPr="00290E78">
        <w:rPr>
          <w:rFonts w:eastAsia="Calibri"/>
          <w:b/>
          <w:bCs/>
          <w:szCs w:val="24"/>
          <w:lang w:val="es-ES"/>
        </w:rPr>
        <w:t xml:space="preserve">170 (Rev. </w:t>
      </w:r>
      <w:r>
        <w:rPr>
          <w:rFonts w:eastAsia="Calibri"/>
          <w:b/>
          <w:bCs/>
          <w:szCs w:val="24"/>
          <w:lang w:val="es-ES"/>
        </w:rPr>
        <w:t>CMR</w:t>
      </w:r>
      <w:r w:rsidRPr="00290E78">
        <w:rPr>
          <w:rFonts w:eastAsia="Calibri"/>
          <w:b/>
          <w:bCs/>
          <w:szCs w:val="24"/>
          <w:lang w:val="es-ES"/>
        </w:rPr>
        <w:t>-23)</w:t>
      </w:r>
      <w:r w:rsidRPr="00290E78">
        <w:rPr>
          <w:rFonts w:eastAsia="Calibri"/>
          <w:szCs w:val="24"/>
          <w:lang w:val="es-ES"/>
        </w:rPr>
        <w:t>.</w:t>
      </w:r>
    </w:p>
    <w:p w14:paraId="3A38817C" w14:textId="77777777" w:rsidR="006D51CF" w:rsidRPr="00290E78" w:rsidRDefault="006D51CF" w:rsidP="006D51CF">
      <w:pPr>
        <w:pStyle w:val="Heading2"/>
        <w:rPr>
          <w:lang w:val="es-ES"/>
        </w:rPr>
      </w:pPr>
      <w:bookmarkStart w:id="151" w:name="_Toc418163382"/>
      <w:bookmarkStart w:id="152" w:name="_Toc418232300"/>
      <w:bookmarkStart w:id="153" w:name="_Toc424047620"/>
      <w:bookmarkStart w:id="154" w:name="_Toc446060792"/>
      <w:bookmarkStart w:id="155" w:name="_Toc222308718"/>
      <w:bookmarkStart w:id="156" w:name="_Toc222843187"/>
      <w:bookmarkEnd w:id="150"/>
      <w:r w:rsidRPr="00290E78">
        <w:rPr>
          <w:lang w:val="es-ES"/>
        </w:rPr>
        <w:t>8.4</w:t>
      </w:r>
      <w:r w:rsidRPr="00290E78">
        <w:rPr>
          <w:lang w:val="es-ES"/>
        </w:rPr>
        <w:tab/>
        <w:t>Asociaciones estratégicas y cooperación intersecto</w:t>
      </w:r>
      <w:r>
        <w:rPr>
          <w:lang w:val="es-ES"/>
        </w:rPr>
        <w:t>rial</w:t>
      </w:r>
      <w:bookmarkEnd w:id="151"/>
      <w:bookmarkEnd w:id="152"/>
      <w:bookmarkEnd w:id="153"/>
      <w:bookmarkEnd w:id="154"/>
      <w:bookmarkEnd w:id="155"/>
      <w:bookmarkEnd w:id="156"/>
    </w:p>
    <w:p w14:paraId="24CC35EF" w14:textId="77777777" w:rsidR="006D51CF" w:rsidRPr="00290E78" w:rsidRDefault="006D51CF" w:rsidP="006D51CF">
      <w:pPr>
        <w:pStyle w:val="Heading3"/>
        <w:rPr>
          <w:lang w:val="es-ES"/>
        </w:rPr>
      </w:pPr>
      <w:bookmarkStart w:id="157" w:name="_Toc424047621"/>
      <w:bookmarkStart w:id="158" w:name="_Toc446060793"/>
      <w:bookmarkStart w:id="159" w:name="_Toc222308719"/>
      <w:bookmarkStart w:id="160" w:name="_Toc222843188"/>
      <w:r w:rsidRPr="00290E78">
        <w:rPr>
          <w:lang w:val="es-ES"/>
        </w:rPr>
        <w:t>8.4.1</w:t>
      </w:r>
      <w:r w:rsidRPr="00290E78">
        <w:rPr>
          <w:lang w:val="es-ES"/>
        </w:rPr>
        <w:tab/>
        <w:t>Cooperación con el UIT-D</w:t>
      </w:r>
      <w:bookmarkStart w:id="161" w:name="_Toc424047622"/>
      <w:bookmarkEnd w:id="157"/>
      <w:bookmarkEnd w:id="158"/>
      <w:bookmarkEnd w:id="159"/>
      <w:bookmarkEnd w:id="160"/>
    </w:p>
    <w:p w14:paraId="493DDB07" w14:textId="77777777" w:rsidR="006D51CF" w:rsidRPr="00290E78" w:rsidRDefault="006D51CF" w:rsidP="006D51CF">
      <w:pPr>
        <w:rPr>
          <w:b/>
          <w:bCs/>
          <w:lang w:val="es-ES"/>
        </w:rPr>
      </w:pPr>
      <w:r w:rsidRPr="00290E78">
        <w:rPr>
          <w:lang w:val="es-ES"/>
        </w:rPr>
        <w:t>La BR siguió colaborando estrechamente con la BDT sobre asuntos de in</w:t>
      </w:r>
      <w:r>
        <w:rPr>
          <w:lang w:val="es-ES"/>
        </w:rPr>
        <w:t>terés común al UIT-R y el UIT-D</w:t>
      </w:r>
      <w:r w:rsidRPr="00290E78">
        <w:rPr>
          <w:lang w:val="es-ES"/>
        </w:rPr>
        <w:t>. La BR participó activamente en las reuniones de las CE del UIT-D para informar sobre los últimos adelantos de las actividades de las CE del UIT-R, así como orientaciones y correspondencias sobre Recomendaciones, Informes y Manuales del UIT-R de particular interés para los países en desarrollo y estudios elaborados por las CE 1 y 2 del UIT-D. Las CE del UIT-R o sus GT respondieron asimismo a varias Declaraciones de coordinación de las CE del UIT-D sobre la preparación de proyectos de Informes del UIT-D a la CMDT-25 relativos a las Cuestiones UIT-D aprobadas por la CMDT-22. Representantes de la BR siguieron de cerca la CMDT-25 y pa</w:t>
      </w:r>
      <w:r>
        <w:rPr>
          <w:lang w:val="es-ES"/>
        </w:rPr>
        <w:t>rticiparon en ella</w:t>
      </w:r>
      <w:r w:rsidRPr="00290E78">
        <w:rPr>
          <w:lang w:val="es-ES"/>
        </w:rPr>
        <w:t>.</w:t>
      </w:r>
    </w:p>
    <w:p w14:paraId="65088723" w14:textId="77777777" w:rsidR="006D51CF" w:rsidRPr="00290E78" w:rsidRDefault="006D51CF" w:rsidP="006D51CF">
      <w:pPr>
        <w:rPr>
          <w:rFonts w:eastAsia="Calibri"/>
          <w:lang w:val="es-ES"/>
        </w:rPr>
      </w:pPr>
      <w:r w:rsidRPr="00290E78">
        <w:rPr>
          <w:rFonts w:eastAsia="Calibri"/>
          <w:lang w:val="es-ES"/>
        </w:rPr>
        <w:t xml:space="preserve">Para facilitar la colaboración utilizando los mecanismos existentes, el Departamento de Comisiones de Estudio (SDG) de la BR facilita resúmenes de los últimos logros de sus CE y GT que revisten interés para las CE pertinentes del UIT-D y mantiene al día todos los productos aprobados recientemente. Esta información se publica periódicamente en </w:t>
      </w:r>
      <w:r>
        <w:rPr>
          <w:rFonts w:eastAsia="Calibri"/>
          <w:lang w:val="es-ES"/>
        </w:rPr>
        <w:t>el</w:t>
      </w:r>
      <w:r w:rsidRPr="00290E78">
        <w:rPr>
          <w:rFonts w:eastAsia="Calibri"/>
          <w:lang w:val="es-ES"/>
        </w:rPr>
        <w:t xml:space="preserve"> </w:t>
      </w:r>
      <w:hyperlink r:id="rId73" w:history="1">
        <w:r>
          <w:rPr>
            <w:rStyle w:val="Hyperlink"/>
            <w:rFonts w:eastAsia="Calibri"/>
            <w:lang w:val="es-ES"/>
          </w:rPr>
          <w:t>sitio w</w:t>
        </w:r>
        <w:r>
          <w:rPr>
            <w:rStyle w:val="Hyperlink"/>
            <w:rFonts w:eastAsia="Calibri"/>
            <w:lang w:val="es-ES"/>
          </w:rPr>
          <w:t>e</w:t>
        </w:r>
        <w:r>
          <w:rPr>
            <w:rStyle w:val="Hyperlink"/>
            <w:rFonts w:eastAsia="Calibri"/>
            <w:lang w:val="es-ES"/>
          </w:rPr>
          <w:t>b de las CE del UI</w:t>
        </w:r>
        <w:r>
          <w:rPr>
            <w:rStyle w:val="Hyperlink"/>
            <w:rFonts w:eastAsia="Calibri"/>
            <w:lang w:val="es-ES"/>
          </w:rPr>
          <w:t>T</w:t>
        </w:r>
        <w:r>
          <w:rPr>
            <w:rStyle w:val="Hyperlink"/>
            <w:rFonts w:eastAsia="Calibri"/>
            <w:lang w:val="es-ES"/>
          </w:rPr>
          <w:t>-R</w:t>
        </w:r>
      </w:hyperlink>
      <w:r w:rsidRPr="00290E78">
        <w:rPr>
          <w:rFonts w:eastAsia="Calibri"/>
          <w:lang w:val="es-ES"/>
        </w:rPr>
        <w:t>. El archivo contiene una lista de textos de reciente aprobación, en orden cronológico, correspondientes al periodo de estudios 2023-2027, así como una breve descripción del contenido de cada documento. El SGD de la BR indica, además, las Comisiones de Estudio o Cuestiones del UIT-D y/o del UIT-T para las que cada documento del UIT-R puede ser pertinente. De este modo se contribuye tanto a evitar la duplicación de esfuerzos, como a aprovechar el trabajo realizado por las CE del UIT-R</w:t>
      </w:r>
      <w:r w:rsidRPr="00290E78">
        <w:rPr>
          <w:bCs/>
          <w:szCs w:val="24"/>
          <w:lang w:val="es-ES"/>
        </w:rPr>
        <w:t>. Esta información también está disponible para el</w:t>
      </w:r>
      <w:r>
        <w:rPr>
          <w:bCs/>
          <w:szCs w:val="24"/>
          <w:lang w:val="es-ES"/>
        </w:rPr>
        <w:t xml:space="preserve"> periodo de estudios</w:t>
      </w:r>
      <w:r w:rsidRPr="00290E78">
        <w:rPr>
          <w:bCs/>
          <w:szCs w:val="24"/>
          <w:lang w:val="es-ES"/>
        </w:rPr>
        <w:t xml:space="preserve"> </w:t>
      </w:r>
      <w:r w:rsidRPr="00290E78">
        <w:rPr>
          <w:rFonts w:eastAsia="Calibri"/>
          <w:lang w:val="es-ES"/>
        </w:rPr>
        <w:t>2019</w:t>
      </w:r>
      <w:r w:rsidRPr="00290E78">
        <w:rPr>
          <w:rFonts w:eastAsia="Calibri"/>
          <w:lang w:val="es-ES"/>
        </w:rPr>
        <w:noBreakHyphen/>
        <w:t>2023.</w:t>
      </w:r>
    </w:p>
    <w:p w14:paraId="133543A0" w14:textId="77777777" w:rsidR="006D51CF" w:rsidRPr="00290E78" w:rsidRDefault="006D51CF" w:rsidP="006D51CF">
      <w:pPr>
        <w:rPr>
          <w:lang w:val="es-ES"/>
        </w:rPr>
      </w:pPr>
      <w:r w:rsidRPr="00290E78">
        <w:rPr>
          <w:lang w:val="es-ES"/>
        </w:rPr>
        <w:t>A petición de la BDT, diversos expertos del UIT-R y la Oficina han participado en seminarios y talleres de la UIT organizados por el UIT-D.</w:t>
      </w:r>
    </w:p>
    <w:p w14:paraId="7D7018E7" w14:textId="77777777" w:rsidR="006D51CF" w:rsidRPr="00290E78" w:rsidRDefault="006D51CF" w:rsidP="006D51CF">
      <w:pPr>
        <w:pStyle w:val="Heading4"/>
        <w:rPr>
          <w:i/>
          <w:lang w:val="es-ES"/>
        </w:rPr>
      </w:pPr>
      <w:r w:rsidRPr="00290E78">
        <w:rPr>
          <w:lang w:val="es-ES"/>
        </w:rPr>
        <w:t>8.4.1.1</w:t>
      </w:r>
      <w:r w:rsidRPr="00290E78">
        <w:rPr>
          <w:lang w:val="es-ES"/>
        </w:rPr>
        <w:tab/>
        <w:t>Simposio Mundial para Organismos Reguladores (GSR)</w:t>
      </w:r>
    </w:p>
    <w:p w14:paraId="50785692" w14:textId="77777777" w:rsidR="006D51CF" w:rsidRPr="00290E78" w:rsidRDefault="006D51CF" w:rsidP="006D51CF">
      <w:pPr>
        <w:rPr>
          <w:lang w:val="es-ES"/>
        </w:rPr>
      </w:pPr>
      <w:bookmarkStart w:id="162" w:name="_Toc424047623"/>
      <w:bookmarkEnd w:id="161"/>
      <w:r w:rsidRPr="00290E78">
        <w:rPr>
          <w:lang w:val="es-ES"/>
        </w:rPr>
        <w:t>Reconociendo la importancia que para los Estados Miembros tiene disponer de información especializada, la BR continúa apoyando a la BDT mediante conocimientos técnicos en materia de gestión del espectro, radiodifusión digital y dividendo digital.</w:t>
      </w:r>
    </w:p>
    <w:p w14:paraId="339DF43C" w14:textId="77777777" w:rsidR="006D51CF" w:rsidRPr="00290E78" w:rsidRDefault="006D51CF" w:rsidP="006D51CF">
      <w:pPr>
        <w:pStyle w:val="Heading4"/>
        <w:rPr>
          <w:lang w:val="es-ES"/>
        </w:rPr>
      </w:pPr>
      <w:bookmarkStart w:id="163" w:name="_Toc424047624"/>
      <w:bookmarkEnd w:id="162"/>
      <w:r w:rsidRPr="00290E78">
        <w:rPr>
          <w:lang w:val="es-ES"/>
        </w:rPr>
        <w:t>8.4.1.2</w:t>
      </w:r>
      <w:r w:rsidRPr="00290E78">
        <w:rPr>
          <w:lang w:val="es-ES"/>
        </w:rPr>
        <w:tab/>
        <w:t xml:space="preserve"> Programa de formación en gestión del espectr</w:t>
      </w:r>
      <w:r>
        <w:rPr>
          <w:lang w:val="es-ES"/>
        </w:rPr>
        <w:t>o</w:t>
      </w:r>
      <w:r w:rsidRPr="00290E78">
        <w:rPr>
          <w:lang w:val="es-ES"/>
        </w:rPr>
        <w:t xml:space="preserve"> (SMTP)</w:t>
      </w:r>
      <w:bookmarkEnd w:id="163"/>
    </w:p>
    <w:p w14:paraId="4DAF696E" w14:textId="77777777" w:rsidR="006D51CF" w:rsidRPr="00290E78" w:rsidRDefault="006D51CF" w:rsidP="006D51CF">
      <w:pPr>
        <w:rPr>
          <w:lang w:val="es-ES"/>
        </w:rPr>
      </w:pPr>
      <w:r w:rsidRPr="00290E78">
        <w:rPr>
          <w:lang w:val="es-ES"/>
        </w:rPr>
        <w:t xml:space="preserve">Desde 2013, la BR participa de forma activa en un proyecto conjunto con la BDT, centrado en la elaboración del Programa de formación en gestión del espectro (SMTP), en sus distintas fases: diseño, preparación del material, revisión por expertos y prueba piloto. A lo largo de los años se han realizado varias actualizaciones y, siempre que </w:t>
      </w:r>
      <w:r>
        <w:rPr>
          <w:lang w:val="es-ES"/>
        </w:rPr>
        <w:t>la BDT lo ha solicitado, la BR ha revisado periódicamente el material del</w:t>
      </w:r>
      <w:r w:rsidRPr="00290E78">
        <w:rPr>
          <w:lang w:val="es-ES"/>
        </w:rPr>
        <w:t xml:space="preserve"> SMTP. </w:t>
      </w:r>
      <w:bookmarkStart w:id="164" w:name="_Toc446060796"/>
    </w:p>
    <w:p w14:paraId="5D6C6D50" w14:textId="77777777" w:rsidR="006D51CF" w:rsidRPr="004C1106" w:rsidRDefault="006D51CF" w:rsidP="006D51CF">
      <w:pPr>
        <w:pStyle w:val="Heading3"/>
        <w:rPr>
          <w:lang w:val="es-ES"/>
        </w:rPr>
      </w:pPr>
      <w:bookmarkStart w:id="165" w:name="_Toc222308720"/>
      <w:bookmarkStart w:id="166" w:name="_Toc222843189"/>
      <w:r w:rsidRPr="004C1106">
        <w:rPr>
          <w:lang w:val="es-ES"/>
        </w:rPr>
        <w:t>8.4.2</w:t>
      </w:r>
      <w:r w:rsidRPr="004C1106">
        <w:rPr>
          <w:lang w:val="es-ES"/>
        </w:rPr>
        <w:tab/>
        <w:t>Cooperación con el UIT-T</w:t>
      </w:r>
      <w:bookmarkEnd w:id="165"/>
      <w:bookmarkEnd w:id="166"/>
    </w:p>
    <w:p w14:paraId="23AA736D" w14:textId="77777777" w:rsidR="006D51CF" w:rsidRPr="00290E78" w:rsidRDefault="006D51CF" w:rsidP="006D51CF">
      <w:pPr>
        <w:rPr>
          <w:lang w:val="es-ES"/>
        </w:rPr>
      </w:pPr>
      <w:r w:rsidRPr="00290E78">
        <w:rPr>
          <w:lang w:val="es-ES"/>
        </w:rPr>
        <w:t xml:space="preserve">Además del cambio climático y las comunicaciones de emergencia, los temas de interés tanto para el UIT-R como para el UIT-T comprenden las IMT, los efectos de la exposición de las personas a las frecuencias radioeléctricas, los sistemas de transmisión por líneas eléctricas, la red eléctrica inteligente, las ciudades inteligentes, EMC/EMI, los sistemas de transporte inteligentes, </w:t>
      </w:r>
      <w:r>
        <w:rPr>
          <w:lang w:val="es-ES"/>
        </w:rPr>
        <w:t xml:space="preserve">la </w:t>
      </w:r>
      <w:r>
        <w:rPr>
          <w:lang w:val="es-ES"/>
        </w:rPr>
        <w:lastRenderedPageBreak/>
        <w:t xml:space="preserve">inteligencia artificial (IA), </w:t>
      </w:r>
      <w:r w:rsidRPr="00290E78">
        <w:rPr>
          <w:lang w:val="es-ES"/>
        </w:rPr>
        <w:t>la accesibilidad de los medios audiovisuales, la política común de patentes y los derechos de propiedad intelectual.</w:t>
      </w:r>
    </w:p>
    <w:p w14:paraId="5D1ADC83" w14:textId="77777777" w:rsidR="006D51CF" w:rsidRPr="004C1106" w:rsidRDefault="006D51CF" w:rsidP="006D51CF">
      <w:pPr>
        <w:pStyle w:val="Heading3"/>
        <w:rPr>
          <w:lang w:val="es-ES"/>
        </w:rPr>
      </w:pPr>
      <w:bookmarkStart w:id="167" w:name="_Toc222308721"/>
      <w:bookmarkStart w:id="168" w:name="_Toc222843190"/>
      <w:r w:rsidRPr="004C1106">
        <w:rPr>
          <w:lang w:val="es-ES"/>
        </w:rPr>
        <w:t>8.4.3</w:t>
      </w:r>
      <w:r w:rsidRPr="004C1106">
        <w:rPr>
          <w:lang w:val="es-ES"/>
        </w:rPr>
        <w:tab/>
        <w:t>Otras actividades intersectoriales</w:t>
      </w:r>
      <w:bookmarkEnd w:id="167"/>
      <w:bookmarkEnd w:id="168"/>
    </w:p>
    <w:p w14:paraId="6A8A651B" w14:textId="77777777" w:rsidR="006D51CF" w:rsidRPr="00E814D2" w:rsidRDefault="006D51CF" w:rsidP="006D51CF">
      <w:pPr>
        <w:rPr>
          <w:lang w:val="es-ES"/>
        </w:rPr>
      </w:pPr>
      <w:r w:rsidRPr="00E814D2">
        <w:rPr>
          <w:lang w:val="es-ES"/>
        </w:rPr>
        <w:t>La BR ha participado activamente en otras actividades intersectoriales referentes a los trabajos de las CE del UIT-R, a saber:</w:t>
      </w:r>
    </w:p>
    <w:p w14:paraId="5A559CA4" w14:textId="4CF0C1D2" w:rsidR="006D51CF" w:rsidRPr="00E814D2" w:rsidRDefault="006D51CF" w:rsidP="006D51CF">
      <w:pPr>
        <w:pStyle w:val="enumlev1"/>
        <w:rPr>
          <w:lang w:val="es-ES"/>
        </w:rPr>
      </w:pPr>
      <w:r w:rsidRPr="00E814D2">
        <w:rPr>
          <w:i/>
          <w:iCs/>
          <w:lang w:val="es-ES"/>
        </w:rPr>
        <w:t>–</w:t>
      </w:r>
      <w:r w:rsidRPr="00E814D2">
        <w:rPr>
          <w:lang w:val="es-ES"/>
        </w:rPr>
        <w:tab/>
        <w:t xml:space="preserve">Cambio climático y comunicaciones de </w:t>
      </w:r>
      <w:r>
        <w:rPr>
          <w:lang w:val="es-ES"/>
        </w:rPr>
        <w:t>emergencia</w:t>
      </w:r>
      <w:r w:rsidR="00334EE3">
        <w:rPr>
          <w:lang w:val="es-ES"/>
        </w:rPr>
        <w:t>.</w:t>
      </w:r>
    </w:p>
    <w:p w14:paraId="216725A2" w14:textId="4B487C8A" w:rsidR="006D51CF" w:rsidRPr="00E814D2" w:rsidRDefault="006D51CF" w:rsidP="006D51CF">
      <w:pPr>
        <w:pStyle w:val="enumlev1"/>
        <w:rPr>
          <w:lang w:val="es-ES"/>
        </w:rPr>
      </w:pPr>
      <w:r w:rsidRPr="00E814D2">
        <w:rPr>
          <w:lang w:val="es-ES"/>
        </w:rPr>
        <w:t>–</w:t>
      </w:r>
      <w:r w:rsidRPr="00E814D2">
        <w:rPr>
          <w:lang w:val="es-ES"/>
        </w:rPr>
        <w:tab/>
        <w:t xml:space="preserve">Accesibilidad, participación en la JCA-AHF (Actividad de Coordinación </w:t>
      </w:r>
      <w:r>
        <w:rPr>
          <w:lang w:val="es-ES"/>
        </w:rPr>
        <w:t>Conjunta sobre accesibilidad y factores humanos</w:t>
      </w:r>
      <w:r w:rsidRPr="00E814D2">
        <w:rPr>
          <w:lang w:val="es-ES"/>
        </w:rPr>
        <w:t>) del UIT-T</w:t>
      </w:r>
      <w:r w:rsidR="00334EE3">
        <w:rPr>
          <w:lang w:val="es-ES"/>
        </w:rPr>
        <w:t>.</w:t>
      </w:r>
    </w:p>
    <w:p w14:paraId="0D1B7A77" w14:textId="36DE9F83" w:rsidR="006D51CF" w:rsidRPr="004C1106" w:rsidRDefault="006D51CF" w:rsidP="006D51CF">
      <w:pPr>
        <w:pStyle w:val="enumlev1"/>
        <w:rPr>
          <w:lang w:val="es-ES"/>
        </w:rPr>
      </w:pPr>
      <w:r w:rsidRPr="004C1106">
        <w:rPr>
          <w:lang w:val="es-ES"/>
        </w:rPr>
        <w:t>–</w:t>
      </w:r>
      <w:r w:rsidRPr="004C1106">
        <w:rPr>
          <w:lang w:val="es-ES"/>
        </w:rPr>
        <w:tab/>
        <w:t>CMSI y GTC-CMSI+ODS</w:t>
      </w:r>
      <w:r w:rsidR="00334EE3">
        <w:rPr>
          <w:lang w:val="es-ES"/>
        </w:rPr>
        <w:t>.</w:t>
      </w:r>
    </w:p>
    <w:p w14:paraId="7235ED10" w14:textId="159A3537" w:rsidR="006D51CF" w:rsidRPr="00E814D2" w:rsidRDefault="006D51CF" w:rsidP="006D51CF">
      <w:pPr>
        <w:pStyle w:val="enumlev1"/>
        <w:rPr>
          <w:lang w:val="es-ES"/>
        </w:rPr>
      </w:pPr>
      <w:r w:rsidRPr="00E814D2">
        <w:rPr>
          <w:lang w:val="es-ES"/>
        </w:rPr>
        <w:t>–</w:t>
      </w:r>
      <w:r w:rsidRPr="00E814D2">
        <w:rPr>
          <w:lang w:val="es-ES"/>
        </w:rPr>
        <w:tab/>
        <w:t xml:space="preserve">Prestación de apoyo pertinente a la Conferencia de Plenipotenciarios, el </w:t>
      </w:r>
      <w:r>
        <w:rPr>
          <w:lang w:val="es-ES"/>
        </w:rPr>
        <w:t>Consejo de la UIT, la AMNT y la CMDT</w:t>
      </w:r>
      <w:r w:rsidR="00334EE3">
        <w:rPr>
          <w:lang w:val="es-ES"/>
        </w:rPr>
        <w:t>.</w:t>
      </w:r>
    </w:p>
    <w:p w14:paraId="19D463BE" w14:textId="2A1BEBE4" w:rsidR="006D51CF" w:rsidRPr="00E814D2" w:rsidRDefault="006D51CF" w:rsidP="006D51CF">
      <w:pPr>
        <w:rPr>
          <w:lang w:val="es-ES"/>
        </w:rPr>
      </w:pPr>
      <w:r w:rsidRPr="00E814D2">
        <w:rPr>
          <w:lang w:val="es-ES"/>
        </w:rPr>
        <w:t xml:space="preserve">Como se pide en la Resolución </w:t>
      </w:r>
      <w:hyperlink r:id="rId74" w:history="1">
        <w:r w:rsidRPr="00E814D2">
          <w:rPr>
            <w:rStyle w:val="Hyperlink"/>
            <w:lang w:val="es-ES"/>
          </w:rPr>
          <w:t>UIT-</w:t>
        </w:r>
        <w:r w:rsidRPr="00E814D2">
          <w:rPr>
            <w:rStyle w:val="Hyperlink"/>
            <w:lang w:val="es-ES"/>
          </w:rPr>
          <w:t>R</w:t>
        </w:r>
        <w:r w:rsidRPr="00E814D2">
          <w:rPr>
            <w:rStyle w:val="Hyperlink"/>
            <w:lang w:val="es-ES"/>
          </w:rPr>
          <w:t xml:space="preserve"> 75</w:t>
        </w:r>
      </w:hyperlink>
      <w:r w:rsidRPr="00E814D2">
        <w:rPr>
          <w:lang w:val="es-ES"/>
        </w:rPr>
        <w:t xml:space="preserve">, </w:t>
      </w:r>
      <w:r w:rsidR="00334EE3" w:rsidRPr="007E040D">
        <w:rPr>
          <w:lang w:val="es-ES"/>
        </w:rPr>
        <w:t>«</w:t>
      </w:r>
      <w:r w:rsidRPr="00E814D2">
        <w:rPr>
          <w:i/>
          <w:iCs/>
          <w:lang w:val="es-ES"/>
        </w:rPr>
        <w:t>Fortalecimiento de la coordinación y la cooperación entre los tres Sectores en</w:t>
      </w:r>
      <w:r>
        <w:rPr>
          <w:i/>
          <w:iCs/>
          <w:lang w:val="es-ES"/>
        </w:rPr>
        <w:t xml:space="preserve"> asuntos de interés mutuo</w:t>
      </w:r>
      <w:r w:rsidR="00334EE3" w:rsidRPr="007E040D">
        <w:rPr>
          <w:lang w:val="es-ES"/>
        </w:rPr>
        <w:t>»</w:t>
      </w:r>
      <w:r w:rsidRPr="00E814D2">
        <w:rPr>
          <w:lang w:val="es-ES"/>
        </w:rPr>
        <w:t xml:space="preserve">, </w:t>
      </w:r>
      <w:r>
        <w:rPr>
          <w:lang w:val="es-ES"/>
        </w:rPr>
        <w:t>la BR seguirá cooperando con el UIT-D y el UIT-T, según proceda</w:t>
      </w:r>
      <w:r w:rsidRPr="00E814D2">
        <w:rPr>
          <w:lang w:val="es-ES"/>
        </w:rPr>
        <w:t>.</w:t>
      </w:r>
    </w:p>
    <w:p w14:paraId="04033D47" w14:textId="66FE225E" w:rsidR="006D51CF" w:rsidRPr="00E814D2" w:rsidRDefault="006D51CF" w:rsidP="006D51CF">
      <w:pPr>
        <w:rPr>
          <w:highlight w:val="yellow"/>
          <w:lang w:val="es-ES"/>
        </w:rPr>
      </w:pPr>
      <w:r w:rsidRPr="00E814D2">
        <w:rPr>
          <w:lang w:val="es-ES"/>
        </w:rPr>
        <w:t xml:space="preserve">Son éstos buenos ejemplos de cooperación entre los Sectores de la UIT en cumplimiento de la Resolución 191 (Rev. Bucarest, 2022) </w:t>
      </w:r>
      <w:r>
        <w:rPr>
          <w:lang w:val="es-ES"/>
        </w:rPr>
        <w:t xml:space="preserve">de la Conferencia de Plenipotenciarios, </w:t>
      </w:r>
      <w:r w:rsidR="00334EE3" w:rsidRPr="007E040D">
        <w:rPr>
          <w:lang w:val="es-ES"/>
        </w:rPr>
        <w:t>«</w:t>
      </w:r>
      <w:r>
        <w:rPr>
          <w:i/>
          <w:iCs/>
          <w:lang w:val="es-ES"/>
        </w:rPr>
        <w:t>Estrategia de coordinación de los trabajos de los tres Sectores de la Unión</w:t>
      </w:r>
      <w:r w:rsidR="00334EE3" w:rsidRPr="007E040D">
        <w:rPr>
          <w:lang w:val="es-ES"/>
        </w:rPr>
        <w:t>»</w:t>
      </w:r>
      <w:r w:rsidRPr="00E814D2">
        <w:rPr>
          <w:lang w:val="es-ES"/>
        </w:rPr>
        <w:t xml:space="preserve">. </w:t>
      </w:r>
    </w:p>
    <w:p w14:paraId="0B528AB0" w14:textId="77777777" w:rsidR="006D51CF" w:rsidRPr="004C1106" w:rsidRDefault="006D51CF" w:rsidP="006D51CF">
      <w:pPr>
        <w:pStyle w:val="Heading3"/>
        <w:rPr>
          <w:lang w:val="es-ES"/>
        </w:rPr>
      </w:pPr>
      <w:bookmarkStart w:id="169" w:name="_Toc222308722"/>
      <w:bookmarkStart w:id="170" w:name="_Toc222843191"/>
      <w:r w:rsidRPr="004C1106">
        <w:rPr>
          <w:lang w:val="es-ES"/>
        </w:rPr>
        <w:t>8.4.4</w:t>
      </w:r>
      <w:r w:rsidRPr="004C1106">
        <w:rPr>
          <w:lang w:val="es-ES"/>
        </w:rPr>
        <w:tab/>
        <w:t>Cooperación con otras organizaciones</w:t>
      </w:r>
      <w:bookmarkEnd w:id="169"/>
      <w:bookmarkEnd w:id="170"/>
    </w:p>
    <w:p w14:paraId="789F36C2" w14:textId="3186C907" w:rsidR="006D51CF" w:rsidRPr="00E814D2" w:rsidRDefault="006D51CF" w:rsidP="006D51CF">
      <w:pPr>
        <w:rPr>
          <w:lang w:val="es-ES"/>
        </w:rPr>
      </w:pPr>
      <w:r w:rsidRPr="00E814D2">
        <w:rPr>
          <w:lang w:val="es-ES"/>
        </w:rPr>
        <w:t xml:space="preserve">Ha continuado la adecuada colaboración entre las CE del UIT-R y otras organizaciones, haciendo la correspondiente referencia, cuando ha </w:t>
      </w:r>
      <w:r>
        <w:rPr>
          <w:lang w:val="es-ES"/>
        </w:rPr>
        <w:t>sido necesario a la Resolución</w:t>
      </w:r>
      <w:r w:rsidRPr="00E814D2">
        <w:rPr>
          <w:lang w:val="es-ES"/>
        </w:rPr>
        <w:t xml:space="preserve"> </w:t>
      </w:r>
      <w:hyperlink r:id="rId75" w:history="1">
        <w:r w:rsidRPr="00E814D2">
          <w:rPr>
            <w:rStyle w:val="Hyperlink"/>
            <w:lang w:val="es-ES"/>
          </w:rPr>
          <w:t>U</w:t>
        </w:r>
        <w:r>
          <w:rPr>
            <w:rStyle w:val="Hyperlink"/>
            <w:lang w:val="es-ES"/>
          </w:rPr>
          <w:t>IT</w:t>
        </w:r>
        <w:r w:rsidRPr="00E814D2">
          <w:rPr>
            <w:rStyle w:val="Hyperlink"/>
            <w:lang w:val="es-ES"/>
          </w:rPr>
          <w:t>-</w:t>
        </w:r>
        <w:r w:rsidRPr="00E814D2">
          <w:rPr>
            <w:rStyle w:val="Hyperlink"/>
            <w:lang w:val="es-ES"/>
          </w:rPr>
          <w:t>R 9</w:t>
        </w:r>
      </w:hyperlink>
      <w:r w:rsidRPr="00E814D2">
        <w:rPr>
          <w:lang w:val="es-ES"/>
        </w:rPr>
        <w:t xml:space="preserve">. Puede encontrarse información sobre la Declaración de Patentes </w:t>
      </w:r>
      <w:r>
        <w:rPr>
          <w:lang w:val="es-ES"/>
        </w:rPr>
        <w:t>y la Declaración de Licencias del UIT-R</w:t>
      </w:r>
      <w:r w:rsidRPr="00E814D2">
        <w:rPr>
          <w:lang w:val="es-ES"/>
        </w:rPr>
        <w:t xml:space="preserve"> </w:t>
      </w:r>
      <w:hyperlink r:id="rId76" w:history="1">
        <w:r>
          <w:rPr>
            <w:rStyle w:val="Hyperlink"/>
            <w:lang w:val="es-ES"/>
          </w:rPr>
          <w:t>en lí</w:t>
        </w:r>
        <w:r>
          <w:rPr>
            <w:rStyle w:val="Hyperlink"/>
            <w:lang w:val="es-ES"/>
          </w:rPr>
          <w:t>n</w:t>
        </w:r>
        <w:r>
          <w:rPr>
            <w:rStyle w:val="Hyperlink"/>
            <w:lang w:val="es-ES"/>
          </w:rPr>
          <w:t>ea</w:t>
        </w:r>
      </w:hyperlink>
      <w:r w:rsidRPr="00E814D2">
        <w:rPr>
          <w:lang w:val="es-ES"/>
        </w:rPr>
        <w:t>.</w:t>
      </w:r>
    </w:p>
    <w:p w14:paraId="0F04B2DB" w14:textId="77777777" w:rsidR="006D51CF" w:rsidRPr="00E814D2" w:rsidRDefault="006D51CF" w:rsidP="006D51CF">
      <w:pPr>
        <w:rPr>
          <w:lang w:val="es-ES"/>
        </w:rPr>
      </w:pPr>
      <w:r w:rsidRPr="00E814D2">
        <w:rPr>
          <w:lang w:val="es-ES"/>
        </w:rPr>
        <w:t>La Oficina siguió manteniendo una estrecha cooperación con numerosas organizaciones, con los objetivos siguientes:</w:t>
      </w:r>
    </w:p>
    <w:p w14:paraId="424E3122" w14:textId="3E8CBF36" w:rsidR="006D51CF" w:rsidRPr="00E814D2" w:rsidRDefault="00334EE3" w:rsidP="00334EE3">
      <w:pPr>
        <w:pStyle w:val="enumlev1"/>
        <w:rPr>
          <w:lang w:val="es-ES"/>
        </w:rPr>
      </w:pPr>
      <w:r>
        <w:rPr>
          <w:lang w:val="es-ES"/>
        </w:rPr>
        <w:t>1)</w:t>
      </w:r>
      <w:r>
        <w:rPr>
          <w:lang w:val="es-ES"/>
        </w:rPr>
        <w:tab/>
      </w:r>
      <w:r w:rsidR="006D51CF" w:rsidRPr="00E814D2">
        <w:rPr>
          <w:lang w:val="es-ES"/>
        </w:rPr>
        <w:t>promover el diálogo entre organismos que tienen intereses comunes;</w:t>
      </w:r>
    </w:p>
    <w:p w14:paraId="4CBFBA52" w14:textId="5D531D63" w:rsidR="006D51CF" w:rsidRPr="00E814D2" w:rsidRDefault="00334EE3" w:rsidP="00334EE3">
      <w:pPr>
        <w:pStyle w:val="enumlev1"/>
        <w:rPr>
          <w:lang w:val="es-ES"/>
        </w:rPr>
      </w:pPr>
      <w:r>
        <w:rPr>
          <w:lang w:val="es-ES"/>
        </w:rPr>
        <w:t>2)</w:t>
      </w:r>
      <w:r>
        <w:rPr>
          <w:lang w:val="es-ES"/>
        </w:rPr>
        <w:tab/>
      </w:r>
      <w:r w:rsidR="006D51CF" w:rsidRPr="00E814D2">
        <w:rPr>
          <w:lang w:val="es-ES"/>
        </w:rPr>
        <w:t>mejorar la coordinación de tal forma que conduzca a una preparación más eficaz de eventos tales como las CMR</w:t>
      </w:r>
      <w:r w:rsidR="006D51CF">
        <w:rPr>
          <w:lang w:val="es-ES"/>
        </w:rPr>
        <w:t xml:space="preserve"> y</w:t>
      </w:r>
    </w:p>
    <w:p w14:paraId="725BB4E0" w14:textId="4C4DBCDC" w:rsidR="006D51CF" w:rsidRPr="00E814D2" w:rsidRDefault="00334EE3" w:rsidP="00334EE3">
      <w:pPr>
        <w:pStyle w:val="enumlev1"/>
        <w:rPr>
          <w:lang w:val="es-ES"/>
        </w:rPr>
      </w:pPr>
      <w:r>
        <w:rPr>
          <w:lang w:val="es-ES"/>
        </w:rPr>
        <w:t>3)</w:t>
      </w:r>
      <w:r>
        <w:rPr>
          <w:lang w:val="es-ES"/>
        </w:rPr>
        <w:tab/>
      </w:r>
      <w:r w:rsidR="006D51CF" w:rsidRPr="00E814D2">
        <w:rPr>
          <w:lang w:val="es-ES"/>
        </w:rPr>
        <w:t>mantener al UIT-R al tanto de las actividades pertinentes realizadas en otras organizaciones, a fin de planificar de manera más estratégica los programas de trabajo.</w:t>
      </w:r>
    </w:p>
    <w:p w14:paraId="4336F474" w14:textId="77777777" w:rsidR="006D51CF" w:rsidRPr="00E814D2" w:rsidRDefault="006D51CF" w:rsidP="006D51CF">
      <w:pPr>
        <w:rPr>
          <w:lang w:val="es-ES"/>
        </w:rPr>
      </w:pPr>
      <w:r w:rsidRPr="00E814D2">
        <w:rPr>
          <w:lang w:val="es-ES"/>
        </w:rPr>
        <w:t>La Oficina continua su estrecha colaboración con las organizaciones internacionales y regionales pertinentes, incluidas, entre otras:</w:t>
      </w:r>
    </w:p>
    <w:p w14:paraId="2E4CE261" w14:textId="77777777" w:rsidR="006D51CF" w:rsidRPr="00E814D2" w:rsidRDefault="006D51CF" w:rsidP="006D51CF">
      <w:pPr>
        <w:pStyle w:val="enumlev1"/>
        <w:rPr>
          <w:lang w:val="es-ES"/>
        </w:rPr>
      </w:pPr>
      <w:r w:rsidRPr="00E814D2">
        <w:rPr>
          <w:lang w:val="es-ES"/>
        </w:rPr>
        <w:t>−</w:t>
      </w:r>
      <w:r w:rsidRPr="00E814D2">
        <w:rPr>
          <w:lang w:val="es-ES"/>
        </w:rPr>
        <w:tab/>
        <w:t>la APT, el ASMG, la ATU, la CEPT, la CITEL y la CRC para la coordinación regional;</w:t>
      </w:r>
    </w:p>
    <w:p w14:paraId="56956DB7" w14:textId="77777777" w:rsidR="006D51CF" w:rsidRPr="00E814D2" w:rsidRDefault="006D51CF" w:rsidP="006D51CF">
      <w:pPr>
        <w:pStyle w:val="enumlev1"/>
        <w:rPr>
          <w:lang w:val="es-ES"/>
        </w:rPr>
      </w:pPr>
      <w:r w:rsidRPr="00E814D2">
        <w:rPr>
          <w:lang w:val="es-ES"/>
        </w:rPr>
        <w:t>−</w:t>
      </w:r>
      <w:r w:rsidRPr="00E814D2">
        <w:rPr>
          <w:lang w:val="es-ES"/>
        </w:rPr>
        <w:tab/>
        <w:t>la ABU, la ASBU, la EBU, la SMPT, el ETSI y la HFCC para cuestiones relativas a la radiodifusión;</w:t>
      </w:r>
    </w:p>
    <w:p w14:paraId="3D9EF473" w14:textId="77777777" w:rsidR="006D51CF" w:rsidRPr="00E814D2" w:rsidRDefault="006D51CF" w:rsidP="006D51CF">
      <w:pPr>
        <w:pStyle w:val="enumlev1"/>
        <w:rPr>
          <w:lang w:val="es-ES"/>
        </w:rPr>
      </w:pPr>
      <w:r w:rsidRPr="00E814D2">
        <w:rPr>
          <w:lang w:val="es-ES"/>
        </w:rPr>
        <w:t>−</w:t>
      </w:r>
      <w:r w:rsidRPr="00E814D2">
        <w:rPr>
          <w:lang w:val="es-ES"/>
        </w:rPr>
        <w:tab/>
        <w:t>la ITSO, la ESOA, el GVF, la GSMA para la utilización de sistemas y servicios de radiocomunicaciones específicos;</w:t>
      </w:r>
    </w:p>
    <w:p w14:paraId="1614B9FE" w14:textId="77777777" w:rsidR="006D51CF" w:rsidRPr="00E814D2" w:rsidRDefault="006D51CF" w:rsidP="006D51CF">
      <w:pPr>
        <w:pStyle w:val="enumlev1"/>
        <w:rPr>
          <w:lang w:val="es-ES"/>
        </w:rPr>
      </w:pPr>
      <w:r w:rsidRPr="00E814D2">
        <w:rPr>
          <w:lang w:val="es-ES"/>
        </w:rPr>
        <w:t>−</w:t>
      </w:r>
      <w:r w:rsidRPr="00E814D2">
        <w:rPr>
          <w:lang w:val="es-ES"/>
        </w:rPr>
        <w:tab/>
        <w:t>la 3GPP, el IEEE y varias organizaciones de normalización regionales para las actividades relacionadas con la Colaboración Mundial en materia de Normalización (GSC);</w:t>
      </w:r>
    </w:p>
    <w:p w14:paraId="3430136D" w14:textId="77777777" w:rsidR="006D51CF" w:rsidRPr="00B201CA" w:rsidRDefault="006D51CF" w:rsidP="006D51CF">
      <w:pPr>
        <w:pStyle w:val="enumlev1"/>
        <w:rPr>
          <w:lang w:val="es-ES"/>
        </w:rPr>
      </w:pPr>
      <w:r w:rsidRPr="00B201CA">
        <w:rPr>
          <w:lang w:val="es-ES"/>
        </w:rPr>
        <w:t>−</w:t>
      </w:r>
      <w:r w:rsidRPr="00B201CA">
        <w:rPr>
          <w:lang w:val="es-ES"/>
        </w:rPr>
        <w:tab/>
        <w:t>la Organización Meteorológica Mundial (OMM), la Organización Mundial de la Salud (OMS), la ISO, la CEI (incluido el Comité Internacional Especial de Perturbaciones Radioeléctricas (CISPR)), el Grupo de Coordinación de Frecuencias Espaciales, la Unión Internacional de Ciencias Radioeléctricas (URSI) y varias otras organizaciones en función de las necesidades para el fructífero intercambio de información con respecto a las actividades de las CE;</w:t>
      </w:r>
    </w:p>
    <w:p w14:paraId="33660162" w14:textId="77777777" w:rsidR="006D51CF" w:rsidRPr="00B201CA" w:rsidDel="005927D8" w:rsidRDefault="006D51CF" w:rsidP="006D51CF">
      <w:pPr>
        <w:ind w:left="794" w:hanging="794"/>
        <w:rPr>
          <w:lang w:val="es-ES"/>
        </w:rPr>
      </w:pPr>
      <w:r w:rsidRPr="00B201CA">
        <w:rPr>
          <w:lang w:val="es-ES"/>
        </w:rPr>
        <w:lastRenderedPageBreak/>
        <w:t>−</w:t>
      </w:r>
      <w:r w:rsidRPr="00B201CA">
        <w:rPr>
          <w:lang w:val="es-ES"/>
        </w:rPr>
        <w:tab/>
        <w:t>la Comisión de las Naciones Unidas sobre la Utilización del Espacio Ultraterrestre con Fines Pacíficos (UN COPUOS), la Comisión Económica para Europa (CEPE) de las Naciones Unidas, la Organización Marítima Internacional (OMI), la Organización Internacional de Telecomunicaciones Móviles Satélite (IMSO), la Oficina Internacional de Pesos y Medidas (BIPM), la Organización Internacional de Telecomunicaciones por Satélite (ITSO), COSPAS SARSAT, el Comité Internacional de la Cruz Roja (CICR) y la Organización de Aviación Civil Internacional (OACI) con respecto a la aplicación de los textos de la UIT con carácter de tratado.</w:t>
      </w:r>
    </w:p>
    <w:p w14:paraId="6B4FDCB3" w14:textId="77777777" w:rsidR="006D51CF" w:rsidRPr="004C1106" w:rsidRDefault="006D51CF" w:rsidP="006D51CF">
      <w:pPr>
        <w:pStyle w:val="Heading2"/>
        <w:rPr>
          <w:lang w:val="es-ES"/>
        </w:rPr>
      </w:pPr>
      <w:bookmarkStart w:id="171" w:name="_Toc222308723"/>
      <w:bookmarkStart w:id="172" w:name="_Toc222843192"/>
      <w:r w:rsidRPr="004C1106">
        <w:rPr>
          <w:lang w:val="es-ES"/>
        </w:rPr>
        <w:t>8.5</w:t>
      </w:r>
      <w:r w:rsidRPr="004C1106">
        <w:rPr>
          <w:lang w:val="es-ES"/>
        </w:rPr>
        <w:tab/>
        <w:t>Miembros</w:t>
      </w:r>
      <w:bookmarkEnd w:id="164"/>
      <w:bookmarkEnd w:id="171"/>
      <w:bookmarkEnd w:id="172"/>
    </w:p>
    <w:p w14:paraId="71D29F88" w14:textId="77777777" w:rsidR="006D51CF" w:rsidRPr="00B201CA" w:rsidRDefault="006D51CF" w:rsidP="006D51CF">
      <w:pPr>
        <w:pStyle w:val="Heading3"/>
        <w:rPr>
          <w:lang w:val="es-ES"/>
        </w:rPr>
      </w:pPr>
      <w:bookmarkStart w:id="173" w:name="_Toc222308724"/>
      <w:bookmarkStart w:id="174" w:name="_Toc222843193"/>
      <w:r w:rsidRPr="00B201CA">
        <w:rPr>
          <w:lang w:val="es-ES"/>
        </w:rPr>
        <w:t>8.5.1</w:t>
      </w:r>
      <w:r w:rsidRPr="00B201CA">
        <w:rPr>
          <w:lang w:val="es-ES"/>
        </w:rPr>
        <w:tab/>
        <w:t>Miembros de la UIT</w:t>
      </w:r>
      <w:bookmarkEnd w:id="173"/>
      <w:bookmarkEnd w:id="174"/>
    </w:p>
    <w:p w14:paraId="383F22D0" w14:textId="77777777" w:rsidR="006D51CF" w:rsidRPr="00B201CA" w:rsidRDefault="006D51CF" w:rsidP="006D51CF">
      <w:pPr>
        <w:rPr>
          <w:lang w:val="es-ES"/>
        </w:rPr>
      </w:pPr>
      <w:r w:rsidRPr="00B201CA">
        <w:rPr>
          <w:lang w:val="es-ES"/>
        </w:rPr>
        <w:t>El Cuadro 8.5.1-1 muestra la proporción de Miembros de</w:t>
      </w:r>
      <w:r>
        <w:rPr>
          <w:lang w:val="es-ES"/>
        </w:rPr>
        <w:t xml:space="preserve"> la UIT en 2025, por Sector y Región</w:t>
      </w:r>
      <w:r w:rsidRPr="00B201CA">
        <w:rPr>
          <w:lang w:val="es-ES"/>
        </w:rPr>
        <w:t>.</w:t>
      </w:r>
    </w:p>
    <w:p w14:paraId="69274985" w14:textId="77777777" w:rsidR="006D51CF" w:rsidRPr="00B201CA" w:rsidRDefault="006D51CF" w:rsidP="006D51CF">
      <w:pPr>
        <w:pStyle w:val="TableNo"/>
        <w:rPr>
          <w:lang w:val="es-ES"/>
        </w:rPr>
      </w:pPr>
      <w:r w:rsidRPr="00B201CA">
        <w:rPr>
          <w:lang w:val="es-ES"/>
        </w:rPr>
        <w:t>CUADRO 8.5.1-1</w:t>
      </w:r>
    </w:p>
    <w:p w14:paraId="233C69DB" w14:textId="77777777" w:rsidR="006D51CF" w:rsidRPr="005F26E3" w:rsidRDefault="006D51CF" w:rsidP="00431831">
      <w:pPr>
        <w:pStyle w:val="Tabletitle"/>
        <w:spacing w:before="120" w:after="240"/>
        <w:rPr>
          <w:sz w:val="24"/>
          <w:szCs w:val="24"/>
          <w:lang w:val="es-ES"/>
        </w:rPr>
      </w:pPr>
      <w:r w:rsidRPr="005F26E3">
        <w:rPr>
          <w:sz w:val="24"/>
          <w:szCs w:val="24"/>
          <w:lang w:val="es-ES"/>
        </w:rPr>
        <w:t>Miembros de la UIT en 2025, por Sector y Región</w:t>
      </w:r>
    </w:p>
    <w:p w14:paraId="5FB5B7AB" w14:textId="49BDF3C5" w:rsidR="006D51CF" w:rsidRPr="0023494C" w:rsidRDefault="00431831" w:rsidP="006D51CF">
      <w:pPr>
        <w:jc w:val="center"/>
      </w:pPr>
      <w:r w:rsidRPr="003851DE">
        <w:rPr>
          <w:noProof/>
        </w:rPr>
        <w:drawing>
          <wp:inline distT="0" distB="0" distL="0" distR="0" wp14:anchorId="173DA8BB" wp14:editId="08172232">
            <wp:extent cx="6120765" cy="1906905"/>
            <wp:effectExtent l="0" t="0" r="0" b="0"/>
            <wp:docPr id="1806276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276787" name=""/>
                    <pic:cNvPicPr/>
                  </pic:nvPicPr>
                  <pic:blipFill>
                    <a:blip r:embed="rId77"/>
                    <a:stretch>
                      <a:fillRect/>
                    </a:stretch>
                  </pic:blipFill>
                  <pic:spPr>
                    <a:xfrm>
                      <a:off x="0" y="0"/>
                      <a:ext cx="6120765" cy="1906905"/>
                    </a:xfrm>
                    <a:prstGeom prst="rect">
                      <a:avLst/>
                    </a:prstGeom>
                  </pic:spPr>
                </pic:pic>
              </a:graphicData>
            </a:graphic>
          </wp:inline>
        </w:drawing>
      </w:r>
    </w:p>
    <w:p w14:paraId="2F06DC34" w14:textId="77777777" w:rsidR="006D51CF" w:rsidRPr="00B201CA" w:rsidRDefault="006D51CF" w:rsidP="006D51CF">
      <w:pPr>
        <w:pStyle w:val="Heading3"/>
        <w:rPr>
          <w:lang w:val="es-ES"/>
        </w:rPr>
      </w:pPr>
      <w:bookmarkStart w:id="175" w:name="_Toc222308725"/>
      <w:bookmarkStart w:id="176" w:name="_Toc222843194"/>
      <w:r w:rsidRPr="00B201CA">
        <w:rPr>
          <w:lang w:val="es-ES"/>
        </w:rPr>
        <w:t>8.5.2</w:t>
      </w:r>
      <w:r w:rsidRPr="00B201CA">
        <w:rPr>
          <w:lang w:val="es-ES"/>
        </w:rPr>
        <w:tab/>
        <w:t>Miembros del UIT-R</w:t>
      </w:r>
      <w:bookmarkEnd w:id="175"/>
      <w:bookmarkEnd w:id="176"/>
    </w:p>
    <w:p w14:paraId="353A8C4F" w14:textId="77777777" w:rsidR="006D51CF" w:rsidRPr="00B201CA" w:rsidRDefault="006D51CF" w:rsidP="006D51CF">
      <w:pPr>
        <w:rPr>
          <w:lang w:val="es-ES"/>
        </w:rPr>
      </w:pPr>
      <w:r w:rsidRPr="00B201CA">
        <w:rPr>
          <w:lang w:val="es-ES"/>
        </w:rPr>
        <w:t xml:space="preserve">En el Cuadro 8.5.2-1 se muestra la evolución del número de </w:t>
      </w:r>
      <w:r>
        <w:rPr>
          <w:lang w:val="es-ES"/>
        </w:rPr>
        <w:t>Miembros de Sector, Asociados e Instituciones Académicas del UIT-R durante el periodo comprendido entre</w:t>
      </w:r>
      <w:r w:rsidRPr="00B201CA">
        <w:rPr>
          <w:lang w:val="es-ES"/>
        </w:rPr>
        <w:t xml:space="preserve"> 2020 </w:t>
      </w:r>
      <w:r>
        <w:rPr>
          <w:lang w:val="es-ES"/>
        </w:rPr>
        <w:t>y</w:t>
      </w:r>
      <w:r w:rsidRPr="00B201CA">
        <w:rPr>
          <w:lang w:val="es-ES"/>
        </w:rPr>
        <w:t xml:space="preserve"> 2025.</w:t>
      </w:r>
    </w:p>
    <w:p w14:paraId="22258F3D" w14:textId="77777777" w:rsidR="006D51CF" w:rsidRPr="00201501" w:rsidRDefault="006D51CF" w:rsidP="006D51CF">
      <w:pPr>
        <w:pStyle w:val="TableNoBR"/>
        <w:rPr>
          <w:szCs w:val="24"/>
          <w:lang w:val="es-ES"/>
        </w:rPr>
      </w:pPr>
      <w:r w:rsidRPr="00201501">
        <w:rPr>
          <w:szCs w:val="24"/>
          <w:lang w:val="es-ES"/>
        </w:rPr>
        <w:t>CUADRO 8.5.2-1</w:t>
      </w:r>
    </w:p>
    <w:p w14:paraId="15F4D727" w14:textId="77777777" w:rsidR="006D51CF" w:rsidRPr="00201501" w:rsidRDefault="006D51CF" w:rsidP="006D51CF">
      <w:pPr>
        <w:pStyle w:val="Tabletitle"/>
        <w:rPr>
          <w:sz w:val="24"/>
          <w:szCs w:val="24"/>
          <w:lang w:val="es-ES"/>
        </w:rPr>
      </w:pPr>
      <w:r w:rsidRPr="00201501">
        <w:rPr>
          <w:sz w:val="24"/>
          <w:szCs w:val="24"/>
          <w:lang w:val="es-ES"/>
        </w:rPr>
        <w:t>Evolución de los Miembros del UIT-R entre 2020 y 2025</w:t>
      </w: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6"/>
        <w:gridCol w:w="656"/>
        <w:gridCol w:w="656"/>
        <w:gridCol w:w="656"/>
        <w:gridCol w:w="656"/>
        <w:gridCol w:w="656"/>
        <w:gridCol w:w="656"/>
        <w:gridCol w:w="1313"/>
        <w:gridCol w:w="1590"/>
      </w:tblGrid>
      <w:tr w:rsidR="006D51CF" w:rsidRPr="00B201CA" w14:paraId="22AA30B8" w14:textId="77777777" w:rsidTr="00201501">
        <w:trPr>
          <w:trHeight w:val="300"/>
          <w:jc w:val="center"/>
        </w:trPr>
        <w:tc>
          <w:tcPr>
            <w:tcW w:w="1976" w:type="dxa"/>
          </w:tcPr>
          <w:p w14:paraId="6CEEAB49" w14:textId="77777777" w:rsidR="006D51CF" w:rsidRPr="00B201CA" w:rsidRDefault="006D51CF" w:rsidP="002E3B6B">
            <w:pPr>
              <w:pStyle w:val="Tabletext"/>
              <w:ind w:left="-106"/>
              <w:jc w:val="center"/>
              <w:rPr>
                <w:lang w:val="es-ES"/>
              </w:rPr>
            </w:pPr>
          </w:p>
        </w:tc>
        <w:tc>
          <w:tcPr>
            <w:tcW w:w="656" w:type="dxa"/>
          </w:tcPr>
          <w:p w14:paraId="1B2E1199" w14:textId="77777777" w:rsidR="006D51CF" w:rsidRPr="00411A4B" w:rsidRDefault="006D51CF" w:rsidP="002E3B6B">
            <w:pPr>
              <w:pStyle w:val="Tabletext"/>
              <w:jc w:val="center"/>
              <w:rPr>
                <w:b/>
                <w:bCs/>
                <w:color w:val="000000" w:themeColor="text1"/>
              </w:rPr>
            </w:pPr>
            <w:r w:rsidRPr="00411A4B">
              <w:rPr>
                <w:b/>
                <w:bCs/>
                <w:color w:val="000000" w:themeColor="text1"/>
              </w:rPr>
              <w:t>2020</w:t>
            </w:r>
          </w:p>
        </w:tc>
        <w:tc>
          <w:tcPr>
            <w:tcW w:w="656" w:type="dxa"/>
          </w:tcPr>
          <w:p w14:paraId="5165DAA5" w14:textId="77777777" w:rsidR="006D51CF" w:rsidRPr="00411A4B" w:rsidRDefault="006D51CF" w:rsidP="002E3B6B">
            <w:pPr>
              <w:pStyle w:val="Tabletext"/>
              <w:jc w:val="center"/>
              <w:rPr>
                <w:b/>
                <w:bCs/>
                <w:color w:val="000000" w:themeColor="text1"/>
              </w:rPr>
            </w:pPr>
            <w:r w:rsidRPr="00411A4B">
              <w:rPr>
                <w:b/>
                <w:bCs/>
                <w:color w:val="000000" w:themeColor="text1"/>
              </w:rPr>
              <w:t>2021</w:t>
            </w:r>
          </w:p>
        </w:tc>
        <w:tc>
          <w:tcPr>
            <w:tcW w:w="656" w:type="dxa"/>
          </w:tcPr>
          <w:p w14:paraId="4B81D165" w14:textId="77777777" w:rsidR="006D51CF" w:rsidRPr="00411A4B" w:rsidRDefault="006D51CF" w:rsidP="002E3B6B">
            <w:pPr>
              <w:pStyle w:val="Tabletext"/>
              <w:jc w:val="center"/>
              <w:rPr>
                <w:b/>
                <w:bCs/>
                <w:color w:val="000000" w:themeColor="text1"/>
              </w:rPr>
            </w:pPr>
            <w:r w:rsidRPr="00411A4B">
              <w:rPr>
                <w:b/>
                <w:bCs/>
                <w:color w:val="000000" w:themeColor="text1"/>
              </w:rPr>
              <w:t>2022</w:t>
            </w:r>
          </w:p>
        </w:tc>
        <w:tc>
          <w:tcPr>
            <w:tcW w:w="656" w:type="dxa"/>
          </w:tcPr>
          <w:p w14:paraId="4E4AE748" w14:textId="77777777" w:rsidR="006D51CF" w:rsidRPr="00411A4B" w:rsidRDefault="006D51CF" w:rsidP="002E3B6B">
            <w:pPr>
              <w:pStyle w:val="Tabletext"/>
              <w:jc w:val="center"/>
              <w:rPr>
                <w:b/>
                <w:bCs/>
                <w:color w:val="000000" w:themeColor="text1"/>
              </w:rPr>
            </w:pPr>
            <w:r w:rsidRPr="00411A4B">
              <w:rPr>
                <w:b/>
                <w:bCs/>
                <w:color w:val="000000" w:themeColor="text1"/>
              </w:rPr>
              <w:t>2023</w:t>
            </w:r>
          </w:p>
        </w:tc>
        <w:tc>
          <w:tcPr>
            <w:tcW w:w="656" w:type="dxa"/>
          </w:tcPr>
          <w:p w14:paraId="2A979BF6" w14:textId="77777777" w:rsidR="006D51CF" w:rsidRPr="00411A4B" w:rsidRDefault="006D51CF" w:rsidP="002E3B6B">
            <w:pPr>
              <w:pStyle w:val="Tabletext"/>
              <w:jc w:val="center"/>
              <w:rPr>
                <w:b/>
                <w:bCs/>
                <w:color w:val="000000" w:themeColor="text1"/>
              </w:rPr>
            </w:pPr>
            <w:r w:rsidRPr="00411A4B">
              <w:rPr>
                <w:b/>
                <w:bCs/>
                <w:color w:val="000000" w:themeColor="text1"/>
              </w:rPr>
              <w:t>2024</w:t>
            </w:r>
          </w:p>
        </w:tc>
        <w:tc>
          <w:tcPr>
            <w:tcW w:w="656" w:type="dxa"/>
          </w:tcPr>
          <w:p w14:paraId="1546E7F0" w14:textId="77777777" w:rsidR="006D51CF" w:rsidRDefault="006D51CF" w:rsidP="002E3B6B">
            <w:pPr>
              <w:pStyle w:val="Tabletext"/>
              <w:jc w:val="center"/>
              <w:rPr>
                <w:b/>
                <w:bCs/>
                <w:color w:val="000000" w:themeColor="text1"/>
              </w:rPr>
            </w:pPr>
            <w:r>
              <w:rPr>
                <w:b/>
                <w:bCs/>
                <w:color w:val="000000" w:themeColor="text1"/>
              </w:rPr>
              <w:t>2025</w:t>
            </w:r>
          </w:p>
        </w:tc>
        <w:tc>
          <w:tcPr>
            <w:tcW w:w="1313" w:type="dxa"/>
            <w:shd w:val="clear" w:color="auto" w:fill="E4EBF4"/>
          </w:tcPr>
          <w:p w14:paraId="5C3CA52C" w14:textId="77777777" w:rsidR="006D51CF" w:rsidRPr="00411A4B" w:rsidRDefault="006D51CF" w:rsidP="002E3B6B">
            <w:pPr>
              <w:pStyle w:val="Tabletext"/>
              <w:jc w:val="center"/>
              <w:rPr>
                <w:b/>
                <w:bCs/>
                <w:color w:val="000000" w:themeColor="text1"/>
              </w:rPr>
            </w:pPr>
            <w:r>
              <w:rPr>
                <w:b/>
                <w:bCs/>
                <w:color w:val="000000" w:themeColor="text1"/>
              </w:rPr>
              <w:t>Diferencia entre 2020 y 2025</w:t>
            </w:r>
          </w:p>
        </w:tc>
        <w:tc>
          <w:tcPr>
            <w:tcW w:w="1590" w:type="dxa"/>
            <w:shd w:val="clear" w:color="auto" w:fill="E4EBF4"/>
          </w:tcPr>
          <w:p w14:paraId="1D9971A9" w14:textId="77777777" w:rsidR="006D51CF" w:rsidRPr="00B201CA" w:rsidRDefault="006D51CF" w:rsidP="002E3B6B">
            <w:pPr>
              <w:pStyle w:val="Tabletext"/>
              <w:jc w:val="center"/>
              <w:rPr>
                <w:b/>
                <w:bCs/>
                <w:color w:val="000000" w:themeColor="text1"/>
                <w:lang w:val="es-ES"/>
              </w:rPr>
            </w:pPr>
            <w:r w:rsidRPr="00B201CA">
              <w:rPr>
                <w:b/>
                <w:bCs/>
                <w:lang w:val="es-ES"/>
              </w:rPr>
              <w:t xml:space="preserve">Aumento porcentual de </w:t>
            </w:r>
            <w:r w:rsidRPr="00B201CA">
              <w:rPr>
                <w:b/>
                <w:bCs/>
                <w:lang w:val="es-ES"/>
              </w:rPr>
              <w:br/>
            </w:r>
            <w:r w:rsidRPr="00B201CA">
              <w:rPr>
                <w:b/>
                <w:bCs/>
                <w:color w:val="000000" w:themeColor="text1"/>
                <w:lang w:val="es-ES"/>
              </w:rPr>
              <w:t xml:space="preserve">2020 </w:t>
            </w:r>
            <w:r>
              <w:rPr>
                <w:b/>
                <w:bCs/>
                <w:color w:val="000000" w:themeColor="text1"/>
                <w:lang w:val="es-ES"/>
              </w:rPr>
              <w:t>a</w:t>
            </w:r>
            <w:r w:rsidRPr="00B201CA">
              <w:rPr>
                <w:b/>
                <w:bCs/>
                <w:color w:val="000000" w:themeColor="text1"/>
                <w:lang w:val="es-ES"/>
              </w:rPr>
              <w:t xml:space="preserve"> 2025</w:t>
            </w:r>
          </w:p>
        </w:tc>
      </w:tr>
      <w:tr w:rsidR="006D51CF" w:rsidRPr="00411A4B" w14:paraId="45025383" w14:textId="77777777" w:rsidTr="00201501">
        <w:trPr>
          <w:trHeight w:val="300"/>
          <w:jc w:val="center"/>
        </w:trPr>
        <w:tc>
          <w:tcPr>
            <w:tcW w:w="1976" w:type="dxa"/>
          </w:tcPr>
          <w:p w14:paraId="761BD1E4" w14:textId="77777777" w:rsidR="006D51CF" w:rsidRPr="00411A4B" w:rsidRDefault="006D51CF" w:rsidP="002E3B6B">
            <w:pPr>
              <w:pStyle w:val="Tabletext"/>
              <w:ind w:left="-106"/>
              <w:jc w:val="center"/>
              <w:rPr>
                <w:b/>
                <w:bCs/>
              </w:rPr>
            </w:pPr>
            <w:r>
              <w:rPr>
                <w:b/>
                <w:bCs/>
              </w:rPr>
              <w:t>Miembros de Sector</w:t>
            </w:r>
          </w:p>
        </w:tc>
        <w:tc>
          <w:tcPr>
            <w:tcW w:w="656" w:type="dxa"/>
          </w:tcPr>
          <w:p w14:paraId="245009DF" w14:textId="77777777" w:rsidR="006D51CF" w:rsidRPr="00411A4B" w:rsidRDefault="006D51CF" w:rsidP="002E3B6B">
            <w:pPr>
              <w:pStyle w:val="Tabletext"/>
              <w:jc w:val="center"/>
              <w:rPr>
                <w:color w:val="000000" w:themeColor="text1"/>
              </w:rPr>
            </w:pPr>
            <w:r w:rsidRPr="00411A4B">
              <w:rPr>
                <w:color w:val="000000" w:themeColor="text1"/>
              </w:rPr>
              <w:t>275</w:t>
            </w:r>
          </w:p>
        </w:tc>
        <w:tc>
          <w:tcPr>
            <w:tcW w:w="656" w:type="dxa"/>
          </w:tcPr>
          <w:p w14:paraId="2D97752C" w14:textId="77777777" w:rsidR="006D51CF" w:rsidRPr="00411A4B" w:rsidRDefault="006D51CF" w:rsidP="002E3B6B">
            <w:pPr>
              <w:pStyle w:val="Tabletext"/>
              <w:jc w:val="center"/>
              <w:rPr>
                <w:color w:val="000000" w:themeColor="text1"/>
              </w:rPr>
            </w:pPr>
            <w:r w:rsidRPr="00411A4B">
              <w:rPr>
                <w:color w:val="000000" w:themeColor="text1"/>
              </w:rPr>
              <w:t>278</w:t>
            </w:r>
          </w:p>
        </w:tc>
        <w:tc>
          <w:tcPr>
            <w:tcW w:w="656" w:type="dxa"/>
          </w:tcPr>
          <w:p w14:paraId="2676E590" w14:textId="77777777" w:rsidR="006D51CF" w:rsidRPr="00411A4B" w:rsidRDefault="006D51CF" w:rsidP="002E3B6B">
            <w:pPr>
              <w:pStyle w:val="Tabletext"/>
              <w:jc w:val="center"/>
              <w:rPr>
                <w:color w:val="000000" w:themeColor="text1"/>
              </w:rPr>
            </w:pPr>
            <w:r w:rsidRPr="00411A4B">
              <w:rPr>
                <w:color w:val="000000" w:themeColor="text1"/>
              </w:rPr>
              <w:t>278</w:t>
            </w:r>
          </w:p>
        </w:tc>
        <w:tc>
          <w:tcPr>
            <w:tcW w:w="656" w:type="dxa"/>
          </w:tcPr>
          <w:p w14:paraId="3A519137" w14:textId="77777777" w:rsidR="006D51CF" w:rsidRPr="00411A4B" w:rsidRDefault="006D51CF" w:rsidP="002E3B6B">
            <w:pPr>
              <w:pStyle w:val="Tabletext"/>
              <w:jc w:val="center"/>
              <w:rPr>
                <w:color w:val="000000" w:themeColor="text1"/>
              </w:rPr>
            </w:pPr>
            <w:r w:rsidRPr="00411A4B">
              <w:rPr>
                <w:color w:val="000000" w:themeColor="text1"/>
              </w:rPr>
              <w:t>283</w:t>
            </w:r>
          </w:p>
        </w:tc>
        <w:tc>
          <w:tcPr>
            <w:tcW w:w="656" w:type="dxa"/>
          </w:tcPr>
          <w:p w14:paraId="663CC4E4" w14:textId="77777777" w:rsidR="006D51CF" w:rsidRPr="00411A4B" w:rsidRDefault="006D51CF" w:rsidP="002E3B6B">
            <w:pPr>
              <w:pStyle w:val="Tabletext"/>
              <w:jc w:val="center"/>
              <w:rPr>
                <w:color w:val="000000" w:themeColor="text1"/>
              </w:rPr>
            </w:pPr>
            <w:r w:rsidRPr="00411A4B">
              <w:rPr>
                <w:color w:val="000000" w:themeColor="text1"/>
              </w:rPr>
              <w:t>285</w:t>
            </w:r>
          </w:p>
        </w:tc>
        <w:tc>
          <w:tcPr>
            <w:tcW w:w="656" w:type="dxa"/>
          </w:tcPr>
          <w:p w14:paraId="445A5DD5" w14:textId="77777777" w:rsidR="006D51CF" w:rsidRPr="00411A4B" w:rsidRDefault="006D51CF" w:rsidP="002E3B6B">
            <w:pPr>
              <w:pStyle w:val="Tabletext"/>
              <w:jc w:val="center"/>
              <w:rPr>
                <w:color w:val="000000" w:themeColor="text1"/>
              </w:rPr>
            </w:pPr>
            <w:r>
              <w:rPr>
                <w:color w:val="000000" w:themeColor="text1"/>
              </w:rPr>
              <w:t>280</w:t>
            </w:r>
          </w:p>
        </w:tc>
        <w:tc>
          <w:tcPr>
            <w:tcW w:w="1313" w:type="dxa"/>
            <w:shd w:val="clear" w:color="auto" w:fill="E4EBF4"/>
          </w:tcPr>
          <w:p w14:paraId="59CE89A5" w14:textId="77777777" w:rsidR="006D51CF" w:rsidRPr="00411A4B" w:rsidRDefault="006D51CF" w:rsidP="002E3B6B">
            <w:pPr>
              <w:pStyle w:val="Tabletext"/>
              <w:jc w:val="center"/>
              <w:rPr>
                <w:color w:val="000000" w:themeColor="text1"/>
              </w:rPr>
            </w:pPr>
            <w:r w:rsidRPr="00F679C5">
              <w:rPr>
                <w:color w:val="000000" w:themeColor="text1"/>
              </w:rPr>
              <w:t xml:space="preserve">5 </w:t>
            </w:r>
          </w:p>
        </w:tc>
        <w:tc>
          <w:tcPr>
            <w:tcW w:w="1590" w:type="dxa"/>
            <w:shd w:val="clear" w:color="auto" w:fill="E4EBF4"/>
          </w:tcPr>
          <w:p w14:paraId="638373E7" w14:textId="07FB34C7" w:rsidR="006D51CF" w:rsidRPr="00F679C5" w:rsidRDefault="006D51CF" w:rsidP="002E3B6B">
            <w:pPr>
              <w:pStyle w:val="Tabletext"/>
              <w:jc w:val="center"/>
            </w:pPr>
            <w:r w:rsidRPr="00A331AD">
              <w:rPr>
                <w:color w:val="000000" w:themeColor="text1"/>
              </w:rPr>
              <w:t>1</w:t>
            </w:r>
            <w:r>
              <w:rPr>
                <w:color w:val="000000" w:themeColor="text1"/>
              </w:rPr>
              <w:t>,</w:t>
            </w:r>
            <w:r w:rsidRPr="00A331AD">
              <w:rPr>
                <w:color w:val="000000" w:themeColor="text1"/>
              </w:rPr>
              <w:t>82</w:t>
            </w:r>
            <w:r w:rsidR="00201501">
              <w:rPr>
                <w:color w:val="000000" w:themeColor="text1"/>
              </w:rPr>
              <w:t> </w:t>
            </w:r>
            <w:r w:rsidRPr="00F679C5">
              <w:rPr>
                <w:color w:val="000000" w:themeColor="text1"/>
              </w:rPr>
              <w:t>%</w:t>
            </w:r>
          </w:p>
        </w:tc>
      </w:tr>
      <w:tr w:rsidR="006D51CF" w:rsidRPr="00411A4B" w14:paraId="2E81547A" w14:textId="77777777" w:rsidTr="00201501">
        <w:trPr>
          <w:trHeight w:val="300"/>
          <w:jc w:val="center"/>
        </w:trPr>
        <w:tc>
          <w:tcPr>
            <w:tcW w:w="1976" w:type="dxa"/>
          </w:tcPr>
          <w:p w14:paraId="054AA654" w14:textId="77777777" w:rsidR="006D51CF" w:rsidRPr="00411A4B" w:rsidRDefault="006D51CF" w:rsidP="002E3B6B">
            <w:pPr>
              <w:pStyle w:val="Tabletext"/>
              <w:ind w:left="-106"/>
              <w:jc w:val="center"/>
              <w:rPr>
                <w:b/>
                <w:bCs/>
              </w:rPr>
            </w:pPr>
            <w:r>
              <w:rPr>
                <w:b/>
                <w:bCs/>
              </w:rPr>
              <w:t>Asociados</w:t>
            </w:r>
          </w:p>
        </w:tc>
        <w:tc>
          <w:tcPr>
            <w:tcW w:w="656" w:type="dxa"/>
          </w:tcPr>
          <w:p w14:paraId="1BDBA0E9" w14:textId="77777777" w:rsidR="006D51CF" w:rsidRPr="00411A4B" w:rsidRDefault="006D51CF" w:rsidP="002E3B6B">
            <w:pPr>
              <w:pStyle w:val="Tabletext"/>
              <w:jc w:val="center"/>
              <w:rPr>
                <w:color w:val="000000" w:themeColor="text1"/>
              </w:rPr>
            </w:pPr>
            <w:r w:rsidRPr="00411A4B">
              <w:rPr>
                <w:color w:val="000000" w:themeColor="text1"/>
              </w:rPr>
              <w:t>22</w:t>
            </w:r>
          </w:p>
        </w:tc>
        <w:tc>
          <w:tcPr>
            <w:tcW w:w="656" w:type="dxa"/>
          </w:tcPr>
          <w:p w14:paraId="53B8CD8E" w14:textId="77777777" w:rsidR="006D51CF" w:rsidRPr="00411A4B" w:rsidRDefault="006D51CF" w:rsidP="002E3B6B">
            <w:pPr>
              <w:pStyle w:val="Tabletext"/>
              <w:jc w:val="center"/>
              <w:rPr>
                <w:color w:val="000000" w:themeColor="text1"/>
              </w:rPr>
            </w:pPr>
            <w:r w:rsidRPr="00411A4B">
              <w:rPr>
                <w:color w:val="000000" w:themeColor="text1"/>
              </w:rPr>
              <w:t>28</w:t>
            </w:r>
          </w:p>
        </w:tc>
        <w:tc>
          <w:tcPr>
            <w:tcW w:w="656" w:type="dxa"/>
          </w:tcPr>
          <w:p w14:paraId="73B2A24A" w14:textId="77777777" w:rsidR="006D51CF" w:rsidRPr="00411A4B" w:rsidRDefault="006D51CF" w:rsidP="002E3B6B">
            <w:pPr>
              <w:pStyle w:val="Tabletext"/>
              <w:jc w:val="center"/>
              <w:rPr>
                <w:color w:val="000000" w:themeColor="text1"/>
              </w:rPr>
            </w:pPr>
            <w:r w:rsidRPr="00411A4B">
              <w:rPr>
                <w:color w:val="000000" w:themeColor="text1"/>
              </w:rPr>
              <w:t>38</w:t>
            </w:r>
          </w:p>
        </w:tc>
        <w:tc>
          <w:tcPr>
            <w:tcW w:w="656" w:type="dxa"/>
          </w:tcPr>
          <w:p w14:paraId="2708EBB1" w14:textId="77777777" w:rsidR="006D51CF" w:rsidRPr="00411A4B" w:rsidRDefault="006D51CF" w:rsidP="002E3B6B">
            <w:pPr>
              <w:pStyle w:val="Tabletext"/>
              <w:jc w:val="center"/>
              <w:rPr>
                <w:color w:val="000000" w:themeColor="text1"/>
              </w:rPr>
            </w:pPr>
            <w:r w:rsidRPr="00411A4B">
              <w:rPr>
                <w:color w:val="000000" w:themeColor="text1"/>
              </w:rPr>
              <w:t>44</w:t>
            </w:r>
          </w:p>
        </w:tc>
        <w:tc>
          <w:tcPr>
            <w:tcW w:w="656" w:type="dxa"/>
          </w:tcPr>
          <w:p w14:paraId="1C46B40E" w14:textId="77777777" w:rsidR="006D51CF" w:rsidRPr="00411A4B" w:rsidRDefault="006D51CF" w:rsidP="002E3B6B">
            <w:pPr>
              <w:pStyle w:val="Tabletext"/>
              <w:jc w:val="center"/>
              <w:rPr>
                <w:color w:val="000000" w:themeColor="text1"/>
              </w:rPr>
            </w:pPr>
            <w:r w:rsidRPr="00411A4B">
              <w:rPr>
                <w:color w:val="000000" w:themeColor="text1"/>
              </w:rPr>
              <w:t>43</w:t>
            </w:r>
          </w:p>
        </w:tc>
        <w:tc>
          <w:tcPr>
            <w:tcW w:w="656" w:type="dxa"/>
          </w:tcPr>
          <w:p w14:paraId="5F762CE3" w14:textId="77777777" w:rsidR="006D51CF" w:rsidRPr="00411A4B" w:rsidRDefault="006D51CF" w:rsidP="002E3B6B">
            <w:pPr>
              <w:pStyle w:val="Tabletext"/>
              <w:jc w:val="center"/>
              <w:rPr>
                <w:color w:val="000000" w:themeColor="text1"/>
              </w:rPr>
            </w:pPr>
            <w:r>
              <w:rPr>
                <w:color w:val="000000" w:themeColor="text1"/>
              </w:rPr>
              <w:t>57</w:t>
            </w:r>
          </w:p>
        </w:tc>
        <w:tc>
          <w:tcPr>
            <w:tcW w:w="1313" w:type="dxa"/>
            <w:shd w:val="clear" w:color="auto" w:fill="E4EBF4"/>
          </w:tcPr>
          <w:p w14:paraId="53A4FC52" w14:textId="77777777" w:rsidR="006D51CF" w:rsidRPr="00411A4B" w:rsidRDefault="006D51CF" w:rsidP="002E3B6B">
            <w:pPr>
              <w:pStyle w:val="Tabletext"/>
              <w:jc w:val="center"/>
              <w:rPr>
                <w:color w:val="000000" w:themeColor="text1"/>
              </w:rPr>
            </w:pPr>
            <w:r w:rsidRPr="00F679C5">
              <w:rPr>
                <w:color w:val="000000" w:themeColor="text1"/>
              </w:rPr>
              <w:t xml:space="preserve">35 </w:t>
            </w:r>
          </w:p>
        </w:tc>
        <w:tc>
          <w:tcPr>
            <w:tcW w:w="1590" w:type="dxa"/>
            <w:shd w:val="clear" w:color="auto" w:fill="E4EBF4"/>
          </w:tcPr>
          <w:p w14:paraId="7B70B94A" w14:textId="55BDB070" w:rsidR="006D51CF" w:rsidRPr="00F679C5" w:rsidRDefault="006D51CF" w:rsidP="002E3B6B">
            <w:pPr>
              <w:pStyle w:val="Tabletext"/>
              <w:jc w:val="center"/>
            </w:pPr>
            <w:r w:rsidRPr="00A331AD">
              <w:rPr>
                <w:color w:val="000000" w:themeColor="text1"/>
              </w:rPr>
              <w:t>159</w:t>
            </w:r>
            <w:r>
              <w:rPr>
                <w:color w:val="000000" w:themeColor="text1"/>
              </w:rPr>
              <w:t>,</w:t>
            </w:r>
            <w:r w:rsidRPr="00A331AD">
              <w:rPr>
                <w:color w:val="000000" w:themeColor="text1"/>
              </w:rPr>
              <w:t>1</w:t>
            </w:r>
            <w:r w:rsidR="00201501">
              <w:rPr>
                <w:color w:val="000000" w:themeColor="text1"/>
              </w:rPr>
              <w:t> </w:t>
            </w:r>
            <w:r w:rsidRPr="00943EA3">
              <w:rPr>
                <w:color w:val="000000" w:themeColor="text1"/>
              </w:rPr>
              <w:t>%</w:t>
            </w:r>
          </w:p>
        </w:tc>
      </w:tr>
      <w:tr w:rsidR="006D51CF" w:rsidRPr="00411A4B" w14:paraId="4A9068C9" w14:textId="77777777" w:rsidTr="00201501">
        <w:trPr>
          <w:trHeight w:val="300"/>
          <w:jc w:val="center"/>
        </w:trPr>
        <w:tc>
          <w:tcPr>
            <w:tcW w:w="1976" w:type="dxa"/>
          </w:tcPr>
          <w:p w14:paraId="3292AB41" w14:textId="77777777" w:rsidR="006D51CF" w:rsidRPr="00411A4B" w:rsidRDefault="006D51CF" w:rsidP="002E3B6B">
            <w:pPr>
              <w:pStyle w:val="Tabletext"/>
              <w:ind w:left="-106"/>
              <w:jc w:val="center"/>
              <w:rPr>
                <w:b/>
                <w:bCs/>
              </w:rPr>
            </w:pPr>
            <w:r>
              <w:rPr>
                <w:b/>
                <w:bCs/>
              </w:rPr>
              <w:t>Instituciones Académicas</w:t>
            </w:r>
            <w:r w:rsidRPr="00411A4B">
              <w:rPr>
                <w:b/>
                <w:bCs/>
              </w:rPr>
              <w:t>*</w:t>
            </w:r>
          </w:p>
        </w:tc>
        <w:tc>
          <w:tcPr>
            <w:tcW w:w="656" w:type="dxa"/>
          </w:tcPr>
          <w:p w14:paraId="3FC0BBC6" w14:textId="77777777" w:rsidR="006D51CF" w:rsidRPr="00411A4B" w:rsidRDefault="006D51CF" w:rsidP="002E3B6B">
            <w:pPr>
              <w:pStyle w:val="Tabletext"/>
              <w:jc w:val="center"/>
              <w:rPr>
                <w:color w:val="000000" w:themeColor="text1"/>
              </w:rPr>
            </w:pPr>
            <w:r w:rsidRPr="00411A4B">
              <w:rPr>
                <w:color w:val="000000" w:themeColor="text1"/>
              </w:rPr>
              <w:t>161</w:t>
            </w:r>
          </w:p>
        </w:tc>
        <w:tc>
          <w:tcPr>
            <w:tcW w:w="656" w:type="dxa"/>
          </w:tcPr>
          <w:p w14:paraId="5FF068A1" w14:textId="77777777" w:rsidR="006D51CF" w:rsidRPr="00411A4B" w:rsidRDefault="006D51CF" w:rsidP="002E3B6B">
            <w:pPr>
              <w:pStyle w:val="Tabletext"/>
              <w:jc w:val="center"/>
            </w:pPr>
            <w:r w:rsidRPr="00411A4B">
              <w:rPr>
                <w:color w:val="000000" w:themeColor="text1"/>
              </w:rPr>
              <w:t>161</w:t>
            </w:r>
          </w:p>
        </w:tc>
        <w:tc>
          <w:tcPr>
            <w:tcW w:w="656" w:type="dxa"/>
          </w:tcPr>
          <w:p w14:paraId="24EAD031" w14:textId="77777777" w:rsidR="006D51CF" w:rsidRPr="00411A4B" w:rsidRDefault="006D51CF" w:rsidP="002E3B6B">
            <w:pPr>
              <w:pStyle w:val="Tabletext"/>
              <w:jc w:val="center"/>
              <w:rPr>
                <w:color w:val="000000" w:themeColor="text1"/>
              </w:rPr>
            </w:pPr>
            <w:r w:rsidRPr="00411A4B">
              <w:rPr>
                <w:color w:val="000000" w:themeColor="text1"/>
              </w:rPr>
              <w:t>171</w:t>
            </w:r>
          </w:p>
        </w:tc>
        <w:tc>
          <w:tcPr>
            <w:tcW w:w="656" w:type="dxa"/>
          </w:tcPr>
          <w:p w14:paraId="5F41AA43" w14:textId="77777777" w:rsidR="006D51CF" w:rsidRPr="00411A4B" w:rsidRDefault="006D51CF" w:rsidP="002E3B6B">
            <w:pPr>
              <w:pStyle w:val="Tabletext"/>
              <w:jc w:val="center"/>
              <w:rPr>
                <w:color w:val="000000" w:themeColor="text1"/>
              </w:rPr>
            </w:pPr>
            <w:r w:rsidRPr="00411A4B">
              <w:rPr>
                <w:color w:val="000000" w:themeColor="text1"/>
              </w:rPr>
              <w:t>169</w:t>
            </w:r>
          </w:p>
        </w:tc>
        <w:tc>
          <w:tcPr>
            <w:tcW w:w="656" w:type="dxa"/>
          </w:tcPr>
          <w:p w14:paraId="752DAA99" w14:textId="77777777" w:rsidR="006D51CF" w:rsidRPr="00411A4B" w:rsidRDefault="006D51CF" w:rsidP="002E3B6B">
            <w:pPr>
              <w:pStyle w:val="Tabletext"/>
              <w:jc w:val="center"/>
              <w:rPr>
                <w:color w:val="000000" w:themeColor="text1"/>
              </w:rPr>
            </w:pPr>
            <w:r w:rsidRPr="00411A4B">
              <w:rPr>
                <w:color w:val="000000" w:themeColor="text1"/>
              </w:rPr>
              <w:t>170</w:t>
            </w:r>
          </w:p>
        </w:tc>
        <w:tc>
          <w:tcPr>
            <w:tcW w:w="656" w:type="dxa"/>
          </w:tcPr>
          <w:p w14:paraId="73F69CC0" w14:textId="77777777" w:rsidR="006D51CF" w:rsidRPr="00411A4B" w:rsidRDefault="006D51CF" w:rsidP="002E3B6B">
            <w:pPr>
              <w:pStyle w:val="Tabletext"/>
              <w:jc w:val="center"/>
              <w:rPr>
                <w:color w:val="000000" w:themeColor="text1"/>
              </w:rPr>
            </w:pPr>
            <w:r>
              <w:rPr>
                <w:color w:val="000000" w:themeColor="text1"/>
              </w:rPr>
              <w:t>181</w:t>
            </w:r>
          </w:p>
        </w:tc>
        <w:tc>
          <w:tcPr>
            <w:tcW w:w="1313" w:type="dxa"/>
            <w:shd w:val="clear" w:color="auto" w:fill="E4EBF4"/>
          </w:tcPr>
          <w:p w14:paraId="56E8649D" w14:textId="77777777" w:rsidR="006D51CF" w:rsidRPr="00411A4B" w:rsidRDefault="006D51CF" w:rsidP="002E3B6B">
            <w:pPr>
              <w:pStyle w:val="Tabletext"/>
              <w:jc w:val="center"/>
              <w:rPr>
                <w:color w:val="000000" w:themeColor="text1"/>
              </w:rPr>
            </w:pPr>
            <w:r w:rsidRPr="00F679C5">
              <w:rPr>
                <w:color w:val="000000" w:themeColor="text1"/>
              </w:rPr>
              <w:t xml:space="preserve">20 </w:t>
            </w:r>
          </w:p>
        </w:tc>
        <w:tc>
          <w:tcPr>
            <w:tcW w:w="1590" w:type="dxa"/>
            <w:shd w:val="clear" w:color="auto" w:fill="E4EBF4"/>
          </w:tcPr>
          <w:p w14:paraId="2C68C669" w14:textId="51254347" w:rsidR="006D51CF" w:rsidRPr="00F679C5" w:rsidRDefault="006D51CF" w:rsidP="002E3B6B">
            <w:pPr>
              <w:pStyle w:val="Tabletext"/>
              <w:jc w:val="center"/>
            </w:pPr>
            <w:r w:rsidRPr="00A331AD">
              <w:rPr>
                <w:color w:val="000000" w:themeColor="text1"/>
              </w:rPr>
              <w:t>12</w:t>
            </w:r>
            <w:r>
              <w:rPr>
                <w:color w:val="000000" w:themeColor="text1"/>
              </w:rPr>
              <w:t>,</w:t>
            </w:r>
            <w:r w:rsidRPr="00A331AD">
              <w:rPr>
                <w:color w:val="000000" w:themeColor="text1"/>
              </w:rPr>
              <w:t>42</w:t>
            </w:r>
            <w:r w:rsidR="00201501">
              <w:rPr>
                <w:color w:val="000000" w:themeColor="text1"/>
              </w:rPr>
              <w:t> </w:t>
            </w:r>
            <w:r w:rsidRPr="00F679C5">
              <w:rPr>
                <w:color w:val="000000" w:themeColor="text1"/>
              </w:rPr>
              <w:t>%</w:t>
            </w:r>
          </w:p>
        </w:tc>
      </w:tr>
    </w:tbl>
    <w:p w14:paraId="2110BB2B" w14:textId="74EF9831" w:rsidR="006D51CF" w:rsidRPr="00201501" w:rsidRDefault="006D51CF" w:rsidP="00F31B03">
      <w:pPr>
        <w:pStyle w:val="Tablelegend"/>
        <w:ind w:left="284" w:hanging="284"/>
      </w:pPr>
      <w:r w:rsidRPr="00201501">
        <w:t>*</w:t>
      </w:r>
      <w:r w:rsidR="00431831">
        <w:tab/>
      </w:r>
      <w:r w:rsidRPr="00201501">
        <w:t>De acuerdo con la decisión adoptada por la PP-14, las Instituciones Académicas son Miembros de los tres Sectores de la UIT</w:t>
      </w:r>
    </w:p>
    <w:p w14:paraId="1D9AF5EC" w14:textId="77777777" w:rsidR="006D51CF" w:rsidRPr="004C1106" w:rsidRDefault="006D51CF" w:rsidP="006D51CF">
      <w:pPr>
        <w:pStyle w:val="Heading2"/>
        <w:rPr>
          <w:lang w:val="es-ES"/>
        </w:rPr>
      </w:pPr>
      <w:bookmarkStart w:id="177" w:name="_Toc424047607"/>
      <w:bookmarkStart w:id="178" w:name="_Toc446060797"/>
      <w:bookmarkStart w:id="179" w:name="_Toc222308726"/>
      <w:bookmarkStart w:id="180" w:name="_Toc222843195"/>
      <w:r w:rsidRPr="004C1106">
        <w:rPr>
          <w:lang w:val="es-ES"/>
        </w:rPr>
        <w:t>8.6</w:t>
      </w:r>
      <w:r w:rsidRPr="004C1106">
        <w:rPr>
          <w:lang w:val="es-ES"/>
        </w:rPr>
        <w:tab/>
        <w:t>Comunicación y promoción</w:t>
      </w:r>
      <w:bookmarkEnd w:id="177"/>
      <w:bookmarkEnd w:id="178"/>
      <w:bookmarkEnd w:id="179"/>
      <w:bookmarkEnd w:id="180"/>
    </w:p>
    <w:p w14:paraId="5CD9107C" w14:textId="77777777" w:rsidR="006D51CF" w:rsidRPr="00B201CA" w:rsidRDefault="006D51CF" w:rsidP="006D51CF">
      <w:pPr>
        <w:pStyle w:val="Heading3"/>
        <w:rPr>
          <w:i/>
          <w:lang w:val="es-ES"/>
        </w:rPr>
      </w:pPr>
      <w:bookmarkStart w:id="181" w:name="_Toc222308727"/>
      <w:bookmarkStart w:id="182" w:name="_Toc222843196"/>
      <w:r w:rsidRPr="00B201CA">
        <w:rPr>
          <w:lang w:val="es-ES"/>
        </w:rPr>
        <w:t>8.6.1</w:t>
      </w:r>
      <w:r w:rsidRPr="00B201CA">
        <w:rPr>
          <w:lang w:val="es-ES"/>
        </w:rPr>
        <w:tab/>
      </w:r>
      <w:r>
        <w:rPr>
          <w:lang w:val="es-ES"/>
        </w:rPr>
        <w:t>S</w:t>
      </w:r>
      <w:r w:rsidRPr="00B201CA">
        <w:rPr>
          <w:lang w:val="es-ES"/>
        </w:rPr>
        <w:t>itios web y bases de datos</w:t>
      </w:r>
      <w:bookmarkEnd w:id="181"/>
      <w:bookmarkEnd w:id="182"/>
    </w:p>
    <w:p w14:paraId="0E5A5644" w14:textId="77777777" w:rsidR="006D51CF" w:rsidRPr="001A03E1" w:rsidRDefault="006D51CF" w:rsidP="006D51CF">
      <w:pPr>
        <w:rPr>
          <w:lang w:val="es-ES"/>
        </w:rPr>
      </w:pPr>
      <w:r w:rsidRPr="001A03E1">
        <w:rPr>
          <w:lang w:val="es-ES"/>
        </w:rPr>
        <w:t>El Equipo Web de la BR (</w:t>
      </w:r>
      <w:hyperlink r:id="rId78" w:history="1">
        <w:r w:rsidRPr="001A03E1">
          <w:rPr>
            <w:rStyle w:val="Hyperlink"/>
            <w:lang w:val="es-ES"/>
          </w:rPr>
          <w:t>brweb@itu.int</w:t>
        </w:r>
      </w:hyperlink>
      <w:r w:rsidRPr="001A03E1">
        <w:rPr>
          <w:lang w:val="es-ES"/>
        </w:rPr>
        <w:t>) se ocupa de mantener la actividad de los sitios web del UIT-R, incluidas las bases de datos y demás sistemas de gestión de la información.</w:t>
      </w:r>
    </w:p>
    <w:p w14:paraId="3AAC33CA" w14:textId="77777777" w:rsidR="006D51CF" w:rsidRPr="001A03E1" w:rsidRDefault="006D51CF" w:rsidP="006D51CF">
      <w:pPr>
        <w:rPr>
          <w:rFonts w:eastAsia="SimSun"/>
          <w:lang w:val="es-ES"/>
        </w:rPr>
      </w:pPr>
      <w:r w:rsidRPr="001A03E1">
        <w:rPr>
          <w:lang w:val="es-ES"/>
        </w:rPr>
        <w:t>En el Addéndum 2 a este documento se presentan el nuevo sistema de gestión del contenid</w:t>
      </w:r>
      <w:r>
        <w:rPr>
          <w:lang w:val="es-ES"/>
        </w:rPr>
        <w:t>o</w:t>
      </w:r>
      <w:r w:rsidRPr="001A03E1">
        <w:rPr>
          <w:lang w:val="es-ES"/>
        </w:rPr>
        <w:t xml:space="preserve"> (CMS)</w:t>
      </w:r>
      <w:r>
        <w:rPr>
          <w:lang w:val="es-ES"/>
        </w:rPr>
        <w:t>,</w:t>
      </w:r>
      <w:r w:rsidRPr="001A03E1">
        <w:rPr>
          <w:lang w:val="es-ES"/>
        </w:rPr>
        <w:t xml:space="preserve"> WordPress</w:t>
      </w:r>
      <w:r>
        <w:rPr>
          <w:lang w:val="es-ES"/>
        </w:rPr>
        <w:t>, y la situación en que se encuentra la traducción de las páginas web del UIT-R</w:t>
      </w:r>
      <w:r w:rsidRPr="001A03E1">
        <w:rPr>
          <w:rFonts w:eastAsia="SimSun"/>
          <w:lang w:val="es-ES"/>
        </w:rPr>
        <w:t>.</w:t>
      </w:r>
      <w:r w:rsidRPr="001A03E1" w:rsidDel="00905182">
        <w:rPr>
          <w:lang w:val="es-ES"/>
        </w:rPr>
        <w:t xml:space="preserve"> </w:t>
      </w:r>
    </w:p>
    <w:p w14:paraId="7B4B91FD" w14:textId="77777777" w:rsidR="006D51CF" w:rsidRPr="00886A9B" w:rsidRDefault="006D51CF" w:rsidP="006D51CF">
      <w:pPr>
        <w:pStyle w:val="Heading3"/>
        <w:rPr>
          <w:i/>
          <w:lang w:val="es-ES"/>
        </w:rPr>
      </w:pPr>
      <w:bookmarkStart w:id="183" w:name="_Toc222308728"/>
      <w:bookmarkStart w:id="184" w:name="_Toc222843197"/>
      <w:r w:rsidRPr="00886A9B">
        <w:rPr>
          <w:lang w:val="es-ES"/>
        </w:rPr>
        <w:t>8.6.2</w:t>
      </w:r>
      <w:r w:rsidRPr="00886A9B">
        <w:rPr>
          <w:lang w:val="es-ES"/>
        </w:rPr>
        <w:tab/>
        <w:t>Promoción y relaciones con los medios</w:t>
      </w:r>
      <w:bookmarkEnd w:id="183"/>
      <w:bookmarkEnd w:id="184"/>
    </w:p>
    <w:p w14:paraId="1D2C8D4D" w14:textId="0406EF0F" w:rsidR="006D51CF" w:rsidRPr="00886A9B" w:rsidRDefault="006D51CF" w:rsidP="006D51CF">
      <w:pPr>
        <w:rPr>
          <w:rFonts w:eastAsia="SimSun"/>
          <w:lang w:val="es-ES"/>
        </w:rPr>
      </w:pPr>
      <w:r w:rsidRPr="00886A9B">
        <w:rPr>
          <w:rFonts w:eastAsia="SimSun"/>
          <w:lang w:val="es-ES"/>
        </w:rPr>
        <w:t xml:space="preserve">La BR ha puesto en marcha un </w:t>
      </w:r>
      <w:r w:rsidR="00201501" w:rsidRPr="00886A9B">
        <w:rPr>
          <w:rFonts w:eastAsia="SimSun"/>
          <w:lang w:val="es-ES"/>
        </w:rPr>
        <w:t>nuevo sistema</w:t>
      </w:r>
      <w:r w:rsidRPr="00886A9B">
        <w:rPr>
          <w:rFonts w:eastAsia="SimSun"/>
          <w:lang w:val="es-ES"/>
        </w:rPr>
        <w:t xml:space="preserve"> de flujo de trabaj</w:t>
      </w:r>
      <w:r>
        <w:rPr>
          <w:rFonts w:eastAsia="SimSun"/>
          <w:lang w:val="es-ES"/>
        </w:rPr>
        <w:t>o de relaciones públicas</w:t>
      </w:r>
      <w:r w:rsidRPr="00886A9B">
        <w:rPr>
          <w:rFonts w:eastAsia="SimSun"/>
          <w:lang w:val="es-ES"/>
        </w:rPr>
        <w:t xml:space="preserve"> (PMS) </w:t>
      </w:r>
      <w:r>
        <w:rPr>
          <w:rFonts w:eastAsia="SimSun"/>
          <w:lang w:val="es-ES"/>
        </w:rPr>
        <w:t>para coordinar la producción de material promocional con los equipos audiovisual y de marcas de la Secretaría General</w:t>
      </w:r>
      <w:r w:rsidRPr="00886A9B">
        <w:rPr>
          <w:rFonts w:eastAsia="SimSun"/>
          <w:lang w:val="es-ES"/>
        </w:rPr>
        <w:t>.</w:t>
      </w:r>
    </w:p>
    <w:p w14:paraId="51357626" w14:textId="77777777" w:rsidR="006D51CF" w:rsidRPr="00886A9B" w:rsidRDefault="006D51CF" w:rsidP="006D51CF">
      <w:pPr>
        <w:pStyle w:val="Heading4"/>
        <w:rPr>
          <w:lang w:val="es-ES"/>
        </w:rPr>
      </w:pPr>
      <w:r w:rsidRPr="00886A9B">
        <w:rPr>
          <w:lang w:val="es-ES"/>
        </w:rPr>
        <w:t>8.6.2.1</w:t>
      </w:r>
      <w:r w:rsidRPr="00886A9B">
        <w:rPr>
          <w:lang w:val="es-ES"/>
        </w:rPr>
        <w:tab/>
        <w:t xml:space="preserve">Divulgación en medios, preguntas más </w:t>
      </w:r>
      <w:r>
        <w:rPr>
          <w:lang w:val="es-ES"/>
        </w:rPr>
        <w:t>frecuentes, documentos de antecedentes, revista Actualidades de la UIT, blogs y artículos</w:t>
      </w:r>
    </w:p>
    <w:p w14:paraId="0B026BF8" w14:textId="77777777" w:rsidR="006D51CF" w:rsidRPr="00886A9B" w:rsidRDefault="006D51CF" w:rsidP="006D51CF">
      <w:pPr>
        <w:rPr>
          <w:lang w:val="es-ES"/>
        </w:rPr>
      </w:pPr>
      <w:r w:rsidRPr="00886A9B">
        <w:rPr>
          <w:lang w:val="es-ES"/>
        </w:rPr>
        <w:t xml:space="preserve">En 2025, la Oficina, en colaboración con el Departamento de Comunicaciones de la Unión, publicó periódicamente en el sitio web de la BR y divulgó documentos de antecedentes, artículos y blogs del Director de la BR, así como de otros altos cargos de la Oficina, a través del Polo de Actualidades de la UIT. </w:t>
      </w:r>
    </w:p>
    <w:p w14:paraId="76F4CC9A" w14:textId="27659B11" w:rsidR="006D51CF" w:rsidRPr="00886A9B" w:rsidRDefault="006D51CF" w:rsidP="006D51CF">
      <w:pPr>
        <w:rPr>
          <w:lang w:val="es-ES"/>
        </w:rPr>
      </w:pPr>
      <w:r w:rsidRPr="00886A9B">
        <w:rPr>
          <w:lang w:val="es-ES"/>
        </w:rPr>
        <w:t>Los artículos de prensa y blogs del Director de la BR y el</w:t>
      </w:r>
      <w:r>
        <w:rPr>
          <w:lang w:val="es-ES"/>
        </w:rPr>
        <w:t xml:space="preserve"> personal directivo de la BR pueden encontrarse en la dirección</w:t>
      </w:r>
      <w:r w:rsidRPr="00886A9B">
        <w:rPr>
          <w:lang w:val="es-ES"/>
        </w:rPr>
        <w:t xml:space="preserve"> </w:t>
      </w:r>
      <w:hyperlink r:id="rId79" w:history="1">
        <w:r w:rsidR="00652791">
          <w:rPr>
            <w:rStyle w:val="Hyperlink"/>
            <w:lang w:val="es-ES"/>
          </w:rPr>
          <w:t>https://www.itu.int/hub/?s=Maniewicz&amp;by_time=last_year/es</w:t>
        </w:r>
      </w:hyperlink>
    </w:p>
    <w:p w14:paraId="285A2309" w14:textId="0C4B653F" w:rsidR="006D51CF" w:rsidRPr="00886A9B" w:rsidRDefault="006D51CF" w:rsidP="006D51CF">
      <w:pPr>
        <w:rPr>
          <w:lang w:val="es-ES"/>
        </w:rPr>
      </w:pPr>
      <w:r w:rsidRPr="00886A9B">
        <w:rPr>
          <w:lang w:val="es-ES"/>
        </w:rPr>
        <w:t>Las preguntas más frecuentes (FAQ) sobre las ac</w:t>
      </w:r>
      <w:r>
        <w:rPr>
          <w:lang w:val="es-ES"/>
        </w:rPr>
        <w:t xml:space="preserve">tividades de la BR se actualizan en función de las necesidades. </w:t>
      </w:r>
      <w:r w:rsidRPr="00886A9B">
        <w:rPr>
          <w:lang w:val="es-ES"/>
        </w:rPr>
        <w:t>Las FAQ más recientes pueden encontrarse en la di</w:t>
      </w:r>
      <w:r>
        <w:rPr>
          <w:lang w:val="es-ES"/>
        </w:rPr>
        <w:t>rección</w:t>
      </w:r>
      <w:r w:rsidRPr="00886A9B">
        <w:rPr>
          <w:lang w:val="es-ES"/>
        </w:rPr>
        <w:t xml:space="preserve"> </w:t>
      </w:r>
      <w:hyperlink r:id="rId80" w:history="1">
        <w:r w:rsidR="00652791">
          <w:rPr>
            <w:rStyle w:val="Hyperlink"/>
            <w:lang w:val="es-ES"/>
          </w:rPr>
          <w:t>https://www.itu.int/es/ITU-R/Pages/default.aspx</w:t>
        </w:r>
      </w:hyperlink>
      <w:r w:rsidRPr="00886A9B">
        <w:rPr>
          <w:lang w:val="es-ES"/>
        </w:rPr>
        <w:t>.</w:t>
      </w:r>
    </w:p>
    <w:p w14:paraId="24FEEA1C" w14:textId="24466082" w:rsidR="006D51CF" w:rsidRPr="00886A9B" w:rsidRDefault="006D51CF" w:rsidP="00652791">
      <w:pPr>
        <w:rPr>
          <w:lang w:val="es-ES"/>
        </w:rPr>
      </w:pPr>
      <w:r w:rsidRPr="00886A9B">
        <w:rPr>
          <w:lang w:val="es-ES"/>
        </w:rPr>
        <w:t xml:space="preserve">En el sitio web de la UIT pueden consultarse diversos </w:t>
      </w:r>
      <w:hyperlink r:id="rId81" w:history="1">
        <w:r w:rsidRPr="00886A9B">
          <w:rPr>
            <w:rStyle w:val="Hyperlink"/>
            <w:lang w:val="es-ES"/>
          </w:rPr>
          <w:t>documentos de an</w:t>
        </w:r>
        <w:r w:rsidRPr="00886A9B">
          <w:rPr>
            <w:rStyle w:val="Hyperlink"/>
            <w:lang w:val="es-ES"/>
          </w:rPr>
          <w:t>t</w:t>
        </w:r>
        <w:r w:rsidRPr="00886A9B">
          <w:rPr>
            <w:rStyle w:val="Hyperlink"/>
            <w:lang w:val="es-ES"/>
          </w:rPr>
          <w:t>ecedentes</w:t>
        </w:r>
      </w:hyperlink>
      <w:r w:rsidRPr="00886A9B">
        <w:rPr>
          <w:lang w:val="es-ES"/>
        </w:rPr>
        <w:t xml:space="preserve"> </w:t>
      </w:r>
    </w:p>
    <w:p w14:paraId="626805D8" w14:textId="77777777" w:rsidR="006D51CF" w:rsidRPr="00886A9B" w:rsidRDefault="006D51CF" w:rsidP="006D51CF">
      <w:pPr>
        <w:rPr>
          <w:lang w:val="es-ES"/>
        </w:rPr>
      </w:pPr>
      <w:r w:rsidRPr="00886A9B">
        <w:rPr>
          <w:lang w:val="es-ES"/>
        </w:rPr>
        <w:t>En 2025, la Oficina de Radiocomunicaciones atendió 55 consultas de revistas técnicas especializadas y de medios de comunicación, a los que se facilitó con prontitud la información solicitada, favoreciendo así la buena relación con los medios de comunicación. Las preguntas que formularon los medios sobre las actividades del UIT-R giraron principalmente en torno a las notificaciones de satélites, las interferencias perjudiciales y/o deliberadas a sistemas GPS, la Junta del Reglamento de Radiocomunicaciones (RRB), la CMR-23 y las tecnologías 5G/6G.</w:t>
      </w:r>
    </w:p>
    <w:p w14:paraId="4BB508DC" w14:textId="77777777" w:rsidR="006D51CF" w:rsidRPr="00886A9B" w:rsidRDefault="006D51CF" w:rsidP="006D51CF">
      <w:pPr>
        <w:rPr>
          <w:lang w:val="es-ES"/>
        </w:rPr>
      </w:pPr>
      <w:r w:rsidRPr="00886A9B">
        <w:rPr>
          <w:lang w:val="es-ES"/>
        </w:rPr>
        <w:t>En 2025 la Oficina publicó dos productos destinados a la</w:t>
      </w:r>
      <w:r>
        <w:rPr>
          <w:lang w:val="es-ES"/>
        </w:rPr>
        <w:t xml:space="preserve"> prensa</w:t>
      </w:r>
      <w:r w:rsidRPr="00886A9B">
        <w:rPr>
          <w:lang w:val="es-ES"/>
        </w:rPr>
        <w:t>:</w:t>
      </w:r>
    </w:p>
    <w:p w14:paraId="7B21AE25" w14:textId="1CBFD055" w:rsidR="006D51CF" w:rsidRPr="00886A9B" w:rsidRDefault="00652791" w:rsidP="00652791">
      <w:pPr>
        <w:pStyle w:val="enumlev1"/>
        <w:rPr>
          <w:lang w:val="es-ES"/>
        </w:rPr>
      </w:pPr>
      <w:r w:rsidRPr="00E814D2">
        <w:rPr>
          <w:lang w:val="es-ES"/>
        </w:rPr>
        <w:t>−</w:t>
      </w:r>
      <w:r w:rsidRPr="00E814D2">
        <w:rPr>
          <w:lang w:val="es-ES"/>
        </w:rPr>
        <w:tab/>
      </w:r>
      <w:r w:rsidR="006D51CF" w:rsidRPr="00886A9B">
        <w:rPr>
          <w:lang w:val="es-ES"/>
        </w:rPr>
        <w:t>Declaración conjunta de la UIT, la OACI y la OMI sobr</w:t>
      </w:r>
      <w:r w:rsidR="006D51CF">
        <w:rPr>
          <w:lang w:val="es-ES"/>
        </w:rPr>
        <w:t>e la protección del servicio de navegación por satélite contra las interferencias perjudiciales</w:t>
      </w:r>
      <w:r>
        <w:rPr>
          <w:lang w:val="es-ES"/>
        </w:rPr>
        <w:t xml:space="preserve">; </w:t>
      </w:r>
      <w:r w:rsidR="006D51CF">
        <w:rPr>
          <w:lang w:val="es-ES"/>
        </w:rPr>
        <w:t>y</w:t>
      </w:r>
      <w:r w:rsidR="006D51CF" w:rsidRPr="00886A9B">
        <w:rPr>
          <w:lang w:val="es-ES"/>
        </w:rPr>
        <w:t xml:space="preserve"> </w:t>
      </w:r>
    </w:p>
    <w:p w14:paraId="5622B38E" w14:textId="046E83A9" w:rsidR="006D51CF" w:rsidRPr="00886A9B" w:rsidRDefault="00652791" w:rsidP="00652791">
      <w:pPr>
        <w:pStyle w:val="enumlev1"/>
        <w:rPr>
          <w:lang w:val="es-ES"/>
        </w:rPr>
      </w:pPr>
      <w:r w:rsidRPr="00E814D2">
        <w:rPr>
          <w:lang w:val="es-ES"/>
        </w:rPr>
        <w:t>−</w:t>
      </w:r>
      <w:r w:rsidRPr="00E814D2">
        <w:rPr>
          <w:lang w:val="es-ES"/>
        </w:rPr>
        <w:tab/>
      </w:r>
      <w:r w:rsidR="006D51CF" w:rsidRPr="00886A9B">
        <w:rPr>
          <w:lang w:val="es-ES"/>
        </w:rPr>
        <w:t>Celebración de la CMR-27 en Shanghái (China).</w:t>
      </w:r>
    </w:p>
    <w:p w14:paraId="0C4F4101" w14:textId="77777777" w:rsidR="006D51CF" w:rsidRPr="00886A9B" w:rsidRDefault="006D51CF" w:rsidP="006D51CF">
      <w:pPr>
        <w:rPr>
          <w:sz w:val="22"/>
          <w:szCs w:val="22"/>
          <w:lang w:val="es-ES"/>
        </w:rPr>
      </w:pPr>
      <w:r w:rsidRPr="00886A9B">
        <w:rPr>
          <w:lang w:val="es-ES"/>
        </w:rPr>
        <w:t>Entre las actividades de divulgación cabe mencionar la utilización de comunicados de prensa, comunicados a los Miembros, blogs de Actualidades de la UIT, vídeos, marcas de eventos y publicaciones en redes sociales.</w:t>
      </w:r>
    </w:p>
    <w:p w14:paraId="577D84D9" w14:textId="77777777" w:rsidR="006D51CF" w:rsidRPr="00886A9B" w:rsidRDefault="006D51CF" w:rsidP="006D51CF">
      <w:pPr>
        <w:rPr>
          <w:lang w:val="es-ES"/>
        </w:rPr>
      </w:pPr>
      <w:r w:rsidRPr="00886A9B">
        <w:rPr>
          <w:lang w:val="es-ES"/>
        </w:rPr>
        <w:t>En 2025, la Oficina participó activamente en varios Días Internacionales de las Naciones Unidas relacionados con su labor, entre ellos los siguientes:</w:t>
      </w:r>
    </w:p>
    <w:p w14:paraId="055E6F99" w14:textId="00E9EA6F" w:rsidR="006D51CF" w:rsidRPr="00886A9B" w:rsidRDefault="00652791" w:rsidP="00652791">
      <w:pPr>
        <w:pStyle w:val="enumlev1"/>
        <w:rPr>
          <w:lang w:val="es-ES"/>
        </w:rPr>
      </w:pPr>
      <w:r w:rsidRPr="00E814D2">
        <w:rPr>
          <w:lang w:val="es-ES"/>
        </w:rPr>
        <w:t>−</w:t>
      </w:r>
      <w:r w:rsidRPr="00E814D2">
        <w:rPr>
          <w:lang w:val="es-ES"/>
        </w:rPr>
        <w:tab/>
      </w:r>
      <w:r w:rsidR="006D51CF" w:rsidRPr="00886A9B">
        <w:rPr>
          <w:lang w:val="es-ES"/>
        </w:rPr>
        <w:t xml:space="preserve">Día Mundial de la Radio – 13 de febrero </w:t>
      </w:r>
    </w:p>
    <w:p w14:paraId="12EBF03D" w14:textId="28D34C0A" w:rsidR="006D51CF" w:rsidRPr="00886A9B" w:rsidRDefault="00652791" w:rsidP="00652791">
      <w:pPr>
        <w:pStyle w:val="enumlev1"/>
        <w:rPr>
          <w:lang w:val="es-ES"/>
        </w:rPr>
      </w:pPr>
      <w:r w:rsidRPr="00E814D2">
        <w:rPr>
          <w:lang w:val="es-ES"/>
        </w:rPr>
        <w:t>−</w:t>
      </w:r>
      <w:r w:rsidRPr="00E814D2">
        <w:rPr>
          <w:lang w:val="es-ES"/>
        </w:rPr>
        <w:tab/>
      </w:r>
      <w:r w:rsidR="006D51CF" w:rsidRPr="00886A9B">
        <w:rPr>
          <w:lang w:val="es-ES"/>
        </w:rPr>
        <w:t xml:space="preserve">Día Meteorológico Mundial – 24 de marzo </w:t>
      </w:r>
    </w:p>
    <w:p w14:paraId="006C1BB9" w14:textId="4D18D973" w:rsidR="006D51CF" w:rsidRPr="00886A9B" w:rsidRDefault="00652791" w:rsidP="00652791">
      <w:pPr>
        <w:pStyle w:val="enumlev1"/>
        <w:rPr>
          <w:lang w:val="es-ES"/>
        </w:rPr>
      </w:pPr>
      <w:r w:rsidRPr="00E814D2">
        <w:rPr>
          <w:lang w:val="es-ES"/>
        </w:rPr>
        <w:lastRenderedPageBreak/>
        <w:t>−</w:t>
      </w:r>
      <w:r w:rsidRPr="00E814D2">
        <w:rPr>
          <w:lang w:val="es-ES"/>
        </w:rPr>
        <w:tab/>
      </w:r>
      <w:r w:rsidR="006D51CF" w:rsidRPr="00886A9B">
        <w:rPr>
          <w:lang w:val="es-ES"/>
        </w:rPr>
        <w:t xml:space="preserve">Día Mundial del Radioaficionado – 18 de abril </w:t>
      </w:r>
    </w:p>
    <w:p w14:paraId="4E70273A" w14:textId="2F3C48A5" w:rsidR="006D51CF" w:rsidRPr="00886A9B" w:rsidRDefault="00652791" w:rsidP="00652791">
      <w:pPr>
        <w:pStyle w:val="enumlev1"/>
        <w:rPr>
          <w:lang w:val="es-ES"/>
        </w:rPr>
      </w:pPr>
      <w:r w:rsidRPr="00E814D2">
        <w:rPr>
          <w:lang w:val="es-ES"/>
        </w:rPr>
        <w:t>−</w:t>
      </w:r>
      <w:r w:rsidRPr="00E814D2">
        <w:rPr>
          <w:lang w:val="es-ES"/>
        </w:rPr>
        <w:tab/>
      </w:r>
      <w:r w:rsidR="006D51CF" w:rsidRPr="00886A9B">
        <w:rPr>
          <w:lang w:val="es-ES"/>
        </w:rPr>
        <w:t xml:space="preserve">Día Internacional de la Luna – 20 de julio </w:t>
      </w:r>
    </w:p>
    <w:p w14:paraId="3F9DBD8E" w14:textId="36BBBA35" w:rsidR="006D51CF" w:rsidRPr="00886A9B" w:rsidRDefault="00652791" w:rsidP="00652791">
      <w:pPr>
        <w:pStyle w:val="enumlev1"/>
        <w:rPr>
          <w:lang w:val="es-ES"/>
        </w:rPr>
      </w:pPr>
      <w:r w:rsidRPr="00E814D2">
        <w:rPr>
          <w:lang w:val="es-ES"/>
        </w:rPr>
        <w:t>−</w:t>
      </w:r>
      <w:r w:rsidRPr="00E814D2">
        <w:rPr>
          <w:lang w:val="es-ES"/>
        </w:rPr>
        <w:tab/>
      </w:r>
      <w:r w:rsidR="006D51CF" w:rsidRPr="00886A9B">
        <w:rPr>
          <w:lang w:val="es-ES"/>
        </w:rPr>
        <w:t xml:space="preserve">Día Mundial de la Televisión – 21 de noviembre </w:t>
      </w:r>
    </w:p>
    <w:p w14:paraId="217DBB97" w14:textId="77777777" w:rsidR="006D51CF" w:rsidRPr="00886A9B" w:rsidRDefault="006D51CF" w:rsidP="006D51CF">
      <w:pPr>
        <w:rPr>
          <w:rFonts w:eastAsia="Calibri"/>
          <w:lang w:val="es-ES"/>
        </w:rPr>
      </w:pPr>
      <w:r w:rsidRPr="00886A9B">
        <w:rPr>
          <w:lang w:val="es-ES"/>
        </w:rPr>
        <w:t>El Director de</w:t>
      </w:r>
      <w:r>
        <w:rPr>
          <w:lang w:val="es-ES"/>
        </w:rPr>
        <w:t xml:space="preserve"> </w:t>
      </w:r>
      <w:r w:rsidRPr="00886A9B">
        <w:rPr>
          <w:lang w:val="es-ES"/>
        </w:rPr>
        <w:t>la Oficina de Radiocomunicaciones contribuye regularmente a lo</w:t>
      </w:r>
      <w:r>
        <w:rPr>
          <w:lang w:val="es-ES"/>
        </w:rPr>
        <w:t>s artículos de Actualidades de la UIT, los blogs y los podcasts que se publican en el</w:t>
      </w:r>
      <w:r w:rsidRPr="00886A9B">
        <w:rPr>
          <w:lang w:val="es-ES"/>
        </w:rPr>
        <w:t xml:space="preserve"> </w:t>
      </w:r>
      <w:hyperlink r:id="rId82" w:history="1">
        <w:r>
          <w:rPr>
            <w:rStyle w:val="Hyperlink"/>
            <w:rFonts w:eastAsia="Calibri"/>
            <w:lang w:val="es-ES"/>
          </w:rPr>
          <w:t>rincón del Direc</w:t>
        </w:r>
        <w:r>
          <w:rPr>
            <w:rStyle w:val="Hyperlink"/>
            <w:rFonts w:eastAsia="Calibri"/>
            <w:lang w:val="es-ES"/>
          </w:rPr>
          <w:t>t</w:t>
        </w:r>
        <w:r>
          <w:rPr>
            <w:rStyle w:val="Hyperlink"/>
            <w:rFonts w:eastAsia="Calibri"/>
            <w:lang w:val="es-ES"/>
          </w:rPr>
          <w:t>or de la BR</w:t>
        </w:r>
      </w:hyperlink>
      <w:r w:rsidRPr="00886A9B">
        <w:rPr>
          <w:rFonts w:eastAsia="Calibri"/>
          <w:lang w:val="es-ES"/>
        </w:rPr>
        <w:t xml:space="preserve">. </w:t>
      </w:r>
    </w:p>
    <w:p w14:paraId="6F9262E0" w14:textId="77777777" w:rsidR="006D51CF" w:rsidRPr="00886A9B" w:rsidRDefault="006D51CF" w:rsidP="006D51CF">
      <w:pPr>
        <w:pStyle w:val="Heading4"/>
        <w:rPr>
          <w:lang w:val="es-ES"/>
        </w:rPr>
      </w:pPr>
      <w:r w:rsidRPr="00886A9B">
        <w:rPr>
          <w:lang w:val="es-ES"/>
        </w:rPr>
        <w:t>8.6.2.2</w:t>
      </w:r>
      <w:r w:rsidRPr="00886A9B">
        <w:rPr>
          <w:lang w:val="es-ES"/>
        </w:rPr>
        <w:tab/>
        <w:t>Comunicaciones de marca, ventas y co</w:t>
      </w:r>
      <w:r>
        <w:rPr>
          <w:lang w:val="es-ES"/>
        </w:rPr>
        <w:t>mercialización</w:t>
      </w:r>
    </w:p>
    <w:p w14:paraId="5DE80F1A" w14:textId="34DCE40E" w:rsidR="006D51CF" w:rsidRDefault="006D51CF" w:rsidP="006D51CF">
      <w:pPr>
        <w:rPr>
          <w:lang w:val="es-ES"/>
        </w:rPr>
      </w:pPr>
      <w:r>
        <w:rPr>
          <w:lang w:val="es-ES"/>
        </w:rPr>
        <w:t>L</w:t>
      </w:r>
      <w:r w:rsidRPr="00C25C80">
        <w:rPr>
          <w:lang w:val="es-ES"/>
        </w:rPr>
        <w:t xml:space="preserve">as iniciativas de marca y comunicación se centraron en utilizar la nueva plataforma </w:t>
      </w:r>
      <w:hyperlink r:id="rId83" w:history="1">
        <w:r w:rsidRPr="00C25C80">
          <w:rPr>
            <w:rStyle w:val="Hyperlink"/>
            <w:lang w:val="es-ES"/>
          </w:rPr>
          <w:t>Polo de Actualidades de la UIT</w:t>
        </w:r>
      </w:hyperlink>
      <w:r w:rsidRPr="00C25C80">
        <w:rPr>
          <w:lang w:val="es-ES"/>
        </w:rPr>
        <w:t xml:space="preserve">, en colaboración con la División de Ventas y Comercialización de la Unión, para la promoción electrónica de determinadas publicaciones, bases de datos y </w:t>
      </w:r>
      <w:r w:rsidRPr="00956FC6">
        <w:rPr>
          <w:i/>
          <w:iCs/>
          <w:lang w:val="es-ES"/>
        </w:rPr>
        <w:t>software</w:t>
      </w:r>
      <w:r w:rsidRPr="00C25C80">
        <w:rPr>
          <w:lang w:val="es-ES"/>
        </w:rPr>
        <w:t xml:space="preserve"> del UIT-R, con identidades visuales diseñadas específicamente con fines de divulgación </w:t>
      </w:r>
    </w:p>
    <w:p w14:paraId="3034B97F" w14:textId="05E0ED91" w:rsidR="006D51CF" w:rsidRPr="004C1106" w:rsidRDefault="006D51CF" w:rsidP="006D51CF">
      <w:pPr>
        <w:pStyle w:val="Heading2"/>
        <w:rPr>
          <w:lang w:val="es-ES"/>
        </w:rPr>
      </w:pPr>
      <w:bookmarkStart w:id="185" w:name="_Toc222308729"/>
      <w:bookmarkStart w:id="186" w:name="_Toc222843198"/>
      <w:r w:rsidRPr="004C1106">
        <w:rPr>
          <w:lang w:val="es-ES"/>
        </w:rPr>
        <w:t>8.7</w:t>
      </w:r>
      <w:r w:rsidRPr="004C1106">
        <w:rPr>
          <w:lang w:val="es-ES"/>
        </w:rPr>
        <w:tab/>
        <w:t>Igualdad de género</w:t>
      </w:r>
      <w:bookmarkEnd w:id="185"/>
      <w:bookmarkEnd w:id="186"/>
    </w:p>
    <w:p w14:paraId="71BD1254" w14:textId="77777777" w:rsidR="006D51CF" w:rsidRPr="00C25C80" w:rsidRDefault="006D51CF" w:rsidP="006D51CF">
      <w:pPr>
        <w:keepNext/>
        <w:keepLines/>
        <w:rPr>
          <w:lang w:val="es-ES"/>
        </w:rPr>
      </w:pPr>
      <w:r w:rsidRPr="00C25C80">
        <w:rPr>
          <w:lang w:val="es-ES"/>
        </w:rPr>
        <w:t>En el Cuadro 8.7-1 puede verse el aumento de la participac</w:t>
      </w:r>
      <w:r>
        <w:rPr>
          <w:lang w:val="es-ES"/>
        </w:rPr>
        <w:t>ión de las mujeres en los eventos del UIT-R desde</w:t>
      </w:r>
      <w:r w:rsidRPr="00C25C80">
        <w:rPr>
          <w:lang w:val="es-ES"/>
        </w:rPr>
        <w:t xml:space="preserve"> 2019 </w:t>
      </w:r>
      <w:r>
        <w:rPr>
          <w:rStyle w:val="FootnoteReference"/>
          <w:lang w:val="en-US"/>
        </w:rPr>
        <w:footnoteReference w:id="2"/>
      </w:r>
      <w:r w:rsidRPr="00C25C80">
        <w:rPr>
          <w:lang w:val="es-ES"/>
        </w:rPr>
        <w:t xml:space="preserve">. </w:t>
      </w:r>
    </w:p>
    <w:p w14:paraId="7D750E82" w14:textId="77777777" w:rsidR="006D51CF" w:rsidRPr="004C1106" w:rsidRDefault="006D51CF" w:rsidP="006D51CF">
      <w:pPr>
        <w:pStyle w:val="TableNo"/>
        <w:keepLines/>
        <w:rPr>
          <w:lang w:val="es-ES"/>
        </w:rPr>
      </w:pPr>
      <w:r w:rsidRPr="004C1106">
        <w:rPr>
          <w:lang w:val="es-ES"/>
        </w:rPr>
        <w:t>CUADRO 8.7-1</w:t>
      </w:r>
    </w:p>
    <w:p w14:paraId="0EBA83F2" w14:textId="77777777" w:rsidR="006D51CF" w:rsidRPr="00440902" w:rsidRDefault="006D51CF" w:rsidP="00413471">
      <w:pPr>
        <w:pStyle w:val="Tabletitle"/>
        <w:spacing w:before="120" w:after="240"/>
        <w:rPr>
          <w:sz w:val="24"/>
          <w:szCs w:val="24"/>
          <w:lang w:val="es-ES"/>
        </w:rPr>
      </w:pPr>
      <w:r w:rsidRPr="00440902">
        <w:rPr>
          <w:sz w:val="24"/>
          <w:szCs w:val="24"/>
          <w:lang w:val="es-ES"/>
        </w:rPr>
        <w:t>Evolución de la participación de las mujeres en eventos del UIT-R desde 2019</w:t>
      </w:r>
    </w:p>
    <w:p w14:paraId="246491FD" w14:textId="2255ED8E" w:rsidR="006D51CF" w:rsidRDefault="00413471" w:rsidP="00413471">
      <w:pPr>
        <w:pStyle w:val="Tabletext"/>
        <w:keepNext/>
        <w:keepLines/>
        <w:spacing w:before="120"/>
        <w:jc w:val="center"/>
        <w:rPr>
          <w:highlight w:val="yellow"/>
          <w:lang w:val="en-US"/>
        </w:rPr>
      </w:pPr>
      <w:r w:rsidRPr="00413471">
        <w:rPr>
          <w:lang w:val="en-US"/>
        </w:rPr>
        <w:drawing>
          <wp:inline distT="0" distB="0" distL="0" distR="0" wp14:anchorId="558729CA" wp14:editId="72BEF9FD">
            <wp:extent cx="3200400" cy="1959619"/>
            <wp:effectExtent l="0" t="0" r="0" b="2540"/>
            <wp:docPr id="215061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61094" name=""/>
                    <pic:cNvPicPr/>
                  </pic:nvPicPr>
                  <pic:blipFill>
                    <a:blip r:embed="rId84"/>
                    <a:stretch>
                      <a:fillRect/>
                    </a:stretch>
                  </pic:blipFill>
                  <pic:spPr>
                    <a:xfrm>
                      <a:off x="0" y="0"/>
                      <a:ext cx="3231849" cy="1978875"/>
                    </a:xfrm>
                    <a:prstGeom prst="rect">
                      <a:avLst/>
                    </a:prstGeom>
                  </pic:spPr>
                </pic:pic>
              </a:graphicData>
            </a:graphic>
          </wp:inline>
        </w:drawing>
      </w:r>
    </w:p>
    <w:p w14:paraId="03B80825" w14:textId="77777777" w:rsidR="006D51CF" w:rsidRPr="00C25C80" w:rsidRDefault="006D51CF" w:rsidP="006D51CF">
      <w:pPr>
        <w:pStyle w:val="Heading3"/>
        <w:rPr>
          <w:rFonts w:eastAsia="Calibri"/>
          <w:lang w:val="es-ES"/>
        </w:rPr>
      </w:pPr>
      <w:bookmarkStart w:id="187" w:name="_Toc222308730"/>
      <w:bookmarkStart w:id="188" w:name="_Toc222843199"/>
      <w:r w:rsidRPr="00C25C80">
        <w:rPr>
          <w:lang w:val="es-ES"/>
        </w:rPr>
        <w:t>8.7.1</w:t>
      </w:r>
      <w:r w:rsidRPr="00C25C80">
        <w:rPr>
          <w:lang w:val="es-ES"/>
        </w:rPr>
        <w:tab/>
        <w:t>Resolución de la AR</w:t>
      </w:r>
      <w:r w:rsidRPr="00C25C80">
        <w:rPr>
          <w:rFonts w:eastAsia="Calibri"/>
          <w:lang w:val="es-ES"/>
        </w:rPr>
        <w:t>-23 sobre iguald</w:t>
      </w:r>
      <w:r>
        <w:rPr>
          <w:rFonts w:eastAsia="Calibri"/>
          <w:lang w:val="es-ES"/>
        </w:rPr>
        <w:t>ad de género</w:t>
      </w:r>
      <w:bookmarkEnd w:id="187"/>
      <w:bookmarkEnd w:id="188"/>
      <w:r w:rsidRPr="00C25C80">
        <w:rPr>
          <w:rFonts w:eastAsia="Calibri"/>
          <w:lang w:val="es-ES"/>
        </w:rPr>
        <w:t xml:space="preserve"> </w:t>
      </w:r>
    </w:p>
    <w:p w14:paraId="461D2D49" w14:textId="1A6FC52F" w:rsidR="006D51CF" w:rsidRPr="00C25C80" w:rsidRDefault="006D51CF" w:rsidP="006D51CF">
      <w:pPr>
        <w:rPr>
          <w:lang w:val="es-ES"/>
        </w:rPr>
      </w:pPr>
      <w:r w:rsidRPr="00C25C80">
        <w:rPr>
          <w:lang w:val="es-ES"/>
        </w:rPr>
        <w:t xml:space="preserve">La AR-23 adoptó una nueva </w:t>
      </w:r>
      <w:hyperlink r:id="rId85" w:history="1">
        <w:r w:rsidRPr="00C25C80">
          <w:rPr>
            <w:rStyle w:val="Hyperlink"/>
            <w:rFonts w:eastAsia="Calibri"/>
            <w:i/>
            <w:iCs/>
            <w:szCs w:val="24"/>
            <w:lang w:val="es-ES"/>
          </w:rPr>
          <w:t>Resolución s</w:t>
        </w:r>
        <w:r w:rsidRPr="00C25C80">
          <w:rPr>
            <w:rStyle w:val="Hyperlink"/>
            <w:rFonts w:eastAsia="Calibri"/>
            <w:i/>
            <w:iCs/>
            <w:szCs w:val="24"/>
            <w:lang w:val="es-ES"/>
          </w:rPr>
          <w:t>o</w:t>
        </w:r>
        <w:r w:rsidRPr="00C25C80">
          <w:rPr>
            <w:rStyle w:val="Hyperlink"/>
            <w:rFonts w:eastAsia="Calibri"/>
            <w:i/>
            <w:iCs/>
            <w:szCs w:val="24"/>
            <w:lang w:val="es-ES"/>
          </w:rPr>
          <w:t>bre igualdad de género</w:t>
        </w:r>
      </w:hyperlink>
      <w:r w:rsidRPr="00C25C80">
        <w:rPr>
          <w:lang w:val="es-ES"/>
        </w:rPr>
        <w:t xml:space="preserve"> (Resolución UIT-R 72), cuyo objetivo es seguir reforzando, acelerando y ampl</w:t>
      </w:r>
      <w:r>
        <w:rPr>
          <w:lang w:val="es-ES"/>
        </w:rPr>
        <w:t>iando la participación activa de las mujeres en los trabajos y actividades del Sector de Radiocomunicaciones de la UIT (UIT</w:t>
      </w:r>
      <w:r w:rsidRPr="00C25C80">
        <w:rPr>
          <w:lang w:val="es-ES"/>
        </w:rPr>
        <w:t xml:space="preserve">-R). </w:t>
      </w:r>
    </w:p>
    <w:p w14:paraId="685F2C0C" w14:textId="77777777" w:rsidR="006D51CF" w:rsidRPr="00C25C80" w:rsidRDefault="006D51CF" w:rsidP="006D51CF">
      <w:pPr>
        <w:rPr>
          <w:lang w:val="es-ES"/>
        </w:rPr>
      </w:pPr>
      <w:r w:rsidRPr="00C25C80">
        <w:rPr>
          <w:lang w:val="es-ES"/>
        </w:rPr>
        <w:t xml:space="preserve">La Resolución UIT-R 72 sigue aplicándose en todas las labores de la </w:t>
      </w:r>
      <w:r>
        <w:rPr>
          <w:lang w:val="es-ES"/>
        </w:rPr>
        <w:t>Oficina</w:t>
      </w:r>
      <w:r w:rsidRPr="00C25C80">
        <w:rPr>
          <w:lang w:val="es-ES"/>
        </w:rPr>
        <w:t>.</w:t>
      </w:r>
    </w:p>
    <w:p w14:paraId="2629C318" w14:textId="77777777" w:rsidR="006D51CF" w:rsidRPr="00C25C80" w:rsidRDefault="006D51CF" w:rsidP="006D51CF">
      <w:pPr>
        <w:pStyle w:val="Heading3"/>
        <w:rPr>
          <w:rFonts w:eastAsia="Calibri"/>
          <w:b w:val="0"/>
          <w:lang w:val="es-ES"/>
        </w:rPr>
      </w:pPr>
      <w:bookmarkStart w:id="189" w:name="_Toc222308731"/>
      <w:bookmarkStart w:id="190" w:name="_Toc222843200"/>
      <w:r w:rsidRPr="00C25C80">
        <w:rPr>
          <w:lang w:val="es-ES"/>
        </w:rPr>
        <w:t>8.7.2</w:t>
      </w:r>
      <w:r w:rsidRPr="00C25C80">
        <w:rPr>
          <w:lang w:val="es-ES"/>
        </w:rPr>
        <w:tab/>
        <w:t>Red de mujeres para la CMR</w:t>
      </w:r>
      <w:r w:rsidRPr="00C25C80">
        <w:rPr>
          <w:rFonts w:eastAsia="Calibri"/>
          <w:lang w:val="es-ES"/>
        </w:rPr>
        <w:t>-27</w:t>
      </w:r>
      <w:bookmarkEnd w:id="189"/>
      <w:bookmarkEnd w:id="190"/>
      <w:r w:rsidRPr="00C25C80">
        <w:rPr>
          <w:rFonts w:eastAsia="Calibri"/>
          <w:lang w:val="es-ES"/>
        </w:rPr>
        <w:t xml:space="preserve"> </w:t>
      </w:r>
    </w:p>
    <w:p w14:paraId="2B2E376D" w14:textId="0799125D" w:rsidR="006D51CF" w:rsidRPr="00C25C80" w:rsidRDefault="006D51CF" w:rsidP="006D51CF">
      <w:pPr>
        <w:rPr>
          <w:rFonts w:eastAsia="Aptos"/>
          <w:lang w:val="es-ES"/>
        </w:rPr>
      </w:pPr>
      <w:r w:rsidRPr="00C25C80">
        <w:rPr>
          <w:rFonts w:eastAsia="Aptos"/>
          <w:lang w:val="es-ES"/>
        </w:rPr>
        <w:t xml:space="preserve">La iniciativa de la </w:t>
      </w:r>
      <w:hyperlink r:id="rId86" w:history="1">
        <w:r w:rsidRPr="00C25C80">
          <w:rPr>
            <w:rStyle w:val="Hyperlink"/>
            <w:rFonts w:eastAsia="Aptos"/>
            <w:szCs w:val="24"/>
            <w:lang w:val="es-ES"/>
          </w:rPr>
          <w:t>Red de Mujeres par</w:t>
        </w:r>
        <w:r w:rsidRPr="00C25C80">
          <w:rPr>
            <w:rStyle w:val="Hyperlink"/>
            <w:rFonts w:eastAsia="Aptos"/>
            <w:szCs w:val="24"/>
            <w:lang w:val="es-ES"/>
          </w:rPr>
          <w:t>a</w:t>
        </w:r>
        <w:r w:rsidRPr="00C25C80">
          <w:rPr>
            <w:rStyle w:val="Hyperlink"/>
            <w:rFonts w:eastAsia="Aptos"/>
            <w:szCs w:val="24"/>
            <w:lang w:val="es-ES"/>
          </w:rPr>
          <w:t xml:space="preserve"> la CMR-27 (NOW4WRC27)</w:t>
        </w:r>
      </w:hyperlink>
      <w:r w:rsidRPr="00C25C80">
        <w:rPr>
          <w:rFonts w:eastAsia="Aptos"/>
          <w:lang w:val="es-ES"/>
        </w:rPr>
        <w:t xml:space="preserve"> se presentó oficialmente en el marco de la CMR-23, con la misión de promover la igualdad, la equidad y la paridad de género, empoderar a las mujeres y las niñas en el ámbito de las radiocomunicaciones y fomentar su inclusión y liderazgo en las actividades del UIT-R. </w:t>
      </w:r>
    </w:p>
    <w:p w14:paraId="271123EB" w14:textId="77777777" w:rsidR="006D51CF" w:rsidRPr="00C25C80" w:rsidRDefault="006D51CF" w:rsidP="006D51CF">
      <w:pPr>
        <w:rPr>
          <w:rFonts w:eastAsia="Aptos"/>
          <w:lang w:val="es-ES"/>
        </w:rPr>
      </w:pPr>
      <w:r w:rsidRPr="00C25C80">
        <w:rPr>
          <w:rFonts w:eastAsia="Aptos"/>
          <w:lang w:val="es-ES"/>
        </w:rPr>
        <w:lastRenderedPageBreak/>
        <w:t xml:space="preserve">Partiendo del éxito cosechado por el programa NOW4WRC23, esta iniciativa sigue fomentando la participación activa de las mujeres a lo largo de todo el ciclo de estudios previo a la CMR-27. </w:t>
      </w:r>
    </w:p>
    <w:p w14:paraId="579BC79C" w14:textId="77777777" w:rsidR="006D51CF" w:rsidRPr="00C25C80" w:rsidRDefault="006D51CF" w:rsidP="006D51CF">
      <w:pPr>
        <w:rPr>
          <w:rFonts w:eastAsia="Aptos"/>
          <w:color w:val="009CD6"/>
          <w:u w:val="single"/>
          <w:lang w:val="es-ES"/>
        </w:rPr>
      </w:pPr>
      <w:r w:rsidRPr="00C25C80">
        <w:rPr>
          <w:rFonts w:eastAsia="Aptos"/>
          <w:lang w:val="es-ES"/>
        </w:rPr>
        <w:t xml:space="preserve">Las iniciativas del UIT-R complementan las actividades regionales dirigidas por los copresidentes regionales de la red NOW4WRC27. </w:t>
      </w:r>
    </w:p>
    <w:p w14:paraId="0E459254" w14:textId="77777777" w:rsidR="006D51CF" w:rsidRPr="00C25C80" w:rsidRDefault="006D51CF" w:rsidP="006D51CF">
      <w:pPr>
        <w:rPr>
          <w:rFonts w:eastAsia="Aptos"/>
          <w:lang w:val="es-ES"/>
        </w:rPr>
      </w:pPr>
      <w:r w:rsidRPr="00C25C80">
        <w:rPr>
          <w:rFonts w:eastAsia="Aptos"/>
          <w:lang w:val="es-ES"/>
        </w:rPr>
        <w:t xml:space="preserve">En febrero de 2025 se puso en marcha el </w:t>
      </w:r>
      <w:hyperlink r:id="rId87" w:history="1">
        <w:r w:rsidRPr="00C25C80">
          <w:rPr>
            <w:rStyle w:val="Hyperlink"/>
            <w:rFonts w:eastAsia="Aptos"/>
            <w:szCs w:val="24"/>
            <w:lang w:val="es-ES"/>
          </w:rPr>
          <w:t xml:space="preserve">Programa de Mentorías NOW4WRC27 </w:t>
        </w:r>
      </w:hyperlink>
      <w:r>
        <w:rPr>
          <w:rFonts w:eastAsia="Aptos"/>
          <w:lang w:val="es-ES"/>
        </w:rPr>
        <w:t>, cuyo objetivo es empoderar a las delegadas ampliando sus conocimientos sobre los métodos de trabajo del UIT-R, el Reglamento de Radiocomunicaciones y los procesos internacionales de la CMR-27</w:t>
      </w:r>
      <w:r w:rsidRPr="00C25C80">
        <w:rPr>
          <w:rFonts w:eastAsia="Aptos"/>
          <w:lang w:val="es-ES"/>
        </w:rPr>
        <w:t>.</w:t>
      </w:r>
    </w:p>
    <w:p w14:paraId="1E0B4E26" w14:textId="5D1C9F81" w:rsidR="006D51CF" w:rsidRPr="00C25C80" w:rsidRDefault="006D51CF" w:rsidP="006D51CF">
      <w:pPr>
        <w:rPr>
          <w:lang w:val="es-ES"/>
        </w:rPr>
      </w:pPr>
      <w:r w:rsidRPr="00C25C80">
        <w:rPr>
          <w:lang w:val="es-ES"/>
        </w:rPr>
        <w:t xml:space="preserve">Este programa de tutoría es fundamental para ayudar a las alumnas, especialmente a las que participan por primera vez en una CMR, a comprender los procesos, los puntos del orden del día y los desafíos de estas conferencias. En el marco de estas actividades de capacitación y establecimiento de contactos, el </w:t>
      </w:r>
      <w:hyperlink r:id="rId88" w:history="1">
        <w:r w:rsidR="00652791">
          <w:rPr>
            <w:rStyle w:val="Hyperlink"/>
            <w:rFonts w:eastAsia="Aptos"/>
            <w:szCs w:val="24"/>
            <w:lang w:val="es-ES"/>
          </w:rPr>
          <w:t>Programa de Mentorías NOW4WRC27</w:t>
        </w:r>
      </w:hyperlink>
      <w:r w:rsidR="00652791">
        <w:t xml:space="preserve"> </w:t>
      </w:r>
      <w:r w:rsidRPr="00C25C80">
        <w:rPr>
          <w:lang w:val="es-ES"/>
        </w:rPr>
        <w:t>o</w:t>
      </w:r>
      <w:r>
        <w:rPr>
          <w:lang w:val="es-ES"/>
        </w:rPr>
        <w:t>rganizó una pausa para el café dedicada al establecimiento de contactos durante la 1ª Sesión Interregional de Información (SII) sobre los preparativos de la CMR-27 el 3 de diciembre de</w:t>
      </w:r>
      <w:r w:rsidRPr="00C25C80">
        <w:rPr>
          <w:lang w:val="es-ES"/>
        </w:rPr>
        <w:t xml:space="preserve"> 2025. Esta sesión reunió a delegadas, mentores, copresidentes regionales y directivos de la UIT en un espacio informal, aunque destinado a crear lazos, intercambiar experiencias y </w:t>
      </w:r>
      <w:r>
        <w:rPr>
          <w:lang w:val="es-ES"/>
        </w:rPr>
        <w:t xml:space="preserve">fomentar una mayor implicación de las mujeres en los trabajos preparatorios del UIT-R. </w:t>
      </w:r>
      <w:r w:rsidRPr="00C25C80">
        <w:rPr>
          <w:lang w:val="es-ES"/>
        </w:rPr>
        <w:t>Se hicieron las presentaciones entre participantes y coordinadores y mentores, y las discusiones se centraron en intensificar el liderazgo de las mujeres, fomentar la</w:t>
      </w:r>
      <w:r>
        <w:rPr>
          <w:lang w:val="es-ES"/>
        </w:rPr>
        <w:t xml:space="preserve"> colaboración entre regiones y motivar a las delegadas a asumir un papel activo de cara a la CMR</w:t>
      </w:r>
      <w:r w:rsidRPr="00C25C80">
        <w:rPr>
          <w:lang w:val="es-ES"/>
        </w:rPr>
        <w:t>-27.</w:t>
      </w:r>
    </w:p>
    <w:p w14:paraId="32C1D309" w14:textId="704B729E" w:rsidR="006D51CF" w:rsidRPr="004C1106" w:rsidRDefault="006D51CF" w:rsidP="006D51CF">
      <w:pPr>
        <w:rPr>
          <w:lang w:val="es-ES"/>
        </w:rPr>
      </w:pPr>
      <w:r w:rsidRPr="00244F4C">
        <w:rPr>
          <w:rFonts w:eastAsia="Aptos"/>
          <w:szCs w:val="24"/>
          <w:lang w:val="es-ES"/>
        </w:rPr>
        <w:t>Aunque centrado principalmente en las delegadas, este programa recibe con agrado la participación de</w:t>
      </w:r>
      <w:r>
        <w:rPr>
          <w:rFonts w:eastAsia="Aptos"/>
          <w:szCs w:val="24"/>
          <w:lang w:val="es-ES"/>
        </w:rPr>
        <w:t xml:space="preserve"> hombres en calidad de mentores, fomentando así la colaboración y la inclusividad en la comunidad del UIT-R. </w:t>
      </w:r>
      <w:r w:rsidRPr="00244F4C">
        <w:rPr>
          <w:rFonts w:eastAsia="Aptos"/>
          <w:szCs w:val="24"/>
          <w:lang w:val="es-ES"/>
        </w:rPr>
        <w:t>Hasta la fecha el programa cuenta con 51 mentores y 136 alumnas de 71</w:t>
      </w:r>
      <w:r w:rsidR="002C1BAC">
        <w:rPr>
          <w:rFonts w:eastAsia="Aptos"/>
          <w:szCs w:val="24"/>
          <w:lang w:val="es-ES"/>
        </w:rPr>
        <w:t> </w:t>
      </w:r>
      <w:r w:rsidRPr="00244F4C">
        <w:rPr>
          <w:rFonts w:eastAsia="Aptos"/>
          <w:szCs w:val="24"/>
          <w:lang w:val="es-ES"/>
        </w:rPr>
        <w:t>países de tres re</w:t>
      </w:r>
      <w:r>
        <w:rPr>
          <w:rFonts w:eastAsia="Aptos"/>
          <w:szCs w:val="24"/>
          <w:lang w:val="es-ES"/>
        </w:rPr>
        <w:t>giones</w:t>
      </w:r>
      <w:r w:rsidRPr="004C1106">
        <w:rPr>
          <w:rFonts w:eastAsia="Aptos"/>
          <w:szCs w:val="24"/>
          <w:lang w:val="es-ES"/>
        </w:rPr>
        <w:t>.</w:t>
      </w:r>
    </w:p>
    <w:p w14:paraId="719D08D1" w14:textId="77777777" w:rsidR="00BF3FA5" w:rsidRPr="002C1BAC" w:rsidRDefault="00BF3FA5" w:rsidP="00BF3FA5">
      <w:pPr>
        <w:pStyle w:val="Reasons"/>
        <w:rPr>
          <w:lang w:val="es-ES"/>
        </w:rPr>
      </w:pPr>
    </w:p>
    <w:p w14:paraId="3068236D" w14:textId="77777777" w:rsidR="00BF3FA5" w:rsidRPr="00932846" w:rsidRDefault="00BF3FA5" w:rsidP="00BF3FA5">
      <w:pPr>
        <w:tabs>
          <w:tab w:val="clear" w:pos="794"/>
          <w:tab w:val="clear" w:pos="1191"/>
          <w:tab w:val="clear" w:pos="1588"/>
          <w:tab w:val="clear" w:pos="1985"/>
        </w:tabs>
        <w:spacing w:after="120"/>
        <w:jc w:val="center"/>
      </w:pPr>
      <w:r w:rsidRPr="00932846">
        <w:t>_______________</w:t>
      </w:r>
    </w:p>
    <w:sectPr w:rsidR="00BF3FA5" w:rsidRPr="00932846" w:rsidSect="004D6C09">
      <w:headerReference w:type="default" r:id="rId89"/>
      <w:footerReference w:type="default" r:id="rId90"/>
      <w:footerReference w:type="first" r:id="rId9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BDD9A" w14:textId="77777777" w:rsidR="006D51CF" w:rsidRDefault="006D51CF">
      <w:r>
        <w:separator/>
      </w:r>
    </w:p>
  </w:endnote>
  <w:endnote w:type="continuationSeparator" w:id="0">
    <w:p w14:paraId="5DAB9B1B" w14:textId="77777777" w:rsidR="006D51CF" w:rsidRDefault="006D5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6D51CF" w14:paraId="6DE5678E" w14:textId="77777777">
      <w:trPr>
        <w:trHeight w:val="300"/>
      </w:trPr>
      <w:tc>
        <w:tcPr>
          <w:tcW w:w="4855" w:type="dxa"/>
        </w:tcPr>
        <w:p w14:paraId="727F9137" w14:textId="77777777" w:rsidR="006D51CF" w:rsidRDefault="006D51CF">
          <w:pPr>
            <w:ind w:left="-115"/>
          </w:pPr>
        </w:p>
      </w:tc>
      <w:tc>
        <w:tcPr>
          <w:tcW w:w="4855" w:type="dxa"/>
        </w:tcPr>
        <w:p w14:paraId="22F2DED2" w14:textId="77777777" w:rsidR="006D51CF" w:rsidRDefault="006D51CF">
          <w:pPr>
            <w:jc w:val="center"/>
          </w:pPr>
        </w:p>
      </w:tc>
      <w:tc>
        <w:tcPr>
          <w:tcW w:w="4855" w:type="dxa"/>
        </w:tcPr>
        <w:p w14:paraId="5A5AF13C" w14:textId="77777777" w:rsidR="006D51CF" w:rsidRDefault="006D51CF">
          <w:pPr>
            <w:ind w:right="-115"/>
            <w:jc w:val="right"/>
          </w:pPr>
        </w:p>
      </w:tc>
    </w:tr>
  </w:tbl>
  <w:p w14:paraId="14C2ADD9" w14:textId="77777777" w:rsidR="006D51CF" w:rsidRDefault="006D51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9A30C" w14:textId="4B60539B" w:rsidR="00616601" w:rsidRDefault="00616601">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2AFBE" w14:textId="77777777" w:rsidR="00616601" w:rsidRDefault="00E72EA7" w:rsidP="00AB4BAD">
    <w:pPr>
      <w:pStyle w:val="Footer"/>
      <w:rPr>
        <w:lang w:val="en-US"/>
      </w:rPr>
    </w:pPr>
    <w:r>
      <w:fldChar w:fldCharType="begin"/>
    </w:r>
    <w:r w:rsidRPr="00E72EA7">
      <w:rPr>
        <w:lang w:val="en-US"/>
      </w:rPr>
      <w:instrText xml:space="preserve"> FILENAME \p \* MERGEFORMAT </w:instrText>
    </w:r>
    <w:r>
      <w:fldChar w:fldCharType="separate"/>
    </w:r>
    <w:r w:rsidR="006D51CF">
      <w:rPr>
        <w:lang w:val="en-US"/>
      </w:rPr>
      <w:t>Document4</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8E1E0" w14:textId="77777777" w:rsidR="006D51CF" w:rsidRDefault="006D51CF">
      <w:r>
        <w:t>____________________</w:t>
      </w:r>
    </w:p>
  </w:footnote>
  <w:footnote w:type="continuationSeparator" w:id="0">
    <w:p w14:paraId="798ECAD5" w14:textId="77777777" w:rsidR="006D51CF" w:rsidRDefault="006D51CF">
      <w:r>
        <w:continuationSeparator/>
      </w:r>
    </w:p>
  </w:footnote>
  <w:footnote w:id="1">
    <w:p w14:paraId="71969D20" w14:textId="0442AA6C" w:rsidR="006D51CF" w:rsidRPr="004E0BA9" w:rsidRDefault="006D51CF" w:rsidP="00041985">
      <w:pPr>
        <w:tabs>
          <w:tab w:val="clear" w:pos="794"/>
          <w:tab w:val="left" w:pos="284"/>
        </w:tabs>
        <w:ind w:left="284" w:hanging="284"/>
        <w:rPr>
          <w:sz w:val="22"/>
          <w:szCs w:val="22"/>
          <w:lang w:val="es-ES"/>
        </w:rPr>
      </w:pPr>
      <w:r>
        <w:rPr>
          <w:rStyle w:val="FootnoteReference"/>
        </w:rPr>
        <w:footnoteRef/>
      </w:r>
      <w:r w:rsidR="00041985">
        <w:tab/>
      </w:r>
      <w:r w:rsidRPr="004E0BA9">
        <w:rPr>
          <w:szCs w:val="24"/>
          <w:lang w:val="es-ES"/>
        </w:rPr>
        <w:t xml:space="preserve">Los valores para </w:t>
      </w:r>
      <w:r w:rsidRPr="004E0BA9">
        <w:rPr>
          <w:sz w:val="22"/>
          <w:szCs w:val="22"/>
          <w:lang w:val="es-ES"/>
        </w:rPr>
        <w:t xml:space="preserve">2025 corresponden a los datos recabados entre enero y junio de 2025 y se han extrapolado </w:t>
      </w:r>
      <w:r>
        <w:rPr>
          <w:sz w:val="22"/>
          <w:szCs w:val="22"/>
          <w:lang w:val="es-ES"/>
        </w:rPr>
        <w:t xml:space="preserve">para estimar el valor anual. </w:t>
      </w:r>
      <w:r w:rsidRPr="004E0BA9">
        <w:rPr>
          <w:sz w:val="22"/>
          <w:szCs w:val="22"/>
          <w:lang w:val="es-ES"/>
        </w:rPr>
        <w:t xml:space="preserve">Este ajuste fue necesario en respuesta a los efectos de </w:t>
      </w:r>
      <w:r>
        <w:rPr>
          <w:sz w:val="22"/>
          <w:szCs w:val="22"/>
          <w:lang w:val="es-ES"/>
        </w:rPr>
        <w:t>las actividades de bots de inteligencia artificial (IA) observados durante el segundo semestre de</w:t>
      </w:r>
      <w:r w:rsidRPr="004E0BA9">
        <w:rPr>
          <w:sz w:val="22"/>
          <w:szCs w:val="22"/>
          <w:lang w:val="es-ES"/>
        </w:rPr>
        <w:t xml:space="preserve"> 2025. Los trabajos para filtrar los datos de </w:t>
      </w:r>
      <w:r>
        <w:rPr>
          <w:sz w:val="22"/>
          <w:szCs w:val="22"/>
          <w:lang w:val="es-ES"/>
        </w:rPr>
        <w:t>bots para el próximo ciclo del GAR están en curso</w:t>
      </w:r>
      <w:r w:rsidRPr="004E0BA9">
        <w:rPr>
          <w:sz w:val="22"/>
          <w:szCs w:val="22"/>
          <w:lang w:val="es-ES"/>
        </w:rPr>
        <w:t>.</w:t>
      </w:r>
    </w:p>
    <w:p w14:paraId="3A16CE4F" w14:textId="77777777" w:rsidR="006D51CF" w:rsidRPr="004E0BA9" w:rsidRDefault="006D51CF" w:rsidP="006D51CF">
      <w:pPr>
        <w:pStyle w:val="FootnoteText"/>
        <w:rPr>
          <w:lang w:val="es-ES"/>
        </w:rPr>
      </w:pPr>
    </w:p>
  </w:footnote>
  <w:footnote w:id="2">
    <w:p w14:paraId="17F585F1" w14:textId="4B8DA940" w:rsidR="006D51CF" w:rsidRPr="0082200B" w:rsidRDefault="006D51CF" w:rsidP="006D51CF">
      <w:pPr>
        <w:pStyle w:val="FootnoteText"/>
        <w:rPr>
          <w:sz w:val="22"/>
          <w:szCs w:val="22"/>
          <w:lang w:val="fr-CA"/>
        </w:rPr>
      </w:pPr>
      <w:r w:rsidRPr="00BC3763">
        <w:rPr>
          <w:rStyle w:val="FootnoteReference"/>
          <w:sz w:val="22"/>
          <w:szCs w:val="22"/>
          <w:vertAlign w:val="superscript"/>
        </w:rPr>
        <w:footnoteRef/>
      </w:r>
      <w:r w:rsidR="00652791">
        <w:rPr>
          <w:sz w:val="22"/>
          <w:szCs w:val="22"/>
          <w:vertAlign w:val="superscript"/>
          <w:lang w:val="fr-CA"/>
        </w:rPr>
        <w:tab/>
      </w:r>
      <w:r>
        <w:rPr>
          <w:sz w:val="22"/>
          <w:szCs w:val="22"/>
          <w:lang w:val="fr-CA"/>
        </w:rPr>
        <w:t>Fuente</w:t>
      </w:r>
      <w:r w:rsidRPr="00BC3763">
        <w:rPr>
          <w:sz w:val="22"/>
          <w:szCs w:val="22"/>
          <w:lang w:val="fr-CA"/>
        </w:rPr>
        <w:t xml:space="preserve"> : </w:t>
      </w:r>
      <w:hyperlink r:id="rId1" w:history="1">
        <w:r w:rsidR="00652791">
          <w:rPr>
            <w:rStyle w:val="Hyperlink"/>
            <w:sz w:val="22"/>
            <w:szCs w:val="22"/>
            <w:lang w:val="fr-FR"/>
          </w:rPr>
          <w:t>https://www.itu.int/initiatives/gender-equality/gender-dashboard/es</w:t>
        </w:r>
      </w:hyperlink>
      <w:r>
        <w:rPr>
          <w:sz w:val="22"/>
          <w:szCs w:val="22"/>
          <w:lang w:val="fr-C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622358"/>
      <w:docPartObj>
        <w:docPartGallery w:val="Page Numbers (Top of Page)"/>
        <w:docPartUnique/>
      </w:docPartObj>
    </w:sdtPr>
    <w:sdtEndPr>
      <w:rPr>
        <w:noProof/>
      </w:rPr>
    </w:sdtEndPr>
    <w:sdtContent>
      <w:sdt>
        <w:sdtPr>
          <w:id w:val="-534198450"/>
          <w:docPartObj>
            <w:docPartGallery w:val="Page Numbers (Top of Page)"/>
            <w:docPartUnique/>
          </w:docPartObj>
        </w:sdtPr>
        <w:sdtEndPr>
          <w:rPr>
            <w:noProof/>
          </w:rPr>
        </w:sdtEndPr>
        <w:sdtContent>
          <w:p w14:paraId="41202ED7" w14:textId="77777777" w:rsidR="006D51CF" w:rsidRDefault="006D51CF">
            <w:pPr>
              <w:pStyle w:val="Header"/>
            </w:pPr>
            <w:r>
              <w:fldChar w:fldCharType="begin"/>
            </w:r>
            <w:r>
              <w:instrText xml:space="preserve"> PAGE   \* MERGEFORMAT </w:instrText>
            </w:r>
            <w:r>
              <w:fldChar w:fldCharType="separate"/>
            </w:r>
            <w:r>
              <w:t>40</w:t>
            </w:r>
            <w:r>
              <w:rPr>
                <w:noProof/>
              </w:rPr>
              <w:fldChar w:fldCharType="end"/>
            </w:r>
          </w:p>
          <w:p w14:paraId="60702AAC" w14:textId="046B4376" w:rsidR="006D51CF" w:rsidRDefault="006D51CF">
            <w:pPr>
              <w:pStyle w:val="Header"/>
              <w:rPr>
                <w:noProof/>
              </w:rPr>
            </w:pPr>
            <w:r>
              <w:rPr>
                <w:lang w:val="es-ES"/>
              </w:rPr>
              <w:t>RAG/58-</w:t>
            </w:r>
            <w:r w:rsidR="006C3B3B">
              <w:rPr>
                <w:lang w:val="es-ES"/>
              </w:rPr>
              <w:t>S</w:t>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6D51CF" w14:paraId="620BA2D4" w14:textId="77777777">
      <w:trPr>
        <w:trHeight w:val="300"/>
      </w:trPr>
      <w:tc>
        <w:tcPr>
          <w:tcW w:w="3210" w:type="dxa"/>
        </w:tcPr>
        <w:p w14:paraId="1310C384" w14:textId="77777777" w:rsidR="006D51CF" w:rsidRDefault="006D51CF">
          <w:pPr>
            <w:ind w:left="-115"/>
          </w:pPr>
        </w:p>
      </w:tc>
      <w:tc>
        <w:tcPr>
          <w:tcW w:w="3210" w:type="dxa"/>
        </w:tcPr>
        <w:p w14:paraId="05294A7E" w14:textId="77777777" w:rsidR="006D51CF" w:rsidRDefault="006D51CF">
          <w:pPr>
            <w:jc w:val="center"/>
          </w:pPr>
        </w:p>
      </w:tc>
      <w:tc>
        <w:tcPr>
          <w:tcW w:w="3210" w:type="dxa"/>
        </w:tcPr>
        <w:p w14:paraId="1C1B6558" w14:textId="77777777" w:rsidR="006D51CF" w:rsidRDefault="006D51CF">
          <w:pPr>
            <w:ind w:right="-115"/>
            <w:jc w:val="right"/>
          </w:pPr>
        </w:p>
      </w:tc>
    </w:tr>
  </w:tbl>
  <w:p w14:paraId="73729241" w14:textId="77777777" w:rsidR="006D51CF" w:rsidRDefault="006D51C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258D4" w14:textId="77777777" w:rsidR="006D51CF" w:rsidRDefault="006D51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563536"/>
      <w:docPartObj>
        <w:docPartGallery w:val="Page Numbers (Top of Page)"/>
        <w:docPartUnique/>
      </w:docPartObj>
    </w:sdtPr>
    <w:sdtEndPr>
      <w:rPr>
        <w:noProof/>
      </w:rPr>
    </w:sdtEndPr>
    <w:sdtContent>
      <w:sdt>
        <w:sdtPr>
          <w:id w:val="952059597"/>
          <w:docPartObj>
            <w:docPartGallery w:val="Page Numbers (Top of Page)"/>
            <w:docPartUnique/>
          </w:docPartObj>
        </w:sdtPr>
        <w:sdtEndPr>
          <w:rPr>
            <w:noProof/>
          </w:rPr>
        </w:sdtEndPr>
        <w:sdtContent>
          <w:p w14:paraId="358CB279" w14:textId="77777777" w:rsidR="006D51CF" w:rsidRDefault="006D51CF">
            <w:pPr>
              <w:pStyle w:val="Header"/>
            </w:pPr>
            <w:r>
              <w:fldChar w:fldCharType="begin"/>
            </w:r>
            <w:r>
              <w:instrText xml:space="preserve"> PAGE   \* MERGEFORMAT </w:instrText>
            </w:r>
            <w:r>
              <w:fldChar w:fldCharType="separate"/>
            </w:r>
            <w:r>
              <w:t>40</w:t>
            </w:r>
            <w:r>
              <w:rPr>
                <w:noProof/>
              </w:rPr>
              <w:fldChar w:fldCharType="end"/>
            </w:r>
          </w:p>
          <w:p w14:paraId="4515115D" w14:textId="6F4854ED" w:rsidR="006D51CF" w:rsidRPr="00800972" w:rsidRDefault="006D51CF">
            <w:pPr>
              <w:pStyle w:val="Header"/>
              <w:rPr>
                <w:noProof/>
              </w:rPr>
            </w:pPr>
            <w:r>
              <w:rPr>
                <w:lang w:val="es-ES"/>
              </w:rPr>
              <w:t>RAG/58-</w:t>
            </w:r>
            <w:r w:rsidR="00CE4E77">
              <w:rPr>
                <w:lang w:val="es-ES"/>
              </w:rPr>
              <w:t>S</w:t>
            </w:r>
          </w:p>
        </w:sdtContent>
      </w:sdt>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799281"/>
      <w:docPartObj>
        <w:docPartGallery w:val="Page Numbers (Top of Page)"/>
        <w:docPartUnique/>
      </w:docPartObj>
    </w:sdtPr>
    <w:sdtEndPr>
      <w:rPr>
        <w:noProof/>
        <w:sz w:val="24"/>
      </w:rPr>
    </w:sdtEndPr>
    <w:sdtContent>
      <w:p w14:paraId="594D4FFB" w14:textId="77777777" w:rsidR="00CE4E77" w:rsidRDefault="00CE4E77" w:rsidP="00CE4E77">
        <w:pPr>
          <w:pStyle w:val="Header"/>
        </w:pPr>
        <w:r>
          <w:fldChar w:fldCharType="begin"/>
        </w:r>
        <w:r>
          <w:instrText xml:space="preserve"> PAGE   \* MERGEFORMAT </w:instrText>
        </w:r>
        <w:r>
          <w:fldChar w:fldCharType="separate"/>
        </w:r>
        <w:r>
          <w:t>28</w:t>
        </w:r>
        <w:r>
          <w:rPr>
            <w:noProof/>
          </w:rPr>
          <w:fldChar w:fldCharType="end"/>
        </w:r>
      </w:p>
      <w:p w14:paraId="76B8B60A" w14:textId="0602386A" w:rsidR="006D51CF" w:rsidRDefault="00CE4E77" w:rsidP="00CE4E77">
        <w:pPr>
          <w:jc w:val="center"/>
        </w:pPr>
        <w:r w:rsidRPr="00CE4E77">
          <w:rPr>
            <w:sz w:val="18"/>
            <w:szCs w:val="18"/>
            <w:lang w:val="es-ES"/>
          </w:rPr>
          <w:t>RAG/58-S</w: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420F" w14:textId="77777777" w:rsidR="00616601" w:rsidRDefault="004D6C09">
    <w:pPr>
      <w:pStyle w:val="Header"/>
      <w:rPr>
        <w:lang w:val="es-ES"/>
      </w:rPr>
    </w:pPr>
    <w:r>
      <w:rPr>
        <w:rStyle w:val="PageNumber"/>
      </w:rPr>
      <w:fldChar w:fldCharType="begin"/>
    </w:r>
    <w:r w:rsidR="00616601">
      <w:rPr>
        <w:rStyle w:val="PageNumber"/>
      </w:rPr>
      <w:instrText xml:space="preserve"> PAGE </w:instrText>
    </w:r>
    <w:r>
      <w:rPr>
        <w:rStyle w:val="PageNumber"/>
      </w:rPr>
      <w:fldChar w:fldCharType="separate"/>
    </w:r>
    <w:r w:rsidR="00AB4BAD">
      <w:rPr>
        <w:rStyle w:val="PageNumber"/>
        <w:noProof/>
      </w:rPr>
      <w:t>2</w:t>
    </w:r>
    <w:r>
      <w:rPr>
        <w:rStyle w:val="PageNumber"/>
      </w:rPr>
      <w:fldChar w:fldCharType="end"/>
    </w:r>
  </w:p>
  <w:p w14:paraId="214C2460" w14:textId="522ABF11" w:rsidR="00616601" w:rsidRDefault="0034043B" w:rsidP="00AB4BAD">
    <w:pPr>
      <w:pStyle w:val="Header"/>
      <w:rPr>
        <w:lang w:val="es-ES"/>
      </w:rPr>
    </w:pPr>
    <w:r>
      <w:rPr>
        <w:lang w:val="es-ES"/>
      </w:rPr>
      <w:t>RAG</w:t>
    </w:r>
    <w:r w:rsidR="00616601">
      <w:rPr>
        <w:lang w:val="es-ES"/>
      </w:rPr>
      <w:t>/</w:t>
    </w:r>
    <w:r w:rsidR="00334EE3">
      <w:rPr>
        <w:lang w:val="es-ES"/>
      </w:rPr>
      <w:t xml:space="preserve">58 </w:t>
    </w:r>
    <w:r w:rsidR="00616601">
      <w:rPr>
        <w:lang w:val="es-ES"/>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5B02"/>
    <w:multiLevelType w:val="hybridMultilevel"/>
    <w:tmpl w:val="EDE296C8"/>
    <w:lvl w:ilvl="0" w:tplc="B8EE20CE">
      <w:numFmt w:val="bullet"/>
      <w:lvlText w:val="-"/>
      <w:lvlJc w:val="left"/>
      <w:pPr>
        <w:ind w:left="720" w:hanging="360"/>
      </w:pPr>
      <w:rPr>
        <w:rFonts w:ascii="Aptos" w:eastAsia="Calibri" w:hAnsi="Aptos" w:cs="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10E5E"/>
    <w:multiLevelType w:val="hybridMultilevel"/>
    <w:tmpl w:val="A5309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D291F"/>
    <w:multiLevelType w:val="hybridMultilevel"/>
    <w:tmpl w:val="02E0A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E4D90"/>
    <w:multiLevelType w:val="hybridMultilevel"/>
    <w:tmpl w:val="09BA9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22BB3"/>
    <w:multiLevelType w:val="hybridMultilevel"/>
    <w:tmpl w:val="1C58BC1C"/>
    <w:lvl w:ilvl="0" w:tplc="D166D5FE">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 w15:restartNumberingAfterBreak="0">
    <w:nsid w:val="13C46FEE"/>
    <w:multiLevelType w:val="hybridMultilevel"/>
    <w:tmpl w:val="2312BB4A"/>
    <w:lvl w:ilvl="0" w:tplc="47E0E836">
      <w:numFmt w:val="bullet"/>
      <w:lvlText w:val="•"/>
      <w:lvlJc w:val="left"/>
      <w:pPr>
        <w:ind w:left="1150" w:hanging="79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B5885"/>
    <w:multiLevelType w:val="multilevel"/>
    <w:tmpl w:val="66B48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702F1"/>
    <w:multiLevelType w:val="hybridMultilevel"/>
    <w:tmpl w:val="F1726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00DF6"/>
    <w:multiLevelType w:val="hybridMultilevel"/>
    <w:tmpl w:val="39A87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895AFB"/>
    <w:multiLevelType w:val="hybridMultilevel"/>
    <w:tmpl w:val="7A1AA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4274AB"/>
    <w:multiLevelType w:val="hybridMultilevel"/>
    <w:tmpl w:val="40FEB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940D21"/>
    <w:multiLevelType w:val="hybridMultilevel"/>
    <w:tmpl w:val="D6D41F56"/>
    <w:lvl w:ilvl="0" w:tplc="180A77C0">
      <w:start w:val="1"/>
      <w:numFmt w:val="bullet"/>
      <w:lvlText w:val="-"/>
      <w:lvlJc w:val="left"/>
      <w:pPr>
        <w:ind w:left="1150" w:hanging="79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DC61820"/>
    <w:multiLevelType w:val="hybridMultilevel"/>
    <w:tmpl w:val="222416F4"/>
    <w:lvl w:ilvl="0" w:tplc="E8242FC6">
      <w:start w:val="1"/>
      <w:numFmt w:val="decimal"/>
      <w:lvlText w:val="%1"/>
      <w:lvlJc w:val="left"/>
      <w:pPr>
        <w:ind w:left="1155" w:hanging="7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8C6177"/>
    <w:multiLevelType w:val="hybridMultilevel"/>
    <w:tmpl w:val="E2EE7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C07400"/>
    <w:multiLevelType w:val="hybridMultilevel"/>
    <w:tmpl w:val="2A9CF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CC1751"/>
    <w:multiLevelType w:val="hybridMultilevel"/>
    <w:tmpl w:val="9D069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BA22B7"/>
    <w:multiLevelType w:val="hybridMultilevel"/>
    <w:tmpl w:val="B0542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D46C30"/>
    <w:multiLevelType w:val="hybridMultilevel"/>
    <w:tmpl w:val="30569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5B4832"/>
    <w:multiLevelType w:val="hybridMultilevel"/>
    <w:tmpl w:val="F86A8BE4"/>
    <w:lvl w:ilvl="0" w:tplc="180A77C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394FDE"/>
    <w:multiLevelType w:val="hybridMultilevel"/>
    <w:tmpl w:val="6B10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B47903"/>
    <w:multiLevelType w:val="hybridMultilevel"/>
    <w:tmpl w:val="88DA7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DC027D"/>
    <w:multiLevelType w:val="hybridMultilevel"/>
    <w:tmpl w:val="D7CC5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A17FED"/>
    <w:multiLevelType w:val="hybridMultilevel"/>
    <w:tmpl w:val="F33277F8"/>
    <w:lvl w:ilvl="0" w:tplc="08090003">
      <w:start w:val="1"/>
      <w:numFmt w:val="bullet"/>
      <w:lvlText w:val="o"/>
      <w:lvlJc w:val="left"/>
      <w:pPr>
        <w:ind w:left="1514" w:hanging="360"/>
      </w:pPr>
      <w:rPr>
        <w:rFonts w:ascii="Courier New" w:hAnsi="Courier New" w:cs="Courier New"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3" w15:restartNumberingAfterBreak="0">
    <w:nsid w:val="733C075B"/>
    <w:multiLevelType w:val="hybridMultilevel"/>
    <w:tmpl w:val="1DDE4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12196A"/>
    <w:multiLevelType w:val="hybridMultilevel"/>
    <w:tmpl w:val="8F508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A2216C"/>
    <w:multiLevelType w:val="hybridMultilevel"/>
    <w:tmpl w:val="D85CB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BC53C9"/>
    <w:multiLevelType w:val="hybridMultilevel"/>
    <w:tmpl w:val="4FD651F2"/>
    <w:lvl w:ilvl="0" w:tplc="5EFAF3E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B25AA4"/>
    <w:multiLevelType w:val="hybridMultilevel"/>
    <w:tmpl w:val="AFD86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4636721">
    <w:abstractNumId w:val="26"/>
  </w:num>
  <w:num w:numId="2" w16cid:durableId="1070614147">
    <w:abstractNumId w:val="17"/>
  </w:num>
  <w:num w:numId="3" w16cid:durableId="1878201484">
    <w:abstractNumId w:val="23"/>
  </w:num>
  <w:num w:numId="4" w16cid:durableId="1337420306">
    <w:abstractNumId w:val="1"/>
  </w:num>
  <w:num w:numId="5" w16cid:durableId="1350449023">
    <w:abstractNumId w:val="13"/>
  </w:num>
  <w:num w:numId="6" w16cid:durableId="1019307795">
    <w:abstractNumId w:val="3"/>
  </w:num>
  <w:num w:numId="7" w16cid:durableId="1473327767">
    <w:abstractNumId w:val="2"/>
  </w:num>
  <w:num w:numId="8" w16cid:durableId="1669364468">
    <w:abstractNumId w:val="14"/>
  </w:num>
  <w:num w:numId="9" w16cid:durableId="1437674534">
    <w:abstractNumId w:val="21"/>
  </w:num>
  <w:num w:numId="10" w16cid:durableId="689066924">
    <w:abstractNumId w:val="15"/>
  </w:num>
  <w:num w:numId="11" w16cid:durableId="1626423145">
    <w:abstractNumId w:val="16"/>
  </w:num>
  <w:num w:numId="12" w16cid:durableId="1057049939">
    <w:abstractNumId w:val="8"/>
  </w:num>
  <w:num w:numId="13" w16cid:durableId="1095057846">
    <w:abstractNumId w:val="7"/>
  </w:num>
  <w:num w:numId="14" w16cid:durableId="215048851">
    <w:abstractNumId w:val="24"/>
  </w:num>
  <w:num w:numId="15" w16cid:durableId="850949390">
    <w:abstractNumId w:val="20"/>
  </w:num>
  <w:num w:numId="16" w16cid:durableId="330447505">
    <w:abstractNumId w:val="9"/>
  </w:num>
  <w:num w:numId="17" w16cid:durableId="1456406893">
    <w:abstractNumId w:val="19"/>
  </w:num>
  <w:num w:numId="18" w16cid:durableId="538595450">
    <w:abstractNumId w:val="10"/>
  </w:num>
  <w:num w:numId="19" w16cid:durableId="47532446">
    <w:abstractNumId w:val="22"/>
  </w:num>
  <w:num w:numId="20" w16cid:durableId="1232696537">
    <w:abstractNumId w:val="27"/>
  </w:num>
  <w:num w:numId="21" w16cid:durableId="1453282337">
    <w:abstractNumId w:val="4"/>
  </w:num>
  <w:num w:numId="22" w16cid:durableId="1618639051">
    <w:abstractNumId w:val="18"/>
  </w:num>
  <w:num w:numId="23" w16cid:durableId="1625231418">
    <w:abstractNumId w:val="5"/>
  </w:num>
  <w:num w:numId="24" w16cid:durableId="308217629">
    <w:abstractNumId w:val="6"/>
  </w:num>
  <w:num w:numId="25" w16cid:durableId="1061634465">
    <w:abstractNumId w:val="25"/>
  </w:num>
  <w:num w:numId="26" w16cid:durableId="792942006">
    <w:abstractNumId w:val="0"/>
  </w:num>
  <w:num w:numId="27" w16cid:durableId="1635483015">
    <w:abstractNumId w:val="11"/>
  </w:num>
  <w:num w:numId="28" w16cid:durableId="18797346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1CF"/>
    <w:rsid w:val="00041985"/>
    <w:rsid w:val="000B2C35"/>
    <w:rsid w:val="000C62BA"/>
    <w:rsid w:val="000D756D"/>
    <w:rsid w:val="0012592F"/>
    <w:rsid w:val="001D390B"/>
    <w:rsid w:val="001F2F50"/>
    <w:rsid w:val="00201501"/>
    <w:rsid w:val="00286FCD"/>
    <w:rsid w:val="002A3997"/>
    <w:rsid w:val="002C1BAC"/>
    <w:rsid w:val="0031432E"/>
    <w:rsid w:val="00330123"/>
    <w:rsid w:val="00334EE3"/>
    <w:rsid w:val="0034043B"/>
    <w:rsid w:val="003C14BD"/>
    <w:rsid w:val="00413471"/>
    <w:rsid w:val="00414D8B"/>
    <w:rsid w:val="00431831"/>
    <w:rsid w:val="00435210"/>
    <w:rsid w:val="00440902"/>
    <w:rsid w:val="004461CE"/>
    <w:rsid w:val="00482905"/>
    <w:rsid w:val="004846E4"/>
    <w:rsid w:val="00494752"/>
    <w:rsid w:val="004D190C"/>
    <w:rsid w:val="004D6C09"/>
    <w:rsid w:val="00501310"/>
    <w:rsid w:val="00503CAE"/>
    <w:rsid w:val="00510D86"/>
    <w:rsid w:val="0057336B"/>
    <w:rsid w:val="00594C78"/>
    <w:rsid w:val="005A2195"/>
    <w:rsid w:val="005D3E02"/>
    <w:rsid w:val="005E2F39"/>
    <w:rsid w:val="005F26E3"/>
    <w:rsid w:val="00610642"/>
    <w:rsid w:val="00616601"/>
    <w:rsid w:val="00623BCB"/>
    <w:rsid w:val="00636231"/>
    <w:rsid w:val="00646EEF"/>
    <w:rsid w:val="00652791"/>
    <w:rsid w:val="00663829"/>
    <w:rsid w:val="006859C6"/>
    <w:rsid w:val="006A42AB"/>
    <w:rsid w:val="006B5313"/>
    <w:rsid w:val="006C3B3B"/>
    <w:rsid w:val="006D51CF"/>
    <w:rsid w:val="006E291F"/>
    <w:rsid w:val="0076159D"/>
    <w:rsid w:val="007B25F1"/>
    <w:rsid w:val="0082200B"/>
    <w:rsid w:val="00827A4D"/>
    <w:rsid w:val="008506C9"/>
    <w:rsid w:val="008E211F"/>
    <w:rsid w:val="008F0106"/>
    <w:rsid w:val="008F3BA3"/>
    <w:rsid w:val="00924B63"/>
    <w:rsid w:val="00942117"/>
    <w:rsid w:val="00956FC6"/>
    <w:rsid w:val="00982618"/>
    <w:rsid w:val="009C205E"/>
    <w:rsid w:val="009D5ABD"/>
    <w:rsid w:val="009F084E"/>
    <w:rsid w:val="00A0579C"/>
    <w:rsid w:val="00A52540"/>
    <w:rsid w:val="00A72802"/>
    <w:rsid w:val="00A7663C"/>
    <w:rsid w:val="00A83356"/>
    <w:rsid w:val="00AB4BAD"/>
    <w:rsid w:val="00B32E51"/>
    <w:rsid w:val="00B61357"/>
    <w:rsid w:val="00B7794C"/>
    <w:rsid w:val="00B8789E"/>
    <w:rsid w:val="00BF3FA5"/>
    <w:rsid w:val="00C50342"/>
    <w:rsid w:val="00C65E67"/>
    <w:rsid w:val="00C837F0"/>
    <w:rsid w:val="00CB7A43"/>
    <w:rsid w:val="00CE4E77"/>
    <w:rsid w:val="00CF1BAA"/>
    <w:rsid w:val="00CF44BF"/>
    <w:rsid w:val="00CF4CAC"/>
    <w:rsid w:val="00D0088D"/>
    <w:rsid w:val="00D27839"/>
    <w:rsid w:val="00D51E1E"/>
    <w:rsid w:val="00DD767D"/>
    <w:rsid w:val="00DE77E6"/>
    <w:rsid w:val="00E00311"/>
    <w:rsid w:val="00E13965"/>
    <w:rsid w:val="00E72EA7"/>
    <w:rsid w:val="00E979EB"/>
    <w:rsid w:val="00EA4101"/>
    <w:rsid w:val="00EF671E"/>
    <w:rsid w:val="00F1530C"/>
    <w:rsid w:val="00F23715"/>
    <w:rsid w:val="00F31B03"/>
    <w:rsid w:val="00F447C4"/>
    <w:rsid w:val="00F77D5F"/>
    <w:rsid w:val="00FC0E00"/>
    <w:rsid w:val="00FD250D"/>
    <w:rsid w:val="00FE4C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88CAD8"/>
  <w15:docId w15:val="{CFC1A57E-1DB2-4EC2-8C4B-8D656253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C09"/>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link w:val="Heading1Char"/>
    <w:qFormat/>
    <w:rsid w:val="004D6C09"/>
    <w:pPr>
      <w:keepNext/>
      <w:keepLines/>
      <w:spacing w:before="360"/>
      <w:ind w:left="794" w:hanging="794"/>
      <w:outlineLvl w:val="0"/>
    </w:pPr>
    <w:rPr>
      <w:b/>
    </w:rPr>
  </w:style>
  <w:style w:type="paragraph" w:styleId="Heading2">
    <w:name w:val="heading 2"/>
    <w:basedOn w:val="Heading1"/>
    <w:next w:val="Normal"/>
    <w:link w:val="Heading2Char"/>
    <w:qFormat/>
    <w:rsid w:val="004D6C09"/>
    <w:pPr>
      <w:spacing w:before="240"/>
      <w:outlineLvl w:val="1"/>
    </w:pPr>
  </w:style>
  <w:style w:type="paragraph" w:styleId="Heading3">
    <w:name w:val="heading 3"/>
    <w:basedOn w:val="Heading1"/>
    <w:next w:val="Normal"/>
    <w:link w:val="Heading3Char"/>
    <w:qFormat/>
    <w:rsid w:val="004D6C09"/>
    <w:pPr>
      <w:spacing w:before="160"/>
      <w:outlineLvl w:val="2"/>
    </w:pPr>
  </w:style>
  <w:style w:type="paragraph" w:styleId="Heading4">
    <w:name w:val="heading 4"/>
    <w:basedOn w:val="Heading3"/>
    <w:next w:val="Normal"/>
    <w:link w:val="Heading4Char"/>
    <w:qFormat/>
    <w:rsid w:val="004D6C09"/>
    <w:pPr>
      <w:tabs>
        <w:tab w:val="clear" w:pos="794"/>
        <w:tab w:val="left" w:pos="1021"/>
      </w:tabs>
      <w:ind w:left="1021" w:hanging="1021"/>
      <w:outlineLvl w:val="3"/>
    </w:pPr>
  </w:style>
  <w:style w:type="paragraph" w:styleId="Heading5">
    <w:name w:val="heading 5"/>
    <w:basedOn w:val="Heading4"/>
    <w:next w:val="Normal"/>
    <w:link w:val="Heading5Char"/>
    <w:qFormat/>
    <w:rsid w:val="004D6C09"/>
    <w:pPr>
      <w:outlineLvl w:val="4"/>
    </w:pPr>
  </w:style>
  <w:style w:type="paragraph" w:styleId="Heading6">
    <w:name w:val="heading 6"/>
    <w:basedOn w:val="Heading4"/>
    <w:next w:val="Normal"/>
    <w:link w:val="Heading6Char"/>
    <w:qFormat/>
    <w:rsid w:val="004D6C09"/>
    <w:pPr>
      <w:tabs>
        <w:tab w:val="clear" w:pos="1021"/>
        <w:tab w:val="clear" w:pos="1191"/>
      </w:tabs>
      <w:ind w:left="1588" w:hanging="1588"/>
      <w:outlineLvl w:val="5"/>
    </w:pPr>
  </w:style>
  <w:style w:type="paragraph" w:styleId="Heading7">
    <w:name w:val="heading 7"/>
    <w:basedOn w:val="Heading6"/>
    <w:next w:val="Normal"/>
    <w:link w:val="Heading7Char"/>
    <w:qFormat/>
    <w:rsid w:val="004D6C09"/>
    <w:pPr>
      <w:outlineLvl w:val="6"/>
    </w:pPr>
  </w:style>
  <w:style w:type="paragraph" w:styleId="Heading8">
    <w:name w:val="heading 8"/>
    <w:basedOn w:val="Heading6"/>
    <w:next w:val="Normal"/>
    <w:link w:val="Heading8Char"/>
    <w:qFormat/>
    <w:rsid w:val="004D6C09"/>
    <w:pPr>
      <w:outlineLvl w:val="7"/>
    </w:pPr>
  </w:style>
  <w:style w:type="paragraph" w:styleId="Heading9">
    <w:name w:val="heading 9"/>
    <w:basedOn w:val="Heading6"/>
    <w:next w:val="Normal"/>
    <w:link w:val="Heading9Char"/>
    <w:qFormat/>
    <w:rsid w:val="004D6C0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4D6C09"/>
    <w:pPr>
      <w:keepLines/>
      <w:spacing w:before="240" w:after="120"/>
      <w:jc w:val="center"/>
    </w:pPr>
    <w:rPr>
      <w:b/>
    </w:rPr>
  </w:style>
  <w:style w:type="paragraph" w:customStyle="1" w:styleId="Normalaftertitle">
    <w:name w:val="Normal_after_title"/>
    <w:basedOn w:val="Normal"/>
    <w:next w:val="Normal"/>
    <w:rsid w:val="004D6C09"/>
    <w:pPr>
      <w:spacing w:before="360"/>
    </w:pPr>
  </w:style>
  <w:style w:type="paragraph" w:customStyle="1" w:styleId="TabletitleBR">
    <w:name w:val="Table_title_BR"/>
    <w:basedOn w:val="Normal"/>
    <w:next w:val="Tablehead"/>
    <w:rsid w:val="004D6C09"/>
    <w:pPr>
      <w:keepNext/>
      <w:keepLines/>
      <w:spacing w:before="0" w:after="120"/>
      <w:jc w:val="center"/>
    </w:pPr>
    <w:rPr>
      <w:b/>
    </w:rPr>
  </w:style>
  <w:style w:type="paragraph" w:customStyle="1" w:styleId="Tablehead">
    <w:name w:val="Table_head"/>
    <w:basedOn w:val="Normal"/>
    <w:next w:val="Tabletext"/>
    <w:link w:val="TableheadChar"/>
    <w:uiPriority w:val="99"/>
    <w:rsid w:val="004D6C0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qFormat/>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4D6C09"/>
    <w:pPr>
      <w:keepNext/>
      <w:keepLines/>
      <w:spacing w:before="480"/>
      <w:jc w:val="center"/>
    </w:pPr>
    <w:rPr>
      <w:b/>
      <w:sz w:val="28"/>
    </w:rPr>
  </w:style>
  <w:style w:type="paragraph" w:customStyle="1" w:styleId="AppendixNotitle">
    <w:name w:val="Appendix_No &amp; title"/>
    <w:basedOn w:val="AnnexNotitle"/>
    <w:next w:val="Normalaftertitle"/>
    <w:rsid w:val="004D6C09"/>
  </w:style>
  <w:style w:type="paragraph" w:customStyle="1" w:styleId="Figure">
    <w:name w:val="Figure"/>
    <w:basedOn w:val="Normal"/>
    <w:next w:val="FigureNotitle"/>
    <w:rsid w:val="004D6C09"/>
    <w:pPr>
      <w:keepNext/>
      <w:keepLines/>
      <w:spacing w:before="240" w:after="120"/>
      <w:jc w:val="center"/>
    </w:pPr>
  </w:style>
  <w:style w:type="paragraph" w:customStyle="1" w:styleId="Artheading">
    <w:name w:val="Art_heading"/>
    <w:basedOn w:val="Normal"/>
    <w:next w:val="Normalaftertitle"/>
    <w:rsid w:val="004D6C09"/>
    <w:pPr>
      <w:spacing w:before="480"/>
      <w:jc w:val="center"/>
    </w:pPr>
    <w:rPr>
      <w:b/>
      <w:sz w:val="28"/>
    </w:rPr>
  </w:style>
  <w:style w:type="paragraph" w:customStyle="1" w:styleId="ArtNo">
    <w:name w:val="Art_No"/>
    <w:basedOn w:val="Normal"/>
    <w:next w:val="Arttitle"/>
    <w:rsid w:val="004D6C09"/>
    <w:pPr>
      <w:keepNext/>
      <w:keepLines/>
      <w:spacing w:before="480"/>
      <w:jc w:val="center"/>
    </w:pPr>
    <w:rPr>
      <w:caps/>
      <w:sz w:val="28"/>
    </w:rPr>
  </w:style>
  <w:style w:type="paragraph" w:customStyle="1" w:styleId="Arttitle">
    <w:name w:val="Art_title"/>
    <w:basedOn w:val="Normal"/>
    <w:next w:val="Normalaftertitle"/>
    <w:rsid w:val="004D6C09"/>
    <w:pPr>
      <w:keepNext/>
      <w:keepLines/>
      <w:spacing w:before="240"/>
      <w:jc w:val="center"/>
    </w:pPr>
    <w:rPr>
      <w:b/>
      <w:sz w:val="28"/>
    </w:rPr>
  </w:style>
  <w:style w:type="paragraph" w:customStyle="1" w:styleId="Call">
    <w:name w:val="Call"/>
    <w:basedOn w:val="Normal"/>
    <w:next w:val="Normal"/>
    <w:link w:val="CallChar"/>
    <w:qFormat/>
    <w:rsid w:val="004D6C09"/>
    <w:pPr>
      <w:keepNext/>
      <w:keepLines/>
      <w:spacing w:before="160"/>
      <w:ind w:left="794"/>
    </w:pPr>
    <w:rPr>
      <w:i/>
    </w:rPr>
  </w:style>
  <w:style w:type="paragraph" w:customStyle="1" w:styleId="ChapNo">
    <w:name w:val="Chap_No"/>
    <w:basedOn w:val="Normal"/>
    <w:next w:val="Chaptitle"/>
    <w:rsid w:val="004D6C09"/>
    <w:pPr>
      <w:keepNext/>
      <w:keepLines/>
      <w:spacing w:before="480"/>
      <w:jc w:val="center"/>
    </w:pPr>
    <w:rPr>
      <w:b/>
      <w:caps/>
      <w:sz w:val="28"/>
    </w:rPr>
  </w:style>
  <w:style w:type="paragraph" w:customStyle="1" w:styleId="Chaptitle">
    <w:name w:val="Chap_title"/>
    <w:basedOn w:val="Normal"/>
    <w:next w:val="Normalaftertitle"/>
    <w:rsid w:val="004D6C09"/>
    <w:pPr>
      <w:keepNext/>
      <w:keepLines/>
      <w:spacing w:before="240"/>
      <w:jc w:val="center"/>
    </w:pPr>
    <w:rPr>
      <w:b/>
      <w:sz w:val="28"/>
    </w:rPr>
  </w:style>
  <w:style w:type="character" w:styleId="EndnoteReference">
    <w:name w:val="endnote reference"/>
    <w:basedOn w:val="DefaultParagraphFont"/>
    <w:uiPriority w:val="99"/>
    <w:rsid w:val="004D6C09"/>
    <w:rPr>
      <w:vertAlign w:val="superscript"/>
    </w:rPr>
  </w:style>
  <w:style w:type="paragraph" w:customStyle="1" w:styleId="enumlev1">
    <w:name w:val="enumlev1"/>
    <w:basedOn w:val="Normal"/>
    <w:link w:val="enumlev1Char"/>
    <w:qFormat/>
    <w:rsid w:val="004D6C09"/>
    <w:pPr>
      <w:spacing w:before="80"/>
      <w:ind w:left="794" w:hanging="794"/>
    </w:pPr>
  </w:style>
  <w:style w:type="paragraph" w:customStyle="1" w:styleId="enumlev2">
    <w:name w:val="enumlev2"/>
    <w:basedOn w:val="enumlev1"/>
    <w:uiPriority w:val="99"/>
    <w:rsid w:val="004D6C09"/>
    <w:pPr>
      <w:ind w:left="1191" w:hanging="397"/>
    </w:pPr>
  </w:style>
  <w:style w:type="paragraph" w:customStyle="1" w:styleId="enumlev3">
    <w:name w:val="enumlev3"/>
    <w:basedOn w:val="enumlev2"/>
    <w:rsid w:val="004D6C09"/>
    <w:pPr>
      <w:ind w:left="1588"/>
    </w:pPr>
  </w:style>
  <w:style w:type="paragraph" w:customStyle="1" w:styleId="Equation">
    <w:name w:val="Equation"/>
    <w:basedOn w:val="Normal"/>
    <w:rsid w:val="004D6C09"/>
    <w:pPr>
      <w:tabs>
        <w:tab w:val="clear" w:pos="1191"/>
        <w:tab w:val="clear" w:pos="1588"/>
        <w:tab w:val="clear" w:pos="1985"/>
        <w:tab w:val="center" w:pos="4820"/>
        <w:tab w:val="right" w:pos="9639"/>
      </w:tabs>
    </w:pPr>
  </w:style>
  <w:style w:type="paragraph" w:customStyle="1" w:styleId="Equationlegend">
    <w:name w:val="Equation_legend"/>
    <w:basedOn w:val="Normal"/>
    <w:rsid w:val="004D6C0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D6C09"/>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rsid w:val="004D6C09"/>
    <w:pPr>
      <w:keepNext/>
      <w:keepLines/>
      <w:spacing w:before="480"/>
      <w:jc w:val="center"/>
    </w:pPr>
    <w:rPr>
      <w:caps/>
      <w:sz w:val="28"/>
    </w:rPr>
  </w:style>
  <w:style w:type="paragraph" w:customStyle="1" w:styleId="Rectitle">
    <w:name w:val="Rec_title"/>
    <w:basedOn w:val="Normal"/>
    <w:next w:val="Normalaftertitle"/>
    <w:rsid w:val="004D6C09"/>
    <w:pPr>
      <w:keepNext/>
      <w:keepLines/>
      <w:spacing w:before="360"/>
      <w:jc w:val="center"/>
    </w:pPr>
    <w:rPr>
      <w:b/>
      <w:sz w:val="28"/>
    </w:rPr>
  </w:style>
  <w:style w:type="paragraph" w:customStyle="1" w:styleId="QuestionNoBR">
    <w:name w:val="Question_No_BR"/>
    <w:basedOn w:val="RecNoBR"/>
    <w:next w:val="Questiontitle"/>
    <w:rsid w:val="004D6C09"/>
  </w:style>
  <w:style w:type="paragraph" w:customStyle="1" w:styleId="Questiontitle">
    <w:name w:val="Question_title"/>
    <w:basedOn w:val="Rectitle"/>
    <w:next w:val="Questionref"/>
    <w:rsid w:val="004D6C09"/>
  </w:style>
  <w:style w:type="paragraph" w:customStyle="1" w:styleId="Questionref">
    <w:name w:val="Question_ref"/>
    <w:basedOn w:val="Recref"/>
    <w:next w:val="Questiondate"/>
    <w:rsid w:val="004D6C09"/>
  </w:style>
  <w:style w:type="paragraph" w:customStyle="1" w:styleId="Recref">
    <w:name w:val="Rec_ref"/>
    <w:basedOn w:val="Normal"/>
    <w:next w:val="Recdate"/>
    <w:rsid w:val="004D6C0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4D6C0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4D6C09"/>
  </w:style>
  <w:style w:type="paragraph" w:customStyle="1" w:styleId="RepNoBR">
    <w:name w:val="Rep_No_BR"/>
    <w:basedOn w:val="RecNoBR"/>
    <w:next w:val="Reptitle"/>
    <w:rsid w:val="004D6C09"/>
  </w:style>
  <w:style w:type="paragraph" w:customStyle="1" w:styleId="Reptitle">
    <w:name w:val="Rep_title"/>
    <w:basedOn w:val="Rectitle"/>
    <w:next w:val="Repref"/>
    <w:rsid w:val="004D6C09"/>
  </w:style>
  <w:style w:type="paragraph" w:customStyle="1" w:styleId="Repref">
    <w:name w:val="Rep_ref"/>
    <w:basedOn w:val="Recref"/>
    <w:next w:val="Repdate"/>
    <w:rsid w:val="004D6C09"/>
  </w:style>
  <w:style w:type="paragraph" w:customStyle="1" w:styleId="Repdate">
    <w:name w:val="Rep_date"/>
    <w:basedOn w:val="Recdate"/>
    <w:next w:val="Normalaftertitle"/>
    <w:rsid w:val="004D6C09"/>
  </w:style>
  <w:style w:type="paragraph" w:customStyle="1" w:styleId="ResNoBR">
    <w:name w:val="Res_No_BR"/>
    <w:basedOn w:val="RecNoBR"/>
    <w:next w:val="Restitle"/>
    <w:rsid w:val="004D6C09"/>
  </w:style>
  <w:style w:type="paragraph" w:customStyle="1" w:styleId="Restitle">
    <w:name w:val="Res_title"/>
    <w:basedOn w:val="Rectitle"/>
    <w:next w:val="Resref"/>
    <w:link w:val="RestitleChar"/>
    <w:rsid w:val="004D6C09"/>
  </w:style>
  <w:style w:type="paragraph" w:customStyle="1" w:styleId="Resref">
    <w:name w:val="Res_ref"/>
    <w:basedOn w:val="Recref"/>
    <w:next w:val="Resdate"/>
    <w:rsid w:val="004D6C09"/>
  </w:style>
  <w:style w:type="paragraph" w:customStyle="1" w:styleId="Resdate">
    <w:name w:val="Res_date"/>
    <w:basedOn w:val="Recdate"/>
    <w:next w:val="Normalaftertitle"/>
    <w:rsid w:val="004D6C09"/>
  </w:style>
  <w:style w:type="paragraph" w:customStyle="1" w:styleId="Figurewithouttitle">
    <w:name w:val="Figure_without_title"/>
    <w:basedOn w:val="Normal"/>
    <w:next w:val="Normalaftertitle"/>
    <w:rsid w:val="004D6C09"/>
    <w:pPr>
      <w:keepLines/>
      <w:spacing w:before="240" w:after="120"/>
      <w:jc w:val="center"/>
    </w:pPr>
  </w:style>
  <w:style w:type="paragraph" w:styleId="Footer">
    <w:name w:val="footer"/>
    <w:basedOn w:val="Normal"/>
    <w:link w:val="FooterChar"/>
    <w:rsid w:val="004D6C09"/>
    <w:pPr>
      <w:tabs>
        <w:tab w:val="clear" w:pos="794"/>
        <w:tab w:val="clear" w:pos="1191"/>
        <w:tab w:val="clear" w:pos="1588"/>
        <w:tab w:val="clear" w:pos="1985"/>
        <w:tab w:val="left" w:pos="5954"/>
        <w:tab w:val="right" w:pos="9639"/>
      </w:tabs>
      <w:spacing w:before="0"/>
    </w:pPr>
    <w:rPr>
      <w:caps/>
      <w:noProof/>
      <w:sz w:val="16"/>
    </w:rPr>
  </w:style>
  <w:style w:type="character" w:styleId="FootnoteReference">
    <w:name w:val="footnote reference"/>
    <w:aliases w:val="Appel note de bas de p,Footnote Reference/,Footnote,Style 12,(NECG) Footnote Reference,FR,Style 13,Style 124,o,fr,Style 3,Footnote symbol,Voetnootverwijzing,Times 10 Point,Exposant 3 Point,footnote ref,Fuكnotenzeichen diss neu"/>
    <w:basedOn w:val="DefaultParagraphFont"/>
    <w:uiPriority w:val="99"/>
    <w:rsid w:val="004D6C0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Char,fn"/>
    <w:basedOn w:val="Note"/>
    <w:link w:val="FootnoteTextChar"/>
    <w:uiPriority w:val="99"/>
    <w:rsid w:val="004D6C09"/>
    <w:pPr>
      <w:keepLines/>
      <w:tabs>
        <w:tab w:val="left" w:pos="255"/>
      </w:tabs>
      <w:ind w:left="255" w:hanging="255"/>
    </w:pPr>
  </w:style>
  <w:style w:type="paragraph" w:customStyle="1" w:styleId="Note">
    <w:name w:val="Note"/>
    <w:basedOn w:val="Normal"/>
    <w:rsid w:val="004D6C09"/>
    <w:pPr>
      <w:spacing w:before="80"/>
    </w:pPr>
  </w:style>
  <w:style w:type="paragraph" w:styleId="Header">
    <w:name w:val="header"/>
    <w:aliases w:val="encabezado,he"/>
    <w:basedOn w:val="Normal"/>
    <w:link w:val="HeaderChar"/>
    <w:uiPriority w:val="99"/>
    <w:rsid w:val="004D6C0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link w:val="HeadingbChar"/>
    <w:qFormat/>
    <w:rsid w:val="004D6C09"/>
    <w:pPr>
      <w:keepNext/>
      <w:spacing w:before="160"/>
    </w:pPr>
    <w:rPr>
      <w:b/>
    </w:rPr>
  </w:style>
  <w:style w:type="paragraph" w:customStyle="1" w:styleId="Headingi">
    <w:name w:val="Heading_i"/>
    <w:basedOn w:val="Normal"/>
    <w:next w:val="Normal"/>
    <w:rsid w:val="004D6C09"/>
    <w:pPr>
      <w:keepNext/>
      <w:spacing w:before="160"/>
    </w:pPr>
    <w:rPr>
      <w:i/>
    </w:rPr>
  </w:style>
  <w:style w:type="paragraph" w:styleId="Index1">
    <w:name w:val="index 1"/>
    <w:basedOn w:val="Normal"/>
    <w:next w:val="Normal"/>
    <w:rsid w:val="004D6C09"/>
  </w:style>
  <w:style w:type="paragraph" w:styleId="Index2">
    <w:name w:val="index 2"/>
    <w:basedOn w:val="Normal"/>
    <w:next w:val="Normal"/>
    <w:rsid w:val="004D6C09"/>
    <w:pPr>
      <w:ind w:left="283"/>
    </w:pPr>
  </w:style>
  <w:style w:type="paragraph" w:styleId="Index3">
    <w:name w:val="index 3"/>
    <w:basedOn w:val="Normal"/>
    <w:next w:val="Normal"/>
    <w:rsid w:val="004D6C09"/>
    <w:pPr>
      <w:ind w:left="566"/>
    </w:pPr>
  </w:style>
  <w:style w:type="paragraph" w:customStyle="1" w:styleId="Section1">
    <w:name w:val="Section_1"/>
    <w:basedOn w:val="Normal"/>
    <w:next w:val="Normal"/>
    <w:rsid w:val="004D6C0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D6C09"/>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4D6C09"/>
    <w:pPr>
      <w:keepNext/>
      <w:keepLines/>
      <w:spacing w:before="360" w:after="120"/>
      <w:jc w:val="center"/>
    </w:pPr>
    <w:rPr>
      <w:b/>
    </w:rPr>
  </w:style>
  <w:style w:type="paragraph" w:customStyle="1" w:styleId="TableNoBR">
    <w:name w:val="Table_No_BR"/>
    <w:basedOn w:val="Normal"/>
    <w:next w:val="TabletitleBR"/>
    <w:rsid w:val="004D6C09"/>
    <w:pPr>
      <w:keepNext/>
      <w:spacing w:before="560" w:after="120"/>
      <w:jc w:val="center"/>
    </w:pPr>
    <w:rPr>
      <w:caps/>
    </w:rPr>
  </w:style>
  <w:style w:type="paragraph" w:customStyle="1" w:styleId="FirstFooter">
    <w:name w:val="FirstFooter"/>
    <w:basedOn w:val="Footer"/>
    <w:rsid w:val="004D6C09"/>
    <w:pPr>
      <w:tabs>
        <w:tab w:val="clear" w:pos="5954"/>
        <w:tab w:val="clear" w:pos="9639"/>
      </w:tabs>
      <w:overflowPunct/>
      <w:autoSpaceDE/>
      <w:autoSpaceDN/>
      <w:adjustRightInd/>
      <w:spacing w:before="40"/>
      <w:textAlignment w:val="auto"/>
    </w:pPr>
    <w:rPr>
      <w:caps w:val="0"/>
      <w:noProof w:val="0"/>
    </w:rPr>
  </w:style>
  <w:style w:type="paragraph" w:customStyle="1" w:styleId="PartNo">
    <w:name w:val="Part_No"/>
    <w:basedOn w:val="Normal"/>
    <w:next w:val="Partref"/>
    <w:rsid w:val="004D6C09"/>
    <w:pPr>
      <w:keepNext/>
      <w:keepLines/>
      <w:spacing w:before="480" w:after="80"/>
      <w:jc w:val="center"/>
    </w:pPr>
    <w:rPr>
      <w:caps/>
      <w:sz w:val="28"/>
    </w:rPr>
  </w:style>
  <w:style w:type="paragraph" w:customStyle="1" w:styleId="Partref">
    <w:name w:val="Part_ref"/>
    <w:basedOn w:val="Normal"/>
    <w:next w:val="Parttitle"/>
    <w:rsid w:val="004D6C09"/>
    <w:pPr>
      <w:keepNext/>
      <w:keepLines/>
      <w:spacing w:before="280"/>
      <w:jc w:val="center"/>
    </w:pPr>
  </w:style>
  <w:style w:type="paragraph" w:customStyle="1" w:styleId="Parttitle">
    <w:name w:val="Part_title"/>
    <w:basedOn w:val="Normal"/>
    <w:next w:val="Normalaftertitle"/>
    <w:rsid w:val="004D6C09"/>
    <w:pPr>
      <w:keepNext/>
      <w:keepLines/>
      <w:spacing w:before="240" w:after="280"/>
      <w:jc w:val="center"/>
    </w:pPr>
    <w:rPr>
      <w:b/>
      <w:sz w:val="28"/>
    </w:rPr>
  </w:style>
  <w:style w:type="paragraph" w:customStyle="1" w:styleId="RecNo">
    <w:name w:val="Rec_No"/>
    <w:basedOn w:val="Normal"/>
    <w:next w:val="Rectitle"/>
    <w:rsid w:val="004D6C09"/>
    <w:pPr>
      <w:keepNext/>
      <w:keepLines/>
      <w:spacing w:before="0"/>
    </w:pPr>
    <w:rPr>
      <w:b/>
      <w:sz w:val="28"/>
    </w:rPr>
  </w:style>
  <w:style w:type="paragraph" w:customStyle="1" w:styleId="QuestionNo">
    <w:name w:val="Question_No"/>
    <w:basedOn w:val="RecNo"/>
    <w:next w:val="Questiontitle"/>
    <w:rsid w:val="004D6C09"/>
  </w:style>
  <w:style w:type="paragraph" w:customStyle="1" w:styleId="Reftext">
    <w:name w:val="Ref_text"/>
    <w:basedOn w:val="Normal"/>
    <w:rsid w:val="004D6C09"/>
    <w:pPr>
      <w:ind w:left="794" w:hanging="794"/>
    </w:pPr>
  </w:style>
  <w:style w:type="paragraph" w:customStyle="1" w:styleId="Reftitle">
    <w:name w:val="Ref_title"/>
    <w:basedOn w:val="Normal"/>
    <w:next w:val="Reftext"/>
    <w:rsid w:val="004D6C09"/>
    <w:pPr>
      <w:spacing w:before="480"/>
      <w:jc w:val="center"/>
    </w:pPr>
    <w:rPr>
      <w:b/>
    </w:rPr>
  </w:style>
  <w:style w:type="paragraph" w:customStyle="1" w:styleId="RepNo">
    <w:name w:val="Rep_No"/>
    <w:basedOn w:val="RecNo"/>
    <w:next w:val="Reptitle"/>
    <w:rsid w:val="004D6C09"/>
  </w:style>
  <w:style w:type="paragraph" w:customStyle="1" w:styleId="ResNo">
    <w:name w:val="Res_No"/>
    <w:basedOn w:val="RecNo"/>
    <w:next w:val="Restitle"/>
    <w:rsid w:val="004D6C09"/>
  </w:style>
  <w:style w:type="paragraph" w:customStyle="1" w:styleId="SectionNo">
    <w:name w:val="Section_No"/>
    <w:basedOn w:val="Normal"/>
    <w:next w:val="Sectiontitle"/>
    <w:rsid w:val="004D6C09"/>
    <w:pPr>
      <w:keepNext/>
      <w:keepLines/>
      <w:spacing w:before="480" w:after="80"/>
      <w:jc w:val="center"/>
    </w:pPr>
    <w:rPr>
      <w:caps/>
      <w:sz w:val="28"/>
    </w:rPr>
  </w:style>
  <w:style w:type="paragraph" w:customStyle="1" w:styleId="Sectiontitle">
    <w:name w:val="Section_title"/>
    <w:basedOn w:val="Normal"/>
    <w:next w:val="Normalaftertitle"/>
    <w:rsid w:val="004D6C09"/>
    <w:pPr>
      <w:keepNext/>
      <w:keepLines/>
      <w:spacing w:before="480" w:after="280"/>
      <w:jc w:val="center"/>
    </w:pPr>
    <w:rPr>
      <w:b/>
      <w:sz w:val="28"/>
    </w:rPr>
  </w:style>
  <w:style w:type="paragraph" w:customStyle="1" w:styleId="Source">
    <w:name w:val="Source"/>
    <w:basedOn w:val="Normal"/>
    <w:next w:val="Normalaftertitle"/>
    <w:link w:val="SourceChar"/>
    <w:qFormat/>
    <w:rsid w:val="004D6C09"/>
    <w:pPr>
      <w:spacing w:before="840" w:after="200"/>
      <w:jc w:val="center"/>
    </w:pPr>
    <w:rPr>
      <w:b/>
      <w:sz w:val="28"/>
    </w:rPr>
  </w:style>
  <w:style w:type="paragraph" w:customStyle="1" w:styleId="SpecialFooter">
    <w:name w:val="Special Footer"/>
    <w:basedOn w:val="Footer"/>
    <w:rsid w:val="004D6C09"/>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4D6C09"/>
    <w:pPr>
      <w:keepNext/>
      <w:spacing w:before="0" w:after="120"/>
      <w:jc w:val="center"/>
    </w:pPr>
  </w:style>
  <w:style w:type="paragraph" w:customStyle="1" w:styleId="Title1">
    <w:name w:val="Title 1"/>
    <w:basedOn w:val="Source"/>
    <w:next w:val="Title2"/>
    <w:link w:val="Title1Char"/>
    <w:qFormat/>
    <w:rsid w:val="004D6C0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D6C09"/>
  </w:style>
  <w:style w:type="paragraph" w:customStyle="1" w:styleId="Title3">
    <w:name w:val="Title 3"/>
    <w:basedOn w:val="Title2"/>
    <w:next w:val="Title4"/>
    <w:rsid w:val="004D6C09"/>
    <w:rPr>
      <w:caps w:val="0"/>
    </w:rPr>
  </w:style>
  <w:style w:type="paragraph" w:customStyle="1" w:styleId="Title4">
    <w:name w:val="Title 4"/>
    <w:basedOn w:val="Title3"/>
    <w:next w:val="Heading1"/>
    <w:rsid w:val="004D6C09"/>
    <w:rPr>
      <w:b/>
    </w:rPr>
  </w:style>
  <w:style w:type="paragraph" w:customStyle="1" w:styleId="toc0">
    <w:name w:val="toc 0"/>
    <w:basedOn w:val="Normal"/>
    <w:next w:val="TOC1"/>
    <w:rsid w:val="004D6C09"/>
    <w:pPr>
      <w:tabs>
        <w:tab w:val="clear" w:pos="794"/>
        <w:tab w:val="clear" w:pos="1191"/>
        <w:tab w:val="clear" w:pos="1588"/>
        <w:tab w:val="clear" w:pos="1985"/>
        <w:tab w:val="right" w:pos="9639"/>
      </w:tabs>
    </w:pPr>
    <w:rPr>
      <w:b/>
    </w:rPr>
  </w:style>
  <w:style w:type="paragraph" w:styleId="TOC1">
    <w:name w:val="toc 1"/>
    <w:basedOn w:val="Normal"/>
    <w:uiPriority w:val="39"/>
    <w:rsid w:val="004D6C0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4D6C09"/>
    <w:pPr>
      <w:spacing w:before="80"/>
      <w:ind w:left="1531" w:hanging="851"/>
    </w:pPr>
  </w:style>
  <w:style w:type="paragraph" w:styleId="TOC3">
    <w:name w:val="toc 3"/>
    <w:basedOn w:val="TOC2"/>
    <w:uiPriority w:val="39"/>
    <w:rsid w:val="004D6C09"/>
  </w:style>
  <w:style w:type="paragraph" w:styleId="TOC4">
    <w:name w:val="toc 4"/>
    <w:basedOn w:val="TOC3"/>
    <w:rsid w:val="004D6C09"/>
  </w:style>
  <w:style w:type="paragraph" w:styleId="TOC5">
    <w:name w:val="toc 5"/>
    <w:basedOn w:val="TOC4"/>
    <w:rsid w:val="004D6C09"/>
  </w:style>
  <w:style w:type="paragraph" w:styleId="TOC6">
    <w:name w:val="toc 6"/>
    <w:basedOn w:val="TOC4"/>
    <w:rsid w:val="004D6C09"/>
  </w:style>
  <w:style w:type="paragraph" w:styleId="TOC7">
    <w:name w:val="toc 7"/>
    <w:basedOn w:val="TOC4"/>
    <w:rsid w:val="004D6C09"/>
  </w:style>
  <w:style w:type="paragraph" w:styleId="TOC8">
    <w:name w:val="toc 8"/>
    <w:basedOn w:val="TOC4"/>
    <w:rsid w:val="004D6C09"/>
  </w:style>
  <w:style w:type="character" w:styleId="PageNumber">
    <w:name w:val="page number"/>
    <w:basedOn w:val="DefaultParagraphFont"/>
    <w:uiPriority w:val="99"/>
    <w:rsid w:val="004D6C09"/>
  </w:style>
  <w:style w:type="character" w:customStyle="1" w:styleId="Appdef">
    <w:name w:val="App_def"/>
    <w:basedOn w:val="DefaultParagraphFont"/>
    <w:rsid w:val="004D6C09"/>
    <w:rPr>
      <w:rFonts w:ascii="Times New Roman" w:hAnsi="Times New Roman"/>
      <w:b/>
    </w:rPr>
  </w:style>
  <w:style w:type="character" w:customStyle="1" w:styleId="Appref">
    <w:name w:val="App_ref"/>
    <w:basedOn w:val="DefaultParagraphFont"/>
    <w:rsid w:val="004D6C09"/>
  </w:style>
  <w:style w:type="character" w:customStyle="1" w:styleId="Artdef">
    <w:name w:val="Art_def"/>
    <w:basedOn w:val="DefaultParagraphFont"/>
    <w:rsid w:val="004D6C09"/>
    <w:rPr>
      <w:rFonts w:ascii="Times New Roman" w:hAnsi="Times New Roman"/>
      <w:b/>
    </w:rPr>
  </w:style>
  <w:style w:type="character" w:customStyle="1" w:styleId="Artref">
    <w:name w:val="Art_ref"/>
    <w:basedOn w:val="DefaultParagraphFont"/>
    <w:rsid w:val="004D6C09"/>
  </w:style>
  <w:style w:type="character" w:customStyle="1" w:styleId="Recdef">
    <w:name w:val="Rec_def"/>
    <w:basedOn w:val="DefaultParagraphFont"/>
    <w:rsid w:val="004D6C09"/>
    <w:rPr>
      <w:b/>
    </w:rPr>
  </w:style>
  <w:style w:type="character" w:customStyle="1" w:styleId="Resdef">
    <w:name w:val="Res_def"/>
    <w:basedOn w:val="DefaultParagraphFont"/>
    <w:rsid w:val="004D6C09"/>
    <w:rPr>
      <w:rFonts w:ascii="Times New Roman" w:hAnsi="Times New Roman"/>
      <w:b/>
    </w:rPr>
  </w:style>
  <w:style w:type="character" w:customStyle="1" w:styleId="Tablefreq">
    <w:name w:val="Table_freq"/>
    <w:basedOn w:val="DefaultParagraphFont"/>
    <w:rsid w:val="004D6C09"/>
    <w:rPr>
      <w:b/>
      <w:color w:val="auto"/>
    </w:rPr>
  </w:style>
  <w:style w:type="paragraph" w:customStyle="1" w:styleId="FiguretitleBR">
    <w:name w:val="Figure_title_BR"/>
    <w:basedOn w:val="TabletitleBR"/>
    <w:next w:val="Figurewithouttitle"/>
    <w:rsid w:val="004D6C09"/>
    <w:pPr>
      <w:keepNext w:val="0"/>
      <w:spacing w:after="480"/>
    </w:pPr>
  </w:style>
  <w:style w:type="paragraph" w:customStyle="1" w:styleId="FigureNoBR">
    <w:name w:val="Figure_No_BR"/>
    <w:basedOn w:val="Normal"/>
    <w:next w:val="FiguretitleBR"/>
    <w:rsid w:val="004D6C09"/>
    <w:pPr>
      <w:keepNext/>
      <w:keepLines/>
      <w:spacing w:before="480" w:after="120"/>
      <w:jc w:val="center"/>
    </w:pPr>
    <w:rPr>
      <w:caps/>
    </w:rPr>
  </w:style>
  <w:style w:type="paragraph" w:styleId="TOCHeading">
    <w:name w:val="TOC Heading"/>
    <w:basedOn w:val="Heading1"/>
    <w:next w:val="Normal"/>
    <w:uiPriority w:val="39"/>
    <w:unhideWhenUsed/>
    <w:qFormat/>
    <w:rsid w:val="006D51CF"/>
    <w:pPr>
      <w:tabs>
        <w:tab w:val="clear" w:pos="794"/>
        <w:tab w:val="clear" w:pos="1191"/>
        <w:tab w:val="clear" w:pos="1588"/>
        <w:tab w:val="clear" w:pos="1985"/>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eastAsia="zh-CN"/>
    </w:rPr>
  </w:style>
  <w:style w:type="character" w:customStyle="1" w:styleId="FooterChar">
    <w:name w:val="Footer Char"/>
    <w:basedOn w:val="DefaultParagraphFont"/>
    <w:link w:val="Footer"/>
    <w:rsid w:val="006D51CF"/>
    <w:rPr>
      <w:rFonts w:ascii="Times New Roman" w:hAnsi="Times New Roman"/>
      <w:caps/>
      <w:noProof/>
      <w:sz w:val="16"/>
      <w:lang w:val="es-ES_tradnl"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Char Char,fn Char"/>
    <w:basedOn w:val="DefaultParagraphFont"/>
    <w:link w:val="FootnoteText"/>
    <w:uiPriority w:val="99"/>
    <w:rsid w:val="006D51CF"/>
    <w:rPr>
      <w:rFonts w:ascii="Times New Roman" w:hAnsi="Times New Roman"/>
      <w:sz w:val="24"/>
      <w:lang w:val="es-ES_tradnl" w:eastAsia="en-US"/>
    </w:rPr>
  </w:style>
  <w:style w:type="paragraph" w:customStyle="1" w:styleId="Formal">
    <w:name w:val="Formal"/>
    <w:basedOn w:val="Normal"/>
    <w:rsid w:val="006D51CF"/>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lang w:val="en-GB"/>
    </w:rPr>
  </w:style>
  <w:style w:type="character" w:customStyle="1" w:styleId="HeaderChar">
    <w:name w:val="Header Char"/>
    <w:aliases w:val="encabezado Char,he Char"/>
    <w:basedOn w:val="DefaultParagraphFont"/>
    <w:link w:val="Header"/>
    <w:uiPriority w:val="99"/>
    <w:rsid w:val="006D51CF"/>
    <w:rPr>
      <w:rFonts w:ascii="Times New Roman" w:hAnsi="Times New Roman"/>
      <w:sz w:val="18"/>
      <w:lang w:val="es-ES_tradnl" w:eastAsia="en-US"/>
    </w:rPr>
  </w:style>
  <w:style w:type="paragraph" w:customStyle="1" w:styleId="Docnumber">
    <w:name w:val="Docnumber"/>
    <w:basedOn w:val="Normal"/>
    <w:link w:val="DocnumberChar"/>
    <w:qFormat/>
    <w:rsid w:val="006D51CF"/>
    <w:pPr>
      <w:jc w:val="right"/>
    </w:pPr>
    <w:rPr>
      <w:rFonts w:eastAsia="SimSun"/>
      <w:b/>
      <w:sz w:val="32"/>
      <w:lang w:val="en-GB"/>
    </w:rPr>
  </w:style>
  <w:style w:type="character" w:customStyle="1" w:styleId="DocnumberChar">
    <w:name w:val="Docnumber Char"/>
    <w:link w:val="Docnumber"/>
    <w:rsid w:val="006D51CF"/>
    <w:rPr>
      <w:rFonts w:ascii="Times New Roman" w:eastAsia="SimSun" w:hAnsi="Times New Roman"/>
      <w:b/>
      <w:sz w:val="32"/>
      <w:lang w:val="en-GB" w:eastAsia="en-US"/>
    </w:rPr>
  </w:style>
  <w:style w:type="character" w:styleId="Hyperlink">
    <w:name w:val="Hyperlink"/>
    <w:aliases w:val="超级链接,超?级链,CEO_Hyperlink,Style 58,超????,하이퍼링크2,超链接1,하이퍼링크21,超??级链Ú,fL????,fL?级,超??级链,超?级链Ú,’´?级链,’´????,’´??级链Ú,’´??级,超?级链?,Style?,S,超?级链ïÈ,õ±?级链,õ±链ïÈ1,õ±???"/>
    <w:basedOn w:val="DefaultParagraphFont"/>
    <w:uiPriority w:val="99"/>
    <w:qFormat/>
    <w:rsid w:val="006D51CF"/>
    <w:rPr>
      <w:color w:val="0000FF"/>
      <w:u w:val="single"/>
    </w:rPr>
  </w:style>
  <w:style w:type="paragraph" w:customStyle="1" w:styleId="LSDeadline">
    <w:name w:val="LSDeadline"/>
    <w:basedOn w:val="Normal"/>
    <w:next w:val="Normal"/>
    <w:rsid w:val="006D51CF"/>
    <w:pPr>
      <w:tabs>
        <w:tab w:val="clear" w:pos="794"/>
        <w:tab w:val="clear" w:pos="1191"/>
        <w:tab w:val="clear" w:pos="1588"/>
        <w:tab w:val="clear" w:pos="1985"/>
      </w:tabs>
      <w:overflowPunct/>
      <w:autoSpaceDE/>
      <w:autoSpaceDN/>
      <w:adjustRightInd/>
      <w:textAlignment w:val="auto"/>
    </w:pPr>
    <w:rPr>
      <w:rFonts w:eastAsiaTheme="minorHAnsi"/>
      <w:szCs w:val="24"/>
      <w:lang w:val="en-GB" w:eastAsia="ja-JP"/>
    </w:rPr>
  </w:style>
  <w:style w:type="paragraph" w:customStyle="1" w:styleId="LSForAction">
    <w:name w:val="LSForAction"/>
    <w:basedOn w:val="Normal"/>
    <w:next w:val="Normal"/>
    <w:rsid w:val="006D51CF"/>
    <w:rPr>
      <w:lang w:val="en-GB"/>
    </w:rPr>
  </w:style>
  <w:style w:type="paragraph" w:customStyle="1" w:styleId="LSForInfo">
    <w:name w:val="LSForInfo"/>
    <w:basedOn w:val="Normal"/>
    <w:next w:val="Normal"/>
    <w:rsid w:val="006D51CF"/>
    <w:pPr>
      <w:tabs>
        <w:tab w:val="clear" w:pos="794"/>
        <w:tab w:val="clear" w:pos="1191"/>
        <w:tab w:val="clear" w:pos="1588"/>
        <w:tab w:val="clear" w:pos="1985"/>
      </w:tabs>
      <w:overflowPunct/>
      <w:autoSpaceDE/>
      <w:autoSpaceDN/>
      <w:adjustRightInd/>
      <w:textAlignment w:val="auto"/>
    </w:pPr>
    <w:rPr>
      <w:rFonts w:eastAsiaTheme="minorHAnsi"/>
      <w:bCs/>
      <w:szCs w:val="24"/>
      <w:lang w:val="en-GB" w:eastAsia="ja-JP"/>
    </w:rPr>
  </w:style>
  <w:style w:type="paragraph" w:customStyle="1" w:styleId="VenueDate">
    <w:name w:val="VenueDate"/>
    <w:basedOn w:val="Normal"/>
    <w:qFormat/>
    <w:rsid w:val="006D51CF"/>
    <w:pPr>
      <w:tabs>
        <w:tab w:val="clear" w:pos="794"/>
        <w:tab w:val="clear" w:pos="1191"/>
        <w:tab w:val="clear" w:pos="1588"/>
        <w:tab w:val="clear" w:pos="1985"/>
      </w:tabs>
      <w:jc w:val="right"/>
    </w:pPr>
    <w:rPr>
      <w:lang w:val="en-GB"/>
    </w:rPr>
  </w:style>
  <w:style w:type="paragraph" w:customStyle="1" w:styleId="TSBHeaderQuestion">
    <w:name w:val="TSBHeaderQuestion"/>
    <w:basedOn w:val="Normal"/>
    <w:qFormat/>
    <w:rsid w:val="006D51CF"/>
    <w:pPr>
      <w:tabs>
        <w:tab w:val="clear" w:pos="794"/>
        <w:tab w:val="clear" w:pos="1191"/>
        <w:tab w:val="clear" w:pos="1588"/>
        <w:tab w:val="clear" w:pos="1985"/>
      </w:tabs>
      <w:overflowPunct/>
      <w:autoSpaceDE/>
      <w:autoSpaceDN/>
      <w:adjustRightInd/>
      <w:textAlignment w:val="auto"/>
    </w:pPr>
    <w:rPr>
      <w:rFonts w:eastAsiaTheme="minorEastAsia"/>
      <w:szCs w:val="24"/>
      <w:lang w:val="en-GB" w:eastAsia="ja-JP"/>
    </w:rPr>
  </w:style>
  <w:style w:type="paragraph" w:customStyle="1" w:styleId="TSBHeaderSource">
    <w:name w:val="TSBHeaderSource"/>
    <w:basedOn w:val="Normal"/>
    <w:qFormat/>
    <w:rsid w:val="006D51CF"/>
    <w:pPr>
      <w:tabs>
        <w:tab w:val="clear" w:pos="794"/>
        <w:tab w:val="clear" w:pos="1191"/>
        <w:tab w:val="clear" w:pos="1588"/>
        <w:tab w:val="clear" w:pos="1985"/>
      </w:tabs>
      <w:overflowPunct/>
      <w:autoSpaceDE/>
      <w:autoSpaceDN/>
      <w:adjustRightInd/>
      <w:textAlignment w:val="auto"/>
    </w:pPr>
    <w:rPr>
      <w:rFonts w:eastAsiaTheme="minorEastAsia"/>
      <w:szCs w:val="24"/>
      <w:lang w:val="en-GB" w:eastAsia="ja-JP"/>
    </w:rPr>
  </w:style>
  <w:style w:type="paragraph" w:customStyle="1" w:styleId="TSBHeaderTitle">
    <w:name w:val="TSBHeaderTitle"/>
    <w:basedOn w:val="Normal"/>
    <w:qFormat/>
    <w:rsid w:val="006D51CF"/>
    <w:pPr>
      <w:tabs>
        <w:tab w:val="clear" w:pos="794"/>
        <w:tab w:val="clear" w:pos="1191"/>
        <w:tab w:val="clear" w:pos="1588"/>
        <w:tab w:val="clear" w:pos="1985"/>
      </w:tabs>
      <w:overflowPunct/>
      <w:autoSpaceDE/>
      <w:autoSpaceDN/>
      <w:adjustRightInd/>
      <w:textAlignment w:val="auto"/>
    </w:pPr>
    <w:rPr>
      <w:rFonts w:eastAsiaTheme="minorEastAsia"/>
      <w:szCs w:val="24"/>
      <w:lang w:val="en-GB" w:eastAsia="ja-JP"/>
    </w:rPr>
  </w:style>
  <w:style w:type="paragraph" w:customStyle="1" w:styleId="TSBHeaderSummary">
    <w:name w:val="TSBHeaderSummary"/>
    <w:basedOn w:val="Normal"/>
    <w:rsid w:val="006D51CF"/>
    <w:pPr>
      <w:tabs>
        <w:tab w:val="clear" w:pos="794"/>
        <w:tab w:val="clear" w:pos="1191"/>
        <w:tab w:val="clear" w:pos="1588"/>
        <w:tab w:val="clear" w:pos="1985"/>
      </w:tabs>
      <w:overflowPunct/>
      <w:autoSpaceDE/>
      <w:autoSpaceDN/>
      <w:adjustRightInd/>
      <w:textAlignment w:val="auto"/>
    </w:pPr>
    <w:rPr>
      <w:rFonts w:eastAsiaTheme="minorEastAsia"/>
      <w:szCs w:val="24"/>
      <w:lang w:val="en-GB" w:eastAsia="ja-JP"/>
    </w:rPr>
  </w:style>
  <w:style w:type="paragraph" w:customStyle="1" w:styleId="LSApproval">
    <w:name w:val="LSApproval"/>
    <w:basedOn w:val="Normal"/>
    <w:rsid w:val="006D51CF"/>
    <w:pPr>
      <w:tabs>
        <w:tab w:val="clear" w:pos="794"/>
        <w:tab w:val="clear" w:pos="1191"/>
        <w:tab w:val="clear" w:pos="1588"/>
        <w:tab w:val="clear" w:pos="1985"/>
      </w:tabs>
      <w:overflowPunct/>
      <w:autoSpaceDE/>
      <w:autoSpaceDN/>
      <w:adjustRightInd/>
      <w:textAlignment w:val="auto"/>
    </w:pPr>
    <w:rPr>
      <w:rFonts w:eastAsiaTheme="minorEastAsia"/>
      <w:b/>
      <w:bCs/>
      <w:szCs w:val="24"/>
      <w:lang w:val="en-GB" w:eastAsia="ja-JP"/>
    </w:rPr>
  </w:style>
  <w:style w:type="paragraph" w:customStyle="1" w:styleId="TSBHeaderRight14">
    <w:name w:val="TSBHeaderRight14"/>
    <w:basedOn w:val="Normal"/>
    <w:qFormat/>
    <w:rsid w:val="006D51CF"/>
    <w:pPr>
      <w:jc w:val="right"/>
    </w:pPr>
    <w:rPr>
      <w:b/>
      <w:bCs/>
      <w:sz w:val="28"/>
      <w:szCs w:val="28"/>
      <w:lang w:val="en-GB"/>
    </w:rPr>
  </w:style>
  <w:style w:type="table" w:styleId="TableGrid">
    <w:name w:val="Table Grid"/>
    <w:basedOn w:val="TableNormal"/>
    <w:uiPriority w:val="59"/>
    <w:rsid w:val="006D51C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ourceChar">
    <w:name w:val="Source Char"/>
    <w:link w:val="Source"/>
    <w:locked/>
    <w:rsid w:val="006D51CF"/>
    <w:rPr>
      <w:rFonts w:ascii="Times New Roman" w:hAnsi="Times New Roman"/>
      <w:b/>
      <w:sz w:val="28"/>
      <w:lang w:val="es-ES_tradnl" w:eastAsia="en-US"/>
    </w:rPr>
  </w:style>
  <w:style w:type="character" w:customStyle="1" w:styleId="Title1Char">
    <w:name w:val="Title 1 Char"/>
    <w:link w:val="Title1"/>
    <w:qFormat/>
    <w:locked/>
    <w:rsid w:val="006D51CF"/>
    <w:rPr>
      <w:rFonts w:ascii="Times New Roman" w:hAnsi="Times New Roman"/>
      <w:caps/>
      <w:sz w:val="28"/>
      <w:lang w:val="es-ES_tradnl" w:eastAsia="en-US"/>
    </w:rPr>
  </w:style>
  <w:style w:type="paragraph" w:styleId="ListParagraph">
    <w:name w:val="List Paragraph"/>
    <w:aliases w:val="Recommendation,List Paragraph11,O5,Para_sk,Resume Title,- Bullets,List Paragraph1,Citation List,List Paragraph Char Char,Bullets,list1,b1,Number_1,Normal Sentence,Colorful List - Accent 11,ListPar1,new,SGLText List Paragraph,List Paragrap"/>
    <w:basedOn w:val="Normal"/>
    <w:link w:val="ListParagraphChar"/>
    <w:uiPriority w:val="34"/>
    <w:qFormat/>
    <w:rsid w:val="006D51CF"/>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val="en-GB" w:eastAsia="ja-JP"/>
    </w:rPr>
  </w:style>
  <w:style w:type="character" w:customStyle="1" w:styleId="ListParagraphChar">
    <w:name w:val="List Paragraph Char"/>
    <w:aliases w:val="Recommendation Char,List Paragraph11 Char,O5 Char,Para_sk Char,Resume Title Char,- Bullets Char,List Paragraph1 Char,Citation List Char,List Paragraph Char Char Char,Bullets Char,list1 Char,b1 Char,Number_1 Char,Normal Sentence Char"/>
    <w:basedOn w:val="DefaultParagraphFont"/>
    <w:link w:val="ListParagraph"/>
    <w:uiPriority w:val="34"/>
    <w:locked/>
    <w:rsid w:val="006D51CF"/>
    <w:rPr>
      <w:rFonts w:ascii="Times New Roman" w:eastAsiaTheme="minorEastAsia" w:hAnsi="Times New Roman"/>
      <w:sz w:val="24"/>
      <w:szCs w:val="24"/>
      <w:lang w:val="en-GB" w:eastAsia="ja-JP"/>
    </w:rPr>
  </w:style>
  <w:style w:type="character" w:styleId="PlaceholderText">
    <w:name w:val="Placeholder Text"/>
    <w:basedOn w:val="DefaultParagraphFont"/>
    <w:uiPriority w:val="99"/>
    <w:semiHidden/>
    <w:rsid w:val="006D51CF"/>
    <w:rPr>
      <w:color w:val="808080"/>
    </w:rPr>
  </w:style>
  <w:style w:type="character" w:customStyle="1" w:styleId="Heading1Char">
    <w:name w:val="Heading 1 Char"/>
    <w:basedOn w:val="DefaultParagraphFont"/>
    <w:link w:val="Heading1"/>
    <w:rsid w:val="006D51CF"/>
    <w:rPr>
      <w:rFonts w:ascii="Times New Roman" w:hAnsi="Times New Roman"/>
      <w:b/>
      <w:sz w:val="24"/>
      <w:lang w:val="es-ES_tradnl" w:eastAsia="en-US"/>
    </w:rPr>
  </w:style>
  <w:style w:type="character" w:customStyle="1" w:styleId="Heading2Char">
    <w:name w:val="Heading 2 Char"/>
    <w:basedOn w:val="DefaultParagraphFont"/>
    <w:link w:val="Heading2"/>
    <w:rsid w:val="006D51CF"/>
    <w:rPr>
      <w:rFonts w:ascii="Times New Roman" w:hAnsi="Times New Roman"/>
      <w:b/>
      <w:sz w:val="24"/>
      <w:lang w:val="es-ES_tradnl" w:eastAsia="en-US"/>
    </w:rPr>
  </w:style>
  <w:style w:type="character" w:customStyle="1" w:styleId="Heading3Char">
    <w:name w:val="Heading 3 Char"/>
    <w:basedOn w:val="DefaultParagraphFont"/>
    <w:link w:val="Heading3"/>
    <w:rsid w:val="006D51CF"/>
    <w:rPr>
      <w:rFonts w:ascii="Times New Roman" w:hAnsi="Times New Roman"/>
      <w:b/>
      <w:sz w:val="24"/>
      <w:lang w:val="es-ES_tradnl" w:eastAsia="en-US"/>
    </w:rPr>
  </w:style>
  <w:style w:type="character" w:customStyle="1" w:styleId="Heading4Char">
    <w:name w:val="Heading 4 Char"/>
    <w:basedOn w:val="DefaultParagraphFont"/>
    <w:link w:val="Heading4"/>
    <w:rsid w:val="006D51CF"/>
    <w:rPr>
      <w:rFonts w:ascii="Times New Roman" w:hAnsi="Times New Roman"/>
      <w:b/>
      <w:sz w:val="24"/>
      <w:lang w:val="es-ES_tradnl" w:eastAsia="en-US"/>
    </w:rPr>
  </w:style>
  <w:style w:type="character" w:customStyle="1" w:styleId="Heading5Char">
    <w:name w:val="Heading 5 Char"/>
    <w:basedOn w:val="DefaultParagraphFont"/>
    <w:link w:val="Heading5"/>
    <w:rsid w:val="006D51CF"/>
    <w:rPr>
      <w:rFonts w:ascii="Times New Roman" w:hAnsi="Times New Roman"/>
      <w:b/>
      <w:sz w:val="24"/>
      <w:lang w:val="es-ES_tradnl" w:eastAsia="en-US"/>
    </w:rPr>
  </w:style>
  <w:style w:type="character" w:customStyle="1" w:styleId="Heading6Char">
    <w:name w:val="Heading 6 Char"/>
    <w:basedOn w:val="DefaultParagraphFont"/>
    <w:link w:val="Heading6"/>
    <w:rsid w:val="006D51CF"/>
    <w:rPr>
      <w:rFonts w:ascii="Times New Roman" w:hAnsi="Times New Roman"/>
      <w:b/>
      <w:sz w:val="24"/>
      <w:lang w:val="es-ES_tradnl" w:eastAsia="en-US"/>
    </w:rPr>
  </w:style>
  <w:style w:type="character" w:customStyle="1" w:styleId="Heading7Char">
    <w:name w:val="Heading 7 Char"/>
    <w:basedOn w:val="DefaultParagraphFont"/>
    <w:link w:val="Heading7"/>
    <w:rsid w:val="006D51CF"/>
    <w:rPr>
      <w:rFonts w:ascii="Times New Roman" w:hAnsi="Times New Roman"/>
      <w:b/>
      <w:sz w:val="24"/>
      <w:lang w:val="es-ES_tradnl" w:eastAsia="en-US"/>
    </w:rPr>
  </w:style>
  <w:style w:type="character" w:customStyle="1" w:styleId="Heading8Char">
    <w:name w:val="Heading 8 Char"/>
    <w:basedOn w:val="DefaultParagraphFont"/>
    <w:link w:val="Heading8"/>
    <w:rsid w:val="006D51CF"/>
    <w:rPr>
      <w:rFonts w:ascii="Times New Roman" w:hAnsi="Times New Roman"/>
      <w:b/>
      <w:sz w:val="24"/>
      <w:lang w:val="es-ES_tradnl" w:eastAsia="en-US"/>
    </w:rPr>
  </w:style>
  <w:style w:type="character" w:customStyle="1" w:styleId="Heading9Char">
    <w:name w:val="Heading 9 Char"/>
    <w:basedOn w:val="DefaultParagraphFont"/>
    <w:link w:val="Heading9"/>
    <w:rsid w:val="006D51CF"/>
    <w:rPr>
      <w:rFonts w:ascii="Times New Roman" w:hAnsi="Times New Roman"/>
      <w:b/>
      <w:sz w:val="24"/>
      <w:lang w:val="es-ES_tradnl" w:eastAsia="en-US"/>
    </w:rPr>
  </w:style>
  <w:style w:type="paragraph" w:customStyle="1" w:styleId="Reasons">
    <w:name w:val="Reasons"/>
    <w:basedOn w:val="Normal"/>
    <w:qFormat/>
    <w:rsid w:val="006D51CF"/>
    <w:pPr>
      <w:tabs>
        <w:tab w:val="clear" w:pos="794"/>
        <w:tab w:val="clear" w:pos="1191"/>
        <w:tab w:val="left" w:pos="1134"/>
      </w:tabs>
    </w:pPr>
    <w:rPr>
      <w:lang w:val="en-GB"/>
    </w:rPr>
  </w:style>
  <w:style w:type="paragraph" w:customStyle="1" w:styleId="ASN1">
    <w:name w:val="ASN.1"/>
    <w:basedOn w:val="Normal"/>
    <w:rsid w:val="006D51CF"/>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lang w:val="en-GB"/>
    </w:rPr>
  </w:style>
  <w:style w:type="paragraph" w:customStyle="1" w:styleId="FooterQP">
    <w:name w:val="Footer_QP"/>
    <w:basedOn w:val="Normal"/>
    <w:rsid w:val="006D51CF"/>
    <w:pPr>
      <w:tabs>
        <w:tab w:val="clear" w:pos="794"/>
        <w:tab w:val="clear" w:pos="1191"/>
        <w:tab w:val="clear" w:pos="1588"/>
        <w:tab w:val="clear" w:pos="1985"/>
        <w:tab w:val="left" w:pos="907"/>
        <w:tab w:val="right" w:pos="8789"/>
        <w:tab w:val="right" w:pos="9639"/>
      </w:tabs>
      <w:spacing w:before="0"/>
    </w:pPr>
    <w:rPr>
      <w:b/>
      <w:sz w:val="22"/>
      <w:lang w:val="en-GB"/>
    </w:rPr>
  </w:style>
  <w:style w:type="paragraph" w:styleId="BalloonText">
    <w:name w:val="Balloon Text"/>
    <w:basedOn w:val="Normal"/>
    <w:link w:val="BalloonTextChar"/>
    <w:rsid w:val="006D51CF"/>
    <w:pPr>
      <w:spacing w:before="0"/>
    </w:pPr>
    <w:rPr>
      <w:rFonts w:ascii="Tahoma" w:hAnsi="Tahoma" w:cs="Tahoma"/>
      <w:sz w:val="16"/>
      <w:szCs w:val="16"/>
      <w:lang w:val="en-GB"/>
    </w:rPr>
  </w:style>
  <w:style w:type="character" w:customStyle="1" w:styleId="BalloonTextChar">
    <w:name w:val="Balloon Text Char"/>
    <w:basedOn w:val="DefaultParagraphFont"/>
    <w:link w:val="BalloonText"/>
    <w:rsid w:val="006D51CF"/>
    <w:rPr>
      <w:rFonts w:ascii="Tahoma" w:hAnsi="Tahoma" w:cs="Tahoma"/>
      <w:sz w:val="16"/>
      <w:szCs w:val="16"/>
      <w:lang w:val="en-GB" w:eastAsia="en-US"/>
    </w:rPr>
  </w:style>
  <w:style w:type="paragraph" w:customStyle="1" w:styleId="Normalaftertitle0">
    <w:name w:val="Normal after title"/>
    <w:basedOn w:val="Normal"/>
    <w:next w:val="Normal"/>
    <w:rsid w:val="006D51CF"/>
    <w:pPr>
      <w:tabs>
        <w:tab w:val="clear" w:pos="794"/>
        <w:tab w:val="clear" w:pos="1191"/>
        <w:tab w:val="clear" w:pos="1588"/>
        <w:tab w:val="clear" w:pos="1985"/>
        <w:tab w:val="left" w:pos="1134"/>
        <w:tab w:val="left" w:pos="1871"/>
        <w:tab w:val="left" w:pos="2268"/>
      </w:tabs>
      <w:spacing w:before="280"/>
      <w:textAlignment w:val="auto"/>
    </w:pPr>
    <w:rPr>
      <w:lang w:val="en-GB"/>
    </w:rPr>
  </w:style>
  <w:style w:type="paragraph" w:customStyle="1" w:styleId="headingb0">
    <w:name w:val="heading_b"/>
    <w:basedOn w:val="Heading3"/>
    <w:next w:val="Normal"/>
    <w:rsid w:val="006D51CF"/>
    <w:pPr>
      <w:tabs>
        <w:tab w:val="clear" w:pos="1191"/>
        <w:tab w:val="clear" w:pos="1588"/>
        <w:tab w:val="clear" w:pos="1985"/>
        <w:tab w:val="left" w:pos="1134"/>
        <w:tab w:val="left" w:pos="1871"/>
        <w:tab w:val="left" w:pos="2127"/>
        <w:tab w:val="left" w:pos="2268"/>
        <w:tab w:val="left" w:pos="2410"/>
        <w:tab w:val="left" w:pos="2921"/>
        <w:tab w:val="left" w:pos="3261"/>
      </w:tabs>
      <w:ind w:left="0" w:firstLine="0"/>
      <w:textAlignment w:val="auto"/>
      <w:outlineLvl w:val="9"/>
    </w:pPr>
    <w:rPr>
      <w:b w:val="0"/>
      <w:lang w:val="en-GB"/>
    </w:rPr>
  </w:style>
  <w:style w:type="paragraph" w:styleId="PlainText">
    <w:name w:val="Plain Text"/>
    <w:basedOn w:val="Normal"/>
    <w:link w:val="PlainTextChar"/>
    <w:uiPriority w:val="99"/>
    <w:unhideWhenUsed/>
    <w:rsid w:val="006D51CF"/>
    <w:pPr>
      <w:tabs>
        <w:tab w:val="clear" w:pos="794"/>
        <w:tab w:val="clear" w:pos="1191"/>
        <w:tab w:val="clear" w:pos="1588"/>
        <w:tab w:val="clear" w:pos="1985"/>
      </w:tabs>
      <w:overflowPunct/>
      <w:autoSpaceDE/>
      <w:autoSpaceDN/>
      <w:adjustRightInd/>
      <w:spacing w:before="0"/>
      <w:textAlignment w:val="auto"/>
    </w:pPr>
    <w:rPr>
      <w:rFonts w:ascii="Consolas" w:eastAsiaTheme="minorEastAsia" w:hAnsi="Consolas" w:cstheme="minorBidi"/>
      <w:sz w:val="21"/>
      <w:szCs w:val="21"/>
      <w:lang w:val="en-US" w:eastAsia="zh-CN"/>
    </w:rPr>
  </w:style>
  <w:style w:type="character" w:customStyle="1" w:styleId="PlainTextChar">
    <w:name w:val="Plain Text Char"/>
    <w:basedOn w:val="DefaultParagraphFont"/>
    <w:link w:val="PlainText"/>
    <w:uiPriority w:val="99"/>
    <w:rsid w:val="006D51CF"/>
    <w:rPr>
      <w:rFonts w:ascii="Consolas" w:eastAsiaTheme="minorEastAsia" w:hAnsi="Consolas" w:cstheme="minorBidi"/>
      <w:sz w:val="21"/>
      <w:szCs w:val="21"/>
    </w:rPr>
  </w:style>
  <w:style w:type="paragraph" w:styleId="NoSpacing">
    <w:name w:val="No Spacing"/>
    <w:uiPriority w:val="1"/>
    <w:qFormat/>
    <w:rsid w:val="006D51CF"/>
    <w:rPr>
      <w:rFonts w:asciiTheme="minorHAnsi" w:eastAsiaTheme="minorEastAsia" w:hAnsiTheme="minorHAnsi" w:cstheme="minorBidi"/>
      <w:sz w:val="22"/>
      <w:szCs w:val="22"/>
    </w:rPr>
  </w:style>
  <w:style w:type="character" w:customStyle="1" w:styleId="TabletextChar">
    <w:name w:val="Table_text Char"/>
    <w:basedOn w:val="DefaultParagraphFont"/>
    <w:link w:val="Tabletext"/>
    <w:locked/>
    <w:rsid w:val="006D51CF"/>
    <w:rPr>
      <w:rFonts w:ascii="Times New Roman" w:hAnsi="Times New Roman"/>
      <w:sz w:val="22"/>
      <w:lang w:val="es-ES_tradnl" w:eastAsia="en-US"/>
    </w:rPr>
  </w:style>
  <w:style w:type="character" w:customStyle="1" w:styleId="enumlev1Char">
    <w:name w:val="enumlev1 Char"/>
    <w:basedOn w:val="DefaultParagraphFont"/>
    <w:link w:val="enumlev1"/>
    <w:locked/>
    <w:rsid w:val="006D51CF"/>
    <w:rPr>
      <w:rFonts w:ascii="Times New Roman" w:hAnsi="Times New Roman"/>
      <w:sz w:val="24"/>
      <w:lang w:val="es-ES_tradnl" w:eastAsia="en-US"/>
    </w:rPr>
  </w:style>
  <w:style w:type="character" w:customStyle="1" w:styleId="apple-converted-space">
    <w:name w:val="apple-converted-space"/>
    <w:basedOn w:val="DefaultParagraphFont"/>
    <w:rsid w:val="006D51CF"/>
  </w:style>
  <w:style w:type="table" w:customStyle="1" w:styleId="TableGrid1">
    <w:name w:val="Table Grid1"/>
    <w:basedOn w:val="TableNormal"/>
    <w:next w:val="TableGrid"/>
    <w:rsid w:val="006D51CF"/>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D51CF"/>
    <w:rPr>
      <w:b/>
      <w:bCs/>
    </w:rPr>
  </w:style>
  <w:style w:type="paragraph" w:customStyle="1" w:styleId="Annextitle">
    <w:name w:val="Annex_title"/>
    <w:basedOn w:val="Normal"/>
    <w:next w:val="Normal"/>
    <w:rsid w:val="006D51CF"/>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paragraph" w:customStyle="1" w:styleId="AnnexNo">
    <w:name w:val="Annex_No"/>
    <w:basedOn w:val="Normal"/>
    <w:next w:val="Normal"/>
    <w:rsid w:val="006D51CF"/>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en-GB"/>
    </w:rPr>
  </w:style>
  <w:style w:type="character" w:customStyle="1" w:styleId="CallChar">
    <w:name w:val="Call Char"/>
    <w:basedOn w:val="DefaultParagraphFont"/>
    <w:link w:val="Call"/>
    <w:locked/>
    <w:rsid w:val="006D51CF"/>
    <w:rPr>
      <w:rFonts w:ascii="Times New Roman" w:hAnsi="Times New Roman"/>
      <w:i/>
      <w:sz w:val="24"/>
      <w:lang w:val="es-ES_tradnl" w:eastAsia="en-US"/>
    </w:rPr>
  </w:style>
  <w:style w:type="character" w:customStyle="1" w:styleId="HeadingbChar">
    <w:name w:val="Heading_b Char"/>
    <w:link w:val="Headingb"/>
    <w:locked/>
    <w:rsid w:val="006D51CF"/>
    <w:rPr>
      <w:rFonts w:ascii="Times New Roman" w:hAnsi="Times New Roman"/>
      <w:b/>
      <w:sz w:val="24"/>
      <w:lang w:val="es-ES_tradnl" w:eastAsia="en-US"/>
    </w:rPr>
  </w:style>
  <w:style w:type="character" w:customStyle="1" w:styleId="RestitleChar">
    <w:name w:val="Res_title Char"/>
    <w:basedOn w:val="DefaultParagraphFont"/>
    <w:link w:val="Restitle"/>
    <w:locked/>
    <w:rsid w:val="006D51CF"/>
    <w:rPr>
      <w:rFonts w:ascii="Times New Roman" w:hAnsi="Times New Roman"/>
      <w:b/>
      <w:sz w:val="28"/>
      <w:lang w:val="es-ES_tradnl" w:eastAsia="en-US"/>
    </w:rPr>
  </w:style>
  <w:style w:type="character" w:styleId="FollowedHyperlink">
    <w:name w:val="FollowedHyperlink"/>
    <w:basedOn w:val="DefaultParagraphFont"/>
    <w:unhideWhenUsed/>
    <w:rsid w:val="006D51CF"/>
    <w:rPr>
      <w:color w:val="606420"/>
      <w:u w:val="single"/>
    </w:rPr>
  </w:style>
  <w:style w:type="paragraph" w:styleId="NormalWeb">
    <w:name w:val="Normal (Web)"/>
    <w:basedOn w:val="Normal"/>
    <w:uiPriority w:val="99"/>
    <w:unhideWhenUsed/>
    <w:rsid w:val="006D51CF"/>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styleId="EndnoteText">
    <w:name w:val="endnote text"/>
    <w:basedOn w:val="Normal"/>
    <w:link w:val="EndnoteTextChar"/>
    <w:uiPriority w:val="99"/>
    <w:unhideWhenUsed/>
    <w:rsid w:val="006D51CF"/>
    <w:pPr>
      <w:spacing w:before="0"/>
      <w:textAlignment w:val="auto"/>
    </w:pPr>
    <w:rPr>
      <w:sz w:val="20"/>
      <w:lang w:val="en-GB"/>
    </w:rPr>
  </w:style>
  <w:style w:type="character" w:customStyle="1" w:styleId="EndnoteTextChar">
    <w:name w:val="Endnote Text Char"/>
    <w:basedOn w:val="DefaultParagraphFont"/>
    <w:link w:val="EndnoteText"/>
    <w:uiPriority w:val="99"/>
    <w:rsid w:val="006D51CF"/>
    <w:rPr>
      <w:rFonts w:ascii="Times New Roman" w:hAnsi="Times New Roman"/>
      <w:lang w:val="en-GB" w:eastAsia="en-US"/>
    </w:rPr>
  </w:style>
  <w:style w:type="paragraph" w:styleId="Title">
    <w:name w:val="Title"/>
    <w:basedOn w:val="Normal"/>
    <w:next w:val="Normal"/>
    <w:link w:val="TitleChar"/>
    <w:qFormat/>
    <w:rsid w:val="006D51CF"/>
    <w:pPr>
      <w:pBdr>
        <w:bottom w:val="single" w:sz="8" w:space="4" w:color="4F81BD" w:themeColor="accent1"/>
      </w:pBdr>
      <w:spacing w:before="0" w:after="300"/>
      <w:contextualSpacing/>
      <w:textAlignment w:val="auto"/>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rsid w:val="006D51CF"/>
    <w:rPr>
      <w:rFonts w:asciiTheme="majorHAnsi" w:eastAsiaTheme="majorEastAsia" w:hAnsiTheme="majorHAnsi" w:cstheme="majorBidi"/>
      <w:color w:val="17365D" w:themeColor="text2" w:themeShade="BF"/>
      <w:spacing w:val="5"/>
      <w:kern w:val="28"/>
      <w:sz w:val="52"/>
      <w:szCs w:val="52"/>
      <w:lang w:val="en-GB" w:eastAsia="en-US"/>
    </w:rPr>
  </w:style>
  <w:style w:type="paragraph" w:styleId="BodyText">
    <w:name w:val="Body Text"/>
    <w:basedOn w:val="Normal"/>
    <w:link w:val="BodyTextChar"/>
    <w:unhideWhenUsed/>
    <w:rsid w:val="006D51CF"/>
    <w:pPr>
      <w:textAlignment w:val="auto"/>
    </w:pPr>
    <w:rPr>
      <w:b/>
      <w:bCs/>
      <w:i/>
      <w:iCs/>
      <w:szCs w:val="24"/>
      <w:lang w:val="en-GB"/>
    </w:rPr>
  </w:style>
  <w:style w:type="character" w:customStyle="1" w:styleId="BodyTextChar">
    <w:name w:val="Body Text Char"/>
    <w:basedOn w:val="DefaultParagraphFont"/>
    <w:link w:val="BodyText"/>
    <w:rsid w:val="006D51CF"/>
    <w:rPr>
      <w:rFonts w:ascii="Times New Roman" w:hAnsi="Times New Roman"/>
      <w:b/>
      <w:bCs/>
      <w:i/>
      <w:iCs/>
      <w:sz w:val="24"/>
      <w:szCs w:val="24"/>
      <w:lang w:val="en-GB" w:eastAsia="en-US"/>
    </w:rPr>
  </w:style>
  <w:style w:type="paragraph" w:styleId="BodyTextIndent">
    <w:name w:val="Body Text Indent"/>
    <w:basedOn w:val="Normal"/>
    <w:link w:val="BodyTextIndentChar"/>
    <w:unhideWhenUsed/>
    <w:rsid w:val="006D51CF"/>
    <w:pPr>
      <w:spacing w:after="120"/>
      <w:ind w:left="360"/>
      <w:textAlignment w:val="auto"/>
    </w:pPr>
    <w:rPr>
      <w:lang w:val="en-GB"/>
    </w:rPr>
  </w:style>
  <w:style w:type="character" w:customStyle="1" w:styleId="BodyTextIndentChar">
    <w:name w:val="Body Text Indent Char"/>
    <w:basedOn w:val="DefaultParagraphFont"/>
    <w:link w:val="BodyTextIndent"/>
    <w:rsid w:val="006D51CF"/>
    <w:rPr>
      <w:rFonts w:ascii="Times New Roman" w:hAnsi="Times New Roman"/>
      <w:sz w:val="24"/>
      <w:lang w:val="en-GB" w:eastAsia="en-US"/>
    </w:rPr>
  </w:style>
  <w:style w:type="paragraph" w:styleId="Subtitle">
    <w:name w:val="Subtitle"/>
    <w:basedOn w:val="Normal"/>
    <w:next w:val="Normal"/>
    <w:link w:val="SubtitleChar"/>
    <w:uiPriority w:val="11"/>
    <w:qFormat/>
    <w:rsid w:val="006D51CF"/>
    <w:pPr>
      <w:tabs>
        <w:tab w:val="clear" w:pos="794"/>
        <w:tab w:val="clear" w:pos="1191"/>
        <w:tab w:val="clear" w:pos="1588"/>
        <w:tab w:val="clear" w:pos="1985"/>
      </w:tabs>
      <w:overflowPunct/>
      <w:autoSpaceDE/>
      <w:autoSpaceDN/>
      <w:adjustRightInd/>
      <w:spacing w:before="0" w:after="200" w:line="276" w:lineRule="auto"/>
      <w:textAlignment w:val="auto"/>
    </w:pPr>
    <w:rPr>
      <w:rFonts w:ascii="Cambria" w:eastAsia="SimSun" w:hAnsi="Cambria"/>
      <w:i/>
      <w:iCs/>
      <w:color w:val="4F81BD"/>
      <w:spacing w:val="15"/>
      <w:szCs w:val="24"/>
      <w:lang w:val="en-US" w:eastAsia="zh-CN"/>
    </w:rPr>
  </w:style>
  <w:style w:type="character" w:customStyle="1" w:styleId="SubtitleChar">
    <w:name w:val="Subtitle Char"/>
    <w:basedOn w:val="DefaultParagraphFont"/>
    <w:link w:val="Subtitle"/>
    <w:uiPriority w:val="11"/>
    <w:rsid w:val="006D51CF"/>
    <w:rPr>
      <w:rFonts w:ascii="Cambria" w:eastAsia="SimSun" w:hAnsi="Cambria"/>
      <w:i/>
      <w:iCs/>
      <w:color w:val="4F81BD"/>
      <w:spacing w:val="15"/>
      <w:sz w:val="24"/>
      <w:szCs w:val="24"/>
    </w:rPr>
  </w:style>
  <w:style w:type="paragraph" w:styleId="BodyText2">
    <w:name w:val="Body Text 2"/>
    <w:basedOn w:val="Normal"/>
    <w:link w:val="BodyText2Char"/>
    <w:unhideWhenUsed/>
    <w:rsid w:val="006D51CF"/>
    <w:pPr>
      <w:spacing w:after="120" w:line="480" w:lineRule="auto"/>
      <w:textAlignment w:val="auto"/>
    </w:pPr>
    <w:rPr>
      <w:lang w:val="en-GB"/>
    </w:rPr>
  </w:style>
  <w:style w:type="character" w:customStyle="1" w:styleId="BodyText2Char">
    <w:name w:val="Body Text 2 Char"/>
    <w:basedOn w:val="DefaultParagraphFont"/>
    <w:link w:val="BodyText2"/>
    <w:rsid w:val="006D51CF"/>
    <w:rPr>
      <w:rFonts w:ascii="Times New Roman" w:hAnsi="Times New Roman"/>
      <w:sz w:val="24"/>
      <w:lang w:val="en-GB" w:eastAsia="en-US"/>
    </w:rPr>
  </w:style>
  <w:style w:type="paragraph" w:styleId="Revision">
    <w:name w:val="Revision"/>
    <w:uiPriority w:val="99"/>
    <w:semiHidden/>
    <w:rsid w:val="006D51CF"/>
    <w:rPr>
      <w:rFonts w:ascii="Times New Roman" w:hAnsi="Times New Roman"/>
      <w:sz w:val="24"/>
      <w:lang w:val="en-GB" w:eastAsia="en-US"/>
    </w:rPr>
  </w:style>
  <w:style w:type="character" w:styleId="CommentReference">
    <w:name w:val="annotation reference"/>
    <w:basedOn w:val="DefaultParagraphFont"/>
    <w:semiHidden/>
    <w:unhideWhenUsed/>
    <w:rsid w:val="006D51CF"/>
    <w:rPr>
      <w:sz w:val="16"/>
      <w:szCs w:val="16"/>
    </w:rPr>
  </w:style>
  <w:style w:type="paragraph" w:styleId="CommentText">
    <w:name w:val="annotation text"/>
    <w:basedOn w:val="Normal"/>
    <w:link w:val="CommentTextChar"/>
    <w:unhideWhenUsed/>
    <w:rsid w:val="006D51CF"/>
    <w:rPr>
      <w:sz w:val="20"/>
      <w:lang w:val="en-GB"/>
    </w:rPr>
  </w:style>
  <w:style w:type="character" w:customStyle="1" w:styleId="CommentTextChar">
    <w:name w:val="Comment Text Char"/>
    <w:basedOn w:val="DefaultParagraphFont"/>
    <w:link w:val="CommentText"/>
    <w:rsid w:val="006D51CF"/>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6D51CF"/>
    <w:rPr>
      <w:b/>
      <w:bCs/>
    </w:rPr>
  </w:style>
  <w:style w:type="character" w:customStyle="1" w:styleId="CommentSubjectChar">
    <w:name w:val="Comment Subject Char"/>
    <w:basedOn w:val="CommentTextChar"/>
    <w:link w:val="CommentSubject"/>
    <w:semiHidden/>
    <w:rsid w:val="006D51CF"/>
    <w:rPr>
      <w:rFonts w:ascii="Times New Roman" w:hAnsi="Times New Roman"/>
      <w:b/>
      <w:bCs/>
      <w:lang w:val="en-GB" w:eastAsia="en-US"/>
    </w:rPr>
  </w:style>
  <w:style w:type="table" w:customStyle="1" w:styleId="GridTable1Light-Accent512">
    <w:name w:val="Grid Table 1 Light - Accent 512"/>
    <w:basedOn w:val="TableNormal"/>
    <w:uiPriority w:val="46"/>
    <w:rsid w:val="006D51CF"/>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6D51CF"/>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rsid w:val="006D51CF"/>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ableheadChar">
    <w:name w:val="Table_head Char"/>
    <w:basedOn w:val="DefaultParagraphFont"/>
    <w:link w:val="Tablehead"/>
    <w:uiPriority w:val="99"/>
    <w:rsid w:val="006D51CF"/>
    <w:rPr>
      <w:rFonts w:ascii="Times New Roman" w:hAnsi="Times New Roman"/>
      <w:b/>
      <w:sz w:val="22"/>
      <w:lang w:val="es-ES_tradnl" w:eastAsia="en-US"/>
    </w:rPr>
  </w:style>
  <w:style w:type="paragraph" w:customStyle="1" w:styleId="TableNo">
    <w:name w:val="Table_No"/>
    <w:basedOn w:val="Normal"/>
    <w:next w:val="Normal"/>
    <w:uiPriority w:val="99"/>
    <w:rsid w:val="006D51CF"/>
    <w:pPr>
      <w:keepNext/>
      <w:tabs>
        <w:tab w:val="clear" w:pos="794"/>
        <w:tab w:val="clear" w:pos="1191"/>
        <w:tab w:val="clear" w:pos="1588"/>
        <w:tab w:val="clear" w:pos="1985"/>
        <w:tab w:val="left" w:pos="1134"/>
        <w:tab w:val="left" w:pos="1871"/>
        <w:tab w:val="left" w:pos="2268"/>
      </w:tabs>
      <w:spacing w:before="560" w:after="120"/>
      <w:jc w:val="center"/>
    </w:pPr>
    <w:rPr>
      <w:caps/>
      <w:lang w:val="en-GB"/>
    </w:rPr>
  </w:style>
  <w:style w:type="paragraph" w:customStyle="1" w:styleId="Tabletitle">
    <w:name w:val="Table_title"/>
    <w:basedOn w:val="Normal"/>
    <w:next w:val="Tabletext"/>
    <w:rsid w:val="006D51CF"/>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hAnsi="Times New Roman Bold"/>
      <w:b/>
      <w:sz w:val="20"/>
      <w:lang w:val="en-GB"/>
    </w:rPr>
  </w:style>
  <w:style w:type="paragraph" w:styleId="Index4">
    <w:name w:val="index 4"/>
    <w:basedOn w:val="Normal"/>
    <w:next w:val="Normal"/>
    <w:autoRedefine/>
    <w:uiPriority w:val="99"/>
    <w:unhideWhenUsed/>
    <w:rsid w:val="006D51CF"/>
    <w:pPr>
      <w:tabs>
        <w:tab w:val="clear" w:pos="794"/>
        <w:tab w:val="clear" w:pos="1191"/>
        <w:tab w:val="clear" w:pos="1588"/>
        <w:tab w:val="clear" w:pos="1985"/>
      </w:tabs>
      <w:overflowPunct/>
      <w:autoSpaceDE/>
      <w:autoSpaceDN/>
      <w:adjustRightInd/>
      <w:spacing w:before="0" w:line="259" w:lineRule="auto"/>
      <w:ind w:left="880" w:hanging="220"/>
      <w:textAlignment w:val="auto"/>
    </w:pPr>
    <w:rPr>
      <w:rFonts w:eastAsiaTheme="minorEastAsia" w:cstheme="minorBidi"/>
      <w:sz w:val="18"/>
      <w:szCs w:val="18"/>
      <w:lang w:val="en-US" w:eastAsia="zh-CN"/>
    </w:rPr>
  </w:style>
  <w:style w:type="paragraph" w:styleId="Index5">
    <w:name w:val="index 5"/>
    <w:basedOn w:val="Normal"/>
    <w:next w:val="Normal"/>
    <w:autoRedefine/>
    <w:uiPriority w:val="99"/>
    <w:unhideWhenUsed/>
    <w:rsid w:val="006D51CF"/>
    <w:pPr>
      <w:tabs>
        <w:tab w:val="clear" w:pos="794"/>
        <w:tab w:val="clear" w:pos="1191"/>
        <w:tab w:val="clear" w:pos="1588"/>
        <w:tab w:val="clear" w:pos="1985"/>
      </w:tabs>
      <w:overflowPunct/>
      <w:autoSpaceDE/>
      <w:autoSpaceDN/>
      <w:adjustRightInd/>
      <w:spacing w:before="0" w:line="259" w:lineRule="auto"/>
      <w:ind w:left="1100" w:hanging="220"/>
      <w:textAlignment w:val="auto"/>
    </w:pPr>
    <w:rPr>
      <w:rFonts w:eastAsiaTheme="minorEastAsia" w:cstheme="minorBidi"/>
      <w:sz w:val="18"/>
      <w:szCs w:val="18"/>
      <w:lang w:val="en-US" w:eastAsia="zh-CN"/>
    </w:rPr>
  </w:style>
  <w:style w:type="paragraph" w:styleId="Index6">
    <w:name w:val="index 6"/>
    <w:basedOn w:val="Normal"/>
    <w:next w:val="Normal"/>
    <w:autoRedefine/>
    <w:uiPriority w:val="99"/>
    <w:unhideWhenUsed/>
    <w:rsid w:val="006D51CF"/>
    <w:pPr>
      <w:tabs>
        <w:tab w:val="clear" w:pos="794"/>
        <w:tab w:val="clear" w:pos="1191"/>
        <w:tab w:val="clear" w:pos="1588"/>
        <w:tab w:val="clear" w:pos="1985"/>
      </w:tabs>
      <w:overflowPunct/>
      <w:autoSpaceDE/>
      <w:autoSpaceDN/>
      <w:adjustRightInd/>
      <w:spacing w:before="0" w:line="259" w:lineRule="auto"/>
      <w:ind w:left="1320" w:hanging="220"/>
      <w:textAlignment w:val="auto"/>
    </w:pPr>
    <w:rPr>
      <w:rFonts w:eastAsiaTheme="minorEastAsia" w:cstheme="minorBidi"/>
      <w:sz w:val="18"/>
      <w:szCs w:val="18"/>
      <w:lang w:val="en-US" w:eastAsia="zh-CN"/>
    </w:rPr>
  </w:style>
  <w:style w:type="paragraph" w:styleId="Index7">
    <w:name w:val="index 7"/>
    <w:basedOn w:val="Normal"/>
    <w:next w:val="Normal"/>
    <w:autoRedefine/>
    <w:uiPriority w:val="99"/>
    <w:unhideWhenUsed/>
    <w:rsid w:val="006D51CF"/>
    <w:pPr>
      <w:tabs>
        <w:tab w:val="clear" w:pos="794"/>
        <w:tab w:val="clear" w:pos="1191"/>
        <w:tab w:val="clear" w:pos="1588"/>
        <w:tab w:val="clear" w:pos="1985"/>
      </w:tabs>
      <w:overflowPunct/>
      <w:autoSpaceDE/>
      <w:autoSpaceDN/>
      <w:adjustRightInd/>
      <w:spacing w:before="0" w:line="259" w:lineRule="auto"/>
      <w:ind w:left="1540" w:hanging="220"/>
      <w:textAlignment w:val="auto"/>
    </w:pPr>
    <w:rPr>
      <w:rFonts w:eastAsiaTheme="minorEastAsia" w:cstheme="minorBidi"/>
      <w:sz w:val="18"/>
      <w:szCs w:val="18"/>
      <w:lang w:val="en-US" w:eastAsia="zh-CN"/>
    </w:rPr>
  </w:style>
  <w:style w:type="paragraph" w:styleId="Index8">
    <w:name w:val="index 8"/>
    <w:basedOn w:val="Normal"/>
    <w:next w:val="Normal"/>
    <w:autoRedefine/>
    <w:uiPriority w:val="99"/>
    <w:unhideWhenUsed/>
    <w:rsid w:val="006D51CF"/>
    <w:pPr>
      <w:tabs>
        <w:tab w:val="clear" w:pos="794"/>
        <w:tab w:val="clear" w:pos="1191"/>
        <w:tab w:val="clear" w:pos="1588"/>
        <w:tab w:val="clear" w:pos="1985"/>
      </w:tabs>
      <w:overflowPunct/>
      <w:autoSpaceDE/>
      <w:autoSpaceDN/>
      <w:adjustRightInd/>
      <w:spacing w:before="0" w:line="259" w:lineRule="auto"/>
      <w:ind w:left="1760" w:hanging="220"/>
      <w:textAlignment w:val="auto"/>
    </w:pPr>
    <w:rPr>
      <w:rFonts w:eastAsiaTheme="minorEastAsia" w:cstheme="minorBidi"/>
      <w:sz w:val="18"/>
      <w:szCs w:val="18"/>
      <w:lang w:val="en-US" w:eastAsia="zh-CN"/>
    </w:rPr>
  </w:style>
  <w:style w:type="paragraph" w:styleId="Index9">
    <w:name w:val="index 9"/>
    <w:basedOn w:val="Normal"/>
    <w:next w:val="Normal"/>
    <w:autoRedefine/>
    <w:uiPriority w:val="99"/>
    <w:unhideWhenUsed/>
    <w:rsid w:val="006D51CF"/>
    <w:pPr>
      <w:tabs>
        <w:tab w:val="clear" w:pos="794"/>
        <w:tab w:val="clear" w:pos="1191"/>
        <w:tab w:val="clear" w:pos="1588"/>
        <w:tab w:val="clear" w:pos="1985"/>
      </w:tabs>
      <w:overflowPunct/>
      <w:autoSpaceDE/>
      <w:autoSpaceDN/>
      <w:adjustRightInd/>
      <w:spacing w:before="0" w:line="259" w:lineRule="auto"/>
      <w:ind w:left="1980" w:hanging="220"/>
      <w:textAlignment w:val="auto"/>
    </w:pPr>
    <w:rPr>
      <w:rFonts w:eastAsiaTheme="minorEastAsia" w:cstheme="minorBidi"/>
      <w:sz w:val="18"/>
      <w:szCs w:val="18"/>
      <w:lang w:val="en-US" w:eastAsia="zh-CN"/>
    </w:rPr>
  </w:style>
  <w:style w:type="paragraph" w:styleId="IndexHeading">
    <w:name w:val="index heading"/>
    <w:basedOn w:val="Normal"/>
    <w:next w:val="Index1"/>
    <w:uiPriority w:val="99"/>
    <w:unhideWhenUsed/>
    <w:rsid w:val="006D51CF"/>
    <w:pPr>
      <w:tabs>
        <w:tab w:val="clear" w:pos="794"/>
        <w:tab w:val="clear" w:pos="1191"/>
        <w:tab w:val="clear" w:pos="1588"/>
        <w:tab w:val="clear" w:pos="1985"/>
      </w:tabs>
      <w:overflowPunct/>
      <w:autoSpaceDE/>
      <w:autoSpaceDN/>
      <w:adjustRightInd/>
      <w:spacing w:before="240" w:after="120" w:line="259" w:lineRule="auto"/>
      <w:jc w:val="center"/>
      <w:textAlignment w:val="auto"/>
    </w:pPr>
    <w:rPr>
      <w:rFonts w:eastAsiaTheme="minorEastAsia" w:cstheme="minorBidi"/>
      <w:b/>
      <w:bCs/>
      <w:sz w:val="26"/>
      <w:szCs w:val="26"/>
      <w:lang w:val="en-US" w:eastAsia="zh-CN"/>
    </w:rPr>
  </w:style>
  <w:style w:type="paragraph" w:styleId="TOC9">
    <w:name w:val="toc 9"/>
    <w:basedOn w:val="Normal"/>
    <w:next w:val="Normal"/>
    <w:autoRedefine/>
    <w:uiPriority w:val="39"/>
    <w:unhideWhenUsed/>
    <w:rsid w:val="006D51CF"/>
    <w:pPr>
      <w:tabs>
        <w:tab w:val="clear" w:pos="794"/>
        <w:tab w:val="clear" w:pos="1191"/>
        <w:tab w:val="clear" w:pos="1588"/>
        <w:tab w:val="clear" w:pos="1985"/>
      </w:tabs>
      <w:overflowPunct/>
      <w:autoSpaceDE/>
      <w:autoSpaceDN/>
      <w:adjustRightInd/>
      <w:spacing w:before="0" w:line="259" w:lineRule="auto"/>
      <w:ind w:left="1760"/>
      <w:textAlignment w:val="auto"/>
    </w:pPr>
    <w:rPr>
      <w:rFonts w:eastAsiaTheme="minorEastAsia" w:cstheme="minorBidi"/>
      <w:sz w:val="20"/>
      <w:lang w:val="en-US" w:eastAsia="zh-CN"/>
    </w:rPr>
  </w:style>
  <w:style w:type="table" w:customStyle="1" w:styleId="TableGrid2">
    <w:name w:val="Table Grid2"/>
    <w:basedOn w:val="TableNormal"/>
    <w:next w:val="TableGrid"/>
    <w:uiPriority w:val="39"/>
    <w:rsid w:val="006D51CF"/>
    <w:rPr>
      <w:rFonts w:asciiTheme="minorHAnsi" w:eastAsiaTheme="minorEastAsia" w:hAnsiTheme="minorHAnsi" w:cstheme="minorBid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1">
    <w:name w:val="List Table 1 Light Accent 1"/>
    <w:basedOn w:val="TableNormal"/>
    <w:uiPriority w:val="46"/>
    <w:rsid w:val="006D51CF"/>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1">
    <w:name w:val="List Table 2 Accent 1"/>
    <w:basedOn w:val="TableNormal"/>
    <w:uiPriority w:val="47"/>
    <w:rsid w:val="006D51CF"/>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6D51C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6D51C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Date">
    <w:name w:val="Date"/>
    <w:basedOn w:val="Normal"/>
    <w:next w:val="Normal"/>
    <w:link w:val="DateChar"/>
    <w:rsid w:val="006D51CF"/>
    <w:rPr>
      <w:lang w:val="en-GB"/>
    </w:rPr>
  </w:style>
  <w:style w:type="character" w:customStyle="1" w:styleId="DateChar">
    <w:name w:val="Date Char"/>
    <w:basedOn w:val="DefaultParagraphFont"/>
    <w:link w:val="Date"/>
    <w:rsid w:val="006D51CF"/>
    <w:rPr>
      <w:rFonts w:ascii="Times New Roman" w:hAnsi="Times New Roman"/>
      <w:sz w:val="24"/>
      <w:lang w:val="en-GB" w:eastAsia="en-US"/>
    </w:rPr>
  </w:style>
  <w:style w:type="paragraph" w:customStyle="1" w:styleId="Tablefin">
    <w:name w:val="Table_fin"/>
    <w:basedOn w:val="Tabletext"/>
    <w:rsid w:val="006D51CF"/>
    <w:rPr>
      <w:sz w:val="20"/>
      <w:lang w:val="en-GB"/>
    </w:rPr>
  </w:style>
  <w:style w:type="table" w:customStyle="1" w:styleId="ListTable1Light-Accent11">
    <w:name w:val="List Table 1 Light - Accent 11"/>
    <w:basedOn w:val="TableNormal"/>
    <w:next w:val="ListTable1Light-Accent1"/>
    <w:uiPriority w:val="46"/>
    <w:rsid w:val="006D51CF"/>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6D51CF"/>
    <w:rPr>
      <w:color w:val="605E5C"/>
      <w:shd w:val="clear" w:color="auto" w:fill="E1DFDD"/>
    </w:rPr>
  </w:style>
  <w:style w:type="paragraph" w:customStyle="1" w:styleId="paragraph">
    <w:name w:val="paragraph"/>
    <w:basedOn w:val="Normal"/>
    <w:rsid w:val="006D51CF"/>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GB" w:eastAsia="en-GB"/>
    </w:rPr>
  </w:style>
  <w:style w:type="character" w:customStyle="1" w:styleId="normaltextrun">
    <w:name w:val="normaltextrun"/>
    <w:basedOn w:val="DefaultParagraphFont"/>
    <w:rsid w:val="006D51CF"/>
  </w:style>
  <w:style w:type="character" w:customStyle="1" w:styleId="eop">
    <w:name w:val="eop"/>
    <w:basedOn w:val="DefaultParagraphFont"/>
    <w:rsid w:val="006D51CF"/>
  </w:style>
  <w:style w:type="character" w:customStyle="1" w:styleId="scxw8478885">
    <w:name w:val="scxw8478885"/>
    <w:basedOn w:val="DefaultParagraphFont"/>
    <w:rsid w:val="006D51CF"/>
  </w:style>
  <w:style w:type="character" w:customStyle="1" w:styleId="ms-rtethemebackcolor-1-0">
    <w:name w:val="ms-rtethemebackcolor-1-0"/>
    <w:basedOn w:val="DefaultParagraphFont"/>
    <w:rsid w:val="006D51CF"/>
  </w:style>
  <w:style w:type="table" w:customStyle="1" w:styleId="GridTable5Dark-Accent11">
    <w:name w:val="Grid Table 5 Dark - Accent 11"/>
    <w:basedOn w:val="TableNormal"/>
    <w:next w:val="GridTable5Dark-Accent1"/>
    <w:uiPriority w:val="50"/>
    <w:rsid w:val="006D51C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2">
    <w:name w:val="Grid Table 5 Dark - Accent 12"/>
    <w:basedOn w:val="TableNormal"/>
    <w:next w:val="GridTable5Dark-Accent1"/>
    <w:uiPriority w:val="50"/>
    <w:rsid w:val="006D51C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styleId="Mention">
    <w:name w:val="Mention"/>
    <w:basedOn w:val="DefaultParagraphFont"/>
    <w:uiPriority w:val="99"/>
    <w:unhideWhenUsed/>
    <w:rsid w:val="006D51C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R23-RAG-C-0055/es" TargetMode="External"/><Relationship Id="rId21" Type="http://schemas.openxmlformats.org/officeDocument/2006/relationships/hyperlink" Target="https://www.itu.int/md/S26-RCLCWGLANG17-C-0009/es" TargetMode="External"/><Relationship Id="rId42" Type="http://schemas.openxmlformats.org/officeDocument/2006/relationships/hyperlink" Target="https://www.itu.int/net4/proposals/CPI/WRC27" TargetMode="External"/><Relationship Id="rId47" Type="http://schemas.openxmlformats.org/officeDocument/2006/relationships/hyperlink" Target="https://www.itu.int/iris-wrc-27/es" TargetMode="External"/><Relationship Id="rId63" Type="http://schemas.openxmlformats.org/officeDocument/2006/relationships/header" Target="header1.xml"/><Relationship Id="rId68" Type="http://schemas.openxmlformats.org/officeDocument/2006/relationships/header" Target="header3.xml"/><Relationship Id="rId84" Type="http://schemas.openxmlformats.org/officeDocument/2006/relationships/image" Target="media/image8.png"/><Relationship Id="rId89" Type="http://schemas.openxmlformats.org/officeDocument/2006/relationships/header" Target="header6.xml"/><Relationship Id="rId16" Type="http://schemas.openxmlformats.org/officeDocument/2006/relationships/image" Target="media/image4.emf"/><Relationship Id="rId11" Type="http://schemas.openxmlformats.org/officeDocument/2006/relationships/hyperlink" Target="https://www.itu.int/md/S25-CL-C-0016/es" TargetMode="External"/><Relationship Id="rId32" Type="http://schemas.openxmlformats.org/officeDocument/2006/relationships/hyperlink" Target="https://www.itu.int/md/S24-CL-C-0134/es" TargetMode="External"/><Relationship Id="rId37" Type="http://schemas.openxmlformats.org/officeDocument/2006/relationships/hyperlink" Target="https://www.itu.int/md/S24-SG-CIR-0049/es" TargetMode="External"/><Relationship Id="rId53" Type="http://schemas.openxmlformats.org/officeDocument/2006/relationships/hyperlink" Target="https://www.itu.int/ITU-R/terrasys/docs" TargetMode="External"/><Relationship Id="rId58" Type="http://schemas.openxmlformats.org/officeDocument/2006/relationships/hyperlink" Target="https://www.itu.int/md/R23-WP4A-C-0830/es" TargetMode="External"/><Relationship Id="rId74" Type="http://schemas.openxmlformats.org/officeDocument/2006/relationships/hyperlink" Target="https://www.itu.int/pub/R-RES-R.75/es" TargetMode="External"/><Relationship Id="rId79" Type="http://schemas.openxmlformats.org/officeDocument/2006/relationships/hyperlink" Target="https://www.itu.int/hub/?s=Maniewicz&amp;by_time=last_year/es" TargetMode="External"/><Relationship Id="rId5" Type="http://schemas.openxmlformats.org/officeDocument/2006/relationships/webSettings" Target="webSettings.xml"/><Relationship Id="rId90" Type="http://schemas.openxmlformats.org/officeDocument/2006/relationships/footer" Target="footer2.xml"/><Relationship Id="rId22" Type="http://schemas.openxmlformats.org/officeDocument/2006/relationships/hyperlink" Target="https://www.itu.int/en/general-secretariat/ICT-Services/remoteparticipation/Pages/default.aspx" TargetMode="External"/><Relationship Id="rId27" Type="http://schemas.openxmlformats.org/officeDocument/2006/relationships/hyperlink" Target="https://www.itu.int/md/S26-SG-CIR-0006/es" TargetMode="External"/><Relationship Id="rId43" Type="http://schemas.openxmlformats.org/officeDocument/2006/relationships/hyperlink" Target="http://www.itu.int/en/ITU-R/conferences/wrc/2027/Pages/reg-prep.aspx" TargetMode="External"/><Relationship Id="rId48" Type="http://schemas.openxmlformats.org/officeDocument/2006/relationships/hyperlink" Target="https://www.itu.int/en/ITU-R/study-groups/rcpm/Pages/cpm-27.aspx" TargetMode="External"/><Relationship Id="rId64" Type="http://schemas.openxmlformats.org/officeDocument/2006/relationships/header" Target="header2.xml"/><Relationship Id="rId69" Type="http://schemas.openxmlformats.org/officeDocument/2006/relationships/header" Target="header4.xml"/><Relationship Id="rId8" Type="http://schemas.openxmlformats.org/officeDocument/2006/relationships/image" Target="media/image1.jpeg"/><Relationship Id="rId51" Type="http://schemas.openxmlformats.org/officeDocument/2006/relationships/hyperlink" Target="https://www.itu.int/md/R23-RAG-C-0062/es" TargetMode="External"/><Relationship Id="rId72" Type="http://schemas.openxmlformats.org/officeDocument/2006/relationships/hyperlink" Target="https://www.itu.int/en/ITU-R/seminars/ntfa/Pages/default.aspx" TargetMode="External"/><Relationship Id="rId80" Type="http://schemas.openxmlformats.org/officeDocument/2006/relationships/hyperlink" Target="https://www.itu.int/es/ITU-R/Pages/default.aspx" TargetMode="External"/><Relationship Id="rId85" Type="http://schemas.openxmlformats.org/officeDocument/2006/relationships/hyperlink" Target="https://www.itu.int/pub/R-RES-R.72/es"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itu.int/md/S26-CWGFHR22-C-0036/es" TargetMode="External"/><Relationship Id="rId17" Type="http://schemas.openxmlformats.org/officeDocument/2006/relationships/hyperlink" Target="https://www.itu.int/md/S26-CWGFHR22-C-0021/es" TargetMode="External"/><Relationship Id="rId25" Type="http://schemas.openxmlformats.org/officeDocument/2006/relationships/hyperlink" Target="https://www.itu.int/md/S26-CWGSFP4-C-0006/es" TargetMode="External"/><Relationship Id="rId33" Type="http://schemas.openxmlformats.org/officeDocument/2006/relationships/hyperlink" Target="https://www.itu.int/md/S24-CL-C-0109/es" TargetMode="External"/><Relationship Id="rId38" Type="http://schemas.openxmlformats.org/officeDocument/2006/relationships/hyperlink" Target="https://www.itu.int/wrc-27/es" TargetMode="External"/><Relationship Id="rId46" Type="http://schemas.openxmlformats.org/officeDocument/2006/relationships/hyperlink" Target="https://www.itu.int/iris-wrc-27/2025/es" TargetMode="External"/><Relationship Id="rId59" Type="http://schemas.openxmlformats.org/officeDocument/2006/relationships/hyperlink" Target="https://www.itu.int/md/R00-CR-CIR-0511/es" TargetMode="External"/><Relationship Id="rId67" Type="http://schemas.openxmlformats.org/officeDocument/2006/relationships/hyperlink" Target="https://www.apt.int/" TargetMode="External"/><Relationship Id="rId20" Type="http://schemas.openxmlformats.org/officeDocument/2006/relationships/hyperlink" Target="https://www.itu.int/md/S25-CL-INF-0007/es" TargetMode="External"/><Relationship Id="rId41" Type="http://schemas.openxmlformats.org/officeDocument/2006/relationships/hyperlink" Target="https://www.itu.int/md/R23-WP4A-C-0840/es" TargetMode="External"/><Relationship Id="rId54" Type="http://schemas.openxmlformats.org/officeDocument/2006/relationships/hyperlink" Target="https://www.itu.int/md/R00-CR-CIR-0516/es" TargetMode="External"/><Relationship Id="rId62" Type="http://schemas.openxmlformats.org/officeDocument/2006/relationships/hyperlink" Target="https://www.itu.int/es/publications/ITU-R/Pages/publications.aspx?parent=R-REG-RR-2024&amp;media=electronic" TargetMode="External"/><Relationship Id="rId70" Type="http://schemas.openxmlformats.org/officeDocument/2006/relationships/header" Target="header5.xml"/><Relationship Id="rId75" Type="http://schemas.openxmlformats.org/officeDocument/2006/relationships/hyperlink" Target="https://www.itu.int/pub/R-RES-R.9/es" TargetMode="External"/><Relationship Id="rId83" Type="http://schemas.openxmlformats.org/officeDocument/2006/relationships/hyperlink" Target="https://www.itu.int/es/ITU-R/Director/Pages/default.aspx" TargetMode="External"/><Relationship Id="rId88" Type="http://schemas.openxmlformats.org/officeDocument/2006/relationships/hyperlink" Target="https://www.itu.int/now4wrc27/mentoring-programme/es" TargetMode="External"/><Relationship Id="rId9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hyperlink" Target="https://www.itu.int/md/S24-CL-C-0139/es" TargetMode="External"/><Relationship Id="rId28" Type="http://schemas.openxmlformats.org/officeDocument/2006/relationships/hyperlink" Target="https://www.itu.int/md/S26-CWGFHR22-C-0013/es" TargetMode="External"/><Relationship Id="rId36" Type="http://schemas.openxmlformats.org/officeDocument/2006/relationships/hyperlink" Target="https://www.itu.int/md/S24-SG-CIR-0038/es" TargetMode="External"/><Relationship Id="rId49" Type="http://schemas.openxmlformats.org/officeDocument/2006/relationships/hyperlink" Target="https://www.itu.int/md/S25-CL-C-0028/es" TargetMode="External"/><Relationship Id="rId57" Type="http://schemas.openxmlformats.org/officeDocument/2006/relationships/hyperlink" Target="https://www.itu.int/md/R23-WP4A-C-0343/es" TargetMode="External"/><Relationship Id="rId10" Type="http://schemas.openxmlformats.org/officeDocument/2006/relationships/hyperlink" Target="https://council.itu.int/2025/es" TargetMode="External"/><Relationship Id="rId31" Type="http://schemas.openxmlformats.org/officeDocument/2006/relationships/image" Target="media/image6.png"/><Relationship Id="rId44" Type="http://schemas.openxmlformats.org/officeDocument/2006/relationships/hyperlink" Target="https://www.itu.int/iris-wrc-27/2025/es" TargetMode="External"/><Relationship Id="rId52" Type="http://schemas.openxmlformats.org/officeDocument/2006/relationships/hyperlink" Target="https://www.itu.int/ITU-R/terrasys" TargetMode="External"/><Relationship Id="rId60" Type="http://schemas.openxmlformats.org/officeDocument/2006/relationships/hyperlink" Target="https://www.itu.int/ITU-R/BR-GeoCatalogue/?.language=es" TargetMode="External"/><Relationship Id="rId65" Type="http://schemas.openxmlformats.org/officeDocument/2006/relationships/hyperlink" Target="https://communication.gouv.dj/" TargetMode="External"/><Relationship Id="rId73" Type="http://schemas.openxmlformats.org/officeDocument/2006/relationships/hyperlink" Target="https://www.itu.int/dms_pub/itu-r/oth/0a/0e/R0A0E0000EC0001PDFE.pdf" TargetMode="External"/><Relationship Id="rId78" Type="http://schemas.openxmlformats.org/officeDocument/2006/relationships/hyperlink" Target="brweb@itu.int" TargetMode="External"/><Relationship Id="rId81" Type="http://schemas.openxmlformats.org/officeDocument/2006/relationships/hyperlink" Target="https://www.itu.int/en/mediacentre/backgrounders/Pages/default.aspx/es" TargetMode="External"/><Relationship Id="rId86" Type="http://schemas.openxmlformats.org/officeDocument/2006/relationships/hyperlink" Target="https://www.itu.int/now4wrc27/es" TargetMode="External"/><Relationship Id="rId4" Type="http://schemas.openxmlformats.org/officeDocument/2006/relationships/settings" Target="settings.xml"/><Relationship Id="rId9" Type="http://schemas.openxmlformats.org/officeDocument/2006/relationships/hyperlink" Target="https://www.itu.int/md/R00-CA-CIR-0280/es" TargetMode="External"/><Relationship Id="rId13" Type="http://schemas.openxmlformats.org/officeDocument/2006/relationships/hyperlink" Target="https://www.itu.int/md/S23-CL-C-0115/es" TargetMode="External"/><Relationship Id="rId18" Type="http://schemas.openxmlformats.org/officeDocument/2006/relationships/image" Target="media/image5.png"/><Relationship Id="rId39" Type="http://schemas.openxmlformats.org/officeDocument/2006/relationships/hyperlink" Target="http://www.itu.int/go/rcpm-wrc-27-studies" TargetMode="External"/><Relationship Id="rId34" Type="http://schemas.openxmlformats.org/officeDocument/2006/relationships/hyperlink" Target="https://www.itu.int/md/S25-CL-C-0118/es" TargetMode="External"/><Relationship Id="rId50" Type="http://schemas.openxmlformats.org/officeDocument/2006/relationships/hyperlink" Target="https://www.itu.int/md/S25-CL-C-0115/es" TargetMode="External"/><Relationship Id="rId55" Type="http://schemas.openxmlformats.org/officeDocument/2006/relationships/hyperlink" Target="https://www.itu.int/md/R00-CR-CIR-0526/es" TargetMode="External"/><Relationship Id="rId76" Type="http://schemas.openxmlformats.org/officeDocument/2006/relationships/hyperlink" Target="https://www.itu.int/en/ITU-R/study-groups/Pages/itu-r-patent-information.aspx" TargetMode="External"/><Relationship Id="rId7" Type="http://schemas.openxmlformats.org/officeDocument/2006/relationships/endnotes" Target="endnotes.xml"/><Relationship Id="rId71" Type="http://schemas.openxmlformats.org/officeDocument/2006/relationships/footer" Target="footer1.xm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www.itu.int/md/S26-CWGFHR22-C-0013/es" TargetMode="External"/><Relationship Id="rId24" Type="http://schemas.openxmlformats.org/officeDocument/2006/relationships/hyperlink" Target="https://www.itu.int/md/R23-RAG-C-0051/es" TargetMode="External"/><Relationship Id="rId40" Type="http://schemas.openxmlformats.org/officeDocument/2006/relationships/hyperlink" Target="http://www.itu.int/en/ITU-R/study-groups/rcpm/Pages/wrc-31-preliminary-studies.aspx" TargetMode="External"/><Relationship Id="rId45" Type="http://schemas.openxmlformats.org/officeDocument/2006/relationships/hyperlink" Target="https://www.itu.int/iris-wrc-27/2025/es" TargetMode="External"/><Relationship Id="rId66" Type="http://schemas.openxmlformats.org/officeDocument/2006/relationships/hyperlink" Target="https://www.sica.int/comtelca" TargetMode="External"/><Relationship Id="rId87" Type="http://schemas.openxmlformats.org/officeDocument/2006/relationships/hyperlink" Target="https://www.itu.int/now4wrc27/mentoring-programme" TargetMode="External"/><Relationship Id="rId61" Type="http://schemas.openxmlformats.org/officeDocument/2006/relationships/hyperlink" Target="https://www.itu.int/pub/R-REG-RR-2020/es" TargetMode="External"/><Relationship Id="rId82" Type="http://schemas.openxmlformats.org/officeDocument/2006/relationships/hyperlink" Target="https://www.itu.int/en/ITU-R/Director/Pages/default.aspx" TargetMode="External"/><Relationship Id="rId19" Type="http://schemas.openxmlformats.org/officeDocument/2006/relationships/hyperlink" Target="https://www.itu.int/md/S25-CL-C-0012/es" TargetMode="External"/><Relationship Id="rId14" Type="http://schemas.openxmlformats.org/officeDocument/2006/relationships/image" Target="media/image2.png"/><Relationship Id="rId30" Type="http://schemas.openxmlformats.org/officeDocument/2006/relationships/hyperlink" Target="https://www.itu.int/md/S24-CL-C-0063/es" TargetMode="External"/><Relationship Id="rId35" Type="http://schemas.openxmlformats.org/officeDocument/2006/relationships/hyperlink" Target="https://www.itu.int/md/S24-CL-C-0125/es" TargetMode="External"/><Relationship Id="rId56" Type="http://schemas.openxmlformats.org/officeDocument/2006/relationships/hyperlink" Target="https://www.itu.int/space-argus/es" TargetMode="External"/><Relationship Id="rId77"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www.itu.int/initiatives/gender-equality/gender-dashboard/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da\AppData\Roaming\Microsoft\Templates\POOL%20S%20-%20ITU\BR\PS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7DB90-9953-4C99-9F2B-61F9B6850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PS_RAG.dotm</Template>
  <TotalTime>392</TotalTime>
  <Pages>37</Pages>
  <Words>14342</Words>
  <Characters>75559</Characters>
  <Application>Microsoft Office Word</Application>
  <DocSecurity>0</DocSecurity>
  <Lines>1778</Lines>
  <Paragraphs>991</Paragraphs>
  <ScaleCrop>false</ScaleCrop>
  <HeadingPairs>
    <vt:vector size="2" baseType="variant">
      <vt:variant>
        <vt:lpstr>Title</vt:lpstr>
      </vt:variant>
      <vt:variant>
        <vt:i4>1</vt:i4>
      </vt:variant>
    </vt:vector>
  </HeadingPairs>
  <TitlesOfParts>
    <vt:vector size="1" baseType="lpstr">
      <vt:lpstr>INFORME A LA TRIGÉSIMO TERCERA REUNIÓN DEL GRUPO ASESOR DE RADIOCOMUNICACIONES</vt:lpstr>
    </vt:vector>
  </TitlesOfParts>
  <Manager>General Secretariat - Pool</Manager>
  <Company>International Telecommunication Union (ITU)</Company>
  <LinksUpToDate>false</LinksUpToDate>
  <CharactersWithSpaces>89131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A LA TRIGÉSIMO TERCERA REUNIÓN DEL GRUPO ASESOR DE RADIOCOMUNICACIONES</dc:title>
  <dc:subject>GRUPO ASESOR DE RADIOCOMUNICACIONES</dc:subject>
  <dc:creator>Director de la Oficina de Radiocomunicaciones</dc:creator>
  <cp:keywords>RAG03-1</cp:keywords>
  <dc:description>Documento RAG/58-S  For: _x000d_Document date: 19 de febrero de 2026_x000d_Saved by ITU51015594 at 16:51:43 on 24/02/2026</dc:description>
  <cp:lastModifiedBy>Spanish</cp:lastModifiedBy>
  <cp:revision>49</cp:revision>
  <cp:lastPrinted>1993-02-18T11:12:00Z</cp:lastPrinted>
  <dcterms:created xsi:type="dcterms:W3CDTF">2026-02-23T15:21:00Z</dcterms:created>
  <dcterms:modified xsi:type="dcterms:W3CDTF">2026-02-24T15:51:00Z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RAG/58-S</vt:lpwstr>
  </property>
  <property fmtid="{D5CDD505-2E9C-101B-9397-08002B2CF9AE}" pid="3" name="Docdate">
    <vt:lpwstr>19 de febrero de 2026</vt:lpwstr>
  </property>
  <property fmtid="{D5CDD505-2E9C-101B-9397-08002B2CF9AE}" pid="4" name="Docorlang">
    <vt:lpwstr>Original: inglés</vt:lpwstr>
  </property>
  <property fmtid="{D5CDD505-2E9C-101B-9397-08002B2CF9AE}" pid="5" name="Docauthor">
    <vt:lpwstr>Director de la Oficina de Radiocomunicaciones</vt:lpwstr>
  </property>
</Properties>
</file>