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71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A66BD6" w14:paraId="0FC37AC2" w14:textId="77777777" w:rsidTr="00BF5F40">
        <w:trPr>
          <w:cantSplit/>
        </w:trPr>
        <w:tc>
          <w:tcPr>
            <w:tcW w:w="6771" w:type="dxa"/>
            <w:vAlign w:val="center"/>
          </w:tcPr>
          <w:p w14:paraId="0C5A3D82" w14:textId="77777777" w:rsidR="0020275A" w:rsidRPr="00A66BD6" w:rsidRDefault="0020275A" w:rsidP="00BF5F40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A66BD6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 w:rsidRPr="00A66BD6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118" w:type="dxa"/>
            <w:vAlign w:val="center"/>
          </w:tcPr>
          <w:p w14:paraId="7CF64BB6" w14:textId="77777777" w:rsidR="0020275A" w:rsidRPr="00A66BD6" w:rsidRDefault="00B239A0" w:rsidP="00BF5F40">
            <w:pPr>
              <w:shd w:val="solid" w:color="FFFFFF" w:fill="FFFFFF"/>
              <w:spacing w:before="0"/>
              <w:jc w:val="right"/>
            </w:pPr>
            <w:r w:rsidRPr="00A66BD6">
              <w:rPr>
                <w:lang w:eastAsia="zh-CN"/>
              </w:rPr>
              <w:drawing>
                <wp:inline distT="0" distB="0" distL="0" distR="0" wp14:anchorId="70A5661F" wp14:editId="144B9665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A66BD6" w14:paraId="2B418D65" w14:textId="77777777" w:rsidTr="00BF5F40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59491ED8" w14:textId="77777777" w:rsidR="0051782D" w:rsidRPr="00A66BD6" w:rsidRDefault="0051782D" w:rsidP="00BF5F40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6531316A" w14:textId="77777777" w:rsidR="0051782D" w:rsidRPr="00A66BD6" w:rsidRDefault="0051782D" w:rsidP="00BF5F40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A66BD6" w14:paraId="74365D49" w14:textId="77777777" w:rsidTr="00BF5F40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0CDA2606" w14:textId="77777777" w:rsidR="0051782D" w:rsidRPr="00A66BD6" w:rsidRDefault="0051782D" w:rsidP="00BF5F40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27F16EDA" w14:textId="77777777" w:rsidR="0051782D" w:rsidRPr="00A66BD6" w:rsidRDefault="0051782D" w:rsidP="00BF5F40">
            <w:pPr>
              <w:shd w:val="solid" w:color="FFFFFF" w:fill="FFFFFF"/>
              <w:spacing w:before="0" w:after="48"/>
            </w:pPr>
          </w:p>
        </w:tc>
      </w:tr>
      <w:tr w:rsidR="0051782D" w:rsidRPr="00A66BD6" w14:paraId="62722A26" w14:textId="77777777" w:rsidTr="00BF5F40">
        <w:trPr>
          <w:cantSplit/>
        </w:trPr>
        <w:tc>
          <w:tcPr>
            <w:tcW w:w="6771" w:type="dxa"/>
            <w:vMerge w:val="restart"/>
          </w:tcPr>
          <w:p w14:paraId="64A5AD48" w14:textId="77777777" w:rsidR="0051782D" w:rsidRPr="00A66BD6" w:rsidRDefault="0051782D" w:rsidP="00BF5F40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42F5956C" w14:textId="0733A398" w:rsidR="0051782D" w:rsidRPr="00A66BD6" w:rsidRDefault="006262A3" w:rsidP="00BF5F40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A66BD6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A66BD6">
              <w:rPr>
                <w:rFonts w:ascii="Verdana" w:hAnsi="Verdana"/>
                <w:b/>
                <w:sz w:val="18"/>
                <w:szCs w:val="18"/>
              </w:rPr>
              <w:t xml:space="preserve"> RAG/</w:t>
            </w:r>
            <w:r w:rsidR="00BF5F40" w:rsidRPr="00A66BD6">
              <w:rPr>
                <w:rFonts w:ascii="Verdana" w:hAnsi="Verdana"/>
                <w:b/>
                <w:sz w:val="18"/>
                <w:szCs w:val="18"/>
              </w:rPr>
              <w:t>58</w:t>
            </w:r>
            <w:r w:rsidR="00BD7223" w:rsidRPr="00A66BD6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A66BD6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A66BD6" w14:paraId="083C362D" w14:textId="77777777" w:rsidTr="00BF5F40">
        <w:trPr>
          <w:cantSplit/>
        </w:trPr>
        <w:tc>
          <w:tcPr>
            <w:tcW w:w="6771" w:type="dxa"/>
            <w:vMerge/>
          </w:tcPr>
          <w:p w14:paraId="50C7CC72" w14:textId="77777777" w:rsidR="0051782D" w:rsidRPr="00A66BD6" w:rsidRDefault="0051782D" w:rsidP="00BF5F40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1BFB06AF" w14:textId="628E48EB" w:rsidR="0051782D" w:rsidRPr="00A66BD6" w:rsidRDefault="00BF5F40" w:rsidP="00BF5F40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A66BD6">
              <w:rPr>
                <w:rFonts w:ascii="Verdana" w:hAnsi="Verdana"/>
                <w:b/>
                <w:sz w:val="18"/>
                <w:szCs w:val="18"/>
              </w:rPr>
              <w:t>19 февраля 2026 года</w:t>
            </w:r>
          </w:p>
        </w:tc>
      </w:tr>
      <w:tr w:rsidR="0051782D" w:rsidRPr="00A66BD6" w14:paraId="061C5442" w14:textId="77777777" w:rsidTr="00BF5F40">
        <w:trPr>
          <w:cantSplit/>
        </w:trPr>
        <w:tc>
          <w:tcPr>
            <w:tcW w:w="6771" w:type="dxa"/>
            <w:vMerge/>
          </w:tcPr>
          <w:p w14:paraId="08F72495" w14:textId="77777777" w:rsidR="0051782D" w:rsidRPr="00A66BD6" w:rsidRDefault="0051782D" w:rsidP="00BF5F40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0C431F81" w14:textId="36CBFB6B" w:rsidR="0051782D" w:rsidRPr="00A66BD6" w:rsidRDefault="006262A3" w:rsidP="00BF5F40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A66BD6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BF5F40" w:rsidRPr="00A66BD6">
              <w:rPr>
                <w:rFonts w:ascii="Verdana" w:hAnsi="Verdana"/>
                <w:b/>
                <w:sz w:val="18"/>
                <w:szCs w:val="18"/>
              </w:rPr>
              <w:t>английский</w:t>
            </w:r>
          </w:p>
        </w:tc>
      </w:tr>
      <w:tr w:rsidR="00093C73" w:rsidRPr="00A66BD6" w14:paraId="314F282C" w14:textId="77777777" w:rsidTr="00BF5F40">
        <w:trPr>
          <w:cantSplit/>
        </w:trPr>
        <w:tc>
          <w:tcPr>
            <w:tcW w:w="9889" w:type="dxa"/>
            <w:gridSpan w:val="2"/>
          </w:tcPr>
          <w:p w14:paraId="07D92AE4" w14:textId="7A552480" w:rsidR="00093C73" w:rsidRPr="00A66BD6" w:rsidRDefault="00BF5F40" w:rsidP="00BF5F40">
            <w:pPr>
              <w:pStyle w:val="Source"/>
            </w:pPr>
            <w:bookmarkStart w:id="3" w:name="dsource" w:colFirst="0" w:colLast="0"/>
            <w:bookmarkEnd w:id="2"/>
            <w:r w:rsidRPr="00A66BD6">
              <w:rPr>
                <w:bCs/>
                <w:color w:val="000000"/>
              </w:rPr>
              <w:t>Директор Бюро радиосвязи</w:t>
            </w:r>
          </w:p>
        </w:tc>
      </w:tr>
      <w:tr w:rsidR="00093C73" w:rsidRPr="00A66BD6" w14:paraId="52E1EEA3" w14:textId="77777777" w:rsidTr="00BF5F40">
        <w:trPr>
          <w:cantSplit/>
        </w:trPr>
        <w:tc>
          <w:tcPr>
            <w:tcW w:w="9889" w:type="dxa"/>
            <w:gridSpan w:val="2"/>
          </w:tcPr>
          <w:p w14:paraId="44C4F46E" w14:textId="70886E1F" w:rsidR="00093C73" w:rsidRPr="00A66BD6" w:rsidRDefault="00BF5F40" w:rsidP="00BF5F40">
            <w:pPr>
              <w:pStyle w:val="Title1"/>
            </w:pPr>
            <w:bookmarkStart w:id="4" w:name="dtitle1" w:colFirst="0" w:colLast="0"/>
            <w:bookmarkEnd w:id="3"/>
            <w:r w:rsidRPr="00A66BD6">
              <w:rPr>
                <w:color w:val="000000"/>
              </w:rPr>
              <w:t xml:space="preserve">ОТЧЕТ ТРИДЦАТЬ ТРЕТЬЕМУ СОБРАНИЮ КОНСУЛЬТАТИВНОЙ ГРУППЫ </w:t>
            </w:r>
            <w:r w:rsidRPr="00A66BD6">
              <w:rPr>
                <w:color w:val="000000"/>
              </w:rPr>
              <w:br/>
              <w:t>ПО РАДИОСВЯЗИ</w:t>
            </w:r>
          </w:p>
        </w:tc>
      </w:tr>
      <w:bookmarkEnd w:id="4"/>
    </w:tbl>
    <w:p w14:paraId="408CB26A" w14:textId="56661BCA" w:rsidR="00585978" w:rsidRPr="00A66BD6" w:rsidRDefault="00FB6D5F" w:rsidP="00BF5F40">
      <w:pPr>
        <w:jc w:val="center"/>
        <w:rPr>
          <w:b/>
          <w:bCs/>
          <w:lang w:eastAsia="zh-CN"/>
        </w:rPr>
      </w:pPr>
      <w:r w:rsidRPr="00A66BD6">
        <w:rPr>
          <w:lang w:eastAsia="zh-CN"/>
        </w:rPr>
        <w:br w:type="page"/>
      </w:r>
      <w:r w:rsidR="00BF5F40" w:rsidRPr="00A66BD6">
        <w:rPr>
          <w:b/>
          <w:bCs/>
          <w:lang w:eastAsia="zh-CN"/>
        </w:rPr>
        <w:lastRenderedPageBreak/>
        <w:t>Содержание</w:t>
      </w:r>
    </w:p>
    <w:p w14:paraId="40A42DA7" w14:textId="4EF99555" w:rsidR="00BF5F40" w:rsidRPr="00A66BD6" w:rsidRDefault="00BF5F40" w:rsidP="00BF5F40">
      <w:pPr>
        <w:jc w:val="right"/>
        <w:rPr>
          <w:lang w:eastAsia="zh-CN"/>
        </w:rPr>
      </w:pPr>
      <w:r w:rsidRPr="00A66BD6">
        <w:rPr>
          <w:lang w:eastAsia="zh-CN"/>
        </w:rPr>
        <w:t>Стр.</w:t>
      </w:r>
    </w:p>
    <w:p w14:paraId="7062C356" w14:textId="69155F43" w:rsidR="00D20F5D" w:rsidRPr="00A66BD6" w:rsidRDefault="00D20F5D" w:rsidP="00D20F5D">
      <w:pPr>
        <w:pStyle w:val="TOC1"/>
        <w:tabs>
          <w:tab w:val="clear" w:pos="7938"/>
          <w:tab w:val="clear" w:pos="9526"/>
          <w:tab w:val="left" w:leader="dot" w:pos="8789"/>
          <w:tab w:val="right" w:pos="9639"/>
        </w:tabs>
        <w:spacing w:before="200"/>
        <w:ind w:right="851"/>
      </w:pPr>
      <w:r w:rsidRPr="00A66BD6">
        <w:rPr>
          <w:lang w:eastAsia="zh-CN"/>
        </w:rPr>
        <w:fldChar w:fldCharType="begin"/>
      </w:r>
      <w:r w:rsidRPr="00A66BD6">
        <w:rPr>
          <w:lang w:eastAsia="zh-CN"/>
        </w:rPr>
        <w:instrText xml:space="preserve"> TOC \o "1-3" \u </w:instrText>
      </w:r>
      <w:r w:rsidRPr="00A66BD6">
        <w:rPr>
          <w:lang w:eastAsia="zh-CN"/>
        </w:rPr>
        <w:fldChar w:fldCharType="separate"/>
      </w:r>
      <w:r w:rsidRPr="00A66BD6">
        <w:t>1</w:t>
      </w:r>
      <w:r w:rsidRPr="00A66BD6">
        <w:tab/>
        <w:t>Введение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_Toc223957769 \h </w:instrText>
      </w:r>
      <w:r w:rsidRPr="00A66BD6">
        <w:fldChar w:fldCharType="separate"/>
      </w:r>
      <w:r w:rsidRPr="00A66BD6">
        <w:t>5</w:t>
      </w:r>
      <w:r w:rsidRPr="00A66BD6">
        <w:fldChar w:fldCharType="end"/>
      </w:r>
    </w:p>
    <w:p w14:paraId="17ECB80D" w14:textId="73F47C28" w:rsidR="00D20F5D" w:rsidRPr="00A66BD6" w:rsidRDefault="00D20F5D" w:rsidP="00D20F5D">
      <w:pPr>
        <w:pStyle w:val="TOC1"/>
        <w:tabs>
          <w:tab w:val="clear" w:pos="7938"/>
          <w:tab w:val="clear" w:pos="9526"/>
          <w:tab w:val="left" w:leader="dot" w:pos="8789"/>
          <w:tab w:val="right" w:pos="9639"/>
        </w:tabs>
        <w:spacing w:before="200"/>
        <w:ind w:right="851"/>
      </w:pPr>
      <w:r w:rsidRPr="00A66BD6">
        <w:t>2</w:t>
      </w:r>
      <w:r w:rsidRPr="00A66BD6">
        <w:tab/>
        <w:t>Вопросы, рассматриваемые Советом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_Toc223957770 \h </w:instrText>
      </w:r>
      <w:r w:rsidRPr="00A66BD6">
        <w:fldChar w:fldCharType="separate"/>
      </w:r>
      <w:r w:rsidRPr="00A66BD6">
        <w:t>5</w:t>
      </w:r>
      <w:r w:rsidRPr="00A66BD6">
        <w:fldChar w:fldCharType="end"/>
      </w:r>
    </w:p>
    <w:p w14:paraId="6F5D7D4C" w14:textId="21BD383C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1276"/>
          <w:tab w:val="left" w:leader="dot" w:pos="8789"/>
          <w:tab w:val="right" w:pos="9639"/>
        </w:tabs>
        <w:spacing w:before="80"/>
        <w:ind w:left="1276" w:right="851" w:hanging="709"/>
      </w:pPr>
      <w:r w:rsidRPr="00A66BD6">
        <w:t>2.1</w:t>
      </w:r>
      <w:r w:rsidRPr="00A66BD6">
        <w:tab/>
        <w:t>Возмещение затрат на обработку заявок на регистрацию спутниковых сетей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_Toc223957771 \h </w:instrText>
      </w:r>
      <w:r w:rsidRPr="00A66BD6">
        <w:fldChar w:fldCharType="separate"/>
      </w:r>
      <w:r w:rsidRPr="00A66BD6">
        <w:t>5</w:t>
      </w:r>
      <w:r w:rsidRPr="00A66BD6">
        <w:fldChar w:fldCharType="end"/>
      </w:r>
    </w:p>
    <w:p w14:paraId="709CBDC0" w14:textId="1AAFB032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2.1.1</w:t>
      </w:r>
      <w:r w:rsidRPr="00A66BD6">
        <w:tab/>
        <w:t>Решение 482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_Toc223957772 \h </w:instrText>
      </w:r>
      <w:r w:rsidRPr="00A66BD6">
        <w:fldChar w:fldCharType="separate"/>
      </w:r>
      <w:r w:rsidRPr="00A66BD6">
        <w:t>5</w:t>
      </w:r>
      <w:r w:rsidRPr="00A66BD6">
        <w:fldChar w:fldCharType="end"/>
      </w:r>
    </w:p>
    <w:p w14:paraId="48285361" w14:textId="39F60783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2.1.2</w:t>
      </w:r>
      <w:r w:rsidRPr="00A66BD6">
        <w:tab/>
        <w:t>Доходы будущих периодов ввиду нехватки ресурсов для обработки информации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_Toc223957773 \h </w:instrText>
      </w:r>
      <w:r w:rsidRPr="00A66BD6">
        <w:fldChar w:fldCharType="separate"/>
      </w:r>
      <w:r w:rsidRPr="00A66BD6">
        <w:t>6</w:t>
      </w:r>
      <w:r w:rsidRPr="00A66BD6">
        <w:fldChar w:fldCharType="end"/>
      </w:r>
    </w:p>
    <w:p w14:paraId="4E1387FB" w14:textId="2BC60BBC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1276"/>
          <w:tab w:val="left" w:leader="dot" w:pos="8789"/>
          <w:tab w:val="right" w:pos="9639"/>
        </w:tabs>
        <w:spacing w:before="80"/>
        <w:ind w:left="1276" w:right="851" w:hanging="709"/>
      </w:pPr>
      <w:r w:rsidRPr="00A66BD6">
        <w:t>2.2</w:t>
      </w:r>
      <w:r w:rsidRPr="00A66BD6">
        <w:tab/>
        <w:t>Бюджет на 2024–2025 годы и бюджет на 2026–2027 годы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_Toc223957774 \h </w:instrText>
      </w:r>
      <w:r w:rsidRPr="00A66BD6">
        <w:fldChar w:fldCharType="separate"/>
      </w:r>
      <w:r w:rsidRPr="00A66BD6">
        <w:t>6</w:t>
      </w:r>
      <w:r w:rsidRPr="00A66BD6">
        <w:fldChar w:fldCharType="end"/>
      </w:r>
    </w:p>
    <w:p w14:paraId="5E54768F" w14:textId="2396F871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1276"/>
          <w:tab w:val="left" w:leader="dot" w:pos="8789"/>
          <w:tab w:val="right" w:pos="9639"/>
        </w:tabs>
        <w:spacing w:before="80"/>
        <w:ind w:left="1276" w:right="851" w:hanging="709"/>
      </w:pPr>
      <w:r w:rsidRPr="00A66BD6">
        <w:t>2.3</w:t>
      </w:r>
      <w:r w:rsidRPr="00A66BD6">
        <w:tab/>
        <w:t>Использование шести официальных языков Союза на равной основе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_Toc223957775 \h </w:instrText>
      </w:r>
      <w:r w:rsidRPr="00A66BD6">
        <w:fldChar w:fldCharType="separate"/>
      </w:r>
      <w:r w:rsidRPr="00A66BD6">
        <w:t>9</w:t>
      </w:r>
      <w:r w:rsidRPr="00A66BD6">
        <w:fldChar w:fldCharType="end"/>
      </w:r>
    </w:p>
    <w:p w14:paraId="695525A3" w14:textId="2FA9DA25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1276"/>
          <w:tab w:val="left" w:leader="dot" w:pos="8789"/>
          <w:tab w:val="right" w:pos="9639"/>
        </w:tabs>
        <w:spacing w:before="80"/>
        <w:ind w:left="1276" w:right="851" w:hanging="709"/>
      </w:pPr>
      <w:r w:rsidRPr="00A66BD6">
        <w:t>2.4</w:t>
      </w:r>
      <w:r w:rsidRPr="00A66BD6">
        <w:tab/>
        <w:t>Дистанционное участие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_Toc223957776 \h </w:instrText>
      </w:r>
      <w:r w:rsidRPr="00A66BD6">
        <w:fldChar w:fldCharType="separate"/>
      </w:r>
      <w:r w:rsidRPr="00A66BD6">
        <w:t>9</w:t>
      </w:r>
      <w:r w:rsidRPr="00A66BD6">
        <w:fldChar w:fldCharType="end"/>
      </w:r>
    </w:p>
    <w:p w14:paraId="0291C851" w14:textId="3FBBB79B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1276"/>
          <w:tab w:val="left" w:leader="dot" w:pos="8789"/>
          <w:tab w:val="right" w:pos="9639"/>
        </w:tabs>
        <w:spacing w:before="80"/>
        <w:ind w:left="1276" w:right="851" w:hanging="709"/>
      </w:pPr>
      <w:r w:rsidRPr="00A66BD6">
        <w:t>2.5</w:t>
      </w:r>
      <w:r w:rsidRPr="00A66BD6">
        <w:tab/>
        <w:t>Стратегический и Финансовый планы на 2028–2031 годы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_Toc223957777 \h </w:instrText>
      </w:r>
      <w:r w:rsidRPr="00A66BD6">
        <w:fldChar w:fldCharType="separate"/>
      </w:r>
      <w:r w:rsidRPr="00A66BD6">
        <w:t>10</w:t>
      </w:r>
      <w:r w:rsidRPr="00A66BD6">
        <w:fldChar w:fldCharType="end"/>
      </w:r>
    </w:p>
    <w:p w14:paraId="2DBE86B2" w14:textId="4FB2764F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1276"/>
          <w:tab w:val="left" w:leader="dot" w:pos="8789"/>
          <w:tab w:val="right" w:pos="9639"/>
        </w:tabs>
        <w:spacing w:before="80"/>
        <w:ind w:left="1276" w:right="851" w:hanging="709"/>
      </w:pPr>
      <w:r w:rsidRPr="00A66BD6">
        <w:t>2.6</w:t>
      </w:r>
      <w:r w:rsidRPr="00A66BD6">
        <w:tab/>
        <w:t>Обеспечение непрерывности деятельности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_Toc223957778 \h </w:instrText>
      </w:r>
      <w:r w:rsidRPr="00A66BD6">
        <w:fldChar w:fldCharType="separate"/>
      </w:r>
      <w:r w:rsidRPr="00A66BD6">
        <w:t>10</w:t>
      </w:r>
      <w:r w:rsidRPr="00A66BD6">
        <w:fldChar w:fldCharType="end"/>
      </w:r>
    </w:p>
    <w:p w14:paraId="01422825" w14:textId="28603CFF" w:rsidR="00D20F5D" w:rsidRPr="00A66BD6" w:rsidRDefault="00D20F5D" w:rsidP="00D20F5D">
      <w:pPr>
        <w:pStyle w:val="TOC1"/>
        <w:tabs>
          <w:tab w:val="clear" w:pos="7938"/>
          <w:tab w:val="clear" w:pos="9526"/>
          <w:tab w:val="left" w:leader="dot" w:pos="8789"/>
          <w:tab w:val="right" w:pos="9639"/>
        </w:tabs>
        <w:spacing w:before="200"/>
        <w:ind w:right="851"/>
      </w:pPr>
      <w:r w:rsidRPr="00A66BD6">
        <w:t>3</w:t>
      </w:r>
      <w:r w:rsidRPr="00A66BD6">
        <w:tab/>
        <w:t>Выполнение решений ВКР-23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_Toc223957779 \h </w:instrText>
      </w:r>
      <w:r w:rsidRPr="00A66BD6">
        <w:fldChar w:fldCharType="separate"/>
      </w:r>
      <w:r w:rsidRPr="00A66BD6">
        <w:t>11</w:t>
      </w:r>
      <w:r w:rsidRPr="00A66BD6">
        <w:fldChar w:fldCharType="end"/>
      </w:r>
    </w:p>
    <w:p w14:paraId="620AD6E0" w14:textId="276CBA8F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1276"/>
          <w:tab w:val="left" w:leader="dot" w:pos="8789"/>
          <w:tab w:val="right" w:pos="9639"/>
        </w:tabs>
        <w:spacing w:before="80"/>
        <w:ind w:left="1276" w:right="851" w:hanging="709"/>
      </w:pPr>
      <w:r w:rsidRPr="00A66BD6">
        <w:t>3.1</w:t>
      </w:r>
      <w:r w:rsidRPr="00A66BD6">
        <w:tab/>
        <w:t>Выполнение решений ВКР-23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_Toc223957780 \h </w:instrText>
      </w:r>
      <w:r w:rsidRPr="00A66BD6">
        <w:fldChar w:fldCharType="separate"/>
      </w:r>
      <w:r w:rsidRPr="00A66BD6">
        <w:t>11</w:t>
      </w:r>
      <w:r w:rsidRPr="00A66BD6">
        <w:fldChar w:fldCharType="end"/>
      </w:r>
    </w:p>
    <w:p w14:paraId="54E23B7F" w14:textId="6324D1DD" w:rsidR="00D20F5D" w:rsidRPr="00A66BD6" w:rsidRDefault="00D20F5D" w:rsidP="00D20F5D">
      <w:pPr>
        <w:pStyle w:val="TOC1"/>
        <w:tabs>
          <w:tab w:val="clear" w:pos="7938"/>
          <w:tab w:val="clear" w:pos="9526"/>
          <w:tab w:val="left" w:leader="dot" w:pos="8789"/>
          <w:tab w:val="right" w:pos="9639"/>
        </w:tabs>
        <w:spacing w:before="200"/>
        <w:ind w:right="851"/>
      </w:pPr>
      <w:r w:rsidRPr="00A66BD6">
        <w:t>4</w:t>
      </w:r>
      <w:r w:rsidRPr="00A66BD6">
        <w:tab/>
        <w:t>Подготовительные мероприятия к ВКР-27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_Toc223957781 \h </w:instrText>
      </w:r>
      <w:r w:rsidRPr="00A66BD6">
        <w:fldChar w:fldCharType="separate"/>
      </w:r>
      <w:r w:rsidRPr="00A66BD6">
        <w:t>11</w:t>
      </w:r>
      <w:r w:rsidRPr="00A66BD6">
        <w:fldChar w:fldCharType="end"/>
      </w:r>
    </w:p>
    <w:p w14:paraId="06116091" w14:textId="2AA9E0C9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1276"/>
          <w:tab w:val="left" w:leader="dot" w:pos="8789"/>
          <w:tab w:val="right" w:pos="9639"/>
        </w:tabs>
        <w:spacing w:before="80"/>
        <w:ind w:left="1276" w:right="851" w:hanging="709"/>
      </w:pPr>
      <w:r w:rsidRPr="00A66BD6">
        <w:t>4.1</w:t>
      </w:r>
      <w:r w:rsidRPr="00A66BD6">
        <w:tab/>
        <w:t>Подготовка к ВКР-27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_Toc223957782 \h </w:instrText>
      </w:r>
      <w:r w:rsidRPr="00A66BD6">
        <w:fldChar w:fldCharType="separate"/>
      </w:r>
      <w:r w:rsidRPr="00A66BD6">
        <w:t>11</w:t>
      </w:r>
      <w:r w:rsidRPr="00A66BD6">
        <w:fldChar w:fldCharType="end"/>
      </w:r>
    </w:p>
    <w:p w14:paraId="63B23D97" w14:textId="64770A8C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1276"/>
          <w:tab w:val="left" w:leader="dot" w:pos="8789"/>
          <w:tab w:val="right" w:pos="9639"/>
        </w:tabs>
        <w:spacing w:before="80"/>
        <w:ind w:left="1276" w:right="851" w:hanging="709"/>
      </w:pPr>
      <w:r w:rsidRPr="00A66BD6">
        <w:t>4.2</w:t>
      </w:r>
      <w:r w:rsidRPr="00A66BD6">
        <w:tab/>
        <w:t>Другие связанные подготовительные мероприятия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_Toc223957783 \h </w:instrText>
      </w:r>
      <w:r w:rsidRPr="00A66BD6">
        <w:fldChar w:fldCharType="separate"/>
      </w:r>
      <w:r w:rsidRPr="00A66BD6">
        <w:t>12</w:t>
      </w:r>
      <w:r w:rsidRPr="00A66BD6">
        <w:fldChar w:fldCharType="end"/>
      </w:r>
    </w:p>
    <w:p w14:paraId="47F1BC6C" w14:textId="7815E1FE" w:rsidR="00D20F5D" w:rsidRPr="00A66BD6" w:rsidRDefault="00D20F5D" w:rsidP="00D20F5D">
      <w:pPr>
        <w:pStyle w:val="TOC1"/>
        <w:tabs>
          <w:tab w:val="clear" w:pos="7938"/>
          <w:tab w:val="clear" w:pos="9526"/>
          <w:tab w:val="left" w:leader="dot" w:pos="8789"/>
          <w:tab w:val="right" w:pos="9639"/>
        </w:tabs>
        <w:spacing w:before="200"/>
        <w:ind w:right="851"/>
      </w:pPr>
      <w:r w:rsidRPr="00A66BD6">
        <w:t>5</w:t>
      </w:r>
      <w:r w:rsidRPr="00A66BD6">
        <w:tab/>
        <w:t>Деятельность исследовательских комиссий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_Toc223957784 \h </w:instrText>
      </w:r>
      <w:r w:rsidRPr="00A66BD6">
        <w:fldChar w:fldCharType="separate"/>
      </w:r>
      <w:r w:rsidRPr="00A66BD6">
        <w:t>13</w:t>
      </w:r>
      <w:r w:rsidRPr="00A66BD6">
        <w:fldChar w:fldCharType="end"/>
      </w:r>
    </w:p>
    <w:p w14:paraId="1FD64AA9" w14:textId="56889061" w:rsidR="00D20F5D" w:rsidRPr="00A66BD6" w:rsidRDefault="00D20F5D" w:rsidP="00D20F5D">
      <w:pPr>
        <w:pStyle w:val="TOC1"/>
        <w:tabs>
          <w:tab w:val="clear" w:pos="7938"/>
          <w:tab w:val="clear" w:pos="9526"/>
          <w:tab w:val="left" w:leader="dot" w:pos="8789"/>
          <w:tab w:val="right" w:pos="9639"/>
        </w:tabs>
        <w:spacing w:before="200"/>
        <w:ind w:right="851"/>
      </w:pPr>
      <w:r w:rsidRPr="00A66BD6">
        <w:t>6</w:t>
      </w:r>
      <w:r w:rsidRPr="00A66BD6">
        <w:tab/>
        <w:t>Оперативное планирование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_Toc223957785 \h </w:instrText>
      </w:r>
      <w:r w:rsidRPr="00A66BD6">
        <w:fldChar w:fldCharType="separate"/>
      </w:r>
      <w:r w:rsidRPr="00A66BD6">
        <w:t>13</w:t>
      </w:r>
      <w:r w:rsidRPr="00A66BD6">
        <w:fldChar w:fldCharType="end"/>
      </w:r>
    </w:p>
    <w:p w14:paraId="7AFAFD8C" w14:textId="29149E22" w:rsidR="00D20F5D" w:rsidRPr="00A66BD6" w:rsidRDefault="00D20F5D" w:rsidP="00D20F5D">
      <w:pPr>
        <w:pStyle w:val="TOC1"/>
        <w:tabs>
          <w:tab w:val="clear" w:pos="7938"/>
          <w:tab w:val="clear" w:pos="9526"/>
          <w:tab w:val="left" w:leader="dot" w:pos="8789"/>
          <w:tab w:val="right" w:pos="9639"/>
        </w:tabs>
        <w:spacing w:before="200"/>
        <w:ind w:right="851"/>
      </w:pPr>
      <w:r w:rsidRPr="00A66BD6">
        <w:t>7</w:t>
      </w:r>
      <w:r w:rsidRPr="00A66BD6">
        <w:tab/>
        <w:t>Информационная система БР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_Toc223957786 \h </w:instrText>
      </w:r>
      <w:r w:rsidRPr="00A66BD6">
        <w:fldChar w:fldCharType="separate"/>
      </w:r>
      <w:r w:rsidRPr="00A66BD6">
        <w:t>13</w:t>
      </w:r>
      <w:r w:rsidRPr="00A66BD6">
        <w:fldChar w:fldCharType="end"/>
      </w:r>
    </w:p>
    <w:p w14:paraId="09DDE0FE" w14:textId="7E8F9783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1276"/>
          <w:tab w:val="left" w:leader="dot" w:pos="8789"/>
          <w:tab w:val="right" w:pos="9639"/>
        </w:tabs>
        <w:spacing w:before="80"/>
        <w:ind w:left="1276" w:right="851" w:hanging="709"/>
      </w:pPr>
      <w:r w:rsidRPr="00A66BD6">
        <w:t>7.1</w:t>
      </w:r>
      <w:r w:rsidRPr="00A66BD6">
        <w:tab/>
        <w:t>Программное обеспечение и инструменты для наземных служб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_Toc223957787 \h </w:instrText>
      </w:r>
      <w:r w:rsidRPr="00A66BD6">
        <w:fldChar w:fldCharType="separate"/>
      </w:r>
      <w:r w:rsidRPr="00A66BD6">
        <w:t>13</w:t>
      </w:r>
      <w:r w:rsidRPr="00A66BD6">
        <w:fldChar w:fldCharType="end"/>
      </w:r>
    </w:p>
    <w:p w14:paraId="200D30F0" w14:textId="33DB196C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7.1.1</w:t>
      </w:r>
      <w:r w:rsidRPr="00A66BD6">
        <w:tab/>
        <w:t>Выполнение решений ВКР-23, касающихся наземных служб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_Toc223957788 \h </w:instrText>
      </w:r>
      <w:r w:rsidRPr="00A66BD6">
        <w:fldChar w:fldCharType="separate"/>
      </w:r>
      <w:r w:rsidRPr="00A66BD6">
        <w:t>13</w:t>
      </w:r>
      <w:r w:rsidRPr="00A66BD6">
        <w:fldChar w:fldCharType="end"/>
      </w:r>
    </w:p>
    <w:p w14:paraId="351B37A9" w14:textId="70F41A3F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7.1.2</w:t>
      </w:r>
      <w:r w:rsidRPr="00A66BD6">
        <w:tab/>
        <w:t>Обработка запросов о координации в соответствии с пунктом 9.21 РР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_Toc223957789 \h </w:instrText>
      </w:r>
      <w:r w:rsidRPr="00A66BD6">
        <w:fldChar w:fldCharType="separate"/>
      </w:r>
      <w:r w:rsidRPr="00A66BD6">
        <w:t>14</w:t>
      </w:r>
      <w:r w:rsidRPr="00A66BD6">
        <w:fldChar w:fldCharType="end"/>
      </w:r>
    </w:p>
    <w:p w14:paraId="70332B61" w14:textId="5BD01434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7.1.3</w:t>
      </w:r>
      <w:r w:rsidRPr="00A66BD6">
        <w:tab/>
        <w:t>Обработка заявлений HAPS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_Toc223957790 \h </w:instrText>
      </w:r>
      <w:r w:rsidRPr="00A66BD6">
        <w:fldChar w:fldCharType="separate"/>
      </w:r>
      <w:r w:rsidRPr="00A66BD6">
        <w:t>14</w:t>
      </w:r>
      <w:r w:rsidRPr="00A66BD6">
        <w:fldChar w:fldCharType="end"/>
      </w:r>
    </w:p>
    <w:p w14:paraId="76141209" w14:textId="1947331A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7.1.4</w:t>
      </w:r>
      <w:r w:rsidRPr="00A66BD6">
        <w:tab/>
        <w:t>Переработка программного обеспечения для ВЧРВ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_Toc223957791 \h </w:instrText>
      </w:r>
      <w:r w:rsidRPr="00A66BD6">
        <w:fldChar w:fldCharType="separate"/>
      </w:r>
      <w:r w:rsidRPr="00A66BD6">
        <w:t>14</w:t>
      </w:r>
      <w:r w:rsidRPr="00A66BD6">
        <w:fldChar w:fldCharType="end"/>
      </w:r>
    </w:p>
    <w:p w14:paraId="7B04CF63" w14:textId="6D5C2DCB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7.1.5</w:t>
      </w:r>
      <w:r w:rsidRPr="00A66BD6">
        <w:tab/>
        <w:t>Переход с Ingres на SQL Server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_Toc223957792 \h </w:instrText>
      </w:r>
      <w:r w:rsidRPr="00A66BD6">
        <w:fldChar w:fldCharType="separate"/>
      </w:r>
      <w:r w:rsidRPr="00A66BD6">
        <w:t>14</w:t>
      </w:r>
      <w:r w:rsidRPr="00A66BD6">
        <w:fldChar w:fldCharType="end"/>
      </w:r>
    </w:p>
    <w:p w14:paraId="02950D5E" w14:textId="3998B268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7.1.6</w:t>
      </w:r>
      <w:r w:rsidRPr="00A66BD6">
        <w:tab/>
        <w:t>Проект публикаций морской службы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_Toc223957793 \h </w:instrText>
      </w:r>
      <w:r w:rsidRPr="00A66BD6">
        <w:fldChar w:fldCharType="separate"/>
      </w:r>
      <w:r w:rsidRPr="00A66BD6">
        <w:t>15</w:t>
      </w:r>
      <w:r w:rsidRPr="00A66BD6">
        <w:fldChar w:fldCharType="end"/>
      </w:r>
    </w:p>
    <w:p w14:paraId="2B2E8121" w14:textId="31A5A19B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7.1.7</w:t>
      </w:r>
      <w:r w:rsidRPr="00A66BD6">
        <w:tab/>
        <w:t>Вредные помехи наземным службам (HITS)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_Toc223957794 \h </w:instrText>
      </w:r>
      <w:r w:rsidRPr="00A66BD6">
        <w:fldChar w:fldCharType="separate"/>
      </w:r>
      <w:r w:rsidRPr="00A66BD6">
        <w:t>15</w:t>
      </w:r>
      <w:r w:rsidRPr="00A66BD6">
        <w:fldChar w:fldCharType="end"/>
      </w:r>
    </w:p>
    <w:p w14:paraId="321C8863" w14:textId="7631F393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7.1.8</w:t>
      </w:r>
      <w:r w:rsidRPr="00A66BD6">
        <w:tab/>
        <w:t>Дальнейшее совершенствование веб-инструментов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_Toc223957795 \h </w:instrText>
      </w:r>
      <w:r w:rsidRPr="00A66BD6">
        <w:fldChar w:fldCharType="separate"/>
      </w:r>
      <w:r w:rsidRPr="00A66BD6">
        <w:t>15</w:t>
      </w:r>
      <w:r w:rsidRPr="00A66BD6">
        <w:fldChar w:fldCharType="end"/>
      </w:r>
    </w:p>
    <w:p w14:paraId="0BA90DB1" w14:textId="3C0CD4E0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1276"/>
          <w:tab w:val="left" w:leader="dot" w:pos="8789"/>
          <w:tab w:val="right" w:pos="9639"/>
        </w:tabs>
        <w:spacing w:before="80"/>
        <w:ind w:left="1276" w:right="851" w:hanging="709"/>
      </w:pPr>
      <w:r w:rsidRPr="00A66BD6">
        <w:t>7.2</w:t>
      </w:r>
      <w:r w:rsidRPr="00A66BD6">
        <w:tab/>
        <w:t>Программное обеспечение и инструменты для космических служб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_Toc223957796 \h </w:instrText>
      </w:r>
      <w:r w:rsidRPr="00A66BD6">
        <w:fldChar w:fldCharType="separate"/>
      </w:r>
      <w:r w:rsidRPr="00A66BD6">
        <w:t>15</w:t>
      </w:r>
      <w:r w:rsidRPr="00A66BD6">
        <w:fldChar w:fldCharType="end"/>
      </w:r>
    </w:p>
    <w:p w14:paraId="6F7EFCF7" w14:textId="0CE33965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7.2.1</w:t>
      </w:r>
      <w:r w:rsidRPr="00A66BD6">
        <w:tab/>
        <w:t>Выполнение решений ВКР-23, касающихся космических служб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_Toc223957797 \h </w:instrText>
      </w:r>
      <w:r w:rsidRPr="00A66BD6">
        <w:fldChar w:fldCharType="separate"/>
      </w:r>
      <w:r w:rsidRPr="00A66BD6">
        <w:t>15</w:t>
      </w:r>
      <w:r w:rsidRPr="00A66BD6">
        <w:fldChar w:fldCharType="end"/>
      </w:r>
    </w:p>
    <w:p w14:paraId="75BB7C60" w14:textId="184CE32C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7.2.2</w:t>
      </w:r>
      <w:r w:rsidRPr="00A66BD6">
        <w:tab/>
        <w:t>Ход реализации дорожной карты по информационным системам БР для космических служб (КГР-19, 2012 г.)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_Toc223957798 \h </w:instrText>
      </w:r>
      <w:r w:rsidRPr="00A66BD6">
        <w:fldChar w:fldCharType="separate"/>
      </w:r>
      <w:r w:rsidRPr="00A66BD6">
        <w:t>16</w:t>
      </w:r>
      <w:r w:rsidRPr="00A66BD6">
        <w:fldChar w:fldCharType="end"/>
      </w:r>
    </w:p>
    <w:p w14:paraId="349F5767" w14:textId="63350B9A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7.2.3</w:t>
      </w:r>
      <w:r w:rsidRPr="00A66BD6">
        <w:tab/>
        <w:t>Прогресс в достижении целей этапа 2 дорожной карты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_Toc223957799 \h </w:instrText>
      </w:r>
      <w:r w:rsidRPr="00A66BD6">
        <w:fldChar w:fldCharType="separate"/>
      </w:r>
      <w:r w:rsidRPr="00A66BD6">
        <w:t>17</w:t>
      </w:r>
      <w:r w:rsidRPr="00A66BD6">
        <w:fldChar w:fldCharType="end"/>
      </w:r>
    </w:p>
    <w:p w14:paraId="5FE8CCE1" w14:textId="5B2B5EB0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7.2.4</w:t>
      </w:r>
      <w:r w:rsidRPr="00A66BD6">
        <w:tab/>
        <w:t>Прогресс в достижении целей этапа 3 дорожной карты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_Toc223957800 \h </w:instrText>
      </w:r>
      <w:r w:rsidRPr="00A66BD6">
        <w:fldChar w:fldCharType="separate"/>
      </w:r>
      <w:r w:rsidRPr="00A66BD6">
        <w:t>17</w:t>
      </w:r>
      <w:r w:rsidRPr="00A66BD6">
        <w:fldChar w:fldCharType="end"/>
      </w:r>
    </w:p>
    <w:p w14:paraId="0108B201" w14:textId="4D792199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7.2.5</w:t>
      </w:r>
      <w:r w:rsidRPr="00A66BD6">
        <w:tab/>
        <w:t>Инструменты для запросов, касающиеся космических служб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_Toc223957801 \h </w:instrText>
      </w:r>
      <w:r w:rsidRPr="00A66BD6">
        <w:fldChar w:fldCharType="separate"/>
      </w:r>
      <w:r w:rsidRPr="00A66BD6">
        <w:t>17</w:t>
      </w:r>
      <w:r w:rsidRPr="00A66BD6">
        <w:fldChar w:fldCharType="end"/>
      </w:r>
    </w:p>
    <w:p w14:paraId="0122E349" w14:textId="77777777" w:rsidR="00D20F5D" w:rsidRPr="00A66BD6" w:rsidRDefault="00D20F5D" w:rsidP="00D20F5D">
      <w:pPr>
        <w:keepNext/>
        <w:jc w:val="right"/>
        <w:rPr>
          <w:lang w:eastAsia="zh-CN"/>
        </w:rPr>
      </w:pPr>
      <w:r w:rsidRPr="00A66BD6">
        <w:rPr>
          <w:lang w:eastAsia="zh-CN"/>
        </w:rPr>
        <w:lastRenderedPageBreak/>
        <w:t>Стр.</w:t>
      </w:r>
    </w:p>
    <w:p w14:paraId="45A170CF" w14:textId="51085F61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7.2.6</w:t>
      </w:r>
      <w:r w:rsidRPr="00A66BD6">
        <w:tab/>
        <w:t>Выполнение Резолюции 55 (Пересм. ВКР-23): Представление форм заявок на спутниковые сети, земные станции и радиоастрономические станции, а также представление донесений о вредных помехах, затрагивающих космические службы, и переписка по ним в электронном формате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_Toc223957802 \h </w:instrText>
      </w:r>
      <w:r w:rsidRPr="00A66BD6">
        <w:fldChar w:fldCharType="separate"/>
      </w:r>
      <w:r w:rsidRPr="00A66BD6">
        <w:t>18</w:t>
      </w:r>
      <w:r w:rsidRPr="00A66BD6">
        <w:fldChar w:fldCharType="end"/>
      </w:r>
    </w:p>
    <w:p w14:paraId="5D7181A0" w14:textId="74E668A7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1276"/>
          <w:tab w:val="left" w:leader="dot" w:pos="8789"/>
          <w:tab w:val="right" w:pos="9639"/>
        </w:tabs>
        <w:spacing w:before="80"/>
        <w:ind w:left="1276" w:right="851" w:hanging="709"/>
      </w:pPr>
      <w:r w:rsidRPr="00A66BD6">
        <w:t>7.3</w:t>
      </w:r>
      <w:r w:rsidRPr="00A66BD6">
        <w:tab/>
        <w:t>Другое программное обеспечение и инструменты БР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_Toc223957803 \h </w:instrText>
      </w:r>
      <w:r w:rsidRPr="00A66BD6">
        <w:fldChar w:fldCharType="separate"/>
      </w:r>
      <w:r w:rsidRPr="00A66BD6">
        <w:t>19</w:t>
      </w:r>
      <w:r w:rsidRPr="00A66BD6">
        <w:fldChar w:fldCharType="end"/>
      </w:r>
    </w:p>
    <w:p w14:paraId="6686C6EA" w14:textId="093BE28C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7.3.1</w:t>
      </w:r>
      <w:r w:rsidRPr="00A66BD6">
        <w:tab/>
        <w:t>Инструменты Регламента радиосвязи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_Toc223957804 \h </w:instrText>
      </w:r>
      <w:r w:rsidRPr="00A66BD6">
        <w:fldChar w:fldCharType="separate"/>
      </w:r>
      <w:r w:rsidRPr="00A66BD6">
        <w:t>19</w:t>
      </w:r>
      <w:r w:rsidRPr="00A66BD6">
        <w:fldChar w:fldCharType="end"/>
      </w:r>
    </w:p>
    <w:p w14:paraId="5B89FF82" w14:textId="32A7C899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7.3.2</w:t>
      </w:r>
      <w:r w:rsidRPr="00A66BD6">
        <w:tab/>
        <w:t>Географические информационные системы (ГИС) БР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_Toc223957805 \h </w:instrText>
      </w:r>
      <w:r w:rsidRPr="00A66BD6">
        <w:fldChar w:fldCharType="separate"/>
      </w:r>
      <w:r w:rsidRPr="00A66BD6">
        <w:t>19</w:t>
      </w:r>
      <w:r w:rsidRPr="00A66BD6">
        <w:fldChar w:fldCharType="end"/>
      </w:r>
    </w:p>
    <w:p w14:paraId="581C0BC5" w14:textId="76DF08A3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7.3.3</w:t>
      </w:r>
      <w:r w:rsidRPr="00A66BD6">
        <w:tab/>
        <w:t>Деятельность БР в области геопространственного искусственного интеллекта (GeoAI)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_Toc223957806 \h </w:instrText>
      </w:r>
      <w:r w:rsidRPr="00A66BD6">
        <w:fldChar w:fldCharType="separate"/>
      </w:r>
      <w:r w:rsidRPr="00A66BD6">
        <w:t>20</w:t>
      </w:r>
      <w:r w:rsidRPr="00A66BD6">
        <w:fldChar w:fldCharType="end"/>
      </w:r>
    </w:p>
    <w:p w14:paraId="46FC73D6" w14:textId="48BBC1AB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1276"/>
          <w:tab w:val="left" w:leader="dot" w:pos="8789"/>
          <w:tab w:val="right" w:pos="9639"/>
        </w:tabs>
        <w:spacing w:before="80"/>
        <w:ind w:left="1276" w:right="851" w:hanging="709"/>
      </w:pPr>
      <w:r w:rsidRPr="00A66BD6">
        <w:t>7.4</w:t>
      </w:r>
      <w:r w:rsidRPr="00A66BD6">
        <w:tab/>
        <w:t>Обеспечение непрерывности деятельности и восстановления после бедствий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_Toc223957807 \h </w:instrText>
      </w:r>
      <w:r w:rsidRPr="00A66BD6">
        <w:fldChar w:fldCharType="separate"/>
      </w:r>
      <w:r w:rsidRPr="00A66BD6">
        <w:t>20</w:t>
      </w:r>
      <w:r w:rsidRPr="00A66BD6">
        <w:fldChar w:fldCharType="end"/>
      </w:r>
    </w:p>
    <w:p w14:paraId="5DF4A877" w14:textId="3BB42558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1276"/>
          <w:tab w:val="left" w:leader="dot" w:pos="8789"/>
          <w:tab w:val="right" w:pos="9639"/>
        </w:tabs>
        <w:spacing w:before="80"/>
        <w:ind w:left="1276" w:right="851" w:hanging="709"/>
      </w:pPr>
      <w:r w:rsidRPr="00A66BD6">
        <w:t>7.5</w:t>
      </w:r>
      <w:r w:rsidRPr="00A66BD6">
        <w:tab/>
        <w:t>Облачные вычисления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_Toc223957808 \h </w:instrText>
      </w:r>
      <w:r w:rsidRPr="00A66BD6">
        <w:fldChar w:fldCharType="separate"/>
      </w:r>
      <w:r w:rsidRPr="00A66BD6">
        <w:t>20</w:t>
      </w:r>
      <w:r w:rsidRPr="00A66BD6">
        <w:fldChar w:fldCharType="end"/>
      </w:r>
    </w:p>
    <w:p w14:paraId="0DEFC143" w14:textId="3EFC74AA" w:rsidR="00D20F5D" w:rsidRPr="00A66BD6" w:rsidRDefault="00D20F5D" w:rsidP="00D20F5D">
      <w:pPr>
        <w:pStyle w:val="TOC1"/>
        <w:tabs>
          <w:tab w:val="clear" w:pos="7938"/>
          <w:tab w:val="clear" w:pos="9526"/>
          <w:tab w:val="left" w:leader="dot" w:pos="8789"/>
          <w:tab w:val="right" w:pos="9639"/>
        </w:tabs>
        <w:spacing w:before="200"/>
        <w:ind w:right="851"/>
      </w:pPr>
      <w:r w:rsidRPr="00A66BD6">
        <w:t>8</w:t>
      </w:r>
      <w:r w:rsidRPr="00A66BD6">
        <w:tab/>
        <w:t>Информационно-пропагандистская деятельность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_Toc223957809 \h </w:instrText>
      </w:r>
      <w:r w:rsidRPr="00A66BD6">
        <w:fldChar w:fldCharType="separate"/>
      </w:r>
      <w:r w:rsidRPr="00A66BD6">
        <w:t>20</w:t>
      </w:r>
      <w:r w:rsidRPr="00A66BD6">
        <w:fldChar w:fldCharType="end"/>
      </w:r>
    </w:p>
    <w:p w14:paraId="41D5ED9F" w14:textId="5F157E99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1276"/>
          <w:tab w:val="left" w:leader="dot" w:pos="8789"/>
          <w:tab w:val="right" w:pos="9639"/>
        </w:tabs>
        <w:spacing w:before="80"/>
        <w:ind w:left="1276" w:right="851" w:hanging="709"/>
      </w:pPr>
      <w:r w:rsidRPr="00A66BD6">
        <w:t>8.1</w:t>
      </w:r>
      <w:r w:rsidRPr="00A66BD6">
        <w:tab/>
        <w:t>Публикации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_Toc223957810 \h </w:instrText>
      </w:r>
      <w:r w:rsidRPr="00A66BD6">
        <w:fldChar w:fldCharType="separate"/>
      </w:r>
      <w:r w:rsidRPr="00A66BD6">
        <w:t>20</w:t>
      </w:r>
      <w:r w:rsidRPr="00A66BD6">
        <w:fldChar w:fldCharType="end"/>
      </w:r>
    </w:p>
    <w:p w14:paraId="4709D523" w14:textId="76182BFB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8.1.1</w:t>
      </w:r>
      <w:r w:rsidRPr="00A66BD6">
        <w:tab/>
        <w:t>Регламентарные публикации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_Toc223957811 \h </w:instrText>
      </w:r>
      <w:r w:rsidRPr="00A66BD6">
        <w:fldChar w:fldCharType="separate"/>
      </w:r>
      <w:r w:rsidRPr="00A66BD6">
        <w:t>20</w:t>
      </w:r>
      <w:r w:rsidRPr="00A66BD6">
        <w:fldChar w:fldCharType="end"/>
      </w:r>
    </w:p>
    <w:p w14:paraId="5F427A87" w14:textId="55417AF6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8.1.2</w:t>
      </w:r>
      <w:r w:rsidRPr="00A66BD6">
        <w:tab/>
        <w:t>Служебные публикации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_Toc223957812 \h </w:instrText>
      </w:r>
      <w:r w:rsidRPr="00A66BD6">
        <w:fldChar w:fldCharType="separate"/>
      </w:r>
      <w:r w:rsidRPr="00A66BD6">
        <w:t>21</w:t>
      </w:r>
      <w:r w:rsidRPr="00A66BD6">
        <w:fldChar w:fldCharType="end"/>
      </w:r>
    </w:p>
    <w:p w14:paraId="14636C94" w14:textId="64B32292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8.1.3</w:t>
      </w:r>
      <w:r w:rsidRPr="00A66BD6">
        <w:tab/>
        <w:t>Публикации исследовательских комиссий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_Toc223957813 \h </w:instrText>
      </w:r>
      <w:r w:rsidRPr="00A66BD6">
        <w:fldChar w:fldCharType="separate"/>
      </w:r>
      <w:r w:rsidRPr="00A66BD6">
        <w:t>22</w:t>
      </w:r>
      <w:r w:rsidRPr="00A66BD6">
        <w:fldChar w:fldCharType="end"/>
      </w:r>
    </w:p>
    <w:p w14:paraId="454933F2" w14:textId="0361C272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8.1.4</w:t>
      </w:r>
      <w:r w:rsidRPr="00A66BD6">
        <w:tab/>
        <w:t>Загрузка и распространенные экземпляры публикаций МСЭ-R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_Toc223957814 \h </w:instrText>
      </w:r>
      <w:r w:rsidRPr="00A66BD6">
        <w:fldChar w:fldCharType="separate"/>
      </w:r>
      <w:r w:rsidRPr="00A66BD6">
        <w:t>22</w:t>
      </w:r>
      <w:r w:rsidRPr="00A66BD6">
        <w:fldChar w:fldCharType="end"/>
      </w:r>
    </w:p>
    <w:p w14:paraId="245A9E03" w14:textId="2FE985CC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1276"/>
          <w:tab w:val="left" w:leader="dot" w:pos="8789"/>
          <w:tab w:val="right" w:pos="9639"/>
        </w:tabs>
        <w:spacing w:before="80"/>
        <w:ind w:left="1276" w:right="851" w:hanging="709"/>
      </w:pPr>
      <w:r w:rsidRPr="00A66BD6">
        <w:t>8.2</w:t>
      </w:r>
      <w:r w:rsidRPr="00A66BD6">
        <w:tab/>
        <w:t>Семинары, семинары-практикумы и другие мероприятия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_Toc223957815 \h </w:instrText>
      </w:r>
      <w:r w:rsidRPr="00A66BD6">
        <w:fldChar w:fldCharType="separate"/>
      </w:r>
      <w:r w:rsidRPr="00A66BD6">
        <w:t>26</w:t>
      </w:r>
      <w:r w:rsidRPr="00A66BD6">
        <w:fldChar w:fldCharType="end"/>
      </w:r>
    </w:p>
    <w:p w14:paraId="436C9D6D" w14:textId="0D732E6B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8.2.1</w:t>
      </w:r>
      <w:r w:rsidRPr="00A66BD6">
        <w:tab/>
        <w:t>Всемирные семинары по радиосвязи (ВСР)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_Toc223957816 \h </w:instrText>
      </w:r>
      <w:r w:rsidRPr="00A66BD6">
        <w:fldChar w:fldCharType="separate"/>
      </w:r>
      <w:r w:rsidRPr="00A66BD6">
        <w:t>28</w:t>
      </w:r>
      <w:r w:rsidRPr="00A66BD6">
        <w:fldChar w:fldCharType="end"/>
      </w:r>
    </w:p>
    <w:p w14:paraId="38E02B40" w14:textId="4BDD981C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8.2.2</w:t>
      </w:r>
      <w:r w:rsidRPr="00A66BD6">
        <w:tab/>
        <w:t>Региональные семинары по радиосвязи (РСР)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_Toc223957817 \h </w:instrText>
      </w:r>
      <w:r w:rsidRPr="00A66BD6">
        <w:fldChar w:fldCharType="separate"/>
      </w:r>
      <w:r w:rsidRPr="00A66BD6">
        <w:t>28</w:t>
      </w:r>
      <w:r w:rsidRPr="00A66BD6">
        <w:fldChar w:fldCharType="end"/>
      </w:r>
    </w:p>
    <w:p w14:paraId="0AE80920" w14:textId="02168D38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8.2.3</w:t>
      </w:r>
      <w:r w:rsidRPr="00A66BD6">
        <w:tab/>
        <w:t>Семинары-практикумы по национальным таблицам распределения частот (NTFA)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_Toc223957818 \h </w:instrText>
      </w:r>
      <w:r w:rsidRPr="00A66BD6">
        <w:fldChar w:fldCharType="separate"/>
      </w:r>
      <w:r w:rsidRPr="00A66BD6">
        <w:t>30</w:t>
      </w:r>
      <w:r w:rsidRPr="00A66BD6">
        <w:fldChar w:fldCharType="end"/>
      </w:r>
    </w:p>
    <w:p w14:paraId="02B2C00F" w14:textId="248995A4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1276"/>
          <w:tab w:val="left" w:leader="dot" w:pos="8789"/>
          <w:tab w:val="right" w:pos="9639"/>
        </w:tabs>
        <w:spacing w:before="80"/>
        <w:ind w:left="1276" w:right="851" w:hanging="709"/>
      </w:pPr>
      <w:r w:rsidRPr="00A66BD6">
        <w:t>8.3</w:t>
      </w:r>
      <w:r w:rsidRPr="00A66BD6">
        <w:tab/>
        <w:t>Помощь, предоставляемая Государствам-Членам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_Toc223957819 \h </w:instrText>
      </w:r>
      <w:r w:rsidRPr="00A66BD6">
        <w:fldChar w:fldCharType="separate"/>
      </w:r>
      <w:r w:rsidRPr="00A66BD6">
        <w:t>30</w:t>
      </w:r>
      <w:r w:rsidRPr="00A66BD6">
        <w:fldChar w:fldCharType="end"/>
      </w:r>
    </w:p>
    <w:p w14:paraId="1E7EB21A" w14:textId="2CCF3410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8.3.1</w:t>
      </w:r>
      <w:r w:rsidRPr="00A66BD6">
        <w:tab/>
        <w:t>Помощь администрациям развивающихся стран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_Toc223957820 \h </w:instrText>
      </w:r>
      <w:r w:rsidRPr="00A66BD6">
        <w:fldChar w:fldCharType="separate"/>
      </w:r>
      <w:r w:rsidRPr="00A66BD6">
        <w:t>30</w:t>
      </w:r>
      <w:r w:rsidRPr="00A66BD6">
        <w:fldChar w:fldCharType="end"/>
      </w:r>
    </w:p>
    <w:p w14:paraId="7D836131" w14:textId="55CB98E0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8.3.2</w:t>
      </w:r>
      <w:r w:rsidRPr="00A66BD6">
        <w:tab/>
        <w:t>Помощь региональным группам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_Toc223957821 \h </w:instrText>
      </w:r>
      <w:r w:rsidRPr="00A66BD6">
        <w:fldChar w:fldCharType="separate"/>
      </w:r>
      <w:r w:rsidRPr="00A66BD6">
        <w:t>30</w:t>
      </w:r>
      <w:r w:rsidRPr="00A66BD6">
        <w:fldChar w:fldCharType="end"/>
      </w:r>
    </w:p>
    <w:p w14:paraId="34348C2A" w14:textId="12DAFA28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1276"/>
          <w:tab w:val="left" w:leader="dot" w:pos="8789"/>
          <w:tab w:val="right" w:pos="9639"/>
        </w:tabs>
        <w:spacing w:before="80"/>
        <w:ind w:left="1276" w:right="851" w:hanging="709"/>
      </w:pPr>
      <w:r w:rsidRPr="00A66BD6">
        <w:t>8.4</w:t>
      </w:r>
      <w:r w:rsidRPr="00A66BD6">
        <w:tab/>
        <w:t>Стратегическое партнерство и межсекторальное сотрудничество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_Toc223957822 \h </w:instrText>
      </w:r>
      <w:r w:rsidRPr="00A66BD6">
        <w:fldChar w:fldCharType="separate"/>
      </w:r>
      <w:r w:rsidRPr="00A66BD6">
        <w:t>31</w:t>
      </w:r>
      <w:r w:rsidRPr="00A66BD6">
        <w:fldChar w:fldCharType="end"/>
      </w:r>
    </w:p>
    <w:p w14:paraId="5EF1E85E" w14:textId="2E6ED6DB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8.4.1</w:t>
      </w:r>
      <w:r w:rsidRPr="00A66BD6">
        <w:tab/>
        <w:t>Сотрудничество с МСЭ-D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_Toc223957823 \h </w:instrText>
      </w:r>
      <w:r w:rsidRPr="00A66BD6">
        <w:fldChar w:fldCharType="separate"/>
      </w:r>
      <w:r w:rsidRPr="00A66BD6">
        <w:t>31</w:t>
      </w:r>
      <w:r w:rsidRPr="00A66BD6">
        <w:fldChar w:fldCharType="end"/>
      </w:r>
    </w:p>
    <w:p w14:paraId="016C5870" w14:textId="001B53A3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8.4.2</w:t>
      </w:r>
      <w:r w:rsidRPr="00A66BD6">
        <w:tab/>
        <w:t>Сотрудничество с МСЭ-T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_Toc223957824 \h </w:instrText>
      </w:r>
      <w:r w:rsidRPr="00A66BD6">
        <w:fldChar w:fldCharType="separate"/>
      </w:r>
      <w:r w:rsidRPr="00A66BD6">
        <w:t>31</w:t>
      </w:r>
      <w:r w:rsidRPr="00A66BD6">
        <w:fldChar w:fldCharType="end"/>
      </w:r>
    </w:p>
    <w:p w14:paraId="34895E96" w14:textId="3C64AE86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8.4.3</w:t>
      </w:r>
      <w:r w:rsidRPr="00A66BD6">
        <w:tab/>
        <w:t>Межсекторальная деятельность по другим вопросам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_Toc223957825 \h </w:instrText>
      </w:r>
      <w:r w:rsidRPr="00A66BD6">
        <w:fldChar w:fldCharType="separate"/>
      </w:r>
      <w:r w:rsidRPr="00A66BD6">
        <w:t>31</w:t>
      </w:r>
      <w:r w:rsidRPr="00A66BD6">
        <w:fldChar w:fldCharType="end"/>
      </w:r>
    </w:p>
    <w:p w14:paraId="14FE662E" w14:textId="6B18DACE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8.4.4</w:t>
      </w:r>
      <w:r w:rsidRPr="00A66BD6">
        <w:tab/>
        <w:t>Сотрудничество с другими организациями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_Toc223957826 \h </w:instrText>
      </w:r>
      <w:r w:rsidRPr="00A66BD6">
        <w:fldChar w:fldCharType="separate"/>
      </w:r>
      <w:r w:rsidRPr="00A66BD6">
        <w:t>32</w:t>
      </w:r>
      <w:r w:rsidRPr="00A66BD6">
        <w:fldChar w:fldCharType="end"/>
      </w:r>
    </w:p>
    <w:p w14:paraId="7EA2AED6" w14:textId="5BB9BA66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1276"/>
          <w:tab w:val="left" w:leader="dot" w:pos="8789"/>
          <w:tab w:val="right" w:pos="9639"/>
        </w:tabs>
        <w:spacing w:before="80"/>
        <w:ind w:left="1276" w:right="851" w:hanging="709"/>
      </w:pPr>
      <w:r w:rsidRPr="00A66BD6">
        <w:t>8.5</w:t>
      </w:r>
      <w:r w:rsidRPr="00A66BD6">
        <w:tab/>
        <w:t>Членство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_Toc223957827 \h </w:instrText>
      </w:r>
      <w:r w:rsidRPr="00A66BD6">
        <w:fldChar w:fldCharType="separate"/>
      </w:r>
      <w:r w:rsidRPr="00A66BD6">
        <w:t>32</w:t>
      </w:r>
      <w:r w:rsidRPr="00A66BD6">
        <w:fldChar w:fldCharType="end"/>
      </w:r>
    </w:p>
    <w:p w14:paraId="421A522C" w14:textId="27EB7C62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8.5.1</w:t>
      </w:r>
      <w:r w:rsidRPr="00A66BD6">
        <w:tab/>
        <w:t>Члены МСЭ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_Toc223957828 \h </w:instrText>
      </w:r>
      <w:r w:rsidRPr="00A66BD6">
        <w:fldChar w:fldCharType="separate"/>
      </w:r>
      <w:r w:rsidRPr="00A66BD6">
        <w:t>32</w:t>
      </w:r>
      <w:r w:rsidRPr="00A66BD6">
        <w:fldChar w:fldCharType="end"/>
      </w:r>
    </w:p>
    <w:p w14:paraId="06CF3EF9" w14:textId="1A0F3BD8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8.5.2</w:t>
      </w:r>
      <w:r w:rsidRPr="00A66BD6">
        <w:tab/>
        <w:t>Члены МСЭ-R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_Toc223957829 \h </w:instrText>
      </w:r>
      <w:r w:rsidRPr="00A66BD6">
        <w:fldChar w:fldCharType="separate"/>
      </w:r>
      <w:r w:rsidRPr="00A66BD6">
        <w:t>33</w:t>
      </w:r>
      <w:r w:rsidRPr="00A66BD6">
        <w:fldChar w:fldCharType="end"/>
      </w:r>
    </w:p>
    <w:p w14:paraId="57AF99E4" w14:textId="3B605E3D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1276"/>
          <w:tab w:val="left" w:leader="dot" w:pos="8789"/>
          <w:tab w:val="right" w:pos="9639"/>
        </w:tabs>
        <w:spacing w:before="80"/>
        <w:ind w:left="1276" w:right="851" w:hanging="709"/>
      </w:pPr>
      <w:r w:rsidRPr="00A66BD6">
        <w:t>8.6</w:t>
      </w:r>
      <w:r w:rsidRPr="00A66BD6">
        <w:tab/>
        <w:t>Коммуникационная и рекламно-пропагандистская деятельность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_Toc223957830 \h </w:instrText>
      </w:r>
      <w:r w:rsidRPr="00A66BD6">
        <w:fldChar w:fldCharType="separate"/>
      </w:r>
      <w:r w:rsidRPr="00A66BD6">
        <w:t>33</w:t>
      </w:r>
      <w:r w:rsidRPr="00A66BD6">
        <w:fldChar w:fldCharType="end"/>
      </w:r>
    </w:p>
    <w:p w14:paraId="06AFABF4" w14:textId="19BC560E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8.6.1</w:t>
      </w:r>
      <w:r w:rsidRPr="00A66BD6">
        <w:tab/>
        <w:t>Веб-сайт и базы данных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_Toc223957831 \h </w:instrText>
      </w:r>
      <w:r w:rsidRPr="00A66BD6">
        <w:fldChar w:fldCharType="separate"/>
      </w:r>
      <w:r w:rsidRPr="00A66BD6">
        <w:t>33</w:t>
      </w:r>
      <w:r w:rsidRPr="00A66BD6">
        <w:fldChar w:fldCharType="end"/>
      </w:r>
    </w:p>
    <w:p w14:paraId="1C64673D" w14:textId="70F9B9A1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8.6.2</w:t>
      </w:r>
      <w:r w:rsidRPr="00A66BD6">
        <w:tab/>
        <w:t>Рекламно-пропагандистская деятельность и связь со СМИ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_Toc223957832 \h </w:instrText>
      </w:r>
      <w:r w:rsidRPr="00A66BD6">
        <w:fldChar w:fldCharType="separate"/>
      </w:r>
      <w:r w:rsidRPr="00A66BD6">
        <w:t>33</w:t>
      </w:r>
      <w:r w:rsidRPr="00A66BD6">
        <w:fldChar w:fldCharType="end"/>
      </w:r>
    </w:p>
    <w:p w14:paraId="52D96075" w14:textId="4CE2D185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1276"/>
          <w:tab w:val="left" w:leader="dot" w:pos="8789"/>
          <w:tab w:val="right" w:pos="9639"/>
        </w:tabs>
        <w:spacing w:before="80"/>
        <w:ind w:left="1276" w:right="851" w:hanging="709"/>
      </w:pPr>
      <w:r w:rsidRPr="00A66BD6">
        <w:t>8.7</w:t>
      </w:r>
      <w:r w:rsidRPr="00A66BD6">
        <w:tab/>
        <w:t>Гендерное равенство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_Toc223957833 \h </w:instrText>
      </w:r>
      <w:r w:rsidRPr="00A66BD6">
        <w:fldChar w:fldCharType="separate"/>
      </w:r>
      <w:r w:rsidRPr="00A66BD6">
        <w:t>35</w:t>
      </w:r>
      <w:r w:rsidRPr="00A66BD6">
        <w:fldChar w:fldCharType="end"/>
      </w:r>
    </w:p>
    <w:p w14:paraId="78564569" w14:textId="3A4AB546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</w:pPr>
      <w:r w:rsidRPr="00A66BD6">
        <w:t>8.7.1</w:t>
      </w:r>
      <w:r w:rsidRPr="00A66BD6">
        <w:tab/>
        <w:t>Резолюция АР-23 о гендерном равенстве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_Toc223957834 \h </w:instrText>
      </w:r>
      <w:r w:rsidRPr="00A66BD6">
        <w:fldChar w:fldCharType="separate"/>
      </w:r>
      <w:r w:rsidRPr="00A66BD6">
        <w:t>35</w:t>
      </w:r>
      <w:r w:rsidRPr="00A66BD6">
        <w:fldChar w:fldCharType="end"/>
      </w:r>
    </w:p>
    <w:p w14:paraId="20B1D657" w14:textId="237AB44C" w:rsidR="00D20F5D" w:rsidRPr="00A66BD6" w:rsidRDefault="00D20F5D" w:rsidP="00D20F5D">
      <w:pPr>
        <w:pStyle w:val="TOC1"/>
        <w:tabs>
          <w:tab w:val="clear" w:pos="567"/>
          <w:tab w:val="clear" w:pos="7938"/>
          <w:tab w:val="clear" w:pos="9526"/>
          <w:tab w:val="left" w:pos="2127"/>
          <w:tab w:val="left" w:leader="dot" w:pos="8789"/>
          <w:tab w:val="right" w:pos="9639"/>
        </w:tabs>
        <w:spacing w:before="80"/>
        <w:ind w:left="2127" w:right="851" w:hanging="851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r w:rsidRPr="00A66BD6">
        <w:t>8.7.2</w:t>
      </w:r>
      <w:r w:rsidRPr="00A66BD6">
        <w:tab/>
        <w:t>Сеть женщин в интересах ВКР</w:t>
      </w:r>
      <w:r w:rsidRPr="00A66BD6">
        <w:rPr>
          <w:bCs/>
        </w:rPr>
        <w:t>-27</w:t>
      </w:r>
      <w:r w:rsidRPr="00A66BD6">
        <w:tab/>
      </w:r>
      <w:r w:rsidRPr="00A66BD6">
        <w:tab/>
      </w:r>
      <w:r w:rsidRPr="00A66BD6">
        <w:fldChar w:fldCharType="begin"/>
      </w:r>
      <w:r w:rsidRPr="00A66BD6">
        <w:instrText xml:space="preserve"> PAGEREF _Toc223957835 \h </w:instrText>
      </w:r>
      <w:r w:rsidRPr="00A66BD6">
        <w:fldChar w:fldCharType="separate"/>
      </w:r>
      <w:r w:rsidRPr="00A66BD6">
        <w:t>35</w:t>
      </w:r>
      <w:r w:rsidRPr="00A66BD6">
        <w:fldChar w:fldCharType="end"/>
      </w:r>
    </w:p>
    <w:p w14:paraId="41DC8B1F" w14:textId="6178918F" w:rsidR="00BF5F40" w:rsidRPr="00A66BD6" w:rsidRDefault="00D20F5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 w:rsidRPr="00A66BD6">
        <w:rPr>
          <w:lang w:eastAsia="zh-CN"/>
        </w:rPr>
        <w:fldChar w:fldCharType="end"/>
      </w:r>
      <w:r w:rsidR="00BF5F40" w:rsidRPr="00A66BD6">
        <w:rPr>
          <w:lang w:eastAsia="zh-CN"/>
        </w:rPr>
        <w:br w:type="page"/>
      </w:r>
    </w:p>
    <w:p w14:paraId="5AA1C009" w14:textId="77777777" w:rsidR="00BF5F40" w:rsidRPr="00A66BD6" w:rsidRDefault="00BF5F40" w:rsidP="00BF5F40">
      <w:pPr>
        <w:pStyle w:val="Heading1"/>
      </w:pPr>
      <w:bookmarkStart w:id="5" w:name="_Toc446060751"/>
      <w:bookmarkStart w:id="6" w:name="_Toc223379815"/>
      <w:bookmarkStart w:id="7" w:name="_Toc223957769"/>
      <w:r w:rsidRPr="00A66BD6">
        <w:rPr>
          <w:bCs/>
        </w:rPr>
        <w:lastRenderedPageBreak/>
        <w:t>1</w:t>
      </w:r>
      <w:r w:rsidRPr="00A66BD6">
        <w:tab/>
      </w:r>
      <w:r w:rsidRPr="00A66BD6">
        <w:rPr>
          <w:bCs/>
        </w:rPr>
        <w:t>Введение</w:t>
      </w:r>
      <w:bookmarkEnd w:id="5"/>
      <w:bookmarkEnd w:id="6"/>
      <w:bookmarkEnd w:id="7"/>
    </w:p>
    <w:p w14:paraId="0A50FA9B" w14:textId="77777777" w:rsidR="00BF5F40" w:rsidRPr="00A66BD6" w:rsidRDefault="00BF5F40" w:rsidP="00BF5F40">
      <w:r w:rsidRPr="00A66BD6">
        <w:t xml:space="preserve">В настоящем документе содержатся отчеты о состоянии дел и информация по вопросам, включенным в проект повестки дня 33-го собрания КГР (см. </w:t>
      </w:r>
      <w:hyperlink r:id="rId9" w:history="1">
        <w:r w:rsidRPr="00A66BD6">
          <w:rPr>
            <w:rStyle w:val="Hyperlink"/>
          </w:rPr>
          <w:t>CA/280</w:t>
        </w:r>
      </w:hyperlink>
      <w:r w:rsidRPr="00A66BD6">
        <w:t>). Целью настоящего документа является оказание собранию содействия в рассмотрении соответствующих пунктов повестки дня.</w:t>
      </w:r>
      <w:hyperlink r:id="rId10" w:history="1"/>
    </w:p>
    <w:p w14:paraId="5FAABDE9" w14:textId="77777777" w:rsidR="00BF5F40" w:rsidRPr="00A66BD6" w:rsidRDefault="00BF5F40" w:rsidP="00BF5F40">
      <w:r w:rsidRPr="00A66BD6">
        <w:t>По некоторым пунктам повестки дня будут представлены отдельные отчеты.</w:t>
      </w:r>
    </w:p>
    <w:p w14:paraId="41932F6D" w14:textId="77777777" w:rsidR="00BF5F40" w:rsidRPr="00A66BD6" w:rsidRDefault="00BF5F40" w:rsidP="00BF5F40">
      <w:pPr>
        <w:pStyle w:val="Heading1"/>
      </w:pPr>
      <w:bookmarkStart w:id="8" w:name="_Toc223379816"/>
      <w:bookmarkStart w:id="9" w:name="_Toc223957770"/>
      <w:bookmarkStart w:id="10" w:name="_Toc446060752"/>
      <w:r w:rsidRPr="00A66BD6">
        <w:rPr>
          <w:bCs/>
        </w:rPr>
        <w:t>2</w:t>
      </w:r>
      <w:r w:rsidRPr="00A66BD6">
        <w:tab/>
      </w:r>
      <w:r w:rsidRPr="00A66BD6">
        <w:rPr>
          <w:bCs/>
        </w:rPr>
        <w:t>Вопросы, рассматриваемые Советом</w:t>
      </w:r>
      <w:bookmarkEnd w:id="8"/>
      <w:bookmarkEnd w:id="9"/>
    </w:p>
    <w:p w14:paraId="468F2D75" w14:textId="446A808C" w:rsidR="00BF5F40" w:rsidRPr="00A66BD6" w:rsidRDefault="00BF5F40" w:rsidP="00BF5F40">
      <w:bookmarkStart w:id="11" w:name="_Toc446060753"/>
      <w:bookmarkEnd w:id="10"/>
      <w:r w:rsidRPr="00A66BD6">
        <w:t>Настоящий раздел охватывает вопросы, которые рассматривались Советом на его сессии 2025 года, проходившей 17</w:t>
      </w:r>
      <w:r w:rsidR="00024AD8" w:rsidRPr="00A66BD6">
        <w:t>−</w:t>
      </w:r>
      <w:r w:rsidRPr="00A66BD6">
        <w:t xml:space="preserve">24 июня 2025 года (см.: </w:t>
      </w:r>
      <w:hyperlink r:id="rId11" w:history="1">
        <w:r w:rsidRPr="00A66BD6">
          <w:rPr>
            <w:rStyle w:val="Hyperlink"/>
          </w:rPr>
          <w:t>https://council.itu.int/2025/en/</w:t>
        </w:r>
      </w:hyperlink>
      <w:r w:rsidRPr="00A66BD6">
        <w:t xml:space="preserve">), и на последующих собраниях рабочих групп и Группы экспертов Совета. </w:t>
      </w:r>
      <w:hyperlink r:id="rId12" w:history="1"/>
      <w:bookmarkEnd w:id="11"/>
    </w:p>
    <w:p w14:paraId="7DCFB891" w14:textId="77777777" w:rsidR="00BF5F40" w:rsidRPr="00A66BD6" w:rsidRDefault="00BF5F40" w:rsidP="00BF5F40">
      <w:pPr>
        <w:pStyle w:val="Heading2"/>
      </w:pPr>
      <w:bookmarkStart w:id="12" w:name="_Toc446060754"/>
      <w:bookmarkStart w:id="13" w:name="_Toc223379817"/>
      <w:bookmarkStart w:id="14" w:name="_Toc223957771"/>
      <w:r w:rsidRPr="00A66BD6">
        <w:rPr>
          <w:bCs/>
        </w:rPr>
        <w:t>2.1</w:t>
      </w:r>
      <w:r w:rsidRPr="00A66BD6">
        <w:tab/>
      </w:r>
      <w:r w:rsidRPr="00A66BD6">
        <w:rPr>
          <w:bCs/>
        </w:rPr>
        <w:t>Возмещение затрат на обработку заявок на регистрацию спутниковых сетей</w:t>
      </w:r>
      <w:bookmarkEnd w:id="12"/>
      <w:bookmarkEnd w:id="13"/>
      <w:bookmarkEnd w:id="14"/>
    </w:p>
    <w:p w14:paraId="24E8956D" w14:textId="77777777" w:rsidR="00BF5F40" w:rsidRPr="00A66BD6" w:rsidRDefault="00BF5F40" w:rsidP="00BF5F40">
      <w:pPr>
        <w:pStyle w:val="Heading3"/>
      </w:pPr>
      <w:bookmarkStart w:id="15" w:name="_Toc223379818"/>
      <w:bookmarkStart w:id="16" w:name="_Toc223957772"/>
      <w:r w:rsidRPr="00A66BD6">
        <w:rPr>
          <w:bCs/>
        </w:rPr>
        <w:t>2.1.1</w:t>
      </w:r>
      <w:r w:rsidRPr="00A66BD6">
        <w:tab/>
      </w:r>
      <w:r w:rsidRPr="00A66BD6">
        <w:rPr>
          <w:bCs/>
        </w:rPr>
        <w:t>Решение 482</w:t>
      </w:r>
      <w:bookmarkEnd w:id="15"/>
      <w:bookmarkEnd w:id="16"/>
    </w:p>
    <w:p w14:paraId="09B94F17" w14:textId="795F10CE" w:rsidR="00BF5F40" w:rsidRPr="00A66BD6" w:rsidRDefault="00BF5F40" w:rsidP="00BF5F40">
      <w:pPr>
        <w:rPr>
          <w:szCs w:val="24"/>
        </w:rPr>
      </w:pPr>
      <w:r w:rsidRPr="00A66BD6">
        <w:t>Совет на своей сессии 2025 года принял к сведению ежегодный отчет о выполнении Решения</w:t>
      </w:r>
      <w:r w:rsidR="00497FEF" w:rsidRPr="00A66BD6">
        <w:t> </w:t>
      </w:r>
      <w:r w:rsidRPr="00A66BD6">
        <w:t xml:space="preserve">482 (C01, последнее изменение C24) (см. </w:t>
      </w:r>
      <w:hyperlink r:id="rId13" w:history="1">
        <w:r w:rsidRPr="00A66BD6">
          <w:rPr>
            <w:rStyle w:val="Hyperlink"/>
          </w:rPr>
          <w:t>Документ C25/16</w:t>
        </w:r>
      </w:hyperlink>
      <w:r w:rsidRPr="00A66BD6">
        <w:t xml:space="preserve">). </w:t>
      </w:r>
      <w:hyperlink r:id="rId14" w:history="1"/>
    </w:p>
    <w:p w14:paraId="251BECB0" w14:textId="77777777" w:rsidR="00BF5F40" w:rsidRPr="00A66BD6" w:rsidRDefault="00BF5F40" w:rsidP="00BF5F40">
      <w:r w:rsidRPr="00A66BD6">
        <w:t xml:space="preserve">Совет также утвердил все предложения Группы экспертов по Решению 482 о пересмотре этого Решения. Совет отметил значительное число изменений и решил, что пересмотренное Решение вступит в силу 1 января 2026 года. Основные изменения, внесенные в Решение 482 (C01, последнее изменение C24), заключаются в следующем: </w:t>
      </w:r>
    </w:p>
    <w:p w14:paraId="3B53F2C8" w14:textId="7837A326" w:rsidR="00BF5F40" w:rsidRPr="00A66BD6" w:rsidRDefault="00BF5F40" w:rsidP="00BF5F40">
      <w:pPr>
        <w:pStyle w:val="enumlev1"/>
      </w:pPr>
      <w:r w:rsidRPr="00A66BD6">
        <w:t>−</w:t>
      </w:r>
      <w:r w:rsidRPr="00A66BD6">
        <w:tab/>
        <w:t>замена твердого сбора за деятельность по API и заявлениям, не подлежащим координации, начальным сбором, совмещенным с линейным сбором за единицу;</w:t>
      </w:r>
    </w:p>
    <w:p w14:paraId="1E95AA24" w14:textId="4A528E98" w:rsidR="00BF5F40" w:rsidRPr="00A66BD6" w:rsidRDefault="00BF5F40" w:rsidP="00BF5F40">
      <w:pPr>
        <w:pStyle w:val="enumlev1"/>
      </w:pPr>
      <w:r w:rsidRPr="00A66BD6">
        <w:t>−</w:t>
      </w:r>
      <w:r w:rsidRPr="00A66BD6">
        <w:tab/>
        <w:t xml:space="preserve">установление отдельных сборов за рассмотрение э.и.и.м.; </w:t>
      </w:r>
    </w:p>
    <w:p w14:paraId="6EACE57E" w14:textId="5C3546B7" w:rsidR="00BF5F40" w:rsidRPr="00A66BD6" w:rsidRDefault="00BF5F40" w:rsidP="00BF5F40">
      <w:pPr>
        <w:pStyle w:val="enumlev1"/>
      </w:pPr>
      <w:r w:rsidRPr="00A66BD6">
        <w:t>−</w:t>
      </w:r>
      <w:r w:rsidRPr="00A66BD6">
        <w:tab/>
        <w:t>установление дополнительных сборов за обработку крупных или дорогостоящих заявок на регистрацию негеостационарных систем;</w:t>
      </w:r>
    </w:p>
    <w:p w14:paraId="79ECF85F" w14:textId="02E6D119" w:rsidR="00BF5F40" w:rsidRPr="00A66BD6" w:rsidRDefault="00BF5F40" w:rsidP="00BF5F40">
      <w:pPr>
        <w:pStyle w:val="enumlev1"/>
      </w:pPr>
      <w:r w:rsidRPr="00A66BD6">
        <w:t>−</w:t>
      </w:r>
      <w:r w:rsidRPr="00A66BD6">
        <w:tab/>
        <w:t xml:space="preserve">исключение возможности пользоваться правом ежегодной бесплатной публикации в отношении таких заявок. </w:t>
      </w:r>
    </w:p>
    <w:p w14:paraId="13016068" w14:textId="77777777" w:rsidR="00BF5F40" w:rsidRPr="00A66BD6" w:rsidRDefault="00BF5F40" w:rsidP="00BF5F40">
      <w:r w:rsidRPr="00A66BD6">
        <w:t>Бюро обновило свое программное обеспечение, с тем чтобы администрации могли заранее рассчитывать свои затраты. Тестовая версия программного обеспечения была размещена в доступе в ноябре 2025 года, для того чтобы администрации могли лучше понять последствия изменений в Решении 482 для заявок, которые они планируют представить в 2026 году и в последующие годы.</w:t>
      </w:r>
    </w:p>
    <w:p w14:paraId="36DC2E0E" w14:textId="1F4D3E31" w:rsidR="00BF5F40" w:rsidRPr="00A66BD6" w:rsidRDefault="00BF5F40" w:rsidP="00BF5F40">
      <w:r w:rsidRPr="00A66BD6">
        <w:t xml:space="preserve">Помимо этого, что касается возмещения косвенных затрат, Совет решил, что в 2026 и 2027 годах все сборы, предусмотренные Решением 482 (C01, последнее изменение C25), будут увеличены приблизительно на 10 процентов. Рабочей группе Совета по финансовым и людским ресурсам (РГС‑ФЛР) также было поручено рассмотреть косвенные затраты, связанные с обработкой заявок на регистрацию спутниковых сетей, и предложить методику их возмещения. </w:t>
      </w:r>
    </w:p>
    <w:p w14:paraId="37DF925F" w14:textId="77777777" w:rsidR="00BF5F40" w:rsidRPr="00A66BD6" w:rsidRDefault="00BF5F40" w:rsidP="00BF5F40">
      <w:r w:rsidRPr="00A66BD6">
        <w:t xml:space="preserve">Рабочая группа провела собрание 10−12 сентября 2025 года и рассмотрела вклад Соединенных Штатов Америки, в котором содержится дополнительная информация и вопросы, которые Секретариату МСЭ следует учесть при оценке косвенных затрат, связанных с обработкой заявок на регистрацию спутниковых сетей. </w:t>
      </w:r>
    </w:p>
    <w:p w14:paraId="16FF24B3" w14:textId="53645012" w:rsidR="00BF5F40" w:rsidRPr="00A66BD6" w:rsidRDefault="00BF5F40" w:rsidP="00BF5F40">
      <w:r w:rsidRPr="00A66BD6">
        <w:t>Кроме того, Рабочая группа провела собрание с 14 по 16 января 2026 года, на котором продолжила обсуждение модели возмещения затрат на обработку заявок на регистрацию спутниковых сетей на основе предложения Секретариата МСЭ и ряда вкладов членов. Председатель Рабочей группы Совета признал, что, несмотря на самоотверженные усилия, РГС-ФЛР не удалось выполнить поручения Совета 2025 года. Председатель отметил, что в отсутствие согласия по Резолюции 91 будет трудно продвинуться вперед в разработке методики. Председатель представил схему, где кратко освещаются основные незавершенные вопросы, которые Совету необходимо будет рассмотреть и урегулировать на его сессии 2026 года (см. стр. 17</w:t>
      </w:r>
      <w:r w:rsidR="00024AD8" w:rsidRPr="00A66BD6">
        <w:t>−</w:t>
      </w:r>
      <w:r w:rsidRPr="00A66BD6">
        <w:t xml:space="preserve">19 </w:t>
      </w:r>
      <w:hyperlink r:id="rId15" w:history="1">
        <w:r w:rsidRPr="00A66BD6">
          <w:rPr>
            <w:rStyle w:val="Hyperlink"/>
          </w:rPr>
          <w:t>Документа CWG-FHR-22/36</w:t>
        </w:r>
      </w:hyperlink>
      <w:r w:rsidRPr="00A66BD6">
        <w:t>).</w:t>
      </w:r>
      <w:hyperlink r:id="rId16" w:history="1"/>
    </w:p>
    <w:p w14:paraId="552FA6DE" w14:textId="77777777" w:rsidR="00BF5F40" w:rsidRPr="00A66BD6" w:rsidRDefault="00BF5F40" w:rsidP="00BF5F40">
      <w:pPr>
        <w:pStyle w:val="Heading3"/>
      </w:pPr>
      <w:bookmarkStart w:id="17" w:name="_Toc223379819"/>
      <w:bookmarkStart w:id="18" w:name="_Toc223957773"/>
      <w:r w:rsidRPr="00A66BD6">
        <w:rPr>
          <w:bCs/>
        </w:rPr>
        <w:lastRenderedPageBreak/>
        <w:t>2.1.2</w:t>
      </w:r>
      <w:r w:rsidRPr="00A66BD6">
        <w:tab/>
      </w:r>
      <w:r w:rsidRPr="00A66BD6">
        <w:rPr>
          <w:bCs/>
        </w:rPr>
        <w:t>Доходы будущих периодов ввиду нехватки ресурсов для обработки информации</w:t>
      </w:r>
      <w:bookmarkEnd w:id="17"/>
      <w:bookmarkEnd w:id="18"/>
    </w:p>
    <w:p w14:paraId="20216333" w14:textId="77777777" w:rsidR="00BF5F40" w:rsidRPr="00A66BD6" w:rsidRDefault="00BF5F40" w:rsidP="00BF5F40">
      <w:r w:rsidRPr="00A66BD6">
        <w:t>По действующим правилам аудиторской проверки оплата счетов, связанных с возмещением затрат на регистрацию спутниковых сетей, учитывается в учтенных доходах только после публикации соответствующих специальных секций. В конце 2025 года доходы будущих периодов (т. е. в случаях, когда счета уже выставлены организации, подавшей заявку на регистрацию, но соответствующая специальная секция еще не опубликована) составили 4 237 520 швейцарских франков. Следует отметить, что 95% этой суммы приходится на счета, связанные с запросами о заявлении, которые подлежат координации, и запросами о координации, при этом последними опубликованными датами подачи заявок являются 21 декабря 2024 года и 5 ноября 2024 года, соответственно. Кроме того, важно отметить, что пока еще не выставлены счета по более чем 190 запросам о координации, полученным в 2025 году, которые оцениваются в совокупности примерно в 3 800 000 швейцарских франков (исходя из стоимости в 20 000 швейцарских франков за один запрос о координации).</w:t>
      </w:r>
    </w:p>
    <w:p w14:paraId="3BE7591E" w14:textId="77777777" w:rsidR="00BF5F40" w:rsidRPr="00A66BD6" w:rsidRDefault="00BF5F40" w:rsidP="00BF5F40">
      <w:r w:rsidRPr="00A66BD6">
        <w:t>Время обработки информации для всех специальных секций, кроме запросов о координации, находится в пределах сроков, установленных либо в Регламенте радиосвязи, либо в Оперативном плане МСЭ-R в случае отсутствия регламентарного периода. Что касается запросов о координации, то с мая 2025 года количество сетей, находящихся в процессе обработки, сокращается, что свидетельствует об усилиях Бюро радиосвязи по устранению накопившегося объема невыполненной работы (в настоящее время обработка занимает 14 месяцев при нормативном требовании в 4 месяца). Однако эта работа находится в зоне риска ввиду имеющихся в настоящее время в МСЭ бюджетных ограничений, которые уже привели к фактическому замораживанию набора персонала, из-за чего несколько вакантных должностей в Бюро остались незаполненными. На фоне существующей крайней нехватки персонала для обработки запросов о координации Бюро недостает необходимых ресурсов для ликвидация накопившегося объема невыполненной работы и, следовательно, сокращения объема доходов будущих периодов. Кроме того, задержки при обработке запросов о координации лишь усугубят нормативную неопределенность и скажутся на способности администраций и спутниковых операторов продолжать осуществление своих планов развертывания спутниковых сетей, которые необходимо ввести в действие в течение семи лет после представления.</w:t>
      </w:r>
    </w:p>
    <w:p w14:paraId="41A628E6" w14:textId="77777777" w:rsidR="00BF5F40" w:rsidRPr="00A66BD6" w:rsidRDefault="00BF5F40" w:rsidP="00BF5F40">
      <w:pPr>
        <w:pStyle w:val="Heading2"/>
        <w:rPr>
          <w:i/>
        </w:rPr>
      </w:pPr>
      <w:bookmarkStart w:id="19" w:name="_Toc446060757"/>
      <w:bookmarkStart w:id="20" w:name="_Toc223379820"/>
      <w:bookmarkStart w:id="21" w:name="_Toc223957774"/>
      <w:r w:rsidRPr="00A66BD6">
        <w:rPr>
          <w:bCs/>
        </w:rPr>
        <w:t>2.2</w:t>
      </w:r>
      <w:r w:rsidRPr="00A66BD6">
        <w:tab/>
      </w:r>
      <w:r w:rsidRPr="00A66BD6">
        <w:rPr>
          <w:bCs/>
        </w:rPr>
        <w:t>Бюджет на 2024–2025 годы и бюджет на 2026–2027 годы</w:t>
      </w:r>
      <w:bookmarkEnd w:id="19"/>
      <w:bookmarkEnd w:id="20"/>
      <w:bookmarkEnd w:id="21"/>
    </w:p>
    <w:p w14:paraId="1066C855" w14:textId="3C436E04" w:rsidR="00BF5F40" w:rsidRPr="00A66BD6" w:rsidRDefault="00BF5F40" w:rsidP="00847359">
      <w:pPr>
        <w:rPr>
          <w:rFonts w:eastAsia="Calibri"/>
        </w:rPr>
      </w:pPr>
      <w:r w:rsidRPr="00A66BD6">
        <w:t xml:space="preserve">Совет 2023 года принял следующий бюджет МСЭ-R на период 2024−2025 годов (см. </w:t>
      </w:r>
      <w:hyperlink r:id="rId17" w:history="1">
        <w:r w:rsidRPr="00A66BD6">
          <w:rPr>
            <w:rStyle w:val="Hyperlink"/>
          </w:rPr>
          <w:t>Резолюцию</w:t>
        </w:r>
        <w:r w:rsidR="00847359" w:rsidRPr="00A66BD6">
          <w:rPr>
            <w:rStyle w:val="Hyperlink"/>
          </w:rPr>
          <w:t> </w:t>
        </w:r>
        <w:r w:rsidRPr="00A66BD6">
          <w:rPr>
            <w:rStyle w:val="Hyperlink"/>
          </w:rPr>
          <w:t>1417 Совета</w:t>
        </w:r>
      </w:hyperlink>
      <w:r w:rsidRPr="00A66BD6">
        <w:t>).</w:t>
      </w:r>
      <w:hyperlink r:id="rId18" w:history="1"/>
    </w:p>
    <w:p w14:paraId="5282769E" w14:textId="77777777" w:rsidR="00847359" w:rsidRPr="00A66BD6" w:rsidRDefault="00BF5F40" w:rsidP="00847359">
      <w:pPr>
        <w:pStyle w:val="TableNo"/>
        <w:rPr>
          <w:lang w:val="ru-RU"/>
        </w:rPr>
      </w:pPr>
      <w:r w:rsidRPr="00A66BD6">
        <w:rPr>
          <w:lang w:val="ru-RU"/>
        </w:rPr>
        <w:lastRenderedPageBreak/>
        <w:t>Таблица 2.2-1</w:t>
      </w:r>
    </w:p>
    <w:p w14:paraId="52201D4D" w14:textId="15E7DDCF" w:rsidR="00BF5F40" w:rsidRPr="00A66BD6" w:rsidRDefault="00BF5F40" w:rsidP="00847359">
      <w:pPr>
        <w:pStyle w:val="Tabletitle"/>
        <w:rPr>
          <w:lang w:val="ru-RU"/>
        </w:rPr>
      </w:pPr>
      <w:r w:rsidRPr="00A66BD6">
        <w:rPr>
          <w:lang w:val="ru-RU"/>
        </w:rPr>
        <w:t>Бюджет на 2024</w:t>
      </w:r>
      <w:r w:rsidR="00847359" w:rsidRPr="00A66BD6">
        <w:rPr>
          <w:lang w:val="ru-RU"/>
        </w:rPr>
        <w:t>−</w:t>
      </w:r>
      <w:r w:rsidRPr="00A66BD6">
        <w:rPr>
          <w:lang w:val="ru-RU"/>
        </w:rPr>
        <w:t>2025 г</w:t>
      </w:r>
      <w:r w:rsidR="00847359" w:rsidRPr="00A66BD6">
        <w:rPr>
          <w:lang w:val="ru-RU"/>
        </w:rPr>
        <w:t>оды</w:t>
      </w:r>
    </w:p>
    <w:p w14:paraId="3510E432" w14:textId="77777777" w:rsidR="00BF5F40" w:rsidRPr="00A66BD6" w:rsidRDefault="00BF5F40" w:rsidP="00BF5F40">
      <w:pPr>
        <w:keepNext/>
        <w:keepLines/>
        <w:jc w:val="center"/>
        <w:rPr>
          <w:rFonts w:eastAsia="Calibri"/>
        </w:rPr>
      </w:pPr>
      <w:r w:rsidRPr="00A66BD6">
        <w:rPr>
          <w:lang w:eastAsia="ru-RU"/>
        </w:rPr>
        <w:drawing>
          <wp:inline distT="0" distB="0" distL="0" distR="0" wp14:anchorId="628D2043" wp14:editId="5B1BA36C">
            <wp:extent cx="5871422" cy="3038475"/>
            <wp:effectExtent l="0" t="0" r="4445" b="0"/>
            <wp:docPr id="1794614690" name="Picture 1794614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4614690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422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27AC3" w14:textId="49EF2DAF" w:rsidR="00BF5F40" w:rsidRPr="00A66BD6" w:rsidRDefault="00BF5F40" w:rsidP="00847359">
      <w:pPr>
        <w:pStyle w:val="Normalaftertitle"/>
      </w:pPr>
      <w:r w:rsidRPr="00A66BD6">
        <w:t xml:space="preserve">В </w:t>
      </w:r>
      <w:r w:rsidR="00497FEF" w:rsidRPr="00A66BD6">
        <w:t xml:space="preserve">Таблицах </w:t>
      </w:r>
      <w:r w:rsidRPr="00A66BD6">
        <w:t xml:space="preserve">2.2-2 и 2.2-3 приводятся двухгодичный бюджет Союза на 2026−2027 годы и двухгодичный бюджет Союза на 2026−2027 годы для Сектора радиосвязи в разбивке по разделам, соответственно (см. Резолюцию 1435), принятые Советом 2025 года. </w:t>
      </w:r>
    </w:p>
    <w:p w14:paraId="0CAC5459" w14:textId="051F4362" w:rsidR="00BF5F40" w:rsidRPr="00A66BD6" w:rsidRDefault="00BF5F40" w:rsidP="00BF5F40">
      <w:r w:rsidRPr="00A66BD6">
        <w:t>Двухгодичный бюджет МСЭ на 2026</w:t>
      </w:r>
      <w:r w:rsidR="00BF5541" w:rsidRPr="00A66BD6">
        <w:t>−</w:t>
      </w:r>
      <w:r w:rsidRPr="00A66BD6">
        <w:t>2027 годы предусматривает общее сокращение расходов на</w:t>
      </w:r>
      <w:r w:rsidR="00497FEF" w:rsidRPr="00A66BD6">
        <w:t> </w:t>
      </w:r>
      <w:r w:rsidRPr="00A66BD6">
        <w:t>6,008</w:t>
      </w:r>
      <w:r w:rsidR="00497FEF" w:rsidRPr="00A66BD6">
        <w:t> </w:t>
      </w:r>
      <w:r w:rsidRPr="00A66BD6">
        <w:t>млн.</w:t>
      </w:r>
      <w:r w:rsidR="00497FEF" w:rsidRPr="00A66BD6">
        <w:t> </w:t>
      </w:r>
      <w:r w:rsidRPr="00A66BD6">
        <w:t>швейцарских франков. Для того чтобы добиться сбалансированного бюджета, Совет 2025</w:t>
      </w:r>
      <w:r w:rsidR="00847359" w:rsidRPr="00A66BD6">
        <w:t> </w:t>
      </w:r>
      <w:r w:rsidRPr="00A66BD6">
        <w:t>года поручил Секретариату приступить к общему сокращению расходов, определив приоритеты таким образом, чтобы все три Сектора могли эффективно выполнять свои мандаты и представлять отчеты о принятых мерах РГС-ФЛР. Кроме того, бюджет БР был определен на основе применения коэффициента вакантных должностей в БР.</w:t>
      </w:r>
    </w:p>
    <w:p w14:paraId="19CDD402" w14:textId="77777777" w:rsidR="00847359" w:rsidRPr="00A66BD6" w:rsidRDefault="00BF5F40" w:rsidP="00847359">
      <w:pPr>
        <w:pStyle w:val="TableNo"/>
        <w:rPr>
          <w:lang w:val="ru-RU"/>
        </w:rPr>
      </w:pPr>
      <w:r w:rsidRPr="00A66BD6">
        <w:rPr>
          <w:lang w:val="ru-RU"/>
        </w:rPr>
        <w:t>Таблица 2.2-2</w:t>
      </w:r>
    </w:p>
    <w:p w14:paraId="2B5FE354" w14:textId="6704A1D7" w:rsidR="00BF5F40" w:rsidRPr="00A66BD6" w:rsidRDefault="00BF5F40" w:rsidP="00847359">
      <w:pPr>
        <w:pStyle w:val="Tabletitle"/>
        <w:rPr>
          <w:lang w:val="ru-RU"/>
        </w:rPr>
      </w:pPr>
      <w:r w:rsidRPr="00A66BD6">
        <w:rPr>
          <w:lang w:val="ru-RU"/>
        </w:rPr>
        <w:t>Двухгодичный бюджет Союза на 2026−2027 г</w:t>
      </w:r>
      <w:r w:rsidR="00847359" w:rsidRPr="00A66BD6">
        <w:rPr>
          <w:lang w:val="ru-RU"/>
        </w:rPr>
        <w:t>оды</w:t>
      </w:r>
    </w:p>
    <w:p w14:paraId="18A0D6CC" w14:textId="77777777" w:rsidR="00BF5F40" w:rsidRPr="00A66BD6" w:rsidRDefault="00BF5F40" w:rsidP="00024AD8">
      <w:pPr>
        <w:jc w:val="center"/>
      </w:pPr>
      <w:r w:rsidRPr="00A66BD6">
        <w:rPr>
          <w:lang w:eastAsia="ru-RU"/>
        </w:rPr>
        <w:drawing>
          <wp:inline distT="0" distB="0" distL="0" distR="0" wp14:anchorId="4E595474" wp14:editId="0C069324">
            <wp:extent cx="4600575" cy="1789171"/>
            <wp:effectExtent l="0" t="0" r="0" b="1905"/>
            <wp:docPr id="771317382" name="Picture 1" descr="A blue and red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317382" name="Picture 1" descr="A blue and red card with white text&#10;&#10;AI-generated content may be incorrect.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"/>
                    <a:stretch/>
                  </pic:blipFill>
                  <pic:spPr bwMode="auto">
                    <a:xfrm>
                      <a:off x="0" y="0"/>
                      <a:ext cx="4623033" cy="1797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8B79DA" w14:textId="77777777" w:rsidR="00847359" w:rsidRPr="00A66BD6" w:rsidRDefault="00BF5F40" w:rsidP="00847359">
      <w:pPr>
        <w:pStyle w:val="TableNo"/>
        <w:rPr>
          <w:lang w:val="ru-RU"/>
        </w:rPr>
      </w:pPr>
      <w:r w:rsidRPr="00A66BD6">
        <w:rPr>
          <w:lang w:val="ru-RU"/>
        </w:rPr>
        <w:lastRenderedPageBreak/>
        <w:t>Таблица 2.2-3</w:t>
      </w:r>
    </w:p>
    <w:p w14:paraId="2813F87D" w14:textId="037F05CD" w:rsidR="00BF5F40" w:rsidRPr="00A66BD6" w:rsidRDefault="00BF5F40" w:rsidP="00847359">
      <w:pPr>
        <w:pStyle w:val="Tabletitle"/>
        <w:rPr>
          <w:lang w:val="ru-RU"/>
        </w:rPr>
      </w:pPr>
      <w:r w:rsidRPr="00A66BD6">
        <w:rPr>
          <w:lang w:val="ru-RU"/>
        </w:rPr>
        <w:t>Бюджет БР на 2026</w:t>
      </w:r>
      <w:r w:rsidR="00024AD8" w:rsidRPr="00A66BD6">
        <w:rPr>
          <w:lang w:val="ru-RU"/>
        </w:rPr>
        <w:t>−</w:t>
      </w:r>
      <w:r w:rsidRPr="00A66BD6">
        <w:rPr>
          <w:lang w:val="ru-RU"/>
        </w:rPr>
        <w:t>2027 г</w:t>
      </w:r>
      <w:r w:rsidR="00847359" w:rsidRPr="00A66BD6">
        <w:rPr>
          <w:lang w:val="ru-RU"/>
        </w:rPr>
        <w:t>оды</w:t>
      </w:r>
    </w:p>
    <w:p w14:paraId="21309B91" w14:textId="77777777" w:rsidR="00BF5F40" w:rsidRPr="00A66BD6" w:rsidRDefault="00BF5F40" w:rsidP="00847359">
      <w:r w:rsidRPr="00A66BD6">
        <w:drawing>
          <wp:inline distT="0" distB="0" distL="0" distR="0" wp14:anchorId="1633650E" wp14:editId="4CB88B20">
            <wp:extent cx="6120765" cy="3287758"/>
            <wp:effectExtent l="0" t="0" r="0" b="8255"/>
            <wp:docPr id="1866174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174066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8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B35EE" w14:textId="20A4DD00" w:rsidR="00BF5F40" w:rsidRPr="00A66BD6" w:rsidRDefault="00BF5F40" w:rsidP="00847359">
      <w:pPr>
        <w:pStyle w:val="Normalaftertitle"/>
      </w:pPr>
      <w:r w:rsidRPr="00A66BD6">
        <w:t xml:space="preserve">На собрании РГС-ФЛР в январе 2026 года в </w:t>
      </w:r>
      <w:hyperlink r:id="rId22" w:history="1">
        <w:r w:rsidRPr="00A66BD6">
          <w:rPr>
            <w:rStyle w:val="Hyperlink"/>
          </w:rPr>
          <w:t>Документе CWG-FHR-22/21</w:t>
        </w:r>
      </w:hyperlink>
      <w:r w:rsidRPr="00A66BD6">
        <w:t xml:space="preserve"> была представлена обновленная информация о бюджете МСЭ на 2026</w:t>
      </w:r>
      <w:r w:rsidR="00497FEF" w:rsidRPr="00A66BD6">
        <w:t>−</w:t>
      </w:r>
      <w:r w:rsidRPr="00A66BD6">
        <w:t xml:space="preserve">2027 годы в целях достижения сбалансированности бюджета путем определения приоритетов и консолидации в рамках работы по оперативному планированию. Предложение предусматривает сокращение расходов на поездки и привлечение консультантов на краткосрочной основе, а также повышение эффективности (например, за счет автоматизации), как показано в </w:t>
      </w:r>
      <w:r w:rsidR="00F92FBE" w:rsidRPr="00A66BD6">
        <w:t xml:space="preserve">Таблице </w:t>
      </w:r>
      <w:r w:rsidRPr="00A66BD6">
        <w:t>2.2-4. Совету 2026 года будет представлен ежегодный анализ доходов и расходов при исполнении бюджета на 2026 год, включая общее сокращение бюджета на 2026−2027 годы.</w:t>
      </w:r>
      <w:hyperlink r:id="rId23" w:history="1"/>
    </w:p>
    <w:p w14:paraId="2FFFD0E8" w14:textId="77777777" w:rsidR="00497FEF" w:rsidRPr="00A66BD6" w:rsidRDefault="00BF5F40" w:rsidP="00497FEF">
      <w:pPr>
        <w:pStyle w:val="TableNo"/>
        <w:rPr>
          <w:lang w:val="ru-RU"/>
        </w:rPr>
      </w:pPr>
      <w:r w:rsidRPr="00A66BD6">
        <w:rPr>
          <w:lang w:val="ru-RU"/>
        </w:rPr>
        <w:t>Таблица 2.2-4</w:t>
      </w:r>
    </w:p>
    <w:p w14:paraId="7A7FF4DD" w14:textId="03D80C2F" w:rsidR="00BF5F40" w:rsidRPr="00A66BD6" w:rsidRDefault="00BF5F40" w:rsidP="00497FEF">
      <w:pPr>
        <w:pStyle w:val="Tabletitle"/>
        <w:rPr>
          <w:lang w:val="ru-RU"/>
        </w:rPr>
      </w:pPr>
      <w:r w:rsidRPr="00A66BD6">
        <w:rPr>
          <w:lang w:val="ru-RU"/>
        </w:rPr>
        <w:t>Предлагаемый пересмотренный бюджет на 2026−2027 г</w:t>
      </w:r>
      <w:r w:rsidR="00497FEF" w:rsidRPr="00A66BD6">
        <w:rPr>
          <w:lang w:val="ru-RU"/>
        </w:rPr>
        <w:t>оды</w:t>
      </w:r>
      <w:r w:rsidRPr="00A66BD6">
        <w:rPr>
          <w:lang w:val="ru-RU"/>
        </w:rPr>
        <w:t xml:space="preserve"> в разбивке по Бюро</w:t>
      </w:r>
    </w:p>
    <w:p w14:paraId="19E1AB56" w14:textId="77777777" w:rsidR="00BF5F40" w:rsidRPr="00A66BD6" w:rsidRDefault="00BF5F40" w:rsidP="00024AD8">
      <w:pPr>
        <w:keepNext/>
        <w:keepLines/>
        <w:spacing w:after="120"/>
        <w:jc w:val="center"/>
      </w:pPr>
      <w:r w:rsidRPr="00A66BD6">
        <w:rPr>
          <w:lang w:eastAsia="ru-RU"/>
        </w:rPr>
        <w:drawing>
          <wp:inline distT="0" distB="0" distL="0" distR="0" wp14:anchorId="5EBE1793" wp14:editId="1FDC8371">
            <wp:extent cx="5704692" cy="1628775"/>
            <wp:effectExtent l="0" t="0" r="0" b="0"/>
            <wp:docPr id="986529964" name="Picture 1" descr="A white rectangular box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529964" name="Picture 1" descr="A white rectangular box with black text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2381" cy="164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7798B" w14:textId="77777777" w:rsidR="00BF5F40" w:rsidRPr="00A66BD6" w:rsidRDefault="00BF5F40" w:rsidP="00BF5F40">
      <w:pPr>
        <w:pStyle w:val="Heading2"/>
      </w:pPr>
      <w:bookmarkStart w:id="22" w:name="_Toc223379821"/>
      <w:bookmarkStart w:id="23" w:name="_Toc223957775"/>
      <w:r w:rsidRPr="00A66BD6">
        <w:rPr>
          <w:bCs/>
        </w:rPr>
        <w:t>2.3</w:t>
      </w:r>
      <w:r w:rsidRPr="00A66BD6">
        <w:tab/>
      </w:r>
      <w:r w:rsidRPr="00A66BD6">
        <w:rPr>
          <w:bCs/>
        </w:rPr>
        <w:t>Использование шести официальных языков Союза на равной основе</w:t>
      </w:r>
      <w:bookmarkEnd w:id="22"/>
      <w:bookmarkEnd w:id="23"/>
    </w:p>
    <w:p w14:paraId="41FEB52B" w14:textId="4F57D655" w:rsidR="00BF5F40" w:rsidRPr="00A66BD6" w:rsidRDefault="00BF5F40" w:rsidP="00BF5F40">
      <w:r w:rsidRPr="00A66BD6">
        <w:t xml:space="preserve">Полномочная конференция МСЭ 2022 года (ПК-22) внесла изменения в Резолюцию 154 (Пересм. Бухарест, 2022 г.), в которой содержится призыв к МСЭ продолжать принимать все необходимые меры для обеспечения использования шести официальных языков Союза на равной основе, а также предоставления устного перевода и выполнения письменного перевода документов МСЭ, хотя отмечается, что для некоторых видов деятельности МСЭ (например, в рабочих группах или на </w:t>
      </w:r>
      <w:r w:rsidRPr="00A66BD6">
        <w:lastRenderedPageBreak/>
        <w:t>региональных конференциях) использование всех официальных языков может не требоваться. В</w:t>
      </w:r>
      <w:r w:rsidR="00F92FBE" w:rsidRPr="00A66BD6">
        <w:t> </w:t>
      </w:r>
      <w:r w:rsidRPr="00A66BD6">
        <w:t xml:space="preserve">Резолюции 154 (Пересм. Бухарест, 2022 г.) Генеральному секретарю в тесном сотрудничестве с Директорами Бюро поручается предоставлять ежегодный отчет Совету и Рабочей группе Совета по языкам (РГС-ЯЗ). </w:t>
      </w:r>
    </w:p>
    <w:p w14:paraId="63791899" w14:textId="0CB4E853" w:rsidR="00BF5F40" w:rsidRPr="00A66BD6" w:rsidRDefault="00BF5F40" w:rsidP="00BF5F40">
      <w:pPr>
        <w:rPr>
          <w:rFonts w:eastAsia="Calibri" w:cs="Arial"/>
          <w:kern w:val="2"/>
          <w14:ligatures w14:val="standardContextual"/>
        </w:rPr>
      </w:pPr>
      <w:r w:rsidRPr="00A66BD6">
        <w:t xml:space="preserve">Совет 2025 года принял к сведению отчет Председателя РГС-ЯЗ об использовании шести языков Союза на равной основе, представленный в </w:t>
      </w:r>
      <w:hyperlink r:id="rId25" w:history="1">
        <w:r w:rsidRPr="00A66BD6">
          <w:rPr>
            <w:rStyle w:val="Hyperlink"/>
          </w:rPr>
          <w:t>Документе C25/12</w:t>
        </w:r>
      </w:hyperlink>
      <w:r w:rsidRPr="00A66BD6">
        <w:t>, в котором содержится обновленная информация о выполнении руководства по многоязычию, данные об использовании инструментов машинного перевода ITU Translate и отчет о проблемах и возможностях, связанных с использованием устного перевода на базе ИИ в МСЭ (Документ </w:t>
      </w:r>
      <w:hyperlink r:id="rId26" w:history="1">
        <w:r w:rsidRPr="00A66BD6">
          <w:rPr>
            <w:rStyle w:val="Hyperlink"/>
          </w:rPr>
          <w:t>C25/INF/7</w:t>
        </w:r>
      </w:hyperlink>
      <w:r w:rsidRPr="00A66BD6">
        <w:t xml:space="preserve">). Председатель РГС-ЯЗ представит </w:t>
      </w:r>
      <w:hyperlink r:id="rId27" w:history="1">
        <w:r w:rsidRPr="00A66BD6">
          <w:rPr>
            <w:rStyle w:val="Hyperlink"/>
          </w:rPr>
          <w:t>обновленный отчет Совету 2026 года</w:t>
        </w:r>
      </w:hyperlink>
      <w:r w:rsidRPr="00A66BD6">
        <w:t>, включающий предлагаемые изменения к Резолюции</w:t>
      </w:r>
      <w:r w:rsidR="00F92FBE" w:rsidRPr="00A66BD6">
        <w:t> </w:t>
      </w:r>
      <w:r w:rsidRPr="00A66BD6">
        <w:t>154 (Пересм. Бухарест, 2022 г.), Резолюции 1386 (C17, последнее изменение C26) Совета о</w:t>
      </w:r>
      <w:r w:rsidR="00497FEF" w:rsidRPr="00A66BD6">
        <w:t> </w:t>
      </w:r>
      <w:r w:rsidRPr="00A66BD6">
        <w:t>Координационном комитете МСЭ и Резолюции 1372 (C15, последнее изменение C26) Совета о</w:t>
      </w:r>
      <w:r w:rsidR="00497FEF" w:rsidRPr="00A66BD6">
        <w:t> </w:t>
      </w:r>
      <w:r w:rsidRPr="00A66BD6">
        <w:t>Рабочей группе Совета по языкам.</w:t>
      </w:r>
      <w:hyperlink r:id="rId28" w:history="1"/>
      <w:hyperlink r:id="rId29" w:history="1"/>
      <w:hyperlink r:id="rId30" w:history="1"/>
    </w:p>
    <w:p w14:paraId="37B18797" w14:textId="77777777" w:rsidR="00BF5F40" w:rsidRPr="00A66BD6" w:rsidRDefault="00BF5F40" w:rsidP="00BF5F40">
      <w:r w:rsidRPr="00A66BD6">
        <w:t>В Резолюции 154 (Пересм. Бухарест, 2022 г.) консультативным группам Секторов также поручается ежегодно отслеживать использование всех официальных языков Союза на равной основе в публикациях и на веб-сайтах МСЭ. БР успешно осуществляет переход с SharePoint на систему WordPress, поддерживающую функцию машинного перевода веб-страниц. См. Дополнительный документ 2 к настоящему документу о статусе перевода веб-страниц БР.</w:t>
      </w:r>
    </w:p>
    <w:p w14:paraId="30AB75D0" w14:textId="77777777" w:rsidR="00BF5F40" w:rsidRPr="00A66BD6" w:rsidRDefault="00BF5F40" w:rsidP="00BF5F40">
      <w:pPr>
        <w:pStyle w:val="Heading2"/>
      </w:pPr>
      <w:bookmarkStart w:id="24" w:name="_Toc223379822"/>
      <w:bookmarkStart w:id="25" w:name="_Toc223957776"/>
      <w:r w:rsidRPr="00A66BD6">
        <w:rPr>
          <w:bCs/>
        </w:rPr>
        <w:t>2.4</w:t>
      </w:r>
      <w:r w:rsidRPr="00A66BD6">
        <w:tab/>
      </w:r>
      <w:r w:rsidRPr="00A66BD6">
        <w:rPr>
          <w:bCs/>
        </w:rPr>
        <w:t>Дистанционное участие</w:t>
      </w:r>
      <w:bookmarkEnd w:id="24"/>
      <w:bookmarkEnd w:id="25"/>
    </w:p>
    <w:p w14:paraId="3CD36AC1" w14:textId="4272FF0D" w:rsidR="00BF5F40" w:rsidRPr="00A66BD6" w:rsidRDefault="00BF5F40" w:rsidP="00BF5F40">
      <w:r w:rsidRPr="00A66BD6">
        <w:t>Полномочная конференция МСЭ 2022 года (ПК-22) приняла Резолюцию 167 (Пересм. Бухарест, 2022</w:t>
      </w:r>
      <w:r w:rsidR="00497FEF" w:rsidRPr="00A66BD6">
        <w:t> </w:t>
      </w:r>
      <w:r w:rsidRPr="00A66BD6">
        <w:t>г.) об укреплении и развитии потенциала МСЭ для проведения полностью виртуальных собраний и очных собраний с дистанционным участием и обеспечении электронных средств для продвижения работы Союза. В этой Резолюции содержится призыв в адрес МСЭ разработать руководящие указания высокого уровня по управлению и руководству полностью виртуальными собраниями и очными собраниями с дистанционным участием.</w:t>
      </w:r>
    </w:p>
    <w:p w14:paraId="15B33ED0" w14:textId="77777777" w:rsidR="00BF5F40" w:rsidRPr="00A66BD6" w:rsidRDefault="00BF5F40" w:rsidP="00BF5F40">
      <w:pPr>
        <w:rPr>
          <w:rFonts w:eastAsia="Calibri"/>
        </w:rPr>
      </w:pPr>
      <w:r w:rsidRPr="00A66BD6">
        <w:t xml:space="preserve">В рамках выполнения Резолюции 167 (Пересм. Бухарест, 2022 г.) Совет 2024 года создал работающую по переписке Рабочую группу для подготовки проекта Руководящих указаний по управлению и руководству полностью виртуальными собраниями и очными собраниями с дистанционным участием в МСЭ для дальнейшего рассмотрения Рабочей группой Совета по финансовым и людским ресурсам (РГС-ФЛР). Разработанные руководящие указания были представлены и приняты на Совете 2025 года, а также опубликованы на </w:t>
      </w:r>
      <w:hyperlink r:id="rId31" w:history="1">
        <w:r w:rsidRPr="00A66BD6">
          <w:rPr>
            <w:rStyle w:val="Hyperlink"/>
          </w:rPr>
          <w:t>веб-сайте МСЭ</w:t>
        </w:r>
      </w:hyperlink>
      <w:r w:rsidRPr="00A66BD6">
        <w:t>.</w:t>
      </w:r>
      <w:hyperlink r:id="rId32" w:history="1"/>
    </w:p>
    <w:p w14:paraId="187D7D18" w14:textId="77777777" w:rsidR="00BF5F40" w:rsidRPr="00A66BD6" w:rsidRDefault="00BF5F40" w:rsidP="00BF5F40">
      <w:pPr>
        <w:pStyle w:val="Heading2"/>
      </w:pPr>
      <w:bookmarkStart w:id="26" w:name="_Toc223379823"/>
      <w:bookmarkStart w:id="27" w:name="_Toc223957777"/>
      <w:r w:rsidRPr="00A66BD6">
        <w:rPr>
          <w:bCs/>
        </w:rPr>
        <w:t>2.5</w:t>
      </w:r>
      <w:r w:rsidRPr="00A66BD6">
        <w:tab/>
      </w:r>
      <w:r w:rsidRPr="00A66BD6">
        <w:rPr>
          <w:bCs/>
        </w:rPr>
        <w:t>Стратегический и Финансовый планы на 2028–2031 годы</w:t>
      </w:r>
      <w:bookmarkEnd w:id="26"/>
      <w:bookmarkEnd w:id="27"/>
    </w:p>
    <w:p w14:paraId="2134B8CB" w14:textId="1EB0AE48" w:rsidR="00BF5F40" w:rsidRPr="00A66BD6" w:rsidRDefault="00BF5F40" w:rsidP="00BF5F40">
      <w:r w:rsidRPr="00A66BD6">
        <w:t xml:space="preserve">В ходе сессии 2024 года Совет в своей </w:t>
      </w:r>
      <w:hyperlink r:id="rId33" w:history="1">
        <w:r w:rsidRPr="00A66BD6">
          <w:rPr>
            <w:rStyle w:val="Hyperlink"/>
          </w:rPr>
          <w:t>Резолюции 1428 (C24)</w:t>
        </w:r>
      </w:hyperlink>
      <w:r w:rsidRPr="00A66BD6">
        <w:t xml:space="preserve"> учредил РГС-СФП, которой поручено подготовить проекты Стратегического и Финансового планов на период 2028</w:t>
      </w:r>
      <w:r w:rsidR="00497FEF" w:rsidRPr="00A66BD6">
        <w:t>−</w:t>
      </w:r>
      <w:r w:rsidRPr="00A66BD6">
        <w:t xml:space="preserve">2031 годов для представления Полномочной конференции в 2026 году. </w:t>
      </w:r>
      <w:hyperlink r:id="rId34" w:history="1"/>
    </w:p>
    <w:p w14:paraId="7EA20AA0" w14:textId="77777777" w:rsidR="00BF5F40" w:rsidRPr="00A66BD6" w:rsidRDefault="00BF5F40" w:rsidP="00BF5F40">
      <w:r w:rsidRPr="00A66BD6">
        <w:t xml:space="preserve">На своем 32-м собрании КГР создала работающую по переписке Группу КГР по Стратегическому плану МСЭ на 2028−2031 годы (ГП-МСЭ-СП-2028-31) под председательством г-на Эль-Хаджара АБДУРАМАНА (Камерун). ГП провела два собрания, посвященных рассмотрению итогов прошедшего в сентябре 2025 года собрания РГС по Стратегическому и Финансовому планам и разработке предлагаемого вклада КГР (см. отчет ГП в Документе </w:t>
      </w:r>
      <w:hyperlink r:id="rId35" w:history="1">
        <w:r w:rsidRPr="00A66BD6">
          <w:rPr>
            <w:rStyle w:val="Hyperlink"/>
          </w:rPr>
          <w:t>RAG/51</w:t>
        </w:r>
      </w:hyperlink>
      <w:r w:rsidRPr="00A66BD6">
        <w:t xml:space="preserve">). </w:t>
      </w:r>
      <w:hyperlink r:id="rId36" w:history="1"/>
    </w:p>
    <w:p w14:paraId="297E95E3" w14:textId="77BBFD6F" w:rsidR="00BF5F40" w:rsidRPr="00A66BD6" w:rsidRDefault="00BF5F40" w:rsidP="00BF5F40">
      <w:r w:rsidRPr="00A66BD6">
        <w:t>В ходе состоявшейся в декабре 2025 года специальной сессии КГР, посвященной проектам Стратегического и Финансового планов МСЭ-R, был рассмотрен отчет ГП и направлено заявление о</w:t>
      </w:r>
      <w:r w:rsidR="00497FEF" w:rsidRPr="00A66BD6">
        <w:t> </w:t>
      </w:r>
      <w:r w:rsidRPr="00A66BD6">
        <w:t xml:space="preserve">взаимодействии четвертому собранию РГС-СФП (см. Документ </w:t>
      </w:r>
      <w:hyperlink r:id="rId37" w:history="1">
        <w:r w:rsidRPr="00A66BD6">
          <w:rPr>
            <w:rStyle w:val="Hyperlink"/>
          </w:rPr>
          <w:t>CWG-SFP-4/6</w:t>
        </w:r>
      </w:hyperlink>
      <w:r w:rsidRPr="00A66BD6">
        <w:t>), содержащее вклад КГР для РГС-СФП.</w:t>
      </w:r>
      <w:hyperlink r:id="rId38" w:history="1"/>
      <w:bookmarkStart w:id="28" w:name="_Hlk216183759"/>
      <w:bookmarkEnd w:id="28"/>
    </w:p>
    <w:p w14:paraId="7848DF62" w14:textId="6AF1A4C0" w:rsidR="00BF5F40" w:rsidRPr="00A66BD6" w:rsidRDefault="00BF5F40" w:rsidP="00BF5F40">
      <w:r w:rsidRPr="00A66BD6">
        <w:t>Итоги работы четвертого собрания РГС-СФП были представлены 33-му собранию КГР в Документе</w:t>
      </w:r>
      <w:r w:rsidR="00497FEF" w:rsidRPr="00A66BD6">
        <w:t> </w:t>
      </w:r>
      <w:hyperlink r:id="rId39" w:history="1">
        <w:r w:rsidRPr="00A66BD6">
          <w:rPr>
            <w:rStyle w:val="Hyperlink"/>
          </w:rPr>
          <w:t>RAG/55</w:t>
        </w:r>
      </w:hyperlink>
      <w:r w:rsidRPr="00A66BD6">
        <w:t xml:space="preserve">. </w:t>
      </w:r>
      <w:hyperlink r:id="rId40" w:history="1"/>
    </w:p>
    <w:p w14:paraId="1EAE9C1A" w14:textId="77777777" w:rsidR="00BF5F40" w:rsidRPr="00A66BD6" w:rsidRDefault="00BF5F40" w:rsidP="00BF5F40">
      <w:r w:rsidRPr="00A66BD6">
        <w:lastRenderedPageBreak/>
        <w:t xml:space="preserve">В рамках последующей деятельности по результатам работы блока собраний рабочих групп, состоявшихся в январе 2026 года, на 27 апреля 2026 года запланировано проведение дополнительного собрания РГС-СФП, а также совместного собрания РГС-СФП и РГС-ФЛР (см. </w:t>
      </w:r>
      <w:hyperlink r:id="rId41" w:history="1">
        <w:r w:rsidRPr="00A66BD6">
          <w:rPr>
            <w:rStyle w:val="Hyperlink"/>
          </w:rPr>
          <w:t>CL-26/06</w:t>
        </w:r>
      </w:hyperlink>
      <w:r w:rsidRPr="00A66BD6">
        <w:t>).</w:t>
      </w:r>
      <w:hyperlink r:id="rId42" w:history="1"/>
    </w:p>
    <w:p w14:paraId="2BA761B2" w14:textId="77777777" w:rsidR="00BF5F40" w:rsidRPr="00A66BD6" w:rsidRDefault="00BF5F40" w:rsidP="00BF5F40">
      <w:pPr>
        <w:pStyle w:val="Heading2"/>
      </w:pPr>
      <w:bookmarkStart w:id="29" w:name="_Toc223379824"/>
      <w:bookmarkStart w:id="30" w:name="_Toc223957778"/>
      <w:r w:rsidRPr="00A66BD6">
        <w:rPr>
          <w:bCs/>
        </w:rPr>
        <w:t>2.6</w:t>
      </w:r>
      <w:r w:rsidRPr="00A66BD6">
        <w:tab/>
      </w:r>
      <w:r w:rsidRPr="00A66BD6">
        <w:rPr>
          <w:bCs/>
        </w:rPr>
        <w:t>Обеспечение непрерывности деятельности</w:t>
      </w:r>
      <w:bookmarkEnd w:id="29"/>
      <w:bookmarkEnd w:id="30"/>
      <w:r w:rsidRPr="00A66BD6">
        <w:t xml:space="preserve"> </w:t>
      </w:r>
    </w:p>
    <w:p w14:paraId="4F5BB1BF" w14:textId="6336933F" w:rsidR="00BF5F40" w:rsidRPr="00A66BD6" w:rsidRDefault="00BF5F40" w:rsidP="00497FEF">
      <w:r w:rsidRPr="00A66BD6">
        <w:t>В январе 2026 года 22-му собранию РГС-ФЛР была представлена обновленная информация об</w:t>
      </w:r>
      <w:r w:rsidR="00497FEF" w:rsidRPr="00A66BD6">
        <w:t> </w:t>
      </w:r>
      <w:r w:rsidRPr="00A66BD6">
        <w:t xml:space="preserve">обеспечении непрерывности деятельности собраний МСЭ в период строительства нового здания штаб-квартиры МСЭ в 2028-2029 годах (Документ </w:t>
      </w:r>
      <w:hyperlink r:id="rId43" w:history="1">
        <w:r w:rsidRPr="00A66BD6">
          <w:rPr>
            <w:rStyle w:val="Hyperlink"/>
          </w:rPr>
          <w:t>CWG-FHR-22/13</w:t>
        </w:r>
      </w:hyperlink>
      <w:r w:rsidRPr="00A66BD6">
        <w:t xml:space="preserve">). </w:t>
      </w:r>
      <w:hyperlink r:id="rId44" w:history="1"/>
    </w:p>
    <w:p w14:paraId="0BBEBC30" w14:textId="746A60CC" w:rsidR="00BF5F40" w:rsidRPr="00A66BD6" w:rsidRDefault="00BF5F40" w:rsidP="00497FEF">
      <w:pPr>
        <w:rPr>
          <w:rFonts w:eastAsia="Calibri"/>
        </w:rPr>
      </w:pPr>
      <w:r w:rsidRPr="00A66BD6">
        <w:t>С учетом ожидаемых сбоев в работе из-за строительства нового здания необходимо обеспечить наличие альтернативных залов заседаний для проведения примерно 60–65 официально предусмотренных технических собраний (собрания исследовательских комиссий и рабочих групп всех Секторов, а также собрания консультативных групп, Совета и рабочих групп Совета), которые обычно проводятся в штаб-квартире МСЭ. Компания, разработавшая проект здания, подтвердила, что нарушения в работе возможны главным образом в период с июля 2028 года по июль 2029 года, а</w:t>
      </w:r>
      <w:r w:rsidR="00F92FBE" w:rsidRPr="00A66BD6">
        <w:t> </w:t>
      </w:r>
      <w:r w:rsidRPr="00A66BD6">
        <w:t>также в течение периода на случай непредвиденных обстоятельств с июля 2029 года по декабрь 2029</w:t>
      </w:r>
      <w:r w:rsidR="00F92FBE" w:rsidRPr="00A66BD6">
        <w:t> </w:t>
      </w:r>
      <w:r w:rsidRPr="00A66BD6">
        <w:t>года. Подробный предварительный список собраний, которые будут затронуты в рамках этого периода, приведен в Приложении к Документу CWG-FHR-22/13.</w:t>
      </w:r>
    </w:p>
    <w:p w14:paraId="2F464213" w14:textId="687A4555" w:rsidR="00BF5F40" w:rsidRPr="00A66BD6" w:rsidRDefault="00BF5F40" w:rsidP="00497FEF">
      <w:pPr>
        <w:rPr>
          <w:rFonts w:eastAsia="Calibri"/>
        </w:rPr>
      </w:pPr>
      <w:r w:rsidRPr="00A66BD6">
        <w:t>В ходе собрания РГС-ФЛР Швейцария представила вклад, подтверждающий выделение в фонд обеспечения непрерывности деятельности средств в размере приблизительно 2,8</w:t>
      </w:r>
      <w:r w:rsidR="00024AD8" w:rsidRPr="00A66BD6">
        <w:t> </w:t>
      </w:r>
      <w:r w:rsidRPr="00A66BD6">
        <w:t>млн. швейцарских франков на цели проведения собраний МСЭ в Женеве в период нарушения работы Союза из</w:t>
      </w:r>
      <w:r w:rsidR="00F92FBE" w:rsidRPr="00A66BD6">
        <w:t>‑</w:t>
      </w:r>
      <w:r w:rsidRPr="00A66BD6">
        <w:t>за</w:t>
      </w:r>
      <w:r w:rsidR="00F92FBE" w:rsidRPr="00A66BD6">
        <w:t> </w:t>
      </w:r>
      <w:r w:rsidRPr="00A66BD6">
        <w:t>проекта строительства.</w:t>
      </w:r>
    </w:p>
    <w:p w14:paraId="35619511" w14:textId="797FC10A" w:rsidR="00BF5F40" w:rsidRPr="00A66BD6" w:rsidRDefault="00BF5F40" w:rsidP="00497FEF">
      <w:pPr>
        <w:rPr>
          <w:rFonts w:eastAsia="Calibri"/>
          <w:szCs w:val="24"/>
        </w:rPr>
      </w:pPr>
      <w:r w:rsidRPr="00A66BD6">
        <w:t>В настоящее время секретариат ведет работу по поиску максимально возможного количества залов заседаний в Женеве или вблизи нее для проведения как можно большего количества собраний в указанный период в рамках данного бюджета. Мероприятия в Женеве могут проводиться в помещениях МЦКЖ, Palexpo, ЮНОГ, ВОЗ и МОТ. Вместе с тем следует отметить, что помещения МЦКЖ будут недоступны на протяжении всего 2028 года в связи с запланированными ремонтными работами и лишь ограниченно доступны в 2029 году. Кроме того, ЮНОГ принимает бронирования не ранее чем за полгода до мероприятия. Учитывая эти ограничения, а также жесткие ограничения бюджетного характера, секретариат совместно с Секторами также ведет работу по пересмотру списка собраний и рассмотрению возможности сократить число собраний в этот период, продолжительность и/или количество дней собраний либо снизить требования по вместимости за счет уменьшения количества залов для каждого собрания. Можно также рассмотреть вариант проведения любых собраний за пределами Женевы приглашающими правительствами в соответствии с Резолюцией</w:t>
      </w:r>
      <w:r w:rsidR="00F92FBE" w:rsidRPr="00A66BD6">
        <w:t> </w:t>
      </w:r>
      <w:r w:rsidRPr="00A66BD6">
        <w:t>5 (Киото, 1994 г.) или в рамках предложения об организации Центра проведения собраний МСЭ, которое было направлено всем Государствам-Членам, если будут получены какие-либо основательные предложения для представления Совету 2026 года; наконец, существует возможность проведения некоторых собраний полностью в виртуальном формате.</w:t>
      </w:r>
    </w:p>
    <w:p w14:paraId="7BA06F8F" w14:textId="77777777" w:rsidR="00BF5F40" w:rsidRPr="00A66BD6" w:rsidRDefault="00BF5F40" w:rsidP="00BF5F40">
      <w:r w:rsidRPr="00A66BD6">
        <w:t>Отчет о ходе работы по обеспечению непрерывности деятельности собраний будет представлен Совету 2026 года.</w:t>
      </w:r>
    </w:p>
    <w:p w14:paraId="54E4BE9A" w14:textId="77777777" w:rsidR="00BF5F40" w:rsidRPr="00A66BD6" w:rsidRDefault="00BF5F40" w:rsidP="00BF5F40">
      <w:pPr>
        <w:pStyle w:val="Heading1"/>
        <w:rPr>
          <w:bCs/>
        </w:rPr>
      </w:pPr>
      <w:bookmarkStart w:id="31" w:name="_Toc223379825"/>
      <w:bookmarkStart w:id="32" w:name="_Toc223957779"/>
      <w:r w:rsidRPr="00A66BD6">
        <w:rPr>
          <w:bCs/>
        </w:rPr>
        <w:t>3</w:t>
      </w:r>
      <w:r w:rsidRPr="00A66BD6">
        <w:tab/>
      </w:r>
      <w:r w:rsidRPr="00A66BD6">
        <w:rPr>
          <w:bCs/>
        </w:rPr>
        <w:t>Выполнение решений ВКР-23</w:t>
      </w:r>
      <w:bookmarkEnd w:id="31"/>
      <w:bookmarkEnd w:id="32"/>
    </w:p>
    <w:p w14:paraId="66710B4F" w14:textId="77777777" w:rsidR="00BF5F40" w:rsidRPr="00A66BD6" w:rsidRDefault="00BF5F40" w:rsidP="00BF5F40">
      <w:pPr>
        <w:pStyle w:val="Heading2"/>
      </w:pPr>
      <w:bookmarkStart w:id="33" w:name="_Toc446060760"/>
      <w:bookmarkStart w:id="34" w:name="_Toc223379826"/>
      <w:bookmarkStart w:id="35" w:name="_Toc223957780"/>
      <w:r w:rsidRPr="00A66BD6">
        <w:rPr>
          <w:bCs/>
        </w:rPr>
        <w:t>3.1</w:t>
      </w:r>
      <w:r w:rsidRPr="00A66BD6">
        <w:tab/>
      </w:r>
      <w:r w:rsidRPr="00A66BD6">
        <w:rPr>
          <w:bCs/>
        </w:rPr>
        <w:t>Выполнение решений ВКР-23</w:t>
      </w:r>
      <w:bookmarkEnd w:id="33"/>
      <w:bookmarkEnd w:id="34"/>
      <w:bookmarkEnd w:id="35"/>
    </w:p>
    <w:p w14:paraId="19CBCF16" w14:textId="4B72B6EF" w:rsidR="00BF5F40" w:rsidRPr="00A66BD6" w:rsidRDefault="00BF5F40" w:rsidP="00BF5F40">
      <w:r w:rsidRPr="00A66BD6">
        <w:t>ВКР-23 определила области дополнительной работы, исследований и разработок программного обеспечения для выполнения решений Конференции. Сметные затраты на выполнение этих новых задач, как разовые, так и периодические, составляют 12,6 млн. швейцарских франков на период 2024</w:t>
      </w:r>
      <w:r w:rsidR="00F92FBE" w:rsidRPr="00A66BD6">
        <w:t>−</w:t>
      </w:r>
      <w:r w:rsidRPr="00A66BD6">
        <w:t xml:space="preserve">2027 годов. Общая смета затрат представлена в </w:t>
      </w:r>
      <w:r w:rsidR="00497FEF" w:rsidRPr="00A66BD6">
        <w:t xml:space="preserve">Таблице </w:t>
      </w:r>
      <w:r w:rsidRPr="00A66BD6">
        <w:t>3.1.1.</w:t>
      </w:r>
    </w:p>
    <w:p w14:paraId="3AD43C5C" w14:textId="77777777" w:rsidR="00BF5F40" w:rsidRPr="00A66BD6" w:rsidRDefault="00BF5F40" w:rsidP="00BF5F40">
      <w:r w:rsidRPr="00A66BD6">
        <w:t xml:space="preserve">Данные о ежегодных бюджетных последствиях выполнения решений ВКР-23 были представлены Совету-24 в </w:t>
      </w:r>
      <w:hyperlink r:id="rId45" w:history="1">
        <w:r w:rsidRPr="00A66BD6">
          <w:rPr>
            <w:rStyle w:val="Hyperlink"/>
          </w:rPr>
          <w:t>Документе C24/63</w:t>
        </w:r>
      </w:hyperlink>
      <w:r w:rsidRPr="00A66BD6">
        <w:t>.</w:t>
      </w:r>
      <w:hyperlink r:id="rId46" w:history="1"/>
    </w:p>
    <w:p w14:paraId="1780F628" w14:textId="77777777" w:rsidR="00F92FBE" w:rsidRPr="00A66BD6" w:rsidRDefault="00BF5F40" w:rsidP="00F92FBE">
      <w:pPr>
        <w:pStyle w:val="TableNo"/>
        <w:rPr>
          <w:lang w:val="ru-RU"/>
        </w:rPr>
      </w:pPr>
      <w:r w:rsidRPr="00A66BD6">
        <w:rPr>
          <w:lang w:val="ru-RU"/>
        </w:rPr>
        <w:lastRenderedPageBreak/>
        <w:t>Таблица 3.1.1</w:t>
      </w:r>
    </w:p>
    <w:p w14:paraId="0B895EAA" w14:textId="26E41832" w:rsidR="00BF5F40" w:rsidRPr="00A66BD6" w:rsidRDefault="00BF5F40" w:rsidP="00F92FBE">
      <w:pPr>
        <w:pStyle w:val="Tabletitle"/>
        <w:rPr>
          <w:lang w:val="ru-RU"/>
        </w:rPr>
      </w:pPr>
      <w:r w:rsidRPr="00A66BD6">
        <w:rPr>
          <w:lang w:val="ru-RU"/>
        </w:rPr>
        <w:t>Финансовые решения ВКР-23 – Общая смета затрат</w:t>
      </w:r>
    </w:p>
    <w:p w14:paraId="300152C9" w14:textId="77777777" w:rsidR="00BF5F40" w:rsidRPr="00A66BD6" w:rsidRDefault="00BF5F40" w:rsidP="00BF5F40">
      <w:pPr>
        <w:keepNext/>
        <w:keepLines/>
        <w:jc w:val="center"/>
      </w:pPr>
      <w:r w:rsidRPr="00A66BD6">
        <w:rPr>
          <w:lang w:eastAsia="ru-RU"/>
        </w:rPr>
        <w:drawing>
          <wp:inline distT="0" distB="0" distL="0" distR="0" wp14:anchorId="0A84E41E" wp14:editId="2730070D">
            <wp:extent cx="6120765" cy="1285240"/>
            <wp:effectExtent l="19050" t="19050" r="13335" b="10160"/>
            <wp:docPr id="725283219" name="Picture 725283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283219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2852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6FB7A4" w14:textId="0D630D90" w:rsidR="00BF5F40" w:rsidRPr="00A66BD6" w:rsidRDefault="00BF5F40" w:rsidP="00F92FBE">
      <w:pPr>
        <w:pStyle w:val="Normalaftertitle"/>
      </w:pPr>
      <w:r w:rsidRPr="00A66BD6">
        <w:t xml:space="preserve">Совет принял </w:t>
      </w:r>
      <w:hyperlink r:id="rId48" w:history="1">
        <w:r w:rsidRPr="00A66BD6">
          <w:rPr>
            <w:rStyle w:val="Hyperlink"/>
          </w:rPr>
          <w:t>Резолюцию 1427</w:t>
        </w:r>
      </w:hyperlink>
      <w:r w:rsidRPr="00A66BD6">
        <w:t xml:space="preserve"> о распределении средств, сэкономленных при исполнении бюджета на 2023 год, и Оборотном выставочном фонде. Согласно Резолюции, активное сальдо бюджета на</w:t>
      </w:r>
      <w:r w:rsidR="00F92FBE" w:rsidRPr="00A66BD6">
        <w:t> </w:t>
      </w:r>
      <w:r w:rsidRPr="00A66BD6">
        <w:t>2023</w:t>
      </w:r>
      <w:r w:rsidR="00F92FBE" w:rsidRPr="00A66BD6">
        <w:t> </w:t>
      </w:r>
      <w:r w:rsidRPr="00A66BD6">
        <w:t>год направлено на выполнение решений ВКР-23 (1423</w:t>
      </w:r>
      <w:r w:rsidR="00024AD8" w:rsidRPr="00A66BD6">
        <w:t> </w:t>
      </w:r>
      <w:r w:rsidRPr="00A66BD6">
        <w:t>тыс. шв. фр.).</w:t>
      </w:r>
      <w:hyperlink r:id="rId49" w:history="1"/>
    </w:p>
    <w:p w14:paraId="25E4DA8F" w14:textId="021D0145" w:rsidR="00BF5F40" w:rsidRPr="00A66BD6" w:rsidRDefault="00BF5F40" w:rsidP="00BF5F40">
      <w:r w:rsidRPr="00A66BD6">
        <w:t>Принимающая страна ВКР-23, Объединенные Арабские Эмираты, приняла великодушное решение передать положительный остаток средств по соглашению с принимающей страной (1,9</w:t>
      </w:r>
      <w:r w:rsidR="00F92FBE" w:rsidRPr="00A66BD6">
        <w:t> </w:t>
      </w:r>
      <w:r w:rsidRPr="00A66BD6">
        <w:t>млн.</w:t>
      </w:r>
      <w:r w:rsidR="00F92FBE" w:rsidRPr="00A66BD6">
        <w:t> </w:t>
      </w:r>
      <w:r w:rsidRPr="00A66BD6">
        <w:t>шв.</w:t>
      </w:r>
      <w:r w:rsidR="00F92FBE" w:rsidRPr="00A66BD6">
        <w:t> </w:t>
      </w:r>
      <w:r w:rsidRPr="00A66BD6">
        <w:t xml:space="preserve">фр.) в поддержку выполнения решений ВКР-23, чтобы таким образом помочь частично облегчить финансовое бремя Союза. Более подробная информация представлена в </w:t>
      </w:r>
      <w:hyperlink r:id="rId50" w:history="1">
        <w:r w:rsidRPr="00A66BD6">
          <w:rPr>
            <w:rStyle w:val="Hyperlink"/>
          </w:rPr>
          <w:t>Документе C24/109</w:t>
        </w:r>
      </w:hyperlink>
      <w:r w:rsidRPr="00A66BD6">
        <w:t>.</w:t>
      </w:r>
      <w:hyperlink r:id="rId51" w:history="1"/>
    </w:p>
    <w:p w14:paraId="57A15A78" w14:textId="2F3A1447" w:rsidR="00BF5F40" w:rsidRPr="00A66BD6" w:rsidRDefault="00BF5F40" w:rsidP="00BF5F40">
      <w:pPr>
        <w:overflowPunct/>
        <w:autoSpaceDE/>
        <w:autoSpaceDN/>
        <w:adjustRightInd/>
        <w:textAlignment w:val="auto"/>
      </w:pPr>
      <w:hyperlink r:id="rId52" w:history="1">
        <w:r w:rsidRPr="00A66BD6">
          <w:t xml:space="preserve">В принятой Советом 2025 года </w:t>
        </w:r>
        <w:hyperlink r:id="rId53" w:history="1">
          <w:r w:rsidRPr="00A66BD6">
            <w:rPr>
              <w:rStyle w:val="Hyperlink"/>
            </w:rPr>
            <w:t>Резолюции 1434</w:t>
          </w:r>
        </w:hyperlink>
        <w:r w:rsidRPr="00A66BD6">
          <w:t xml:space="preserve"> о распределении средств, сэкономленных при исполнении бюджета на 2024 год, содержится решение выделить 300</w:t>
        </w:r>
        <w:r w:rsidR="00F92FBE" w:rsidRPr="00A66BD6">
          <w:t> </w:t>
        </w:r>
        <w:r w:rsidRPr="00A66BD6">
          <w:t xml:space="preserve">тыс. швейцарских франков, необходимых для выполнения решений ВКР-23. </w:t>
        </w:r>
      </w:hyperlink>
    </w:p>
    <w:p w14:paraId="6418821C" w14:textId="77777777" w:rsidR="00BF5F40" w:rsidRPr="00A66BD6" w:rsidRDefault="00BF5F40" w:rsidP="00BF5F40">
      <w:pPr>
        <w:pStyle w:val="Heading1"/>
      </w:pPr>
      <w:bookmarkStart w:id="36" w:name="_Toc223379827"/>
      <w:bookmarkStart w:id="37" w:name="_Toc223957781"/>
      <w:bookmarkStart w:id="38" w:name="_Toc446060768"/>
      <w:r w:rsidRPr="00A66BD6">
        <w:rPr>
          <w:bCs/>
        </w:rPr>
        <w:t>4</w:t>
      </w:r>
      <w:r w:rsidRPr="00A66BD6">
        <w:tab/>
      </w:r>
      <w:r w:rsidRPr="00A66BD6">
        <w:rPr>
          <w:bCs/>
        </w:rPr>
        <w:t>Подготовительные мероприятия к ВКР-27</w:t>
      </w:r>
      <w:bookmarkEnd w:id="36"/>
      <w:bookmarkEnd w:id="37"/>
    </w:p>
    <w:p w14:paraId="1B44682E" w14:textId="77777777" w:rsidR="00BF5F40" w:rsidRPr="00A66BD6" w:rsidRDefault="00BF5F40" w:rsidP="00BF5F40">
      <w:pPr>
        <w:pStyle w:val="Heading2"/>
      </w:pPr>
      <w:bookmarkStart w:id="39" w:name="_Toc223379828"/>
      <w:bookmarkStart w:id="40" w:name="_Toc223957782"/>
      <w:r w:rsidRPr="00A66BD6">
        <w:rPr>
          <w:bCs/>
        </w:rPr>
        <w:t>4.1</w:t>
      </w:r>
      <w:r w:rsidRPr="00A66BD6">
        <w:tab/>
      </w:r>
      <w:r w:rsidRPr="00A66BD6">
        <w:rPr>
          <w:bCs/>
        </w:rPr>
        <w:t>Подготовка к ВКР-27</w:t>
      </w:r>
      <w:bookmarkEnd w:id="39"/>
      <w:bookmarkEnd w:id="40"/>
    </w:p>
    <w:p w14:paraId="2A5D77CA" w14:textId="487BCD2F" w:rsidR="00BF5F40" w:rsidRPr="00A66BD6" w:rsidRDefault="00BF5F40" w:rsidP="00BF5F40">
      <w:r w:rsidRPr="00A66BD6">
        <w:t xml:space="preserve">На сессии Совета 2024 года (Женева, 4–14 июня 2024 г.) была рассмотрена Повестка дня Всемирной конференции радиосвязи 2027 года (ВКР-27), содержащаяся в Резолюции </w:t>
      </w:r>
      <w:r w:rsidRPr="00A66BD6">
        <w:rPr>
          <w:b/>
          <w:bCs/>
        </w:rPr>
        <w:t>813 (ВКР-23)</w:t>
      </w:r>
      <w:r w:rsidRPr="00A66BD6">
        <w:t xml:space="preserve">. Совет принял </w:t>
      </w:r>
      <w:hyperlink r:id="rId54" w:history="1">
        <w:r w:rsidRPr="00A66BD6">
          <w:rPr>
            <w:rStyle w:val="Hyperlink"/>
          </w:rPr>
          <w:t>Резолюцию 1422 (C24)</w:t>
        </w:r>
      </w:hyperlink>
      <w:r w:rsidRPr="00A66BD6">
        <w:t xml:space="preserve">, в которой содержится повестка дня ВКР-27 с теми же конкретными и постоянными пунктами повестки дня, что и в Резолюции </w:t>
      </w:r>
      <w:r w:rsidRPr="00A66BD6">
        <w:rPr>
          <w:b/>
          <w:bCs/>
        </w:rPr>
        <w:t>813 (ВКР-23)</w:t>
      </w:r>
      <w:r w:rsidRPr="00A66BD6">
        <w:t>. Затем, 31</w:t>
      </w:r>
      <w:r w:rsidR="00F92FBE" w:rsidRPr="00A66BD6">
        <w:t> </w:t>
      </w:r>
      <w:r w:rsidRPr="00A66BD6">
        <w:t>августа 2024</w:t>
      </w:r>
      <w:r w:rsidR="00F92FBE" w:rsidRPr="00A66BD6">
        <w:t> </w:t>
      </w:r>
      <w:r w:rsidRPr="00A66BD6">
        <w:t xml:space="preserve">года, она была согласована Государствами–Членами МСЭ (см. </w:t>
      </w:r>
      <w:hyperlink r:id="rId55" w:history="1">
        <w:r w:rsidRPr="00A66BD6">
          <w:rPr>
            <w:rStyle w:val="Hyperlink"/>
          </w:rPr>
          <w:t>CL-24/38</w:t>
        </w:r>
      </w:hyperlink>
      <w:r w:rsidRPr="00A66BD6">
        <w:t xml:space="preserve"> и </w:t>
      </w:r>
      <w:hyperlink r:id="rId56" w:history="1">
        <w:r w:rsidRPr="00A66BD6">
          <w:rPr>
            <w:rStyle w:val="Hyperlink"/>
          </w:rPr>
          <w:t>CL-24/49</w:t>
        </w:r>
      </w:hyperlink>
      <w:r w:rsidRPr="00A66BD6">
        <w:t>).</w:t>
      </w:r>
      <w:hyperlink r:id="rId57" w:history="1"/>
      <w:hyperlink r:id="rId58" w:history="1"/>
      <w:hyperlink r:id="rId59" w:history="1"/>
    </w:p>
    <w:p w14:paraId="5EC95A5F" w14:textId="77777777" w:rsidR="00BF5F40" w:rsidRPr="00A66BD6" w:rsidRDefault="00BF5F40" w:rsidP="00BF5F40">
      <w:r w:rsidRPr="00A66BD6">
        <w:t>После утверждения повестки дня ВКР-27 сессии Совета 2025 года было предложено принять новое Решение с указанием дат и места проведения АР-27 и ВКР-27.</w:t>
      </w:r>
    </w:p>
    <w:p w14:paraId="6D9CCE1E" w14:textId="26D496EF" w:rsidR="00BF5F40" w:rsidRPr="00A66BD6" w:rsidRDefault="00BF5F40" w:rsidP="00BF5F40">
      <w:r w:rsidRPr="00A66BD6">
        <w:t>На своей сессии 2025 года Совет принял решение, как указано в Кратком отчете о седьмом пленарном заседании (Документ C25/113), "принять предложение Китая о проведении Ассамблеи радиосвязи 2027 года (АР-27), Всемирной конференции радиосвязи 2027 года (ВКР­27) и первой сессии Подготовительного собрания к конференции для ВКР-31 (ПСК31-1) в Шанхае. В результате, при условии согласия большинства Государств – Членов Союза, Всемирная конференция радиосвязи 2027 года пройдет в Шанхае (Китай), и ей будет предшествовать Ассамблея Радиосвязи 2027</w:t>
      </w:r>
      <w:r w:rsidR="00F92FBE" w:rsidRPr="00A66BD6">
        <w:t> </w:t>
      </w:r>
      <w:r w:rsidRPr="00A66BD6">
        <w:t>года".</w:t>
      </w:r>
    </w:p>
    <w:p w14:paraId="339C4C69" w14:textId="0AE39F89" w:rsidR="00BF5F40" w:rsidRPr="00A66BD6" w:rsidRDefault="00BF5F40" w:rsidP="00BF5F40">
      <w:pPr>
        <w:rPr>
          <w:rFonts w:cs="Calibri"/>
        </w:rPr>
      </w:pPr>
      <w:r w:rsidRPr="00A66BD6">
        <w:t>В соответствии с этим решением и на основании п. 42 Конвенции МСЭ Генеральный секретариат приступил к консультациям с Государствами-Членами относительно конкретного места и точных дат проведения АР-27 и ВКР-27, по итогам которых было получено согласие требуемого большинства Государств-Членов, как сообщается в опубликованном Циркулярном письме CL-25/45. В результате Государства-Члены договорились о том, что Ассамблея радиосвязи 2027 года (АР-27) и Всемирная конференция радиосвязи 2027 года (ВКР-27) пройдут в Шанхае, Китай, с 11 октября по 12</w:t>
      </w:r>
      <w:r w:rsidR="00F92FBE" w:rsidRPr="00A66BD6">
        <w:t> </w:t>
      </w:r>
      <w:r w:rsidRPr="00A66BD6">
        <w:t>ноября 2027 года.</w:t>
      </w:r>
    </w:p>
    <w:p w14:paraId="0E2C2732" w14:textId="72B6534A" w:rsidR="00BF5F40" w:rsidRPr="00A66BD6" w:rsidRDefault="00BF5F40" w:rsidP="00BF5F40">
      <w:pPr>
        <w:rPr>
          <w:spacing w:val="-2"/>
        </w:rPr>
      </w:pPr>
      <w:r w:rsidRPr="00A66BD6">
        <w:t>Как обычно планируется, первая сессия Подготовительного собрания к конференции для ВКР-31 (ПСК31-1) состоится также в Шанхае сразу по завершении ВКР-27, 15</w:t>
      </w:r>
      <w:r w:rsidR="00F92FBE" w:rsidRPr="00A66BD6">
        <w:t>−</w:t>
      </w:r>
      <w:r w:rsidRPr="00A66BD6">
        <w:t>16 ноября 2027</w:t>
      </w:r>
      <w:r w:rsidR="00F92FBE" w:rsidRPr="00A66BD6">
        <w:t> </w:t>
      </w:r>
      <w:r w:rsidRPr="00A66BD6">
        <w:t>года.</w:t>
      </w:r>
    </w:p>
    <w:p w14:paraId="4EE874D7" w14:textId="77777777" w:rsidR="00BF5F40" w:rsidRPr="00A66BD6" w:rsidRDefault="00BF5F40" w:rsidP="00BF5F40">
      <w:pPr>
        <w:rPr>
          <w:rFonts w:cs="Calibri"/>
        </w:rPr>
      </w:pPr>
      <w:r w:rsidRPr="00A66BD6">
        <w:t xml:space="preserve">Проект соглашения с принимающей страной был направлен Китаю; первое посещение места проведения представителями Секретариата состоится в марте. </w:t>
      </w:r>
    </w:p>
    <w:p w14:paraId="46D7477A" w14:textId="77777777" w:rsidR="00BF5F40" w:rsidRPr="00A66BD6" w:rsidRDefault="00BF5F40" w:rsidP="00BF5F40">
      <w:pPr>
        <w:rPr>
          <w:rFonts w:cs="Calibri"/>
        </w:rPr>
      </w:pPr>
      <w:r w:rsidRPr="00A66BD6">
        <w:lastRenderedPageBreak/>
        <w:t>Соответствующие службы Генерального секретариата и Бюро радиосвязи уже приступили к координации для обеспечения административной и материально-технической подготовки к АР-27, ВКР-27 и ПСК31-1. Этот процесс координации будет продолжаться и активизироваться по мере проведения подготовительных мероприятий, включая нынешнее взаимодействие с принимающей страной.</w:t>
      </w:r>
    </w:p>
    <w:p w14:paraId="4BDDF853" w14:textId="77777777" w:rsidR="00BF5F40" w:rsidRPr="00A66BD6" w:rsidRDefault="00BF5F40" w:rsidP="00BF5F40">
      <w:pPr>
        <w:rPr>
          <w:rFonts w:cs="Calibri"/>
        </w:rPr>
      </w:pPr>
      <w:r w:rsidRPr="00A66BD6">
        <w:t xml:space="preserve">Был разработан и будет обновляться на регулярной основе посвященный ВКР-27 веб-сайт МСЭ по адресу: </w:t>
      </w:r>
      <w:hyperlink r:id="rId60" w:history="1">
        <w:r w:rsidRPr="00A66BD6">
          <w:rPr>
            <w:rStyle w:val="Hyperlink"/>
          </w:rPr>
          <w:t>www.itu.int/wrc-27/</w:t>
        </w:r>
      </w:hyperlink>
      <w:r w:rsidRPr="00A66BD6">
        <w:t>.</w:t>
      </w:r>
      <w:hyperlink r:id="rId61" w:history="1"/>
    </w:p>
    <w:p w14:paraId="1D8C5C4D" w14:textId="77777777" w:rsidR="00BF5F40" w:rsidRPr="00A66BD6" w:rsidRDefault="00BF5F40" w:rsidP="00BF5F40">
      <w:pPr>
        <w:pStyle w:val="Heading2"/>
      </w:pPr>
      <w:bookmarkStart w:id="41" w:name="_Toc223379829"/>
      <w:bookmarkStart w:id="42" w:name="_Toc223957783"/>
      <w:r w:rsidRPr="00A66BD6">
        <w:rPr>
          <w:bCs/>
        </w:rPr>
        <w:t>4.2</w:t>
      </w:r>
      <w:r w:rsidRPr="00A66BD6">
        <w:tab/>
      </w:r>
      <w:r w:rsidRPr="00A66BD6">
        <w:rPr>
          <w:bCs/>
        </w:rPr>
        <w:t>Другие связанные подготовительные мероприятия</w:t>
      </w:r>
      <w:bookmarkEnd w:id="41"/>
      <w:bookmarkEnd w:id="42"/>
    </w:p>
    <w:p w14:paraId="2CBDA8C7" w14:textId="77777777" w:rsidR="00BF5F40" w:rsidRPr="00A66BD6" w:rsidRDefault="00BF5F40" w:rsidP="00BF5F40">
      <w:r w:rsidRPr="00A66BD6">
        <w:t>После сессии Совета 2025 года Руководящий комитет ПСК-27 провел два собрания в смешанном формате. К участию в этих собраниях были также приглашены другие члены руководящего состава ПСК­27 (а именно председатели всех исследовательских комиссий МСЭ-R и рабочих групп (РГ), ответственных за пункты повестки дня ВКР-27).</w:t>
      </w:r>
    </w:p>
    <w:p w14:paraId="0300939E" w14:textId="77777777" w:rsidR="00BF5F40" w:rsidRPr="00A66BD6" w:rsidRDefault="00BF5F40" w:rsidP="00BF5F40">
      <w:r w:rsidRPr="00A66BD6">
        <w:t>Первое собрание Руководящего комитета ПСК состоялось 3 июля 2025 года и было посвящено рассмотрению прогресса, достигнутого к настоящему времени ответственными рабочими группами, и урегулированию любых вопросов, которые могут возникнуть в ходе подготовительных исследований к ПСК27-2 и ВКР-27, а также рассмотрению предварительной информации о ходе подготовительных работ к проведению 1-й Межрегиональной информационной сессии (МРИС) МСЭ по подготовке к ВКР-27.</w:t>
      </w:r>
    </w:p>
    <w:p w14:paraId="482BC627" w14:textId="64B2099A" w:rsidR="00BF5F40" w:rsidRPr="00A66BD6" w:rsidRDefault="00BF5F40" w:rsidP="00BF5F40">
      <w:r w:rsidRPr="00A66BD6">
        <w:t>Второе собрание Руководящего комитета ПСК состоялось 5 декабря 2025 года и было посвящено рассмотрению прогресса, достигнутого после работы блоков собраний РГ в сентябре−ноябре 2025</w:t>
      </w:r>
      <w:r w:rsidR="00F92FBE" w:rsidRPr="00A66BD6">
        <w:t> </w:t>
      </w:r>
      <w:r w:rsidRPr="00A66BD6">
        <w:t>года, а также любых вопросов, выявленных по итогам дальнейших подготовительных исследований МСЭ-R для ПСК27-2, ВКР-27 и ВКР-31. Ранее согласованный предельный срок представления проектов текстов ПСК ответственными РГ – 23 октября 2026 года – не был изменен. Однако с учетом ситуации на следующем собрании Руководящего комитета ПСК, запланированном на 12 июня 2026 года, могут быть рассмотрены некоторые практические меры, например в отношении проведения запланированного до 29 октября 2026 года собрания РГ</w:t>
      </w:r>
      <w:r w:rsidR="00024AD8" w:rsidRPr="00A66BD6">
        <w:t> </w:t>
      </w:r>
      <w:r w:rsidRPr="00A66BD6">
        <w:t xml:space="preserve">4A. </w:t>
      </w:r>
    </w:p>
    <w:p w14:paraId="525D9106" w14:textId="55199E96" w:rsidR="00BF5F40" w:rsidRPr="00A66BD6" w:rsidRDefault="00BF5F40" w:rsidP="00BF5F40">
      <w:r w:rsidRPr="00A66BD6">
        <w:t xml:space="preserve">Подробная информация относительно подготовительных исследований МСЭ-R по пунктам повестки дня ВКР-27 размещена на веб-странице МСЭ по адресу: </w:t>
      </w:r>
      <w:hyperlink r:id="rId62" w:history="1">
        <w:r w:rsidRPr="00A66BD6">
          <w:rPr>
            <w:rStyle w:val="Hyperlink"/>
          </w:rPr>
          <w:t>www.itu.int/go/rcpm-wrc-27-studies</w:t>
        </w:r>
      </w:hyperlink>
      <w:r w:rsidRPr="00A66BD6">
        <w:t xml:space="preserve"> и регулярно обновляется. Завершение этой деятельности в соответствии с предварительно установленными планами работы призвано, в частности, гарантировать своевременное составление проекта отчета ПСК для ВКР-27 с целью его рассмотрения на второй сессии ПСК-27. На этой же веб</w:t>
      </w:r>
      <w:r w:rsidR="00F92FBE" w:rsidRPr="00A66BD6">
        <w:t>‑</w:t>
      </w:r>
      <w:r w:rsidRPr="00A66BD6">
        <w:t>странице размещена и ссылка на</w:t>
      </w:r>
      <w:hyperlink r:id="rId63" w:history="1">
        <w:r w:rsidRPr="00A66BD6">
          <w:t xml:space="preserve"> </w:t>
        </w:r>
        <w:r w:rsidRPr="00A66BD6">
          <w:rPr>
            <w:rStyle w:val="Hyperlink"/>
          </w:rPr>
          <w:t>исследования по пунктам предварительной повестки дня ВКР</w:t>
        </w:r>
        <w:r w:rsidR="00F92FBE" w:rsidRPr="00A66BD6">
          <w:rPr>
            <w:rStyle w:val="Hyperlink"/>
          </w:rPr>
          <w:t>‑</w:t>
        </w:r>
        <w:r w:rsidRPr="00A66BD6">
          <w:rPr>
            <w:rStyle w:val="Hyperlink"/>
          </w:rPr>
          <w:t>31</w:t>
        </w:r>
      </w:hyperlink>
      <w:r w:rsidRPr="00A66BD6">
        <w:t>.</w:t>
      </w:r>
      <w:hyperlink r:id="rId64" w:history="1"/>
      <w:hyperlink r:id="rId65" w:history="1"/>
    </w:p>
    <w:p w14:paraId="6A916F44" w14:textId="495720BB" w:rsidR="00BF5F40" w:rsidRPr="00A66BD6" w:rsidRDefault="00BF5F40" w:rsidP="00BF5F40">
      <w:r w:rsidRPr="00A66BD6">
        <w:t xml:space="preserve">В конце января 2026 года БР предоставило ответственным РГ </w:t>
      </w:r>
      <w:hyperlink r:id="rId66" w:history="1">
        <w:r w:rsidRPr="00A66BD6">
          <w:rPr>
            <w:rStyle w:val="Hyperlink"/>
          </w:rPr>
          <w:t>дополнительные руководящие указания и примеры</w:t>
        </w:r>
      </w:hyperlink>
      <w:r w:rsidRPr="00A66BD6">
        <w:t xml:space="preserve">, касающиеся использования </w:t>
      </w:r>
      <w:hyperlink r:id="rId67" w:history="1">
        <w:r w:rsidRPr="00A66BD6">
          <w:rPr>
            <w:rStyle w:val="Hyperlink"/>
          </w:rPr>
          <w:t>Интерфейса подготовки предложений для конференции (CPI) для ВКР-27</w:t>
        </w:r>
      </w:hyperlink>
      <w:r w:rsidRPr="00A66BD6">
        <w:t>, в целях подготовки примеров регламентарных текстов для проекта отчета ПСК для ВКР</w:t>
      </w:r>
      <w:r w:rsidR="00F92FBE" w:rsidRPr="00A66BD6">
        <w:t>‑</w:t>
      </w:r>
      <w:r w:rsidRPr="00A66BD6">
        <w:t>27.</w:t>
      </w:r>
      <w:hyperlink r:id="rId68" w:history="1"/>
      <w:hyperlink r:id="rId69" w:history="1"/>
    </w:p>
    <w:p w14:paraId="6866669B" w14:textId="77777777" w:rsidR="00BF5F40" w:rsidRPr="00A66BD6" w:rsidRDefault="00BF5F40" w:rsidP="00BF5F40">
      <w:r w:rsidRPr="00A66BD6">
        <w:t xml:space="preserve">С учетом Резолюции 80 (Пересм. Марракеш, 2002 г.) ПК и Резолюции </w:t>
      </w:r>
      <w:r w:rsidRPr="00A66BD6">
        <w:rPr>
          <w:b/>
          <w:bCs/>
        </w:rPr>
        <w:t>72 (Пересм. ВКР-19)</w:t>
      </w:r>
      <w:r w:rsidRPr="00A66BD6">
        <w:t xml:space="preserve"> подготовка к ВКР-27 продолжилась и на региональном уровне при активном участии БР в ряде собраний региональных групп, в том числе АТСЭ, ASMG, АСЭ, СЕПТ, СИТЕЛ и РСС, по мере возможности. Обновленная информация о работе региональных групп по подготовке к ВКР-27 размещена по адресу: </w:t>
      </w:r>
      <w:hyperlink r:id="rId70" w:history="1">
        <w:r w:rsidRPr="00A66BD6">
          <w:rPr>
            <w:rStyle w:val="Hyperlink"/>
          </w:rPr>
          <w:t>www.itu.int/en/ITU-R/conferences/wrc/2027/Pages/reg-prep.aspx</w:t>
        </w:r>
      </w:hyperlink>
      <w:r w:rsidRPr="00A66BD6">
        <w:t>.</w:t>
      </w:r>
      <w:hyperlink r:id="rId71" w:history="1"/>
    </w:p>
    <w:p w14:paraId="3B7B3F85" w14:textId="77777777" w:rsidR="00BF5F40" w:rsidRPr="00A66BD6" w:rsidRDefault="00BF5F40" w:rsidP="00BF5F40">
      <w:r w:rsidRPr="00A66BD6">
        <w:t xml:space="preserve">В соответствии с рекомендацией 32-го собрания КГР и по итогам консультаций с председателями вышеупомянутых региональных групп и членами руководящего состава ПСК-27 по вопросам программы и формата мероприятия БР года провело 3-5 декабря 2025 </w:t>
      </w:r>
      <w:hyperlink r:id="rId72" w:history="1">
        <w:r w:rsidRPr="00A66BD6">
          <w:rPr>
            <w:rStyle w:val="Hyperlink"/>
          </w:rPr>
          <w:t xml:space="preserve"> первое собрание МРИС по подготовке к ВКР-27</w:t>
        </w:r>
      </w:hyperlink>
      <w:r w:rsidRPr="00A66BD6">
        <w:t xml:space="preserve"> в формате очного мероприятия в Женеве с устным переводом и возможностью дистанционного участия. Программа и все документы, представленные на этом первом собрании МРИС, а также </w:t>
      </w:r>
      <w:hyperlink r:id="rId73" w:anchor="Media-Centre" w:history="1">
        <w:r w:rsidRPr="00A66BD6">
          <w:rPr>
            <w:rStyle w:val="Hyperlink"/>
          </w:rPr>
          <w:t>архивы веб-трансляций</w:t>
        </w:r>
      </w:hyperlink>
      <w:r w:rsidRPr="00A66BD6">
        <w:t xml:space="preserve"> групповых обсуждений и субтитры размещены на веб-сайте мероприятия по адресу: </w:t>
      </w:r>
      <w:hyperlink r:id="rId74" w:history="1">
        <w:r w:rsidRPr="00A66BD6">
          <w:rPr>
            <w:rStyle w:val="Hyperlink"/>
          </w:rPr>
          <w:t>www.itu.int/iris-wrc-27/2025/</w:t>
        </w:r>
      </w:hyperlink>
      <w:r w:rsidRPr="00A66BD6">
        <w:t xml:space="preserve">. Второе и третье собрания МРИС по подготовке </w:t>
      </w:r>
      <w:r w:rsidRPr="00A66BD6">
        <w:lastRenderedPageBreak/>
        <w:t xml:space="preserve">к ВКР-27 запланированы на 14-16 декабря 2026 года, перед ПСК27-2, и на даты примерно за два месяца до ВКР-27, соответственно. Дополнительная информация о втором и третьем собраниях МРИС по подготовке к ВКР-27 будет представлена в установленном порядке на веб-сайте по адресу: </w:t>
      </w:r>
      <w:hyperlink r:id="rId75" w:history="1">
        <w:r w:rsidRPr="00A66BD6">
          <w:rPr>
            <w:rStyle w:val="Hyperlink"/>
          </w:rPr>
          <w:t>www.itu.int/iris-wrc-27/</w:t>
        </w:r>
      </w:hyperlink>
      <w:r w:rsidRPr="00A66BD6">
        <w:t>.</w:t>
      </w:r>
      <w:hyperlink r:id="rId76" w:history="1"/>
      <w:hyperlink r:id="rId77" w:anchor="Media-Centre" w:history="1"/>
      <w:hyperlink r:id="rId78" w:history="1"/>
      <w:hyperlink r:id="rId79" w:history="1"/>
    </w:p>
    <w:p w14:paraId="0240AAC9" w14:textId="75ACD4D8" w:rsidR="00BF5F40" w:rsidRPr="00A66BD6" w:rsidRDefault="00BF5F40" w:rsidP="00BF5F40">
      <w:r w:rsidRPr="00A66BD6">
        <w:t xml:space="preserve">Вышеуказанная информация, представленная в онлайновом режиме, также доступна на </w:t>
      </w:r>
      <w:hyperlink r:id="rId80" w:history="1">
        <w:r w:rsidRPr="00A66BD6">
          <w:rPr>
            <w:rStyle w:val="Hyperlink"/>
          </w:rPr>
          <w:t>веб</w:t>
        </w:r>
        <w:r w:rsidR="00F92FBE" w:rsidRPr="00A66BD6">
          <w:rPr>
            <w:rStyle w:val="Hyperlink"/>
          </w:rPr>
          <w:t>‑</w:t>
        </w:r>
        <w:r w:rsidRPr="00A66BD6">
          <w:rPr>
            <w:rStyle w:val="Hyperlink"/>
          </w:rPr>
          <w:t>сайте</w:t>
        </w:r>
        <w:r w:rsidR="00F92FBE" w:rsidRPr="00A66BD6">
          <w:rPr>
            <w:rStyle w:val="Hyperlink"/>
          </w:rPr>
          <w:t> </w:t>
        </w:r>
        <w:r w:rsidRPr="00A66BD6">
          <w:rPr>
            <w:rStyle w:val="Hyperlink"/>
          </w:rPr>
          <w:t>ПСК</w:t>
        </w:r>
      </w:hyperlink>
      <w:r w:rsidRPr="00A66BD6">
        <w:t>.</w:t>
      </w:r>
      <w:hyperlink r:id="rId81" w:history="1"/>
    </w:p>
    <w:p w14:paraId="2C6F65D5" w14:textId="77777777" w:rsidR="00BF5F40" w:rsidRPr="00A66BD6" w:rsidRDefault="00BF5F40" w:rsidP="00BF5F40">
      <w:pPr>
        <w:pStyle w:val="Heading1"/>
      </w:pPr>
      <w:bookmarkStart w:id="43" w:name="_Toc223379830"/>
      <w:bookmarkStart w:id="44" w:name="_Toc223957784"/>
      <w:r w:rsidRPr="00A66BD6">
        <w:rPr>
          <w:bCs/>
        </w:rPr>
        <w:t>5</w:t>
      </w:r>
      <w:r w:rsidRPr="00A66BD6">
        <w:tab/>
      </w:r>
      <w:r w:rsidRPr="00A66BD6">
        <w:rPr>
          <w:bCs/>
        </w:rPr>
        <w:t>Деятельность исследовательских комиссий</w:t>
      </w:r>
      <w:bookmarkEnd w:id="43"/>
      <w:bookmarkEnd w:id="44"/>
    </w:p>
    <w:p w14:paraId="48A2595C" w14:textId="77777777" w:rsidR="00BF5F40" w:rsidRPr="00A66BD6" w:rsidRDefault="00BF5F40" w:rsidP="00BF5F40">
      <w:pPr>
        <w:rPr>
          <w:rFonts w:eastAsia="SimSun"/>
        </w:rPr>
      </w:pPr>
      <w:r w:rsidRPr="00A66BD6">
        <w:t>Этой теме посвящен Дополнительный документ 1 к настоящему отчету.</w:t>
      </w:r>
    </w:p>
    <w:p w14:paraId="34C505A6" w14:textId="4DF2717F" w:rsidR="00BF5F40" w:rsidRPr="00A66BD6" w:rsidRDefault="00F92FBE" w:rsidP="00F92FBE">
      <w:pPr>
        <w:pStyle w:val="Heading1"/>
        <w:rPr>
          <w:bCs/>
        </w:rPr>
      </w:pPr>
      <w:bookmarkStart w:id="45" w:name="_Toc223379831"/>
      <w:bookmarkStart w:id="46" w:name="_Toc223957785"/>
      <w:r w:rsidRPr="00A66BD6">
        <w:rPr>
          <w:bCs/>
        </w:rPr>
        <w:t>6</w:t>
      </w:r>
      <w:r w:rsidRPr="00A66BD6">
        <w:rPr>
          <w:bCs/>
        </w:rPr>
        <w:tab/>
      </w:r>
      <w:r w:rsidR="00BF5F40" w:rsidRPr="00A66BD6">
        <w:rPr>
          <w:bCs/>
        </w:rPr>
        <w:t>Оперативное планирование</w:t>
      </w:r>
      <w:bookmarkEnd w:id="38"/>
      <w:bookmarkEnd w:id="45"/>
      <w:bookmarkEnd w:id="46"/>
    </w:p>
    <w:p w14:paraId="05767FE9" w14:textId="4C534FF3" w:rsidR="00BF5F40" w:rsidRPr="00A66BD6" w:rsidRDefault="00BF5F40" w:rsidP="00BF5F40">
      <w:pPr>
        <w:rPr>
          <w:rFonts w:eastAsia="SimSun"/>
        </w:rPr>
      </w:pPr>
      <w:r w:rsidRPr="00A66BD6">
        <w:t>Совет 2025 года утвердил четырехгодичный скользящий Оперативный план Союза на 2026</w:t>
      </w:r>
      <w:r w:rsidR="00024AD8" w:rsidRPr="00A66BD6">
        <w:t>−</w:t>
      </w:r>
      <w:r w:rsidRPr="00A66BD6">
        <w:t>2029</w:t>
      </w:r>
      <w:r w:rsidR="00024AD8" w:rsidRPr="00A66BD6">
        <w:t> </w:t>
      </w:r>
      <w:r w:rsidRPr="00A66BD6">
        <w:t>годы (</w:t>
      </w:r>
      <w:hyperlink r:id="rId82" w:history="1">
        <w:r w:rsidRPr="00A66BD6">
          <w:rPr>
            <w:rStyle w:val="Hyperlink"/>
          </w:rPr>
          <w:t>Документ C24/28</w:t>
        </w:r>
      </w:hyperlink>
      <w:r w:rsidRPr="00A66BD6">
        <w:t xml:space="preserve">) и принял </w:t>
      </w:r>
      <w:hyperlink r:id="rId83" w:history="1">
        <w:r w:rsidRPr="00A66BD6">
          <w:rPr>
            <w:rStyle w:val="Hyperlink"/>
          </w:rPr>
          <w:t>Резолюцию 1431</w:t>
        </w:r>
      </w:hyperlink>
      <w:r w:rsidRPr="00A66BD6">
        <w:t>. Оперативный план на этот период имеет целью реализацию пяти тематических приоритетов и 43 намеченных результатов деятельности. По структуре он соответствует Стратегическому и Финансовому планам на 2024</w:t>
      </w:r>
      <w:r w:rsidR="00024AD8" w:rsidRPr="00A66BD6">
        <w:t>−</w:t>
      </w:r>
      <w:r w:rsidRPr="00A66BD6">
        <w:t>2027 годы, утвержденным Полномочной конференцией 2022 года.</w:t>
      </w:r>
      <w:hyperlink r:id="rId84" w:history="1"/>
      <w:hyperlink r:id="rId85" w:history="1"/>
    </w:p>
    <w:p w14:paraId="2E15AF83" w14:textId="77777777" w:rsidR="00BF5F40" w:rsidRPr="00A66BD6" w:rsidRDefault="00BF5F40" w:rsidP="00BF5F40">
      <w:r w:rsidRPr="00A66BD6">
        <w:t xml:space="preserve">Проект скользящего Оперативного плана МСЭ-R на период 2027−2030 годов и отчет о проделанной работе за 2025 год представлены в Документе </w:t>
      </w:r>
      <w:hyperlink r:id="rId86" w:history="1">
        <w:r w:rsidRPr="00A66BD6">
          <w:rPr>
            <w:rStyle w:val="Hyperlink"/>
          </w:rPr>
          <w:t>RAG/62</w:t>
        </w:r>
      </w:hyperlink>
      <w:r w:rsidRPr="00A66BD6">
        <w:t>.</w:t>
      </w:r>
      <w:hyperlink r:id="rId87" w:history="1"/>
    </w:p>
    <w:p w14:paraId="0AFADCE9" w14:textId="77777777" w:rsidR="00BF5F40" w:rsidRPr="00A66BD6" w:rsidRDefault="00BF5F40" w:rsidP="00BF5F40">
      <w:pPr>
        <w:pStyle w:val="Heading1"/>
      </w:pPr>
      <w:bookmarkStart w:id="47" w:name="_Toc446060769"/>
      <w:bookmarkStart w:id="48" w:name="_Toc223379832"/>
      <w:bookmarkStart w:id="49" w:name="_Toc223957786"/>
      <w:r w:rsidRPr="00A66BD6">
        <w:rPr>
          <w:bCs/>
        </w:rPr>
        <w:t>7</w:t>
      </w:r>
      <w:r w:rsidRPr="00A66BD6">
        <w:tab/>
      </w:r>
      <w:r w:rsidRPr="00A66BD6">
        <w:rPr>
          <w:bCs/>
        </w:rPr>
        <w:t>Информационная система БР</w:t>
      </w:r>
      <w:bookmarkEnd w:id="47"/>
      <w:bookmarkEnd w:id="48"/>
      <w:bookmarkEnd w:id="49"/>
    </w:p>
    <w:p w14:paraId="54F9998E" w14:textId="3A7A630C" w:rsidR="00BF5F40" w:rsidRPr="00A66BD6" w:rsidRDefault="00BF5F40" w:rsidP="00BF5F40">
      <w:pPr>
        <w:pStyle w:val="Heading2"/>
      </w:pPr>
      <w:bookmarkStart w:id="50" w:name="_Toc223379833"/>
      <w:bookmarkStart w:id="51" w:name="_Toc223957787"/>
      <w:r w:rsidRPr="00A66BD6">
        <w:rPr>
          <w:bCs/>
        </w:rPr>
        <w:t>7.1</w:t>
      </w:r>
      <w:r w:rsidRPr="00A66BD6">
        <w:tab/>
      </w:r>
      <w:r w:rsidRPr="00A66BD6">
        <w:rPr>
          <w:bCs/>
        </w:rPr>
        <w:t>Программное обеспечение и инструменты для наземных служб</w:t>
      </w:r>
      <w:bookmarkEnd w:id="50"/>
      <w:bookmarkEnd w:id="51"/>
    </w:p>
    <w:p w14:paraId="0684BE4C" w14:textId="04369E67" w:rsidR="00BF5F40" w:rsidRPr="00A66BD6" w:rsidRDefault="00BF5F40" w:rsidP="00BF5F40">
      <w:pPr>
        <w:pStyle w:val="Heading3"/>
        <w:rPr>
          <w:rFonts w:eastAsia="Verdana"/>
        </w:rPr>
      </w:pPr>
      <w:bookmarkStart w:id="52" w:name="_Toc223379834"/>
      <w:bookmarkStart w:id="53" w:name="_Toc223957788"/>
      <w:r w:rsidRPr="00A66BD6">
        <w:rPr>
          <w:bCs/>
        </w:rPr>
        <w:t>7.1.1</w:t>
      </w:r>
      <w:r w:rsidRPr="00A66BD6">
        <w:tab/>
      </w:r>
      <w:r w:rsidRPr="00A66BD6">
        <w:rPr>
          <w:bCs/>
        </w:rPr>
        <w:t>Выполнение решений ВКР-23, касающихся наземных служб</w:t>
      </w:r>
      <w:bookmarkEnd w:id="52"/>
      <w:bookmarkEnd w:id="53"/>
    </w:p>
    <w:p w14:paraId="2D8517B1" w14:textId="5168E9CD" w:rsidR="00BF5F40" w:rsidRPr="00A66BD6" w:rsidRDefault="00BF5F40" w:rsidP="00F92FBE">
      <w:r w:rsidRPr="00A66BD6">
        <w:t>Завершение модернизации и обновления программного обеспечения для обработки и публикации заявок на наземные службы, как для внутреннего (TerRaSys), так и для внешнего (ИФИК БР (Наземные службы)) использования, в связи с решениями ВКР-23 и соответствующими Правилами процедуры. Это предполагает внесение изменений в базы данных по наземным службам, программное обеспечение для проверки и рассмотрения, а также эталонные таблицы для полос частот, используемых совместно с космическими службами, в соответствии с п.</w:t>
      </w:r>
      <w:r w:rsidR="00F92FBE" w:rsidRPr="00A66BD6">
        <w:t> </w:t>
      </w:r>
      <w:r w:rsidRPr="00A66BD6">
        <w:rPr>
          <w:b/>
          <w:bCs/>
        </w:rPr>
        <w:t>9.21</w:t>
      </w:r>
      <w:r w:rsidRPr="00A66BD6">
        <w:t xml:space="preserve"> РР, определенных для IMT, и</w:t>
      </w:r>
      <w:r w:rsidR="00D20F5D" w:rsidRPr="00A66BD6">
        <w:t> </w:t>
      </w:r>
      <w:r w:rsidRPr="00A66BD6">
        <w:t>т.</w:t>
      </w:r>
      <w:r w:rsidR="00D20F5D" w:rsidRPr="00A66BD6">
        <w:t> </w:t>
      </w:r>
      <w:r w:rsidRPr="00A66BD6">
        <w:t xml:space="preserve">д. Были внесены все необходимые изменения; окончательная интеграция была осуществлена в 2025 году. </w:t>
      </w:r>
    </w:p>
    <w:p w14:paraId="65EAAFF9" w14:textId="026E5E1B" w:rsidR="00BF5F40" w:rsidRPr="00A66BD6" w:rsidRDefault="00BF5F40" w:rsidP="00BF5F40">
      <w:pPr>
        <w:pStyle w:val="Heading3"/>
      </w:pPr>
      <w:bookmarkStart w:id="54" w:name="_Toc223379835"/>
      <w:bookmarkStart w:id="55" w:name="_Toc223957789"/>
      <w:r w:rsidRPr="00A66BD6">
        <w:rPr>
          <w:bCs/>
        </w:rPr>
        <w:t>7.1.2</w:t>
      </w:r>
      <w:r w:rsidRPr="00A66BD6">
        <w:tab/>
      </w:r>
      <w:r w:rsidRPr="00A66BD6">
        <w:rPr>
          <w:bCs/>
        </w:rPr>
        <w:t>Обработка запросов о координации в соответствии с пунктом 9.21 РР</w:t>
      </w:r>
      <w:bookmarkEnd w:id="54"/>
      <w:bookmarkEnd w:id="55"/>
    </w:p>
    <w:p w14:paraId="776DD904" w14:textId="77777777" w:rsidR="00BF5F40" w:rsidRPr="00A66BD6" w:rsidRDefault="00BF5F40" w:rsidP="00BF5F40">
      <w:r w:rsidRPr="00A66BD6">
        <w:t xml:space="preserve">На протяжении отчетного периода продолжалась разработка программных модулей и связанных с ними инструментов обработки запросов о координации в соответствии с пунктом </w:t>
      </w:r>
      <w:r w:rsidRPr="00A66BD6">
        <w:rPr>
          <w:b/>
        </w:rPr>
        <w:t>9.21</w:t>
      </w:r>
      <w:r w:rsidRPr="00A66BD6">
        <w:t xml:space="preserve"> РР. Завершение работы над программным обеспечением для проверки соответствующих присвоений (подпадающих под действие пункта </w:t>
      </w:r>
      <w:r w:rsidRPr="00A66BD6">
        <w:rPr>
          <w:b/>
        </w:rPr>
        <w:t>9.21</w:t>
      </w:r>
      <w:r w:rsidRPr="00A66BD6">
        <w:t xml:space="preserve">), заявленных в соответствии со Статьей </w:t>
      </w:r>
      <w:r w:rsidRPr="00A66BD6">
        <w:rPr>
          <w:b/>
        </w:rPr>
        <w:t>11</w:t>
      </w:r>
      <w:r w:rsidRPr="00A66BD6">
        <w:t xml:space="preserve"> РР в Справочном регистре, а также его включение в TerRaSys ожидается в IV квартале 2026 года.</w:t>
      </w:r>
    </w:p>
    <w:p w14:paraId="4C2B6E6E" w14:textId="04E4C7CD" w:rsidR="00BF5F40" w:rsidRPr="00A66BD6" w:rsidRDefault="00BF5F40" w:rsidP="00BF5F40">
      <w:pPr>
        <w:pStyle w:val="Heading3"/>
        <w:rPr>
          <w:rFonts w:eastAsia="Verdana"/>
        </w:rPr>
      </w:pPr>
      <w:bookmarkStart w:id="56" w:name="_Toc223379836"/>
      <w:bookmarkStart w:id="57" w:name="_Toc223957790"/>
      <w:r w:rsidRPr="00A66BD6">
        <w:rPr>
          <w:bCs/>
        </w:rPr>
        <w:t>7.1.3</w:t>
      </w:r>
      <w:r w:rsidRPr="00A66BD6">
        <w:tab/>
      </w:r>
      <w:r w:rsidRPr="00A66BD6">
        <w:rPr>
          <w:bCs/>
        </w:rPr>
        <w:t>Обработка заявлений HAPS</w:t>
      </w:r>
      <w:bookmarkEnd w:id="56"/>
      <w:bookmarkEnd w:id="57"/>
    </w:p>
    <w:p w14:paraId="39385518" w14:textId="77777777" w:rsidR="00BF5F40" w:rsidRPr="00A66BD6" w:rsidRDefault="00BF5F40" w:rsidP="00BF5F40">
      <w:r w:rsidRPr="00A66BD6">
        <w:t xml:space="preserve">Продолжалась разработка вычислительных модулей для проверки соответствия техническим условиям, указанным в Резолюциях </w:t>
      </w:r>
      <w:r w:rsidRPr="00A66BD6">
        <w:rPr>
          <w:b/>
          <w:bCs/>
        </w:rPr>
        <w:t>122 (Пересм. ВКР-19)</w:t>
      </w:r>
      <w:r w:rsidRPr="00A66BD6">
        <w:t>,</w:t>
      </w:r>
      <w:r w:rsidRPr="00A66BD6">
        <w:rPr>
          <w:b/>
          <w:bCs/>
        </w:rPr>
        <w:t xml:space="preserve"> 145 (Пересм. ВКР-19)</w:t>
      </w:r>
      <w:r w:rsidRPr="00A66BD6">
        <w:t>,</w:t>
      </w:r>
      <w:r w:rsidRPr="00A66BD6">
        <w:rPr>
          <w:b/>
          <w:bCs/>
        </w:rPr>
        <w:t xml:space="preserve"> 165 (Пересм. ВКР-23)</w:t>
      </w:r>
      <w:r w:rsidRPr="00A66BD6">
        <w:t>,</w:t>
      </w:r>
      <w:r w:rsidRPr="00A66BD6">
        <w:rPr>
          <w:b/>
          <w:bCs/>
        </w:rPr>
        <w:t xml:space="preserve"> 166 (Пересм. ВКР­23)</w:t>
      </w:r>
      <w:r w:rsidRPr="00A66BD6">
        <w:t>,</w:t>
      </w:r>
      <w:r w:rsidRPr="00A66BD6">
        <w:rPr>
          <w:b/>
          <w:bCs/>
        </w:rPr>
        <w:t xml:space="preserve"> 167 (Пересм. ВКР-23) </w:t>
      </w:r>
      <w:r w:rsidRPr="00A66BD6">
        <w:t>и</w:t>
      </w:r>
      <w:r w:rsidRPr="00A66BD6">
        <w:rPr>
          <w:b/>
          <w:bCs/>
        </w:rPr>
        <w:t xml:space="preserve"> 168 (Пересм. ВКР-23)</w:t>
      </w:r>
      <w:r w:rsidRPr="00A66BD6">
        <w:t>.</w:t>
      </w:r>
    </w:p>
    <w:p w14:paraId="4125391C" w14:textId="77777777" w:rsidR="00BF5F40" w:rsidRPr="00A66BD6" w:rsidRDefault="00BF5F40" w:rsidP="00BF5F40">
      <w:pPr>
        <w:pStyle w:val="Heading3"/>
      </w:pPr>
      <w:bookmarkStart w:id="58" w:name="_Toc223379837"/>
      <w:bookmarkStart w:id="59" w:name="_Toc223957791"/>
      <w:r w:rsidRPr="00A66BD6">
        <w:rPr>
          <w:bCs/>
        </w:rPr>
        <w:t>7.1.4</w:t>
      </w:r>
      <w:r w:rsidRPr="00A66BD6">
        <w:tab/>
      </w:r>
      <w:r w:rsidRPr="00A66BD6">
        <w:rPr>
          <w:bCs/>
        </w:rPr>
        <w:t>Переработка программного обеспечения для ВЧРВ</w:t>
      </w:r>
      <w:bookmarkEnd w:id="58"/>
      <w:bookmarkEnd w:id="59"/>
    </w:p>
    <w:p w14:paraId="4C0CB446" w14:textId="311549E7" w:rsidR="00BF5F40" w:rsidRPr="00A66BD6" w:rsidRDefault="00BF5F40" w:rsidP="00F92FBE">
      <w:r w:rsidRPr="00A66BD6">
        <w:t xml:space="preserve">В соответствии с положениями Статьи </w:t>
      </w:r>
      <w:r w:rsidRPr="00A66BD6">
        <w:rPr>
          <w:b/>
          <w:bCs/>
        </w:rPr>
        <w:t>12</w:t>
      </w:r>
      <w:r w:rsidRPr="00A66BD6">
        <w:t xml:space="preserve"> РР БР занимается подготовкой и публикацией расписаний ВЧРВ на сезоны, а также результатов анализа совместимости. Расписания размещены на веб</w:t>
      </w:r>
      <w:r w:rsidR="00F92FBE" w:rsidRPr="00A66BD6">
        <w:t>‑</w:t>
      </w:r>
      <w:r w:rsidRPr="00A66BD6">
        <w:t>сайте</w:t>
      </w:r>
      <w:r w:rsidR="00F92FBE" w:rsidRPr="00A66BD6">
        <w:t> </w:t>
      </w:r>
      <w:r w:rsidRPr="00A66BD6">
        <w:t>БР.</w:t>
      </w:r>
    </w:p>
    <w:p w14:paraId="1E6CB7C0" w14:textId="77777777" w:rsidR="00BF5F40" w:rsidRPr="00A66BD6" w:rsidRDefault="00BF5F40" w:rsidP="00F92FBE">
      <w:pPr>
        <w:rPr>
          <w:szCs w:val="24"/>
        </w:rPr>
      </w:pPr>
      <w:r w:rsidRPr="00A66BD6">
        <w:t xml:space="preserve">Новые добавленные функции и усовершенствования: </w:t>
      </w:r>
    </w:p>
    <w:p w14:paraId="4BD1FDD1" w14:textId="368877E4" w:rsidR="00BF5F40" w:rsidRPr="00A66BD6" w:rsidRDefault="00F92FBE" w:rsidP="00F92FBE">
      <w:pPr>
        <w:pStyle w:val="enumlev1"/>
      </w:pPr>
      <w:r w:rsidRPr="00A66BD6">
        <w:lastRenderedPageBreak/>
        <w:t>•</w:t>
      </w:r>
      <w:r w:rsidRPr="00A66BD6">
        <w:tab/>
      </w:r>
      <w:r w:rsidR="00BF5F40" w:rsidRPr="00A66BD6">
        <w:t>отчет о проверке достоверности файлов заявок в виде редактируемой таблицы с возможностью исправления ошибок в онлайновом режиме;</w:t>
      </w:r>
    </w:p>
    <w:p w14:paraId="52031630" w14:textId="331E023C" w:rsidR="00BF5F40" w:rsidRPr="00A66BD6" w:rsidRDefault="00F92FBE" w:rsidP="00F92FBE">
      <w:pPr>
        <w:pStyle w:val="enumlev1"/>
      </w:pPr>
      <w:r w:rsidRPr="00A66BD6">
        <w:t>•</w:t>
      </w:r>
      <w:r w:rsidRPr="00A66BD6">
        <w:tab/>
      </w:r>
      <w:r w:rsidR="00BF5F40" w:rsidRPr="00A66BD6">
        <w:t>автоматическое обновление файлов предыдущего сезона для повторного использования в текущем сезоне.</w:t>
      </w:r>
    </w:p>
    <w:p w14:paraId="5B77126B" w14:textId="77777777" w:rsidR="00BF5F40" w:rsidRPr="00A66BD6" w:rsidRDefault="00BF5F40" w:rsidP="00BF5F40">
      <w:pPr>
        <w:pStyle w:val="Heading3"/>
      </w:pPr>
      <w:bookmarkStart w:id="60" w:name="_Toc223379838"/>
      <w:bookmarkStart w:id="61" w:name="_Toc223957792"/>
      <w:r w:rsidRPr="00A66BD6">
        <w:rPr>
          <w:bCs/>
        </w:rPr>
        <w:t>7.1.5</w:t>
      </w:r>
      <w:r w:rsidRPr="00A66BD6">
        <w:tab/>
      </w:r>
      <w:r w:rsidRPr="00A66BD6">
        <w:rPr>
          <w:bCs/>
        </w:rPr>
        <w:t>Переход с Ingres на SQL Server</w:t>
      </w:r>
      <w:bookmarkEnd w:id="60"/>
      <w:bookmarkEnd w:id="61"/>
    </w:p>
    <w:p w14:paraId="020A6AB1" w14:textId="758408DA" w:rsidR="00BF5F40" w:rsidRPr="00A66BD6" w:rsidRDefault="00BF5F40" w:rsidP="00BF5F40">
      <w:bookmarkStart w:id="62" w:name="_Hlk221622139"/>
      <w:r w:rsidRPr="00A66BD6">
        <w:t>Процессы перехода и модернизации системы TerRaSys завершены, и по состоянию на 3 марта 2025</w:t>
      </w:r>
      <w:r w:rsidR="00F92FBE" w:rsidRPr="00A66BD6">
        <w:t> </w:t>
      </w:r>
      <w:r w:rsidRPr="00A66BD6">
        <w:t>года новая система находится в эксплуатации. Сюда входит новая структура базы данных, включающая новые элементы данных из Приложения 4 к РР. Впоследствии были пересмотрены и обновлены программные модули для проверки данных электронных заявлений на наземные службы. Соответствующим образом были скорректированы и программные модули для обработки заявлений на наземные службы с целью их регистрации в МСРЧ и в различных планах наземных служб. Также модернизированы программные модули, используемые на этапе технического рассмотрения, в том числе модули отображения результатов рассмотрения. Завершена также соответствующая работа по публикации и подготовке новых пакетов ИФИК БР.</w:t>
      </w:r>
      <w:bookmarkEnd w:id="62"/>
    </w:p>
    <w:p w14:paraId="64ABB747" w14:textId="77777777" w:rsidR="00BF5F40" w:rsidRPr="00A66BD6" w:rsidRDefault="00BF5F40" w:rsidP="00BF5F40">
      <w:pPr>
        <w:rPr>
          <w:color w:val="000000" w:themeColor="text1"/>
        </w:rPr>
      </w:pPr>
      <w:r w:rsidRPr="00A66BD6">
        <w:t>Разработаны, внедрены и перенесены в эксплуатационную среду различные веб-приложения, обеспечивающие доступ в режиме онлайн к базе данных и другим программным инструментам, включая онлайновую проверку заявлений частотных присвоений наземным службам. Копии существующей базы данных наземных служб, имеющей новую структуру, доступны на новой платформе СУБД и используются различными веб-приложениями БР для отображения, проверки и обработки заявлений частотных присвоений наземным службам.</w:t>
      </w:r>
    </w:p>
    <w:p w14:paraId="2AA31ABA" w14:textId="77777777" w:rsidR="00BF5F40" w:rsidRPr="00A66BD6" w:rsidRDefault="00BF5F40" w:rsidP="00BF5F40">
      <w:r w:rsidRPr="00A66BD6">
        <w:t xml:space="preserve">В результате этой работы и в соответствии с новой политикой доступа доступ к существующим ИФИК БР (Наземные службы) теперь предоставляется администрациям Государств-Членов в онлайновом режиме на веб-странице </w:t>
      </w:r>
      <w:hyperlink r:id="rId88">
        <w:r w:rsidRPr="00A66BD6">
          <w:rPr>
            <w:rStyle w:val="Hyperlink"/>
          </w:rPr>
          <w:t>ИФИК БР для наземных служб</w:t>
        </w:r>
      </w:hyperlink>
      <w:r w:rsidRPr="00A66BD6">
        <w:t>, в том числе к предыдущим ИФИК БР (Наземные службы), опубликованным ранее в текущем году. Кроме того, в онлайновом режиме стали доступны различные инструменты запросов и экспорта.</w:t>
      </w:r>
      <w:hyperlink r:id="rId89"/>
    </w:p>
    <w:p w14:paraId="4E452CAF" w14:textId="29DFB402" w:rsidR="00BF5F40" w:rsidRPr="00A66BD6" w:rsidRDefault="00BF5F40" w:rsidP="00BF5F40">
      <w:r w:rsidRPr="00A66BD6">
        <w:t>Структура данных, опубликованных в базе данных наземных служб (</w:t>
      </w:r>
      <w:r w:rsidRPr="00A66BD6">
        <w:rPr>
          <w:b/>
          <w:bCs/>
          <w:i/>
          <w:iCs/>
        </w:rPr>
        <w:t>TerRaBase</w:t>
      </w:r>
      <w:r w:rsidRPr="00A66BD6">
        <w:t>) в файле образа ISO, соответствует новой структуре данных. Этот переход был осуществлен понятным для пользователей образом с применением инструментов, предоставленных Бюро в отношении файла образа ISO (а</w:t>
      </w:r>
      <w:r w:rsidR="00D20F5D" w:rsidRPr="00A66BD6">
        <w:t> </w:t>
      </w:r>
      <w:r w:rsidRPr="00A66BD6">
        <w:t xml:space="preserve">именно </w:t>
      </w:r>
      <w:r w:rsidRPr="00A66BD6">
        <w:rPr>
          <w:b/>
          <w:bCs/>
          <w:i/>
          <w:iCs/>
        </w:rPr>
        <w:t>TerRaQ</w:t>
      </w:r>
      <w:r w:rsidRPr="00A66BD6">
        <w:t xml:space="preserve"> и </w:t>
      </w:r>
      <w:r w:rsidRPr="00A66BD6">
        <w:rPr>
          <w:b/>
          <w:bCs/>
          <w:i/>
          <w:iCs/>
        </w:rPr>
        <w:t>TerRaNotices</w:t>
      </w:r>
      <w:r w:rsidRPr="00A66BD6">
        <w:t>).</w:t>
      </w:r>
    </w:p>
    <w:p w14:paraId="4ED00A9E" w14:textId="36BF723A" w:rsidR="00BF5F40" w:rsidRPr="00A66BD6" w:rsidRDefault="00BF5F40" w:rsidP="00BF5F40">
      <w:r w:rsidRPr="00A66BD6">
        <w:t xml:space="preserve">Для того чтобы обеспечить плавный переход для программных средств, созданных третьими сторонами, БР также разработало инструмент преобразования с обратной совместимостью, который позволяет автоматически генерировать файлы базы данных с обратной совместимостью. Подробная информация о различиях между старой и новой структурами базы данных, а также описание изменений в структуре размещены по адресу: </w:t>
      </w:r>
      <w:hyperlink r:id="rId90" w:history="1">
        <w:r w:rsidRPr="00A66BD6">
          <w:rPr>
            <w:rStyle w:val="Hyperlink"/>
          </w:rPr>
          <w:t>https://www.itu.int/ITU-R/terrasys/docs</w:t>
        </w:r>
      </w:hyperlink>
      <w:r w:rsidRPr="00A66BD6">
        <w:t>. Подробнее см.</w:t>
      </w:r>
      <w:r w:rsidR="00D20F5D" w:rsidRPr="00A66BD6">
        <w:t> </w:t>
      </w:r>
      <w:r w:rsidRPr="00A66BD6">
        <w:t xml:space="preserve">Циркулярное письмо </w:t>
      </w:r>
      <w:hyperlink r:id="rId91" w:history="1">
        <w:r w:rsidRPr="00A66BD6">
          <w:rPr>
            <w:rStyle w:val="Hyperlink"/>
          </w:rPr>
          <w:t>CR/516</w:t>
        </w:r>
      </w:hyperlink>
      <w:r w:rsidRPr="00A66BD6">
        <w:t>.</w:t>
      </w:r>
      <w:hyperlink r:id="rId92"/>
      <w:hyperlink r:id="rId93"/>
    </w:p>
    <w:p w14:paraId="1E342F75" w14:textId="77777777" w:rsidR="00BF5F40" w:rsidRPr="00A66BD6" w:rsidRDefault="00BF5F40" w:rsidP="00BF5F40">
      <w:pPr>
        <w:pStyle w:val="Heading3"/>
      </w:pPr>
      <w:bookmarkStart w:id="63" w:name="_Toc223379839"/>
      <w:bookmarkStart w:id="64" w:name="_Toc223957793"/>
      <w:r w:rsidRPr="00A66BD6">
        <w:rPr>
          <w:bCs/>
        </w:rPr>
        <w:t>7.1.6</w:t>
      </w:r>
      <w:r w:rsidRPr="00A66BD6">
        <w:tab/>
      </w:r>
      <w:r w:rsidRPr="00A66BD6">
        <w:rPr>
          <w:bCs/>
        </w:rPr>
        <w:t>Проект публикаций морской службы</w:t>
      </w:r>
      <w:bookmarkEnd w:id="63"/>
      <w:bookmarkEnd w:id="64"/>
    </w:p>
    <w:p w14:paraId="530D7019" w14:textId="6D145BC1" w:rsidR="00BF5F40" w:rsidRPr="00A66BD6" w:rsidRDefault="00BF5F40" w:rsidP="00BF5F40">
      <w:r w:rsidRPr="00A66BD6">
        <w:t>БР вышло на завершающую стадию указанного проекта. В настоящее время работают онлайновая платформа продаж и настольное приложение, которые содержат три цифровые публикации (Список</w:t>
      </w:r>
      <w:r w:rsidR="00F92FBE" w:rsidRPr="00A66BD6">
        <w:t> </w:t>
      </w:r>
      <w:r w:rsidRPr="00A66BD6">
        <w:t>IV, Список V и Руководство по морской службе). Что касается создания соответствующих мобильных приложений, близка к завершению разработка мобильного приложения пользователя, содержащего упрощенные версии трех цифровых публикаций. Приложение для инспекторов (ITU</w:t>
      </w:r>
      <w:r w:rsidR="00F92FBE" w:rsidRPr="00A66BD6">
        <w:t> </w:t>
      </w:r>
      <w:r w:rsidRPr="00A66BD6">
        <w:t>Publication Verifier) завершено и готово к бесплатному размещению в основных магазинах мобильных приложений (Google и Apple). Перед запуском мобильных приложений БР занимается решением задач, связанных с конкретными требованиями для осуществления публикации.</w:t>
      </w:r>
    </w:p>
    <w:p w14:paraId="45924BB2" w14:textId="4110DEC5" w:rsidR="00BF5F40" w:rsidRPr="00A66BD6" w:rsidRDefault="00BF5F40" w:rsidP="00BF5F40">
      <w:pPr>
        <w:pStyle w:val="Heading3"/>
      </w:pPr>
      <w:bookmarkStart w:id="65" w:name="_Toc223379840"/>
      <w:bookmarkStart w:id="66" w:name="_Toc223957794"/>
      <w:r w:rsidRPr="00A66BD6">
        <w:rPr>
          <w:bCs/>
        </w:rPr>
        <w:t>7.1.7</w:t>
      </w:r>
      <w:r w:rsidRPr="00A66BD6">
        <w:tab/>
      </w:r>
      <w:r w:rsidRPr="00A66BD6">
        <w:rPr>
          <w:bCs/>
        </w:rPr>
        <w:t>Вредные помехи наземным службам (HITS)</w:t>
      </w:r>
      <w:bookmarkEnd w:id="65"/>
      <w:bookmarkEnd w:id="66"/>
    </w:p>
    <w:p w14:paraId="186EB2A0" w14:textId="77777777" w:rsidR="00BF5F40" w:rsidRPr="00A66BD6" w:rsidRDefault="00BF5F40" w:rsidP="00BF5F40">
      <w:r w:rsidRPr="00A66BD6">
        <w:t xml:space="preserve">Официальная версия инструмента HITS была предоставлена всем Государствам-Членам в декабре 2025 года (в Циркулярном письме </w:t>
      </w:r>
      <w:hyperlink r:id="rId94" w:history="1">
        <w:r w:rsidRPr="00A66BD6">
          <w:rPr>
            <w:rStyle w:val="Hyperlink"/>
          </w:rPr>
          <w:t>CR/526</w:t>
        </w:r>
      </w:hyperlink>
      <w:r w:rsidRPr="00A66BD6">
        <w:t xml:space="preserve">). Этот инструмент предназначен для представления донесений и обмена информацией о случаях нарушений и вредных помех, причиняемых наземным </w:t>
      </w:r>
      <w:r w:rsidRPr="00A66BD6">
        <w:lastRenderedPageBreak/>
        <w:t xml:space="preserve">службам, а также для доступа к соответствующим архивам корреспонденции с Бюро. Продолжается работа, учитывающая поступающие от администраций отзывы и предполагающая включение новых функциональных возможностей. </w:t>
      </w:r>
      <w:hyperlink r:id="rId95" w:history="1"/>
    </w:p>
    <w:p w14:paraId="69C7581F" w14:textId="77777777" w:rsidR="00BF5F40" w:rsidRPr="00A66BD6" w:rsidRDefault="00BF5F40" w:rsidP="00BF5F40">
      <w:pPr>
        <w:pStyle w:val="Heading3"/>
      </w:pPr>
      <w:bookmarkStart w:id="67" w:name="_Toc223379841"/>
      <w:bookmarkStart w:id="68" w:name="_Toc223957795"/>
      <w:r w:rsidRPr="00A66BD6">
        <w:rPr>
          <w:bCs/>
        </w:rPr>
        <w:t>7.1.8</w:t>
      </w:r>
      <w:r w:rsidRPr="00A66BD6">
        <w:tab/>
      </w:r>
      <w:r w:rsidRPr="00A66BD6">
        <w:rPr>
          <w:bCs/>
        </w:rPr>
        <w:t>Дальнейшее совершенствование веб-инструментов</w:t>
      </w:r>
      <w:bookmarkEnd w:id="67"/>
      <w:bookmarkEnd w:id="68"/>
      <w:r w:rsidRPr="00A66BD6">
        <w:t xml:space="preserve"> </w:t>
      </w:r>
    </w:p>
    <w:p w14:paraId="1F8C9FB7" w14:textId="77777777" w:rsidR="00BF5F40" w:rsidRPr="00A66BD6" w:rsidRDefault="00BF5F40" w:rsidP="00BF5F40">
      <w:pPr>
        <w:rPr>
          <w:szCs w:val="24"/>
        </w:rPr>
      </w:pPr>
      <w:r w:rsidRPr="00A66BD6">
        <w:t xml:space="preserve">БР продолжает разработку веб-инструментов для наземных служб и их интеграцию в единый портал eTerrestrial, реализованный с использованием описанных ниже новейших веб-технологий. </w:t>
      </w:r>
    </w:p>
    <w:p w14:paraId="70D7EC05" w14:textId="77777777" w:rsidR="00BF5F40" w:rsidRPr="00A66BD6" w:rsidRDefault="00BF5F40" w:rsidP="00BF5F40">
      <w:pPr>
        <w:rPr>
          <w:szCs w:val="24"/>
        </w:rPr>
      </w:pPr>
      <w:r w:rsidRPr="00A66BD6">
        <w:t>Интеграция проверки соответствия Ст. 5 GE06 в eTools была реализована в eBroadcasting, что позволило вывести из эксплуатации соответствующую функцию, имеющуюся в автономном инструменте GE06Calc. Кроме того, был усовершенствован инструмент анализа совместимости GE84 за счет интеграции карт и отображения подробных сведений о станциях.</w:t>
      </w:r>
    </w:p>
    <w:p w14:paraId="26867307" w14:textId="77777777" w:rsidR="00BF5F40" w:rsidRPr="00A66BD6" w:rsidRDefault="00BF5F40" w:rsidP="00BF5F40">
      <w:pPr>
        <w:rPr>
          <w:szCs w:val="24"/>
        </w:rPr>
      </w:pPr>
      <w:r w:rsidRPr="00A66BD6">
        <w:t xml:space="preserve">После завершения разработки модели "из пункта в пункт" (P2P) (P.452) в настоящее время разрабатывается средство моделирования "из пункта в зону" (P.452). Этот инструмент призван содействовать администрациям в проведении комплексного анализа географических помех на основе цифровой модели рельефа и модели гладкой поверхности Земли, с тем чтобы помочь им определять потенциально затрагиваемые соседние страны при применении </w:t>
      </w:r>
      <w:r w:rsidRPr="00A66BD6">
        <w:rPr>
          <w:bCs/>
        </w:rPr>
        <w:t>п.</w:t>
      </w:r>
      <w:r w:rsidRPr="00A66BD6">
        <w:rPr>
          <w:b/>
          <w:bCs/>
        </w:rPr>
        <w:t xml:space="preserve"> 9.21 </w:t>
      </w:r>
      <w:r w:rsidRPr="00A66BD6">
        <w:t xml:space="preserve">РР. </w:t>
      </w:r>
    </w:p>
    <w:p w14:paraId="0EF7AD16" w14:textId="6F7FFB4C" w:rsidR="00BF5F40" w:rsidRPr="00A66BD6" w:rsidRDefault="00BF5F40" w:rsidP="00BF5F40">
      <w:r w:rsidRPr="00A66BD6">
        <w:t>В 2024 году была разработана и интегрирована в eFXM онлайновая платформа для наземных (за</w:t>
      </w:r>
      <w:r w:rsidR="00F92FBE" w:rsidRPr="00A66BD6">
        <w:t> </w:t>
      </w:r>
      <w:r w:rsidRPr="00A66BD6">
        <w:t xml:space="preserve">исключением радиовещательных) служб (eFXM), то есть ePubFXM и MyAdminFXM. Система ePubFXM усовершенствована и дополнена новыми функциями, позволяющими администрациям отслеживать рабочий процесс координации по опубликованным Специальным секциям п. </w:t>
      </w:r>
      <w:r w:rsidRPr="00A66BD6">
        <w:rPr>
          <w:b/>
          <w:bCs/>
        </w:rPr>
        <w:t>9.21 РР</w:t>
      </w:r>
      <w:r w:rsidRPr="00A66BD6">
        <w:t xml:space="preserve"> и GE06L, прилагаемым к ИФИК БР (Наземные службы). Недавно разработана и интегрирована в eFXM система MyAdminFXM, которая помогает администрациям в управлении последующими процедурами координации FXM и изменения плана FXM.</w:t>
      </w:r>
    </w:p>
    <w:p w14:paraId="4EB7DACA" w14:textId="77777777" w:rsidR="00BF5F40" w:rsidRPr="00A66BD6" w:rsidRDefault="00BF5F40" w:rsidP="00BF5F40">
      <w:pPr>
        <w:pStyle w:val="Heading2"/>
      </w:pPr>
      <w:bookmarkStart w:id="69" w:name="_Toc223379842"/>
      <w:bookmarkStart w:id="70" w:name="_Toc223957796"/>
      <w:r w:rsidRPr="00A66BD6">
        <w:rPr>
          <w:bCs/>
        </w:rPr>
        <w:t>7.2</w:t>
      </w:r>
      <w:r w:rsidRPr="00A66BD6">
        <w:tab/>
      </w:r>
      <w:r w:rsidRPr="00A66BD6">
        <w:rPr>
          <w:bCs/>
        </w:rPr>
        <w:t>Программное обеспечение и инструменты для космических служб</w:t>
      </w:r>
      <w:bookmarkEnd w:id="69"/>
      <w:bookmarkEnd w:id="70"/>
    </w:p>
    <w:p w14:paraId="7E516141" w14:textId="1BD879F0" w:rsidR="00BF5F40" w:rsidRPr="00A66BD6" w:rsidRDefault="00BF5F40" w:rsidP="00BF5F40">
      <w:pPr>
        <w:pStyle w:val="Heading3"/>
        <w:rPr>
          <w:rFonts w:eastAsia="Verdana"/>
        </w:rPr>
      </w:pPr>
      <w:bookmarkStart w:id="71" w:name="_Toc223379843"/>
      <w:bookmarkStart w:id="72" w:name="_Toc223957797"/>
      <w:r w:rsidRPr="00A66BD6">
        <w:rPr>
          <w:bCs/>
        </w:rPr>
        <w:t>7.2.1</w:t>
      </w:r>
      <w:r w:rsidRPr="00A66BD6">
        <w:tab/>
      </w:r>
      <w:r w:rsidRPr="00A66BD6">
        <w:rPr>
          <w:bCs/>
        </w:rPr>
        <w:t>Выполнение решений ВКР-23, касающихся космических служб</w:t>
      </w:r>
      <w:bookmarkEnd w:id="71"/>
      <w:bookmarkEnd w:id="72"/>
    </w:p>
    <w:p w14:paraId="130CEDB5" w14:textId="77777777" w:rsidR="00BF5F40" w:rsidRPr="00A66BD6" w:rsidRDefault="00BF5F40" w:rsidP="00BF5F40">
      <w:pPr>
        <w:rPr>
          <w:rStyle w:val="CommentReference"/>
          <w:sz w:val="24"/>
        </w:rPr>
      </w:pPr>
      <w:r w:rsidRPr="00A66BD6">
        <w:t>Выпустив в начале 2025 года версию v10 программного обеспечения БР для космических служб, БР в течение всего года продолжало вносить изменения, связанные с решениями ВКР, а именно:</w:t>
      </w:r>
    </w:p>
    <w:p w14:paraId="7207EC3A" w14:textId="06D6B744" w:rsidR="00BF5F40" w:rsidRPr="00A66BD6" w:rsidRDefault="00F92FBE" w:rsidP="00F92FBE">
      <w:pPr>
        <w:pStyle w:val="enumlev1"/>
        <w:rPr>
          <w:szCs w:val="24"/>
        </w:rPr>
      </w:pPr>
      <w:r w:rsidRPr="00A66BD6">
        <w:t>−</w:t>
      </w:r>
      <w:r w:rsidR="00BF5F40" w:rsidRPr="00A66BD6">
        <w:tab/>
        <w:t xml:space="preserve">введение проверки заявок по Резолюции </w:t>
      </w:r>
      <w:r w:rsidR="00BF5F40" w:rsidRPr="00A66BD6">
        <w:rPr>
          <w:b/>
          <w:bCs/>
        </w:rPr>
        <w:t>8 (ВКР-23)</w:t>
      </w:r>
      <w:r w:rsidR="00BF5F40" w:rsidRPr="00A66BD6">
        <w:t xml:space="preserve"> и Резолюции </w:t>
      </w:r>
      <w:r w:rsidR="00BF5F40" w:rsidRPr="00A66BD6">
        <w:rPr>
          <w:b/>
          <w:bCs/>
        </w:rPr>
        <w:t xml:space="preserve">35 (Пересм. ВКР-23) </w:t>
      </w:r>
      <w:r w:rsidR="00BF5F40" w:rsidRPr="00A66BD6">
        <w:t>в</w:t>
      </w:r>
      <w:r w:rsidR="00DD3AF3" w:rsidRPr="00A66BD6">
        <w:t> </w:t>
      </w:r>
      <w:r w:rsidR="00BF5F40" w:rsidRPr="00A66BD6">
        <w:t>BRSIS-Capture;</w:t>
      </w:r>
    </w:p>
    <w:p w14:paraId="34FE651B" w14:textId="3DD240F4" w:rsidR="00BF5F40" w:rsidRPr="00A66BD6" w:rsidRDefault="00F92FBE" w:rsidP="00F92FBE">
      <w:pPr>
        <w:pStyle w:val="enumlev1"/>
        <w:rPr>
          <w:szCs w:val="24"/>
        </w:rPr>
      </w:pPr>
      <w:r w:rsidRPr="00A66BD6">
        <w:t>−</w:t>
      </w:r>
      <w:r w:rsidR="00BF5F40" w:rsidRPr="00A66BD6">
        <w:tab/>
        <w:t xml:space="preserve">поддержка публикации новой Резолюции </w:t>
      </w:r>
      <w:r w:rsidR="00BF5F40" w:rsidRPr="00A66BD6">
        <w:rPr>
          <w:b/>
          <w:bCs/>
        </w:rPr>
        <w:t>170 (Пересм. ВКР-23)</w:t>
      </w:r>
      <w:r w:rsidR="00BF5F40" w:rsidRPr="00A66BD6">
        <w:t xml:space="preserve"> в BRSIS-Publication;</w:t>
      </w:r>
    </w:p>
    <w:p w14:paraId="1E79965A" w14:textId="74E074FB" w:rsidR="00BF5F40" w:rsidRPr="00A66BD6" w:rsidRDefault="00F92FBE" w:rsidP="00F92FBE">
      <w:pPr>
        <w:pStyle w:val="enumlev1"/>
        <w:rPr>
          <w:szCs w:val="24"/>
        </w:rPr>
      </w:pPr>
      <w:r w:rsidRPr="00A66BD6">
        <w:t>−</w:t>
      </w:r>
      <w:r w:rsidR="00BF5F40" w:rsidRPr="00A66BD6">
        <w:tab/>
        <w:t>внедрение маски п.п.м. для специальной процедуры в GIBC-AP8 согласно Резолюции</w:t>
      </w:r>
      <w:r w:rsidR="00DD3AF3" w:rsidRPr="00A66BD6">
        <w:t> </w:t>
      </w:r>
      <w:r w:rsidR="00BF5F40" w:rsidRPr="00A66BD6">
        <w:rPr>
          <w:b/>
          <w:bCs/>
        </w:rPr>
        <w:t>553 (Пересм. ВКР-23)</w:t>
      </w:r>
      <w:r w:rsidR="00BF5F40" w:rsidRPr="00A66BD6">
        <w:t>;</w:t>
      </w:r>
    </w:p>
    <w:p w14:paraId="3989B07F" w14:textId="2A2AA3DB" w:rsidR="00BF5F40" w:rsidRPr="00A66BD6" w:rsidRDefault="00F92FBE" w:rsidP="00F92FBE">
      <w:pPr>
        <w:pStyle w:val="enumlev1"/>
        <w:rPr>
          <w:szCs w:val="24"/>
        </w:rPr>
      </w:pPr>
      <w:r w:rsidRPr="00A66BD6">
        <w:t>−</w:t>
      </w:r>
      <w:r w:rsidR="00BF5F40" w:rsidRPr="00A66BD6">
        <w:tab/>
        <w:t xml:space="preserve">введение возможности рассмотрения п.п.м. для API и внедрение жесткого предела п.п.м., установленного в Резолюции </w:t>
      </w:r>
      <w:r w:rsidR="00BF5F40" w:rsidRPr="00A66BD6">
        <w:rPr>
          <w:b/>
          <w:bCs/>
        </w:rPr>
        <w:t>678 (ВКР-23)</w:t>
      </w:r>
      <w:r w:rsidR="00BF5F40" w:rsidRPr="00A66BD6">
        <w:t>, в GIBC для п.п.м. для НГСО</w:t>
      </w:r>
      <w:r w:rsidR="00DD3AF3" w:rsidRPr="00A66BD6">
        <w:t>;</w:t>
      </w:r>
    </w:p>
    <w:p w14:paraId="7244BBA5" w14:textId="7E2FFAB2" w:rsidR="00BF5F40" w:rsidRPr="00A66BD6" w:rsidRDefault="00F92FBE" w:rsidP="00F92FBE">
      <w:pPr>
        <w:pStyle w:val="enumlev1"/>
        <w:rPr>
          <w:szCs w:val="24"/>
        </w:rPr>
      </w:pPr>
      <w:r w:rsidRPr="00A66BD6">
        <w:t>−</w:t>
      </w:r>
      <w:r w:rsidR="00BF5F40" w:rsidRPr="00A66BD6">
        <w:tab/>
        <w:t xml:space="preserve">выполнение Резолюции </w:t>
      </w:r>
      <w:r w:rsidR="00BF5F40" w:rsidRPr="00A66BD6">
        <w:rPr>
          <w:b/>
          <w:bCs/>
        </w:rPr>
        <w:t xml:space="preserve">678 (ВКР-23) </w:t>
      </w:r>
      <w:r w:rsidR="00BF5F40" w:rsidRPr="00A66BD6">
        <w:t>в отношении GIBC для п.п.м. для ГСО.</w:t>
      </w:r>
    </w:p>
    <w:p w14:paraId="51DF9C08" w14:textId="77777777" w:rsidR="00BF5F40" w:rsidRPr="00A66BD6" w:rsidRDefault="00BF5F40" w:rsidP="00DD3AF3">
      <w:pPr>
        <w:rPr>
          <w:szCs w:val="24"/>
        </w:rPr>
      </w:pPr>
      <w:r w:rsidRPr="00A66BD6">
        <w:t xml:space="preserve">Кроме того, в соответствии с пунктом 3 раздела </w:t>
      </w:r>
      <w:r w:rsidRPr="00A66BD6">
        <w:rPr>
          <w:i/>
          <w:iCs/>
        </w:rPr>
        <w:t>поручает Бюро радиосвязи</w:t>
      </w:r>
      <w:r w:rsidRPr="00A66BD6">
        <w:t xml:space="preserve"> Резолюции </w:t>
      </w:r>
      <w:r w:rsidRPr="00A66BD6">
        <w:rPr>
          <w:b/>
          <w:bCs/>
        </w:rPr>
        <w:t xml:space="preserve">8 (ВКР-23) </w:t>
      </w:r>
      <w:r w:rsidRPr="00A66BD6">
        <w:t xml:space="preserve">Бюро радиосвязи разработало онлайновый инструмент (Argus) для визуализации и обеспечения прозрачности развертывания негеостационарных спутниковых систем, подпадающих под действие Резолюции </w:t>
      </w:r>
      <w:r w:rsidRPr="00A66BD6">
        <w:rPr>
          <w:b/>
          <w:bCs/>
        </w:rPr>
        <w:t>8 (ВКР-23)</w:t>
      </w:r>
      <w:r w:rsidRPr="00A66BD6">
        <w:t>, а также для упрощения прямого взаимодействия между спутниковыми операторами, ответственными за эти системы.</w:t>
      </w:r>
    </w:p>
    <w:p w14:paraId="0A71B8C0" w14:textId="77777777" w:rsidR="00BF5F40" w:rsidRPr="00A66BD6" w:rsidRDefault="00BF5F40" w:rsidP="00DD3AF3">
      <w:pPr>
        <w:rPr>
          <w:szCs w:val="24"/>
        </w:rPr>
      </w:pPr>
      <w:r w:rsidRPr="00A66BD6">
        <w:t>Благодаря использованию Argus администрации и спутниковые операторы смогут визуализировать и получать следующую информацию:</w:t>
      </w:r>
    </w:p>
    <w:p w14:paraId="47C9490F" w14:textId="5341D442" w:rsidR="00BF5F40" w:rsidRPr="00A66BD6" w:rsidRDefault="00DD3AF3" w:rsidP="00DD3AF3">
      <w:pPr>
        <w:pStyle w:val="enumlev1"/>
        <w:rPr>
          <w:szCs w:val="24"/>
        </w:rPr>
      </w:pPr>
      <w:r w:rsidRPr="00A66BD6">
        <w:t>−</w:t>
      </w:r>
      <w:r w:rsidR="00BF5F40" w:rsidRPr="00A66BD6">
        <w:tab/>
        <w:t xml:space="preserve">орбитальные параметры выбранной спутниковой системы или отдельного космического аппарата, заявленные или объявленные в соответствии с Резолюцией </w:t>
      </w:r>
      <w:r w:rsidR="00BF5F40" w:rsidRPr="00A66BD6">
        <w:rPr>
          <w:b/>
          <w:bCs/>
        </w:rPr>
        <w:t>8 (ВКР-23)</w:t>
      </w:r>
      <w:r w:rsidR="00BF5F40" w:rsidRPr="00A66BD6">
        <w:t xml:space="preserve"> заявляющей администрацией;</w:t>
      </w:r>
    </w:p>
    <w:p w14:paraId="10049DD8" w14:textId="75C1AB54" w:rsidR="00BF5F40" w:rsidRPr="00A66BD6" w:rsidRDefault="00DD3AF3" w:rsidP="00DD3AF3">
      <w:pPr>
        <w:pStyle w:val="enumlev1"/>
        <w:rPr>
          <w:szCs w:val="24"/>
        </w:rPr>
      </w:pPr>
      <w:r w:rsidRPr="00A66BD6">
        <w:t>−</w:t>
      </w:r>
      <w:r w:rsidR="00BF5F40" w:rsidRPr="00A66BD6">
        <w:tab/>
        <w:t>соответствующие фактические орбитальные параметры, регулярно получаемые из надежных общедоступных источников;</w:t>
      </w:r>
    </w:p>
    <w:p w14:paraId="1C280F55" w14:textId="44794C01" w:rsidR="00BF5F40" w:rsidRPr="00A66BD6" w:rsidRDefault="00DD3AF3" w:rsidP="00DD3AF3">
      <w:pPr>
        <w:pStyle w:val="enumlev1"/>
        <w:rPr>
          <w:szCs w:val="24"/>
        </w:rPr>
      </w:pPr>
      <w:r w:rsidRPr="00A66BD6">
        <w:lastRenderedPageBreak/>
        <w:t>−</w:t>
      </w:r>
      <w:r w:rsidR="00BF5F40" w:rsidRPr="00A66BD6">
        <w:tab/>
        <w:t xml:space="preserve">проверка удержания спутников в пределах допустимых отклонений по высоте и углу наклонения согласно Резолюции </w:t>
      </w:r>
      <w:r w:rsidR="00BF5F40" w:rsidRPr="00A66BD6">
        <w:rPr>
          <w:b/>
          <w:bCs/>
        </w:rPr>
        <w:t>8 (ВКР-23)</w:t>
      </w:r>
      <w:r w:rsidR="00BF5F40" w:rsidRPr="00A66BD6">
        <w:t xml:space="preserve">; </w:t>
      </w:r>
    </w:p>
    <w:p w14:paraId="47E0FBA2" w14:textId="5EF0020A" w:rsidR="00BF5F40" w:rsidRPr="00A66BD6" w:rsidRDefault="00DD3AF3" w:rsidP="00DD3AF3">
      <w:pPr>
        <w:pStyle w:val="enumlev1"/>
        <w:rPr>
          <w:szCs w:val="24"/>
        </w:rPr>
      </w:pPr>
      <w:r w:rsidRPr="00A66BD6">
        <w:t>−</w:t>
      </w:r>
      <w:r w:rsidR="00BF5F40" w:rsidRPr="00A66BD6">
        <w:tab/>
        <w:t>фильтрация по диапазонам частот, апогею, перигею, углу наклонения и RAAN;</w:t>
      </w:r>
    </w:p>
    <w:p w14:paraId="1D2241D5" w14:textId="4B57108B" w:rsidR="00BF5F40" w:rsidRPr="00A66BD6" w:rsidRDefault="00DD3AF3" w:rsidP="00DD3AF3">
      <w:pPr>
        <w:pStyle w:val="enumlev1"/>
        <w:rPr>
          <w:szCs w:val="24"/>
        </w:rPr>
      </w:pPr>
      <w:r w:rsidRPr="00A66BD6">
        <w:t>−</w:t>
      </w:r>
      <w:r w:rsidR="00BF5F40" w:rsidRPr="00A66BD6">
        <w:tab/>
        <w:t>подробные данные о соответствующих частотных присвоениях, зарегистрированных в МСРЧ, для выбранной спутниковой системы;</w:t>
      </w:r>
    </w:p>
    <w:p w14:paraId="464442E6" w14:textId="072FD25A" w:rsidR="00BF5F40" w:rsidRPr="00A66BD6" w:rsidRDefault="00DD3AF3" w:rsidP="00DD3AF3">
      <w:pPr>
        <w:pStyle w:val="enumlev1"/>
        <w:rPr>
          <w:szCs w:val="24"/>
        </w:rPr>
      </w:pPr>
      <w:r w:rsidRPr="00A66BD6">
        <w:t>−</w:t>
      </w:r>
      <w:r w:rsidR="00BF5F40" w:rsidRPr="00A66BD6">
        <w:tab/>
        <w:t>ссылка на соответствующие Специальные секции, опубликованные согласно Резолюции</w:t>
      </w:r>
      <w:r w:rsidRPr="00A66BD6">
        <w:t> </w:t>
      </w:r>
      <w:r w:rsidR="00BF5F40" w:rsidRPr="00A66BD6">
        <w:rPr>
          <w:b/>
          <w:bCs/>
        </w:rPr>
        <w:t>8 (ВКР-23)</w:t>
      </w:r>
      <w:r w:rsidR="00BF5F40" w:rsidRPr="00A66BD6">
        <w:t xml:space="preserve">, и статус развертывания согласно Резолюции </w:t>
      </w:r>
      <w:r w:rsidR="00BF5F40" w:rsidRPr="00A66BD6">
        <w:rPr>
          <w:b/>
          <w:bCs/>
        </w:rPr>
        <w:t>35 (</w:t>
      </w:r>
      <w:r w:rsidRPr="00A66BD6">
        <w:rPr>
          <w:b/>
          <w:bCs/>
        </w:rPr>
        <w:t>Пересм</w:t>
      </w:r>
      <w:r w:rsidR="00BF5F40" w:rsidRPr="00A66BD6">
        <w:rPr>
          <w:b/>
          <w:bCs/>
        </w:rPr>
        <w:t>. ВКР</w:t>
      </w:r>
      <w:r w:rsidR="00D20F5D" w:rsidRPr="00A66BD6">
        <w:rPr>
          <w:b/>
          <w:bCs/>
        </w:rPr>
        <w:t>‑</w:t>
      </w:r>
      <w:r w:rsidR="00BF5F40" w:rsidRPr="00A66BD6">
        <w:rPr>
          <w:b/>
          <w:bCs/>
        </w:rPr>
        <w:t>23)</w:t>
      </w:r>
      <w:r w:rsidR="00BF5F40" w:rsidRPr="00A66BD6">
        <w:t>;</w:t>
      </w:r>
    </w:p>
    <w:p w14:paraId="43C74613" w14:textId="5CD03ABA" w:rsidR="00BF5F40" w:rsidRPr="00A66BD6" w:rsidRDefault="00DD3AF3" w:rsidP="00DD3AF3">
      <w:pPr>
        <w:pStyle w:val="enumlev1"/>
        <w:rPr>
          <w:szCs w:val="24"/>
        </w:rPr>
      </w:pPr>
      <w:r w:rsidRPr="00A66BD6">
        <w:t>−</w:t>
      </w:r>
      <w:r w:rsidR="00BF5F40" w:rsidRPr="00A66BD6">
        <w:tab/>
        <w:t>возможность прямой связи с контактными лицами по вопросам ослабления влияния радиочастотных помех и космической эксплуатации.</w:t>
      </w:r>
    </w:p>
    <w:p w14:paraId="4ED81C8B" w14:textId="77777777" w:rsidR="00BF5F40" w:rsidRPr="00A66BD6" w:rsidRDefault="00BF5F40" w:rsidP="00DD3AF3">
      <w:pPr>
        <w:rPr>
          <w:szCs w:val="24"/>
        </w:rPr>
      </w:pPr>
      <w:r w:rsidRPr="00A66BD6">
        <w:t>Система увязана с Международным справочным регистром частот (МСРЧ), доступ к ней возможен при наличии учетной записи TIES и ограничен Членами Сектора МСЭ-R.</w:t>
      </w:r>
    </w:p>
    <w:p w14:paraId="53CBF1F0" w14:textId="77777777" w:rsidR="00BF5F40" w:rsidRPr="00A66BD6" w:rsidRDefault="00BF5F40" w:rsidP="00DD3AF3">
      <w:pPr>
        <w:rPr>
          <w:szCs w:val="24"/>
        </w:rPr>
      </w:pPr>
      <w:r w:rsidRPr="00A66BD6">
        <w:t xml:space="preserve">Для Argus создана специальная веб-страница, которая размещена по адресу: </w:t>
      </w:r>
    </w:p>
    <w:p w14:paraId="520D5E2D" w14:textId="126350FE" w:rsidR="00BF5F40" w:rsidRPr="00A66BD6" w:rsidRDefault="00BF5F40" w:rsidP="00024AD8">
      <w:pPr>
        <w:tabs>
          <w:tab w:val="left" w:pos="900"/>
        </w:tabs>
        <w:spacing w:after="120"/>
        <w:jc w:val="center"/>
        <w:rPr>
          <w:szCs w:val="24"/>
        </w:rPr>
      </w:pPr>
      <w:hyperlink r:id="rId96" w:history="1">
        <w:r w:rsidRPr="00A66BD6">
          <w:rPr>
            <w:rStyle w:val="Hyperlink"/>
          </w:rPr>
          <w:t>https://itu.int/space-argus/</w:t>
        </w:r>
      </w:hyperlink>
      <w:r w:rsidR="00DD3AF3" w:rsidRPr="00A66BD6">
        <w:t>.</w:t>
      </w:r>
    </w:p>
    <w:p w14:paraId="65E2C3F4" w14:textId="77777777" w:rsidR="00BF5F40" w:rsidRPr="00A66BD6" w:rsidRDefault="00BF5F40" w:rsidP="00DD3AF3">
      <w:r w:rsidRPr="00A66BD6">
        <w:t xml:space="preserve">В настоящее время этот инструмент доступен для тестирования администрациям и Членам Сектора МСЭ-R: для целей ознакомления пользователей с системой демонстрируется пробная версия с вымышленными параметрами. Соответствующая база данных будет заменена в течение 2026 года, и в ней будут отображаться фактические заявленные и введенные в действие спутниковые системы. </w:t>
      </w:r>
    </w:p>
    <w:p w14:paraId="47845F27" w14:textId="56061B2E" w:rsidR="00BF5F40" w:rsidRPr="00A66BD6" w:rsidRDefault="00BF5F40" w:rsidP="00BF5F40">
      <w:pPr>
        <w:pStyle w:val="Heading3"/>
      </w:pPr>
      <w:bookmarkStart w:id="73" w:name="_Toc223379844"/>
      <w:bookmarkStart w:id="74" w:name="_Toc223957798"/>
      <w:r w:rsidRPr="00A66BD6">
        <w:rPr>
          <w:bCs/>
        </w:rPr>
        <w:t>7.2.2</w:t>
      </w:r>
      <w:r w:rsidRPr="00A66BD6">
        <w:tab/>
      </w:r>
      <w:r w:rsidRPr="00A66BD6">
        <w:rPr>
          <w:bCs/>
        </w:rPr>
        <w:t>Ход реализации дорожной карты по информационным системам БР для космических служб (КГР-19, 2012 г.)</w:t>
      </w:r>
      <w:bookmarkEnd w:id="73"/>
      <w:bookmarkEnd w:id="74"/>
    </w:p>
    <w:p w14:paraId="3C432A25" w14:textId="002506B0" w:rsidR="00BF5F40" w:rsidRPr="00A66BD6" w:rsidRDefault="00BF5F40" w:rsidP="00BF5F40">
      <w:r w:rsidRPr="00A66BD6">
        <w:t>КГР-19 (2012 г.) рекомендовала Директору БР осуществить в предложенные сроки рекомендуемые меры, как указано в согласованной дорожной карте, включающей этап 1 (выполнение решений ВКР</w:t>
      </w:r>
      <w:r w:rsidR="00DD3AF3" w:rsidRPr="00A66BD6">
        <w:t>‑</w:t>
      </w:r>
      <w:r w:rsidRPr="00A66BD6">
        <w:t>12); этап 2 (переработка некоторого существующего программного обеспечения); и этап</w:t>
      </w:r>
      <w:r w:rsidR="00DD3AF3" w:rsidRPr="00A66BD6">
        <w:t> </w:t>
      </w:r>
      <w:r w:rsidRPr="00A66BD6">
        <w:t xml:space="preserve">3 (создание группы по проекту для внедрения общей структуры, системы безопасности и централизованной базы данных космических служб). КГР призвала </w:t>
      </w:r>
      <w:r w:rsidR="00D20F5D" w:rsidRPr="00A66BD6">
        <w:t>Государства‑Члены</w:t>
      </w:r>
      <w:r w:rsidRPr="00A66BD6">
        <w:t xml:space="preserve"> и Членов Сектора представить свои комментарии по этапу 3. </w:t>
      </w:r>
    </w:p>
    <w:p w14:paraId="77B49226" w14:textId="77777777" w:rsidR="00BF5F40" w:rsidRPr="00A66BD6" w:rsidRDefault="00BF5F40" w:rsidP="00BF5F40">
      <w:r w:rsidRPr="00A66BD6">
        <w:t>В 2025 году БР продолжило осуществлять сопровождение существующего традиционного программного обеспечения и одновременно вело работу над внедрением новых версий ключевых программных приложений. Такая параллельная работа, с одной стороны, является необходимостью, обусловленной операционными требованиями, а с другой – причиной того, что некоторые проекты по модернизации до сих пор не завершены.</w:t>
      </w:r>
    </w:p>
    <w:p w14:paraId="6557AB4C" w14:textId="77777777" w:rsidR="00BF5F40" w:rsidRPr="00A66BD6" w:rsidRDefault="00BF5F40" w:rsidP="00BF5F40">
      <w:pPr>
        <w:pStyle w:val="Heading3"/>
      </w:pPr>
      <w:bookmarkStart w:id="75" w:name="_Toc223379845"/>
      <w:bookmarkStart w:id="76" w:name="_Toc223957799"/>
      <w:r w:rsidRPr="00A66BD6">
        <w:rPr>
          <w:bCs/>
        </w:rPr>
        <w:t>7.2.3</w:t>
      </w:r>
      <w:r w:rsidRPr="00A66BD6">
        <w:tab/>
      </w:r>
      <w:r w:rsidRPr="00A66BD6">
        <w:rPr>
          <w:bCs/>
        </w:rPr>
        <w:t>Прогресс в достижении целей этапа 2 дорожной карты</w:t>
      </w:r>
      <w:bookmarkEnd w:id="75"/>
      <w:bookmarkEnd w:id="76"/>
    </w:p>
    <w:p w14:paraId="6F53673C" w14:textId="081A5088" w:rsidR="00BF5F40" w:rsidRPr="00A66BD6" w:rsidRDefault="00BF5F40" w:rsidP="00BF5F40">
      <w:pPr>
        <w:pStyle w:val="Heading4"/>
      </w:pPr>
      <w:r w:rsidRPr="00A66BD6">
        <w:rPr>
          <w:bCs/>
        </w:rPr>
        <w:t>7.2.3.1</w:t>
      </w:r>
      <w:r w:rsidRPr="00A66BD6">
        <w:tab/>
      </w:r>
      <w:r w:rsidRPr="00A66BD6">
        <w:rPr>
          <w:bCs/>
        </w:rPr>
        <w:t>Переработка традиционного программного обеспечения для технического рассмотрения</w:t>
      </w:r>
    </w:p>
    <w:p w14:paraId="6DAC66D3" w14:textId="5215BDE4" w:rsidR="00BF5F40" w:rsidRPr="00A66BD6" w:rsidRDefault="00DD3AF3" w:rsidP="00DD3AF3">
      <w:pPr>
        <w:pStyle w:val="enumlev1"/>
      </w:pPr>
      <w:r w:rsidRPr="00A66BD6">
        <w:t>•</w:t>
      </w:r>
      <w:r w:rsidRPr="00A66BD6">
        <w:tab/>
      </w:r>
      <w:r w:rsidR="00BF5F40" w:rsidRPr="00A66BD6">
        <w:t>Перенос компонентов GIMS Fortran – ведется работа. БР изучает новаторские подходы к переносу устаревшего кода с использованием ИИ как при содействии консультантов, имеющих опыт переноса устаревшего кода при помощи ИИ, так и путем инвестирования в развитие подобных собственных знаний и возможностей в области ИИ.</w:t>
      </w:r>
    </w:p>
    <w:p w14:paraId="09F19A93" w14:textId="1600456B" w:rsidR="00BF5F40" w:rsidRPr="00A66BD6" w:rsidRDefault="00DD3AF3" w:rsidP="00DD3AF3">
      <w:pPr>
        <w:pStyle w:val="enumlev1"/>
      </w:pPr>
      <w:r w:rsidRPr="00A66BD6">
        <w:t>•</w:t>
      </w:r>
      <w:r w:rsidRPr="00A66BD6">
        <w:tab/>
      </w:r>
      <w:r w:rsidR="00BF5F40" w:rsidRPr="00A66BD6">
        <w:t>Mspace – перенос компонентов Visual Basic 6 на .NET – ведется работа.</w:t>
      </w:r>
    </w:p>
    <w:p w14:paraId="14C3BEDD" w14:textId="42B3FF41" w:rsidR="00BF5F40" w:rsidRPr="00A66BD6" w:rsidRDefault="00BF5F40" w:rsidP="00BF5F40">
      <w:pPr>
        <w:pStyle w:val="Heading4"/>
      </w:pPr>
      <w:r w:rsidRPr="00A66BD6">
        <w:rPr>
          <w:bCs/>
        </w:rPr>
        <w:t>7.2.3.2</w:t>
      </w:r>
      <w:r w:rsidRPr="00A66BD6">
        <w:tab/>
      </w:r>
      <w:r w:rsidRPr="00A66BD6">
        <w:rPr>
          <w:bCs/>
        </w:rPr>
        <w:t>Проектирование и разработка информационной системы БР для космических служб (BR SIS)</w:t>
      </w:r>
    </w:p>
    <w:p w14:paraId="347DE65F" w14:textId="5F956D2E" w:rsidR="00BF5F40" w:rsidRPr="00A66BD6" w:rsidRDefault="00DD3AF3" w:rsidP="00DD3AF3">
      <w:pPr>
        <w:pStyle w:val="enumlev1"/>
      </w:pPr>
      <w:r w:rsidRPr="00A66BD6">
        <w:t>•</w:t>
      </w:r>
      <w:r w:rsidRPr="00A66BD6">
        <w:tab/>
      </w:r>
      <w:r w:rsidR="00BF5F40" w:rsidRPr="00A66BD6">
        <w:t>Переработка приложения SpaceCap на языке Visual Basic 6 – ведется работа. Работа по переносу функциональных возможностей SpaceCap в модуль BRSIS-Capture продолжится в 2026 году; ожидается, что демонстрационная версия будет представлена на ВСР-26.</w:t>
      </w:r>
    </w:p>
    <w:p w14:paraId="5CFBAC4B" w14:textId="51A0B6CF" w:rsidR="00BF5F40" w:rsidRPr="00A66BD6" w:rsidRDefault="00DD3AF3" w:rsidP="00DD3AF3">
      <w:pPr>
        <w:pStyle w:val="enumlev1"/>
      </w:pPr>
      <w:r w:rsidRPr="00A66BD6">
        <w:lastRenderedPageBreak/>
        <w:t>•</w:t>
      </w:r>
      <w:r w:rsidRPr="00A66BD6">
        <w:tab/>
      </w:r>
      <w:r w:rsidR="00BF5F40" w:rsidRPr="00A66BD6">
        <w:t>Переработка приложения SpaceCom на языке Visual Basic 6 – ведется работа. Более подробно это разъясняется в разделе 7.2.6.4</w:t>
      </w:r>
      <w:r w:rsidR="00BF5F40" w:rsidRPr="00A66BD6">
        <w:tab/>
        <w:t>Онлайновая система представления замечаний.</w:t>
      </w:r>
    </w:p>
    <w:p w14:paraId="3E0D94A9" w14:textId="140AC2D5" w:rsidR="00BF5F40" w:rsidRPr="00A66BD6" w:rsidRDefault="00DD3AF3" w:rsidP="00DD3AF3">
      <w:pPr>
        <w:pStyle w:val="enumlev1"/>
      </w:pPr>
      <w:r w:rsidRPr="00A66BD6">
        <w:t>•</w:t>
      </w:r>
      <w:r w:rsidRPr="00A66BD6">
        <w:tab/>
      </w:r>
      <w:r w:rsidR="00BF5F40" w:rsidRPr="00A66BD6">
        <w:t>Перевод SRS MDB на более современную технологию – ведется работа. Программное обеспечение для рассмотрения FOT может подключаться к наземной базе данных ИФИК в формате SQLite; некоторые базы данных результатов рассмотрения также поддерживают опцию формата SQLite. Обратная совместимость с форматом MDB и соответствующие инструменты преобразования будут доступны, когда приложения программного обеспечения БР для космических служб будут переведены на SQLite.</w:t>
      </w:r>
    </w:p>
    <w:p w14:paraId="2A0CE1F3" w14:textId="7BE1212C" w:rsidR="00BF5F40" w:rsidRPr="00A66BD6" w:rsidRDefault="00DD3AF3" w:rsidP="00DD3AF3">
      <w:pPr>
        <w:pStyle w:val="enumlev1"/>
      </w:pPr>
      <w:r w:rsidRPr="00A66BD6">
        <w:t>•</w:t>
      </w:r>
      <w:r w:rsidRPr="00A66BD6">
        <w:tab/>
      </w:r>
      <w:r w:rsidR="00BF5F40" w:rsidRPr="00A66BD6">
        <w:t>Пересмотр приложения SNTrack – ведется работа. SNTrack будет постепенно заменяться информационной системой управления космическим пространством, что обеспечит полную функциональность серверной части системы электронных представлений e-Submission.</w:t>
      </w:r>
    </w:p>
    <w:p w14:paraId="4B44F6DA" w14:textId="77777777" w:rsidR="00BF5F40" w:rsidRPr="00A66BD6" w:rsidRDefault="00BF5F40" w:rsidP="00BF5F40">
      <w:pPr>
        <w:pStyle w:val="Heading3"/>
      </w:pPr>
      <w:bookmarkStart w:id="77" w:name="_Toc223379846"/>
      <w:bookmarkStart w:id="78" w:name="_Toc223957800"/>
      <w:r w:rsidRPr="00A66BD6">
        <w:rPr>
          <w:bCs/>
        </w:rPr>
        <w:t>7.2.4</w:t>
      </w:r>
      <w:r w:rsidRPr="00A66BD6">
        <w:tab/>
      </w:r>
      <w:r w:rsidRPr="00A66BD6">
        <w:rPr>
          <w:bCs/>
        </w:rPr>
        <w:t>Прогресс в достижении целей этапа 3 дорожной карты</w:t>
      </w:r>
      <w:bookmarkEnd w:id="77"/>
      <w:bookmarkEnd w:id="78"/>
    </w:p>
    <w:p w14:paraId="2FBEDF4A" w14:textId="77777777" w:rsidR="00BF5F40" w:rsidRPr="00A66BD6" w:rsidRDefault="00BF5F40" w:rsidP="00BF5F40">
      <w:r w:rsidRPr="00A66BD6">
        <w:t>Работа, проделанная в ходе предыдущих этапов, и последующий выбор проектов и технологий заложили основу для успешного осуществления этапа 3, который предполагает следующее:</w:t>
      </w:r>
    </w:p>
    <w:p w14:paraId="4888E868" w14:textId="3D50B16C" w:rsidR="00BF5F40" w:rsidRPr="00A66BD6" w:rsidRDefault="00DD3AF3" w:rsidP="00DD3AF3">
      <w:pPr>
        <w:pStyle w:val="enumlev1"/>
      </w:pPr>
      <w:r w:rsidRPr="00A66BD6">
        <w:t>•</w:t>
      </w:r>
      <w:r w:rsidRPr="00A66BD6">
        <w:tab/>
      </w:r>
      <w:r w:rsidR="00BF5F40" w:rsidRPr="00A66BD6">
        <w:t>переработка схемы в целях устранения определенной избыточности, но с сохранением эквивалентности данных будет произведена в версии 10.5 в начале 2027 года, на промежуточном этапе выполнения решений ВКР-23 и ВКР-27, с тем чтобы схема базы данных не изменялась слишком часто;</w:t>
      </w:r>
    </w:p>
    <w:p w14:paraId="4748C568" w14:textId="5BB3644F" w:rsidR="00BF5F40" w:rsidRPr="00A66BD6" w:rsidRDefault="00DD3AF3" w:rsidP="00DD3AF3">
      <w:pPr>
        <w:pStyle w:val="enumlev1"/>
      </w:pPr>
      <w:r w:rsidRPr="00A66BD6">
        <w:t>•</w:t>
      </w:r>
      <w:r w:rsidRPr="00A66BD6">
        <w:tab/>
      </w:r>
      <w:r w:rsidR="00BF5F40" w:rsidRPr="00A66BD6">
        <w:t xml:space="preserve">деятельность по централизации и оптимизации управления рисками, восстановлением и безопасностью – ведется работа. </w:t>
      </w:r>
    </w:p>
    <w:p w14:paraId="4DCA08A3" w14:textId="77777777" w:rsidR="00BF5F40" w:rsidRPr="00A66BD6" w:rsidRDefault="00BF5F40" w:rsidP="00BF5F40">
      <w:pPr>
        <w:pStyle w:val="Heading3"/>
      </w:pPr>
      <w:bookmarkStart w:id="79" w:name="_Toc223379847"/>
      <w:bookmarkStart w:id="80" w:name="_Toc223957801"/>
      <w:r w:rsidRPr="00A66BD6">
        <w:rPr>
          <w:bCs/>
        </w:rPr>
        <w:t>7.2.5</w:t>
      </w:r>
      <w:r w:rsidRPr="00A66BD6">
        <w:tab/>
      </w:r>
      <w:r w:rsidRPr="00A66BD6">
        <w:rPr>
          <w:bCs/>
        </w:rPr>
        <w:t>Инструменты для запросов, касающиеся космических служб</w:t>
      </w:r>
      <w:bookmarkEnd w:id="79"/>
      <w:bookmarkEnd w:id="80"/>
    </w:p>
    <w:p w14:paraId="5ABA3798" w14:textId="249F1152" w:rsidR="00BF5F40" w:rsidRPr="00A66BD6" w:rsidRDefault="00BF5F40" w:rsidP="00BF5F40">
      <w:r w:rsidRPr="00A66BD6">
        <w:t>Бюро отметило, что к нему все чаще обращаются рабочие группы МСЭ-R с просьбой об извлечении данных из баз данных БР (см., например, предыдущие отчеты Председателя Рабочей группы МСЭ</w:t>
      </w:r>
      <w:r w:rsidR="00DD3AF3" w:rsidRPr="00A66BD6">
        <w:t>‑</w:t>
      </w:r>
      <w:r w:rsidRPr="00A66BD6">
        <w:t>R</w:t>
      </w:r>
      <w:r w:rsidR="00DD3AF3" w:rsidRPr="00A66BD6">
        <w:t> </w:t>
      </w:r>
      <w:r w:rsidRPr="00A66BD6">
        <w:t xml:space="preserve">4A: Приложение 42 к Документу </w:t>
      </w:r>
      <w:hyperlink r:id="rId97" w:history="1">
        <w:r w:rsidRPr="00A66BD6">
          <w:rPr>
            <w:rStyle w:val="Hyperlink"/>
          </w:rPr>
          <w:t>4A/343</w:t>
        </w:r>
      </w:hyperlink>
      <w:r w:rsidRPr="00A66BD6">
        <w:t xml:space="preserve"> или Приложение 61 к Документу </w:t>
      </w:r>
      <w:hyperlink r:id="rId98" w:history="1">
        <w:r w:rsidRPr="00A66BD6">
          <w:rPr>
            <w:rStyle w:val="Hyperlink"/>
          </w:rPr>
          <w:t>4A/830</w:t>
        </w:r>
      </w:hyperlink>
      <w:r w:rsidRPr="00A66BD6">
        <w:t xml:space="preserve">), хотя для этих целей имеются такие инструменты, как BRSIS Query или Space Explorer. Принимая во внимание ресурсы, необходимые Бюро для разработки таких инструментов, и текущие бюджетные ограничения, администрациям предлагается дать Бюро руководящие указания о необходимости продолжения разработки таких инструментов поиска. </w:t>
      </w:r>
      <w:hyperlink r:id="rId99" w:history="1"/>
      <w:hyperlink r:id="rId100" w:history="1"/>
    </w:p>
    <w:p w14:paraId="34F3AF04" w14:textId="77777777" w:rsidR="00BF5F40" w:rsidRPr="00A66BD6" w:rsidRDefault="00BF5F40" w:rsidP="00BF5F40">
      <w:pPr>
        <w:pStyle w:val="Heading3"/>
      </w:pPr>
      <w:bookmarkStart w:id="81" w:name="_Toc223379848"/>
      <w:bookmarkStart w:id="82" w:name="_Toc223957802"/>
      <w:r w:rsidRPr="00A66BD6">
        <w:rPr>
          <w:bCs/>
        </w:rPr>
        <w:t>7.2.6</w:t>
      </w:r>
      <w:r w:rsidRPr="00A66BD6">
        <w:tab/>
      </w:r>
      <w:r w:rsidRPr="00A66BD6">
        <w:rPr>
          <w:bCs/>
        </w:rPr>
        <w:t>Выполнение Резолюции 55 (Пересм. ВКР-23): Представление форм заявок на спутниковые сети, земные станции и радиоастрономические станции, а также представление донесений о вредных помехах, затрагивающих космические службы, и переписка по ним в электронном формате</w:t>
      </w:r>
      <w:bookmarkStart w:id="83" w:name="_Toc161652718"/>
      <w:bookmarkStart w:id="84" w:name="_Toc162257816"/>
      <w:bookmarkStart w:id="85" w:name="_Toc166147660"/>
      <w:bookmarkEnd w:id="81"/>
      <w:bookmarkEnd w:id="83"/>
      <w:bookmarkEnd w:id="84"/>
      <w:bookmarkEnd w:id="85"/>
      <w:bookmarkEnd w:id="82"/>
    </w:p>
    <w:p w14:paraId="038DFC68" w14:textId="056840D2" w:rsidR="00BF5F40" w:rsidRPr="00A66BD6" w:rsidRDefault="00BF5F40" w:rsidP="00BF5F40">
      <w:pPr>
        <w:pStyle w:val="Heading4"/>
      </w:pPr>
      <w:r w:rsidRPr="00A66BD6">
        <w:rPr>
          <w:bCs/>
        </w:rPr>
        <w:t>7.2.6.1</w:t>
      </w:r>
      <w:r w:rsidRPr="00A66BD6">
        <w:tab/>
      </w:r>
      <w:r w:rsidRPr="00A66BD6">
        <w:rPr>
          <w:bCs/>
        </w:rPr>
        <w:t>Система электронных представлений e-Submission</w:t>
      </w:r>
    </w:p>
    <w:p w14:paraId="7918CDFC" w14:textId="77777777" w:rsidR="00BF5F40" w:rsidRPr="00A66BD6" w:rsidRDefault="00BF5F40" w:rsidP="00BF5F40">
      <w:pPr>
        <w:rPr>
          <w:rFonts w:eastAsia="Calibri"/>
        </w:rPr>
      </w:pPr>
      <w:r w:rsidRPr="00A66BD6">
        <w:t>В течение 2025 года благодаря системе e-Submission администрации и эксплуатационные организации имели возможность в круглосуточном бесперебойном режиме представлять заявки на регистрацию спутниковых сетей. Число зарегистрированных администраций увеличилось со 156 в начале 2025 года до 157 на момент составления настоящего отчета.</w:t>
      </w:r>
    </w:p>
    <w:p w14:paraId="47A34331" w14:textId="07AD5764" w:rsidR="00BF5F40" w:rsidRPr="00A66BD6" w:rsidRDefault="00BF5F40" w:rsidP="00BF5F40">
      <w:r w:rsidRPr="00A66BD6">
        <w:t xml:space="preserve">Как сообщалось в Циркулярном письме </w:t>
      </w:r>
      <w:hyperlink r:id="rId101" w:history="1">
        <w:r w:rsidRPr="00A66BD6">
          <w:rPr>
            <w:rStyle w:val="Hyperlink"/>
          </w:rPr>
          <w:t>CR/511</w:t>
        </w:r>
      </w:hyperlink>
      <w:r w:rsidRPr="00A66BD6">
        <w:t>, 1 января 2025 года через систему электронных представлений начался прием официальных заявок на регистрацию, загружаемых в формате SNS V10. Помимо этого, Бюро обновило систему в целях повышения стабильности и качества ее работы в течение 2025 года. Кроме того, 8</w:t>
      </w:r>
      <w:r w:rsidRPr="00A66BD6">
        <w:rPr>
          <w:b/>
          <w:bCs/>
        </w:rPr>
        <w:t xml:space="preserve"> </w:t>
      </w:r>
      <w:r w:rsidRPr="00A66BD6">
        <w:t>декабря 2025 года Бюро обновило систему, для того чтобы администрации могли представлять добровольное объяснение в случае внесения на этапе заявления изменений в технические характеристики, первоначально опубликованные в соответствии с п.</w:t>
      </w:r>
      <w:r w:rsidR="00DD3AF3" w:rsidRPr="00A66BD6">
        <w:rPr>
          <w:b/>
          <w:bCs/>
        </w:rPr>
        <w:t> </w:t>
      </w:r>
      <w:r w:rsidRPr="00A66BD6">
        <w:rPr>
          <w:b/>
          <w:bCs/>
        </w:rPr>
        <w:t xml:space="preserve">9.2B </w:t>
      </w:r>
      <w:r w:rsidRPr="00A66BD6">
        <w:t>(API/A), с тем чтобы облегчить представление замечаний другими администрациями согласно п.</w:t>
      </w:r>
      <w:r w:rsidR="00024AD8" w:rsidRPr="00A66BD6">
        <w:t> </w:t>
      </w:r>
      <w:r w:rsidRPr="00A66BD6">
        <w:rPr>
          <w:b/>
          <w:bCs/>
        </w:rPr>
        <w:t>11.28.1.</w:t>
      </w:r>
      <w:hyperlink r:id="rId102" w:history="1"/>
    </w:p>
    <w:p w14:paraId="5D559860" w14:textId="77777777" w:rsidR="00BF5F40" w:rsidRPr="00A66BD6" w:rsidRDefault="00BF5F40" w:rsidP="00BF5F40">
      <w:pPr>
        <w:rPr>
          <w:rFonts w:eastAsia="Calibri"/>
        </w:rPr>
      </w:pPr>
      <w:r w:rsidRPr="00A66BD6">
        <w:lastRenderedPageBreak/>
        <w:t>В целях оказания помощи в разработке и тестировании системы e-Submission администрация Японии внесла финансовый взнос и направила для работы в штаб-квартире МСЭ специалиста по регламентарным и техническим вопросам в области космических служб. Бюро радиосвязи еще раз благодарит администрацию Японии за неустанную поддержку и особую помощь в разработке этого проекта.</w:t>
      </w:r>
    </w:p>
    <w:p w14:paraId="37C37218" w14:textId="08FD6649" w:rsidR="00BF5F40" w:rsidRPr="00A66BD6" w:rsidRDefault="00BF5F40" w:rsidP="00BF5F40">
      <w:pPr>
        <w:pStyle w:val="Heading4"/>
      </w:pPr>
      <w:r w:rsidRPr="00A66BD6">
        <w:rPr>
          <w:bCs/>
        </w:rPr>
        <w:t>7.2.6.2</w:t>
      </w:r>
      <w:r w:rsidRPr="00A66BD6">
        <w:tab/>
      </w:r>
      <w:r w:rsidRPr="00A66BD6">
        <w:rPr>
          <w:bCs/>
        </w:rPr>
        <w:t>Система электронной переписки e-Communications</w:t>
      </w:r>
    </w:p>
    <w:p w14:paraId="5FFCC6AD" w14:textId="77777777" w:rsidR="00BF5F40" w:rsidRPr="00A66BD6" w:rsidRDefault="00BF5F40" w:rsidP="00BF5F40">
      <w:pPr>
        <w:rPr>
          <w:rFonts w:eastAsia="Calibri"/>
        </w:rPr>
      </w:pPr>
      <w:r w:rsidRPr="00A66BD6">
        <w:t>Система e-Communications также позволяла администрациям круглосуточно и без перебоев вести переписку в течение 2025 года. На момент составления отчета количество зарегистрированных администраций увеличилось со 163 в начале 2025 года до 164 на момент составления настоящего отчета, из которых 138 пользовались этой системой для отправки писем.</w:t>
      </w:r>
    </w:p>
    <w:p w14:paraId="7F5ED161" w14:textId="55FD2013" w:rsidR="00BF5F40" w:rsidRPr="00A66BD6" w:rsidRDefault="00BF5F40" w:rsidP="00BF5F40">
      <w:pPr>
        <w:rPr>
          <w:rFonts w:eastAsia="Calibri"/>
        </w:rPr>
      </w:pPr>
      <w:r w:rsidRPr="00A66BD6">
        <w:t>Бюро обновило систему в целях повышения стабильности и качества ее работы в течение 2025</w:t>
      </w:r>
      <w:r w:rsidR="00024AD8" w:rsidRPr="00A66BD6">
        <w:t> </w:t>
      </w:r>
      <w:r w:rsidRPr="00A66BD6">
        <w:t>года. Кроме того, продолжаются разработки дополнительных функций, таких как предоставление возможности эксплуатационным организациям использовать систему e-Communications. Пользователям эксплуатационных организаций будет разрешено поддерживать связь только со</w:t>
      </w:r>
      <w:r w:rsidR="00DD3AF3" w:rsidRPr="00A66BD6">
        <w:t> </w:t>
      </w:r>
      <w:r w:rsidRPr="00A66BD6">
        <w:t>своими заявляющими администрациями в соответствии с просьбой администраций, выраженной на предыдущих собраниях КГР. Эту функцию планируется внедрить во втором квартале 2026</w:t>
      </w:r>
      <w:r w:rsidR="00024AD8" w:rsidRPr="00A66BD6">
        <w:t> </w:t>
      </w:r>
      <w:r w:rsidRPr="00A66BD6">
        <w:t>года.</w:t>
      </w:r>
    </w:p>
    <w:p w14:paraId="73938413" w14:textId="200A3C30" w:rsidR="00BF5F40" w:rsidRPr="00A66BD6" w:rsidRDefault="00BF5F40" w:rsidP="00BF5F40">
      <w:pPr>
        <w:pStyle w:val="Heading4"/>
      </w:pPr>
      <w:r w:rsidRPr="00A66BD6">
        <w:rPr>
          <w:bCs/>
        </w:rPr>
        <w:t>7.2.6.3</w:t>
      </w:r>
      <w:r w:rsidRPr="00A66BD6">
        <w:tab/>
      </w:r>
      <w:r w:rsidRPr="00A66BD6">
        <w:rPr>
          <w:bCs/>
        </w:rPr>
        <w:t>SIRRS</w:t>
      </w:r>
    </w:p>
    <w:p w14:paraId="7D3EC742" w14:textId="77777777" w:rsidR="00BF5F40" w:rsidRPr="00A66BD6" w:rsidRDefault="00BF5F40" w:rsidP="00BF5F40">
      <w:pPr>
        <w:rPr>
          <w:rFonts w:eastAsia="Calibri"/>
        </w:rPr>
      </w:pPr>
      <w:r w:rsidRPr="00A66BD6">
        <w:t>Ввиду участившихся случаев создания помех и спуфинга, которые затрагивают приемники радионавигационной спутниковой службы, расположенные на борту воздушных и морских судов, МСЭ укрепляет сотрудничество с ИКАО и ИМО, что было отражено в совместном заявлении, подписанном тремя генеральными секретарями в марте 2025 года, включая расширенное представление отчетов о случаях вредных помех для мониторинга и оценки фактической ситуации.</w:t>
      </w:r>
    </w:p>
    <w:p w14:paraId="6C6F20A4" w14:textId="77777777" w:rsidR="00BF5F40" w:rsidRPr="00A66BD6" w:rsidRDefault="00BF5F40" w:rsidP="00BF5F40">
      <w:pPr>
        <w:rPr>
          <w:rFonts w:eastAsia="Calibri"/>
        </w:rPr>
      </w:pPr>
      <w:r w:rsidRPr="00A66BD6">
        <w:t>В связи с этим и в ответ на просьбу ИКАО Бюро модернизировало интерфейс управления пользователями в рамках SIRRS, с тем чтобы он охватывал также пользователей из ООН/ИКАО.</w:t>
      </w:r>
    </w:p>
    <w:p w14:paraId="7E44228B" w14:textId="77777777" w:rsidR="00BF5F40" w:rsidRPr="00A66BD6" w:rsidRDefault="00BF5F40" w:rsidP="00BF5F40">
      <w:pPr>
        <w:rPr>
          <w:rFonts w:eastAsia="Calibri"/>
        </w:rPr>
      </w:pPr>
      <w:r w:rsidRPr="00A66BD6">
        <w:t>В феврале 2026 года для сотрудников штаб-квартиры и региональных отделений ИКАО было проведено виртуальное обучение, для того чтобы они могли приступить к процессу представления отчетов.</w:t>
      </w:r>
    </w:p>
    <w:p w14:paraId="16EE2F27" w14:textId="43B3B93B" w:rsidR="00BF5F40" w:rsidRPr="00A66BD6" w:rsidRDefault="00BF5F40" w:rsidP="00BF5F40">
      <w:pPr>
        <w:pStyle w:val="Heading4"/>
      </w:pPr>
      <w:bookmarkStart w:id="86" w:name="_Ref222156293"/>
      <w:r w:rsidRPr="00A66BD6">
        <w:rPr>
          <w:bCs/>
        </w:rPr>
        <w:t>7.2.6.4</w:t>
      </w:r>
      <w:r w:rsidRPr="00A66BD6">
        <w:tab/>
      </w:r>
      <w:r w:rsidRPr="00A66BD6">
        <w:rPr>
          <w:bCs/>
        </w:rPr>
        <w:t>Онлайновая система представления замечаний</w:t>
      </w:r>
      <w:bookmarkEnd w:id="86"/>
    </w:p>
    <w:p w14:paraId="4A9399FF" w14:textId="77777777" w:rsidR="00BF5F40" w:rsidRPr="00A66BD6" w:rsidRDefault="00BF5F40" w:rsidP="00BF5F40">
      <w:r w:rsidRPr="00A66BD6">
        <w:t xml:space="preserve">В 2025 году Бюро приступило к разработке онлайновой системы представления замечаний e-Comment, которая представляет собой веб-приложение, предназначенное на замену устаревшего настольного приложения SpaceCom и для перевода всего процесса подготовки регламентарных замечаний полностью в онлайновый цифровой режим. Приложение главным образом нацелено на то, чтобы предоставить администрациям возможность эффективно вносить замечания в онлайновом режиме и беспрепятственно представлять их в Бюро, а также обеспечить администрациям возможность просматривать и проверять отправленные и полученные замечания в онлайновом режиме. </w:t>
      </w:r>
    </w:p>
    <w:p w14:paraId="1B87B9A2" w14:textId="77777777" w:rsidR="00BF5F40" w:rsidRPr="00A66BD6" w:rsidRDefault="00BF5F40" w:rsidP="00BF5F40">
      <w:pPr>
        <w:pStyle w:val="Heading2"/>
        <w:rPr>
          <w:sz w:val="28"/>
          <w:szCs w:val="28"/>
        </w:rPr>
      </w:pPr>
      <w:bookmarkStart w:id="87" w:name="_Toc223379849"/>
      <w:bookmarkStart w:id="88" w:name="_Toc223957803"/>
      <w:r w:rsidRPr="00A66BD6">
        <w:rPr>
          <w:bCs/>
        </w:rPr>
        <w:t>7.3</w:t>
      </w:r>
      <w:r w:rsidRPr="00A66BD6">
        <w:tab/>
      </w:r>
      <w:r w:rsidRPr="00A66BD6">
        <w:rPr>
          <w:bCs/>
        </w:rPr>
        <w:t>Другое программное обеспечение и инструменты БР</w:t>
      </w:r>
      <w:bookmarkEnd w:id="87"/>
      <w:bookmarkEnd w:id="88"/>
    </w:p>
    <w:p w14:paraId="40E94834" w14:textId="77777777" w:rsidR="00BF5F40" w:rsidRPr="00A66BD6" w:rsidRDefault="00BF5F40" w:rsidP="00BF5F40">
      <w:pPr>
        <w:pStyle w:val="Heading3"/>
      </w:pPr>
      <w:bookmarkStart w:id="89" w:name="_Toc223379850"/>
      <w:bookmarkStart w:id="90" w:name="_Toc223957804"/>
      <w:r w:rsidRPr="00A66BD6">
        <w:rPr>
          <w:bCs/>
        </w:rPr>
        <w:t>7.3.1</w:t>
      </w:r>
      <w:r w:rsidRPr="00A66BD6">
        <w:tab/>
      </w:r>
      <w:r w:rsidRPr="00A66BD6">
        <w:rPr>
          <w:bCs/>
        </w:rPr>
        <w:t>Инструменты Регламента радиосвязи</w:t>
      </w:r>
      <w:bookmarkEnd w:id="89"/>
      <w:bookmarkEnd w:id="90"/>
    </w:p>
    <w:p w14:paraId="5083D040" w14:textId="77777777" w:rsidR="00BF5F40" w:rsidRPr="00A66BD6" w:rsidRDefault="00BF5F40" w:rsidP="00BF5F40">
      <w:r w:rsidRPr="00A66BD6">
        <w:t>Бюро продолжает обновление и сопровождение программных инструментов для упрощения использования и анализа Регламента радиосвязи (РР):</w:t>
      </w:r>
    </w:p>
    <w:p w14:paraId="6BD90D86" w14:textId="77777777" w:rsidR="00BF5F40" w:rsidRPr="00A66BD6" w:rsidRDefault="00BF5F40" w:rsidP="00DD3AF3">
      <w:pPr>
        <w:pStyle w:val="enumlev1"/>
      </w:pPr>
      <w:r w:rsidRPr="00A66BD6">
        <w:t>a)</w:t>
      </w:r>
      <w:r w:rsidRPr="00A66BD6">
        <w:tab/>
        <w:t xml:space="preserve">Было завершено обновление </w:t>
      </w:r>
      <w:r w:rsidRPr="00A66BD6">
        <w:rPr>
          <w:b/>
          <w:bCs/>
          <w:i/>
          <w:iCs/>
        </w:rPr>
        <w:t>Инструмента для навигации в Регламенте радиосвязи</w:t>
      </w:r>
      <w:r w:rsidRPr="00A66BD6">
        <w:t xml:space="preserve"> с целью приведения его в соответствие с изданием РР 2024 года и другими соответствующими текстами (Правилами процедуры, основными текстами). Обновленное программное обеспечение (бесплатное для всех пользователей) было выпущено в августе 2025 года.</w:t>
      </w:r>
    </w:p>
    <w:p w14:paraId="00E8CB90" w14:textId="1B286EC9" w:rsidR="00BF5F40" w:rsidRPr="00A66BD6" w:rsidRDefault="00BF5F40" w:rsidP="00DD3AF3">
      <w:pPr>
        <w:pStyle w:val="enumlev1"/>
      </w:pPr>
      <w:r w:rsidRPr="00A66BD6">
        <w:lastRenderedPageBreak/>
        <w:t>b)</w:t>
      </w:r>
      <w:r w:rsidRPr="00A66BD6">
        <w:tab/>
        <w:t xml:space="preserve">Программный инструмент </w:t>
      </w:r>
      <w:r w:rsidRPr="00A66BD6">
        <w:rPr>
          <w:b/>
          <w:bCs/>
          <w:i/>
          <w:iCs/>
        </w:rPr>
        <w:t>Таблица распределения частот Статьи 5 РР</w:t>
      </w:r>
      <w:r w:rsidRPr="00A66BD6">
        <w:t>, предназначенный для проведения подробного поиска и анализа по Таблице распределения частот Статьи 5 Регламента радиосвязи, позволяет осуществлять фильтрацию и реорганизацию по диапазонам частот, службам, категориям служб, примечаниям, странам и</w:t>
      </w:r>
      <w:r w:rsidR="00DD3AF3" w:rsidRPr="00A66BD6">
        <w:t> </w:t>
      </w:r>
      <w:r w:rsidRPr="00A66BD6">
        <w:t>т.</w:t>
      </w:r>
      <w:r w:rsidR="00DD3AF3" w:rsidRPr="00A66BD6">
        <w:t> </w:t>
      </w:r>
      <w:r w:rsidRPr="00A66BD6">
        <w:t>д.</w:t>
      </w:r>
    </w:p>
    <w:p w14:paraId="7DD60CC7" w14:textId="77777777" w:rsidR="00BF5F40" w:rsidRPr="00A66BD6" w:rsidRDefault="00BF5F40" w:rsidP="00BF5F40">
      <w:r w:rsidRPr="00A66BD6">
        <w:t>Инструмент был обновлен с учетом итоговых документов ВКР-23 и издания РР 2024 года с целью внести изменения в распределения частот, страновые примечания и ссылки на соответствующие Резолюции и Рекомендации. Кроме того, он содержит ссылки на соответствующие Рекомендации МСЭ-R, указанные в Статье 5 РР, а также на соответствующую последнюю версию Правил процедуры.</w:t>
      </w:r>
    </w:p>
    <w:p w14:paraId="17B53AB6" w14:textId="77777777" w:rsidR="00BF5F40" w:rsidRPr="00A66BD6" w:rsidRDefault="00BF5F40" w:rsidP="00BF5F40">
      <w:r w:rsidRPr="00A66BD6">
        <w:t>В пакет также включена утилита, позволяющая извлечь национальную таблицу распределения частот для конкретной страны, получаемую путем объединения различных положений Статьи 5 РР. Были внедрены дополнительные модули для обеспечения доступа к соответствующим положениям других статей РР, когда они непосредственно связаны с примечаниями к Таблице распределения частот Статьи 5 РР. В течение 2025 года использование этого инструмента было продемонстрировано на нескольких региональных семинарах по радиосвязи и семинарах-практикумах, посвященных управлению использованием спектра (Джибути, Тегусигальпа, Чэнду).</w:t>
      </w:r>
    </w:p>
    <w:p w14:paraId="1E9A2645" w14:textId="77777777" w:rsidR="00BF5F40" w:rsidRPr="00A66BD6" w:rsidRDefault="00BF5F40" w:rsidP="00BF5F40">
      <w:r w:rsidRPr="00A66BD6">
        <w:t>Все обновления программного обеспечения и данных будут предоставляться подписчикам регулярно и бесплатно до выхода новой версии, основанной на решениях ВКР-27.</w:t>
      </w:r>
    </w:p>
    <w:p w14:paraId="1ABAE9DA" w14:textId="77777777" w:rsidR="00BF5F40" w:rsidRPr="00A66BD6" w:rsidRDefault="00BF5F40" w:rsidP="00BF5F40">
      <w:pPr>
        <w:pStyle w:val="Heading3"/>
      </w:pPr>
      <w:bookmarkStart w:id="91" w:name="_Toc223379851"/>
      <w:bookmarkStart w:id="92" w:name="_Toc223957805"/>
      <w:r w:rsidRPr="00A66BD6">
        <w:rPr>
          <w:bCs/>
        </w:rPr>
        <w:t>7.3.2</w:t>
      </w:r>
      <w:r w:rsidRPr="00A66BD6">
        <w:tab/>
      </w:r>
      <w:r w:rsidRPr="00A66BD6">
        <w:rPr>
          <w:bCs/>
        </w:rPr>
        <w:t>Географические информационные системы (ГИС) БР</w:t>
      </w:r>
      <w:bookmarkEnd w:id="91"/>
      <w:bookmarkEnd w:id="92"/>
    </w:p>
    <w:p w14:paraId="0FAA204C" w14:textId="77777777" w:rsidR="00BF5F40" w:rsidRPr="00A66BD6" w:rsidRDefault="00BF5F40" w:rsidP="00BF5F40">
      <w:r w:rsidRPr="00A66BD6">
        <w:t xml:space="preserve">Для упорядочения работы БР по ГИС была учреждена Целевая группа по ГИС БР, в состав которой вошли сотрудники всех департаментов БР. </w:t>
      </w:r>
    </w:p>
    <w:p w14:paraId="0CA5BDC2" w14:textId="77777777" w:rsidR="00BF5F40" w:rsidRPr="00A66BD6" w:rsidRDefault="00BF5F40" w:rsidP="00BF5F40">
      <w:r w:rsidRPr="00A66BD6">
        <w:t xml:space="preserve">Целевая группа внедрила </w:t>
      </w:r>
      <w:hyperlink r:id="rId103" w:history="1">
        <w:r w:rsidRPr="00A66BD6">
          <w:rPr>
            <w:rStyle w:val="Hyperlink"/>
          </w:rPr>
          <w:t>платформу ГИС БР</w:t>
        </w:r>
      </w:hyperlink>
      <w:r w:rsidRPr="00A66BD6">
        <w:t xml:space="preserve"> как современную контейнерную геопространственную платформу с открытым исходным кодом для управления наборами геопространственных данных (включая наборы данных IDWM и ИК3 по радиометеорологии), которая к настоящему моменту готова к облачному развертыванию.</w:t>
      </w:r>
      <w:hyperlink r:id="rId104" w:history="1"/>
    </w:p>
    <w:p w14:paraId="4D6D6D27" w14:textId="77777777" w:rsidR="00BF5F40" w:rsidRPr="00A66BD6" w:rsidRDefault="00BF5F40" w:rsidP="00BF5F40">
      <w:r w:rsidRPr="00A66BD6">
        <w:t>Продолжается интеграция разработанной Целевой группой библиотеки шаблонов карт в некоторые инструменты, используемые в работе с наземными службами; она может также использоваться для обеспечения единообразия оформления и восприятия веб-приложений БР.</w:t>
      </w:r>
    </w:p>
    <w:p w14:paraId="7A015B6A" w14:textId="77777777" w:rsidR="00BF5F40" w:rsidRPr="00A66BD6" w:rsidRDefault="00BF5F40" w:rsidP="00BF5F40">
      <w:pPr>
        <w:pStyle w:val="Heading3"/>
      </w:pPr>
      <w:bookmarkStart w:id="93" w:name="_Toc223379852"/>
      <w:bookmarkStart w:id="94" w:name="_Toc223957806"/>
      <w:r w:rsidRPr="00A66BD6">
        <w:rPr>
          <w:bCs/>
        </w:rPr>
        <w:t>7.3.3</w:t>
      </w:r>
      <w:r w:rsidRPr="00A66BD6">
        <w:tab/>
      </w:r>
      <w:r w:rsidRPr="00A66BD6">
        <w:rPr>
          <w:bCs/>
        </w:rPr>
        <w:t>Деятельность БР в области геопространственного искусственного интеллекта (GeoAI)</w:t>
      </w:r>
      <w:bookmarkEnd w:id="93"/>
      <w:bookmarkEnd w:id="94"/>
      <w:r w:rsidRPr="00A66BD6">
        <w:t xml:space="preserve"> </w:t>
      </w:r>
    </w:p>
    <w:p w14:paraId="211CE114" w14:textId="77777777" w:rsidR="00BF5F40" w:rsidRPr="00A66BD6" w:rsidRDefault="00BF5F40" w:rsidP="00BF5F40">
      <w:r w:rsidRPr="00A66BD6">
        <w:t>БР совместно с такими партнерами, как ЕКА и Миланский политехнический университет, изучает возможные способы использования геопространственного ИИ и базовых моделей геопространственных данных для разработки глобального набора данных, состоящего из цифровых моделей поверхности (DSM) и цифровых моделей местности (DTM) с категориями наземного покрова с использованием только спутниковых изображений из открытых источников. Эти глобальные наборы данных имеют решающее значение для внедрения некоторых методов прогнозирования распространения радиоволн МСЭ-R, применяемых для помощи в определении возможностей совместного использования спектра, совершенствовании процесса анализа помех, оценке покрытия и работе по координации.</w:t>
      </w:r>
    </w:p>
    <w:p w14:paraId="6BF38192" w14:textId="77777777" w:rsidR="00BF5F40" w:rsidRPr="00A66BD6" w:rsidRDefault="00BF5F40" w:rsidP="00BF5F40">
      <w:pPr>
        <w:pStyle w:val="Heading2"/>
      </w:pPr>
      <w:bookmarkStart w:id="95" w:name="_Ref222157273"/>
      <w:bookmarkStart w:id="96" w:name="_Toc223379853"/>
      <w:bookmarkStart w:id="97" w:name="_Toc223957807"/>
      <w:r w:rsidRPr="00A66BD6">
        <w:rPr>
          <w:bCs/>
        </w:rPr>
        <w:t>7.4</w:t>
      </w:r>
      <w:r w:rsidRPr="00A66BD6">
        <w:tab/>
      </w:r>
      <w:r w:rsidRPr="00A66BD6">
        <w:rPr>
          <w:bCs/>
        </w:rPr>
        <w:t>Обеспечение непрерывности деятельности и восстановления после бедствий</w:t>
      </w:r>
      <w:bookmarkEnd w:id="95"/>
      <w:bookmarkEnd w:id="96"/>
      <w:bookmarkEnd w:id="97"/>
    </w:p>
    <w:p w14:paraId="77BEBEEA" w14:textId="77777777" w:rsidR="00BF5F40" w:rsidRPr="00A66BD6" w:rsidRDefault="00BF5F40" w:rsidP="00DD3AF3">
      <w:r w:rsidRPr="00A66BD6">
        <w:t xml:space="preserve">В Оперативном плане БР имеется ссылка не реестр рисков БР. В 2026 году будет продолжена работа по дальнейшему усовершенствованию Системы управления рисками МСЭ: учебные сессии организуют координатор Системы обеспечения организационной жизнеспособности (ORMS) МСЭ и специалист по организационным бизнес-рискам МСЭ. </w:t>
      </w:r>
    </w:p>
    <w:p w14:paraId="6BAF0107" w14:textId="178F9924" w:rsidR="00BF5F40" w:rsidRPr="00A66BD6" w:rsidRDefault="00BF5F40" w:rsidP="00DD3AF3">
      <w:pPr>
        <w:pStyle w:val="Heading2"/>
      </w:pPr>
      <w:bookmarkStart w:id="98" w:name="_Ref222157196"/>
      <w:bookmarkStart w:id="99" w:name="_Toc223379854"/>
      <w:bookmarkStart w:id="100" w:name="_Toc223957808"/>
      <w:r w:rsidRPr="00A66BD6">
        <w:lastRenderedPageBreak/>
        <w:t>7.5</w:t>
      </w:r>
      <w:r w:rsidRPr="00A66BD6">
        <w:tab/>
        <w:t>Облачные вычисления</w:t>
      </w:r>
      <w:bookmarkEnd w:id="98"/>
      <w:bookmarkEnd w:id="99"/>
      <w:bookmarkEnd w:id="100"/>
    </w:p>
    <w:p w14:paraId="33C76AA5" w14:textId="77777777" w:rsidR="00BF5F40" w:rsidRPr="00A66BD6" w:rsidRDefault="00BF5F40" w:rsidP="00DD3AF3">
      <w:r w:rsidRPr="00A66BD6">
        <w:t>Целевая группа БР по переходу на облачные вычисления продолжила работу в тесном сотрудничестве с руководителями других отделов БР и Департаментом IS над созданием дорожной карты переноса приложений БР в облако в соответствии с более широкой стратегией МСЭ по переходу на облачные вычисления.</w:t>
      </w:r>
    </w:p>
    <w:p w14:paraId="04531496" w14:textId="77777777" w:rsidR="00BF5F40" w:rsidRPr="00A66BD6" w:rsidRDefault="00BF5F40" w:rsidP="00DD3AF3">
      <w:pPr>
        <w:pStyle w:val="Heading1"/>
      </w:pPr>
      <w:bookmarkStart w:id="101" w:name="_Toc446060776"/>
      <w:bookmarkStart w:id="102" w:name="_Toc223379855"/>
      <w:bookmarkStart w:id="103" w:name="_Toc223957809"/>
      <w:r w:rsidRPr="00A66BD6">
        <w:t>8</w:t>
      </w:r>
      <w:r w:rsidRPr="00A66BD6">
        <w:tab/>
        <w:t>Информационно-пропагандистская деятельность</w:t>
      </w:r>
      <w:bookmarkEnd w:id="101"/>
      <w:bookmarkEnd w:id="102"/>
      <w:bookmarkEnd w:id="103"/>
    </w:p>
    <w:p w14:paraId="02496D67" w14:textId="77777777" w:rsidR="00BF5F40" w:rsidRPr="00A66BD6" w:rsidRDefault="00BF5F40" w:rsidP="00DD3AF3">
      <w:r w:rsidRPr="00A66BD6">
        <w:t>Информационно-пропагандистская деятельность включает в себя распространение информации и оказание помощи членам, публикацию результатов деятельности МСЭ-R, организацию семинаров и семинаров-практикумов и участие в них, а также разработку и поддержание средств коммуникации и пропаганды. Цель этой работы заключается в том, чтобы результаты деятельности Сектора МСЭ-R (регламентарные положения, Рекомендации, Отчеты и Справочники) распространялись по всему миру и могли служить основой для формирования политики и принятия решений по использованию радиочастотного спектра на национальном и региональном уровнях. Эта деятельность осуществляется БР в тесном сотрудничестве с другими Бюро и Генеральным секретариатом, региональными и зональными отделениями МСЭ, соответствующими международными организациями и национальными органами.</w:t>
      </w:r>
    </w:p>
    <w:p w14:paraId="55F6B0A7" w14:textId="77777777" w:rsidR="00BF5F40" w:rsidRPr="00A66BD6" w:rsidRDefault="00BF5F40" w:rsidP="00BF5F40">
      <w:pPr>
        <w:pStyle w:val="Heading2"/>
      </w:pPr>
      <w:bookmarkStart w:id="104" w:name="_Toc418163376"/>
      <w:bookmarkStart w:id="105" w:name="_Toc418232294"/>
      <w:bookmarkStart w:id="106" w:name="_Toc424047595"/>
      <w:bookmarkStart w:id="107" w:name="_Toc446060777"/>
      <w:bookmarkStart w:id="108" w:name="_Toc223379856"/>
      <w:bookmarkStart w:id="109" w:name="_Toc223957810"/>
      <w:r w:rsidRPr="00A66BD6">
        <w:rPr>
          <w:bCs/>
        </w:rPr>
        <w:t>8.1</w:t>
      </w:r>
      <w:r w:rsidRPr="00A66BD6">
        <w:tab/>
      </w:r>
      <w:r w:rsidRPr="00A66BD6">
        <w:rPr>
          <w:bCs/>
        </w:rPr>
        <w:t>Публикации</w:t>
      </w:r>
      <w:bookmarkEnd w:id="104"/>
      <w:bookmarkEnd w:id="105"/>
      <w:bookmarkEnd w:id="106"/>
      <w:bookmarkEnd w:id="107"/>
      <w:bookmarkEnd w:id="108"/>
      <w:bookmarkEnd w:id="109"/>
    </w:p>
    <w:p w14:paraId="73E3E543" w14:textId="77777777" w:rsidR="00BF5F40" w:rsidRPr="00A66BD6" w:rsidRDefault="00BF5F40" w:rsidP="00BF5F40">
      <w:pPr>
        <w:pStyle w:val="Heading3"/>
      </w:pPr>
      <w:bookmarkStart w:id="110" w:name="_Toc424047596"/>
      <w:bookmarkStart w:id="111" w:name="_Toc446060778"/>
      <w:bookmarkStart w:id="112" w:name="_Toc223379857"/>
      <w:bookmarkStart w:id="113" w:name="_Toc223957811"/>
      <w:r w:rsidRPr="00A66BD6">
        <w:rPr>
          <w:bCs/>
        </w:rPr>
        <w:t>8.1.1</w:t>
      </w:r>
      <w:r w:rsidRPr="00A66BD6">
        <w:tab/>
      </w:r>
      <w:r w:rsidRPr="00A66BD6">
        <w:rPr>
          <w:bCs/>
        </w:rPr>
        <w:t>Регламентарные публикации</w:t>
      </w:r>
      <w:bookmarkEnd w:id="110"/>
      <w:bookmarkEnd w:id="111"/>
      <w:bookmarkEnd w:id="112"/>
      <w:bookmarkEnd w:id="113"/>
    </w:p>
    <w:p w14:paraId="08DF3015" w14:textId="77777777" w:rsidR="00BF5F40" w:rsidRPr="00A66BD6" w:rsidRDefault="00BF5F40" w:rsidP="00DD3AF3">
      <w:r w:rsidRPr="00A66BD6">
        <w:t>Регламентарные публикации являются неотъемлемой частью административных регламентов – Регламента радиосвязи, в котором содержатся полные тексты, принятые ВКР, и Заключительных актов и Правил процедуры, которые носят вспомогательный характер по отношению к Регламенту радиосвязи.</w:t>
      </w:r>
    </w:p>
    <w:p w14:paraId="7544491A" w14:textId="77777777" w:rsidR="00BF5F40" w:rsidRPr="00A66BD6" w:rsidRDefault="00BF5F40" w:rsidP="00DD3AF3">
      <w:r w:rsidRPr="00A66BD6">
        <w:t>В июле 2025 года было опубликовано шестое обновление Правил процедуры издания 2021 года.</w:t>
      </w:r>
    </w:p>
    <w:p w14:paraId="57B5627B" w14:textId="77777777" w:rsidR="00BF5F40" w:rsidRPr="00A66BD6" w:rsidRDefault="00BF5F40" w:rsidP="00DD3AF3">
      <w:r w:rsidRPr="00A66BD6">
        <w:t>В декабре 2025 года были опубликованы Правила процедуры издания 2025 года.</w:t>
      </w:r>
    </w:p>
    <w:p w14:paraId="648FE239" w14:textId="77777777" w:rsidR="00BF5F40" w:rsidRPr="00A66BD6" w:rsidRDefault="00BF5F40" w:rsidP="00DD3AF3">
      <w:r w:rsidRPr="00A66BD6">
        <w:t xml:space="preserve">БР также публиковало по 11 расписаний ВЧРВ в год в соответствии со Статьей </w:t>
      </w:r>
      <w:r w:rsidRPr="00A66BD6">
        <w:rPr>
          <w:b/>
          <w:bCs/>
        </w:rPr>
        <w:t>12</w:t>
      </w:r>
      <w:r w:rsidRPr="00A66BD6">
        <w:t xml:space="preserve"> Регламента радиосвязи.</w:t>
      </w:r>
    </w:p>
    <w:p w14:paraId="7EE680DE" w14:textId="77777777" w:rsidR="00BF5F40" w:rsidRPr="00A66BD6" w:rsidRDefault="00BF5F40" w:rsidP="00BF5F40">
      <w:pPr>
        <w:pStyle w:val="Heading3"/>
      </w:pPr>
      <w:bookmarkStart w:id="114" w:name="_Toc424047597"/>
      <w:bookmarkStart w:id="115" w:name="_Toc446060779"/>
      <w:bookmarkStart w:id="116" w:name="_Toc223379858"/>
      <w:bookmarkStart w:id="117" w:name="_Toc223957812"/>
      <w:r w:rsidRPr="00A66BD6">
        <w:rPr>
          <w:bCs/>
        </w:rPr>
        <w:t>8.1.2</w:t>
      </w:r>
      <w:r w:rsidRPr="00A66BD6">
        <w:tab/>
      </w:r>
      <w:r w:rsidRPr="00A66BD6">
        <w:rPr>
          <w:bCs/>
        </w:rPr>
        <w:t>Служебные публикации</w:t>
      </w:r>
      <w:bookmarkEnd w:id="114"/>
      <w:bookmarkEnd w:id="115"/>
      <w:bookmarkEnd w:id="116"/>
      <w:bookmarkEnd w:id="117"/>
    </w:p>
    <w:p w14:paraId="6BEAAE85" w14:textId="77777777" w:rsidR="00BF5F40" w:rsidRPr="00A66BD6" w:rsidRDefault="00BF5F40" w:rsidP="00BF5F40">
      <w:pPr>
        <w:pStyle w:val="Heading4"/>
      </w:pPr>
      <w:r w:rsidRPr="00A66BD6">
        <w:rPr>
          <w:bCs/>
        </w:rPr>
        <w:t>8.1.2.1</w:t>
      </w:r>
      <w:r w:rsidRPr="00A66BD6">
        <w:tab/>
      </w:r>
      <w:r w:rsidRPr="00A66BD6">
        <w:rPr>
          <w:bCs/>
        </w:rPr>
        <w:t>Базовая информация и общие замечания</w:t>
      </w:r>
    </w:p>
    <w:p w14:paraId="2536177C" w14:textId="7B83C587" w:rsidR="00BF5F40" w:rsidRPr="00A66BD6" w:rsidRDefault="00BF5F40" w:rsidP="00BF5F40">
      <w:r w:rsidRPr="00A66BD6">
        <w:t>Бюро составляет и издает следующие служебные публикации, как это определено в Статье</w:t>
      </w:r>
      <w:r w:rsidR="00DD3AF3" w:rsidRPr="00A66BD6">
        <w:t> </w:t>
      </w:r>
      <w:r w:rsidRPr="00A66BD6">
        <w:t>20 Регламента радиосвязи:</w:t>
      </w:r>
    </w:p>
    <w:p w14:paraId="272FAA91" w14:textId="2FEC9976" w:rsidR="00BF5F40" w:rsidRPr="00A66BD6" w:rsidRDefault="00DD3AF3" w:rsidP="00DD3AF3">
      <w:pPr>
        <w:pStyle w:val="enumlev1"/>
      </w:pPr>
      <w:r w:rsidRPr="00A66BD6">
        <w:t>•</w:t>
      </w:r>
      <w:r w:rsidRPr="00A66BD6">
        <w:tab/>
      </w:r>
      <w:r w:rsidR="00BF5F40" w:rsidRPr="00A66BD6">
        <w:t>ИФИК БР – Международный информационный циркуляр по частотам;</w:t>
      </w:r>
    </w:p>
    <w:p w14:paraId="6AAF5131" w14:textId="22C820DB" w:rsidR="00BF5F40" w:rsidRPr="00A66BD6" w:rsidRDefault="00DD3AF3" w:rsidP="00DD3AF3">
      <w:pPr>
        <w:pStyle w:val="enumlev1"/>
      </w:pPr>
      <w:r w:rsidRPr="00A66BD6">
        <w:t>•</w:t>
      </w:r>
      <w:r w:rsidRPr="00A66BD6">
        <w:tab/>
      </w:r>
      <w:r w:rsidR="00BF5F40" w:rsidRPr="00A66BD6">
        <w:t>Список IV – Список береговых станций и станций специальных служб;</w:t>
      </w:r>
    </w:p>
    <w:p w14:paraId="62CAC0CE" w14:textId="72A134FE" w:rsidR="00BF5F40" w:rsidRPr="00A66BD6" w:rsidRDefault="00DD3AF3" w:rsidP="00DD3AF3">
      <w:pPr>
        <w:pStyle w:val="enumlev1"/>
      </w:pPr>
      <w:r w:rsidRPr="00A66BD6">
        <w:t>•</w:t>
      </w:r>
      <w:r w:rsidRPr="00A66BD6">
        <w:tab/>
      </w:r>
      <w:r w:rsidR="00BF5F40" w:rsidRPr="00A66BD6">
        <w:t>Список V – Список судовых станций и присвоений опознавателей морской подвижной службы;</w:t>
      </w:r>
    </w:p>
    <w:p w14:paraId="17539048" w14:textId="2D7AE065" w:rsidR="00BF5F40" w:rsidRPr="00A66BD6" w:rsidRDefault="00DD3AF3" w:rsidP="00DD3AF3">
      <w:pPr>
        <w:pStyle w:val="enumlev1"/>
      </w:pPr>
      <w:r w:rsidRPr="00A66BD6">
        <w:t>•</w:t>
      </w:r>
      <w:r w:rsidRPr="00A66BD6">
        <w:tab/>
      </w:r>
      <w:r w:rsidR="00BF5F40" w:rsidRPr="00A66BD6">
        <w:t>Список VIII – Список станций международного радиоконтроля;</w:t>
      </w:r>
    </w:p>
    <w:p w14:paraId="7BD2CDC7" w14:textId="5DFF60BA" w:rsidR="00BF5F40" w:rsidRPr="00A66BD6" w:rsidRDefault="00DD3AF3" w:rsidP="00DD3AF3">
      <w:pPr>
        <w:pStyle w:val="enumlev1"/>
      </w:pPr>
      <w:r w:rsidRPr="00A66BD6">
        <w:t>•</w:t>
      </w:r>
      <w:r w:rsidRPr="00A66BD6">
        <w:tab/>
      </w:r>
      <w:r w:rsidR="00BF5F40" w:rsidRPr="00A66BD6">
        <w:t>Руководство для использования в морской подвижной и морской подвижной спутниковой службах (Руководство по морской службе).</w:t>
      </w:r>
    </w:p>
    <w:p w14:paraId="612D5143" w14:textId="77777777" w:rsidR="00BF5F40" w:rsidRPr="00A66BD6" w:rsidRDefault="00BF5F40" w:rsidP="00BF5F40">
      <w:pPr>
        <w:pStyle w:val="Heading4"/>
      </w:pPr>
      <w:r w:rsidRPr="00A66BD6">
        <w:rPr>
          <w:bCs/>
        </w:rPr>
        <w:t>8.1.2.2</w:t>
      </w:r>
      <w:r w:rsidRPr="00A66BD6">
        <w:tab/>
      </w:r>
      <w:r w:rsidRPr="00A66BD6">
        <w:rPr>
          <w:bCs/>
        </w:rPr>
        <w:t>Список береговых станций и станций специальных служб (Список IV)</w:t>
      </w:r>
    </w:p>
    <w:p w14:paraId="22936EDA" w14:textId="5D883BEC" w:rsidR="00BF5F40" w:rsidRPr="00A66BD6" w:rsidRDefault="00BF5F40" w:rsidP="00DD3AF3">
      <w:r w:rsidRPr="00A66BD6">
        <w:t xml:space="preserve">Этот Список содержит заявленную в МСЭ информацию (а именно: позывной сигнал, MMSI, географические координаты, частоты передачи и приема и т. д.) по береговым станциям, которые обеспечивают несение дежурства с использованием методов цифрового избирательного вызова, службу общественной корреспонденции, медицинские консультации, навигационные и </w:t>
      </w:r>
      <w:r w:rsidRPr="00A66BD6">
        <w:lastRenderedPageBreak/>
        <w:t>метеорологические предупреждения, извещения мореплавателям, радиосигналы точного времени и</w:t>
      </w:r>
      <w:r w:rsidR="00DD3AF3" w:rsidRPr="00A66BD6">
        <w:t> </w:t>
      </w:r>
      <w:r w:rsidRPr="00A66BD6">
        <w:t>т.</w:t>
      </w:r>
      <w:r w:rsidR="00DD3AF3" w:rsidRPr="00A66BD6">
        <w:t> </w:t>
      </w:r>
      <w:r w:rsidRPr="00A66BD6">
        <w:t xml:space="preserve">д. </w:t>
      </w:r>
    </w:p>
    <w:p w14:paraId="0D10702C" w14:textId="77777777" w:rsidR="00BF5F40" w:rsidRPr="00A66BD6" w:rsidRDefault="00BF5F40" w:rsidP="00DD3AF3">
      <w:r w:rsidRPr="00A66BD6">
        <w:t xml:space="preserve">Список береговых станций и станций специальных служб (Список IV) публикуется раз в два года. Наиболее свежее издание Списка IV было опубликовано в ноябре 2025 года. </w:t>
      </w:r>
    </w:p>
    <w:p w14:paraId="4AAC0CB1" w14:textId="77777777" w:rsidR="00BF5F40" w:rsidRPr="00A66BD6" w:rsidRDefault="00BF5F40" w:rsidP="00DD3AF3">
      <w:r w:rsidRPr="00A66BD6">
        <w:t xml:space="preserve">Информация, относящаяся к этому Списку, представлена в онлайновой информационной системе доступа и поиска морской подвижной службы МСЭ (MARS). </w:t>
      </w:r>
    </w:p>
    <w:p w14:paraId="456FD1CB" w14:textId="77777777" w:rsidR="00BF5F40" w:rsidRPr="00A66BD6" w:rsidRDefault="00BF5F40" w:rsidP="00BF5F40">
      <w:pPr>
        <w:pStyle w:val="Heading4"/>
      </w:pPr>
      <w:r w:rsidRPr="00A66BD6">
        <w:rPr>
          <w:bCs/>
        </w:rPr>
        <w:t>8.1.2.3</w:t>
      </w:r>
      <w:r w:rsidRPr="00A66BD6">
        <w:tab/>
      </w:r>
      <w:r w:rsidRPr="00A66BD6">
        <w:rPr>
          <w:bCs/>
        </w:rPr>
        <w:t>Список судовых станций и присвоений опознавателей морской подвижной службы (Список V)</w:t>
      </w:r>
    </w:p>
    <w:p w14:paraId="6DD03D5F" w14:textId="77777777" w:rsidR="00BF5F40" w:rsidRPr="00A66BD6" w:rsidRDefault="00BF5F40" w:rsidP="00BF5F40">
      <w:r w:rsidRPr="00A66BD6">
        <w:t>Этот Список содержит заявленную в МСЭ информацию о судовых станциях, береговых станциях, станциях воздушных судов, участвующих в операциях по поиску и спасанию (SAR), и идентификационных кодах расчетной организации (AAIC), а также контактные данные для заявляющих администраций.</w:t>
      </w:r>
    </w:p>
    <w:p w14:paraId="68CF638A" w14:textId="3EAFA46B" w:rsidR="00BF5F40" w:rsidRPr="00A66BD6" w:rsidRDefault="00BF5F40" w:rsidP="00BF5F40">
      <w:r w:rsidRPr="00A66BD6">
        <w:t>Список судовых станций и присвоений опознавателей морской подвижной службы (Список</w:t>
      </w:r>
      <w:r w:rsidR="00DD3AF3" w:rsidRPr="00A66BD6">
        <w:t> </w:t>
      </w:r>
      <w:r w:rsidRPr="00A66BD6">
        <w:t>V) публикуется ежегодно. Наиболее свежее издание Списка V было опубликовано в апреле 2025</w:t>
      </w:r>
      <w:r w:rsidR="00DD3AF3" w:rsidRPr="00A66BD6">
        <w:t> </w:t>
      </w:r>
      <w:r w:rsidRPr="00A66BD6">
        <w:t xml:space="preserve">года. </w:t>
      </w:r>
    </w:p>
    <w:p w14:paraId="772A930D" w14:textId="2E36317A" w:rsidR="00BF5F40" w:rsidRPr="00A66BD6" w:rsidRDefault="00BF5F40" w:rsidP="00BF5F40">
      <w:r w:rsidRPr="00A66BD6">
        <w:t>Информация, которая относится к этому Списку, также представлена в онлайновой информационной системе MARS. Каждые три месяца в сети публикуется подборка всех изменений, заявленных в</w:t>
      </w:r>
      <w:r w:rsidR="00DD3AF3" w:rsidRPr="00A66BD6">
        <w:t> </w:t>
      </w:r>
      <w:r w:rsidRPr="00A66BD6">
        <w:t>МСЭ.</w:t>
      </w:r>
    </w:p>
    <w:p w14:paraId="37584578" w14:textId="77777777" w:rsidR="00BF5F40" w:rsidRPr="00A66BD6" w:rsidRDefault="00BF5F40" w:rsidP="00BF5F40">
      <w:pPr>
        <w:pStyle w:val="Heading4"/>
      </w:pPr>
      <w:r w:rsidRPr="00A66BD6">
        <w:rPr>
          <w:bCs/>
        </w:rPr>
        <w:t>8.1.2.4</w:t>
      </w:r>
      <w:r w:rsidRPr="00A66BD6">
        <w:tab/>
      </w:r>
      <w:r w:rsidRPr="00A66BD6">
        <w:rPr>
          <w:bCs/>
        </w:rPr>
        <w:t>Список станций международного радиоконтроля (Список VIII)</w:t>
      </w:r>
    </w:p>
    <w:p w14:paraId="506DEE3A" w14:textId="7ACCBCB6" w:rsidR="00BF5F40" w:rsidRPr="00A66BD6" w:rsidRDefault="00BF5F40" w:rsidP="00BF5F40">
      <w:pPr>
        <w:rPr>
          <w:b/>
        </w:rPr>
      </w:pPr>
      <w:r w:rsidRPr="00A66BD6">
        <w:t>В Списке станций международного радиоконтроля (Список VIII) содержатся адреса и другая соответствующая информация о централизующих учреждениях, включая подробные сведения о</w:t>
      </w:r>
      <w:r w:rsidR="00DD3AF3" w:rsidRPr="00A66BD6">
        <w:t> </w:t>
      </w:r>
      <w:r w:rsidRPr="00A66BD6">
        <w:t xml:space="preserve">станциях радиоконтроля, осуществляющих измерения излучений наземных и космических станций. </w:t>
      </w:r>
    </w:p>
    <w:p w14:paraId="2458F48C" w14:textId="77777777" w:rsidR="00BF5F40" w:rsidRPr="00A66BD6" w:rsidRDefault="00BF5F40" w:rsidP="00BF5F40">
      <w:r w:rsidRPr="00A66BD6">
        <w:t>Наиболее свежее издание данного Списка было опубликовано в ноябре 2025 года.</w:t>
      </w:r>
    </w:p>
    <w:p w14:paraId="03AA71A9" w14:textId="6AC467CB" w:rsidR="00BF5F40" w:rsidRPr="00A66BD6" w:rsidRDefault="00BF5F40" w:rsidP="00BF5F40">
      <w:pPr>
        <w:pStyle w:val="Heading4"/>
      </w:pPr>
      <w:r w:rsidRPr="00A66BD6">
        <w:rPr>
          <w:bCs/>
        </w:rPr>
        <w:t>8.1.2.5</w:t>
      </w:r>
      <w:r w:rsidRPr="00A66BD6">
        <w:tab/>
      </w:r>
      <w:r w:rsidRPr="00A66BD6">
        <w:rPr>
          <w:bCs/>
        </w:rPr>
        <w:t>Руководство для использования в морской подвижной и морской подвижной спутниковой службах (Руководство по морской службе).</w:t>
      </w:r>
    </w:p>
    <w:p w14:paraId="3CD708DB" w14:textId="77777777" w:rsidR="00BF5F40" w:rsidRPr="00A66BD6" w:rsidRDefault="00BF5F40" w:rsidP="00BF5F40">
      <w:r w:rsidRPr="00A66BD6">
        <w:t>Руководство для использования в морской подвижной и морской подвижной спутниковой службах (Руководство по морской службе) является справочным документом, который содержит полное описание морской связи. В издании 2024, опубликованном в декабре 2024 года, отражены недавно принятые решения ВКР-23, касающиеся вышеупомянутых служб, и последние обновления, касающиеся используемых в настоящее время морских систем радиосвязи, с учетом последних разработок.</w:t>
      </w:r>
    </w:p>
    <w:p w14:paraId="207B96B2" w14:textId="77777777" w:rsidR="00BF5F40" w:rsidRPr="00A66BD6" w:rsidRDefault="00BF5F40" w:rsidP="00BF5F40">
      <w:r w:rsidRPr="00A66BD6">
        <w:t xml:space="preserve">В томе 1 приводится описание организации и функционирования ГМССБ и других морских эксплуатационных процедур. В томе 2 обобщаются соответствующие регламентарные, технические и эксплуатационные документы МСЭ, касающиеся морской подвижной и морской подвижной спутниковой служб. </w:t>
      </w:r>
    </w:p>
    <w:p w14:paraId="4050FC09" w14:textId="1B709EC3" w:rsidR="00BF5F40" w:rsidRPr="00A66BD6" w:rsidRDefault="00BF5F40" w:rsidP="00BF5F40">
      <w:pPr>
        <w:pStyle w:val="Heading4"/>
      </w:pPr>
      <w:r w:rsidRPr="00A66BD6">
        <w:rPr>
          <w:bCs/>
        </w:rPr>
        <w:t>8.1.2.6</w:t>
      </w:r>
      <w:r w:rsidRPr="00A66BD6">
        <w:tab/>
      </w:r>
      <w:r w:rsidRPr="00A66BD6">
        <w:rPr>
          <w:bCs/>
        </w:rPr>
        <w:t>Список выпущенных служебных публикаций</w:t>
      </w:r>
    </w:p>
    <w:p w14:paraId="7DE1C925" w14:textId="44F2B919" w:rsidR="00BF5F40" w:rsidRPr="00A66BD6" w:rsidRDefault="00BF5F40" w:rsidP="00BF5F40">
      <w:r w:rsidRPr="00A66BD6">
        <w:t xml:space="preserve">В следующей ниже </w:t>
      </w:r>
      <w:r w:rsidR="00497FEF" w:rsidRPr="00A66BD6">
        <w:t xml:space="preserve">Таблице </w:t>
      </w:r>
      <w:r w:rsidRPr="00A66BD6">
        <w:t>8.1.2.5-1 представлена краткая информация о различных публикациях за</w:t>
      </w:r>
      <w:r w:rsidR="00DD3AF3" w:rsidRPr="00A66BD6">
        <w:t> </w:t>
      </w:r>
      <w:r w:rsidRPr="00A66BD6">
        <w:t>период 2022</w:t>
      </w:r>
      <w:r w:rsidR="00DD3AF3" w:rsidRPr="00A66BD6">
        <w:t>−</w:t>
      </w:r>
      <w:r w:rsidRPr="00A66BD6">
        <w:t>2025 годов.</w:t>
      </w:r>
    </w:p>
    <w:p w14:paraId="181C0568" w14:textId="77777777" w:rsidR="00024AD8" w:rsidRPr="00A66BD6" w:rsidRDefault="00024AD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</w:rPr>
      </w:pPr>
      <w:r w:rsidRPr="00A66BD6">
        <w:br w:type="page"/>
      </w:r>
    </w:p>
    <w:p w14:paraId="49925D86" w14:textId="4AA4A798" w:rsidR="00DD3AF3" w:rsidRPr="00A66BD6" w:rsidRDefault="00BF5F40" w:rsidP="00DD3AF3">
      <w:pPr>
        <w:pStyle w:val="TableNo"/>
        <w:rPr>
          <w:lang w:val="ru-RU"/>
        </w:rPr>
      </w:pPr>
      <w:r w:rsidRPr="00A66BD6">
        <w:rPr>
          <w:lang w:val="ru-RU"/>
        </w:rPr>
        <w:lastRenderedPageBreak/>
        <w:t>ТАБЛИЦА 8.1.2.5-1</w:t>
      </w:r>
    </w:p>
    <w:p w14:paraId="59EE9583" w14:textId="7B5BA489" w:rsidR="00BF5F40" w:rsidRPr="00A66BD6" w:rsidRDefault="00BF5F40" w:rsidP="00DD3AF3">
      <w:pPr>
        <w:pStyle w:val="Tabletitle"/>
        <w:rPr>
          <w:lang w:val="ru-RU"/>
        </w:rPr>
      </w:pPr>
      <w:r w:rsidRPr="00A66BD6">
        <w:rPr>
          <w:lang w:val="ru-RU"/>
        </w:rPr>
        <w:t>Список выпущенных служебных публикаций, 2022−2025 г</w:t>
      </w:r>
      <w:r w:rsidR="00DD3AF3" w:rsidRPr="00A66BD6">
        <w:rPr>
          <w:lang w:val="ru-RU"/>
        </w:rPr>
        <w:t>оды</w:t>
      </w:r>
    </w:p>
    <w:tbl>
      <w:tblPr>
        <w:tblStyle w:val="-511"/>
        <w:tblW w:w="9640" w:type="dxa"/>
        <w:tblLayout w:type="fixed"/>
        <w:tblLook w:val="04A0" w:firstRow="1" w:lastRow="0" w:firstColumn="1" w:lastColumn="0" w:noHBand="0" w:noVBand="1"/>
      </w:tblPr>
      <w:tblGrid>
        <w:gridCol w:w="3256"/>
        <w:gridCol w:w="1596"/>
        <w:gridCol w:w="1596"/>
        <w:gridCol w:w="1596"/>
        <w:gridCol w:w="1596"/>
      </w:tblGrid>
      <w:tr w:rsidR="002C7B92" w:rsidRPr="00A66BD6" w14:paraId="2BA30266" w14:textId="77777777" w:rsidTr="00024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single" w:sz="4" w:space="0" w:color="FFFFFF" w:themeColor="background1"/>
            </w:tcBorders>
          </w:tcPr>
          <w:p w14:paraId="30EAB335" w14:textId="54CD6907" w:rsidR="00BF5F40" w:rsidRPr="00A66BD6" w:rsidRDefault="00BF5F40" w:rsidP="00DD3AF3">
            <w:pPr>
              <w:pStyle w:val="Tablehead"/>
              <w:rPr>
                <w:b/>
                <w:bCs w:val="0"/>
                <w:lang w:val="ru-RU"/>
              </w:rPr>
            </w:pPr>
          </w:p>
        </w:tc>
        <w:tc>
          <w:tcPr>
            <w:tcW w:w="159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6E9D252" w14:textId="77777777" w:rsidR="00BF5F40" w:rsidRPr="00A66BD6" w:rsidRDefault="00BF5F40" w:rsidP="00DD3AF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2022 г.</w:t>
            </w:r>
          </w:p>
        </w:tc>
        <w:tc>
          <w:tcPr>
            <w:tcW w:w="159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365401" w14:textId="77777777" w:rsidR="00BF5F40" w:rsidRPr="00A66BD6" w:rsidRDefault="00BF5F40" w:rsidP="00DD3AF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2023 г.</w:t>
            </w:r>
          </w:p>
        </w:tc>
        <w:tc>
          <w:tcPr>
            <w:tcW w:w="159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417764" w14:textId="77777777" w:rsidR="00BF5F40" w:rsidRPr="00A66BD6" w:rsidRDefault="00BF5F40" w:rsidP="00DD3AF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2024 г.</w:t>
            </w:r>
          </w:p>
        </w:tc>
        <w:tc>
          <w:tcPr>
            <w:tcW w:w="1596" w:type="dxa"/>
            <w:tcBorders>
              <w:left w:val="single" w:sz="4" w:space="0" w:color="FFFFFF" w:themeColor="background1"/>
            </w:tcBorders>
          </w:tcPr>
          <w:p w14:paraId="688E06AD" w14:textId="77777777" w:rsidR="00BF5F40" w:rsidRPr="00A66BD6" w:rsidRDefault="00BF5F40" w:rsidP="00DD3AF3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2025 г.</w:t>
            </w:r>
          </w:p>
        </w:tc>
      </w:tr>
      <w:tr w:rsidR="002C7B92" w:rsidRPr="00A66BD6" w14:paraId="30D149C6" w14:textId="77777777" w:rsidTr="00024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279FDDF2" w14:textId="6F37F8DD" w:rsidR="00BF5F40" w:rsidRPr="00A66BD6" w:rsidRDefault="00BF5F40" w:rsidP="00DD3AF3">
            <w:pPr>
              <w:pStyle w:val="Tabletext"/>
            </w:pPr>
            <w:r w:rsidRPr="00A66BD6">
              <w:t>ИФИК БР (Международный информационный циркуляр по</w:t>
            </w:r>
            <w:r w:rsidR="00DD3AF3" w:rsidRPr="00A66BD6">
              <w:t> </w:t>
            </w:r>
            <w:r w:rsidRPr="00A66BD6">
              <w:t>частотам)</w:t>
            </w:r>
          </w:p>
        </w:tc>
        <w:tc>
          <w:tcPr>
            <w:tcW w:w="1596" w:type="dxa"/>
            <w:vAlign w:val="center"/>
          </w:tcPr>
          <w:p w14:paraId="3B124D0E" w14:textId="77777777" w:rsidR="00BF5F40" w:rsidRPr="00A66BD6" w:rsidRDefault="00BF5F40" w:rsidP="00DD3AF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26</w:t>
            </w:r>
          </w:p>
        </w:tc>
        <w:tc>
          <w:tcPr>
            <w:tcW w:w="1596" w:type="dxa"/>
            <w:vAlign w:val="center"/>
          </w:tcPr>
          <w:p w14:paraId="4822D825" w14:textId="77777777" w:rsidR="00BF5F40" w:rsidRPr="00A66BD6" w:rsidRDefault="00BF5F40" w:rsidP="00DD3AF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25</w:t>
            </w:r>
          </w:p>
        </w:tc>
        <w:tc>
          <w:tcPr>
            <w:tcW w:w="1596" w:type="dxa"/>
            <w:vAlign w:val="center"/>
          </w:tcPr>
          <w:p w14:paraId="7BCAD6E8" w14:textId="77777777" w:rsidR="00BF5F40" w:rsidRPr="00A66BD6" w:rsidRDefault="00BF5F40" w:rsidP="00DD3AF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25</w:t>
            </w:r>
          </w:p>
        </w:tc>
        <w:tc>
          <w:tcPr>
            <w:tcW w:w="1596" w:type="dxa"/>
            <w:vAlign w:val="center"/>
          </w:tcPr>
          <w:p w14:paraId="2FA38FD2" w14:textId="77777777" w:rsidR="00BF5F40" w:rsidRPr="00A66BD6" w:rsidRDefault="00BF5F40" w:rsidP="00DD3AF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25</w:t>
            </w:r>
          </w:p>
        </w:tc>
      </w:tr>
      <w:tr w:rsidR="002C7B92" w:rsidRPr="00A66BD6" w14:paraId="7D99220B" w14:textId="77777777" w:rsidTr="00024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68080CA4" w14:textId="77777777" w:rsidR="00BF5F40" w:rsidRPr="00A66BD6" w:rsidRDefault="00BF5F40" w:rsidP="00DD3AF3">
            <w:pPr>
              <w:pStyle w:val="Tabletext"/>
            </w:pPr>
            <w:r w:rsidRPr="00A66BD6">
              <w:t>Список IV (Список береговых станций и станций специальных служб)</w:t>
            </w:r>
          </w:p>
        </w:tc>
        <w:tc>
          <w:tcPr>
            <w:tcW w:w="1596" w:type="dxa"/>
            <w:vAlign w:val="center"/>
          </w:tcPr>
          <w:p w14:paraId="17D9D602" w14:textId="77777777" w:rsidR="00BF5F40" w:rsidRPr="00A66BD6" w:rsidRDefault="00BF5F40" w:rsidP="00DD3AF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  <w:vAlign w:val="center"/>
          </w:tcPr>
          <w:p w14:paraId="1AF3C9D2" w14:textId="77777777" w:rsidR="00BF5F40" w:rsidRPr="00A66BD6" w:rsidRDefault="00BF5F40" w:rsidP="00DD3AF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Издание 2023 г. (декабрь)</w:t>
            </w:r>
          </w:p>
        </w:tc>
        <w:tc>
          <w:tcPr>
            <w:tcW w:w="1596" w:type="dxa"/>
            <w:vAlign w:val="center"/>
          </w:tcPr>
          <w:p w14:paraId="15922E85" w14:textId="77777777" w:rsidR="00BF5F40" w:rsidRPr="00A66BD6" w:rsidRDefault="00BF5F40" w:rsidP="00DD3AF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  <w:vAlign w:val="center"/>
          </w:tcPr>
          <w:p w14:paraId="240F64C2" w14:textId="77777777" w:rsidR="00BF5F40" w:rsidRPr="00A66BD6" w:rsidRDefault="00BF5F40" w:rsidP="00DD3AF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Издание 2025 г. (ноябрь)</w:t>
            </w:r>
          </w:p>
        </w:tc>
      </w:tr>
      <w:tr w:rsidR="002C7B92" w:rsidRPr="00A66BD6" w14:paraId="3DEFE0B2" w14:textId="77777777" w:rsidTr="00024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76BBE958" w14:textId="77777777" w:rsidR="00BF5F40" w:rsidRPr="00A66BD6" w:rsidRDefault="00BF5F40" w:rsidP="00DD3AF3">
            <w:pPr>
              <w:pStyle w:val="Tabletext"/>
            </w:pPr>
            <w:r w:rsidRPr="00A66BD6">
              <w:t>Список V (Список судовых станций и присвоений опознавателей морской подвижной службы)</w:t>
            </w:r>
          </w:p>
        </w:tc>
        <w:tc>
          <w:tcPr>
            <w:tcW w:w="1596" w:type="dxa"/>
            <w:vAlign w:val="center"/>
          </w:tcPr>
          <w:p w14:paraId="21F3BDCC" w14:textId="77777777" w:rsidR="00BF5F40" w:rsidRPr="00A66BD6" w:rsidRDefault="00BF5F40" w:rsidP="00DD3AF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Издание 2022 г. (апрель)</w:t>
            </w:r>
          </w:p>
        </w:tc>
        <w:tc>
          <w:tcPr>
            <w:tcW w:w="1596" w:type="dxa"/>
            <w:vAlign w:val="center"/>
          </w:tcPr>
          <w:p w14:paraId="1EC4F315" w14:textId="77777777" w:rsidR="00BF5F40" w:rsidRPr="00A66BD6" w:rsidRDefault="00BF5F40" w:rsidP="00DD3AF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Издание 2023 г. (апрель)</w:t>
            </w:r>
          </w:p>
        </w:tc>
        <w:tc>
          <w:tcPr>
            <w:tcW w:w="1596" w:type="dxa"/>
            <w:vAlign w:val="center"/>
          </w:tcPr>
          <w:p w14:paraId="04AE3A69" w14:textId="77777777" w:rsidR="00BF5F40" w:rsidRPr="00A66BD6" w:rsidRDefault="00BF5F40" w:rsidP="00DD3AF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Издание 2024 г. (апрель)</w:t>
            </w:r>
          </w:p>
        </w:tc>
        <w:tc>
          <w:tcPr>
            <w:tcW w:w="1596" w:type="dxa"/>
            <w:vAlign w:val="center"/>
          </w:tcPr>
          <w:p w14:paraId="2B037017" w14:textId="77777777" w:rsidR="00BF5F40" w:rsidRPr="00A66BD6" w:rsidRDefault="00BF5F40" w:rsidP="00DD3AF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Bold" w:eastAsia="Times New Roman Bold" w:hAnsi="Times New Roman Bold" w:cs="Times New Roman Bold"/>
                <w:color w:val="212121"/>
              </w:rPr>
            </w:pPr>
            <w:r w:rsidRPr="00A66BD6">
              <w:t>Издание 2025 г. (апрель)</w:t>
            </w:r>
          </w:p>
        </w:tc>
      </w:tr>
      <w:tr w:rsidR="002C7B92" w:rsidRPr="00A66BD6" w14:paraId="2065D072" w14:textId="77777777" w:rsidTr="00024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68BEB4D" w14:textId="77777777" w:rsidR="00BF5F40" w:rsidRPr="00A66BD6" w:rsidRDefault="00BF5F40" w:rsidP="00DD3AF3">
            <w:pPr>
              <w:pStyle w:val="Tabletext"/>
            </w:pPr>
            <w:r w:rsidRPr="00A66BD6">
              <w:t>Список VIII (Список станций международного радиоконтроля)</w:t>
            </w:r>
          </w:p>
        </w:tc>
        <w:tc>
          <w:tcPr>
            <w:tcW w:w="1596" w:type="dxa"/>
            <w:vAlign w:val="center"/>
          </w:tcPr>
          <w:p w14:paraId="30CEAC42" w14:textId="77777777" w:rsidR="00BF5F40" w:rsidRPr="00A66BD6" w:rsidRDefault="00BF5F40" w:rsidP="00DD3AF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Издание 2022 г. (декабрь)</w:t>
            </w:r>
          </w:p>
        </w:tc>
        <w:tc>
          <w:tcPr>
            <w:tcW w:w="1596" w:type="dxa"/>
            <w:vAlign w:val="center"/>
          </w:tcPr>
          <w:p w14:paraId="03B33E2A" w14:textId="77777777" w:rsidR="00BF5F40" w:rsidRPr="00A66BD6" w:rsidRDefault="00BF5F40" w:rsidP="00DD3AF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  <w:vAlign w:val="center"/>
          </w:tcPr>
          <w:p w14:paraId="0E64911A" w14:textId="77777777" w:rsidR="00BF5F40" w:rsidRPr="00A66BD6" w:rsidRDefault="00BF5F40" w:rsidP="00DD3AF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6" w:type="dxa"/>
            <w:vAlign w:val="center"/>
          </w:tcPr>
          <w:p w14:paraId="431F3CA1" w14:textId="77777777" w:rsidR="00BF5F40" w:rsidRPr="00A66BD6" w:rsidRDefault="00BF5F40" w:rsidP="00DD3AF3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Издание 2025 г. (ноябрь)</w:t>
            </w:r>
          </w:p>
        </w:tc>
      </w:tr>
      <w:tr w:rsidR="002C7B92" w:rsidRPr="00A66BD6" w14:paraId="687CFB4C" w14:textId="77777777" w:rsidTr="00024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7CFA64BA" w14:textId="77777777" w:rsidR="00BF5F40" w:rsidRPr="00A66BD6" w:rsidRDefault="00BF5F40" w:rsidP="00DD3AF3">
            <w:pPr>
              <w:pStyle w:val="Tabletext"/>
            </w:pPr>
            <w:r w:rsidRPr="00A66BD6">
              <w:t>Руководство по морской службе</w:t>
            </w:r>
          </w:p>
        </w:tc>
        <w:tc>
          <w:tcPr>
            <w:tcW w:w="1596" w:type="dxa"/>
            <w:vAlign w:val="center"/>
          </w:tcPr>
          <w:p w14:paraId="2CF72011" w14:textId="77777777" w:rsidR="00BF5F40" w:rsidRPr="00A66BD6" w:rsidRDefault="00BF5F40" w:rsidP="00DD3AF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6" w:type="dxa"/>
            <w:vAlign w:val="center"/>
          </w:tcPr>
          <w:p w14:paraId="1F96069E" w14:textId="77777777" w:rsidR="00BF5F40" w:rsidRPr="00A66BD6" w:rsidRDefault="00BF5F40" w:rsidP="00DD3AF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6" w:type="dxa"/>
            <w:vAlign w:val="center"/>
          </w:tcPr>
          <w:p w14:paraId="59889817" w14:textId="77777777" w:rsidR="00BF5F40" w:rsidRPr="00A66BD6" w:rsidRDefault="00BF5F40" w:rsidP="00DD3AF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6" w:type="dxa"/>
            <w:vAlign w:val="center"/>
          </w:tcPr>
          <w:p w14:paraId="683F8923" w14:textId="77777777" w:rsidR="00BF5F40" w:rsidRPr="00A66BD6" w:rsidRDefault="00BF5F40" w:rsidP="00DD3AF3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Издание 2024 г. (декабрь)</w:t>
            </w:r>
          </w:p>
        </w:tc>
      </w:tr>
    </w:tbl>
    <w:p w14:paraId="25948DF6" w14:textId="77777777" w:rsidR="00BF5F40" w:rsidRPr="00A66BD6" w:rsidRDefault="00BF5F40" w:rsidP="00BF5F40">
      <w:pPr>
        <w:pStyle w:val="Heading3"/>
      </w:pPr>
      <w:bookmarkStart w:id="118" w:name="_Toc223379859"/>
      <w:bookmarkStart w:id="119" w:name="_Toc223957813"/>
      <w:bookmarkStart w:id="120" w:name="_Toc418163378"/>
      <w:bookmarkStart w:id="121" w:name="_Toc418232296"/>
      <w:bookmarkStart w:id="122" w:name="_Toc424047598"/>
      <w:bookmarkStart w:id="123" w:name="_Toc446060780"/>
      <w:r w:rsidRPr="00A66BD6">
        <w:rPr>
          <w:bCs/>
        </w:rPr>
        <w:t>8.1.3</w:t>
      </w:r>
      <w:r w:rsidRPr="00A66BD6">
        <w:tab/>
      </w:r>
      <w:r w:rsidRPr="00A66BD6">
        <w:rPr>
          <w:bCs/>
        </w:rPr>
        <w:t>Публикации исследовательских комиссий</w:t>
      </w:r>
      <w:bookmarkEnd w:id="118"/>
      <w:bookmarkEnd w:id="119"/>
    </w:p>
    <w:p w14:paraId="4F16DFDF" w14:textId="77777777" w:rsidR="00BF5F40" w:rsidRPr="00A66BD6" w:rsidRDefault="00BF5F40" w:rsidP="00BF5F40">
      <w:r w:rsidRPr="00A66BD6">
        <w:t>Подготовка публикаций исследовательских комиссий МСЭ-R продолжалась в соответствии с Резолюцией МСЭ-R 1.</w:t>
      </w:r>
    </w:p>
    <w:p w14:paraId="3B974F1F" w14:textId="77777777" w:rsidR="00BF5F40" w:rsidRPr="00A66BD6" w:rsidRDefault="00BF5F40" w:rsidP="00BF5F40">
      <w:r w:rsidRPr="00A66BD6">
        <w:t>Полный список утвержденных Вопросов МСЭ-R, Рекомендаций МСЭ-R и Отчетов МСЭ-R приведен в Дополнительном документе 1 к настоящему отчету.</w:t>
      </w:r>
    </w:p>
    <w:p w14:paraId="36C31B53" w14:textId="77777777" w:rsidR="00BF5F40" w:rsidRPr="00A66BD6" w:rsidRDefault="00BF5F40" w:rsidP="00BF5F40">
      <w:pPr>
        <w:pStyle w:val="Heading3"/>
      </w:pPr>
      <w:bookmarkStart w:id="124" w:name="_Toc424047599"/>
      <w:bookmarkStart w:id="125" w:name="_Toc446060781"/>
      <w:bookmarkStart w:id="126" w:name="_Toc223379860"/>
      <w:bookmarkStart w:id="127" w:name="_Toc223957814"/>
      <w:bookmarkEnd w:id="120"/>
      <w:bookmarkEnd w:id="121"/>
      <w:bookmarkEnd w:id="122"/>
      <w:bookmarkEnd w:id="123"/>
      <w:r w:rsidRPr="00A66BD6">
        <w:rPr>
          <w:bCs/>
        </w:rPr>
        <w:t>8.1.4</w:t>
      </w:r>
      <w:r w:rsidRPr="00A66BD6">
        <w:tab/>
      </w:r>
      <w:r w:rsidRPr="00A66BD6">
        <w:rPr>
          <w:bCs/>
        </w:rPr>
        <w:t>Загрузка и распространенные экземпляры публикаций МСЭ-R</w:t>
      </w:r>
      <w:bookmarkEnd w:id="124"/>
      <w:bookmarkEnd w:id="125"/>
      <w:bookmarkEnd w:id="126"/>
      <w:bookmarkEnd w:id="127"/>
    </w:p>
    <w:p w14:paraId="75FC086E" w14:textId="77777777" w:rsidR="00BF5F40" w:rsidRPr="00A66BD6" w:rsidRDefault="00BF5F40" w:rsidP="00BF5F40">
      <w:pPr>
        <w:pStyle w:val="Heading4"/>
      </w:pPr>
      <w:bookmarkStart w:id="128" w:name="_Toc424047600"/>
      <w:bookmarkStart w:id="129" w:name="_Toc446060782"/>
      <w:r w:rsidRPr="00A66BD6">
        <w:rPr>
          <w:bCs/>
        </w:rPr>
        <w:t>8.1.4.1</w:t>
      </w:r>
      <w:r w:rsidRPr="00A66BD6">
        <w:tab/>
      </w:r>
      <w:r w:rsidRPr="00A66BD6">
        <w:rPr>
          <w:bCs/>
        </w:rPr>
        <w:t>Регламент радиосвязи и Правила процедуры</w:t>
      </w:r>
      <w:r w:rsidRPr="00A66BD6">
        <w:t xml:space="preserve"> </w:t>
      </w:r>
    </w:p>
    <w:p w14:paraId="60DC5686" w14:textId="088748E2" w:rsidR="00BF5F40" w:rsidRPr="00A66BD6" w:rsidRDefault="00BF5F40" w:rsidP="00BF5F40">
      <w:r w:rsidRPr="00A66BD6">
        <w:t xml:space="preserve">В отношении этих нормативных документов в </w:t>
      </w:r>
      <w:r w:rsidR="00497FEF" w:rsidRPr="00A66BD6">
        <w:t xml:space="preserve">Таблице </w:t>
      </w:r>
      <w:r w:rsidRPr="00A66BD6">
        <w:t xml:space="preserve">8.1.4.1-1 приведено количество поставок изданий </w:t>
      </w:r>
      <w:hyperlink r:id="rId105" w:history="1">
        <w:r w:rsidRPr="00A66BD6">
          <w:rPr>
            <w:rStyle w:val="Hyperlink"/>
          </w:rPr>
          <w:t>РР-2020</w:t>
        </w:r>
      </w:hyperlink>
      <w:r w:rsidRPr="00A66BD6">
        <w:t xml:space="preserve"> и </w:t>
      </w:r>
      <w:hyperlink r:id="rId106" w:history="1">
        <w:r w:rsidRPr="00A66BD6">
          <w:rPr>
            <w:rStyle w:val="Hyperlink"/>
          </w:rPr>
          <w:t>РР-2024</w:t>
        </w:r>
      </w:hyperlink>
      <w:r w:rsidRPr="00A66BD6">
        <w:t xml:space="preserve">. </w:t>
      </w:r>
      <w:hyperlink r:id="rId107" w:history="1"/>
      <w:hyperlink r:id="rId108" w:history="1"/>
    </w:p>
    <w:p w14:paraId="7FF0488A" w14:textId="77777777" w:rsidR="00BF5F40" w:rsidRPr="00A66BD6" w:rsidRDefault="00BF5F40" w:rsidP="00BF5F40">
      <w:r w:rsidRPr="00A66BD6">
        <w:t>По просьбе КГР издания Регламента радиосвязи доступны для бесплатной загрузки с веб-сайта МСЭ в двух форматах – PDF и MS Word.</w:t>
      </w:r>
    </w:p>
    <w:p w14:paraId="401BCB9F" w14:textId="75F52EFC" w:rsidR="00BF5F40" w:rsidRPr="00A66BD6" w:rsidRDefault="00BF5F40" w:rsidP="00024AD8">
      <w:pPr>
        <w:pStyle w:val="TableNo"/>
        <w:spacing w:before="240"/>
        <w:rPr>
          <w:lang w:val="ru-RU"/>
        </w:rPr>
      </w:pPr>
      <w:r w:rsidRPr="00A66BD6">
        <w:rPr>
          <w:lang w:val="ru-RU"/>
        </w:rPr>
        <w:t>ТАБЛИЦА 8.1.4.1-1</w:t>
      </w:r>
    </w:p>
    <w:p w14:paraId="055F6569" w14:textId="77777777" w:rsidR="00BF5F40" w:rsidRPr="00A66BD6" w:rsidRDefault="00BF5F40" w:rsidP="00BF5F40">
      <w:pPr>
        <w:pStyle w:val="Tabletitle"/>
        <w:rPr>
          <w:lang w:val="ru-RU"/>
        </w:rPr>
      </w:pPr>
      <w:r w:rsidRPr="00A66BD6">
        <w:rPr>
          <w:lang w:val="ru-RU"/>
        </w:rPr>
        <w:t>Количество распространенных экземпляров Регламента радиосвязи</w:t>
      </w:r>
    </w:p>
    <w:tbl>
      <w:tblPr>
        <w:tblStyle w:val="GridTable5Dark-Accent11"/>
        <w:tblW w:w="96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844"/>
        <w:gridCol w:w="1844"/>
        <w:gridCol w:w="1844"/>
        <w:gridCol w:w="1845"/>
      </w:tblGrid>
      <w:tr w:rsidR="002C7B92" w:rsidRPr="00A66BD6" w14:paraId="1AB024E4" w14:textId="77777777" w:rsidTr="002C7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37C22E09" w14:textId="77777777" w:rsidR="00BF5F40" w:rsidRPr="00A66BD6" w:rsidRDefault="00BF5F40" w:rsidP="002C7B92">
            <w:pPr>
              <w:pStyle w:val="Tablehead"/>
              <w:rPr>
                <w:b/>
                <w:bCs w:val="0"/>
                <w:color w:val="FFFFFF" w:themeColor="background1"/>
                <w:lang w:val="ru-RU"/>
              </w:rPr>
            </w:pPr>
          </w:p>
        </w:tc>
        <w:tc>
          <w:tcPr>
            <w:tcW w:w="184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F6CCE49" w14:textId="60574DAB" w:rsidR="00BF5F40" w:rsidRPr="00A66BD6" w:rsidRDefault="00605989" w:rsidP="002C7B92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FFFFFF" w:themeColor="background1"/>
                <w:lang w:val="ru-RU"/>
              </w:rPr>
            </w:pPr>
            <w:r w:rsidRPr="00A66BD6">
              <w:rPr>
                <w:b/>
                <w:bCs w:val="0"/>
                <w:color w:val="FFFFFF" w:themeColor="background1"/>
                <w:lang w:val="ru-RU"/>
              </w:rPr>
              <w:t>ПК</w:t>
            </w:r>
            <w:r w:rsidR="00BF5F40" w:rsidRPr="00A66BD6">
              <w:rPr>
                <w:b/>
                <w:bCs w:val="0"/>
                <w:color w:val="FFFFFF" w:themeColor="background1"/>
                <w:lang w:val="ru-RU"/>
              </w:rPr>
              <w:t>-20, 2022 г.</w:t>
            </w:r>
          </w:p>
        </w:tc>
        <w:tc>
          <w:tcPr>
            <w:tcW w:w="184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C329724" w14:textId="66253283" w:rsidR="00BF5F40" w:rsidRPr="00A66BD6" w:rsidRDefault="00605989" w:rsidP="002C7B92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FFFFFF" w:themeColor="background1"/>
                <w:lang w:val="ru-RU"/>
              </w:rPr>
            </w:pPr>
            <w:r w:rsidRPr="00A66BD6">
              <w:rPr>
                <w:b/>
                <w:bCs w:val="0"/>
                <w:color w:val="FFFFFF" w:themeColor="background1"/>
                <w:lang w:val="ru-RU"/>
              </w:rPr>
              <w:t>ПК</w:t>
            </w:r>
            <w:r w:rsidR="00BF5F40" w:rsidRPr="00A66BD6">
              <w:rPr>
                <w:b/>
                <w:bCs w:val="0"/>
                <w:color w:val="FFFFFF" w:themeColor="background1"/>
                <w:lang w:val="ru-RU"/>
              </w:rPr>
              <w:t>-20, 2023 г.</w:t>
            </w:r>
          </w:p>
        </w:tc>
        <w:tc>
          <w:tcPr>
            <w:tcW w:w="184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EC780A2" w14:textId="1C502735" w:rsidR="00BF5F40" w:rsidRPr="00A66BD6" w:rsidRDefault="00605989" w:rsidP="002C7B92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FFFFFF" w:themeColor="background1"/>
                <w:lang w:val="ru-RU"/>
              </w:rPr>
            </w:pPr>
            <w:r w:rsidRPr="00A66BD6">
              <w:rPr>
                <w:b/>
                <w:bCs w:val="0"/>
                <w:color w:val="FFFFFF" w:themeColor="background1"/>
                <w:lang w:val="ru-RU"/>
              </w:rPr>
              <w:t>ПК</w:t>
            </w:r>
            <w:r w:rsidR="00BF5F40" w:rsidRPr="00A66BD6">
              <w:rPr>
                <w:b/>
                <w:bCs w:val="0"/>
                <w:color w:val="FFFFFF" w:themeColor="background1"/>
                <w:lang w:val="ru-RU"/>
              </w:rPr>
              <w:t xml:space="preserve">-20 и </w:t>
            </w:r>
            <w:r w:rsidRPr="00A66BD6">
              <w:rPr>
                <w:b/>
                <w:bCs w:val="0"/>
                <w:color w:val="FFFFFF" w:themeColor="background1"/>
                <w:lang w:val="ru-RU"/>
              </w:rPr>
              <w:t>ПК</w:t>
            </w:r>
            <w:r w:rsidR="00BF5F40" w:rsidRPr="00A66BD6">
              <w:rPr>
                <w:b/>
                <w:bCs w:val="0"/>
                <w:color w:val="FFFFFF" w:themeColor="background1"/>
                <w:lang w:val="ru-RU"/>
              </w:rPr>
              <w:t xml:space="preserve">-24, </w:t>
            </w:r>
            <w:r w:rsidR="002C7B92" w:rsidRPr="00A66BD6">
              <w:rPr>
                <w:b/>
                <w:bCs w:val="0"/>
                <w:color w:val="FFFFFF" w:themeColor="background1"/>
                <w:lang w:val="ru-RU"/>
              </w:rPr>
              <w:br/>
            </w:r>
            <w:r w:rsidR="00BF5F40" w:rsidRPr="00A66BD6">
              <w:rPr>
                <w:b/>
                <w:bCs w:val="0"/>
                <w:color w:val="FFFFFF" w:themeColor="background1"/>
                <w:lang w:val="ru-RU"/>
              </w:rPr>
              <w:t>2024 г.</w:t>
            </w:r>
          </w:p>
        </w:tc>
        <w:tc>
          <w:tcPr>
            <w:tcW w:w="184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CAD2D4F" w14:textId="379E25B7" w:rsidR="00BF5F40" w:rsidRPr="00A66BD6" w:rsidRDefault="00605989" w:rsidP="002C7B92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FFFFFF" w:themeColor="background1"/>
                <w:lang w:val="ru-RU"/>
              </w:rPr>
            </w:pPr>
            <w:r w:rsidRPr="00A66BD6">
              <w:rPr>
                <w:b/>
                <w:bCs w:val="0"/>
                <w:color w:val="FFFFFF" w:themeColor="background1"/>
                <w:lang w:val="ru-RU"/>
              </w:rPr>
              <w:t>ПК</w:t>
            </w:r>
            <w:r w:rsidR="00BF5F40" w:rsidRPr="00A66BD6">
              <w:rPr>
                <w:b/>
                <w:bCs w:val="0"/>
                <w:color w:val="FFFFFF" w:themeColor="background1"/>
                <w:lang w:val="ru-RU"/>
              </w:rPr>
              <w:t>-24, 2025 г.</w:t>
            </w:r>
          </w:p>
        </w:tc>
      </w:tr>
      <w:tr w:rsidR="002C7B92" w:rsidRPr="00A66BD6" w14:paraId="19A5BE62" w14:textId="77777777" w:rsidTr="002C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  <w:hideMark/>
          </w:tcPr>
          <w:p w14:paraId="7283F599" w14:textId="77777777" w:rsidR="00BF5F40" w:rsidRPr="00A66BD6" w:rsidRDefault="00BF5F40" w:rsidP="00605989">
            <w:pPr>
              <w:pStyle w:val="Tabletext"/>
            </w:pPr>
            <w:r w:rsidRPr="00A66BD6">
              <w:t>Продано печатных экземпляров</w:t>
            </w:r>
          </w:p>
        </w:tc>
        <w:tc>
          <w:tcPr>
            <w:tcW w:w="1844" w:type="dxa"/>
          </w:tcPr>
          <w:p w14:paraId="4B71E651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117</w:t>
            </w:r>
          </w:p>
        </w:tc>
        <w:tc>
          <w:tcPr>
            <w:tcW w:w="1844" w:type="dxa"/>
          </w:tcPr>
          <w:p w14:paraId="6B9D9574" w14:textId="3DBA6798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</w:t>
            </w:r>
            <w:r w:rsidR="00605989" w:rsidRPr="00A66BD6">
              <w:t xml:space="preserve"> </w:t>
            </w:r>
            <w:r w:rsidRPr="00A66BD6">
              <w:t>611</w:t>
            </w:r>
          </w:p>
        </w:tc>
        <w:tc>
          <w:tcPr>
            <w:tcW w:w="1844" w:type="dxa"/>
          </w:tcPr>
          <w:p w14:paraId="177B6FCA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2020 г.: 22</w:t>
            </w:r>
          </w:p>
          <w:p w14:paraId="757C5A8B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2024 г.: 231</w:t>
            </w:r>
          </w:p>
          <w:p w14:paraId="3EAA6F3F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Всего: 253</w:t>
            </w:r>
          </w:p>
        </w:tc>
        <w:tc>
          <w:tcPr>
            <w:tcW w:w="1845" w:type="dxa"/>
          </w:tcPr>
          <w:p w14:paraId="2B7A9B54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418</w:t>
            </w:r>
          </w:p>
        </w:tc>
      </w:tr>
      <w:tr w:rsidR="002C7B92" w:rsidRPr="00A66BD6" w14:paraId="37A83949" w14:textId="77777777" w:rsidTr="002C7B9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  <w:hideMark/>
          </w:tcPr>
          <w:p w14:paraId="0685796A" w14:textId="77777777" w:rsidR="00BF5F40" w:rsidRPr="00A66BD6" w:rsidRDefault="00BF5F40" w:rsidP="00605989">
            <w:pPr>
              <w:pStyle w:val="Tabletext"/>
            </w:pPr>
            <w:r w:rsidRPr="00A66BD6">
              <w:t>Продано DVD</w:t>
            </w:r>
          </w:p>
        </w:tc>
        <w:tc>
          <w:tcPr>
            <w:tcW w:w="1844" w:type="dxa"/>
          </w:tcPr>
          <w:p w14:paraId="498F99BF" w14:textId="332502C5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1</w:t>
            </w:r>
            <w:r w:rsidR="00605989" w:rsidRPr="00A66BD6">
              <w:t xml:space="preserve"> </w:t>
            </w:r>
            <w:r w:rsidRPr="00A66BD6">
              <w:t>638</w:t>
            </w:r>
          </w:p>
        </w:tc>
        <w:tc>
          <w:tcPr>
            <w:tcW w:w="1844" w:type="dxa"/>
          </w:tcPr>
          <w:p w14:paraId="2509FDBE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11 700</w:t>
            </w:r>
          </w:p>
        </w:tc>
        <w:tc>
          <w:tcPr>
            <w:tcW w:w="1844" w:type="dxa"/>
          </w:tcPr>
          <w:p w14:paraId="0B583533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2020 г.: 922</w:t>
            </w:r>
          </w:p>
          <w:p w14:paraId="51FD8A77" w14:textId="34FA83C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2024 г.: 3</w:t>
            </w:r>
            <w:r w:rsidR="002C7B92" w:rsidRPr="00A66BD6">
              <w:t xml:space="preserve"> </w:t>
            </w:r>
            <w:r w:rsidRPr="00A66BD6">
              <w:t>750</w:t>
            </w:r>
          </w:p>
          <w:p w14:paraId="06B5E621" w14:textId="099E423D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Всего: 4</w:t>
            </w:r>
            <w:r w:rsidR="002C7B92" w:rsidRPr="00A66BD6">
              <w:t xml:space="preserve"> </w:t>
            </w:r>
            <w:r w:rsidRPr="00A66BD6">
              <w:t>672</w:t>
            </w:r>
          </w:p>
        </w:tc>
        <w:tc>
          <w:tcPr>
            <w:tcW w:w="1845" w:type="dxa"/>
          </w:tcPr>
          <w:p w14:paraId="0B4A2CE0" w14:textId="7A7A37C5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4</w:t>
            </w:r>
            <w:r w:rsidR="00605989" w:rsidRPr="00A66BD6">
              <w:t xml:space="preserve"> </w:t>
            </w:r>
            <w:r w:rsidRPr="00A66BD6">
              <w:t>521</w:t>
            </w:r>
          </w:p>
        </w:tc>
      </w:tr>
      <w:tr w:rsidR="002C7B92" w:rsidRPr="00A66BD6" w14:paraId="3AB6D3F2" w14:textId="77777777" w:rsidTr="002C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</w:tcPr>
          <w:p w14:paraId="4BAA69EE" w14:textId="77777777" w:rsidR="00BF5F40" w:rsidRPr="00A66BD6" w:rsidRDefault="00BF5F40" w:rsidP="00605989">
            <w:pPr>
              <w:pStyle w:val="Tabletext"/>
            </w:pPr>
            <w:r w:rsidRPr="00A66BD6">
              <w:t>Продано USB</w:t>
            </w:r>
          </w:p>
        </w:tc>
        <w:tc>
          <w:tcPr>
            <w:tcW w:w="1844" w:type="dxa"/>
          </w:tcPr>
          <w:p w14:paraId="63AEA314" w14:textId="0E4A7B77" w:rsidR="00BF5F40" w:rsidRPr="00A66BD6" w:rsidRDefault="00605989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−</w:t>
            </w:r>
          </w:p>
        </w:tc>
        <w:tc>
          <w:tcPr>
            <w:tcW w:w="1844" w:type="dxa"/>
          </w:tcPr>
          <w:p w14:paraId="3DB32B61" w14:textId="7876A3E3" w:rsidR="00BF5F40" w:rsidRPr="00A66BD6" w:rsidRDefault="00605989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−</w:t>
            </w:r>
          </w:p>
        </w:tc>
        <w:tc>
          <w:tcPr>
            <w:tcW w:w="1844" w:type="dxa"/>
          </w:tcPr>
          <w:p w14:paraId="1D93FE69" w14:textId="7AFC1D3C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 xml:space="preserve">2020 г.: </w:t>
            </w:r>
            <w:r w:rsidR="002C7B92" w:rsidRPr="00A66BD6">
              <w:t>−</w:t>
            </w:r>
          </w:p>
          <w:p w14:paraId="5193B146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2024 г.: 3</w:t>
            </w:r>
          </w:p>
          <w:p w14:paraId="2A04ADF0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Всего: 3</w:t>
            </w:r>
          </w:p>
        </w:tc>
        <w:tc>
          <w:tcPr>
            <w:tcW w:w="1845" w:type="dxa"/>
          </w:tcPr>
          <w:p w14:paraId="10918C0F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662</w:t>
            </w:r>
          </w:p>
        </w:tc>
      </w:tr>
      <w:tr w:rsidR="002C7B92" w:rsidRPr="00A66BD6" w14:paraId="1D5003EF" w14:textId="77777777" w:rsidTr="002C7B9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  <w:bottom w:val="none" w:sz="0" w:space="0" w:color="auto"/>
            </w:tcBorders>
            <w:hideMark/>
          </w:tcPr>
          <w:p w14:paraId="12EDC31C" w14:textId="77777777" w:rsidR="00BF5F40" w:rsidRPr="00A66BD6" w:rsidRDefault="00BF5F40" w:rsidP="00605989">
            <w:pPr>
              <w:pStyle w:val="Tabletext"/>
            </w:pPr>
            <w:r w:rsidRPr="00A66BD6">
              <w:t>Бесплатные загрузки</w:t>
            </w:r>
          </w:p>
        </w:tc>
        <w:tc>
          <w:tcPr>
            <w:tcW w:w="1844" w:type="dxa"/>
          </w:tcPr>
          <w:p w14:paraId="4662B4A1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13 467</w:t>
            </w:r>
          </w:p>
        </w:tc>
        <w:tc>
          <w:tcPr>
            <w:tcW w:w="1844" w:type="dxa"/>
          </w:tcPr>
          <w:p w14:paraId="53B86BD0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42 439</w:t>
            </w:r>
          </w:p>
        </w:tc>
        <w:tc>
          <w:tcPr>
            <w:tcW w:w="1844" w:type="dxa"/>
          </w:tcPr>
          <w:p w14:paraId="650CF6E8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2020 г.: 29 537</w:t>
            </w:r>
          </w:p>
          <w:p w14:paraId="3D691526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2024 г.: 12 445</w:t>
            </w:r>
          </w:p>
          <w:p w14:paraId="035D17BE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Всего: 41 982</w:t>
            </w:r>
          </w:p>
        </w:tc>
        <w:tc>
          <w:tcPr>
            <w:tcW w:w="1845" w:type="dxa"/>
          </w:tcPr>
          <w:p w14:paraId="25648BB2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22 939</w:t>
            </w:r>
          </w:p>
        </w:tc>
      </w:tr>
    </w:tbl>
    <w:p w14:paraId="02316C76" w14:textId="77777777" w:rsidR="00BF5F40" w:rsidRPr="00A66BD6" w:rsidRDefault="00BF5F40" w:rsidP="00605989">
      <w:pPr>
        <w:pStyle w:val="Normalaftertitle"/>
      </w:pPr>
      <w:r w:rsidRPr="00A66BD6">
        <w:lastRenderedPageBreak/>
        <w:t>В Таблице 8.1.4.1-2 показано общее количество загрузок Правил процедуры (ПрП) за тот же период. В декабре 2025 года опубликовано наиболее свежее издание Правил процедуры с учетом решений ВКР-23. Впоследствии вышли шесть обновлений этого издания, ставшие результатом принятия новых и измененных Правил процедуры, утвержденных Радиорегламентарным комитетом.</w:t>
      </w:r>
    </w:p>
    <w:p w14:paraId="3D1A8ADD" w14:textId="77777777" w:rsidR="00BF5F40" w:rsidRPr="00A66BD6" w:rsidRDefault="00BF5F40" w:rsidP="00BF5F40">
      <w:pPr>
        <w:pStyle w:val="TableNo"/>
        <w:rPr>
          <w:lang w:val="ru-RU"/>
        </w:rPr>
      </w:pPr>
      <w:r w:rsidRPr="00A66BD6">
        <w:rPr>
          <w:lang w:val="ru-RU"/>
        </w:rPr>
        <w:t>ТАБЛИЦА 8.1.4.1-2</w:t>
      </w:r>
    </w:p>
    <w:p w14:paraId="3E4E0945" w14:textId="77777777" w:rsidR="00BF5F40" w:rsidRPr="00A66BD6" w:rsidRDefault="00BF5F40" w:rsidP="00BF5F40">
      <w:pPr>
        <w:pStyle w:val="Tabletitle"/>
        <w:rPr>
          <w:lang w:val="ru-RU"/>
        </w:rPr>
      </w:pPr>
      <w:r w:rsidRPr="00A66BD6">
        <w:rPr>
          <w:lang w:val="ru-RU"/>
        </w:rPr>
        <w:t>Правила процедуры (загрузки)</w:t>
      </w:r>
    </w:p>
    <w:tbl>
      <w:tblPr>
        <w:tblStyle w:val="-511"/>
        <w:tblW w:w="9593" w:type="dxa"/>
        <w:jc w:val="center"/>
        <w:tblLayout w:type="fixed"/>
        <w:tblLook w:val="04A0" w:firstRow="1" w:lastRow="0" w:firstColumn="1" w:lastColumn="0" w:noHBand="0" w:noVBand="1"/>
      </w:tblPr>
      <w:tblGrid>
        <w:gridCol w:w="2249"/>
        <w:gridCol w:w="1865"/>
        <w:gridCol w:w="1826"/>
        <w:gridCol w:w="1826"/>
        <w:gridCol w:w="1827"/>
      </w:tblGrid>
      <w:tr w:rsidR="00BF5F40" w:rsidRPr="00A66BD6" w14:paraId="6EB5CEC3" w14:textId="77777777" w:rsidTr="002C7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52C66366" w14:textId="77777777" w:rsidR="00BF5F40" w:rsidRPr="00A66BD6" w:rsidRDefault="00BF5F40" w:rsidP="002C7B92">
            <w:pPr>
              <w:pStyle w:val="Tablehead"/>
              <w:rPr>
                <w:b/>
                <w:bCs w:val="0"/>
                <w:lang w:val="ru-RU"/>
              </w:rPr>
            </w:pPr>
          </w:p>
        </w:tc>
        <w:tc>
          <w:tcPr>
            <w:tcW w:w="186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FE016E6" w14:textId="77777777" w:rsidR="00BF5F40" w:rsidRPr="00A66BD6" w:rsidRDefault="00BF5F40" w:rsidP="002C7B92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2022 г.</w:t>
            </w:r>
          </w:p>
        </w:tc>
        <w:tc>
          <w:tcPr>
            <w:tcW w:w="182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2DB3D09" w14:textId="77777777" w:rsidR="00BF5F40" w:rsidRPr="00A66BD6" w:rsidRDefault="00BF5F40" w:rsidP="002C7B92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2023 г.</w:t>
            </w:r>
          </w:p>
        </w:tc>
        <w:tc>
          <w:tcPr>
            <w:tcW w:w="182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FC1670C" w14:textId="77777777" w:rsidR="00BF5F40" w:rsidRPr="00A66BD6" w:rsidRDefault="00BF5F40" w:rsidP="002C7B92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2024 г.</w:t>
            </w:r>
            <w:r w:rsidRPr="00A66BD6">
              <w:rPr>
                <w:lang w:val="ru-RU"/>
              </w:rPr>
              <w:t>*</w:t>
            </w:r>
          </w:p>
        </w:tc>
        <w:tc>
          <w:tcPr>
            <w:tcW w:w="182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99B1D0A" w14:textId="77777777" w:rsidR="00BF5F40" w:rsidRPr="00A66BD6" w:rsidRDefault="00BF5F40" w:rsidP="002C7B92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2025 г.</w:t>
            </w:r>
            <w:r w:rsidRPr="00A66BD6">
              <w:rPr>
                <w:lang w:val="ru-RU"/>
              </w:rPr>
              <w:t>*</w:t>
            </w:r>
          </w:p>
        </w:tc>
      </w:tr>
      <w:tr w:rsidR="00BF5F40" w:rsidRPr="00A66BD6" w14:paraId="6CC4E4CE" w14:textId="77777777" w:rsidTr="002C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tcBorders>
              <w:left w:val="none" w:sz="0" w:space="0" w:color="auto"/>
              <w:bottom w:val="none" w:sz="0" w:space="0" w:color="auto"/>
            </w:tcBorders>
            <w:hideMark/>
          </w:tcPr>
          <w:p w14:paraId="4FCA0FA4" w14:textId="77777777" w:rsidR="00BF5F40" w:rsidRPr="00A66BD6" w:rsidRDefault="00BF5F40" w:rsidP="00605989">
            <w:pPr>
              <w:pStyle w:val="Tabletext"/>
              <w:rPr>
                <w:color w:val="auto"/>
              </w:rPr>
            </w:pPr>
            <w:r w:rsidRPr="00A66BD6">
              <w:t>ПрП (Правила процедуры)</w:t>
            </w:r>
          </w:p>
        </w:tc>
        <w:tc>
          <w:tcPr>
            <w:tcW w:w="1865" w:type="dxa"/>
            <w:vAlign w:val="center"/>
          </w:tcPr>
          <w:p w14:paraId="15C6E9B6" w14:textId="77777777" w:rsidR="00BF5F40" w:rsidRPr="00A66BD6" w:rsidRDefault="00BF5F40" w:rsidP="002C7B92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11 887</w:t>
            </w:r>
          </w:p>
        </w:tc>
        <w:tc>
          <w:tcPr>
            <w:tcW w:w="1826" w:type="dxa"/>
            <w:vAlign w:val="center"/>
          </w:tcPr>
          <w:p w14:paraId="0B00AA83" w14:textId="77777777" w:rsidR="00BF5F40" w:rsidRPr="00A66BD6" w:rsidRDefault="00BF5F40" w:rsidP="002C7B92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16 875</w:t>
            </w:r>
          </w:p>
        </w:tc>
        <w:tc>
          <w:tcPr>
            <w:tcW w:w="1826" w:type="dxa"/>
            <w:vAlign w:val="center"/>
          </w:tcPr>
          <w:p w14:paraId="339A0A54" w14:textId="77777777" w:rsidR="00BF5F40" w:rsidRPr="00A66BD6" w:rsidRDefault="00BF5F40" w:rsidP="002C7B92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14 510</w:t>
            </w:r>
          </w:p>
        </w:tc>
        <w:tc>
          <w:tcPr>
            <w:tcW w:w="1827" w:type="dxa"/>
            <w:vAlign w:val="center"/>
          </w:tcPr>
          <w:p w14:paraId="378B0ED5" w14:textId="77777777" w:rsidR="00BF5F40" w:rsidRPr="00A66BD6" w:rsidRDefault="00BF5F40" w:rsidP="002C7B92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17 140</w:t>
            </w:r>
          </w:p>
        </w:tc>
      </w:tr>
    </w:tbl>
    <w:p w14:paraId="588AB476" w14:textId="079C725A" w:rsidR="00BF5F40" w:rsidRPr="00A66BD6" w:rsidRDefault="00BF5F40" w:rsidP="002C7B92">
      <w:pPr>
        <w:tabs>
          <w:tab w:val="left" w:pos="284"/>
        </w:tabs>
        <w:ind w:left="284" w:hanging="284"/>
        <w:rPr>
          <w:sz w:val="20"/>
        </w:rPr>
      </w:pPr>
      <w:r w:rsidRPr="00A66BD6">
        <w:rPr>
          <w:sz w:val="20"/>
        </w:rPr>
        <w:t>*</w:t>
      </w:r>
      <w:r w:rsidR="002C7B92" w:rsidRPr="00A66BD6">
        <w:rPr>
          <w:sz w:val="20"/>
        </w:rPr>
        <w:tab/>
      </w:r>
      <w:r w:rsidRPr="00A66BD6">
        <w:rPr>
          <w:sz w:val="20"/>
        </w:rPr>
        <w:t xml:space="preserve">Значения за 2024 и 2025 годы включают все действующие ПрП независимо от загруженной версии. </w:t>
      </w:r>
    </w:p>
    <w:p w14:paraId="5C39F5FF" w14:textId="77777777" w:rsidR="00BF5F40" w:rsidRPr="00A66BD6" w:rsidRDefault="00BF5F40" w:rsidP="00BF5F40">
      <w:pPr>
        <w:pStyle w:val="Heading4"/>
      </w:pPr>
      <w:r w:rsidRPr="00A66BD6">
        <w:rPr>
          <w:bCs/>
        </w:rPr>
        <w:t>8.1.4.2</w:t>
      </w:r>
      <w:r w:rsidRPr="00A66BD6">
        <w:tab/>
      </w:r>
      <w:r w:rsidRPr="00A66BD6">
        <w:rPr>
          <w:bCs/>
        </w:rPr>
        <w:t>Рекомендации МСЭ-R</w:t>
      </w:r>
    </w:p>
    <w:p w14:paraId="369F1D64" w14:textId="77777777" w:rsidR="00BF5F40" w:rsidRPr="00A66BD6" w:rsidRDefault="00BF5F40" w:rsidP="00BF5F40">
      <w:r w:rsidRPr="00A66BD6">
        <w:t xml:space="preserve">Благодаря политике предоставления бесплатного онлайнового доступа Рекомендации МСЭ-R доступны для загрузки в любой части мира. С января 2022 года по декабрь 2025 года было зарегистрировано почти семь миллионов загрузок Рекомендаций МСЭ-R с веб-сайта МСЭ. </w:t>
      </w:r>
    </w:p>
    <w:p w14:paraId="1137526F" w14:textId="37C6CCDF" w:rsidR="00BF5F40" w:rsidRPr="00A66BD6" w:rsidRDefault="00BF5F40" w:rsidP="00BF5F40">
      <w:r w:rsidRPr="00A66BD6">
        <w:t xml:space="preserve">В </w:t>
      </w:r>
      <w:r w:rsidR="00497FEF" w:rsidRPr="00A66BD6">
        <w:t xml:space="preserve">Таблице </w:t>
      </w:r>
      <w:r w:rsidRPr="00A66BD6">
        <w:t>8.1.4.2-1 приведено их распределение по годам и сериям. Действующими являются 1208</w:t>
      </w:r>
      <w:r w:rsidR="002C7B92" w:rsidRPr="00A66BD6">
        <w:t> </w:t>
      </w:r>
      <w:r w:rsidRPr="00A66BD6">
        <w:t>Рекомендаций МСЭ-R.</w:t>
      </w:r>
    </w:p>
    <w:p w14:paraId="12621C48" w14:textId="5B64DCB0" w:rsidR="00BF5F40" w:rsidRPr="00A66BD6" w:rsidRDefault="00BF5F40" w:rsidP="00BF5F40">
      <w:pPr>
        <w:pStyle w:val="TableNo"/>
        <w:rPr>
          <w:lang w:val="ru-RU"/>
        </w:rPr>
      </w:pPr>
      <w:r w:rsidRPr="00A66BD6">
        <w:rPr>
          <w:lang w:val="ru-RU"/>
        </w:rPr>
        <w:t>ТАБЛИЦА 8.1.4.2-1</w:t>
      </w:r>
    </w:p>
    <w:p w14:paraId="58E3B339" w14:textId="77777777" w:rsidR="00BF5F40" w:rsidRPr="00A66BD6" w:rsidRDefault="00BF5F40" w:rsidP="00BF5F40">
      <w:pPr>
        <w:pStyle w:val="Tabletitle"/>
        <w:rPr>
          <w:lang w:val="ru-RU"/>
        </w:rPr>
      </w:pPr>
      <w:r w:rsidRPr="00A66BD6">
        <w:rPr>
          <w:bCs/>
          <w:lang w:val="ru-RU"/>
        </w:rPr>
        <w:t>Распределение Рекомендаций МСЭ-R (загрузки)</w:t>
      </w:r>
    </w:p>
    <w:tbl>
      <w:tblPr>
        <w:tblStyle w:val="-511"/>
        <w:tblW w:w="9635" w:type="dxa"/>
        <w:tblLayout w:type="fixed"/>
        <w:tblLook w:val="04A0" w:firstRow="1" w:lastRow="0" w:firstColumn="1" w:lastColumn="0" w:noHBand="0" w:noVBand="1"/>
      </w:tblPr>
      <w:tblGrid>
        <w:gridCol w:w="1271"/>
        <w:gridCol w:w="1394"/>
        <w:gridCol w:w="1394"/>
        <w:gridCol w:w="1394"/>
        <w:gridCol w:w="1394"/>
        <w:gridCol w:w="1394"/>
        <w:gridCol w:w="1394"/>
      </w:tblGrid>
      <w:tr w:rsidR="002C7B92" w:rsidRPr="00A66BD6" w14:paraId="35701960" w14:textId="77777777" w:rsidTr="00024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5F6CF9" w14:textId="77777777" w:rsidR="00BF5F40" w:rsidRPr="00A66BD6" w:rsidRDefault="00BF5F40" w:rsidP="00605989">
            <w:pPr>
              <w:pStyle w:val="Tablehead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СЕРИЯ</w:t>
            </w:r>
          </w:p>
        </w:tc>
        <w:tc>
          <w:tcPr>
            <w:tcW w:w="13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1E44914" w14:textId="77777777" w:rsidR="00BF5F40" w:rsidRPr="00A66BD6" w:rsidRDefault="00BF5F40" w:rsidP="0060598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2022 г.</w:t>
            </w:r>
          </w:p>
        </w:tc>
        <w:tc>
          <w:tcPr>
            <w:tcW w:w="13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D435B7" w14:textId="77777777" w:rsidR="00BF5F40" w:rsidRPr="00A66BD6" w:rsidRDefault="00BF5F40" w:rsidP="0060598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2023 г.</w:t>
            </w:r>
          </w:p>
        </w:tc>
        <w:tc>
          <w:tcPr>
            <w:tcW w:w="13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1DA930" w14:textId="77777777" w:rsidR="00BF5F40" w:rsidRPr="00A66BD6" w:rsidRDefault="00BF5F40" w:rsidP="0060598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2024 г.</w:t>
            </w:r>
          </w:p>
        </w:tc>
        <w:tc>
          <w:tcPr>
            <w:tcW w:w="13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F06C14" w14:textId="616BA9D2" w:rsidR="00BF5F40" w:rsidRPr="00A66BD6" w:rsidRDefault="00BF5F40" w:rsidP="0060598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2025 г.</w:t>
            </w:r>
            <w:r w:rsidRPr="00A66BD6">
              <w:rPr>
                <w:rStyle w:val="FootnoteReference"/>
                <w:sz w:val="20"/>
                <w:lang w:val="ru-RU"/>
              </w:rPr>
              <w:footnoteReference w:id="1"/>
            </w:r>
          </w:p>
        </w:tc>
        <w:tc>
          <w:tcPr>
            <w:tcW w:w="13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76F2CB6" w14:textId="77777777" w:rsidR="00BF5F40" w:rsidRPr="00A66BD6" w:rsidRDefault="00BF5F40" w:rsidP="0060598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ВСЕГО</w:t>
            </w:r>
          </w:p>
        </w:tc>
        <w:tc>
          <w:tcPr>
            <w:tcW w:w="13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12F5E5" w14:textId="77777777" w:rsidR="00BF5F40" w:rsidRPr="00A66BD6" w:rsidRDefault="00BF5F40" w:rsidP="0060598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%</w:t>
            </w:r>
          </w:p>
        </w:tc>
      </w:tr>
      <w:tr w:rsidR="002C7B92" w:rsidRPr="00A66BD6" w14:paraId="49C25234" w14:textId="77777777" w:rsidTr="002C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Mar>
              <w:left w:w="108" w:type="dxa"/>
              <w:right w:w="108" w:type="dxa"/>
            </w:tcMar>
            <w:vAlign w:val="bottom"/>
          </w:tcPr>
          <w:p w14:paraId="288A40C8" w14:textId="77777777" w:rsidR="00BF5F40" w:rsidRPr="00A66BD6" w:rsidRDefault="00BF5F40" w:rsidP="00605989">
            <w:pPr>
              <w:pStyle w:val="Tabletext"/>
            </w:pPr>
            <w:r w:rsidRPr="00A66BD6">
              <w:t>P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5AE40861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347 953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79225544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401 927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352DFE5A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425 058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408384DB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515 984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108CAE50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6BD6">
              <w:rPr>
                <w:b/>
              </w:rPr>
              <w:t>1 690 922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0007E3FF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23,71</w:t>
            </w:r>
          </w:p>
        </w:tc>
      </w:tr>
      <w:tr w:rsidR="002C7B92" w:rsidRPr="00A66BD6" w14:paraId="3071EA6A" w14:textId="77777777" w:rsidTr="002C7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Mar>
              <w:left w:w="108" w:type="dxa"/>
              <w:right w:w="108" w:type="dxa"/>
            </w:tcMar>
            <w:vAlign w:val="bottom"/>
          </w:tcPr>
          <w:p w14:paraId="3ED860F2" w14:textId="77777777" w:rsidR="00BF5F40" w:rsidRPr="00A66BD6" w:rsidRDefault="00BF5F40" w:rsidP="00605989">
            <w:pPr>
              <w:pStyle w:val="Tabletext"/>
            </w:pPr>
            <w:r w:rsidRPr="00A66BD6">
              <w:t>M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0E0BF30B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314 920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7B779947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355 079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3640200C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349 004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551A2B86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406 346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6804923D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66BD6">
              <w:rPr>
                <w:b/>
              </w:rPr>
              <w:t>1 425 349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126B10D8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19,98</w:t>
            </w:r>
          </w:p>
        </w:tc>
      </w:tr>
      <w:tr w:rsidR="002C7B92" w:rsidRPr="00A66BD6" w14:paraId="1F12544C" w14:textId="77777777" w:rsidTr="002C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Mar>
              <w:left w:w="108" w:type="dxa"/>
              <w:right w:w="108" w:type="dxa"/>
            </w:tcMar>
            <w:vAlign w:val="bottom"/>
          </w:tcPr>
          <w:p w14:paraId="1D3AA3F9" w14:textId="77777777" w:rsidR="00BF5F40" w:rsidRPr="00A66BD6" w:rsidRDefault="00BF5F40" w:rsidP="00605989">
            <w:pPr>
              <w:pStyle w:val="Tabletext"/>
            </w:pPr>
            <w:r w:rsidRPr="00A66BD6">
              <w:t>BT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6DB15B86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218 403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48111C3D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240 031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5375340A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237 839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525A4257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280 798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6BAFF438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6BD6">
              <w:rPr>
                <w:b/>
              </w:rPr>
              <w:t>977 071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583908C5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13,70</w:t>
            </w:r>
          </w:p>
        </w:tc>
      </w:tr>
      <w:tr w:rsidR="002C7B92" w:rsidRPr="00A66BD6" w14:paraId="2E5BD20F" w14:textId="77777777" w:rsidTr="002C7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Mar>
              <w:left w:w="108" w:type="dxa"/>
              <w:right w:w="108" w:type="dxa"/>
            </w:tcMar>
            <w:vAlign w:val="bottom"/>
          </w:tcPr>
          <w:p w14:paraId="1D389C36" w14:textId="77777777" w:rsidR="00BF5F40" w:rsidRPr="00A66BD6" w:rsidRDefault="00BF5F40" w:rsidP="00605989">
            <w:pPr>
              <w:pStyle w:val="Tabletext"/>
            </w:pPr>
            <w:r w:rsidRPr="00A66BD6">
              <w:t>SM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1FCD8ABA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169 755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2B4FC382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177 372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2E0C2613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166 663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231D6432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162 704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39999BF8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66BD6">
              <w:rPr>
                <w:b/>
              </w:rPr>
              <w:t>676 494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55014FB6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9,48</w:t>
            </w:r>
          </w:p>
        </w:tc>
      </w:tr>
      <w:tr w:rsidR="002C7B92" w:rsidRPr="00A66BD6" w14:paraId="4A2836B7" w14:textId="77777777" w:rsidTr="002C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Mar>
              <w:left w:w="108" w:type="dxa"/>
              <w:right w:w="108" w:type="dxa"/>
            </w:tcMar>
            <w:vAlign w:val="bottom"/>
          </w:tcPr>
          <w:p w14:paraId="1396543B" w14:textId="77777777" w:rsidR="00BF5F40" w:rsidRPr="00A66BD6" w:rsidRDefault="00BF5F40" w:rsidP="00605989">
            <w:pPr>
              <w:pStyle w:val="Tabletext"/>
            </w:pPr>
            <w:r w:rsidRPr="00A66BD6">
              <w:t>BS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092A198E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143 107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2F22FFF4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158 493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6CC20349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135 612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6A050AF1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164 454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5E81B077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6BD6">
              <w:rPr>
                <w:b/>
              </w:rPr>
              <w:t>601 666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305BBB2B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8,44</w:t>
            </w:r>
          </w:p>
        </w:tc>
      </w:tr>
      <w:tr w:rsidR="002C7B92" w:rsidRPr="00A66BD6" w14:paraId="5D8C36E4" w14:textId="77777777" w:rsidTr="002C7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Mar>
              <w:left w:w="108" w:type="dxa"/>
              <w:right w:w="108" w:type="dxa"/>
            </w:tcMar>
            <w:vAlign w:val="bottom"/>
          </w:tcPr>
          <w:p w14:paraId="03C7D902" w14:textId="77777777" w:rsidR="00BF5F40" w:rsidRPr="00A66BD6" w:rsidRDefault="00BF5F40" w:rsidP="00605989">
            <w:pPr>
              <w:pStyle w:val="Tabletext"/>
            </w:pPr>
            <w:r w:rsidRPr="00A66BD6">
              <w:t>F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24DCE2FE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116 539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48FCE5C4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139 580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29077296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123 807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1DC3AAED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140 302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7681160B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66BD6">
              <w:rPr>
                <w:b/>
              </w:rPr>
              <w:t>520 228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51379CEE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7,29</w:t>
            </w:r>
          </w:p>
        </w:tc>
      </w:tr>
      <w:tr w:rsidR="002C7B92" w:rsidRPr="00A66BD6" w14:paraId="09AA1B10" w14:textId="77777777" w:rsidTr="002C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Mar>
              <w:left w:w="108" w:type="dxa"/>
              <w:right w:w="108" w:type="dxa"/>
            </w:tcMar>
            <w:vAlign w:val="bottom"/>
          </w:tcPr>
          <w:p w14:paraId="6722C043" w14:textId="77777777" w:rsidR="00BF5F40" w:rsidRPr="00A66BD6" w:rsidRDefault="00BF5F40" w:rsidP="00605989">
            <w:pPr>
              <w:pStyle w:val="Tabletext"/>
            </w:pPr>
            <w:r w:rsidRPr="00A66BD6">
              <w:t>S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3B36B8B6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87 801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3D58E6F3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105 480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16A0C109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110 982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301A380F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127 958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78E55D5B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6BD6">
              <w:rPr>
                <w:b/>
              </w:rPr>
              <w:t>432 221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123B57F5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6,06</w:t>
            </w:r>
          </w:p>
        </w:tc>
      </w:tr>
      <w:tr w:rsidR="002C7B92" w:rsidRPr="00A66BD6" w14:paraId="2BDD848E" w14:textId="77777777" w:rsidTr="002C7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Mar>
              <w:left w:w="108" w:type="dxa"/>
              <w:right w:w="108" w:type="dxa"/>
            </w:tcMar>
            <w:vAlign w:val="bottom"/>
          </w:tcPr>
          <w:p w14:paraId="5DDCEC1C" w14:textId="77777777" w:rsidR="00BF5F40" w:rsidRPr="00A66BD6" w:rsidRDefault="00BF5F40" w:rsidP="00605989">
            <w:pPr>
              <w:pStyle w:val="Tabletext"/>
            </w:pPr>
            <w:r w:rsidRPr="00A66BD6">
              <w:t>SA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7F5AC9F5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33 274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5902A966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46 373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56298F63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49 133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136EA0EF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59 690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1620ADBE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66BD6">
              <w:rPr>
                <w:b/>
              </w:rPr>
              <w:t>188 470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7EB61F59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2,64</w:t>
            </w:r>
          </w:p>
        </w:tc>
      </w:tr>
      <w:tr w:rsidR="002C7B92" w:rsidRPr="00A66BD6" w14:paraId="32769E4C" w14:textId="77777777" w:rsidTr="002C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Mar>
              <w:left w:w="108" w:type="dxa"/>
              <w:right w:w="108" w:type="dxa"/>
            </w:tcMar>
            <w:vAlign w:val="bottom"/>
          </w:tcPr>
          <w:p w14:paraId="6C3312BA" w14:textId="77777777" w:rsidR="00BF5F40" w:rsidRPr="00A66BD6" w:rsidRDefault="00BF5F40" w:rsidP="00605989">
            <w:pPr>
              <w:pStyle w:val="Tabletext"/>
            </w:pPr>
            <w:r w:rsidRPr="00A66BD6">
              <w:t>V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7E624CEC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44 707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1C2DF48B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39 508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2A0B473F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42 201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0DB9120F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40 586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0FF67895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6BD6">
              <w:rPr>
                <w:b/>
              </w:rPr>
              <w:t>167 002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7D7CA944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2,34</w:t>
            </w:r>
          </w:p>
        </w:tc>
      </w:tr>
      <w:tr w:rsidR="002C7B92" w:rsidRPr="00A66BD6" w14:paraId="6277019C" w14:textId="77777777" w:rsidTr="002C7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Mar>
              <w:left w:w="108" w:type="dxa"/>
              <w:right w:w="108" w:type="dxa"/>
            </w:tcMar>
            <w:vAlign w:val="bottom"/>
          </w:tcPr>
          <w:p w14:paraId="0BA3A88C" w14:textId="77777777" w:rsidR="00BF5F40" w:rsidRPr="00A66BD6" w:rsidRDefault="00BF5F40" w:rsidP="00605989">
            <w:pPr>
              <w:pStyle w:val="Tabletext"/>
            </w:pPr>
            <w:r w:rsidRPr="00A66BD6">
              <w:t>RS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2085BBA8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19 350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457CE9BB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24 932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641F92A2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27 680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2A4939AE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33 206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5636801B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66BD6">
              <w:rPr>
                <w:b/>
              </w:rPr>
              <w:t>105 168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03DD78FC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1,47</w:t>
            </w:r>
          </w:p>
        </w:tc>
      </w:tr>
      <w:tr w:rsidR="002C7B92" w:rsidRPr="00A66BD6" w14:paraId="39B99963" w14:textId="77777777" w:rsidTr="002C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Mar>
              <w:left w:w="108" w:type="dxa"/>
              <w:right w:w="108" w:type="dxa"/>
            </w:tcMar>
            <w:vAlign w:val="bottom"/>
          </w:tcPr>
          <w:p w14:paraId="0A85A201" w14:textId="77777777" w:rsidR="00BF5F40" w:rsidRPr="00A66BD6" w:rsidRDefault="00BF5F40" w:rsidP="00605989">
            <w:pPr>
              <w:pStyle w:val="Tabletext"/>
            </w:pPr>
            <w:r w:rsidRPr="00A66BD6">
              <w:t>BO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43A4BC28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16 489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21D3226D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22 760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3BDC658C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20 941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11307D4F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26 832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0C440430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6BD6">
              <w:rPr>
                <w:b/>
              </w:rPr>
              <w:t>87 022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286159AA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1,22</w:t>
            </w:r>
          </w:p>
        </w:tc>
      </w:tr>
      <w:tr w:rsidR="002C7B92" w:rsidRPr="00A66BD6" w14:paraId="3495ABB0" w14:textId="77777777" w:rsidTr="002C7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Mar>
              <w:left w:w="108" w:type="dxa"/>
              <w:right w:w="108" w:type="dxa"/>
            </w:tcMar>
            <w:vAlign w:val="bottom"/>
          </w:tcPr>
          <w:p w14:paraId="203E4182" w14:textId="77777777" w:rsidR="00BF5F40" w:rsidRPr="00A66BD6" w:rsidRDefault="00BF5F40" w:rsidP="00605989">
            <w:pPr>
              <w:pStyle w:val="Tabletext"/>
            </w:pPr>
            <w:r w:rsidRPr="00A66BD6">
              <w:t>TF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0F63EA34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18 211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071C756E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20 903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69D1BAB3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20 589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2DF458A5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25 014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11F96FD6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66BD6">
              <w:rPr>
                <w:b/>
              </w:rPr>
              <w:t>84 717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29441991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1,19</w:t>
            </w:r>
          </w:p>
        </w:tc>
      </w:tr>
      <w:tr w:rsidR="002C7B92" w:rsidRPr="00A66BD6" w14:paraId="05684E65" w14:textId="77777777" w:rsidTr="002C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Mar>
              <w:left w:w="108" w:type="dxa"/>
              <w:right w:w="108" w:type="dxa"/>
            </w:tcMar>
            <w:vAlign w:val="bottom"/>
          </w:tcPr>
          <w:p w14:paraId="6CE85ADF" w14:textId="77777777" w:rsidR="00BF5F40" w:rsidRPr="00A66BD6" w:rsidRDefault="00BF5F40" w:rsidP="00605989">
            <w:pPr>
              <w:pStyle w:val="Tabletext"/>
            </w:pPr>
            <w:r w:rsidRPr="00A66BD6">
              <w:t>SF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28F31858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13 102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10F9C136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15 980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5875F4E8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14 142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40413C47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15 486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21B23B06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6BD6">
              <w:rPr>
                <w:b/>
              </w:rPr>
              <w:t>58 710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4D8F16BE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0,82</w:t>
            </w:r>
          </w:p>
        </w:tc>
      </w:tr>
      <w:tr w:rsidR="002C7B92" w:rsidRPr="00A66BD6" w14:paraId="14BB7816" w14:textId="77777777" w:rsidTr="002C7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Mar>
              <w:left w:w="108" w:type="dxa"/>
              <w:right w:w="108" w:type="dxa"/>
            </w:tcMar>
            <w:vAlign w:val="bottom"/>
          </w:tcPr>
          <w:p w14:paraId="0D94243A" w14:textId="77777777" w:rsidR="00BF5F40" w:rsidRPr="00A66BD6" w:rsidRDefault="00BF5F40" w:rsidP="00605989">
            <w:pPr>
              <w:pStyle w:val="Tabletext"/>
            </w:pPr>
            <w:r w:rsidRPr="00A66BD6">
              <w:t>RA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073E8D01" w14:textId="6AC672BB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9</w:t>
            </w:r>
            <w:r w:rsidR="0054481D" w:rsidRPr="00A66BD6">
              <w:t xml:space="preserve"> </w:t>
            </w:r>
            <w:r w:rsidRPr="00A66BD6">
              <w:t>169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05B4213B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11 546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6A6B7AF2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13 260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38587DB1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19 700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35DAB8BB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66BD6">
              <w:rPr>
                <w:b/>
              </w:rPr>
              <w:t>53 675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22EDB813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0,75</w:t>
            </w:r>
          </w:p>
        </w:tc>
      </w:tr>
      <w:tr w:rsidR="002C7B92" w:rsidRPr="00A66BD6" w14:paraId="40BFD242" w14:textId="77777777" w:rsidTr="002C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Mar>
              <w:left w:w="108" w:type="dxa"/>
              <w:right w:w="108" w:type="dxa"/>
            </w:tcMar>
            <w:vAlign w:val="bottom"/>
          </w:tcPr>
          <w:p w14:paraId="76FAACE5" w14:textId="77777777" w:rsidR="00BF5F40" w:rsidRPr="00A66BD6" w:rsidRDefault="00BF5F40" w:rsidP="00605989">
            <w:pPr>
              <w:pStyle w:val="Tabletext"/>
            </w:pPr>
            <w:r w:rsidRPr="00A66BD6">
              <w:t>BR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09C7C348" w14:textId="5A2C6F03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9</w:t>
            </w:r>
            <w:r w:rsidR="0054481D" w:rsidRPr="00A66BD6">
              <w:t xml:space="preserve"> </w:t>
            </w:r>
            <w:r w:rsidRPr="00A66BD6">
              <w:t>838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4F9B5ED2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13 285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16918AF0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10 619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688BDB32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13 494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58650E57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6BD6">
              <w:rPr>
                <w:b/>
              </w:rPr>
              <w:t>47 236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37E3FF24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0,66</w:t>
            </w:r>
          </w:p>
        </w:tc>
      </w:tr>
      <w:tr w:rsidR="002C7B92" w:rsidRPr="00A66BD6" w14:paraId="3344D537" w14:textId="77777777" w:rsidTr="002C7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Mar>
              <w:left w:w="108" w:type="dxa"/>
              <w:right w:w="108" w:type="dxa"/>
            </w:tcMar>
            <w:vAlign w:val="bottom"/>
          </w:tcPr>
          <w:p w14:paraId="19F20113" w14:textId="77777777" w:rsidR="00BF5F40" w:rsidRPr="00A66BD6" w:rsidRDefault="00BF5F40" w:rsidP="00605989">
            <w:pPr>
              <w:pStyle w:val="Tabletext"/>
            </w:pPr>
            <w:r w:rsidRPr="00A66BD6">
              <w:lastRenderedPageBreak/>
              <w:t>SNG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741FFA3C" w14:textId="75ABA253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1</w:t>
            </w:r>
            <w:r w:rsidR="0054481D" w:rsidRPr="00A66BD6">
              <w:t xml:space="preserve"> </w:t>
            </w:r>
            <w:r w:rsidRPr="00A66BD6">
              <w:t>987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09CFC2D1" w14:textId="30071165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3</w:t>
            </w:r>
            <w:r w:rsidR="0054481D" w:rsidRPr="00A66BD6">
              <w:t xml:space="preserve"> </w:t>
            </w:r>
            <w:r w:rsidRPr="00A66BD6">
              <w:t>045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02717883" w14:textId="34326198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2</w:t>
            </w:r>
            <w:r w:rsidR="0054481D" w:rsidRPr="00A66BD6">
              <w:t xml:space="preserve"> </w:t>
            </w:r>
            <w:r w:rsidRPr="00A66BD6">
              <w:t>673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5628EFFD" w14:textId="0BD6C9C1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3</w:t>
            </w:r>
            <w:r w:rsidR="0054481D" w:rsidRPr="00A66BD6">
              <w:t xml:space="preserve"> </w:t>
            </w:r>
            <w:r w:rsidRPr="00A66BD6">
              <w:t>110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7B8B91CE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66BD6">
              <w:rPr>
                <w:b/>
              </w:rPr>
              <w:t>10 815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346574F6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0,15</w:t>
            </w:r>
          </w:p>
        </w:tc>
      </w:tr>
      <w:tr w:rsidR="002C7B92" w:rsidRPr="00A66BD6" w14:paraId="1118CBD7" w14:textId="77777777" w:rsidTr="002C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Mar>
              <w:left w:w="108" w:type="dxa"/>
              <w:right w:w="108" w:type="dxa"/>
            </w:tcMar>
            <w:vAlign w:val="bottom"/>
          </w:tcPr>
          <w:p w14:paraId="72B45C45" w14:textId="77777777" w:rsidR="00BF5F40" w:rsidRPr="00A66BD6" w:rsidRDefault="00BF5F40" w:rsidP="00605989">
            <w:pPr>
              <w:pStyle w:val="Tabletext"/>
            </w:pPr>
            <w:r w:rsidRPr="00A66BD6">
              <w:t>IS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0C44B33D" w14:textId="547F3AFE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</w:t>
            </w:r>
            <w:r w:rsidR="0054481D" w:rsidRPr="00A66BD6">
              <w:t xml:space="preserve"> </w:t>
            </w:r>
            <w:r w:rsidRPr="00A66BD6">
              <w:t>203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429CDB7D" w14:textId="1A33117B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</w:t>
            </w:r>
            <w:r w:rsidR="0054481D" w:rsidRPr="00A66BD6">
              <w:t xml:space="preserve"> </w:t>
            </w:r>
            <w:r w:rsidRPr="00A66BD6">
              <w:t>416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169D2A52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997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266D5273" w14:textId="4A06BA2B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1</w:t>
            </w:r>
            <w:r w:rsidR="0054481D" w:rsidRPr="00A66BD6">
              <w:t xml:space="preserve"> </w:t>
            </w:r>
            <w:r w:rsidRPr="00A66BD6">
              <w:t>300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4B00C444" w14:textId="7F20E14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6BD6">
              <w:rPr>
                <w:b/>
              </w:rPr>
              <w:t>4</w:t>
            </w:r>
            <w:r w:rsidR="0054481D" w:rsidRPr="00A66BD6">
              <w:rPr>
                <w:b/>
              </w:rPr>
              <w:t xml:space="preserve"> </w:t>
            </w:r>
            <w:r w:rsidRPr="00A66BD6">
              <w:rPr>
                <w:b/>
              </w:rPr>
              <w:t>916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77765145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0,07</w:t>
            </w:r>
          </w:p>
        </w:tc>
      </w:tr>
      <w:tr w:rsidR="002C7B92" w:rsidRPr="00A66BD6" w14:paraId="58A89B36" w14:textId="77777777" w:rsidTr="002C7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Mar>
              <w:left w:w="108" w:type="dxa"/>
              <w:right w:w="108" w:type="dxa"/>
            </w:tcMar>
            <w:vAlign w:val="bottom"/>
          </w:tcPr>
          <w:p w14:paraId="7F50AFAC" w14:textId="77777777" w:rsidR="00BF5F40" w:rsidRPr="00A66BD6" w:rsidRDefault="00BF5F40" w:rsidP="00605989">
            <w:pPr>
              <w:pStyle w:val="Tabletext"/>
            </w:pPr>
            <w:r w:rsidRPr="00A66BD6">
              <w:t>PI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55705F01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143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52F99D94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288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4D1F060A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248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3A378E37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318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0057B2FE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66BD6">
              <w:rPr>
                <w:b/>
              </w:rPr>
              <w:t>997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3F7A7A0A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0,01</w:t>
            </w:r>
          </w:p>
        </w:tc>
      </w:tr>
      <w:tr w:rsidR="002C7B92" w:rsidRPr="00A66BD6" w14:paraId="69E09AA0" w14:textId="77777777" w:rsidTr="002C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Mar>
              <w:left w:w="108" w:type="dxa"/>
              <w:right w:w="108" w:type="dxa"/>
            </w:tcMar>
            <w:vAlign w:val="bottom"/>
          </w:tcPr>
          <w:p w14:paraId="57575D14" w14:textId="77777777" w:rsidR="00BF5F40" w:rsidRPr="00A66BD6" w:rsidRDefault="00BF5F40" w:rsidP="00605989">
            <w:pPr>
              <w:pStyle w:val="Tabletext"/>
            </w:pPr>
            <w:r w:rsidRPr="00A66BD6">
              <w:t>ВСЕГО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4D9AA8C6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66BD6">
              <w:rPr>
                <w:b/>
                <w:bCs/>
              </w:rPr>
              <w:t>1 565 951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41498BF8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66BD6">
              <w:rPr>
                <w:b/>
                <w:bCs/>
              </w:rPr>
              <w:t>1 777 998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3D8B9358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66BD6">
              <w:rPr>
                <w:b/>
                <w:bCs/>
              </w:rPr>
              <w:t>1 751 448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2EA0602D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66BD6">
              <w:rPr>
                <w:b/>
                <w:bCs/>
              </w:rPr>
              <w:t>2 037 282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59966395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6BD6">
              <w:rPr>
                <w:b/>
              </w:rPr>
              <w:t>7 132 679</w:t>
            </w:r>
          </w:p>
        </w:tc>
        <w:tc>
          <w:tcPr>
            <w:tcW w:w="1394" w:type="dxa"/>
            <w:tcMar>
              <w:left w:w="108" w:type="dxa"/>
              <w:right w:w="108" w:type="dxa"/>
            </w:tcMar>
            <w:vAlign w:val="bottom"/>
          </w:tcPr>
          <w:p w14:paraId="79771EAC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66BD6">
              <w:rPr>
                <w:b/>
                <w:bCs/>
              </w:rPr>
              <w:t>100,00</w:t>
            </w:r>
          </w:p>
        </w:tc>
      </w:tr>
    </w:tbl>
    <w:p w14:paraId="6898ECED" w14:textId="77777777" w:rsidR="00BF5F40" w:rsidRPr="00A66BD6" w:rsidRDefault="00BF5F40" w:rsidP="00BF5F40">
      <w:pPr>
        <w:pStyle w:val="Heading4"/>
      </w:pPr>
      <w:r w:rsidRPr="00A66BD6">
        <w:rPr>
          <w:bCs/>
        </w:rPr>
        <w:t>8.1.4.3</w:t>
      </w:r>
      <w:r w:rsidRPr="00A66BD6">
        <w:tab/>
      </w:r>
      <w:r w:rsidRPr="00A66BD6">
        <w:rPr>
          <w:bCs/>
        </w:rPr>
        <w:t>Отчеты МСЭ-R</w:t>
      </w:r>
    </w:p>
    <w:p w14:paraId="4DC62327" w14:textId="77777777" w:rsidR="00BF5F40" w:rsidRPr="00A66BD6" w:rsidRDefault="00BF5F40" w:rsidP="00BF5F40">
      <w:r w:rsidRPr="00A66BD6">
        <w:t xml:space="preserve">Как и Рекомендации МСЭ-R, Отчеты МСЭ-R распространяются во всем мире, охватывая большинство аудиторий и способствуя внедрению передовой технической практики в определенных аспектах радиосвязи. </w:t>
      </w:r>
    </w:p>
    <w:p w14:paraId="453F6DF4" w14:textId="5D3DE8D1" w:rsidR="00BF5F40" w:rsidRPr="00A66BD6" w:rsidRDefault="00BF5F40" w:rsidP="00BF5F40">
      <w:r w:rsidRPr="00A66BD6">
        <w:t xml:space="preserve">С января 2022 года по декабрь 2025 года было зарегистрировано более полутора миллионов загрузок Отчетов МСЭ-R с веб-сайта МСЭ. В </w:t>
      </w:r>
      <w:r w:rsidR="00497FEF" w:rsidRPr="00A66BD6">
        <w:t xml:space="preserve">Таблице </w:t>
      </w:r>
      <w:r w:rsidRPr="00A66BD6">
        <w:t>8.1.4.3-1 приведена краткая информация об их распределению по годам и сериям. Действующими являются 662 Отчета МСЭ-R.</w:t>
      </w:r>
    </w:p>
    <w:p w14:paraId="2D69FADD" w14:textId="14BBF4A4" w:rsidR="00BF5F40" w:rsidRPr="00A66BD6" w:rsidRDefault="00BF5F40" w:rsidP="00BF5F40">
      <w:pPr>
        <w:pStyle w:val="TableNo"/>
        <w:rPr>
          <w:lang w:val="ru-RU"/>
        </w:rPr>
      </w:pPr>
      <w:r w:rsidRPr="00A66BD6">
        <w:rPr>
          <w:lang w:val="ru-RU"/>
        </w:rPr>
        <w:t>ТАБЛИЦА 8.1.4.3-1</w:t>
      </w:r>
    </w:p>
    <w:p w14:paraId="55C9C63A" w14:textId="77777777" w:rsidR="00BF5F40" w:rsidRPr="00A66BD6" w:rsidRDefault="00BF5F40" w:rsidP="00BF5F40">
      <w:pPr>
        <w:pStyle w:val="Tabletitle"/>
        <w:rPr>
          <w:bCs/>
          <w:lang w:val="ru-RU"/>
        </w:rPr>
      </w:pPr>
      <w:r w:rsidRPr="00A66BD6">
        <w:rPr>
          <w:bCs/>
          <w:lang w:val="ru-RU"/>
        </w:rPr>
        <w:t>Распределение Отчетов МСЭ-R (загрузки)</w:t>
      </w:r>
    </w:p>
    <w:tbl>
      <w:tblPr>
        <w:tblStyle w:val="-511"/>
        <w:tblW w:w="9629" w:type="dxa"/>
        <w:tblLayout w:type="fixed"/>
        <w:tblLook w:val="04A0" w:firstRow="1" w:lastRow="0" w:firstColumn="1" w:lastColumn="0" w:noHBand="0" w:noVBand="1"/>
      </w:tblPr>
      <w:tblGrid>
        <w:gridCol w:w="1255"/>
        <w:gridCol w:w="1395"/>
        <w:gridCol w:w="1396"/>
        <w:gridCol w:w="1396"/>
        <w:gridCol w:w="1395"/>
        <w:gridCol w:w="1396"/>
        <w:gridCol w:w="1396"/>
      </w:tblGrid>
      <w:tr w:rsidR="002C7B92" w:rsidRPr="00A66BD6" w14:paraId="56BF3510" w14:textId="77777777" w:rsidTr="00AD5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bottom"/>
          </w:tcPr>
          <w:p w14:paraId="38C68606" w14:textId="77777777" w:rsidR="00BF5F40" w:rsidRPr="00A66BD6" w:rsidRDefault="00BF5F40" w:rsidP="00605989">
            <w:pPr>
              <w:pStyle w:val="Tablehead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СЕРИЯ</w:t>
            </w:r>
          </w:p>
        </w:tc>
        <w:tc>
          <w:tcPr>
            <w:tcW w:w="139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33105DAF" w14:textId="77777777" w:rsidR="00BF5F40" w:rsidRPr="00A66BD6" w:rsidRDefault="00BF5F40" w:rsidP="0060598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2022 г.</w:t>
            </w:r>
          </w:p>
        </w:tc>
        <w:tc>
          <w:tcPr>
            <w:tcW w:w="13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15E6E3AF" w14:textId="77777777" w:rsidR="00BF5F40" w:rsidRPr="00A66BD6" w:rsidRDefault="00BF5F40" w:rsidP="0060598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2023 г.</w:t>
            </w:r>
          </w:p>
        </w:tc>
        <w:tc>
          <w:tcPr>
            <w:tcW w:w="13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55B973A2" w14:textId="77777777" w:rsidR="00BF5F40" w:rsidRPr="00A66BD6" w:rsidRDefault="00BF5F40" w:rsidP="0060598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2024 г.</w:t>
            </w:r>
          </w:p>
        </w:tc>
        <w:tc>
          <w:tcPr>
            <w:tcW w:w="139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4695FD7F" w14:textId="5ADABE1B" w:rsidR="00BF5F40" w:rsidRPr="00A66BD6" w:rsidRDefault="00BF5F40" w:rsidP="0060598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2025 г.</w:t>
            </w:r>
            <w:r w:rsidRPr="00A66BD6">
              <w:rPr>
                <w:rStyle w:val="FootnoteReference"/>
                <w:lang w:val="ru-RU"/>
              </w:rPr>
              <w:t>1</w:t>
            </w:r>
          </w:p>
        </w:tc>
        <w:tc>
          <w:tcPr>
            <w:tcW w:w="13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bottom"/>
          </w:tcPr>
          <w:p w14:paraId="032ABD58" w14:textId="77777777" w:rsidR="00BF5F40" w:rsidRPr="00A66BD6" w:rsidRDefault="00BF5F40" w:rsidP="0060598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ВСЕГО</w:t>
            </w:r>
          </w:p>
        </w:tc>
        <w:tc>
          <w:tcPr>
            <w:tcW w:w="13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19AE8208" w14:textId="77777777" w:rsidR="00BF5F40" w:rsidRPr="00A66BD6" w:rsidRDefault="00BF5F40" w:rsidP="0060598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%</w:t>
            </w:r>
          </w:p>
        </w:tc>
      </w:tr>
      <w:tr w:rsidR="002C7B92" w:rsidRPr="00A66BD6" w14:paraId="54C61FA5" w14:textId="77777777" w:rsidTr="00AD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none" w:sz="0" w:space="0" w:color="auto"/>
            </w:tcBorders>
            <w:noWrap/>
            <w:vAlign w:val="bottom"/>
            <w:hideMark/>
          </w:tcPr>
          <w:p w14:paraId="00639496" w14:textId="77777777" w:rsidR="00BF5F40" w:rsidRPr="00A66BD6" w:rsidRDefault="00BF5F40" w:rsidP="00605989">
            <w:pPr>
              <w:pStyle w:val="Tabletext"/>
              <w:rPr>
                <w:rFonts w:eastAsia="Aptos Narrow"/>
              </w:rPr>
            </w:pPr>
            <w:r w:rsidRPr="00A66BD6">
              <w:t>SM</w:t>
            </w:r>
          </w:p>
        </w:tc>
        <w:tc>
          <w:tcPr>
            <w:tcW w:w="1395" w:type="dxa"/>
            <w:vAlign w:val="bottom"/>
          </w:tcPr>
          <w:p w14:paraId="0747F5F1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105 880</w:t>
            </w:r>
          </w:p>
        </w:tc>
        <w:tc>
          <w:tcPr>
            <w:tcW w:w="1396" w:type="dxa"/>
            <w:vAlign w:val="bottom"/>
          </w:tcPr>
          <w:p w14:paraId="6EB2E1E9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116 282</w:t>
            </w:r>
          </w:p>
        </w:tc>
        <w:tc>
          <w:tcPr>
            <w:tcW w:w="1396" w:type="dxa"/>
            <w:vAlign w:val="bottom"/>
          </w:tcPr>
          <w:p w14:paraId="5F919B2C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128 647</w:t>
            </w:r>
          </w:p>
        </w:tc>
        <w:tc>
          <w:tcPr>
            <w:tcW w:w="1395" w:type="dxa"/>
            <w:vAlign w:val="bottom"/>
          </w:tcPr>
          <w:p w14:paraId="6FFADB7F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140 290</w:t>
            </w:r>
          </w:p>
        </w:tc>
        <w:tc>
          <w:tcPr>
            <w:tcW w:w="1396" w:type="dxa"/>
            <w:noWrap/>
            <w:vAlign w:val="bottom"/>
          </w:tcPr>
          <w:p w14:paraId="05C3824A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b/>
                <w:bCs/>
                <w:color w:val="000000" w:themeColor="text1"/>
              </w:rPr>
            </w:pPr>
            <w:r w:rsidRPr="00A66BD6">
              <w:rPr>
                <w:b/>
                <w:bCs/>
              </w:rPr>
              <w:t>491 099</w:t>
            </w:r>
          </w:p>
        </w:tc>
        <w:tc>
          <w:tcPr>
            <w:tcW w:w="1396" w:type="dxa"/>
            <w:vAlign w:val="bottom"/>
          </w:tcPr>
          <w:p w14:paraId="3869FAC5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29,09</w:t>
            </w:r>
          </w:p>
        </w:tc>
      </w:tr>
      <w:tr w:rsidR="002C7B92" w:rsidRPr="00A66BD6" w14:paraId="2F86D8BF" w14:textId="77777777" w:rsidTr="00AD5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none" w:sz="0" w:space="0" w:color="auto"/>
            </w:tcBorders>
            <w:noWrap/>
            <w:vAlign w:val="bottom"/>
            <w:hideMark/>
          </w:tcPr>
          <w:p w14:paraId="4FB8F31A" w14:textId="77777777" w:rsidR="00BF5F40" w:rsidRPr="00A66BD6" w:rsidRDefault="00BF5F40" w:rsidP="00605989">
            <w:pPr>
              <w:pStyle w:val="Tabletext"/>
              <w:rPr>
                <w:rFonts w:eastAsia="Aptos Narrow"/>
              </w:rPr>
            </w:pPr>
            <w:r w:rsidRPr="00A66BD6">
              <w:t>M</w:t>
            </w:r>
          </w:p>
        </w:tc>
        <w:tc>
          <w:tcPr>
            <w:tcW w:w="1395" w:type="dxa"/>
            <w:vAlign w:val="bottom"/>
          </w:tcPr>
          <w:p w14:paraId="05531772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102 742</w:t>
            </w:r>
          </w:p>
        </w:tc>
        <w:tc>
          <w:tcPr>
            <w:tcW w:w="1396" w:type="dxa"/>
            <w:vAlign w:val="bottom"/>
          </w:tcPr>
          <w:p w14:paraId="5FB73293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121 622</w:t>
            </w:r>
          </w:p>
        </w:tc>
        <w:tc>
          <w:tcPr>
            <w:tcW w:w="1396" w:type="dxa"/>
            <w:vAlign w:val="bottom"/>
          </w:tcPr>
          <w:p w14:paraId="121C1A28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103 466</w:t>
            </w:r>
          </w:p>
        </w:tc>
        <w:tc>
          <w:tcPr>
            <w:tcW w:w="1395" w:type="dxa"/>
            <w:vAlign w:val="bottom"/>
          </w:tcPr>
          <w:p w14:paraId="5B242175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129 608</w:t>
            </w:r>
          </w:p>
        </w:tc>
        <w:tc>
          <w:tcPr>
            <w:tcW w:w="1396" w:type="dxa"/>
            <w:noWrap/>
            <w:vAlign w:val="bottom"/>
          </w:tcPr>
          <w:p w14:paraId="142476CC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b/>
                <w:bCs/>
                <w:color w:val="000000" w:themeColor="text1"/>
              </w:rPr>
            </w:pPr>
            <w:r w:rsidRPr="00A66BD6">
              <w:rPr>
                <w:b/>
                <w:bCs/>
              </w:rPr>
              <w:t>457 438</w:t>
            </w:r>
          </w:p>
        </w:tc>
        <w:tc>
          <w:tcPr>
            <w:tcW w:w="1396" w:type="dxa"/>
            <w:vAlign w:val="bottom"/>
          </w:tcPr>
          <w:p w14:paraId="55EE3C29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27,09</w:t>
            </w:r>
          </w:p>
        </w:tc>
      </w:tr>
      <w:tr w:rsidR="002C7B92" w:rsidRPr="00A66BD6" w14:paraId="1816C0DB" w14:textId="77777777" w:rsidTr="00AD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none" w:sz="0" w:space="0" w:color="auto"/>
            </w:tcBorders>
            <w:noWrap/>
            <w:vAlign w:val="bottom"/>
            <w:hideMark/>
          </w:tcPr>
          <w:p w14:paraId="6335E7C8" w14:textId="77777777" w:rsidR="00BF5F40" w:rsidRPr="00A66BD6" w:rsidRDefault="00BF5F40" w:rsidP="00605989">
            <w:pPr>
              <w:pStyle w:val="Tabletext"/>
              <w:rPr>
                <w:rFonts w:eastAsia="Aptos Narrow"/>
              </w:rPr>
            </w:pPr>
            <w:r w:rsidRPr="00A66BD6">
              <w:t>BT</w:t>
            </w:r>
          </w:p>
        </w:tc>
        <w:tc>
          <w:tcPr>
            <w:tcW w:w="1395" w:type="dxa"/>
            <w:vAlign w:val="bottom"/>
          </w:tcPr>
          <w:p w14:paraId="2609E00A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76 421</w:t>
            </w:r>
          </w:p>
        </w:tc>
        <w:tc>
          <w:tcPr>
            <w:tcW w:w="1396" w:type="dxa"/>
            <w:vAlign w:val="bottom"/>
          </w:tcPr>
          <w:p w14:paraId="63E4A730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83 612</w:t>
            </w:r>
          </w:p>
        </w:tc>
        <w:tc>
          <w:tcPr>
            <w:tcW w:w="1396" w:type="dxa"/>
            <w:vAlign w:val="bottom"/>
          </w:tcPr>
          <w:p w14:paraId="55EEC82F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75 390</w:t>
            </w:r>
          </w:p>
        </w:tc>
        <w:tc>
          <w:tcPr>
            <w:tcW w:w="1395" w:type="dxa"/>
            <w:vAlign w:val="bottom"/>
          </w:tcPr>
          <w:p w14:paraId="4482948E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105 962</w:t>
            </w:r>
          </w:p>
        </w:tc>
        <w:tc>
          <w:tcPr>
            <w:tcW w:w="1396" w:type="dxa"/>
            <w:noWrap/>
            <w:vAlign w:val="bottom"/>
          </w:tcPr>
          <w:p w14:paraId="6089F17D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b/>
                <w:bCs/>
                <w:color w:val="000000" w:themeColor="text1"/>
              </w:rPr>
            </w:pPr>
            <w:r w:rsidRPr="00A66BD6">
              <w:rPr>
                <w:b/>
                <w:bCs/>
              </w:rPr>
              <w:t>341 385</w:t>
            </w:r>
          </w:p>
        </w:tc>
        <w:tc>
          <w:tcPr>
            <w:tcW w:w="1396" w:type="dxa"/>
            <w:vAlign w:val="bottom"/>
          </w:tcPr>
          <w:p w14:paraId="27022373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20,22</w:t>
            </w:r>
          </w:p>
        </w:tc>
      </w:tr>
      <w:tr w:rsidR="002C7B92" w:rsidRPr="00A66BD6" w14:paraId="24FBD589" w14:textId="77777777" w:rsidTr="00AD5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none" w:sz="0" w:space="0" w:color="auto"/>
            </w:tcBorders>
            <w:noWrap/>
            <w:vAlign w:val="bottom"/>
            <w:hideMark/>
          </w:tcPr>
          <w:p w14:paraId="3BF14F60" w14:textId="77777777" w:rsidR="00BF5F40" w:rsidRPr="00A66BD6" w:rsidRDefault="00BF5F40" w:rsidP="00605989">
            <w:pPr>
              <w:pStyle w:val="Tabletext"/>
              <w:rPr>
                <w:rFonts w:eastAsia="Aptos Narrow"/>
              </w:rPr>
            </w:pPr>
            <w:r w:rsidRPr="00A66BD6">
              <w:t>BS</w:t>
            </w:r>
          </w:p>
        </w:tc>
        <w:tc>
          <w:tcPr>
            <w:tcW w:w="1395" w:type="dxa"/>
            <w:vAlign w:val="bottom"/>
          </w:tcPr>
          <w:p w14:paraId="337EEA18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30 002</w:t>
            </w:r>
          </w:p>
        </w:tc>
        <w:tc>
          <w:tcPr>
            <w:tcW w:w="1396" w:type="dxa"/>
            <w:vAlign w:val="bottom"/>
          </w:tcPr>
          <w:p w14:paraId="26E77ADB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31 013</w:t>
            </w:r>
          </w:p>
        </w:tc>
        <w:tc>
          <w:tcPr>
            <w:tcW w:w="1396" w:type="dxa"/>
            <w:vAlign w:val="bottom"/>
          </w:tcPr>
          <w:p w14:paraId="1960D8C3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25 730</w:t>
            </w:r>
          </w:p>
        </w:tc>
        <w:tc>
          <w:tcPr>
            <w:tcW w:w="1395" w:type="dxa"/>
            <w:vAlign w:val="bottom"/>
          </w:tcPr>
          <w:p w14:paraId="336862F8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28 500</w:t>
            </w:r>
          </w:p>
        </w:tc>
        <w:tc>
          <w:tcPr>
            <w:tcW w:w="1396" w:type="dxa"/>
            <w:noWrap/>
            <w:vAlign w:val="bottom"/>
          </w:tcPr>
          <w:p w14:paraId="46A98B6D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b/>
                <w:bCs/>
                <w:color w:val="000000" w:themeColor="text1"/>
              </w:rPr>
            </w:pPr>
            <w:r w:rsidRPr="00A66BD6">
              <w:rPr>
                <w:b/>
                <w:bCs/>
              </w:rPr>
              <w:t>115 245</w:t>
            </w:r>
          </w:p>
        </w:tc>
        <w:tc>
          <w:tcPr>
            <w:tcW w:w="1396" w:type="dxa"/>
            <w:vAlign w:val="bottom"/>
          </w:tcPr>
          <w:p w14:paraId="7156AB70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6,83</w:t>
            </w:r>
          </w:p>
        </w:tc>
      </w:tr>
      <w:tr w:rsidR="002C7B92" w:rsidRPr="00A66BD6" w14:paraId="4C67EE15" w14:textId="77777777" w:rsidTr="00AD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none" w:sz="0" w:space="0" w:color="auto"/>
            </w:tcBorders>
            <w:noWrap/>
            <w:vAlign w:val="bottom"/>
            <w:hideMark/>
          </w:tcPr>
          <w:p w14:paraId="6C3BA755" w14:textId="77777777" w:rsidR="00BF5F40" w:rsidRPr="00A66BD6" w:rsidRDefault="00BF5F40" w:rsidP="00605989">
            <w:pPr>
              <w:pStyle w:val="Tabletext"/>
              <w:rPr>
                <w:rFonts w:eastAsia="Aptos Narrow"/>
              </w:rPr>
            </w:pPr>
            <w:r w:rsidRPr="00A66BD6">
              <w:t>P</w:t>
            </w:r>
          </w:p>
        </w:tc>
        <w:tc>
          <w:tcPr>
            <w:tcW w:w="1395" w:type="dxa"/>
            <w:vAlign w:val="bottom"/>
          </w:tcPr>
          <w:p w14:paraId="478F5B6B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15 647</w:t>
            </w:r>
          </w:p>
        </w:tc>
        <w:tc>
          <w:tcPr>
            <w:tcW w:w="1396" w:type="dxa"/>
            <w:vAlign w:val="bottom"/>
          </w:tcPr>
          <w:p w14:paraId="61B2F54E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15 536</w:t>
            </w:r>
          </w:p>
        </w:tc>
        <w:tc>
          <w:tcPr>
            <w:tcW w:w="1396" w:type="dxa"/>
            <w:vAlign w:val="bottom"/>
          </w:tcPr>
          <w:p w14:paraId="29799E95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13 740</w:t>
            </w:r>
          </w:p>
        </w:tc>
        <w:tc>
          <w:tcPr>
            <w:tcW w:w="1395" w:type="dxa"/>
            <w:vAlign w:val="bottom"/>
          </w:tcPr>
          <w:p w14:paraId="39C58D86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18 476</w:t>
            </w:r>
          </w:p>
        </w:tc>
        <w:tc>
          <w:tcPr>
            <w:tcW w:w="1396" w:type="dxa"/>
            <w:noWrap/>
            <w:vAlign w:val="bottom"/>
          </w:tcPr>
          <w:p w14:paraId="6AD32DE3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b/>
                <w:bCs/>
                <w:color w:val="000000" w:themeColor="text1"/>
              </w:rPr>
            </w:pPr>
            <w:r w:rsidRPr="00A66BD6">
              <w:rPr>
                <w:b/>
                <w:bCs/>
              </w:rPr>
              <w:t>63 399</w:t>
            </w:r>
          </w:p>
        </w:tc>
        <w:tc>
          <w:tcPr>
            <w:tcW w:w="1396" w:type="dxa"/>
            <w:vAlign w:val="bottom"/>
          </w:tcPr>
          <w:p w14:paraId="42943FFF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3,76</w:t>
            </w:r>
          </w:p>
        </w:tc>
      </w:tr>
      <w:tr w:rsidR="002C7B92" w:rsidRPr="00A66BD6" w14:paraId="00942F25" w14:textId="77777777" w:rsidTr="00AD5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none" w:sz="0" w:space="0" w:color="auto"/>
            </w:tcBorders>
            <w:noWrap/>
            <w:vAlign w:val="bottom"/>
            <w:hideMark/>
          </w:tcPr>
          <w:p w14:paraId="4A256A4E" w14:textId="77777777" w:rsidR="00BF5F40" w:rsidRPr="00A66BD6" w:rsidRDefault="00BF5F40" w:rsidP="00605989">
            <w:pPr>
              <w:pStyle w:val="Tabletext"/>
              <w:rPr>
                <w:rFonts w:eastAsia="Aptos Narrow"/>
              </w:rPr>
            </w:pPr>
            <w:r w:rsidRPr="00A66BD6">
              <w:t>BO</w:t>
            </w:r>
          </w:p>
        </w:tc>
        <w:tc>
          <w:tcPr>
            <w:tcW w:w="1395" w:type="dxa"/>
            <w:vAlign w:val="bottom"/>
          </w:tcPr>
          <w:p w14:paraId="186C018A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16 721</w:t>
            </w:r>
          </w:p>
        </w:tc>
        <w:tc>
          <w:tcPr>
            <w:tcW w:w="1396" w:type="dxa"/>
            <w:vAlign w:val="bottom"/>
          </w:tcPr>
          <w:p w14:paraId="0283BE63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16 993</w:t>
            </w:r>
          </w:p>
        </w:tc>
        <w:tc>
          <w:tcPr>
            <w:tcW w:w="1396" w:type="dxa"/>
            <w:vAlign w:val="bottom"/>
          </w:tcPr>
          <w:p w14:paraId="132B98BC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11 673</w:t>
            </w:r>
          </w:p>
        </w:tc>
        <w:tc>
          <w:tcPr>
            <w:tcW w:w="1395" w:type="dxa"/>
            <w:vAlign w:val="bottom"/>
          </w:tcPr>
          <w:p w14:paraId="0A8F23B1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9330</w:t>
            </w:r>
          </w:p>
        </w:tc>
        <w:tc>
          <w:tcPr>
            <w:tcW w:w="1396" w:type="dxa"/>
            <w:noWrap/>
            <w:vAlign w:val="bottom"/>
          </w:tcPr>
          <w:p w14:paraId="3058FB0B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b/>
                <w:bCs/>
                <w:color w:val="000000" w:themeColor="text1"/>
              </w:rPr>
            </w:pPr>
            <w:r w:rsidRPr="00A66BD6">
              <w:rPr>
                <w:b/>
                <w:bCs/>
              </w:rPr>
              <w:t>54 717</w:t>
            </w:r>
          </w:p>
        </w:tc>
        <w:tc>
          <w:tcPr>
            <w:tcW w:w="1396" w:type="dxa"/>
            <w:vAlign w:val="bottom"/>
          </w:tcPr>
          <w:p w14:paraId="60A3A23F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3,24</w:t>
            </w:r>
          </w:p>
        </w:tc>
      </w:tr>
      <w:tr w:rsidR="002C7B92" w:rsidRPr="00A66BD6" w14:paraId="146B8FFD" w14:textId="77777777" w:rsidTr="00AD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none" w:sz="0" w:space="0" w:color="auto"/>
            </w:tcBorders>
            <w:noWrap/>
            <w:vAlign w:val="bottom"/>
            <w:hideMark/>
          </w:tcPr>
          <w:p w14:paraId="4FE15344" w14:textId="77777777" w:rsidR="00BF5F40" w:rsidRPr="00A66BD6" w:rsidRDefault="00BF5F40" w:rsidP="00605989">
            <w:pPr>
              <w:pStyle w:val="Tabletext"/>
              <w:rPr>
                <w:rFonts w:eastAsia="Aptos Narrow"/>
              </w:rPr>
            </w:pPr>
            <w:r w:rsidRPr="00A66BD6">
              <w:t>F</w:t>
            </w:r>
          </w:p>
        </w:tc>
        <w:tc>
          <w:tcPr>
            <w:tcW w:w="1395" w:type="dxa"/>
            <w:vAlign w:val="bottom"/>
          </w:tcPr>
          <w:p w14:paraId="124433B8" w14:textId="6B33A505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8</w:t>
            </w:r>
            <w:r w:rsidR="0054481D" w:rsidRPr="00A66BD6">
              <w:t xml:space="preserve"> </w:t>
            </w:r>
            <w:r w:rsidRPr="00A66BD6">
              <w:t>623</w:t>
            </w:r>
          </w:p>
        </w:tc>
        <w:tc>
          <w:tcPr>
            <w:tcW w:w="1396" w:type="dxa"/>
            <w:vAlign w:val="bottom"/>
          </w:tcPr>
          <w:p w14:paraId="5D80DAE1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9397</w:t>
            </w:r>
          </w:p>
        </w:tc>
        <w:tc>
          <w:tcPr>
            <w:tcW w:w="1396" w:type="dxa"/>
            <w:vAlign w:val="bottom"/>
          </w:tcPr>
          <w:p w14:paraId="3359DD0E" w14:textId="65DEF70F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9</w:t>
            </w:r>
            <w:r w:rsidR="0054481D" w:rsidRPr="00A66BD6">
              <w:t xml:space="preserve"> </w:t>
            </w:r>
            <w:r w:rsidRPr="00A66BD6">
              <w:t>940</w:t>
            </w:r>
          </w:p>
        </w:tc>
        <w:tc>
          <w:tcPr>
            <w:tcW w:w="1395" w:type="dxa"/>
            <w:vAlign w:val="bottom"/>
          </w:tcPr>
          <w:p w14:paraId="19822A78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15 190</w:t>
            </w:r>
          </w:p>
        </w:tc>
        <w:tc>
          <w:tcPr>
            <w:tcW w:w="1396" w:type="dxa"/>
            <w:noWrap/>
            <w:vAlign w:val="bottom"/>
          </w:tcPr>
          <w:p w14:paraId="31A402E7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b/>
                <w:bCs/>
                <w:color w:val="000000" w:themeColor="text1"/>
              </w:rPr>
            </w:pPr>
            <w:r w:rsidRPr="00A66BD6">
              <w:rPr>
                <w:b/>
                <w:bCs/>
              </w:rPr>
              <w:t>43 150</w:t>
            </w:r>
          </w:p>
        </w:tc>
        <w:tc>
          <w:tcPr>
            <w:tcW w:w="1396" w:type="dxa"/>
            <w:vAlign w:val="bottom"/>
          </w:tcPr>
          <w:p w14:paraId="7C10326E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2,56</w:t>
            </w:r>
          </w:p>
        </w:tc>
      </w:tr>
      <w:tr w:rsidR="002C7B92" w:rsidRPr="00A66BD6" w14:paraId="24FE337E" w14:textId="77777777" w:rsidTr="00AD5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none" w:sz="0" w:space="0" w:color="auto"/>
            </w:tcBorders>
            <w:noWrap/>
            <w:vAlign w:val="bottom"/>
            <w:hideMark/>
          </w:tcPr>
          <w:p w14:paraId="7D7F9148" w14:textId="77777777" w:rsidR="00BF5F40" w:rsidRPr="00A66BD6" w:rsidRDefault="00BF5F40" w:rsidP="00605989">
            <w:pPr>
              <w:pStyle w:val="Tabletext"/>
              <w:rPr>
                <w:rFonts w:eastAsia="Aptos Narrow"/>
              </w:rPr>
            </w:pPr>
            <w:r w:rsidRPr="00A66BD6">
              <w:t>S</w:t>
            </w:r>
          </w:p>
        </w:tc>
        <w:tc>
          <w:tcPr>
            <w:tcW w:w="1395" w:type="dxa"/>
            <w:vAlign w:val="bottom"/>
          </w:tcPr>
          <w:p w14:paraId="21F57616" w14:textId="2B6F62F2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9</w:t>
            </w:r>
            <w:r w:rsidR="0054481D" w:rsidRPr="00A66BD6">
              <w:t xml:space="preserve"> </w:t>
            </w:r>
            <w:r w:rsidRPr="00A66BD6">
              <w:t>170</w:t>
            </w:r>
          </w:p>
        </w:tc>
        <w:tc>
          <w:tcPr>
            <w:tcW w:w="1396" w:type="dxa"/>
            <w:vAlign w:val="bottom"/>
          </w:tcPr>
          <w:p w14:paraId="60BFF871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10 174</w:t>
            </w:r>
          </w:p>
        </w:tc>
        <w:tc>
          <w:tcPr>
            <w:tcW w:w="1396" w:type="dxa"/>
            <w:vAlign w:val="bottom"/>
          </w:tcPr>
          <w:p w14:paraId="3FAAE7B5" w14:textId="35B8F076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8</w:t>
            </w:r>
            <w:r w:rsidR="0054481D" w:rsidRPr="00A66BD6">
              <w:t xml:space="preserve"> </w:t>
            </w:r>
            <w:r w:rsidRPr="00A66BD6">
              <w:t>220</w:t>
            </w:r>
          </w:p>
        </w:tc>
        <w:tc>
          <w:tcPr>
            <w:tcW w:w="1395" w:type="dxa"/>
            <w:vAlign w:val="bottom"/>
          </w:tcPr>
          <w:p w14:paraId="1A87F0BC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12 192</w:t>
            </w:r>
          </w:p>
        </w:tc>
        <w:tc>
          <w:tcPr>
            <w:tcW w:w="1396" w:type="dxa"/>
            <w:noWrap/>
            <w:vAlign w:val="bottom"/>
          </w:tcPr>
          <w:p w14:paraId="6C2B17F0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b/>
                <w:bCs/>
                <w:color w:val="000000" w:themeColor="text1"/>
              </w:rPr>
            </w:pPr>
            <w:r w:rsidRPr="00A66BD6">
              <w:rPr>
                <w:b/>
                <w:bCs/>
              </w:rPr>
              <w:t>39 756</w:t>
            </w:r>
          </w:p>
        </w:tc>
        <w:tc>
          <w:tcPr>
            <w:tcW w:w="1396" w:type="dxa"/>
            <w:vAlign w:val="bottom"/>
          </w:tcPr>
          <w:p w14:paraId="4C424281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2,35</w:t>
            </w:r>
          </w:p>
        </w:tc>
      </w:tr>
      <w:tr w:rsidR="002C7B92" w:rsidRPr="00A66BD6" w14:paraId="4E5BD0B8" w14:textId="77777777" w:rsidTr="00AD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none" w:sz="0" w:space="0" w:color="auto"/>
            </w:tcBorders>
            <w:noWrap/>
            <w:vAlign w:val="bottom"/>
            <w:hideMark/>
          </w:tcPr>
          <w:p w14:paraId="470A4070" w14:textId="77777777" w:rsidR="00BF5F40" w:rsidRPr="00A66BD6" w:rsidRDefault="00BF5F40" w:rsidP="00605989">
            <w:pPr>
              <w:pStyle w:val="Tabletext"/>
              <w:rPr>
                <w:rFonts w:eastAsia="Aptos Narrow"/>
              </w:rPr>
            </w:pPr>
            <w:r w:rsidRPr="00A66BD6">
              <w:t>SA</w:t>
            </w:r>
          </w:p>
        </w:tc>
        <w:tc>
          <w:tcPr>
            <w:tcW w:w="1395" w:type="dxa"/>
            <w:vAlign w:val="bottom"/>
          </w:tcPr>
          <w:p w14:paraId="6F56F674" w14:textId="374E991E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5</w:t>
            </w:r>
            <w:r w:rsidR="0054481D" w:rsidRPr="00A66BD6">
              <w:t xml:space="preserve"> </w:t>
            </w:r>
            <w:r w:rsidRPr="00A66BD6">
              <w:t>346</w:t>
            </w:r>
          </w:p>
        </w:tc>
        <w:tc>
          <w:tcPr>
            <w:tcW w:w="1396" w:type="dxa"/>
            <w:vAlign w:val="bottom"/>
          </w:tcPr>
          <w:p w14:paraId="7639C450" w14:textId="3A2E237B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6</w:t>
            </w:r>
            <w:r w:rsidR="0054481D" w:rsidRPr="00A66BD6">
              <w:t xml:space="preserve"> </w:t>
            </w:r>
            <w:r w:rsidRPr="00A66BD6">
              <w:t>856</w:t>
            </w:r>
          </w:p>
        </w:tc>
        <w:tc>
          <w:tcPr>
            <w:tcW w:w="1396" w:type="dxa"/>
            <w:vAlign w:val="bottom"/>
          </w:tcPr>
          <w:p w14:paraId="212D1ACA" w14:textId="12EDBBEE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6</w:t>
            </w:r>
            <w:r w:rsidR="0054481D" w:rsidRPr="00A66BD6">
              <w:t xml:space="preserve"> </w:t>
            </w:r>
            <w:r w:rsidRPr="00A66BD6">
              <w:t>584</w:t>
            </w:r>
          </w:p>
        </w:tc>
        <w:tc>
          <w:tcPr>
            <w:tcW w:w="1395" w:type="dxa"/>
            <w:vAlign w:val="bottom"/>
          </w:tcPr>
          <w:p w14:paraId="5A69763F" w14:textId="1E75673A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6</w:t>
            </w:r>
            <w:r w:rsidR="0054481D" w:rsidRPr="00A66BD6">
              <w:t xml:space="preserve"> </w:t>
            </w:r>
            <w:r w:rsidRPr="00A66BD6">
              <w:t>832</w:t>
            </w:r>
          </w:p>
        </w:tc>
        <w:tc>
          <w:tcPr>
            <w:tcW w:w="1396" w:type="dxa"/>
            <w:noWrap/>
            <w:vAlign w:val="bottom"/>
          </w:tcPr>
          <w:p w14:paraId="1AEA37F0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b/>
                <w:bCs/>
                <w:color w:val="000000" w:themeColor="text1"/>
              </w:rPr>
            </w:pPr>
            <w:r w:rsidRPr="00A66BD6">
              <w:rPr>
                <w:b/>
                <w:bCs/>
              </w:rPr>
              <w:t>25 618</w:t>
            </w:r>
          </w:p>
        </w:tc>
        <w:tc>
          <w:tcPr>
            <w:tcW w:w="1396" w:type="dxa"/>
            <w:vAlign w:val="bottom"/>
          </w:tcPr>
          <w:p w14:paraId="2670BEFE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1,52</w:t>
            </w:r>
          </w:p>
        </w:tc>
      </w:tr>
      <w:tr w:rsidR="002C7B92" w:rsidRPr="00A66BD6" w14:paraId="6C21D89C" w14:textId="77777777" w:rsidTr="00AD5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none" w:sz="0" w:space="0" w:color="auto"/>
            </w:tcBorders>
            <w:noWrap/>
            <w:vAlign w:val="bottom"/>
            <w:hideMark/>
          </w:tcPr>
          <w:p w14:paraId="3362F065" w14:textId="77777777" w:rsidR="00BF5F40" w:rsidRPr="00A66BD6" w:rsidRDefault="00BF5F40" w:rsidP="00605989">
            <w:pPr>
              <w:pStyle w:val="Tabletext"/>
              <w:rPr>
                <w:rFonts w:eastAsia="Aptos Narrow"/>
              </w:rPr>
            </w:pPr>
            <w:r w:rsidRPr="00A66BD6">
              <w:t>RA</w:t>
            </w:r>
          </w:p>
        </w:tc>
        <w:tc>
          <w:tcPr>
            <w:tcW w:w="1395" w:type="dxa"/>
            <w:vAlign w:val="bottom"/>
          </w:tcPr>
          <w:p w14:paraId="75AD2C74" w14:textId="5D54E7BE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4</w:t>
            </w:r>
            <w:r w:rsidR="0054481D" w:rsidRPr="00A66BD6">
              <w:t xml:space="preserve"> </w:t>
            </w:r>
            <w:r w:rsidRPr="00A66BD6">
              <w:t>840</w:t>
            </w:r>
          </w:p>
        </w:tc>
        <w:tc>
          <w:tcPr>
            <w:tcW w:w="1396" w:type="dxa"/>
            <w:vAlign w:val="bottom"/>
          </w:tcPr>
          <w:p w14:paraId="0F8F4F36" w14:textId="1713F0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6</w:t>
            </w:r>
            <w:r w:rsidR="0054481D" w:rsidRPr="00A66BD6">
              <w:t xml:space="preserve"> </w:t>
            </w:r>
            <w:r w:rsidRPr="00A66BD6">
              <w:t>463</w:t>
            </w:r>
          </w:p>
        </w:tc>
        <w:tc>
          <w:tcPr>
            <w:tcW w:w="1396" w:type="dxa"/>
            <w:vAlign w:val="bottom"/>
          </w:tcPr>
          <w:p w14:paraId="07DE81D8" w14:textId="454F63DD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6</w:t>
            </w:r>
            <w:r w:rsidR="0054481D" w:rsidRPr="00A66BD6">
              <w:t xml:space="preserve"> </w:t>
            </w:r>
            <w:r w:rsidRPr="00A66BD6">
              <w:t>208</w:t>
            </w:r>
          </w:p>
        </w:tc>
        <w:tc>
          <w:tcPr>
            <w:tcW w:w="1395" w:type="dxa"/>
            <w:vAlign w:val="bottom"/>
          </w:tcPr>
          <w:p w14:paraId="7E27E9EC" w14:textId="1905D1A6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9</w:t>
            </w:r>
            <w:r w:rsidR="0054481D" w:rsidRPr="00A66BD6">
              <w:t xml:space="preserve"> </w:t>
            </w:r>
            <w:r w:rsidRPr="00A66BD6">
              <w:t>272</w:t>
            </w:r>
          </w:p>
        </w:tc>
        <w:tc>
          <w:tcPr>
            <w:tcW w:w="1396" w:type="dxa"/>
            <w:noWrap/>
            <w:vAlign w:val="bottom"/>
          </w:tcPr>
          <w:p w14:paraId="5C45F440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b/>
                <w:bCs/>
                <w:color w:val="000000" w:themeColor="text1"/>
              </w:rPr>
            </w:pPr>
            <w:r w:rsidRPr="00A66BD6">
              <w:rPr>
                <w:b/>
                <w:bCs/>
              </w:rPr>
              <w:t>26 783</w:t>
            </w:r>
          </w:p>
        </w:tc>
        <w:tc>
          <w:tcPr>
            <w:tcW w:w="1396" w:type="dxa"/>
            <w:vAlign w:val="bottom"/>
          </w:tcPr>
          <w:p w14:paraId="02B81C49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1,59</w:t>
            </w:r>
          </w:p>
        </w:tc>
      </w:tr>
      <w:tr w:rsidR="002C7B92" w:rsidRPr="00A66BD6" w14:paraId="331265F7" w14:textId="77777777" w:rsidTr="00AD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none" w:sz="0" w:space="0" w:color="auto"/>
            </w:tcBorders>
            <w:noWrap/>
            <w:vAlign w:val="bottom"/>
            <w:hideMark/>
          </w:tcPr>
          <w:p w14:paraId="697FCC70" w14:textId="77777777" w:rsidR="00BF5F40" w:rsidRPr="00A66BD6" w:rsidRDefault="00BF5F40" w:rsidP="00605989">
            <w:pPr>
              <w:pStyle w:val="Tabletext"/>
              <w:rPr>
                <w:rFonts w:eastAsia="Aptos Narrow"/>
              </w:rPr>
            </w:pPr>
            <w:r w:rsidRPr="00A66BD6">
              <w:t>RS</w:t>
            </w:r>
          </w:p>
        </w:tc>
        <w:tc>
          <w:tcPr>
            <w:tcW w:w="1395" w:type="dxa"/>
            <w:vAlign w:val="bottom"/>
          </w:tcPr>
          <w:p w14:paraId="66D2C784" w14:textId="1D4B47AE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4</w:t>
            </w:r>
            <w:r w:rsidR="0054481D" w:rsidRPr="00A66BD6">
              <w:t xml:space="preserve"> </w:t>
            </w:r>
            <w:r w:rsidRPr="00A66BD6">
              <w:t>486</w:t>
            </w:r>
          </w:p>
        </w:tc>
        <w:tc>
          <w:tcPr>
            <w:tcW w:w="1396" w:type="dxa"/>
            <w:vAlign w:val="bottom"/>
          </w:tcPr>
          <w:p w14:paraId="3F3D0332" w14:textId="72FCC358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6</w:t>
            </w:r>
            <w:r w:rsidR="0054481D" w:rsidRPr="00A66BD6">
              <w:t xml:space="preserve"> </w:t>
            </w:r>
            <w:r w:rsidRPr="00A66BD6">
              <w:t>236</w:t>
            </w:r>
          </w:p>
        </w:tc>
        <w:tc>
          <w:tcPr>
            <w:tcW w:w="1396" w:type="dxa"/>
            <w:vAlign w:val="bottom"/>
          </w:tcPr>
          <w:p w14:paraId="22B072C0" w14:textId="11B6FD4A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6</w:t>
            </w:r>
            <w:r w:rsidR="0054481D" w:rsidRPr="00A66BD6">
              <w:t xml:space="preserve"> </w:t>
            </w:r>
            <w:r w:rsidRPr="00A66BD6">
              <w:t>745</w:t>
            </w:r>
          </w:p>
        </w:tc>
        <w:tc>
          <w:tcPr>
            <w:tcW w:w="1395" w:type="dxa"/>
            <w:vAlign w:val="bottom"/>
          </w:tcPr>
          <w:p w14:paraId="662F0491" w14:textId="0F487BEA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7</w:t>
            </w:r>
            <w:r w:rsidR="0054481D" w:rsidRPr="00A66BD6">
              <w:t xml:space="preserve"> </w:t>
            </w:r>
            <w:r w:rsidRPr="00A66BD6">
              <w:t>096</w:t>
            </w:r>
          </w:p>
        </w:tc>
        <w:tc>
          <w:tcPr>
            <w:tcW w:w="1396" w:type="dxa"/>
            <w:noWrap/>
            <w:vAlign w:val="bottom"/>
          </w:tcPr>
          <w:p w14:paraId="34CF2031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b/>
                <w:bCs/>
                <w:color w:val="000000" w:themeColor="text1"/>
              </w:rPr>
            </w:pPr>
            <w:r w:rsidRPr="00A66BD6">
              <w:rPr>
                <w:b/>
                <w:bCs/>
              </w:rPr>
              <w:t>24 563</w:t>
            </w:r>
          </w:p>
        </w:tc>
        <w:tc>
          <w:tcPr>
            <w:tcW w:w="1396" w:type="dxa"/>
            <w:vAlign w:val="bottom"/>
          </w:tcPr>
          <w:p w14:paraId="0912D8C3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1,45</w:t>
            </w:r>
          </w:p>
        </w:tc>
      </w:tr>
      <w:tr w:rsidR="002C7B92" w:rsidRPr="00A66BD6" w14:paraId="68F2F1DB" w14:textId="77777777" w:rsidTr="00AD5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none" w:sz="0" w:space="0" w:color="auto"/>
            </w:tcBorders>
            <w:noWrap/>
            <w:vAlign w:val="bottom"/>
            <w:hideMark/>
          </w:tcPr>
          <w:p w14:paraId="63DE8640" w14:textId="77777777" w:rsidR="00BF5F40" w:rsidRPr="00A66BD6" w:rsidRDefault="00BF5F40" w:rsidP="00605989">
            <w:pPr>
              <w:pStyle w:val="Tabletext"/>
              <w:rPr>
                <w:rFonts w:eastAsia="Aptos Narrow"/>
              </w:rPr>
            </w:pPr>
            <w:r w:rsidRPr="00A66BD6">
              <w:t>TF</w:t>
            </w:r>
          </w:p>
        </w:tc>
        <w:tc>
          <w:tcPr>
            <w:tcW w:w="1395" w:type="dxa"/>
            <w:vAlign w:val="bottom"/>
          </w:tcPr>
          <w:p w14:paraId="6AD13710" w14:textId="497F7812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466</w:t>
            </w:r>
          </w:p>
        </w:tc>
        <w:tc>
          <w:tcPr>
            <w:tcW w:w="1396" w:type="dxa"/>
            <w:vAlign w:val="bottom"/>
          </w:tcPr>
          <w:p w14:paraId="773A5DA4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948</w:t>
            </w:r>
          </w:p>
        </w:tc>
        <w:tc>
          <w:tcPr>
            <w:tcW w:w="1396" w:type="dxa"/>
            <w:vAlign w:val="bottom"/>
          </w:tcPr>
          <w:p w14:paraId="15274E19" w14:textId="341FB7DB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</w:t>
            </w:r>
            <w:r w:rsidR="0054481D" w:rsidRPr="00A66BD6">
              <w:t xml:space="preserve"> </w:t>
            </w:r>
            <w:r w:rsidRPr="00A66BD6">
              <w:t>017</w:t>
            </w:r>
          </w:p>
        </w:tc>
        <w:tc>
          <w:tcPr>
            <w:tcW w:w="1395" w:type="dxa"/>
            <w:vAlign w:val="bottom"/>
          </w:tcPr>
          <w:p w14:paraId="1FEBCFC1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960</w:t>
            </w:r>
          </w:p>
        </w:tc>
        <w:tc>
          <w:tcPr>
            <w:tcW w:w="1396" w:type="dxa"/>
            <w:noWrap/>
            <w:vAlign w:val="bottom"/>
          </w:tcPr>
          <w:p w14:paraId="348DDB35" w14:textId="68855F95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b/>
                <w:bCs/>
                <w:color w:val="000000" w:themeColor="text1"/>
              </w:rPr>
            </w:pPr>
            <w:r w:rsidRPr="00A66BD6">
              <w:rPr>
                <w:b/>
                <w:bCs/>
              </w:rPr>
              <w:t>3</w:t>
            </w:r>
            <w:r w:rsidR="0054481D" w:rsidRPr="00A66BD6">
              <w:rPr>
                <w:b/>
                <w:bCs/>
              </w:rPr>
              <w:t xml:space="preserve"> </w:t>
            </w:r>
            <w:r w:rsidRPr="00A66BD6">
              <w:rPr>
                <w:b/>
                <w:bCs/>
              </w:rPr>
              <w:t>391</w:t>
            </w:r>
          </w:p>
        </w:tc>
        <w:tc>
          <w:tcPr>
            <w:tcW w:w="1396" w:type="dxa"/>
            <w:vAlign w:val="bottom"/>
          </w:tcPr>
          <w:p w14:paraId="411F4DA8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0,20</w:t>
            </w:r>
          </w:p>
        </w:tc>
      </w:tr>
      <w:tr w:rsidR="002C7B92" w:rsidRPr="00A66BD6" w14:paraId="206CFB7B" w14:textId="77777777" w:rsidTr="00AD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none" w:sz="0" w:space="0" w:color="auto"/>
            </w:tcBorders>
            <w:noWrap/>
            <w:vAlign w:val="bottom"/>
            <w:hideMark/>
          </w:tcPr>
          <w:p w14:paraId="4B3557DE" w14:textId="77777777" w:rsidR="00BF5F40" w:rsidRPr="00A66BD6" w:rsidRDefault="00BF5F40" w:rsidP="00605989">
            <w:pPr>
              <w:pStyle w:val="Tabletext"/>
              <w:rPr>
                <w:rFonts w:eastAsia="Aptos Narrow"/>
              </w:rPr>
            </w:pPr>
            <w:r w:rsidRPr="00A66BD6">
              <w:t>SF</w:t>
            </w:r>
          </w:p>
        </w:tc>
        <w:tc>
          <w:tcPr>
            <w:tcW w:w="1395" w:type="dxa"/>
            <w:vAlign w:val="bottom"/>
          </w:tcPr>
          <w:p w14:paraId="5878BC69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326</w:t>
            </w:r>
          </w:p>
        </w:tc>
        <w:tc>
          <w:tcPr>
            <w:tcW w:w="1396" w:type="dxa"/>
            <w:vAlign w:val="bottom"/>
          </w:tcPr>
          <w:p w14:paraId="2AE0DD0A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345</w:t>
            </w:r>
          </w:p>
        </w:tc>
        <w:tc>
          <w:tcPr>
            <w:tcW w:w="1396" w:type="dxa"/>
            <w:vAlign w:val="bottom"/>
          </w:tcPr>
          <w:p w14:paraId="0F8C9AC2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269</w:t>
            </w:r>
          </w:p>
        </w:tc>
        <w:tc>
          <w:tcPr>
            <w:tcW w:w="1395" w:type="dxa"/>
            <w:vAlign w:val="bottom"/>
          </w:tcPr>
          <w:p w14:paraId="2019BAF4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438</w:t>
            </w:r>
          </w:p>
        </w:tc>
        <w:tc>
          <w:tcPr>
            <w:tcW w:w="1396" w:type="dxa"/>
            <w:noWrap/>
            <w:vAlign w:val="bottom"/>
          </w:tcPr>
          <w:p w14:paraId="1625D824" w14:textId="5FB0D8AE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b/>
                <w:bCs/>
                <w:color w:val="000000" w:themeColor="text1"/>
              </w:rPr>
            </w:pPr>
            <w:r w:rsidRPr="00A66BD6">
              <w:rPr>
                <w:b/>
                <w:bCs/>
              </w:rPr>
              <w:t>1</w:t>
            </w:r>
            <w:r w:rsidR="0054481D" w:rsidRPr="00A66BD6">
              <w:rPr>
                <w:b/>
                <w:bCs/>
              </w:rPr>
              <w:t xml:space="preserve"> </w:t>
            </w:r>
            <w:r w:rsidRPr="00A66BD6">
              <w:rPr>
                <w:b/>
                <w:bCs/>
              </w:rPr>
              <w:t>378</w:t>
            </w:r>
          </w:p>
        </w:tc>
        <w:tc>
          <w:tcPr>
            <w:tcW w:w="1396" w:type="dxa"/>
            <w:vAlign w:val="bottom"/>
          </w:tcPr>
          <w:p w14:paraId="44E1AB14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0,08</w:t>
            </w:r>
          </w:p>
        </w:tc>
      </w:tr>
      <w:tr w:rsidR="002C7B92" w:rsidRPr="00A66BD6" w14:paraId="12A0FA63" w14:textId="77777777" w:rsidTr="00AD5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none" w:sz="0" w:space="0" w:color="auto"/>
            </w:tcBorders>
            <w:noWrap/>
            <w:vAlign w:val="bottom"/>
          </w:tcPr>
          <w:p w14:paraId="0FF84FAA" w14:textId="77777777" w:rsidR="00BF5F40" w:rsidRPr="00A66BD6" w:rsidRDefault="00BF5F40" w:rsidP="00605989">
            <w:pPr>
              <w:pStyle w:val="Tabletext"/>
              <w:rPr>
                <w:rFonts w:eastAsia="Aptos Narrow"/>
              </w:rPr>
            </w:pPr>
            <w:r w:rsidRPr="00A66BD6">
              <w:t>BR</w:t>
            </w:r>
          </w:p>
        </w:tc>
        <w:tc>
          <w:tcPr>
            <w:tcW w:w="1395" w:type="dxa"/>
            <w:vAlign w:val="bottom"/>
          </w:tcPr>
          <w:p w14:paraId="4414E627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88</w:t>
            </w:r>
          </w:p>
        </w:tc>
        <w:tc>
          <w:tcPr>
            <w:tcW w:w="1396" w:type="dxa"/>
            <w:vAlign w:val="bottom"/>
          </w:tcPr>
          <w:p w14:paraId="70CE4540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97</w:t>
            </w:r>
          </w:p>
        </w:tc>
        <w:tc>
          <w:tcPr>
            <w:tcW w:w="1396" w:type="dxa"/>
            <w:vAlign w:val="bottom"/>
          </w:tcPr>
          <w:p w14:paraId="34439559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65</w:t>
            </w:r>
          </w:p>
        </w:tc>
        <w:tc>
          <w:tcPr>
            <w:tcW w:w="1395" w:type="dxa"/>
            <w:vAlign w:val="bottom"/>
          </w:tcPr>
          <w:p w14:paraId="1FC53CCB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118</w:t>
            </w:r>
          </w:p>
        </w:tc>
        <w:tc>
          <w:tcPr>
            <w:tcW w:w="1396" w:type="dxa"/>
            <w:noWrap/>
            <w:vAlign w:val="bottom"/>
          </w:tcPr>
          <w:p w14:paraId="6CB9F9D5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b/>
                <w:bCs/>
                <w:color w:val="000000" w:themeColor="text1"/>
              </w:rPr>
            </w:pPr>
            <w:r w:rsidRPr="00A66BD6">
              <w:rPr>
                <w:b/>
                <w:bCs/>
              </w:rPr>
              <w:t>368</w:t>
            </w:r>
          </w:p>
        </w:tc>
        <w:tc>
          <w:tcPr>
            <w:tcW w:w="1396" w:type="dxa"/>
            <w:vAlign w:val="bottom"/>
          </w:tcPr>
          <w:p w14:paraId="35B24229" w14:textId="77777777" w:rsidR="00BF5F40" w:rsidRPr="00A66BD6" w:rsidRDefault="00BF5F40" w:rsidP="00605989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/>
                <w:color w:val="000000" w:themeColor="text1"/>
              </w:rPr>
            </w:pPr>
            <w:r w:rsidRPr="00A66BD6">
              <w:t>0,02</w:t>
            </w:r>
          </w:p>
        </w:tc>
      </w:tr>
      <w:tr w:rsidR="002C7B92" w:rsidRPr="00A66BD6" w14:paraId="4C7D9236" w14:textId="77777777" w:rsidTr="00AD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none" w:sz="0" w:space="0" w:color="auto"/>
              <w:bottom w:val="none" w:sz="0" w:space="0" w:color="auto"/>
            </w:tcBorders>
            <w:noWrap/>
            <w:vAlign w:val="bottom"/>
            <w:hideMark/>
          </w:tcPr>
          <w:p w14:paraId="44B25320" w14:textId="77777777" w:rsidR="00BF5F40" w:rsidRPr="00A66BD6" w:rsidRDefault="00BF5F40" w:rsidP="00605989">
            <w:pPr>
              <w:pStyle w:val="Tabletext"/>
              <w:rPr>
                <w:rFonts w:eastAsia="Aptos Narrow"/>
              </w:rPr>
            </w:pPr>
            <w:r w:rsidRPr="00A66BD6">
              <w:t>ВСЕГО</w:t>
            </w:r>
          </w:p>
        </w:tc>
        <w:tc>
          <w:tcPr>
            <w:tcW w:w="1395" w:type="dxa"/>
            <w:vAlign w:val="bottom"/>
          </w:tcPr>
          <w:p w14:paraId="082BBE15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b/>
                <w:bCs/>
                <w:color w:val="000000" w:themeColor="text1"/>
              </w:rPr>
            </w:pPr>
            <w:r w:rsidRPr="00A66BD6">
              <w:rPr>
                <w:b/>
                <w:bCs/>
              </w:rPr>
              <w:t>380 758</w:t>
            </w:r>
          </w:p>
        </w:tc>
        <w:tc>
          <w:tcPr>
            <w:tcW w:w="1396" w:type="dxa"/>
            <w:vAlign w:val="bottom"/>
          </w:tcPr>
          <w:p w14:paraId="1127DBBC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b/>
                <w:bCs/>
                <w:color w:val="000000" w:themeColor="text1"/>
              </w:rPr>
            </w:pPr>
            <w:r w:rsidRPr="00A66BD6">
              <w:rPr>
                <w:b/>
                <w:bCs/>
              </w:rPr>
              <w:t>425 574</w:t>
            </w:r>
          </w:p>
        </w:tc>
        <w:tc>
          <w:tcPr>
            <w:tcW w:w="1396" w:type="dxa"/>
            <w:vAlign w:val="bottom"/>
          </w:tcPr>
          <w:p w14:paraId="4125864D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b/>
                <w:bCs/>
                <w:color w:val="000000" w:themeColor="text1"/>
              </w:rPr>
            </w:pPr>
            <w:r w:rsidRPr="00A66BD6">
              <w:rPr>
                <w:b/>
                <w:bCs/>
              </w:rPr>
              <w:t>397 694</w:t>
            </w:r>
          </w:p>
        </w:tc>
        <w:tc>
          <w:tcPr>
            <w:tcW w:w="1395" w:type="dxa"/>
            <w:vAlign w:val="bottom"/>
          </w:tcPr>
          <w:p w14:paraId="579E0AFE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b/>
                <w:bCs/>
                <w:color w:val="000000" w:themeColor="text1"/>
              </w:rPr>
            </w:pPr>
            <w:r w:rsidRPr="00A66BD6">
              <w:rPr>
                <w:b/>
                <w:bCs/>
              </w:rPr>
              <w:t>484 264</w:t>
            </w:r>
          </w:p>
        </w:tc>
        <w:tc>
          <w:tcPr>
            <w:tcW w:w="1396" w:type="dxa"/>
            <w:noWrap/>
            <w:vAlign w:val="bottom"/>
          </w:tcPr>
          <w:p w14:paraId="65189600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b/>
                <w:bCs/>
                <w:color w:val="000000" w:themeColor="text1"/>
              </w:rPr>
            </w:pPr>
            <w:r w:rsidRPr="00A66BD6">
              <w:rPr>
                <w:b/>
                <w:bCs/>
              </w:rPr>
              <w:t>1 688 290</w:t>
            </w:r>
          </w:p>
        </w:tc>
        <w:tc>
          <w:tcPr>
            <w:tcW w:w="1396" w:type="dxa"/>
            <w:vAlign w:val="bottom"/>
          </w:tcPr>
          <w:p w14:paraId="7B3F7522" w14:textId="77777777" w:rsidR="00BF5F40" w:rsidRPr="00A66BD6" w:rsidRDefault="00BF5F40" w:rsidP="00605989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 Narrow"/>
                <w:b/>
                <w:bCs/>
                <w:color w:val="000000" w:themeColor="text1"/>
              </w:rPr>
            </w:pPr>
            <w:r w:rsidRPr="00A66BD6">
              <w:rPr>
                <w:b/>
                <w:bCs/>
              </w:rPr>
              <w:t>100,00</w:t>
            </w:r>
          </w:p>
        </w:tc>
      </w:tr>
    </w:tbl>
    <w:p w14:paraId="085EFB03" w14:textId="77777777" w:rsidR="00BF5F40" w:rsidRPr="00A66BD6" w:rsidRDefault="00BF5F40" w:rsidP="00BF5F40">
      <w:pPr>
        <w:pStyle w:val="Heading4"/>
        <w:keepNext w:val="0"/>
        <w:keepLines w:val="0"/>
      </w:pPr>
      <w:r w:rsidRPr="00A66BD6">
        <w:rPr>
          <w:bCs/>
        </w:rPr>
        <w:t>8.1.4.4</w:t>
      </w:r>
      <w:r w:rsidRPr="00A66BD6">
        <w:tab/>
      </w:r>
      <w:r w:rsidRPr="00A66BD6">
        <w:rPr>
          <w:bCs/>
        </w:rPr>
        <w:t>Справочники</w:t>
      </w:r>
    </w:p>
    <w:p w14:paraId="3ED049F4" w14:textId="0C60C206" w:rsidR="00BF5F40" w:rsidRPr="00A66BD6" w:rsidRDefault="00BF5F40" w:rsidP="00BF5F40">
      <w:r w:rsidRPr="00A66BD6">
        <w:t xml:space="preserve">Справочники МСЭ-R также доступны для бесплатной загрузки на веб-сайте МСЭ. В период с 2022 по 2025 год было зарегистрировано почти полмиллиона загрузок. В </w:t>
      </w:r>
      <w:r w:rsidR="00497FEF" w:rsidRPr="00A66BD6">
        <w:t xml:space="preserve">Таблице </w:t>
      </w:r>
      <w:r w:rsidRPr="00A66BD6">
        <w:t xml:space="preserve">8.1.4.4-1 представлено распределение серии Справочников МСЭ-R по управлению использованием спектра, а также других проданных Справочников. </w:t>
      </w:r>
    </w:p>
    <w:p w14:paraId="57B1E164" w14:textId="77777777" w:rsidR="00BF5F40" w:rsidRPr="00A66BD6" w:rsidRDefault="00BF5F40" w:rsidP="00BF5F40">
      <w:r w:rsidRPr="00A66BD6">
        <w:t>В настоящее время на веб-сайте МСЭ опубликовано 48 Справочников МСЭ-R.</w:t>
      </w:r>
    </w:p>
    <w:p w14:paraId="7D3E8516" w14:textId="77777777" w:rsidR="00AD5667" w:rsidRPr="00A66BD6" w:rsidRDefault="00AD566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</w:rPr>
      </w:pPr>
      <w:r w:rsidRPr="00A66BD6">
        <w:br w:type="page"/>
      </w:r>
    </w:p>
    <w:p w14:paraId="5E20ABAB" w14:textId="22F3C7A3" w:rsidR="00BF5F40" w:rsidRPr="00A66BD6" w:rsidRDefault="00BF5F40" w:rsidP="00BF5F40">
      <w:pPr>
        <w:pStyle w:val="TableNo"/>
        <w:keepNext w:val="0"/>
        <w:rPr>
          <w:lang w:val="ru-RU"/>
        </w:rPr>
      </w:pPr>
      <w:r w:rsidRPr="00A66BD6">
        <w:rPr>
          <w:lang w:val="ru-RU"/>
        </w:rPr>
        <w:lastRenderedPageBreak/>
        <w:t>ТАБЛИЦА 8.1.4.4-1</w:t>
      </w:r>
    </w:p>
    <w:p w14:paraId="2666A001" w14:textId="3916E0D0" w:rsidR="00BF5F40" w:rsidRPr="00A66BD6" w:rsidRDefault="00BF5F40" w:rsidP="00BF5F40">
      <w:pPr>
        <w:pStyle w:val="Tabletitle"/>
        <w:keepNext w:val="0"/>
        <w:rPr>
          <w:bCs/>
          <w:lang w:val="ru-RU"/>
        </w:rPr>
      </w:pPr>
      <w:r w:rsidRPr="00A66BD6">
        <w:rPr>
          <w:bCs/>
          <w:lang w:val="ru-RU"/>
        </w:rPr>
        <w:t xml:space="preserve">Распределение серии Справочников МСЭ-R по управлению использованием спектра </w:t>
      </w:r>
      <w:r w:rsidR="002C7B92" w:rsidRPr="00A66BD6">
        <w:rPr>
          <w:bCs/>
          <w:lang w:val="ru-RU"/>
        </w:rPr>
        <w:br/>
      </w:r>
      <w:r w:rsidRPr="00A66BD6">
        <w:rPr>
          <w:bCs/>
          <w:lang w:val="ru-RU"/>
        </w:rPr>
        <w:t>и других Справочников</w:t>
      </w:r>
    </w:p>
    <w:tbl>
      <w:tblPr>
        <w:tblStyle w:val="-511"/>
        <w:tblW w:w="9612" w:type="dxa"/>
        <w:tblLayout w:type="fixed"/>
        <w:tblLook w:val="04A0" w:firstRow="1" w:lastRow="0" w:firstColumn="1" w:lastColumn="0" w:noHBand="0" w:noVBand="1"/>
      </w:tblPr>
      <w:tblGrid>
        <w:gridCol w:w="4531"/>
        <w:gridCol w:w="1270"/>
        <w:gridCol w:w="1270"/>
        <w:gridCol w:w="1270"/>
        <w:gridCol w:w="1271"/>
      </w:tblGrid>
      <w:tr w:rsidR="002C7B92" w:rsidRPr="00A66BD6" w14:paraId="7DF6D240" w14:textId="77777777" w:rsidTr="00544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8889889" w14:textId="1DAE62B9" w:rsidR="002C7B92" w:rsidRPr="00A66BD6" w:rsidRDefault="002C7B92" w:rsidP="0054481D">
            <w:pPr>
              <w:pStyle w:val="Tablehead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Справочник</w:t>
            </w:r>
          </w:p>
        </w:tc>
        <w:tc>
          <w:tcPr>
            <w:tcW w:w="12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6B5092F0" w14:textId="460E0329" w:rsidR="002C7B92" w:rsidRPr="00A66BD6" w:rsidRDefault="002C7B92" w:rsidP="0054481D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2022 г.</w:t>
            </w:r>
          </w:p>
        </w:tc>
        <w:tc>
          <w:tcPr>
            <w:tcW w:w="12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0D21F2DB" w14:textId="229C1F54" w:rsidR="002C7B92" w:rsidRPr="00A66BD6" w:rsidRDefault="002C7B92" w:rsidP="0054481D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2023 г.</w:t>
            </w:r>
          </w:p>
        </w:tc>
        <w:tc>
          <w:tcPr>
            <w:tcW w:w="12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6A6E8429" w14:textId="5A6A8E6A" w:rsidR="002C7B92" w:rsidRPr="00A66BD6" w:rsidRDefault="002C7B92" w:rsidP="0054481D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2024 г.</w:t>
            </w:r>
          </w:p>
        </w:tc>
        <w:tc>
          <w:tcPr>
            <w:tcW w:w="127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CD11979" w14:textId="47AD43DB" w:rsidR="002C7B92" w:rsidRPr="00A66BD6" w:rsidRDefault="002C7B92" w:rsidP="0054481D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2025 г.</w:t>
            </w:r>
            <w:r w:rsidRPr="00A66BD6">
              <w:rPr>
                <w:rStyle w:val="FootnoteReference"/>
                <w:lang w:val="ru-RU"/>
              </w:rPr>
              <w:t>1</w:t>
            </w:r>
          </w:p>
        </w:tc>
      </w:tr>
      <w:tr w:rsidR="002C7B92" w:rsidRPr="00A66BD6" w14:paraId="08AF2CB3" w14:textId="77777777" w:rsidTr="00544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left w:val="none" w:sz="0" w:space="0" w:color="auto"/>
            </w:tcBorders>
            <w:noWrap/>
            <w:vAlign w:val="center"/>
          </w:tcPr>
          <w:p w14:paraId="494EAA02" w14:textId="1E0DD169" w:rsidR="002C7B92" w:rsidRPr="00A66BD6" w:rsidRDefault="002C7B92" w:rsidP="002C7B92">
            <w:pPr>
              <w:pStyle w:val="Tabletext"/>
              <w:rPr>
                <w:rFonts w:eastAsia="Aptos Narrow"/>
              </w:rPr>
            </w:pPr>
            <w:r w:rsidRPr="00A66BD6">
              <w:rPr>
                <w:rFonts w:eastAsia="Aptos Narrow"/>
              </w:rPr>
              <w:t xml:space="preserve">Серия </w:t>
            </w:r>
            <w:r w:rsidRPr="00A66BD6">
              <w:rPr>
                <w:rFonts w:eastAsia="Aptos Narrow"/>
                <w:b w:val="0"/>
                <w:bCs w:val="0"/>
              </w:rPr>
              <w:t>"</w:t>
            </w:r>
            <w:r w:rsidRPr="00A66BD6">
              <w:rPr>
                <w:rFonts w:eastAsia="Aptos Narrow"/>
              </w:rPr>
              <w:t>Управление использованием спектра</w:t>
            </w:r>
            <w:r w:rsidRPr="00A66BD6">
              <w:rPr>
                <w:rFonts w:eastAsia="Aptos Narrow"/>
                <w:b w:val="0"/>
                <w:bCs w:val="0"/>
              </w:rPr>
              <w:t>"</w:t>
            </w:r>
          </w:p>
          <w:p w14:paraId="00ECCFB3" w14:textId="69DCE7D0" w:rsidR="002C7B92" w:rsidRPr="00A66BD6" w:rsidRDefault="002C7B92" w:rsidP="002C7B92">
            <w:pPr>
              <w:pStyle w:val="Tabletext"/>
              <w:rPr>
                <w:rFonts w:ascii="Aptos Narrow" w:eastAsia="Aptos Narrow" w:hAnsi="Aptos Narrow" w:cs="Aptos Narrow"/>
              </w:rPr>
            </w:pPr>
            <w:r w:rsidRPr="00A66BD6">
              <w:rPr>
                <w:rFonts w:eastAsia="Aptos Narrow"/>
              </w:rPr>
              <w:t>(Продано печатных экземпляров)</w:t>
            </w:r>
          </w:p>
        </w:tc>
        <w:tc>
          <w:tcPr>
            <w:tcW w:w="1270" w:type="dxa"/>
            <w:vAlign w:val="center"/>
          </w:tcPr>
          <w:p w14:paraId="17E8AF9E" w14:textId="0B09B2F1" w:rsidR="002C7B92" w:rsidRPr="00A66BD6" w:rsidRDefault="002C7B92" w:rsidP="002C7B92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A66BD6">
              <w:rPr>
                <w:color w:val="000000"/>
              </w:rPr>
              <w:t>0</w:t>
            </w:r>
          </w:p>
        </w:tc>
        <w:tc>
          <w:tcPr>
            <w:tcW w:w="1270" w:type="dxa"/>
            <w:vAlign w:val="center"/>
          </w:tcPr>
          <w:p w14:paraId="54A5EC9B" w14:textId="32BA11F3" w:rsidR="002C7B92" w:rsidRPr="00A66BD6" w:rsidRDefault="002C7B92" w:rsidP="002C7B92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A66BD6">
              <w:rPr>
                <w:color w:val="000000" w:themeColor="text1"/>
              </w:rPr>
              <w:t>−</w:t>
            </w:r>
          </w:p>
        </w:tc>
        <w:tc>
          <w:tcPr>
            <w:tcW w:w="1270" w:type="dxa"/>
            <w:vAlign w:val="center"/>
          </w:tcPr>
          <w:p w14:paraId="7C72E217" w14:textId="5BFECB67" w:rsidR="002C7B92" w:rsidRPr="00A66BD6" w:rsidRDefault="002C7B92" w:rsidP="002C7B92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A66BD6">
              <w:rPr>
                <w:color w:val="000000"/>
              </w:rPr>
              <w:t>0</w:t>
            </w:r>
          </w:p>
        </w:tc>
        <w:tc>
          <w:tcPr>
            <w:tcW w:w="1271" w:type="dxa"/>
            <w:vAlign w:val="center"/>
          </w:tcPr>
          <w:p w14:paraId="5E58848A" w14:textId="58CE1AD7" w:rsidR="002C7B92" w:rsidRPr="00A66BD6" w:rsidRDefault="002C7B92" w:rsidP="002C7B92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A66BD6">
              <w:rPr>
                <w:color w:val="000000"/>
              </w:rPr>
              <w:t>0</w:t>
            </w:r>
          </w:p>
        </w:tc>
      </w:tr>
      <w:tr w:rsidR="002C7B92" w:rsidRPr="00A66BD6" w14:paraId="0D91E408" w14:textId="77777777" w:rsidTr="00544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left w:val="none" w:sz="0" w:space="0" w:color="auto"/>
            </w:tcBorders>
            <w:noWrap/>
            <w:vAlign w:val="center"/>
          </w:tcPr>
          <w:p w14:paraId="5AB615A4" w14:textId="77777777" w:rsidR="002C7B92" w:rsidRPr="00A66BD6" w:rsidRDefault="002C7B92" w:rsidP="002C7B92">
            <w:pPr>
              <w:pStyle w:val="Tabletext"/>
              <w:rPr>
                <w:rFonts w:eastAsia="Aptos Narrow"/>
              </w:rPr>
            </w:pPr>
            <w:r w:rsidRPr="00A66BD6">
              <w:rPr>
                <w:rFonts w:eastAsia="Aptos Narrow"/>
              </w:rPr>
              <w:t xml:space="preserve">Другие Справочники </w:t>
            </w:r>
          </w:p>
          <w:p w14:paraId="10C1F3F2" w14:textId="166910D1" w:rsidR="002C7B92" w:rsidRPr="00A66BD6" w:rsidRDefault="002C7B92" w:rsidP="002C7B92">
            <w:pPr>
              <w:pStyle w:val="Tabletext"/>
            </w:pPr>
            <w:r w:rsidRPr="00A66BD6">
              <w:rPr>
                <w:rFonts w:eastAsia="Aptos Narrow"/>
              </w:rPr>
              <w:t>(Продано печатных экземпляров)</w:t>
            </w:r>
          </w:p>
        </w:tc>
        <w:tc>
          <w:tcPr>
            <w:tcW w:w="1270" w:type="dxa"/>
            <w:vAlign w:val="center"/>
          </w:tcPr>
          <w:p w14:paraId="7BB84056" w14:textId="75E87D93" w:rsidR="002C7B92" w:rsidRPr="00A66BD6" w:rsidRDefault="002C7B92" w:rsidP="002C7B92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rPr>
                <w:color w:val="000000"/>
              </w:rPr>
              <w:t>4</w:t>
            </w:r>
          </w:p>
        </w:tc>
        <w:tc>
          <w:tcPr>
            <w:tcW w:w="1270" w:type="dxa"/>
            <w:vAlign w:val="center"/>
          </w:tcPr>
          <w:p w14:paraId="668910A3" w14:textId="79405874" w:rsidR="002C7B92" w:rsidRPr="00A66BD6" w:rsidRDefault="002C7B92" w:rsidP="002C7B92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rPr>
                <w:color w:val="000000" w:themeColor="text1"/>
              </w:rPr>
              <w:t>−</w:t>
            </w:r>
          </w:p>
        </w:tc>
        <w:tc>
          <w:tcPr>
            <w:tcW w:w="1270" w:type="dxa"/>
            <w:vAlign w:val="center"/>
          </w:tcPr>
          <w:p w14:paraId="33501E8C" w14:textId="20FAA741" w:rsidR="002C7B92" w:rsidRPr="00A66BD6" w:rsidRDefault="002C7B92" w:rsidP="002C7B92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rPr>
                <w:color w:val="000000"/>
              </w:rPr>
              <w:t>0</w:t>
            </w:r>
          </w:p>
        </w:tc>
        <w:tc>
          <w:tcPr>
            <w:tcW w:w="1271" w:type="dxa"/>
            <w:vAlign w:val="center"/>
          </w:tcPr>
          <w:p w14:paraId="23B0B8D4" w14:textId="4AEF1E09" w:rsidR="002C7B92" w:rsidRPr="00A66BD6" w:rsidRDefault="002C7B92" w:rsidP="002C7B92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rPr>
                <w:color w:val="000000"/>
              </w:rPr>
              <w:t>0</w:t>
            </w:r>
          </w:p>
        </w:tc>
      </w:tr>
      <w:tr w:rsidR="002C7B92" w:rsidRPr="00A66BD6" w14:paraId="6E389049" w14:textId="77777777" w:rsidTr="00544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left w:val="none" w:sz="0" w:space="0" w:color="auto"/>
            </w:tcBorders>
            <w:noWrap/>
            <w:vAlign w:val="center"/>
          </w:tcPr>
          <w:p w14:paraId="47E8799E" w14:textId="57B6EC67" w:rsidR="002C7B92" w:rsidRPr="00A66BD6" w:rsidRDefault="002C7B92" w:rsidP="002C7B92">
            <w:pPr>
              <w:pStyle w:val="Tabletext"/>
            </w:pPr>
            <w:r w:rsidRPr="00A66BD6">
              <w:rPr>
                <w:rFonts w:eastAsia="Aptos Narrow"/>
              </w:rPr>
              <w:t>Общий итог</w:t>
            </w:r>
          </w:p>
        </w:tc>
        <w:tc>
          <w:tcPr>
            <w:tcW w:w="1270" w:type="dxa"/>
            <w:vAlign w:val="center"/>
          </w:tcPr>
          <w:p w14:paraId="3C8E757F" w14:textId="52602CAA" w:rsidR="002C7B92" w:rsidRPr="00A66BD6" w:rsidRDefault="002C7B92" w:rsidP="002C7B92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66BD6">
              <w:rPr>
                <w:b/>
                <w:bCs/>
                <w:color w:val="000000"/>
              </w:rPr>
              <w:t>4</w:t>
            </w:r>
          </w:p>
        </w:tc>
        <w:tc>
          <w:tcPr>
            <w:tcW w:w="1270" w:type="dxa"/>
            <w:vAlign w:val="center"/>
          </w:tcPr>
          <w:p w14:paraId="403E4D79" w14:textId="5135D5DB" w:rsidR="002C7B92" w:rsidRPr="00A66BD6" w:rsidRDefault="002C7B92" w:rsidP="002C7B92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66BD6">
              <w:rPr>
                <w:b/>
                <w:bCs/>
                <w:color w:val="000000" w:themeColor="text1"/>
              </w:rPr>
              <w:t>−</w:t>
            </w:r>
          </w:p>
        </w:tc>
        <w:tc>
          <w:tcPr>
            <w:tcW w:w="1270" w:type="dxa"/>
            <w:vAlign w:val="center"/>
          </w:tcPr>
          <w:p w14:paraId="312EE79C" w14:textId="2B7FE553" w:rsidR="002C7B92" w:rsidRPr="00A66BD6" w:rsidRDefault="002C7B92" w:rsidP="002C7B92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66BD6">
              <w:rPr>
                <w:b/>
                <w:bCs/>
                <w:color w:val="000000"/>
              </w:rPr>
              <w:t>0</w:t>
            </w:r>
          </w:p>
        </w:tc>
        <w:tc>
          <w:tcPr>
            <w:tcW w:w="1271" w:type="dxa"/>
            <w:vAlign w:val="center"/>
          </w:tcPr>
          <w:p w14:paraId="6F781E8A" w14:textId="648D5E11" w:rsidR="002C7B92" w:rsidRPr="00A66BD6" w:rsidRDefault="002C7B92" w:rsidP="002C7B92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66BD6">
              <w:rPr>
                <w:b/>
                <w:bCs/>
                <w:color w:val="000000"/>
              </w:rPr>
              <w:t>0</w:t>
            </w:r>
          </w:p>
        </w:tc>
      </w:tr>
      <w:tr w:rsidR="002C7B92" w:rsidRPr="00A66BD6" w14:paraId="3383C421" w14:textId="77777777" w:rsidTr="00544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left w:val="none" w:sz="0" w:space="0" w:color="auto"/>
              <w:bottom w:val="none" w:sz="0" w:space="0" w:color="auto"/>
            </w:tcBorders>
            <w:noWrap/>
            <w:vAlign w:val="center"/>
          </w:tcPr>
          <w:p w14:paraId="5933F694" w14:textId="1F981A64" w:rsidR="002C7B92" w:rsidRPr="00A66BD6" w:rsidRDefault="002C7B92" w:rsidP="002C7B92">
            <w:pPr>
              <w:pStyle w:val="Tabletext"/>
            </w:pPr>
            <w:r w:rsidRPr="00A66BD6">
              <w:rPr>
                <w:rFonts w:eastAsia="Aptos Narrow"/>
              </w:rPr>
              <w:t>Бесплатные загрузки</w:t>
            </w:r>
          </w:p>
        </w:tc>
        <w:tc>
          <w:tcPr>
            <w:tcW w:w="1270" w:type="dxa"/>
            <w:vAlign w:val="center"/>
          </w:tcPr>
          <w:p w14:paraId="39876BAD" w14:textId="1E5EA5DE" w:rsidR="002C7B92" w:rsidRPr="00A66BD6" w:rsidRDefault="002C7B92" w:rsidP="002C7B92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66BD6">
              <w:rPr>
                <w:b/>
                <w:bCs/>
                <w:color w:val="000000"/>
              </w:rPr>
              <w:t>134 159</w:t>
            </w:r>
          </w:p>
        </w:tc>
        <w:tc>
          <w:tcPr>
            <w:tcW w:w="1270" w:type="dxa"/>
            <w:vAlign w:val="center"/>
          </w:tcPr>
          <w:p w14:paraId="1B3A9282" w14:textId="300DFA82" w:rsidR="002C7B92" w:rsidRPr="00A66BD6" w:rsidRDefault="002C7B92" w:rsidP="002C7B92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66BD6">
              <w:rPr>
                <w:b/>
                <w:bCs/>
                <w:color w:val="000000"/>
              </w:rPr>
              <w:t>143 478</w:t>
            </w:r>
          </w:p>
        </w:tc>
        <w:tc>
          <w:tcPr>
            <w:tcW w:w="1270" w:type="dxa"/>
            <w:vAlign w:val="center"/>
          </w:tcPr>
          <w:p w14:paraId="311343B8" w14:textId="2350244C" w:rsidR="002C7B92" w:rsidRPr="00A66BD6" w:rsidRDefault="002C7B92" w:rsidP="002C7B92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66BD6">
              <w:rPr>
                <w:b/>
                <w:bCs/>
                <w:color w:val="000000"/>
              </w:rPr>
              <w:t>97 290</w:t>
            </w:r>
          </w:p>
        </w:tc>
        <w:tc>
          <w:tcPr>
            <w:tcW w:w="1271" w:type="dxa"/>
          </w:tcPr>
          <w:p w14:paraId="4B19B00D" w14:textId="548D2DA2" w:rsidR="002C7B92" w:rsidRPr="00A66BD6" w:rsidRDefault="002C7B92" w:rsidP="002C7B92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66BD6">
              <w:rPr>
                <w:b/>
                <w:bCs/>
                <w:color w:val="000000"/>
              </w:rPr>
              <w:t>98 944</w:t>
            </w:r>
          </w:p>
        </w:tc>
      </w:tr>
    </w:tbl>
    <w:p w14:paraId="7E12958F" w14:textId="132776D9" w:rsidR="00BF5F40" w:rsidRPr="00A66BD6" w:rsidRDefault="00BF5F40" w:rsidP="00BF5F40">
      <w:pPr>
        <w:pStyle w:val="Heading4"/>
        <w:keepNext w:val="0"/>
        <w:keepLines w:val="0"/>
      </w:pPr>
      <w:r w:rsidRPr="00A66BD6">
        <w:rPr>
          <w:bCs/>
        </w:rPr>
        <w:t>8.1.4.5</w:t>
      </w:r>
      <w:r w:rsidRPr="00A66BD6">
        <w:tab/>
      </w:r>
      <w:r w:rsidRPr="00A66BD6">
        <w:rPr>
          <w:bCs/>
        </w:rPr>
        <w:t>Руководство по морской службе</w:t>
      </w:r>
    </w:p>
    <w:p w14:paraId="2A007D2C" w14:textId="580A90B2" w:rsidR="00BF5F40" w:rsidRPr="00A66BD6" w:rsidRDefault="00BF5F40" w:rsidP="00BF5F40">
      <w:r w:rsidRPr="00A66BD6">
        <w:t xml:space="preserve">В отношении этой служебной публикации в </w:t>
      </w:r>
      <w:r w:rsidR="00497FEF" w:rsidRPr="00A66BD6">
        <w:t xml:space="preserve">Таблице </w:t>
      </w:r>
      <w:r w:rsidRPr="00A66BD6">
        <w:t xml:space="preserve">8.1.4.5-1 представлено количество поставок изданий Руководства по морской службе (ММ) 2020 и 2024 годов. Издание 2024 года, опубликованное в декабре 2024 года, доступно для покупки на CD-ROM, USB, в цифровом формате или в бумажном виде. </w:t>
      </w:r>
    </w:p>
    <w:p w14:paraId="6FCEBBF3" w14:textId="2CCE42F9" w:rsidR="00BF5F40" w:rsidRPr="00A66BD6" w:rsidRDefault="00BF5F40" w:rsidP="0054481D">
      <w:pPr>
        <w:pStyle w:val="TableNo"/>
        <w:keepNext w:val="0"/>
        <w:rPr>
          <w:lang w:val="ru-RU"/>
        </w:rPr>
      </w:pPr>
      <w:r w:rsidRPr="00A66BD6">
        <w:rPr>
          <w:lang w:val="ru-RU"/>
        </w:rPr>
        <w:t>ТАБЛИЦА 8.1.4.5-1</w:t>
      </w:r>
    </w:p>
    <w:p w14:paraId="690D579B" w14:textId="77777777" w:rsidR="00BF5F40" w:rsidRPr="00A66BD6" w:rsidRDefault="00BF5F40" w:rsidP="0054481D">
      <w:pPr>
        <w:pStyle w:val="Tabletitle"/>
        <w:keepNext w:val="0"/>
        <w:rPr>
          <w:bCs/>
          <w:lang w:val="ru-RU"/>
        </w:rPr>
      </w:pPr>
      <w:r w:rsidRPr="00A66BD6">
        <w:rPr>
          <w:bCs/>
          <w:lang w:val="ru-RU"/>
        </w:rPr>
        <w:t>Руководство по морской службе</w:t>
      </w:r>
    </w:p>
    <w:tbl>
      <w:tblPr>
        <w:tblStyle w:val="-511"/>
        <w:tblW w:w="9612" w:type="dxa"/>
        <w:tblLayout w:type="fixed"/>
        <w:tblLook w:val="04A0" w:firstRow="1" w:lastRow="0" w:firstColumn="1" w:lastColumn="0" w:noHBand="0" w:noVBand="1"/>
      </w:tblPr>
      <w:tblGrid>
        <w:gridCol w:w="2263"/>
        <w:gridCol w:w="1837"/>
        <w:gridCol w:w="1837"/>
        <w:gridCol w:w="1837"/>
        <w:gridCol w:w="1838"/>
      </w:tblGrid>
      <w:tr w:rsidR="0054481D" w:rsidRPr="00A66BD6" w14:paraId="3FB5B05C" w14:textId="77777777" w:rsidTr="00544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</w:tcPr>
          <w:p w14:paraId="32F16DE7" w14:textId="6B40A57C" w:rsidR="0054481D" w:rsidRPr="00A66BD6" w:rsidRDefault="0054481D" w:rsidP="0054481D">
            <w:pPr>
              <w:pStyle w:val="Tablehead"/>
              <w:rPr>
                <w:b/>
                <w:bCs w:val="0"/>
                <w:lang w:val="ru-RU"/>
              </w:rPr>
            </w:pPr>
          </w:p>
        </w:tc>
        <w:tc>
          <w:tcPr>
            <w:tcW w:w="183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311F76E" w14:textId="48F35207" w:rsidR="0054481D" w:rsidRPr="00A66BD6" w:rsidRDefault="0054481D" w:rsidP="0054481D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MM-20, 2022 г.</w:t>
            </w:r>
          </w:p>
        </w:tc>
        <w:tc>
          <w:tcPr>
            <w:tcW w:w="183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34E1FDD" w14:textId="10852530" w:rsidR="0054481D" w:rsidRPr="00A66BD6" w:rsidRDefault="0054481D" w:rsidP="0054481D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MM-20, 2023 г.</w:t>
            </w:r>
          </w:p>
        </w:tc>
        <w:tc>
          <w:tcPr>
            <w:tcW w:w="183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7292027" w14:textId="18968921" w:rsidR="0054481D" w:rsidRPr="00A66BD6" w:rsidRDefault="0054481D" w:rsidP="0054481D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Издание 2020 и 2024 гг., 2024 г.</w:t>
            </w:r>
          </w:p>
        </w:tc>
        <w:tc>
          <w:tcPr>
            <w:tcW w:w="183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FC33ADB" w14:textId="621772EE" w:rsidR="0054481D" w:rsidRPr="00A66BD6" w:rsidRDefault="0054481D" w:rsidP="0054481D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r w:rsidRPr="00A66BD6">
              <w:rPr>
                <w:b/>
                <w:bCs w:val="0"/>
                <w:lang w:val="ru-RU"/>
              </w:rPr>
              <w:t>MM-24, 2025 г.</w:t>
            </w:r>
          </w:p>
        </w:tc>
      </w:tr>
      <w:tr w:rsidR="0054481D" w:rsidRPr="00A66BD6" w14:paraId="2DA3A828" w14:textId="77777777" w:rsidTr="00544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  <w:noWrap/>
          </w:tcPr>
          <w:p w14:paraId="619896FC" w14:textId="55F41C17" w:rsidR="0054481D" w:rsidRPr="00A66BD6" w:rsidRDefault="0054481D" w:rsidP="0054481D">
            <w:pPr>
              <w:pStyle w:val="Tabletext"/>
              <w:rPr>
                <w:rFonts w:ascii="Aptos Narrow" w:eastAsia="Aptos Narrow" w:hAnsi="Aptos Narrow" w:cs="Aptos Narrow"/>
              </w:rPr>
            </w:pPr>
            <w:r w:rsidRPr="00A66BD6">
              <w:t>Продано печатных экземпляров</w:t>
            </w:r>
          </w:p>
        </w:tc>
        <w:tc>
          <w:tcPr>
            <w:tcW w:w="1837" w:type="dxa"/>
          </w:tcPr>
          <w:p w14:paraId="35E51B50" w14:textId="27EC2ED5" w:rsidR="0054481D" w:rsidRPr="00A66BD6" w:rsidRDefault="0054481D" w:rsidP="0054481D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A66BD6">
              <w:t>189</w:t>
            </w:r>
          </w:p>
        </w:tc>
        <w:tc>
          <w:tcPr>
            <w:tcW w:w="1837" w:type="dxa"/>
          </w:tcPr>
          <w:p w14:paraId="315596C4" w14:textId="2ACD7155" w:rsidR="0054481D" w:rsidRPr="00A66BD6" w:rsidRDefault="0054481D" w:rsidP="0054481D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A66BD6">
              <w:t>73</w:t>
            </w:r>
          </w:p>
        </w:tc>
        <w:tc>
          <w:tcPr>
            <w:tcW w:w="1837" w:type="dxa"/>
          </w:tcPr>
          <w:p w14:paraId="26818D17" w14:textId="77777777" w:rsidR="0054481D" w:rsidRPr="00A66BD6" w:rsidRDefault="0054481D" w:rsidP="0054481D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2020 г.: 64</w:t>
            </w:r>
          </w:p>
          <w:p w14:paraId="530E8292" w14:textId="77777777" w:rsidR="0054481D" w:rsidRPr="00A66BD6" w:rsidRDefault="0054481D" w:rsidP="0054481D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2024 г.: 148</w:t>
            </w:r>
          </w:p>
          <w:p w14:paraId="3B85BAB7" w14:textId="6EB4055C" w:rsidR="0054481D" w:rsidRPr="00A66BD6" w:rsidRDefault="0054481D" w:rsidP="0054481D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A66BD6">
              <w:t>Всего: 212</w:t>
            </w:r>
          </w:p>
        </w:tc>
        <w:tc>
          <w:tcPr>
            <w:tcW w:w="1838" w:type="dxa"/>
          </w:tcPr>
          <w:p w14:paraId="1458CC55" w14:textId="0B3E90F6" w:rsidR="0054481D" w:rsidRPr="00A66BD6" w:rsidRDefault="0054481D" w:rsidP="0054481D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0A66BD6">
              <w:t>519</w:t>
            </w:r>
          </w:p>
        </w:tc>
      </w:tr>
      <w:tr w:rsidR="0054481D" w:rsidRPr="00A66BD6" w14:paraId="18E26058" w14:textId="77777777" w:rsidTr="00544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  <w:noWrap/>
          </w:tcPr>
          <w:p w14:paraId="38CD64C3" w14:textId="10E67919" w:rsidR="0054481D" w:rsidRPr="00A66BD6" w:rsidRDefault="0054481D" w:rsidP="0054481D">
            <w:pPr>
              <w:pStyle w:val="Tabletext"/>
            </w:pPr>
            <w:r w:rsidRPr="00A66BD6">
              <w:t>Продано CD-ROM</w:t>
            </w:r>
          </w:p>
        </w:tc>
        <w:tc>
          <w:tcPr>
            <w:tcW w:w="1837" w:type="dxa"/>
          </w:tcPr>
          <w:p w14:paraId="3A9F4C9B" w14:textId="7A4BEEA0" w:rsidR="0054481D" w:rsidRPr="00A66BD6" w:rsidRDefault="0054481D" w:rsidP="0054481D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5 637</w:t>
            </w:r>
          </w:p>
        </w:tc>
        <w:tc>
          <w:tcPr>
            <w:tcW w:w="1837" w:type="dxa"/>
          </w:tcPr>
          <w:p w14:paraId="0C4A9FE4" w14:textId="5E4BC4FE" w:rsidR="0054481D" w:rsidRPr="00A66BD6" w:rsidRDefault="0054481D" w:rsidP="0054481D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3 363</w:t>
            </w:r>
          </w:p>
        </w:tc>
        <w:tc>
          <w:tcPr>
            <w:tcW w:w="1837" w:type="dxa"/>
          </w:tcPr>
          <w:p w14:paraId="1C2BAA81" w14:textId="493E9A38" w:rsidR="0054481D" w:rsidRPr="00A66BD6" w:rsidRDefault="0054481D" w:rsidP="0054481D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2020 г.: 2 771</w:t>
            </w:r>
          </w:p>
          <w:p w14:paraId="5238C4DE" w14:textId="77777777" w:rsidR="0054481D" w:rsidRPr="00A66BD6" w:rsidRDefault="0054481D" w:rsidP="0054481D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2024 г.: 10 166</w:t>
            </w:r>
          </w:p>
          <w:p w14:paraId="25E4AF8B" w14:textId="66E566B7" w:rsidR="0054481D" w:rsidRPr="00A66BD6" w:rsidRDefault="0054481D" w:rsidP="0054481D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Всего: 12 937</w:t>
            </w:r>
          </w:p>
        </w:tc>
        <w:tc>
          <w:tcPr>
            <w:tcW w:w="1838" w:type="dxa"/>
          </w:tcPr>
          <w:p w14:paraId="512F266F" w14:textId="09A2742B" w:rsidR="0054481D" w:rsidRPr="00A66BD6" w:rsidRDefault="0054481D" w:rsidP="0054481D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18 132</w:t>
            </w:r>
          </w:p>
        </w:tc>
      </w:tr>
      <w:tr w:rsidR="0054481D" w:rsidRPr="00A66BD6" w14:paraId="45FE9437" w14:textId="77777777" w:rsidTr="00544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</w:tcBorders>
            <w:noWrap/>
          </w:tcPr>
          <w:p w14:paraId="3F96D8A6" w14:textId="74C06648" w:rsidR="0054481D" w:rsidRPr="00A66BD6" w:rsidRDefault="0054481D" w:rsidP="0054481D">
            <w:pPr>
              <w:pStyle w:val="Tabletext"/>
            </w:pPr>
            <w:r w:rsidRPr="00A66BD6">
              <w:t>Продано USB</w:t>
            </w:r>
          </w:p>
        </w:tc>
        <w:tc>
          <w:tcPr>
            <w:tcW w:w="1837" w:type="dxa"/>
          </w:tcPr>
          <w:p w14:paraId="1902397D" w14:textId="532EB533" w:rsidR="0054481D" w:rsidRPr="00A66BD6" w:rsidRDefault="00AD5667" w:rsidP="0054481D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−</w:t>
            </w:r>
          </w:p>
        </w:tc>
        <w:tc>
          <w:tcPr>
            <w:tcW w:w="1837" w:type="dxa"/>
          </w:tcPr>
          <w:p w14:paraId="05643A71" w14:textId="5B7251C3" w:rsidR="0054481D" w:rsidRPr="00A66BD6" w:rsidRDefault="00AD5667" w:rsidP="0054481D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−</w:t>
            </w:r>
          </w:p>
        </w:tc>
        <w:tc>
          <w:tcPr>
            <w:tcW w:w="1837" w:type="dxa"/>
          </w:tcPr>
          <w:p w14:paraId="29801761" w14:textId="39932457" w:rsidR="0054481D" w:rsidRPr="00A66BD6" w:rsidRDefault="0054481D" w:rsidP="0054481D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2020 г.: −</w:t>
            </w:r>
          </w:p>
          <w:p w14:paraId="320DAF78" w14:textId="77777777" w:rsidR="0054481D" w:rsidRPr="00A66BD6" w:rsidRDefault="0054481D" w:rsidP="0054481D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2024 г.: 440</w:t>
            </w:r>
          </w:p>
          <w:p w14:paraId="7122C635" w14:textId="52115028" w:rsidR="0054481D" w:rsidRPr="00A66BD6" w:rsidRDefault="0054481D" w:rsidP="0054481D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Всего: 440</w:t>
            </w:r>
          </w:p>
        </w:tc>
        <w:tc>
          <w:tcPr>
            <w:tcW w:w="1838" w:type="dxa"/>
          </w:tcPr>
          <w:p w14:paraId="5E1AD231" w14:textId="3466B55A" w:rsidR="0054481D" w:rsidRPr="00A66BD6" w:rsidRDefault="0054481D" w:rsidP="0054481D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BD6">
              <w:t>3 348</w:t>
            </w:r>
          </w:p>
        </w:tc>
      </w:tr>
      <w:tr w:rsidR="0054481D" w:rsidRPr="00A66BD6" w14:paraId="64EC8DEC" w14:textId="77777777" w:rsidTr="00544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none" w:sz="0" w:space="0" w:color="auto"/>
              <w:bottom w:val="none" w:sz="0" w:space="0" w:color="auto"/>
            </w:tcBorders>
            <w:noWrap/>
          </w:tcPr>
          <w:p w14:paraId="5288E9D5" w14:textId="1420CCD3" w:rsidR="0054481D" w:rsidRPr="00A66BD6" w:rsidRDefault="0054481D" w:rsidP="0054481D">
            <w:pPr>
              <w:pStyle w:val="Tabletext"/>
            </w:pPr>
            <w:r w:rsidRPr="00A66BD6">
              <w:t>В цифровом виде</w:t>
            </w:r>
          </w:p>
        </w:tc>
        <w:tc>
          <w:tcPr>
            <w:tcW w:w="1837" w:type="dxa"/>
          </w:tcPr>
          <w:p w14:paraId="697F60C6" w14:textId="531204DF" w:rsidR="0054481D" w:rsidRPr="00A66BD6" w:rsidRDefault="00AD5667" w:rsidP="0054481D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−</w:t>
            </w:r>
          </w:p>
        </w:tc>
        <w:tc>
          <w:tcPr>
            <w:tcW w:w="1837" w:type="dxa"/>
          </w:tcPr>
          <w:p w14:paraId="56B0884F" w14:textId="5C0B6C77" w:rsidR="0054481D" w:rsidRPr="00A66BD6" w:rsidRDefault="00AD5667" w:rsidP="0054481D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−</w:t>
            </w:r>
          </w:p>
        </w:tc>
        <w:tc>
          <w:tcPr>
            <w:tcW w:w="1837" w:type="dxa"/>
          </w:tcPr>
          <w:p w14:paraId="6B6186A2" w14:textId="7D5B58B3" w:rsidR="0054481D" w:rsidRPr="00A66BD6" w:rsidRDefault="0054481D" w:rsidP="0054481D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2020 г.: −</w:t>
            </w:r>
          </w:p>
          <w:p w14:paraId="1776E3F9" w14:textId="77777777" w:rsidR="0054481D" w:rsidRPr="00A66BD6" w:rsidRDefault="0054481D" w:rsidP="0054481D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2024 г.: 277</w:t>
            </w:r>
          </w:p>
          <w:p w14:paraId="4D6A2C9E" w14:textId="47148952" w:rsidR="0054481D" w:rsidRPr="00A66BD6" w:rsidRDefault="0054481D" w:rsidP="0054481D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Всего: 277</w:t>
            </w:r>
          </w:p>
        </w:tc>
        <w:tc>
          <w:tcPr>
            <w:tcW w:w="1838" w:type="dxa"/>
          </w:tcPr>
          <w:p w14:paraId="7D3E9524" w14:textId="63480DF1" w:rsidR="0054481D" w:rsidRPr="00A66BD6" w:rsidRDefault="0054481D" w:rsidP="0054481D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BD6">
              <w:t>4 232</w:t>
            </w:r>
          </w:p>
        </w:tc>
      </w:tr>
    </w:tbl>
    <w:p w14:paraId="7D5F9531" w14:textId="77777777" w:rsidR="00BF5F40" w:rsidRPr="00A66BD6" w:rsidRDefault="00BF5F40" w:rsidP="00BF5F40">
      <w:pPr>
        <w:pStyle w:val="Heading2"/>
        <w:rPr>
          <w:i/>
        </w:rPr>
      </w:pPr>
      <w:bookmarkStart w:id="130" w:name="_Toc424047601"/>
      <w:bookmarkStart w:id="131" w:name="_Toc446060783"/>
      <w:bookmarkStart w:id="132" w:name="_Toc223379861"/>
      <w:bookmarkStart w:id="133" w:name="_Toc223957815"/>
      <w:bookmarkEnd w:id="128"/>
      <w:bookmarkEnd w:id="129"/>
      <w:r w:rsidRPr="00A66BD6">
        <w:rPr>
          <w:bCs/>
        </w:rPr>
        <w:t>8.2</w:t>
      </w:r>
      <w:r w:rsidRPr="00A66BD6">
        <w:tab/>
      </w:r>
      <w:r w:rsidRPr="00A66BD6">
        <w:rPr>
          <w:bCs/>
        </w:rPr>
        <w:t>Семинары, семинары-практикумы и другие мероприятия</w:t>
      </w:r>
      <w:bookmarkEnd w:id="130"/>
      <w:bookmarkEnd w:id="131"/>
      <w:bookmarkEnd w:id="132"/>
      <w:bookmarkEnd w:id="133"/>
    </w:p>
    <w:p w14:paraId="56EB813E" w14:textId="19F7BFC4" w:rsidR="00BF5F40" w:rsidRPr="00A66BD6" w:rsidRDefault="00BF5F40" w:rsidP="00BF5F40">
      <w:r w:rsidRPr="00A66BD6">
        <w:t>Начался новый цикл всемирных и региональных семинаров по радиосвязи, проводимых в период между ВКР (ВСР/РСР 2024</w:t>
      </w:r>
      <w:r w:rsidR="00AD5667" w:rsidRPr="00A66BD6">
        <w:t>−</w:t>
      </w:r>
      <w:r w:rsidRPr="00A66BD6">
        <w:t>2027 годов). Эти семинары служат цели распространения по всему миру обновлений, содержащихся в издании Регламента радиосвязи 2024 года (с решениями, принятыми ВКР-23), а также связанных с ним Правил процедуры (ПрП) и актуальной информации о</w:t>
      </w:r>
      <w:r w:rsidR="00AD5667" w:rsidRPr="00A66BD6">
        <w:t> </w:t>
      </w:r>
      <w:r w:rsidRPr="00A66BD6">
        <w:t>публикациях МСЭ-R (Рекомендациях, Отчетах и Справочниках). В цикле ВСР/РСР 2024</w:t>
      </w:r>
      <w:r w:rsidR="00AD5667" w:rsidRPr="00A66BD6">
        <w:t>−</w:t>
      </w:r>
      <w:r w:rsidRPr="00A66BD6">
        <w:t>2027</w:t>
      </w:r>
      <w:r w:rsidR="00AD5667" w:rsidRPr="00A66BD6">
        <w:t> </w:t>
      </w:r>
      <w:r w:rsidRPr="00A66BD6">
        <w:t>годов планируется провести два всемирных семинара по радиосвязи (ВСР), организуемых раз в два года, и 11</w:t>
      </w:r>
      <w:r w:rsidR="00AD5667" w:rsidRPr="00A66BD6">
        <w:t> </w:t>
      </w:r>
      <w:r w:rsidRPr="00A66BD6">
        <w:t>региональных семинаров по радиосвязи (РСР).</w:t>
      </w:r>
    </w:p>
    <w:p w14:paraId="23CA1EE3" w14:textId="77777777" w:rsidR="00BF5F40" w:rsidRPr="00A66BD6" w:rsidRDefault="00BF5F40" w:rsidP="00BF5F40">
      <w:pPr>
        <w:pStyle w:val="TableNo"/>
        <w:keepLines/>
        <w:rPr>
          <w:lang w:val="ru-RU"/>
        </w:rPr>
      </w:pPr>
      <w:r w:rsidRPr="00A66BD6">
        <w:rPr>
          <w:lang w:val="ru-RU"/>
        </w:rPr>
        <w:lastRenderedPageBreak/>
        <w:t>ТАБЛИЦА 8.2-1</w:t>
      </w:r>
    </w:p>
    <w:p w14:paraId="1C0FAB81" w14:textId="77777777" w:rsidR="00BF5F40" w:rsidRPr="00A66BD6" w:rsidRDefault="00BF5F40" w:rsidP="00BF5F40">
      <w:pPr>
        <w:keepNext/>
        <w:keepLines/>
        <w:spacing w:after="120"/>
        <w:jc w:val="center"/>
        <w:rPr>
          <w:b/>
          <w:bCs/>
        </w:rPr>
      </w:pPr>
      <w:r w:rsidRPr="00A66BD6">
        <w:rPr>
          <w:b/>
          <w:bCs/>
        </w:rPr>
        <w:t>Цикл ВСР/РСР 2024–2027 годов</w:t>
      </w:r>
    </w:p>
    <w:tbl>
      <w:tblPr>
        <w:tblStyle w:val="TableGrid"/>
        <w:tblW w:w="5006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2"/>
        <w:gridCol w:w="1695"/>
        <w:gridCol w:w="1610"/>
        <w:gridCol w:w="1455"/>
        <w:gridCol w:w="1618"/>
        <w:gridCol w:w="1141"/>
      </w:tblGrid>
      <w:tr w:rsidR="00D20F5D" w:rsidRPr="00A66BD6" w14:paraId="1C8AC442" w14:textId="77777777" w:rsidTr="004A2808">
        <w:trPr>
          <w:trHeight w:val="300"/>
          <w:tblHeader/>
        </w:trPr>
        <w:tc>
          <w:tcPr>
            <w:tcW w:w="2122" w:type="dxa"/>
            <w:shd w:val="clear" w:color="auto" w:fill="F2F2F2" w:themeFill="background1" w:themeFillShade="F2"/>
            <w:noWrap/>
            <w:hideMark/>
          </w:tcPr>
          <w:p w14:paraId="203340D1" w14:textId="77777777" w:rsidR="00BF5F40" w:rsidRPr="00A66BD6" w:rsidRDefault="00BF5F40" w:rsidP="00781F05">
            <w:pPr>
              <w:pStyle w:val="Tablehead"/>
              <w:keepNext w:val="0"/>
              <w:keepLines/>
              <w:rPr>
                <w:lang w:val="ru-RU"/>
              </w:rPr>
            </w:pPr>
          </w:p>
        </w:tc>
        <w:tc>
          <w:tcPr>
            <w:tcW w:w="1695" w:type="dxa"/>
            <w:shd w:val="clear" w:color="auto" w:fill="F2F2F2" w:themeFill="background1" w:themeFillShade="F2"/>
            <w:noWrap/>
            <w:hideMark/>
          </w:tcPr>
          <w:p w14:paraId="694A5A4E" w14:textId="77777777" w:rsidR="00BF5F40" w:rsidRPr="00A66BD6" w:rsidRDefault="00BF5F40" w:rsidP="00781F05">
            <w:pPr>
              <w:pStyle w:val="Tablehead"/>
              <w:keepNext w:val="0"/>
              <w:keepLines/>
              <w:rPr>
                <w:lang w:val="ru-RU"/>
              </w:rPr>
            </w:pPr>
            <w:r w:rsidRPr="00A66BD6">
              <w:rPr>
                <w:bCs/>
                <w:color w:val="000000"/>
                <w:lang w:val="ru-RU"/>
              </w:rPr>
              <w:t>Язык</w:t>
            </w:r>
          </w:p>
        </w:tc>
        <w:tc>
          <w:tcPr>
            <w:tcW w:w="1610" w:type="dxa"/>
            <w:shd w:val="clear" w:color="auto" w:fill="F2F2F2" w:themeFill="background1" w:themeFillShade="F2"/>
            <w:noWrap/>
            <w:hideMark/>
          </w:tcPr>
          <w:p w14:paraId="64774E02" w14:textId="3B6FAD95" w:rsidR="00BF5F40" w:rsidRPr="00A66BD6" w:rsidRDefault="00BF5F40" w:rsidP="00781F05">
            <w:pPr>
              <w:pStyle w:val="Tablehead"/>
              <w:keepNext w:val="0"/>
              <w:keepLines/>
              <w:rPr>
                <w:lang w:val="ru-RU"/>
              </w:rPr>
            </w:pPr>
            <w:r w:rsidRPr="00A66BD6">
              <w:rPr>
                <w:bCs/>
                <w:color w:val="000000"/>
                <w:lang w:val="ru-RU"/>
              </w:rPr>
              <w:t>2024</w:t>
            </w:r>
            <w:r w:rsidR="004A2808" w:rsidRPr="00A66BD6">
              <w:rPr>
                <w:bCs/>
                <w:color w:val="000000"/>
                <w:lang w:val="ru-RU"/>
              </w:rPr>
              <w:t xml:space="preserve"> г.</w:t>
            </w:r>
          </w:p>
        </w:tc>
        <w:tc>
          <w:tcPr>
            <w:tcW w:w="1455" w:type="dxa"/>
            <w:shd w:val="clear" w:color="auto" w:fill="F2F2F2" w:themeFill="background1" w:themeFillShade="F2"/>
            <w:noWrap/>
            <w:hideMark/>
          </w:tcPr>
          <w:p w14:paraId="4FF87D3D" w14:textId="076A3BD2" w:rsidR="00BF5F40" w:rsidRPr="00A66BD6" w:rsidRDefault="00BF5F40" w:rsidP="00781F05">
            <w:pPr>
              <w:pStyle w:val="Tablehead"/>
              <w:keepNext w:val="0"/>
              <w:keepLines/>
              <w:rPr>
                <w:lang w:val="ru-RU"/>
              </w:rPr>
            </w:pPr>
            <w:r w:rsidRPr="00A66BD6">
              <w:rPr>
                <w:bCs/>
                <w:color w:val="000000"/>
                <w:lang w:val="ru-RU"/>
              </w:rPr>
              <w:t>2025</w:t>
            </w:r>
            <w:r w:rsidR="004A2808" w:rsidRPr="00A66BD6">
              <w:rPr>
                <w:bCs/>
                <w:color w:val="000000"/>
                <w:lang w:val="ru-RU"/>
              </w:rPr>
              <w:t xml:space="preserve"> г.</w:t>
            </w:r>
          </w:p>
        </w:tc>
        <w:tc>
          <w:tcPr>
            <w:tcW w:w="1618" w:type="dxa"/>
            <w:shd w:val="clear" w:color="auto" w:fill="F2F2F2" w:themeFill="background1" w:themeFillShade="F2"/>
            <w:noWrap/>
            <w:hideMark/>
          </w:tcPr>
          <w:p w14:paraId="0AE97730" w14:textId="170C76D0" w:rsidR="00BF5F40" w:rsidRPr="00A66BD6" w:rsidRDefault="00BF5F40" w:rsidP="00781F05">
            <w:pPr>
              <w:pStyle w:val="Tablehead"/>
              <w:keepNext w:val="0"/>
              <w:keepLines/>
              <w:rPr>
                <w:lang w:val="ru-RU"/>
              </w:rPr>
            </w:pPr>
            <w:r w:rsidRPr="00A66BD6">
              <w:rPr>
                <w:bCs/>
                <w:color w:val="000000"/>
                <w:lang w:val="ru-RU"/>
              </w:rPr>
              <w:t>2026</w:t>
            </w:r>
            <w:r w:rsidR="004A2808" w:rsidRPr="00A66BD6">
              <w:rPr>
                <w:bCs/>
                <w:color w:val="000000"/>
                <w:lang w:val="ru-RU"/>
              </w:rPr>
              <w:t xml:space="preserve"> г.</w:t>
            </w:r>
          </w:p>
        </w:tc>
        <w:tc>
          <w:tcPr>
            <w:tcW w:w="1141" w:type="dxa"/>
            <w:shd w:val="clear" w:color="auto" w:fill="F2F2F2" w:themeFill="background1" w:themeFillShade="F2"/>
            <w:noWrap/>
            <w:hideMark/>
          </w:tcPr>
          <w:p w14:paraId="398E20BD" w14:textId="322480EC" w:rsidR="00BF5F40" w:rsidRPr="00A66BD6" w:rsidRDefault="00BF5F40" w:rsidP="00781F05">
            <w:pPr>
              <w:pStyle w:val="Tablehead"/>
              <w:keepNext w:val="0"/>
              <w:keepLines/>
              <w:rPr>
                <w:lang w:val="ru-RU"/>
              </w:rPr>
            </w:pPr>
            <w:r w:rsidRPr="00A66BD6">
              <w:rPr>
                <w:bCs/>
                <w:color w:val="000000"/>
                <w:lang w:val="ru-RU"/>
              </w:rPr>
              <w:t>2027</w:t>
            </w:r>
            <w:r w:rsidR="004A2808" w:rsidRPr="00A66BD6">
              <w:rPr>
                <w:bCs/>
                <w:color w:val="000000"/>
                <w:lang w:val="ru-RU"/>
              </w:rPr>
              <w:t xml:space="preserve"> г.</w:t>
            </w:r>
          </w:p>
        </w:tc>
      </w:tr>
      <w:tr w:rsidR="004A2808" w:rsidRPr="00A66BD6" w14:paraId="4EFF2A66" w14:textId="77777777" w:rsidTr="004A2808">
        <w:trPr>
          <w:trHeight w:val="324"/>
        </w:trPr>
        <w:tc>
          <w:tcPr>
            <w:tcW w:w="2122" w:type="dxa"/>
            <w:shd w:val="clear" w:color="auto" w:fill="DAEEF3" w:themeFill="accent5" w:themeFillTint="33"/>
            <w:noWrap/>
            <w:hideMark/>
          </w:tcPr>
          <w:p w14:paraId="1297EA67" w14:textId="77777777" w:rsidR="00BF5F40" w:rsidRPr="00A66BD6" w:rsidRDefault="00BF5F40" w:rsidP="00781F05">
            <w:pPr>
              <w:pStyle w:val="Tablehead"/>
              <w:keepNext w:val="0"/>
              <w:keepLines/>
              <w:jc w:val="left"/>
              <w:rPr>
                <w:lang w:val="ru-RU"/>
              </w:rPr>
            </w:pPr>
            <w:r w:rsidRPr="00A66BD6">
              <w:rPr>
                <w:bCs/>
                <w:color w:val="000000"/>
                <w:lang w:val="ru-RU"/>
              </w:rPr>
              <w:t>ВСР (2)</w:t>
            </w:r>
          </w:p>
        </w:tc>
        <w:tc>
          <w:tcPr>
            <w:tcW w:w="1695" w:type="dxa"/>
            <w:noWrap/>
            <w:hideMark/>
          </w:tcPr>
          <w:p w14:paraId="69081D66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 xml:space="preserve">6 языков, только пленарные заседания </w:t>
            </w:r>
          </w:p>
        </w:tc>
        <w:tc>
          <w:tcPr>
            <w:tcW w:w="1610" w:type="dxa"/>
            <w:noWrap/>
            <w:hideMark/>
          </w:tcPr>
          <w:p w14:paraId="3CD0389C" w14:textId="666D6319" w:rsidR="00BF5F40" w:rsidRPr="00A66BD6" w:rsidRDefault="00BF5F40" w:rsidP="006A5EF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2–6 декабря</w:t>
            </w:r>
            <w:r w:rsidR="006A5EF5">
              <w:rPr>
                <w:color w:val="000000"/>
              </w:rPr>
              <w:br/>
            </w:r>
            <w:r w:rsidRPr="00A66BD6">
              <w:rPr>
                <w:color w:val="000000"/>
              </w:rPr>
              <w:t xml:space="preserve">Женева </w:t>
            </w:r>
          </w:p>
        </w:tc>
        <w:tc>
          <w:tcPr>
            <w:tcW w:w="1455" w:type="dxa"/>
            <w:noWrap/>
            <w:hideMark/>
          </w:tcPr>
          <w:p w14:paraId="1B1887E0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618" w:type="dxa"/>
            <w:noWrap/>
            <w:hideMark/>
          </w:tcPr>
          <w:p w14:paraId="73F89041" w14:textId="72597B8D" w:rsidR="00BF5F40" w:rsidRPr="00A66BD6" w:rsidRDefault="00BF5F40" w:rsidP="006A5EF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7–11 декабря</w:t>
            </w:r>
            <w:r w:rsidR="006A5EF5">
              <w:rPr>
                <w:color w:val="000000"/>
              </w:rPr>
              <w:br/>
            </w:r>
            <w:r w:rsidRPr="00A66BD6">
              <w:rPr>
                <w:color w:val="000000"/>
              </w:rPr>
              <w:t>Женева</w:t>
            </w:r>
          </w:p>
        </w:tc>
        <w:tc>
          <w:tcPr>
            <w:tcW w:w="1141" w:type="dxa"/>
            <w:noWrap/>
            <w:hideMark/>
          </w:tcPr>
          <w:p w14:paraId="21C2F35E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</w:tr>
      <w:tr w:rsidR="00BF5F40" w:rsidRPr="00A66BD6" w14:paraId="615D04E3" w14:textId="77777777" w:rsidTr="004A2808">
        <w:trPr>
          <w:trHeight w:val="324"/>
        </w:trPr>
        <w:tc>
          <w:tcPr>
            <w:tcW w:w="9641" w:type="dxa"/>
            <w:gridSpan w:val="6"/>
            <w:shd w:val="clear" w:color="auto" w:fill="F2F2F2" w:themeFill="background1" w:themeFillShade="F2"/>
            <w:noWrap/>
            <w:hideMark/>
          </w:tcPr>
          <w:p w14:paraId="2E0A6F4F" w14:textId="77777777" w:rsidR="00BF5F40" w:rsidRPr="00A66BD6" w:rsidRDefault="00BF5F40" w:rsidP="00781F05">
            <w:pPr>
              <w:pStyle w:val="Tabletext"/>
              <w:keepLines/>
            </w:pPr>
            <w:r w:rsidRPr="00A66BD6">
              <w:rPr>
                <w:b/>
                <w:bCs/>
                <w:color w:val="000000"/>
              </w:rPr>
              <w:t>РСР (11)</w:t>
            </w:r>
          </w:p>
        </w:tc>
      </w:tr>
      <w:tr w:rsidR="00BF5F40" w:rsidRPr="00A66BD6" w14:paraId="0A62A843" w14:textId="77777777" w:rsidTr="004A2808">
        <w:trPr>
          <w:trHeight w:val="429"/>
        </w:trPr>
        <w:tc>
          <w:tcPr>
            <w:tcW w:w="9641" w:type="dxa"/>
            <w:gridSpan w:val="6"/>
            <w:shd w:val="clear" w:color="auto" w:fill="F2F2F2" w:themeFill="background1" w:themeFillShade="F2"/>
            <w:hideMark/>
          </w:tcPr>
          <w:p w14:paraId="4891547A" w14:textId="77777777" w:rsidR="00BF5F40" w:rsidRPr="00A66BD6" w:rsidRDefault="00BF5F40" w:rsidP="00781F05">
            <w:pPr>
              <w:pStyle w:val="Tablehead"/>
              <w:keepNext w:val="0"/>
              <w:keepLines/>
              <w:jc w:val="left"/>
              <w:rPr>
                <w:i/>
                <w:lang w:val="ru-RU"/>
              </w:rPr>
            </w:pPr>
            <w:r w:rsidRPr="00A66BD6">
              <w:rPr>
                <w:bCs/>
                <w:color w:val="000000"/>
                <w:lang w:val="ru-RU"/>
              </w:rPr>
              <w:t>Африка: АФР (2)</w:t>
            </w:r>
          </w:p>
        </w:tc>
      </w:tr>
      <w:tr w:rsidR="00D20F5D" w:rsidRPr="00A66BD6" w14:paraId="00855F9F" w14:textId="77777777" w:rsidTr="004A2808">
        <w:trPr>
          <w:trHeight w:val="383"/>
        </w:trPr>
        <w:tc>
          <w:tcPr>
            <w:tcW w:w="2122" w:type="dxa"/>
            <w:noWrap/>
            <w:hideMark/>
          </w:tcPr>
          <w:p w14:paraId="05DDC0F3" w14:textId="77777777" w:rsidR="00BF5F40" w:rsidRPr="00A66BD6" w:rsidRDefault="00BF5F40" w:rsidP="00781F05">
            <w:pPr>
              <w:pStyle w:val="Tabletext"/>
              <w:keepLines/>
            </w:pPr>
            <w:r w:rsidRPr="00A66BD6">
              <w:rPr>
                <w:color w:val="000000"/>
              </w:rPr>
              <w:t>Африка</w:t>
            </w:r>
          </w:p>
        </w:tc>
        <w:tc>
          <w:tcPr>
            <w:tcW w:w="1695" w:type="dxa"/>
            <w:noWrap/>
            <w:hideMark/>
          </w:tcPr>
          <w:p w14:paraId="273FDD01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Арабский/ английский/ французский</w:t>
            </w:r>
          </w:p>
        </w:tc>
        <w:tc>
          <w:tcPr>
            <w:tcW w:w="1610" w:type="dxa"/>
            <w:noWrap/>
            <w:hideMark/>
          </w:tcPr>
          <w:p w14:paraId="580E4814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455" w:type="dxa"/>
            <w:hideMark/>
          </w:tcPr>
          <w:p w14:paraId="36F00381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 xml:space="preserve">5–8 мая г. Джибути, Джибути </w:t>
            </w:r>
          </w:p>
        </w:tc>
        <w:tc>
          <w:tcPr>
            <w:tcW w:w="1618" w:type="dxa"/>
            <w:noWrap/>
            <w:hideMark/>
          </w:tcPr>
          <w:p w14:paraId="30C33658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141" w:type="dxa"/>
            <w:noWrap/>
            <w:hideMark/>
          </w:tcPr>
          <w:p w14:paraId="4C089693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</w:tr>
      <w:tr w:rsidR="00D20F5D" w:rsidRPr="00A66BD6" w14:paraId="0B04A337" w14:textId="77777777" w:rsidTr="004A2808">
        <w:trPr>
          <w:trHeight w:val="300"/>
        </w:trPr>
        <w:tc>
          <w:tcPr>
            <w:tcW w:w="2122" w:type="dxa"/>
            <w:noWrap/>
            <w:hideMark/>
          </w:tcPr>
          <w:p w14:paraId="17B1FE8D" w14:textId="77777777" w:rsidR="00BF5F40" w:rsidRPr="00A66BD6" w:rsidRDefault="00BF5F40" w:rsidP="00781F05">
            <w:pPr>
              <w:pStyle w:val="Tabletext"/>
              <w:keepLines/>
            </w:pPr>
            <w:r w:rsidRPr="00A66BD6">
              <w:rPr>
                <w:color w:val="000000"/>
              </w:rPr>
              <w:t>Африка</w:t>
            </w:r>
          </w:p>
        </w:tc>
        <w:tc>
          <w:tcPr>
            <w:tcW w:w="1695" w:type="dxa"/>
            <w:noWrap/>
            <w:hideMark/>
          </w:tcPr>
          <w:p w14:paraId="227F2C03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Английский/ французский</w:t>
            </w:r>
          </w:p>
        </w:tc>
        <w:tc>
          <w:tcPr>
            <w:tcW w:w="1610" w:type="dxa"/>
            <w:noWrap/>
            <w:hideMark/>
          </w:tcPr>
          <w:p w14:paraId="03C82455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455" w:type="dxa"/>
            <w:noWrap/>
            <w:hideMark/>
          </w:tcPr>
          <w:p w14:paraId="3026734F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618" w:type="dxa"/>
            <w:noWrap/>
            <w:hideMark/>
          </w:tcPr>
          <w:p w14:paraId="4E227627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141" w:type="dxa"/>
            <w:hideMark/>
          </w:tcPr>
          <w:p w14:paraId="1B1B8D33" w14:textId="0683704A" w:rsidR="00BF5F40" w:rsidRPr="00A66BD6" w:rsidRDefault="004A2808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II</w:t>
            </w:r>
            <w:r w:rsidR="00BF5F40" w:rsidRPr="00A66BD6">
              <w:rPr>
                <w:color w:val="000000"/>
              </w:rPr>
              <w:t xml:space="preserve"> кв.</w:t>
            </w:r>
          </w:p>
        </w:tc>
      </w:tr>
      <w:tr w:rsidR="00BF5F40" w:rsidRPr="00A66BD6" w14:paraId="3D0DA717" w14:textId="77777777" w:rsidTr="004A2808">
        <w:trPr>
          <w:trHeight w:val="300"/>
        </w:trPr>
        <w:tc>
          <w:tcPr>
            <w:tcW w:w="9641" w:type="dxa"/>
            <w:gridSpan w:val="6"/>
            <w:shd w:val="clear" w:color="auto" w:fill="F2F2F2" w:themeFill="background1" w:themeFillShade="F2"/>
            <w:hideMark/>
          </w:tcPr>
          <w:p w14:paraId="4BF6259C" w14:textId="77777777" w:rsidR="00BF5F40" w:rsidRPr="00A66BD6" w:rsidRDefault="00BF5F40" w:rsidP="00781F05">
            <w:pPr>
              <w:pStyle w:val="Tablehead"/>
              <w:keepNext w:val="0"/>
              <w:keepLines/>
              <w:jc w:val="left"/>
              <w:rPr>
                <w:lang w:val="ru-RU"/>
              </w:rPr>
            </w:pPr>
            <w:r w:rsidRPr="00A66BD6">
              <w:rPr>
                <w:bCs/>
                <w:color w:val="000000"/>
                <w:lang w:val="ru-RU"/>
              </w:rPr>
              <w:t>Северная и Южная Америка: АМР (3)</w:t>
            </w:r>
          </w:p>
        </w:tc>
      </w:tr>
      <w:tr w:rsidR="00D20F5D" w:rsidRPr="00A66BD6" w14:paraId="34AFC534" w14:textId="77777777" w:rsidTr="004A2808">
        <w:trPr>
          <w:trHeight w:val="576"/>
        </w:trPr>
        <w:tc>
          <w:tcPr>
            <w:tcW w:w="2122" w:type="dxa"/>
            <w:noWrap/>
          </w:tcPr>
          <w:p w14:paraId="4FCFF9E4" w14:textId="77777777" w:rsidR="00BF5F40" w:rsidRPr="00A66BD6" w:rsidRDefault="00BF5F40" w:rsidP="00781F05">
            <w:pPr>
              <w:pStyle w:val="Tabletext"/>
              <w:keepLines/>
            </w:pPr>
            <w:r w:rsidRPr="00A66BD6">
              <w:rPr>
                <w:color w:val="000000"/>
              </w:rPr>
              <w:t>Карибский бассейн</w:t>
            </w:r>
          </w:p>
        </w:tc>
        <w:tc>
          <w:tcPr>
            <w:tcW w:w="1695" w:type="dxa"/>
            <w:noWrap/>
          </w:tcPr>
          <w:p w14:paraId="78B2862D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Английский</w:t>
            </w:r>
          </w:p>
        </w:tc>
        <w:tc>
          <w:tcPr>
            <w:tcW w:w="1610" w:type="dxa"/>
          </w:tcPr>
          <w:p w14:paraId="6B4D66F3" w14:textId="1F66BD03" w:rsidR="00BF5F40" w:rsidRPr="00A66BD6" w:rsidRDefault="00BF5F40" w:rsidP="006A5EF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22–27 июля</w:t>
            </w:r>
            <w:r w:rsidR="006A5EF5">
              <w:rPr>
                <w:color w:val="000000"/>
              </w:rPr>
              <w:br/>
            </w:r>
            <w:r w:rsidRPr="00A66BD6">
              <w:rPr>
                <w:color w:val="000000"/>
              </w:rPr>
              <w:t>Сент­Джорджес, Гренада</w:t>
            </w:r>
          </w:p>
        </w:tc>
        <w:tc>
          <w:tcPr>
            <w:tcW w:w="1455" w:type="dxa"/>
            <w:noWrap/>
          </w:tcPr>
          <w:p w14:paraId="137365C0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618" w:type="dxa"/>
            <w:noWrap/>
          </w:tcPr>
          <w:p w14:paraId="4D1338C3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141" w:type="dxa"/>
            <w:noWrap/>
          </w:tcPr>
          <w:p w14:paraId="75756BA6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</w:tr>
      <w:tr w:rsidR="00D20F5D" w:rsidRPr="00A66BD6" w14:paraId="32FDCABE" w14:textId="77777777" w:rsidTr="004A2808">
        <w:trPr>
          <w:trHeight w:val="227"/>
        </w:trPr>
        <w:tc>
          <w:tcPr>
            <w:tcW w:w="2122" w:type="dxa"/>
            <w:noWrap/>
            <w:hideMark/>
          </w:tcPr>
          <w:p w14:paraId="562D2625" w14:textId="77777777" w:rsidR="00BF5F40" w:rsidRPr="00A66BD6" w:rsidRDefault="00BF5F40" w:rsidP="00781F05">
            <w:pPr>
              <w:pStyle w:val="Tabletext"/>
              <w:keepLines/>
            </w:pPr>
            <w:r w:rsidRPr="00A66BD6">
              <w:rPr>
                <w:color w:val="000000"/>
              </w:rPr>
              <w:t xml:space="preserve">Южная Америка </w:t>
            </w:r>
          </w:p>
        </w:tc>
        <w:tc>
          <w:tcPr>
            <w:tcW w:w="1695" w:type="dxa"/>
            <w:noWrap/>
            <w:hideMark/>
          </w:tcPr>
          <w:p w14:paraId="1D1D3382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 xml:space="preserve">Испанский/ английский </w:t>
            </w:r>
          </w:p>
        </w:tc>
        <w:tc>
          <w:tcPr>
            <w:tcW w:w="1610" w:type="dxa"/>
            <w:hideMark/>
          </w:tcPr>
          <w:p w14:paraId="044DC272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455" w:type="dxa"/>
            <w:noWrap/>
            <w:hideMark/>
          </w:tcPr>
          <w:p w14:paraId="36293614" w14:textId="11CDE06E" w:rsidR="00BF5F40" w:rsidRPr="00A66BD6" w:rsidRDefault="00BF5F40" w:rsidP="00781F05">
            <w:pPr>
              <w:pStyle w:val="Tabletext"/>
              <w:keepLines/>
              <w:jc w:val="center"/>
            </w:pPr>
          </w:p>
        </w:tc>
        <w:tc>
          <w:tcPr>
            <w:tcW w:w="1618" w:type="dxa"/>
            <w:noWrap/>
            <w:hideMark/>
          </w:tcPr>
          <w:p w14:paraId="05AFAA97" w14:textId="57FCD16C" w:rsidR="00BF5F40" w:rsidRPr="00A66BD6" w:rsidRDefault="00BF5F40" w:rsidP="006A5EF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27–31 июля</w:t>
            </w:r>
            <w:r w:rsidR="006A5EF5">
              <w:rPr>
                <w:color w:val="000000"/>
              </w:rPr>
              <w:br/>
            </w:r>
            <w:r w:rsidRPr="00A66BD6">
              <w:rPr>
                <w:color w:val="000000"/>
              </w:rPr>
              <w:t>Ла-Пас, Боливия (будет подтверждено дополнительно)</w:t>
            </w:r>
          </w:p>
        </w:tc>
        <w:tc>
          <w:tcPr>
            <w:tcW w:w="1141" w:type="dxa"/>
            <w:noWrap/>
            <w:hideMark/>
          </w:tcPr>
          <w:p w14:paraId="3F301761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</w:tr>
      <w:tr w:rsidR="00D20F5D" w:rsidRPr="00A66BD6" w14:paraId="21C21934" w14:textId="77777777" w:rsidTr="004A2808">
        <w:trPr>
          <w:trHeight w:val="300"/>
        </w:trPr>
        <w:tc>
          <w:tcPr>
            <w:tcW w:w="2122" w:type="dxa"/>
            <w:noWrap/>
            <w:hideMark/>
          </w:tcPr>
          <w:p w14:paraId="4D57A115" w14:textId="77777777" w:rsidR="00BF5F40" w:rsidRPr="00A66BD6" w:rsidRDefault="00BF5F40" w:rsidP="00781F05">
            <w:pPr>
              <w:pStyle w:val="Tabletext"/>
              <w:keepLines/>
            </w:pPr>
            <w:r w:rsidRPr="00A66BD6">
              <w:rPr>
                <w:color w:val="000000"/>
              </w:rPr>
              <w:t xml:space="preserve">Центральная Америка </w:t>
            </w:r>
          </w:p>
        </w:tc>
        <w:tc>
          <w:tcPr>
            <w:tcW w:w="1695" w:type="dxa"/>
            <w:noWrap/>
            <w:hideMark/>
          </w:tcPr>
          <w:p w14:paraId="35CB761A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Испанский/ английский</w:t>
            </w:r>
          </w:p>
        </w:tc>
        <w:tc>
          <w:tcPr>
            <w:tcW w:w="1610" w:type="dxa"/>
            <w:noWrap/>
            <w:hideMark/>
          </w:tcPr>
          <w:p w14:paraId="597E8442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455" w:type="dxa"/>
            <w:noWrap/>
            <w:hideMark/>
          </w:tcPr>
          <w:p w14:paraId="65A4B662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16–20 июня Тегусигальпа, Гондурас</w:t>
            </w:r>
          </w:p>
        </w:tc>
        <w:tc>
          <w:tcPr>
            <w:tcW w:w="1618" w:type="dxa"/>
            <w:noWrap/>
            <w:hideMark/>
          </w:tcPr>
          <w:p w14:paraId="7AF5C8B5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141" w:type="dxa"/>
            <w:hideMark/>
          </w:tcPr>
          <w:p w14:paraId="4221B24D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</w:tr>
      <w:tr w:rsidR="00BF5F40" w:rsidRPr="00A66BD6" w14:paraId="7362D490" w14:textId="77777777" w:rsidTr="004A2808">
        <w:trPr>
          <w:trHeight w:val="300"/>
        </w:trPr>
        <w:tc>
          <w:tcPr>
            <w:tcW w:w="9641" w:type="dxa"/>
            <w:gridSpan w:val="6"/>
            <w:shd w:val="clear" w:color="auto" w:fill="F2F2F2" w:themeFill="background1" w:themeFillShade="F2"/>
            <w:hideMark/>
          </w:tcPr>
          <w:p w14:paraId="2E4DA294" w14:textId="77777777" w:rsidR="00BF5F40" w:rsidRPr="00A66BD6" w:rsidRDefault="00BF5F40" w:rsidP="00781F05">
            <w:pPr>
              <w:pStyle w:val="Tablehead"/>
              <w:keepNext w:val="0"/>
              <w:keepLines/>
              <w:jc w:val="left"/>
              <w:rPr>
                <w:lang w:val="ru-RU"/>
              </w:rPr>
            </w:pPr>
            <w:r w:rsidRPr="00A66BD6">
              <w:rPr>
                <w:bCs/>
                <w:color w:val="000000"/>
                <w:lang w:val="ru-RU"/>
              </w:rPr>
              <w:t>Азиатско-Тихоокеанский регион: АТР (3)</w:t>
            </w:r>
          </w:p>
        </w:tc>
      </w:tr>
      <w:tr w:rsidR="00D20F5D" w:rsidRPr="00A66BD6" w14:paraId="12543E16" w14:textId="77777777" w:rsidTr="004A2808">
        <w:trPr>
          <w:trHeight w:val="288"/>
        </w:trPr>
        <w:tc>
          <w:tcPr>
            <w:tcW w:w="2122" w:type="dxa"/>
            <w:noWrap/>
          </w:tcPr>
          <w:p w14:paraId="31819F7C" w14:textId="77777777" w:rsidR="00BF5F40" w:rsidRPr="00A66BD6" w:rsidRDefault="00BF5F40" w:rsidP="00781F05">
            <w:pPr>
              <w:pStyle w:val="Tabletext"/>
              <w:keepLines/>
            </w:pPr>
            <w:r w:rsidRPr="00A66BD6">
              <w:rPr>
                <w:color w:val="000000"/>
              </w:rPr>
              <w:t>Островные государства Тихого океана</w:t>
            </w:r>
          </w:p>
        </w:tc>
        <w:tc>
          <w:tcPr>
            <w:tcW w:w="1695" w:type="dxa"/>
            <w:noWrap/>
          </w:tcPr>
          <w:p w14:paraId="54D02599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Английский</w:t>
            </w:r>
          </w:p>
        </w:tc>
        <w:tc>
          <w:tcPr>
            <w:tcW w:w="1610" w:type="dxa"/>
            <w:noWrap/>
            <w:hideMark/>
          </w:tcPr>
          <w:p w14:paraId="2461790A" w14:textId="6DADF4DC" w:rsidR="00BF5F40" w:rsidRPr="00A66BD6" w:rsidRDefault="00BF5F40" w:rsidP="006A5EF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16–21 сентября</w:t>
            </w:r>
            <w:r w:rsidR="006A5EF5">
              <w:rPr>
                <w:color w:val="000000"/>
              </w:rPr>
              <w:br/>
            </w:r>
            <w:r w:rsidRPr="00A66BD6">
              <w:rPr>
                <w:color w:val="000000"/>
              </w:rPr>
              <w:t>Апиа, Самоа</w:t>
            </w:r>
          </w:p>
        </w:tc>
        <w:tc>
          <w:tcPr>
            <w:tcW w:w="1455" w:type="dxa"/>
            <w:noWrap/>
            <w:hideMark/>
          </w:tcPr>
          <w:p w14:paraId="4A6D2BC8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618" w:type="dxa"/>
            <w:hideMark/>
          </w:tcPr>
          <w:p w14:paraId="59356581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141" w:type="dxa"/>
            <w:noWrap/>
            <w:hideMark/>
          </w:tcPr>
          <w:p w14:paraId="7083FB80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</w:tr>
      <w:tr w:rsidR="00D20F5D" w:rsidRPr="00A66BD6" w14:paraId="51041BC7" w14:textId="77777777" w:rsidTr="004A2808">
        <w:trPr>
          <w:trHeight w:val="409"/>
        </w:trPr>
        <w:tc>
          <w:tcPr>
            <w:tcW w:w="2122" w:type="dxa"/>
            <w:noWrap/>
            <w:hideMark/>
          </w:tcPr>
          <w:p w14:paraId="44DE8AB7" w14:textId="77777777" w:rsidR="00BF5F40" w:rsidRPr="00A66BD6" w:rsidRDefault="00BF5F40" w:rsidP="00781F05">
            <w:pPr>
              <w:pStyle w:val="Tabletext"/>
              <w:keepLines/>
            </w:pPr>
            <w:r w:rsidRPr="00A66BD6">
              <w:rPr>
                <w:color w:val="000000"/>
              </w:rPr>
              <w:t>Южная Азия</w:t>
            </w:r>
          </w:p>
        </w:tc>
        <w:tc>
          <w:tcPr>
            <w:tcW w:w="1695" w:type="dxa"/>
            <w:noWrap/>
            <w:hideMark/>
          </w:tcPr>
          <w:p w14:paraId="287C5537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Английский</w:t>
            </w:r>
          </w:p>
        </w:tc>
        <w:tc>
          <w:tcPr>
            <w:tcW w:w="1610" w:type="dxa"/>
            <w:hideMark/>
          </w:tcPr>
          <w:p w14:paraId="44DDE470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455" w:type="dxa"/>
            <w:noWrap/>
          </w:tcPr>
          <w:p w14:paraId="0F918524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 xml:space="preserve">20–24 октября Чэнду, Китай </w:t>
            </w:r>
          </w:p>
        </w:tc>
        <w:tc>
          <w:tcPr>
            <w:tcW w:w="1618" w:type="dxa"/>
            <w:noWrap/>
            <w:hideMark/>
          </w:tcPr>
          <w:p w14:paraId="5CAD717F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141" w:type="dxa"/>
            <w:noWrap/>
            <w:hideMark/>
          </w:tcPr>
          <w:p w14:paraId="04E7F08E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</w:tr>
      <w:tr w:rsidR="00D20F5D" w:rsidRPr="00A66BD6" w14:paraId="64883ABB" w14:textId="77777777" w:rsidTr="004A2808">
        <w:trPr>
          <w:trHeight w:val="415"/>
        </w:trPr>
        <w:tc>
          <w:tcPr>
            <w:tcW w:w="2122" w:type="dxa"/>
            <w:noWrap/>
          </w:tcPr>
          <w:p w14:paraId="25AA70DE" w14:textId="77777777" w:rsidR="00BF5F40" w:rsidRPr="00A66BD6" w:rsidRDefault="00BF5F40" w:rsidP="00781F05">
            <w:pPr>
              <w:pStyle w:val="Tabletext"/>
              <w:keepLines/>
            </w:pPr>
            <w:r w:rsidRPr="00A66BD6">
              <w:rPr>
                <w:color w:val="000000"/>
              </w:rPr>
              <w:t>Центральная Азия</w:t>
            </w:r>
          </w:p>
        </w:tc>
        <w:tc>
          <w:tcPr>
            <w:tcW w:w="1695" w:type="dxa"/>
            <w:noWrap/>
          </w:tcPr>
          <w:p w14:paraId="16B8CABE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Английский</w:t>
            </w:r>
          </w:p>
        </w:tc>
        <w:tc>
          <w:tcPr>
            <w:tcW w:w="1610" w:type="dxa"/>
            <w:noWrap/>
          </w:tcPr>
          <w:p w14:paraId="4A46A98C" w14:textId="77777777" w:rsidR="00BF5F40" w:rsidRPr="00A66BD6" w:rsidRDefault="00BF5F40" w:rsidP="00781F05">
            <w:pPr>
              <w:pStyle w:val="Tabletext"/>
              <w:keepLines/>
              <w:jc w:val="center"/>
              <w:rPr>
                <w:b/>
              </w:rPr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455" w:type="dxa"/>
          </w:tcPr>
          <w:p w14:paraId="13E3477D" w14:textId="77777777" w:rsidR="00BF5F40" w:rsidRPr="00A66BD6" w:rsidRDefault="00BF5F40" w:rsidP="00781F05">
            <w:pPr>
              <w:pStyle w:val="Tabletext"/>
              <w:keepLines/>
              <w:jc w:val="center"/>
              <w:rPr>
                <w:b/>
              </w:rPr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618" w:type="dxa"/>
            <w:noWrap/>
          </w:tcPr>
          <w:p w14:paraId="02FF1D4E" w14:textId="25C69DE2" w:rsidR="00BF5F40" w:rsidRPr="00A66BD6" w:rsidRDefault="00BF5F40" w:rsidP="006A5EF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21–25 сентября</w:t>
            </w:r>
            <w:r w:rsidR="006A5EF5">
              <w:rPr>
                <w:color w:val="000000"/>
              </w:rPr>
              <w:br/>
            </w:r>
            <w:r w:rsidRPr="00A66BD6">
              <w:rPr>
                <w:color w:val="000000"/>
              </w:rPr>
              <w:t>Улан-Батор, Монголия (будет подтверждено дополнительно)</w:t>
            </w:r>
          </w:p>
        </w:tc>
        <w:tc>
          <w:tcPr>
            <w:tcW w:w="1141" w:type="dxa"/>
            <w:noWrap/>
          </w:tcPr>
          <w:p w14:paraId="1013D969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</w:tr>
      <w:tr w:rsidR="00D20F5D" w:rsidRPr="00A66BD6" w14:paraId="52982504" w14:textId="77777777" w:rsidTr="004A2808">
        <w:trPr>
          <w:trHeight w:val="300"/>
        </w:trPr>
        <w:tc>
          <w:tcPr>
            <w:tcW w:w="2122" w:type="dxa"/>
            <w:shd w:val="clear" w:color="auto" w:fill="F2F2F2" w:themeFill="background1" w:themeFillShade="F2"/>
            <w:hideMark/>
          </w:tcPr>
          <w:p w14:paraId="59420182" w14:textId="77777777" w:rsidR="00BF5F40" w:rsidRPr="00A66BD6" w:rsidRDefault="00BF5F40" w:rsidP="00781F05">
            <w:pPr>
              <w:pStyle w:val="Tablehead"/>
              <w:keepNext w:val="0"/>
              <w:keepLines/>
              <w:jc w:val="left"/>
              <w:rPr>
                <w:lang w:val="ru-RU"/>
              </w:rPr>
            </w:pPr>
            <w:r w:rsidRPr="00A66BD6">
              <w:rPr>
                <w:bCs/>
                <w:color w:val="000000"/>
                <w:lang w:val="ru-RU"/>
              </w:rPr>
              <w:t>Арабские государства: АРБ (1)</w:t>
            </w:r>
          </w:p>
        </w:tc>
        <w:tc>
          <w:tcPr>
            <w:tcW w:w="1695" w:type="dxa"/>
            <w:hideMark/>
          </w:tcPr>
          <w:p w14:paraId="5440AF71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Арабский/ английский</w:t>
            </w:r>
          </w:p>
        </w:tc>
        <w:tc>
          <w:tcPr>
            <w:tcW w:w="1610" w:type="dxa"/>
            <w:noWrap/>
          </w:tcPr>
          <w:p w14:paraId="50976C60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455" w:type="dxa"/>
            <w:noWrap/>
            <w:hideMark/>
          </w:tcPr>
          <w:p w14:paraId="5C256F0C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618" w:type="dxa"/>
            <w:noWrap/>
            <w:hideMark/>
          </w:tcPr>
          <w:p w14:paraId="232206D6" w14:textId="77777777" w:rsidR="00BF5F40" w:rsidRPr="00A66BD6" w:rsidRDefault="00BF5F40" w:rsidP="00781F05">
            <w:pPr>
              <w:pStyle w:val="Tabletext"/>
              <w:keepLines/>
              <w:jc w:val="center"/>
            </w:pPr>
          </w:p>
        </w:tc>
        <w:tc>
          <w:tcPr>
            <w:tcW w:w="1141" w:type="dxa"/>
            <w:noWrap/>
            <w:hideMark/>
          </w:tcPr>
          <w:p w14:paraId="6B6D13A9" w14:textId="31E5C9DD" w:rsidR="00BF5F40" w:rsidRPr="00A66BD6" w:rsidRDefault="004A2808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I</w:t>
            </w:r>
            <w:r w:rsidR="00BF5F40" w:rsidRPr="00A66BD6">
              <w:rPr>
                <w:color w:val="000000"/>
              </w:rPr>
              <w:t xml:space="preserve"> кв.</w:t>
            </w:r>
          </w:p>
        </w:tc>
      </w:tr>
      <w:tr w:rsidR="00D20F5D" w:rsidRPr="00A66BD6" w14:paraId="19F6DDCC" w14:textId="77777777" w:rsidTr="004A2808">
        <w:trPr>
          <w:trHeight w:val="300"/>
        </w:trPr>
        <w:tc>
          <w:tcPr>
            <w:tcW w:w="2122" w:type="dxa"/>
            <w:shd w:val="clear" w:color="auto" w:fill="F2F2F2" w:themeFill="background1" w:themeFillShade="F2"/>
            <w:hideMark/>
          </w:tcPr>
          <w:p w14:paraId="31D0F693" w14:textId="77777777" w:rsidR="00BF5F40" w:rsidRPr="00A66BD6" w:rsidRDefault="00BF5F40" w:rsidP="00781F05">
            <w:pPr>
              <w:pStyle w:val="Tablehead"/>
              <w:keepNext w:val="0"/>
              <w:keepLines/>
              <w:jc w:val="left"/>
              <w:rPr>
                <w:lang w:val="ru-RU"/>
              </w:rPr>
            </w:pPr>
            <w:r w:rsidRPr="00A66BD6">
              <w:rPr>
                <w:bCs/>
                <w:color w:val="000000"/>
                <w:lang w:val="ru-RU"/>
              </w:rPr>
              <w:t>СНГ и Восточная Европа (1)</w:t>
            </w:r>
          </w:p>
        </w:tc>
        <w:tc>
          <w:tcPr>
            <w:tcW w:w="1695" w:type="dxa"/>
            <w:hideMark/>
          </w:tcPr>
          <w:p w14:paraId="3890435D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 xml:space="preserve">Русский </w:t>
            </w:r>
          </w:p>
        </w:tc>
        <w:tc>
          <w:tcPr>
            <w:tcW w:w="1610" w:type="dxa"/>
            <w:noWrap/>
            <w:hideMark/>
          </w:tcPr>
          <w:p w14:paraId="5429BA8A" w14:textId="5FAA1EDB" w:rsidR="00BF5F40" w:rsidRPr="00A66BD6" w:rsidRDefault="00BF5F40" w:rsidP="006A5EF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15–19 апреля</w:t>
            </w:r>
            <w:r w:rsidR="006A5EF5">
              <w:rPr>
                <w:color w:val="000000"/>
              </w:rPr>
              <w:br/>
            </w:r>
            <w:r w:rsidRPr="00A66BD6">
              <w:rPr>
                <w:color w:val="000000"/>
              </w:rPr>
              <w:t>Астана, Казахстан</w:t>
            </w:r>
          </w:p>
        </w:tc>
        <w:tc>
          <w:tcPr>
            <w:tcW w:w="1455" w:type="dxa"/>
            <w:noWrap/>
            <w:hideMark/>
          </w:tcPr>
          <w:p w14:paraId="5FE622F6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618" w:type="dxa"/>
            <w:hideMark/>
          </w:tcPr>
          <w:p w14:paraId="1AD8279D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141" w:type="dxa"/>
            <w:noWrap/>
            <w:hideMark/>
          </w:tcPr>
          <w:p w14:paraId="71746941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</w:tr>
      <w:tr w:rsidR="00D20F5D" w:rsidRPr="00A66BD6" w14:paraId="61AC54A6" w14:textId="77777777" w:rsidTr="004A2808">
        <w:trPr>
          <w:trHeight w:val="300"/>
        </w:trPr>
        <w:tc>
          <w:tcPr>
            <w:tcW w:w="2122" w:type="dxa"/>
            <w:shd w:val="clear" w:color="auto" w:fill="F2F2F2" w:themeFill="background1" w:themeFillShade="F2"/>
            <w:hideMark/>
          </w:tcPr>
          <w:p w14:paraId="2EA7A644" w14:textId="77777777" w:rsidR="00BF5F40" w:rsidRPr="00A66BD6" w:rsidRDefault="00BF5F40" w:rsidP="00781F05">
            <w:pPr>
              <w:pStyle w:val="Tablehead"/>
              <w:keepNext w:val="0"/>
              <w:keepLines/>
              <w:jc w:val="left"/>
              <w:rPr>
                <w:lang w:val="ru-RU"/>
              </w:rPr>
            </w:pPr>
            <w:r w:rsidRPr="00A66BD6">
              <w:rPr>
                <w:bCs/>
                <w:color w:val="000000"/>
                <w:lang w:val="ru-RU"/>
              </w:rPr>
              <w:t>Европа (1)</w:t>
            </w:r>
          </w:p>
        </w:tc>
        <w:tc>
          <w:tcPr>
            <w:tcW w:w="1695" w:type="dxa"/>
            <w:hideMark/>
          </w:tcPr>
          <w:p w14:paraId="70A2394B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Английский</w:t>
            </w:r>
          </w:p>
        </w:tc>
        <w:tc>
          <w:tcPr>
            <w:tcW w:w="1610" w:type="dxa"/>
            <w:noWrap/>
            <w:hideMark/>
          </w:tcPr>
          <w:p w14:paraId="1A7CF419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455" w:type="dxa"/>
            <w:noWrap/>
            <w:hideMark/>
          </w:tcPr>
          <w:p w14:paraId="46AD34AE" w14:textId="77777777" w:rsidR="00BF5F40" w:rsidRPr="00A66BD6" w:rsidRDefault="00BF5F40" w:rsidP="00781F0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−</w:t>
            </w:r>
          </w:p>
        </w:tc>
        <w:tc>
          <w:tcPr>
            <w:tcW w:w="1618" w:type="dxa"/>
            <w:noWrap/>
            <w:hideMark/>
          </w:tcPr>
          <w:p w14:paraId="67A61E32" w14:textId="5CEBB843" w:rsidR="00BF5F40" w:rsidRPr="00A66BD6" w:rsidRDefault="00BF5F40" w:rsidP="006A5EF5">
            <w:pPr>
              <w:pStyle w:val="Tabletext"/>
              <w:keepLines/>
              <w:jc w:val="center"/>
            </w:pPr>
            <w:r w:rsidRPr="00A66BD6">
              <w:rPr>
                <w:color w:val="000000"/>
              </w:rPr>
              <w:t>16–20 февраля</w:t>
            </w:r>
            <w:r w:rsidR="006A5EF5">
              <w:rPr>
                <w:color w:val="000000"/>
              </w:rPr>
              <w:br/>
            </w:r>
            <w:r w:rsidRPr="00A66BD6">
              <w:rPr>
                <w:color w:val="000000"/>
              </w:rPr>
              <w:t>Афины, Греция</w:t>
            </w:r>
          </w:p>
        </w:tc>
        <w:tc>
          <w:tcPr>
            <w:tcW w:w="1141" w:type="dxa"/>
            <w:hideMark/>
          </w:tcPr>
          <w:p w14:paraId="6AE155FA" w14:textId="77777777" w:rsidR="00BF5F40" w:rsidRPr="00A66BD6" w:rsidRDefault="00BF5F40" w:rsidP="00781F05">
            <w:pPr>
              <w:pStyle w:val="Tabletext"/>
              <w:keepLines/>
              <w:jc w:val="center"/>
            </w:pPr>
          </w:p>
        </w:tc>
      </w:tr>
    </w:tbl>
    <w:p w14:paraId="2B413A3F" w14:textId="77777777" w:rsidR="00BF5F40" w:rsidRPr="00A66BD6" w:rsidRDefault="00BF5F40" w:rsidP="00AD5667">
      <w:pPr>
        <w:pStyle w:val="Normalaftertitle"/>
        <w:keepNext/>
      </w:pPr>
      <w:r w:rsidRPr="00A66BD6">
        <w:t>Как и в предыдущих циклах, в целях оптимизации потребностей в ресурсах предлагаемое планирование базируется на следующих принципах:</w:t>
      </w:r>
    </w:p>
    <w:p w14:paraId="00645E61" w14:textId="1E2733FF" w:rsidR="00BF5F40" w:rsidRPr="00A66BD6" w:rsidRDefault="004A2808" w:rsidP="004A2808">
      <w:pPr>
        <w:pStyle w:val="enumlev1"/>
      </w:pPr>
      <w:r w:rsidRPr="00A66BD6">
        <w:t>•</w:t>
      </w:r>
      <w:r w:rsidRPr="00A66BD6">
        <w:tab/>
      </w:r>
      <w:r w:rsidR="00AD5667" w:rsidRPr="00A66BD6">
        <w:t>I</w:t>
      </w:r>
      <w:r w:rsidR="00BF5F40" w:rsidRPr="00A66BD6">
        <w:t xml:space="preserve"> квартал 2024 года: РСР/ВСР не проводятся; обновление РР и соответствующих программных инструментов;</w:t>
      </w:r>
    </w:p>
    <w:p w14:paraId="25855A66" w14:textId="1DD86DD5" w:rsidR="00BF5F40" w:rsidRPr="00A66BD6" w:rsidRDefault="004A2808" w:rsidP="004A2808">
      <w:pPr>
        <w:pStyle w:val="enumlev1"/>
      </w:pPr>
      <w:r w:rsidRPr="00A66BD6">
        <w:lastRenderedPageBreak/>
        <w:t>•</w:t>
      </w:r>
      <w:r w:rsidRPr="00A66BD6">
        <w:tab/>
      </w:r>
      <w:r w:rsidR="00BF5F40" w:rsidRPr="00A66BD6">
        <w:t>2-е полугодие 2027 года: РСР/ВСР не проводятся; подготовка к предстоящей ВКР-27;</w:t>
      </w:r>
    </w:p>
    <w:p w14:paraId="07E9C683" w14:textId="12FA5288" w:rsidR="00BF5F40" w:rsidRPr="00A66BD6" w:rsidRDefault="004A2808" w:rsidP="004A2808">
      <w:pPr>
        <w:pStyle w:val="enumlev1"/>
      </w:pPr>
      <w:r w:rsidRPr="00A66BD6">
        <w:t>•</w:t>
      </w:r>
      <w:r w:rsidRPr="00A66BD6">
        <w:tab/>
      </w:r>
      <w:r w:rsidR="00BF5F40" w:rsidRPr="00A66BD6">
        <w:t>два ВСР в течение цикла (в декабре, один раз в два года): ВСР-24 и ВСР-26;</w:t>
      </w:r>
    </w:p>
    <w:p w14:paraId="2E714E15" w14:textId="283CF031" w:rsidR="00BF5F40" w:rsidRPr="00A66BD6" w:rsidRDefault="004A2808" w:rsidP="004A2808">
      <w:pPr>
        <w:pStyle w:val="enumlev1"/>
      </w:pPr>
      <w:r w:rsidRPr="00A66BD6">
        <w:t>•</w:t>
      </w:r>
      <w:r w:rsidRPr="00A66BD6">
        <w:tab/>
      </w:r>
      <w:r w:rsidR="00BF5F40" w:rsidRPr="00A66BD6">
        <w:t>первый ВСР после ВКР (ВСР-24) включает специальную сессию, посвященную подробному разъяснению изменений, внесенных в РР на ВКР;</w:t>
      </w:r>
    </w:p>
    <w:p w14:paraId="4BCD41D6" w14:textId="44D757E6" w:rsidR="00BF5F40" w:rsidRPr="00A66BD6" w:rsidRDefault="004A2808" w:rsidP="004A2808">
      <w:pPr>
        <w:pStyle w:val="enumlev1"/>
      </w:pPr>
      <w:r w:rsidRPr="00A66BD6">
        <w:t>•</w:t>
      </w:r>
      <w:r w:rsidRPr="00A66BD6">
        <w:tab/>
      </w:r>
      <w:r w:rsidR="00BF5F40" w:rsidRPr="00A66BD6">
        <w:t>проведение двух РСР для Африки не планируется в те же годы, что и ВСР, поскольку количество участников РСР для Африки почти вдвое превосходит количество участников других РСР и необходимо обеспечить равномерное распределение бюджета стипендий;</w:t>
      </w:r>
    </w:p>
    <w:p w14:paraId="1C639027" w14:textId="1453F311" w:rsidR="00BF5F40" w:rsidRPr="00A66BD6" w:rsidRDefault="004A2808" w:rsidP="004A2808">
      <w:pPr>
        <w:pStyle w:val="enumlev1"/>
      </w:pPr>
      <w:r w:rsidRPr="00A66BD6">
        <w:t>•</w:t>
      </w:r>
      <w:r w:rsidRPr="00A66BD6">
        <w:tab/>
      </w:r>
      <w:r w:rsidR="00BF5F40" w:rsidRPr="00A66BD6">
        <w:t>РСР проводятся на преобладающем языке (языках) региона, что способствует снижению затрат на устный перевод и упрощает обмен информацией во время мероприятия;</w:t>
      </w:r>
    </w:p>
    <w:p w14:paraId="329DE0BD" w14:textId="73A084DA" w:rsidR="00BF5F40" w:rsidRPr="00A66BD6" w:rsidRDefault="004A2808" w:rsidP="004A2808">
      <w:pPr>
        <w:pStyle w:val="enumlev1"/>
      </w:pPr>
      <w:r w:rsidRPr="00A66BD6">
        <w:t>•</w:t>
      </w:r>
      <w:r w:rsidRPr="00A66BD6">
        <w:tab/>
      </w:r>
      <w:r w:rsidR="00BF5F40" w:rsidRPr="00A66BD6">
        <w:t>программы РСР адаптированы к конкретным потребностям соответствующего региона;</w:t>
      </w:r>
    </w:p>
    <w:p w14:paraId="6DC391D1" w14:textId="70158971" w:rsidR="00BF5F40" w:rsidRPr="00A66BD6" w:rsidRDefault="004A2808" w:rsidP="004A2808">
      <w:pPr>
        <w:pStyle w:val="enumlev1"/>
      </w:pPr>
      <w:r w:rsidRPr="00A66BD6">
        <w:t>•</w:t>
      </w:r>
      <w:r w:rsidRPr="00A66BD6">
        <w:tab/>
      </w:r>
      <w:r w:rsidR="00BF5F40" w:rsidRPr="00A66BD6">
        <w:t>каждый РСР включает в себя сессии в формате форума (для этих сессий может потребоваться устный перевод с английского языка и на английский язык).</w:t>
      </w:r>
    </w:p>
    <w:p w14:paraId="02BDF2FE" w14:textId="77777777" w:rsidR="00BF5F40" w:rsidRPr="00A66BD6" w:rsidRDefault="00BF5F40" w:rsidP="00BF5F40">
      <w:pPr>
        <w:rPr>
          <w:szCs w:val="24"/>
        </w:rPr>
      </w:pPr>
      <w:r w:rsidRPr="00A66BD6">
        <w:t>Представленный выше план надлежащим образом согласовывается с региональными отделениями (РО) МСЭ, а также с соответствующими региональными группами.</w:t>
      </w:r>
    </w:p>
    <w:p w14:paraId="4C1FBBAF" w14:textId="77777777" w:rsidR="00BF5F40" w:rsidRPr="00A66BD6" w:rsidRDefault="00BF5F40" w:rsidP="00BF5F40">
      <w:pPr>
        <w:pStyle w:val="Heading3"/>
        <w:rPr>
          <w:b w:val="0"/>
          <w:szCs w:val="24"/>
        </w:rPr>
      </w:pPr>
      <w:bookmarkStart w:id="134" w:name="_Toc223379862"/>
      <w:bookmarkStart w:id="135" w:name="_Toc223957816"/>
      <w:r w:rsidRPr="00A66BD6">
        <w:rPr>
          <w:bCs/>
        </w:rPr>
        <w:t>8.2.1</w:t>
      </w:r>
      <w:r w:rsidRPr="00A66BD6">
        <w:tab/>
      </w:r>
      <w:r w:rsidRPr="00A66BD6">
        <w:rPr>
          <w:bCs/>
        </w:rPr>
        <w:t>Всемирные семинары по радиосвязи (ВСР)</w:t>
      </w:r>
      <w:bookmarkEnd w:id="134"/>
      <w:bookmarkEnd w:id="135"/>
      <w:r w:rsidRPr="00A66BD6">
        <w:t xml:space="preserve"> </w:t>
      </w:r>
    </w:p>
    <w:p w14:paraId="7870185E" w14:textId="33A45CF3" w:rsidR="00BF5F40" w:rsidRPr="00A66BD6" w:rsidRDefault="00BF5F40" w:rsidP="00BF5F40">
      <w:r w:rsidRPr="00A66BD6">
        <w:t>Последний ВСР проходил со 2 по 6 декабря 2024 года в Женеве, Швейцария, и собрал 657</w:t>
      </w:r>
      <w:r w:rsidR="004A2808" w:rsidRPr="00A66BD6">
        <w:t> </w:t>
      </w:r>
      <w:r w:rsidRPr="00A66BD6">
        <w:t>участников из 114 стран; для участия в ВСР-24 БР предоставило 50 стипендий.</w:t>
      </w:r>
    </w:p>
    <w:p w14:paraId="7F63BF49" w14:textId="77777777" w:rsidR="00BF5F40" w:rsidRPr="00A66BD6" w:rsidRDefault="00BF5F40" w:rsidP="00BF5F40">
      <w:r w:rsidRPr="00A66BD6">
        <w:t xml:space="preserve">Пленарные заседания ВСР-24 проходили в течение двух дней в формате очного собрания с возможностью дистанционного участия. Заседания были открыты для всех. </w:t>
      </w:r>
    </w:p>
    <w:p w14:paraId="30AE5E83" w14:textId="77777777" w:rsidR="00BF5F40" w:rsidRPr="00A66BD6" w:rsidRDefault="00BF5F40" w:rsidP="00BF5F40">
      <w:r w:rsidRPr="00A66BD6">
        <w:t>Семинары-практикумы ВСР-24 по вопросам наземных и космических служб проводились параллельно в течение трех дней только в очном формате, участие в них было ограничено членами МСЭ-R. Участники семинаров-практикумов приобрели практический опыт применения используемых в МСЭ процедур заявления, а также ознакомились с программным обеспечением, базами данных и электронными публикациями, которые Бюро радиосвязи предоставляет членам МСЭ. Были проведены специальные сессии как для начинающих, так и для опытных пользователей программных инструментов БР. В программу ВСР-24 были включены сессии по регламентарным и техническим аспектам работы систем связи, которые включают группировки спутников НГСО.</w:t>
      </w:r>
    </w:p>
    <w:p w14:paraId="2C6C9F55" w14:textId="7295C289" w:rsidR="00BF5F40" w:rsidRPr="00A66BD6" w:rsidRDefault="00BF5F40" w:rsidP="00BF5F40">
      <w:r w:rsidRPr="00A66BD6">
        <w:t>Следующий всемирный семинар по радиосвязи (ВСР-26) запланирован на 7</w:t>
      </w:r>
      <w:r w:rsidR="004A2808" w:rsidRPr="00A66BD6">
        <w:t>−</w:t>
      </w:r>
      <w:r w:rsidRPr="00A66BD6">
        <w:t>11</w:t>
      </w:r>
      <w:r w:rsidR="004A2808" w:rsidRPr="00A66BD6">
        <w:t> </w:t>
      </w:r>
      <w:r w:rsidRPr="00A66BD6">
        <w:t>декабря 2026 года.</w:t>
      </w:r>
    </w:p>
    <w:p w14:paraId="71ABED4D" w14:textId="77777777" w:rsidR="00BF5F40" w:rsidRPr="00A66BD6" w:rsidRDefault="00BF5F40" w:rsidP="00BF5F40">
      <w:pPr>
        <w:pStyle w:val="Heading3"/>
        <w:rPr>
          <w:b w:val="0"/>
          <w:szCs w:val="24"/>
        </w:rPr>
      </w:pPr>
      <w:bookmarkStart w:id="136" w:name="_Toc223379863"/>
      <w:bookmarkStart w:id="137" w:name="_Toc223957817"/>
      <w:r w:rsidRPr="00A66BD6">
        <w:rPr>
          <w:bCs/>
        </w:rPr>
        <w:t>8.2.2</w:t>
      </w:r>
      <w:r w:rsidRPr="00A66BD6">
        <w:tab/>
      </w:r>
      <w:r w:rsidRPr="00A66BD6">
        <w:rPr>
          <w:bCs/>
        </w:rPr>
        <w:t>Региональные семинары по радиосвязи (РСР)</w:t>
      </w:r>
      <w:bookmarkEnd w:id="136"/>
      <w:bookmarkEnd w:id="137"/>
      <w:r w:rsidRPr="00A66BD6">
        <w:t xml:space="preserve"> </w:t>
      </w:r>
    </w:p>
    <w:p w14:paraId="6BBB8D12" w14:textId="7BB8DB0D" w:rsidR="00BF5F40" w:rsidRPr="00A66BD6" w:rsidRDefault="00BF5F40" w:rsidP="00BF5F40">
      <w:r w:rsidRPr="00A66BD6">
        <w:t>В качестве дополнения к ВСР, проводимым раз в два года, БР продолжает осуществлять свою стратегию охвата на региональном уровне, организуя региональные семинары по радиосвязи (РСР), с</w:t>
      </w:r>
      <w:r w:rsidR="004A2808" w:rsidRPr="00A66BD6">
        <w:t> </w:t>
      </w:r>
      <w:r w:rsidRPr="00A66BD6">
        <w:t>тем чтобы посетить все регионы, содействуя созданию человеческого потенциала в области использования радиочастотного спектра и спутниковых орбит, в частности применения положений Регламента радиосвязи МСЭ.</w:t>
      </w:r>
    </w:p>
    <w:p w14:paraId="151FCD2C" w14:textId="77777777" w:rsidR="00BF5F40" w:rsidRPr="00A66BD6" w:rsidRDefault="00BF5F40" w:rsidP="00BF5F40">
      <w:r w:rsidRPr="00A66BD6">
        <w:t xml:space="preserve">РСР организуются совместно с органами по управлению использованием спектра принимающих стран в тесном сотрудничестве с профильными региональными организациями и региональными/зональными отделениями МСЭ. Программа семинаров включает два дня теоретических занятий и однодневные семинары-практикумы по наземным и космическим службам. В дополнение к семинарам проводятся сессии в формате форума, посвященные вопросам использования спектра, представляющим наибольший интерес для региона. </w:t>
      </w:r>
    </w:p>
    <w:p w14:paraId="000EDE8A" w14:textId="33AD1C85" w:rsidR="00BF5F40" w:rsidRPr="00A66BD6" w:rsidRDefault="00BF5F40" w:rsidP="00BF5F40">
      <w:r w:rsidRPr="00A66BD6">
        <w:t xml:space="preserve">В </w:t>
      </w:r>
      <w:r w:rsidR="00497FEF" w:rsidRPr="00A66BD6">
        <w:t xml:space="preserve">Таблице </w:t>
      </w:r>
      <w:r w:rsidRPr="00A66BD6">
        <w:t>8.2.2-1 представлена подробная сводная информация об РСР, проведенных в 2025 году.</w:t>
      </w:r>
    </w:p>
    <w:p w14:paraId="0E484DC7" w14:textId="0DFD54AD" w:rsidR="00BF5F40" w:rsidRPr="00A66BD6" w:rsidRDefault="00BF5F40" w:rsidP="00BF5F40">
      <w:pPr>
        <w:rPr>
          <w:szCs w:val="24"/>
        </w:rPr>
      </w:pPr>
      <w:r w:rsidRPr="00A66BD6">
        <w:t xml:space="preserve">Со списком РСР, запланированных на 2026 год, можно ознакомиться в </w:t>
      </w:r>
      <w:r w:rsidR="00AD5667" w:rsidRPr="00A66BD6">
        <w:t xml:space="preserve">Таблице </w:t>
      </w:r>
      <w:r w:rsidRPr="00A66BD6">
        <w:t>8.2-1.</w:t>
      </w:r>
    </w:p>
    <w:p w14:paraId="1239DD7A" w14:textId="77777777" w:rsidR="00BF5F40" w:rsidRPr="00A66BD6" w:rsidRDefault="00BF5F40" w:rsidP="00BF5F40">
      <w:pPr>
        <w:rPr>
          <w:szCs w:val="24"/>
        </w:rPr>
        <w:sectPr w:rsidR="00BF5F40" w:rsidRPr="00A66BD6" w:rsidSect="00BF5F40">
          <w:headerReference w:type="default" r:id="rId109"/>
          <w:pgSz w:w="11907" w:h="16834"/>
          <w:pgMar w:top="1418" w:right="1134" w:bottom="1620" w:left="1134" w:header="720" w:footer="720" w:gutter="0"/>
          <w:paperSrc w:first="15" w:other="15"/>
          <w:cols w:space="720"/>
          <w:titlePg/>
          <w:docGrid w:linePitch="326"/>
        </w:sectPr>
      </w:pPr>
    </w:p>
    <w:p w14:paraId="50F2561B" w14:textId="77777777" w:rsidR="00BF5F40" w:rsidRPr="00A66BD6" w:rsidRDefault="00BF5F40" w:rsidP="004A2808">
      <w:pPr>
        <w:pStyle w:val="TableNo"/>
        <w:spacing w:before="0"/>
        <w:rPr>
          <w:lang w:val="ru-RU"/>
        </w:rPr>
      </w:pPr>
      <w:r w:rsidRPr="00A66BD6">
        <w:rPr>
          <w:lang w:val="ru-RU"/>
        </w:rPr>
        <w:lastRenderedPageBreak/>
        <w:t>Таблица 8.2.2-1</w:t>
      </w:r>
    </w:p>
    <w:p w14:paraId="7BDE19E7" w14:textId="77777777" w:rsidR="00BF5F40" w:rsidRPr="00A66BD6" w:rsidRDefault="00BF5F40" w:rsidP="00BF5F40">
      <w:pPr>
        <w:pStyle w:val="Tabletitle"/>
        <w:rPr>
          <w:lang w:val="ru-RU"/>
        </w:rPr>
      </w:pPr>
      <w:r w:rsidRPr="00A66BD6">
        <w:rPr>
          <w:bCs/>
          <w:lang w:val="ru-RU"/>
        </w:rPr>
        <w:t>Региональные семинары по радиосвязи МСЭ в 2025 году</w:t>
      </w:r>
    </w:p>
    <w:tbl>
      <w:tblPr>
        <w:tblStyle w:val="TableGrid"/>
        <w:tblW w:w="5012" w:type="pct"/>
        <w:tblLayout w:type="fixed"/>
        <w:tblLook w:val="04A0" w:firstRow="1" w:lastRow="0" w:firstColumn="1" w:lastColumn="0" w:noHBand="0" w:noVBand="1"/>
      </w:tblPr>
      <w:tblGrid>
        <w:gridCol w:w="1413"/>
        <w:gridCol w:w="2411"/>
        <w:gridCol w:w="1416"/>
        <w:gridCol w:w="3118"/>
        <w:gridCol w:w="2038"/>
        <w:gridCol w:w="1080"/>
        <w:gridCol w:w="1559"/>
        <w:gridCol w:w="1562"/>
      </w:tblGrid>
      <w:tr w:rsidR="004A2808" w:rsidRPr="00A66BD6" w14:paraId="2490FCBE" w14:textId="77777777" w:rsidTr="004A2808">
        <w:trPr>
          <w:tblHeader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B9CB" w14:textId="77777777" w:rsidR="00BF5F40" w:rsidRPr="00A66BD6" w:rsidRDefault="00BF5F40" w:rsidP="004A2808">
            <w:pPr>
              <w:pStyle w:val="Tablehead"/>
              <w:rPr>
                <w:sz w:val="18"/>
                <w:szCs w:val="18"/>
                <w:lang w:val="ru-RU"/>
              </w:rPr>
            </w:pPr>
            <w:r w:rsidRPr="00A66BD6">
              <w:rPr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526C" w14:textId="77777777" w:rsidR="00BF5F40" w:rsidRPr="00A66BD6" w:rsidRDefault="00BF5F40" w:rsidP="004A2808">
            <w:pPr>
              <w:pStyle w:val="Tablehead"/>
              <w:rPr>
                <w:sz w:val="18"/>
                <w:szCs w:val="18"/>
                <w:lang w:val="ru-RU"/>
              </w:rPr>
            </w:pPr>
            <w:r w:rsidRPr="00A66BD6">
              <w:rPr>
                <w:sz w:val="18"/>
                <w:szCs w:val="18"/>
                <w:lang w:val="ru-RU"/>
              </w:rPr>
              <w:t>РСР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E37B" w14:textId="77777777" w:rsidR="00BF5F40" w:rsidRPr="00A66BD6" w:rsidRDefault="00BF5F40" w:rsidP="004A2808">
            <w:pPr>
              <w:pStyle w:val="Tablehead"/>
              <w:rPr>
                <w:sz w:val="18"/>
                <w:szCs w:val="18"/>
                <w:lang w:val="ru-RU"/>
              </w:rPr>
            </w:pPr>
            <w:r w:rsidRPr="00A66BD6">
              <w:rPr>
                <w:sz w:val="18"/>
                <w:szCs w:val="18"/>
                <w:lang w:val="ru-RU"/>
              </w:rPr>
              <w:t>Место проведения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D567" w14:textId="77777777" w:rsidR="00BF5F40" w:rsidRPr="00A66BD6" w:rsidRDefault="00BF5F40" w:rsidP="004A2808">
            <w:pPr>
              <w:pStyle w:val="Tablehead"/>
              <w:rPr>
                <w:sz w:val="18"/>
                <w:szCs w:val="18"/>
                <w:lang w:val="ru-RU"/>
              </w:rPr>
            </w:pPr>
            <w:r w:rsidRPr="00A66BD6">
              <w:rPr>
                <w:sz w:val="18"/>
                <w:szCs w:val="18"/>
                <w:lang w:val="ru-RU"/>
              </w:rPr>
              <w:t>Сотрудничество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A397" w14:textId="77777777" w:rsidR="00BF5F40" w:rsidRPr="00A66BD6" w:rsidRDefault="00BF5F40" w:rsidP="004A2808">
            <w:pPr>
              <w:pStyle w:val="Tablehead"/>
              <w:rPr>
                <w:sz w:val="18"/>
                <w:szCs w:val="18"/>
                <w:lang w:val="ru-RU"/>
              </w:rPr>
            </w:pPr>
            <w:r w:rsidRPr="00A66BD6">
              <w:rPr>
                <w:sz w:val="18"/>
                <w:szCs w:val="18"/>
                <w:lang w:val="ru-RU"/>
              </w:rPr>
              <w:t>Темы форума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A328" w14:textId="77777777" w:rsidR="00BF5F40" w:rsidRPr="00A66BD6" w:rsidRDefault="00BF5F40" w:rsidP="004A2808">
            <w:pPr>
              <w:pStyle w:val="Tablehead"/>
              <w:rPr>
                <w:sz w:val="18"/>
                <w:szCs w:val="18"/>
                <w:lang w:val="ru-RU"/>
              </w:rPr>
            </w:pPr>
            <w:r w:rsidRPr="00A66BD6">
              <w:rPr>
                <w:sz w:val="18"/>
                <w:szCs w:val="18"/>
                <w:lang w:val="ru-RU"/>
              </w:rPr>
              <w:t>Языки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246C" w14:textId="77777777" w:rsidR="00BF5F40" w:rsidRPr="00A66BD6" w:rsidRDefault="00BF5F40" w:rsidP="004A2808">
            <w:pPr>
              <w:pStyle w:val="Tablehead"/>
              <w:rPr>
                <w:sz w:val="18"/>
                <w:szCs w:val="18"/>
                <w:lang w:val="ru-RU"/>
              </w:rPr>
            </w:pPr>
            <w:r w:rsidRPr="00A66BD6">
              <w:rPr>
                <w:sz w:val="18"/>
                <w:szCs w:val="18"/>
                <w:lang w:val="ru-RU"/>
              </w:rPr>
              <w:t>Участники/ администрации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3CD7" w14:textId="77777777" w:rsidR="00BF5F40" w:rsidRPr="00A66BD6" w:rsidRDefault="00BF5F40" w:rsidP="004A2808">
            <w:pPr>
              <w:pStyle w:val="Tablehead"/>
              <w:rPr>
                <w:sz w:val="18"/>
                <w:szCs w:val="18"/>
                <w:lang w:val="ru-RU"/>
              </w:rPr>
            </w:pPr>
            <w:r w:rsidRPr="00A66BD6">
              <w:rPr>
                <w:sz w:val="18"/>
                <w:szCs w:val="18"/>
                <w:lang w:val="ru-RU"/>
              </w:rPr>
              <w:t>Стипендии</w:t>
            </w:r>
          </w:p>
        </w:tc>
      </w:tr>
      <w:tr w:rsidR="004A2808" w:rsidRPr="00A66BD6" w14:paraId="69C06A30" w14:textId="77777777" w:rsidTr="00D00DA3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C995" w14:textId="21538191" w:rsidR="00BF5F40" w:rsidRPr="00A66BD6" w:rsidRDefault="00BF5F40" w:rsidP="004A2808">
            <w:pPr>
              <w:pStyle w:val="Tabletext"/>
              <w:rPr>
                <w:sz w:val="18"/>
                <w:szCs w:val="18"/>
              </w:rPr>
            </w:pPr>
            <w:r w:rsidRPr="00A66BD6">
              <w:rPr>
                <w:sz w:val="18"/>
                <w:szCs w:val="18"/>
              </w:rPr>
              <w:t xml:space="preserve">5–8 мая </w:t>
            </w:r>
            <w:r w:rsidR="004A2808" w:rsidRPr="00A66BD6">
              <w:rPr>
                <w:sz w:val="18"/>
                <w:szCs w:val="18"/>
              </w:rPr>
              <w:br/>
            </w:r>
            <w:r w:rsidRPr="00A66BD6">
              <w:rPr>
                <w:sz w:val="18"/>
                <w:szCs w:val="18"/>
              </w:rPr>
              <w:t>2025 г</w:t>
            </w:r>
            <w:r w:rsidR="00686AD3">
              <w:rPr>
                <w:sz w:val="18"/>
                <w:szCs w:val="18"/>
              </w:rPr>
              <w:t>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3AAF" w14:textId="77777777" w:rsidR="00BF5F40" w:rsidRPr="00A66BD6" w:rsidRDefault="00BF5F40" w:rsidP="004A2808">
            <w:pPr>
              <w:pStyle w:val="Tabletext"/>
              <w:rPr>
                <w:b/>
                <w:sz w:val="18"/>
                <w:szCs w:val="18"/>
              </w:rPr>
            </w:pPr>
            <w:r w:rsidRPr="00A66BD6">
              <w:rPr>
                <w:b/>
                <w:bCs/>
                <w:sz w:val="18"/>
                <w:szCs w:val="18"/>
              </w:rPr>
              <w:t>РСР-25 – Африка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3872" w14:textId="77777777" w:rsidR="00BF5F40" w:rsidRPr="00A66BD6" w:rsidRDefault="00BF5F40" w:rsidP="00D00DA3">
            <w:pPr>
              <w:pStyle w:val="Tabletext"/>
              <w:jc w:val="center"/>
              <w:rPr>
                <w:sz w:val="18"/>
                <w:szCs w:val="18"/>
              </w:rPr>
            </w:pPr>
            <w:r w:rsidRPr="00A66BD6">
              <w:rPr>
                <w:sz w:val="18"/>
                <w:szCs w:val="18"/>
              </w:rPr>
              <w:t>г. Джибути, Джибути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4454" w14:textId="77777777" w:rsidR="00BF5F40" w:rsidRPr="00A66BD6" w:rsidRDefault="00BF5F40" w:rsidP="004A2808">
            <w:pPr>
              <w:pStyle w:val="Tabletext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66BD6">
              <w:rPr>
                <w:sz w:val="18"/>
                <w:szCs w:val="18"/>
              </w:rPr>
              <w:t>Министерство связи, ответственное за почтовую связь и электросвязь, Республики Джибути</w:t>
            </w:r>
          </w:p>
          <w:p w14:paraId="30623F55" w14:textId="77777777" w:rsidR="00BF5F40" w:rsidRPr="00A66BD6" w:rsidRDefault="00BF5F40" w:rsidP="004A2808">
            <w:pPr>
              <w:pStyle w:val="Tabletext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10" w:history="1">
              <w:r w:rsidRPr="00A66BD6">
                <w:rPr>
                  <w:sz w:val="18"/>
                  <w:szCs w:val="18"/>
                </w:rPr>
                <w:t xml:space="preserve">Африканский союз электросвязи (АСЭ) </w:t>
              </w:r>
            </w:hyperlink>
          </w:p>
          <w:p w14:paraId="44245A2C" w14:textId="77777777" w:rsidR="00BF5F40" w:rsidRPr="00A66BD6" w:rsidRDefault="00BF5F40" w:rsidP="004A2808">
            <w:pPr>
              <w:pStyle w:val="Tabletext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66BD6">
              <w:rPr>
                <w:sz w:val="18"/>
                <w:szCs w:val="18"/>
              </w:rPr>
              <w:t>Арабская группа по управлению использованием спектра (ASMG)</w:t>
            </w:r>
          </w:p>
          <w:p w14:paraId="41A42FF6" w14:textId="77777777" w:rsidR="00BF5F40" w:rsidRPr="00A66BD6" w:rsidRDefault="00BF5F40" w:rsidP="004A2808">
            <w:pPr>
              <w:pStyle w:val="Tabletext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66BD6">
              <w:rPr>
                <w:sz w:val="18"/>
                <w:szCs w:val="18"/>
              </w:rPr>
              <w:t>Региональное отделение МСЭ для Африки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D25F" w14:textId="77777777" w:rsidR="00BF5F40" w:rsidRPr="00A66BD6" w:rsidRDefault="00BF5F40" w:rsidP="004A2808">
            <w:pPr>
              <w:pStyle w:val="Tabletext"/>
              <w:rPr>
                <w:sz w:val="18"/>
                <w:szCs w:val="18"/>
              </w:rPr>
            </w:pPr>
            <w:r w:rsidRPr="00A66BD6">
              <w:rPr>
                <w:sz w:val="18"/>
                <w:szCs w:val="18"/>
              </w:rPr>
              <w:t>Современные системы радиосвязи и "круглые столы" по пунктам повестки дня ВКР-27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76D5" w14:textId="77777777" w:rsidR="00BF5F40" w:rsidRPr="00A66BD6" w:rsidRDefault="00BF5F40" w:rsidP="004A2808">
            <w:pPr>
              <w:pStyle w:val="Tabletext"/>
              <w:jc w:val="center"/>
              <w:rPr>
                <w:sz w:val="18"/>
                <w:szCs w:val="18"/>
              </w:rPr>
            </w:pPr>
            <w:r w:rsidRPr="00A66BD6">
              <w:rPr>
                <w:sz w:val="18"/>
                <w:szCs w:val="18"/>
              </w:rPr>
              <w:t>E, A, F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8791" w14:textId="77777777" w:rsidR="00BF5F40" w:rsidRPr="00A66BD6" w:rsidRDefault="00BF5F40" w:rsidP="004A2808">
            <w:pPr>
              <w:pStyle w:val="Tabletext"/>
              <w:jc w:val="center"/>
              <w:rPr>
                <w:sz w:val="18"/>
                <w:szCs w:val="18"/>
              </w:rPr>
            </w:pPr>
            <w:r w:rsidRPr="00A66BD6">
              <w:rPr>
                <w:sz w:val="18"/>
                <w:szCs w:val="18"/>
              </w:rPr>
              <w:t>210/47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BCBD" w14:textId="77777777" w:rsidR="00BF5F40" w:rsidRPr="00A66BD6" w:rsidRDefault="00BF5F40" w:rsidP="00D00DA3">
            <w:pPr>
              <w:pStyle w:val="Tabletext"/>
              <w:jc w:val="center"/>
              <w:rPr>
                <w:sz w:val="18"/>
                <w:szCs w:val="18"/>
              </w:rPr>
            </w:pPr>
            <w:r w:rsidRPr="00A66BD6">
              <w:rPr>
                <w:sz w:val="18"/>
                <w:szCs w:val="18"/>
              </w:rPr>
              <w:t>27</w:t>
            </w:r>
          </w:p>
        </w:tc>
      </w:tr>
      <w:tr w:rsidR="004A2808" w:rsidRPr="00A66BD6" w14:paraId="5A966A57" w14:textId="77777777" w:rsidTr="00D00DA3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90E0" w14:textId="5EE98E78" w:rsidR="00BF5F40" w:rsidRPr="00A66BD6" w:rsidRDefault="00BF5F40" w:rsidP="004A2808">
            <w:pPr>
              <w:pStyle w:val="Tabletext"/>
              <w:rPr>
                <w:sz w:val="18"/>
                <w:szCs w:val="18"/>
              </w:rPr>
            </w:pPr>
            <w:r w:rsidRPr="00A66BD6">
              <w:rPr>
                <w:sz w:val="18"/>
                <w:szCs w:val="18"/>
              </w:rPr>
              <w:t>16–20 июня 2025 г</w:t>
            </w:r>
            <w:r w:rsidR="00686AD3">
              <w:rPr>
                <w:sz w:val="18"/>
                <w:szCs w:val="18"/>
              </w:rPr>
              <w:t>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A843" w14:textId="77777777" w:rsidR="00BF5F40" w:rsidRPr="00A66BD6" w:rsidRDefault="00BF5F40" w:rsidP="004A2808">
            <w:pPr>
              <w:pStyle w:val="Tabletext"/>
              <w:rPr>
                <w:b/>
                <w:sz w:val="18"/>
                <w:szCs w:val="18"/>
              </w:rPr>
            </w:pPr>
            <w:r w:rsidRPr="00A66BD6">
              <w:rPr>
                <w:b/>
                <w:bCs/>
                <w:sz w:val="18"/>
                <w:szCs w:val="18"/>
              </w:rPr>
              <w:t>РСР-25 − Северная и Южная Америка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BF60" w14:textId="77777777" w:rsidR="00BF5F40" w:rsidRPr="00A66BD6" w:rsidRDefault="00BF5F40" w:rsidP="00D00DA3">
            <w:pPr>
              <w:pStyle w:val="Tabletext"/>
              <w:jc w:val="center"/>
              <w:rPr>
                <w:sz w:val="18"/>
                <w:szCs w:val="18"/>
              </w:rPr>
            </w:pPr>
            <w:r w:rsidRPr="00A66BD6">
              <w:rPr>
                <w:sz w:val="18"/>
                <w:szCs w:val="18"/>
              </w:rPr>
              <w:t>Тегусигальпа, Гондурас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7FB8" w14:textId="77777777" w:rsidR="00BF5F40" w:rsidRPr="00A66BD6" w:rsidRDefault="00BF5F40" w:rsidP="004A2808">
            <w:pPr>
              <w:pStyle w:val="Tabletext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66BD6">
              <w:rPr>
                <w:sz w:val="18"/>
                <w:szCs w:val="18"/>
              </w:rPr>
              <w:t>Национальная комиссия Гондураса по электросвязи (CONATEL)</w:t>
            </w:r>
          </w:p>
          <w:p w14:paraId="7FBD985F" w14:textId="77777777" w:rsidR="00BF5F40" w:rsidRPr="00A66BD6" w:rsidRDefault="00BF5F40" w:rsidP="004A2808">
            <w:pPr>
              <w:pStyle w:val="Tabletext"/>
              <w:rPr>
                <w:color w:val="000000" w:themeColor="text1"/>
                <w:sz w:val="18"/>
                <w:szCs w:val="18"/>
              </w:rPr>
            </w:pPr>
            <w:r w:rsidRPr="00A66BD6">
              <w:rPr>
                <w:sz w:val="18"/>
                <w:szCs w:val="18"/>
              </w:rPr>
              <w:t>Межамериканская комиссия по электросвязи (СИТЕЛ)</w:t>
            </w:r>
          </w:p>
          <w:p w14:paraId="278B6F3F" w14:textId="77777777" w:rsidR="00BF5F40" w:rsidRPr="00A66BD6" w:rsidRDefault="00BF5F40" w:rsidP="004A2808">
            <w:pPr>
              <w:pStyle w:val="Tabletext"/>
              <w:rPr>
                <w:color w:val="000000" w:themeColor="text1"/>
                <w:sz w:val="18"/>
                <w:szCs w:val="18"/>
              </w:rPr>
            </w:pPr>
            <w:r w:rsidRPr="00A66BD6">
              <w:rPr>
                <w:sz w:val="18"/>
                <w:szCs w:val="18"/>
              </w:rPr>
              <w:t xml:space="preserve">Региональная техническая комиссия Центральной Америки по электросвязи (COMTELCA) </w:t>
            </w:r>
          </w:p>
          <w:p w14:paraId="2B378BBF" w14:textId="77777777" w:rsidR="00BF5F40" w:rsidRPr="00A66BD6" w:rsidRDefault="00BF5F40" w:rsidP="004A2808">
            <w:pPr>
              <w:pStyle w:val="Tabletext"/>
              <w:rPr>
                <w:color w:val="000000" w:themeColor="text1"/>
                <w:sz w:val="18"/>
                <w:szCs w:val="18"/>
              </w:rPr>
            </w:pPr>
            <w:hyperlink r:id="rId111" w:tgtFrame="_blank" w:history="1">
              <w:r w:rsidRPr="00A66BD6">
                <w:rPr>
                  <w:sz w:val="18"/>
                  <w:szCs w:val="18"/>
                </w:rPr>
                <w:t>Карибский союз электросвязи (КСЭ)</w:t>
              </w:r>
            </w:hyperlink>
          </w:p>
          <w:p w14:paraId="0CF8D949" w14:textId="77777777" w:rsidR="00BF5F40" w:rsidRPr="00A66BD6" w:rsidRDefault="00BF5F40" w:rsidP="004A2808">
            <w:pPr>
              <w:pStyle w:val="Tabletext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66BD6">
              <w:rPr>
                <w:sz w:val="18"/>
                <w:szCs w:val="18"/>
              </w:rPr>
              <w:t>Отделение МСЭ для Северной и Южной Америки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7027" w14:textId="77777777" w:rsidR="00BF5F40" w:rsidRPr="00A66BD6" w:rsidRDefault="00BF5F40" w:rsidP="004A2808">
            <w:pPr>
              <w:pStyle w:val="Tabletext"/>
              <w:rPr>
                <w:sz w:val="18"/>
                <w:szCs w:val="18"/>
              </w:rPr>
            </w:pPr>
            <w:r w:rsidRPr="00A66BD6">
              <w:rPr>
                <w:sz w:val="18"/>
                <w:szCs w:val="18"/>
              </w:rPr>
              <w:t>Современные системы радиосвязи и "круглые столы" по пунктам повестки дня ВКР-27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6F92" w14:textId="77777777" w:rsidR="00BF5F40" w:rsidRPr="00A66BD6" w:rsidRDefault="00BF5F40" w:rsidP="004A2808">
            <w:pPr>
              <w:pStyle w:val="Tabletext"/>
              <w:jc w:val="center"/>
              <w:rPr>
                <w:sz w:val="18"/>
                <w:szCs w:val="18"/>
              </w:rPr>
            </w:pPr>
            <w:r w:rsidRPr="00A66BD6">
              <w:rPr>
                <w:sz w:val="18"/>
                <w:szCs w:val="18"/>
              </w:rPr>
              <w:t>E, 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00FE" w14:textId="77777777" w:rsidR="00BF5F40" w:rsidRPr="00A66BD6" w:rsidRDefault="00BF5F40" w:rsidP="004A2808">
            <w:pPr>
              <w:pStyle w:val="Tabletext"/>
              <w:jc w:val="center"/>
              <w:rPr>
                <w:sz w:val="18"/>
                <w:szCs w:val="18"/>
              </w:rPr>
            </w:pPr>
            <w:r w:rsidRPr="00A66BD6">
              <w:rPr>
                <w:sz w:val="18"/>
                <w:szCs w:val="18"/>
              </w:rPr>
              <w:t>90/25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D8A7" w14:textId="77777777" w:rsidR="00BF5F40" w:rsidRPr="00A66BD6" w:rsidRDefault="00BF5F40" w:rsidP="00D00DA3">
            <w:pPr>
              <w:pStyle w:val="Tabletext"/>
              <w:jc w:val="center"/>
              <w:rPr>
                <w:sz w:val="18"/>
                <w:szCs w:val="18"/>
              </w:rPr>
            </w:pPr>
            <w:r w:rsidRPr="00A66BD6">
              <w:rPr>
                <w:sz w:val="18"/>
                <w:szCs w:val="18"/>
              </w:rPr>
              <w:t>9</w:t>
            </w:r>
          </w:p>
        </w:tc>
      </w:tr>
      <w:tr w:rsidR="004A2808" w:rsidRPr="00A66BD6" w14:paraId="06A03DA7" w14:textId="77777777" w:rsidTr="00D00DA3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661E" w14:textId="7110B15E" w:rsidR="00BF5F40" w:rsidRPr="00A66BD6" w:rsidRDefault="00BF5F40" w:rsidP="004A2808">
            <w:pPr>
              <w:pStyle w:val="Tabletext"/>
              <w:rPr>
                <w:sz w:val="18"/>
                <w:szCs w:val="18"/>
              </w:rPr>
            </w:pPr>
            <w:r w:rsidRPr="00A66BD6">
              <w:rPr>
                <w:sz w:val="18"/>
                <w:szCs w:val="18"/>
              </w:rPr>
              <w:t>20–29 октября 2025 г</w:t>
            </w:r>
            <w:r w:rsidR="00686AD3">
              <w:rPr>
                <w:sz w:val="18"/>
                <w:szCs w:val="18"/>
              </w:rPr>
              <w:t>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76ED" w14:textId="501F7655" w:rsidR="00BF5F40" w:rsidRPr="00A66BD6" w:rsidRDefault="00BF5F40" w:rsidP="004A2808">
            <w:pPr>
              <w:pStyle w:val="Tabletext"/>
              <w:rPr>
                <w:sz w:val="18"/>
                <w:szCs w:val="18"/>
              </w:rPr>
            </w:pPr>
            <w:r w:rsidRPr="00A66BD6">
              <w:rPr>
                <w:b/>
                <w:bCs/>
                <w:sz w:val="18"/>
                <w:szCs w:val="18"/>
              </w:rPr>
              <w:t>РСР-25 – Азиатско-Тихоокеанский регион</w:t>
            </w:r>
            <w:r w:rsidRPr="00A66BD6">
              <w:rPr>
                <w:sz w:val="18"/>
                <w:szCs w:val="18"/>
              </w:rPr>
              <w:t xml:space="preserve"> и последующий </w:t>
            </w:r>
            <w:r w:rsidRPr="00A66BD6">
              <w:rPr>
                <w:b/>
                <w:bCs/>
                <w:sz w:val="18"/>
                <w:szCs w:val="18"/>
              </w:rPr>
              <w:t>семинар-практикум МСЭ по современным методам управления использованием спектра 2025 г. для</w:t>
            </w:r>
            <w:r w:rsidR="004A2808" w:rsidRPr="00A66BD6">
              <w:rPr>
                <w:b/>
                <w:bCs/>
                <w:sz w:val="18"/>
                <w:szCs w:val="18"/>
              </w:rPr>
              <w:t> </w:t>
            </w:r>
            <w:r w:rsidRPr="00A66BD6">
              <w:rPr>
                <w:b/>
                <w:bCs/>
                <w:sz w:val="18"/>
                <w:szCs w:val="18"/>
              </w:rPr>
              <w:t xml:space="preserve">Района 3 </w:t>
            </w:r>
            <w:r w:rsidR="004A2808" w:rsidRPr="00A66BD6">
              <w:rPr>
                <w:b/>
                <w:bCs/>
                <w:sz w:val="18"/>
                <w:szCs w:val="18"/>
              </w:rPr>
              <w:br/>
            </w:r>
            <w:r w:rsidRPr="00A66BD6">
              <w:rPr>
                <w:b/>
                <w:bCs/>
                <w:sz w:val="18"/>
                <w:szCs w:val="18"/>
              </w:rPr>
              <w:t>(WS-MSS-25-R3)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1666" w14:textId="77777777" w:rsidR="00BF5F40" w:rsidRPr="00A66BD6" w:rsidRDefault="00BF5F40" w:rsidP="00D00DA3">
            <w:pPr>
              <w:pStyle w:val="Tabletext"/>
              <w:jc w:val="center"/>
              <w:rPr>
                <w:sz w:val="18"/>
                <w:szCs w:val="18"/>
              </w:rPr>
            </w:pPr>
            <w:r w:rsidRPr="00A66BD6">
              <w:rPr>
                <w:sz w:val="18"/>
                <w:szCs w:val="18"/>
              </w:rPr>
              <w:t>Чэнду, Китайская Народная Республика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18A7" w14:textId="77777777" w:rsidR="00BF5F40" w:rsidRPr="00A66BD6" w:rsidRDefault="00BF5F40" w:rsidP="004A2808">
            <w:pPr>
              <w:pStyle w:val="Tabletext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66BD6">
              <w:rPr>
                <w:sz w:val="18"/>
                <w:szCs w:val="18"/>
              </w:rPr>
              <w:t>Министерство промышленности и информационных технологий (MIIT) Китая</w:t>
            </w:r>
          </w:p>
          <w:p w14:paraId="1CF99117" w14:textId="77777777" w:rsidR="00BF5F40" w:rsidRPr="00A66BD6" w:rsidRDefault="00BF5F40" w:rsidP="004A2808">
            <w:pPr>
              <w:pStyle w:val="Tabletext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12" w:tgtFrame="_blank" w:history="1">
              <w:r w:rsidRPr="00A66BD6">
                <w:rPr>
                  <w:sz w:val="18"/>
                  <w:szCs w:val="18"/>
                </w:rPr>
                <w:t>Азиатско-Тихоокеанское сообщество электросвязи (АТСЭ)</w:t>
              </w:r>
            </w:hyperlink>
          </w:p>
          <w:p w14:paraId="2D3FF1B4" w14:textId="77777777" w:rsidR="00BF5F40" w:rsidRPr="00A66BD6" w:rsidRDefault="00BF5F40" w:rsidP="004A2808">
            <w:pPr>
              <w:pStyle w:val="Tabletext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66BD6">
              <w:rPr>
                <w:sz w:val="18"/>
                <w:szCs w:val="18"/>
              </w:rPr>
              <w:t>Отделение МСЭ для Азиатско-Тихоокеанского региона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51C6" w14:textId="77777777" w:rsidR="00BF5F40" w:rsidRPr="00A66BD6" w:rsidRDefault="00BF5F40" w:rsidP="004A2808">
            <w:pPr>
              <w:pStyle w:val="Tabletext"/>
              <w:rPr>
                <w:b/>
                <w:sz w:val="18"/>
                <w:szCs w:val="18"/>
              </w:rPr>
            </w:pPr>
            <w:r w:rsidRPr="00A66BD6">
              <w:rPr>
                <w:sz w:val="18"/>
                <w:szCs w:val="18"/>
              </w:rPr>
              <w:t>Современные системы радиосвязи и "круглые столы" по пунктам повестки дня ВКР-27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C210" w14:textId="77777777" w:rsidR="00BF5F40" w:rsidRPr="00A66BD6" w:rsidRDefault="00BF5F40" w:rsidP="004A2808">
            <w:pPr>
              <w:pStyle w:val="Tabletext"/>
              <w:jc w:val="center"/>
              <w:rPr>
                <w:sz w:val="18"/>
                <w:szCs w:val="18"/>
              </w:rPr>
            </w:pPr>
            <w:r w:rsidRPr="00A66BD6">
              <w:rPr>
                <w:sz w:val="18"/>
                <w:szCs w:val="18"/>
              </w:rPr>
              <w:t>E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D54D" w14:textId="77777777" w:rsidR="00BF5F40" w:rsidRPr="00A66BD6" w:rsidRDefault="00BF5F40" w:rsidP="004A2808">
            <w:pPr>
              <w:pStyle w:val="Tabletext"/>
              <w:jc w:val="center"/>
              <w:rPr>
                <w:sz w:val="18"/>
                <w:szCs w:val="18"/>
              </w:rPr>
            </w:pPr>
            <w:r w:rsidRPr="00A66BD6">
              <w:rPr>
                <w:sz w:val="18"/>
                <w:szCs w:val="18"/>
              </w:rPr>
              <w:t>127/25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BD9F" w14:textId="77777777" w:rsidR="00BF5F40" w:rsidRPr="00A66BD6" w:rsidRDefault="00BF5F40" w:rsidP="00D00DA3">
            <w:pPr>
              <w:pStyle w:val="Tabletext"/>
              <w:jc w:val="center"/>
              <w:rPr>
                <w:sz w:val="18"/>
                <w:szCs w:val="18"/>
              </w:rPr>
            </w:pPr>
            <w:r w:rsidRPr="00A66BD6">
              <w:rPr>
                <w:sz w:val="18"/>
                <w:szCs w:val="18"/>
              </w:rPr>
              <w:t>Мероприятие, финансируемое MIIT Китая, включая полные стипендии: 12</w:t>
            </w:r>
          </w:p>
        </w:tc>
      </w:tr>
    </w:tbl>
    <w:p w14:paraId="4C69EEAF" w14:textId="77777777" w:rsidR="00BF5F40" w:rsidRPr="00A66BD6" w:rsidRDefault="00BF5F40" w:rsidP="004A2808">
      <w:pPr>
        <w:pStyle w:val="Normalaftertitle"/>
      </w:pPr>
      <w:r w:rsidRPr="00A66BD6">
        <w:t xml:space="preserve">БР совместно с региональными партнерами предоставило 48 стипендий для участия в РСР (по одной на администрацию для стран, соответствующих установленным критериям). </w:t>
      </w:r>
    </w:p>
    <w:p w14:paraId="1BD7C147" w14:textId="77777777" w:rsidR="00BF5F40" w:rsidRPr="00A66BD6" w:rsidRDefault="00BF5F40" w:rsidP="004A2808"/>
    <w:p w14:paraId="16F68033" w14:textId="77777777" w:rsidR="00BF5F40" w:rsidRPr="00A66BD6" w:rsidRDefault="00BF5F40" w:rsidP="004A2808">
      <w:pPr>
        <w:sectPr w:rsidR="00BF5F40" w:rsidRPr="00A66BD6" w:rsidSect="00BF5F40">
          <w:headerReference w:type="even" r:id="rId113"/>
          <w:headerReference w:type="default" r:id="rId114"/>
          <w:headerReference w:type="first" r:id="rId115"/>
          <w:footerReference w:type="first" r:id="rId116"/>
          <w:pgSz w:w="16840" w:h="11907" w:orient="landscape" w:code="9"/>
          <w:pgMar w:top="1418" w:right="1134" w:bottom="1418" w:left="1134" w:header="720" w:footer="720" w:gutter="0"/>
          <w:paperSrc w:first="15" w:other="15"/>
          <w:cols w:space="720"/>
          <w:docGrid w:linePitch="326"/>
        </w:sectPr>
      </w:pPr>
    </w:p>
    <w:p w14:paraId="09A0E917" w14:textId="77777777" w:rsidR="00BF5F40" w:rsidRPr="00A66BD6" w:rsidRDefault="00BF5F40" w:rsidP="00BF5F40">
      <w:pPr>
        <w:pStyle w:val="Heading3"/>
      </w:pPr>
      <w:bookmarkStart w:id="138" w:name="_Toc223379864"/>
      <w:bookmarkStart w:id="139" w:name="_Toc223957818"/>
      <w:bookmarkStart w:id="140" w:name="_Toc424047610"/>
      <w:bookmarkStart w:id="141" w:name="_Toc446060788"/>
      <w:r w:rsidRPr="00A66BD6">
        <w:rPr>
          <w:bCs/>
        </w:rPr>
        <w:lastRenderedPageBreak/>
        <w:t>8.2.3</w:t>
      </w:r>
      <w:r w:rsidRPr="00A66BD6">
        <w:tab/>
      </w:r>
      <w:r w:rsidRPr="00A66BD6">
        <w:rPr>
          <w:bCs/>
        </w:rPr>
        <w:t>Семинары-практикумы по национальным таблицам распределения частот (NTFA)</w:t>
      </w:r>
      <w:bookmarkEnd w:id="138"/>
      <w:bookmarkEnd w:id="139"/>
    </w:p>
    <w:p w14:paraId="7D1AD28C" w14:textId="77777777" w:rsidR="00BF5F40" w:rsidRPr="00A66BD6" w:rsidRDefault="00BF5F40" w:rsidP="00BF5F40">
      <w:pPr>
        <w:rPr>
          <w:rFonts w:eastAsia="Calibri"/>
        </w:rPr>
      </w:pPr>
      <w:r w:rsidRPr="00A66BD6">
        <w:t xml:space="preserve">Было решено, что ВСР/РСР необходимо дополнить обучающими мероприятиями, посвященными NTFA и связанным с ними обновлениям в соответствии с Регламентом радиосвязи МСЭ и публикациями МСЭ-R. Ввиду этого после выпуска новой версии Регламента радиосвязи БР организовало </w:t>
      </w:r>
      <w:hyperlink r:id="rId117" w:history="1">
        <w:r w:rsidRPr="00A66BD6">
          <w:rPr>
            <w:rStyle w:val="Hyperlink"/>
          </w:rPr>
          <w:t>семинары-практикумы по NTFA</w:t>
        </w:r>
      </w:hyperlink>
      <w:r w:rsidRPr="00A66BD6">
        <w:t xml:space="preserve"> (по одному в каждом Районе РР).</w:t>
      </w:r>
      <w:hyperlink r:id="rId118" w:history="1"/>
    </w:p>
    <w:p w14:paraId="090C31BC" w14:textId="77777777" w:rsidR="00BF5F40" w:rsidRPr="00A66BD6" w:rsidRDefault="00BF5F40" w:rsidP="00BF5F40">
      <w:pPr>
        <w:rPr>
          <w:rFonts w:eastAsiaTheme="minorEastAsia"/>
        </w:rPr>
      </w:pPr>
      <w:r w:rsidRPr="00A66BD6">
        <w:t>Следующая серия семинаров-практикумов по NTFA будет проведена во втором квартале 2028 года, после ВКР-27 и последующего выпуска издания РР 2028 года.</w:t>
      </w:r>
    </w:p>
    <w:p w14:paraId="33DCA9ED" w14:textId="77777777" w:rsidR="00BF5F40" w:rsidRPr="00A66BD6" w:rsidRDefault="00BF5F40" w:rsidP="00BF5F40">
      <w:pPr>
        <w:pStyle w:val="Heading2"/>
      </w:pPr>
      <w:bookmarkStart w:id="142" w:name="_Toc223379865"/>
      <w:bookmarkStart w:id="143" w:name="_Toc223957819"/>
      <w:r w:rsidRPr="00A66BD6">
        <w:rPr>
          <w:bCs/>
        </w:rPr>
        <w:t>8.3</w:t>
      </w:r>
      <w:r w:rsidRPr="00A66BD6">
        <w:tab/>
      </w:r>
      <w:r w:rsidRPr="00A66BD6">
        <w:rPr>
          <w:bCs/>
        </w:rPr>
        <w:t>Помощь, предоставляемая Государствам-Членам</w:t>
      </w:r>
      <w:bookmarkEnd w:id="140"/>
      <w:bookmarkEnd w:id="141"/>
      <w:bookmarkEnd w:id="142"/>
      <w:bookmarkEnd w:id="143"/>
    </w:p>
    <w:p w14:paraId="336FBE84" w14:textId="77777777" w:rsidR="00BF5F40" w:rsidRPr="00A66BD6" w:rsidRDefault="00BF5F40" w:rsidP="00BF5F40">
      <w:r w:rsidRPr="00A66BD6">
        <w:t xml:space="preserve">Бюро продолжает получать многочисленные просьбы об оказании помощи от администраций, касающиеся общих вопросов управления использованием спектра, процесса ВКР, участия в работе исследовательских комиссий и рабочих групп МСЭ-R, а также регистрации частотных присвоений наземным, космическим, земным или радиоастрономическим станциям. </w:t>
      </w:r>
    </w:p>
    <w:p w14:paraId="60ECAA7D" w14:textId="77777777" w:rsidR="00BF5F40" w:rsidRPr="00A66BD6" w:rsidRDefault="00BF5F40" w:rsidP="00BF5F40">
      <w:r w:rsidRPr="00A66BD6">
        <w:t>Бюро стремится ответить на каждую просьбу в рамках имеющихся у него ресурсов с учетом необходимости обеспечения баланса между ресурсами, выделяемыми для обработки представлений заявок и для ответа на просьбы об оказании помощи. Вместе с тем следует отметить, что Бюро не уполномочено применять положения Регламента радиосвязи вместо администраций, оно имеет полномочия, только чтобы предоставлять консультации о возможных способах применения этих положений.</w:t>
      </w:r>
    </w:p>
    <w:p w14:paraId="725563C2" w14:textId="77777777" w:rsidR="00BF5F40" w:rsidRPr="00A66BD6" w:rsidRDefault="00BF5F40" w:rsidP="00BF5F40">
      <w:pPr>
        <w:pStyle w:val="Heading3"/>
      </w:pPr>
      <w:bookmarkStart w:id="144" w:name="_Toc424047611"/>
      <w:bookmarkStart w:id="145" w:name="_Toc446060789"/>
      <w:bookmarkStart w:id="146" w:name="_Toc223379866"/>
      <w:bookmarkStart w:id="147" w:name="_Toc223957820"/>
      <w:r w:rsidRPr="00A66BD6">
        <w:rPr>
          <w:bCs/>
        </w:rPr>
        <w:t>8.3.1</w:t>
      </w:r>
      <w:r w:rsidRPr="00A66BD6">
        <w:tab/>
      </w:r>
      <w:r w:rsidRPr="00A66BD6">
        <w:rPr>
          <w:bCs/>
        </w:rPr>
        <w:t>Помощь администрациям развивающихся стран</w:t>
      </w:r>
      <w:bookmarkEnd w:id="144"/>
      <w:bookmarkEnd w:id="145"/>
      <w:bookmarkEnd w:id="146"/>
      <w:bookmarkEnd w:id="147"/>
    </w:p>
    <w:p w14:paraId="50E10E53" w14:textId="77777777" w:rsidR="00BF5F40" w:rsidRPr="00A66BD6" w:rsidRDefault="00BF5F40" w:rsidP="00BF5F40">
      <w:r w:rsidRPr="00A66BD6">
        <w:t>В период после ВКР-23 Бюро предоставляло помощь администрациям развивающихся стран в следующих областях:</w:t>
      </w:r>
    </w:p>
    <w:p w14:paraId="64EF61F0" w14:textId="02F3ED35" w:rsidR="00BF5F40" w:rsidRPr="00A66BD6" w:rsidRDefault="004A2808" w:rsidP="004A2808">
      <w:pPr>
        <w:pStyle w:val="enumlev1"/>
      </w:pPr>
      <w:r w:rsidRPr="00A66BD6">
        <w:t>•</w:t>
      </w:r>
      <w:r w:rsidRPr="00A66BD6">
        <w:tab/>
      </w:r>
      <w:r w:rsidR="00BF5F40" w:rsidRPr="00A66BD6">
        <w:t>участие в семинарах по созданию потенциала в области спутниковой связи;</w:t>
      </w:r>
    </w:p>
    <w:p w14:paraId="4E8D2195" w14:textId="4A20DA61" w:rsidR="00BF5F40" w:rsidRPr="00A66BD6" w:rsidRDefault="004A2808" w:rsidP="004A2808">
      <w:pPr>
        <w:pStyle w:val="enumlev1"/>
      </w:pPr>
      <w:r w:rsidRPr="00A66BD6">
        <w:t>•</w:t>
      </w:r>
      <w:r w:rsidRPr="00A66BD6">
        <w:tab/>
      </w:r>
      <w:r w:rsidR="00BF5F40" w:rsidRPr="00A66BD6">
        <w:t xml:space="preserve">предоставление помощи по процедуре координации согласно пп. </w:t>
      </w:r>
      <w:r w:rsidR="00BF5F40" w:rsidRPr="00A66BD6">
        <w:rPr>
          <w:b/>
          <w:bCs/>
        </w:rPr>
        <w:t>9.18</w:t>
      </w:r>
      <w:r w:rsidR="00BF5F40" w:rsidRPr="00A66BD6">
        <w:t xml:space="preserve">, </w:t>
      </w:r>
      <w:r w:rsidR="00BF5F40" w:rsidRPr="00A66BD6">
        <w:rPr>
          <w:b/>
          <w:bCs/>
        </w:rPr>
        <w:t>9.19</w:t>
      </w:r>
      <w:r w:rsidR="00BF5F40" w:rsidRPr="00A66BD6">
        <w:t xml:space="preserve"> и </w:t>
      </w:r>
      <w:r w:rsidR="00BF5F40" w:rsidRPr="00A66BD6">
        <w:rPr>
          <w:b/>
          <w:bCs/>
        </w:rPr>
        <w:t>9.21</w:t>
      </w:r>
      <w:r w:rsidR="00BF5F40" w:rsidRPr="00A66BD6">
        <w:t xml:space="preserve"> РР;</w:t>
      </w:r>
    </w:p>
    <w:p w14:paraId="174E3277" w14:textId="69668B1C" w:rsidR="00BF5F40" w:rsidRPr="00A66BD6" w:rsidRDefault="004A2808" w:rsidP="004A2808">
      <w:pPr>
        <w:pStyle w:val="enumlev1"/>
      </w:pPr>
      <w:r w:rsidRPr="00A66BD6">
        <w:t>•</w:t>
      </w:r>
      <w:r w:rsidRPr="00A66BD6">
        <w:tab/>
      </w:r>
      <w:r w:rsidR="00BF5F40" w:rsidRPr="00A66BD6">
        <w:t>предоставление помощи по процедуре внесения изменений в План в соответствии с региональными соглашениями;</w:t>
      </w:r>
    </w:p>
    <w:p w14:paraId="2DF2B0D6" w14:textId="1DF3A324" w:rsidR="00BF5F40" w:rsidRPr="00A66BD6" w:rsidRDefault="004A2808" w:rsidP="004A2808">
      <w:pPr>
        <w:pStyle w:val="enumlev1"/>
      </w:pPr>
      <w:r w:rsidRPr="00A66BD6">
        <w:t>•</w:t>
      </w:r>
      <w:r w:rsidRPr="00A66BD6">
        <w:tab/>
      </w:r>
      <w:r w:rsidR="00BF5F40" w:rsidRPr="00A66BD6">
        <w:t>предоставление помощи в присвоении позывных сигналов и MMSI;</w:t>
      </w:r>
    </w:p>
    <w:p w14:paraId="5276BEA8" w14:textId="26C65A1F" w:rsidR="00BF5F40" w:rsidRPr="00A66BD6" w:rsidRDefault="004A2808" w:rsidP="004A2808">
      <w:pPr>
        <w:pStyle w:val="enumlev1"/>
      </w:pPr>
      <w:r w:rsidRPr="00A66BD6">
        <w:t>•</w:t>
      </w:r>
      <w:r w:rsidRPr="00A66BD6">
        <w:tab/>
      </w:r>
      <w:r w:rsidR="00BF5F40" w:rsidRPr="00A66BD6">
        <w:t xml:space="preserve">предоставление помощи в заявлении согласно Статье </w:t>
      </w:r>
      <w:r w:rsidR="00BF5F40" w:rsidRPr="00A66BD6">
        <w:rPr>
          <w:b/>
          <w:bCs/>
        </w:rPr>
        <w:t>11</w:t>
      </w:r>
      <w:r w:rsidR="00BF5F40" w:rsidRPr="00A66BD6">
        <w:t xml:space="preserve"> РР; </w:t>
      </w:r>
    </w:p>
    <w:p w14:paraId="307D26B9" w14:textId="227C1A06" w:rsidR="00BF5F40" w:rsidRPr="00A66BD6" w:rsidRDefault="004A2808" w:rsidP="004A2808">
      <w:pPr>
        <w:pStyle w:val="enumlev1"/>
      </w:pPr>
      <w:r w:rsidRPr="00A66BD6">
        <w:t>•</w:t>
      </w:r>
      <w:r w:rsidRPr="00A66BD6">
        <w:tab/>
      </w:r>
      <w:r w:rsidR="00BF5F40" w:rsidRPr="00A66BD6">
        <w:t xml:space="preserve">предоставление помощи по процедурам, связанным с космическими службами; </w:t>
      </w:r>
    </w:p>
    <w:p w14:paraId="4C434C11" w14:textId="0DFF2BF4" w:rsidR="00BF5F40" w:rsidRPr="00A66BD6" w:rsidRDefault="004A2808" w:rsidP="004A2808">
      <w:pPr>
        <w:pStyle w:val="enumlev1"/>
      </w:pPr>
      <w:r w:rsidRPr="00A66BD6">
        <w:t>•</w:t>
      </w:r>
      <w:r w:rsidRPr="00A66BD6">
        <w:tab/>
      </w:r>
      <w:r w:rsidR="00BF5F40" w:rsidRPr="00A66BD6">
        <w:t xml:space="preserve">предоставление адресной помощи в выполнении Резолюции </w:t>
      </w:r>
      <w:r w:rsidR="00BF5F40" w:rsidRPr="00A66BD6">
        <w:rPr>
          <w:b/>
          <w:bCs/>
        </w:rPr>
        <w:t>170 (Пересм. ВКР-23)</w:t>
      </w:r>
      <w:r w:rsidR="00BF5F40" w:rsidRPr="00A66BD6">
        <w:t>.</w:t>
      </w:r>
    </w:p>
    <w:p w14:paraId="4CC9FF3E" w14:textId="77777777" w:rsidR="00BF5F40" w:rsidRPr="00A66BD6" w:rsidRDefault="00BF5F40" w:rsidP="00BF5F40">
      <w:pPr>
        <w:pStyle w:val="Heading3"/>
      </w:pPr>
      <w:bookmarkStart w:id="148" w:name="_Toc424047612"/>
      <w:bookmarkStart w:id="149" w:name="_Toc446060790"/>
      <w:bookmarkStart w:id="150" w:name="_Toc223379867"/>
      <w:bookmarkStart w:id="151" w:name="_Toc223957821"/>
      <w:r w:rsidRPr="00A66BD6">
        <w:rPr>
          <w:bCs/>
        </w:rPr>
        <w:t>8.3.2</w:t>
      </w:r>
      <w:r w:rsidRPr="00A66BD6">
        <w:tab/>
      </w:r>
      <w:r w:rsidRPr="00A66BD6">
        <w:rPr>
          <w:bCs/>
        </w:rPr>
        <w:t>Помощь региональным группам</w:t>
      </w:r>
      <w:bookmarkEnd w:id="148"/>
      <w:bookmarkEnd w:id="149"/>
      <w:bookmarkEnd w:id="150"/>
      <w:bookmarkEnd w:id="151"/>
    </w:p>
    <w:p w14:paraId="7C51C9E8" w14:textId="77777777" w:rsidR="00BF5F40" w:rsidRPr="00A66BD6" w:rsidRDefault="00BF5F40" w:rsidP="00BF5F40">
      <w:pPr>
        <w:pStyle w:val="Heading4"/>
      </w:pPr>
      <w:bookmarkStart w:id="152" w:name="_Toc424047613"/>
      <w:r w:rsidRPr="00A66BD6">
        <w:rPr>
          <w:bCs/>
        </w:rPr>
        <w:t>8.3.2.1</w:t>
      </w:r>
      <w:r w:rsidRPr="00A66BD6">
        <w:tab/>
      </w:r>
      <w:r w:rsidRPr="00A66BD6">
        <w:rPr>
          <w:bCs/>
        </w:rPr>
        <w:t>Помощь Сообществу развития Юга Африки (САДК)</w:t>
      </w:r>
    </w:p>
    <w:p w14:paraId="68BBC80F" w14:textId="419402A8" w:rsidR="00BF5F40" w:rsidRPr="00A66BD6" w:rsidRDefault="00BF5F40" w:rsidP="00BF5F40">
      <w:pPr>
        <w:rPr>
          <w:rFonts w:eastAsia="Calibri"/>
          <w:szCs w:val="24"/>
        </w:rPr>
      </w:pPr>
      <w:r w:rsidRPr="00A66BD6">
        <w:t>3 сентября 2025 года Бюро получило восемь представлений, касающихся применения Резолюции</w:t>
      </w:r>
      <w:r w:rsidR="004A2808" w:rsidRPr="00A66BD6">
        <w:t> </w:t>
      </w:r>
      <w:r w:rsidRPr="00A66BD6">
        <w:rPr>
          <w:b/>
          <w:bCs/>
        </w:rPr>
        <w:t>170 (Пересм. ВКР-23)</w:t>
      </w:r>
      <w:r w:rsidRPr="00A66BD6">
        <w:t>, от администрации Республики Ангола, действующей в качестве заявляющей администрации межправительственной спутниковой организации "Спутник Сообщества развития Юга Африки" (AGL/SCS).</w:t>
      </w:r>
    </w:p>
    <w:p w14:paraId="06F6CE2E" w14:textId="77777777" w:rsidR="00BF5F40" w:rsidRPr="00A66BD6" w:rsidRDefault="00BF5F40" w:rsidP="00BF5F40">
      <w:pPr>
        <w:rPr>
          <w:rFonts w:eastAsia="Calibri"/>
          <w:szCs w:val="24"/>
        </w:rPr>
      </w:pPr>
      <w:r w:rsidRPr="00A66BD6">
        <w:t xml:space="preserve">Для обработки этих представлений Бюро создало новую Специальную секцию (RES170/A6A), в которой содержится информация, представленная в соответствии со специальной процедурой, которая описана в Прилагаемом документе 1 к Резолюции </w:t>
      </w:r>
      <w:r w:rsidRPr="00A66BD6">
        <w:rPr>
          <w:b/>
          <w:bCs/>
        </w:rPr>
        <w:t>170 (Пересм. ВКР-23)</w:t>
      </w:r>
      <w:r w:rsidRPr="00A66BD6">
        <w:t>. Специальная секция используется с 3 февраля 2026 года, как указано в Предисловии к Международному информационному циркуляру БР по частотам (ИФИК БР) (Космические службы).</w:t>
      </w:r>
    </w:p>
    <w:p w14:paraId="45506F50" w14:textId="77777777" w:rsidR="00BF5F40" w:rsidRPr="00A66BD6" w:rsidRDefault="00BF5F40" w:rsidP="00BF5F40">
      <w:pPr>
        <w:rPr>
          <w:szCs w:val="24"/>
        </w:rPr>
      </w:pPr>
      <w:r w:rsidRPr="00A66BD6">
        <w:t xml:space="preserve">В ИФИК БР № 3064 от 3 февраля 2026 года опубликовано восемь Специальных секций, подпадающих под действие Резолюции </w:t>
      </w:r>
      <w:r w:rsidRPr="00A66BD6">
        <w:rPr>
          <w:b/>
          <w:bCs/>
        </w:rPr>
        <w:t>170 (Пересм. ВКР-23)</w:t>
      </w:r>
      <w:r w:rsidRPr="00A66BD6">
        <w:t>.</w:t>
      </w:r>
    </w:p>
    <w:p w14:paraId="3F44B4EC" w14:textId="77777777" w:rsidR="00BF5F40" w:rsidRPr="00A66BD6" w:rsidRDefault="00BF5F40" w:rsidP="00BF5F40">
      <w:pPr>
        <w:pStyle w:val="Heading2"/>
      </w:pPr>
      <w:bookmarkStart w:id="153" w:name="_Toc418163382"/>
      <w:bookmarkStart w:id="154" w:name="_Toc418232300"/>
      <w:bookmarkStart w:id="155" w:name="_Toc424047620"/>
      <w:bookmarkStart w:id="156" w:name="_Toc446060792"/>
      <w:bookmarkStart w:id="157" w:name="_Toc223379868"/>
      <w:bookmarkStart w:id="158" w:name="_Toc223957822"/>
      <w:bookmarkEnd w:id="152"/>
      <w:r w:rsidRPr="00A66BD6">
        <w:rPr>
          <w:bCs/>
        </w:rPr>
        <w:lastRenderedPageBreak/>
        <w:t>8.4</w:t>
      </w:r>
      <w:r w:rsidRPr="00A66BD6">
        <w:tab/>
      </w:r>
      <w:r w:rsidRPr="00A66BD6">
        <w:rPr>
          <w:bCs/>
        </w:rPr>
        <w:t>Стратегическое партнерство и межсекторальное сотрудничество</w:t>
      </w:r>
      <w:bookmarkEnd w:id="153"/>
      <w:bookmarkEnd w:id="154"/>
      <w:bookmarkEnd w:id="155"/>
      <w:bookmarkEnd w:id="156"/>
      <w:bookmarkEnd w:id="157"/>
      <w:bookmarkEnd w:id="158"/>
    </w:p>
    <w:p w14:paraId="49DD9594" w14:textId="77777777" w:rsidR="00BF5F40" w:rsidRPr="00A66BD6" w:rsidRDefault="00BF5F40" w:rsidP="00BF5F40">
      <w:pPr>
        <w:pStyle w:val="Heading3"/>
      </w:pPr>
      <w:bookmarkStart w:id="159" w:name="_Toc424047621"/>
      <w:bookmarkStart w:id="160" w:name="_Toc446060793"/>
      <w:bookmarkStart w:id="161" w:name="_Toc223379869"/>
      <w:bookmarkStart w:id="162" w:name="_Toc223957823"/>
      <w:r w:rsidRPr="00A66BD6">
        <w:rPr>
          <w:bCs/>
        </w:rPr>
        <w:t>8.4.1</w:t>
      </w:r>
      <w:r w:rsidRPr="00A66BD6">
        <w:tab/>
      </w:r>
      <w:r w:rsidRPr="00A66BD6">
        <w:rPr>
          <w:bCs/>
        </w:rPr>
        <w:t>Сотрудничество с МСЭ-D</w:t>
      </w:r>
      <w:bookmarkStart w:id="163" w:name="_Toc424047622"/>
      <w:bookmarkEnd w:id="159"/>
      <w:bookmarkEnd w:id="160"/>
      <w:bookmarkEnd w:id="161"/>
      <w:bookmarkEnd w:id="162"/>
    </w:p>
    <w:p w14:paraId="54C0326B" w14:textId="77777777" w:rsidR="00BF5F40" w:rsidRPr="00A66BD6" w:rsidRDefault="00BF5F40" w:rsidP="00BF5F40">
      <w:pPr>
        <w:rPr>
          <w:b/>
          <w:bCs/>
        </w:rPr>
      </w:pPr>
      <w:r w:rsidRPr="00A66BD6">
        <w:t>БР поддерживало тесное сотрудничество с БРЭ по вопросам, представляющим взаимный интерес для МСЭ-R и МСЭ-D. БР активно участвовало в собраниях ИК МСЭ-D, чтобы сообщать о последних тенденциях в деятельности ИК МСЭ-R, а также давать разъяснения и ориентировки в том, что касается Рекомендаций, Отчетов и Справочников МСЭ-R, представляющих особый интерес для развивающихся стран, а также для исследований, проводимых ИК1 и ИК2 МСЭ-D. ИК МСЭ-R или их РГ также ответили на ряд заявлений о взаимодействии от ИК МСЭ-D, касающихся подготовки проектов отчетов МСЭ-D для ВКРЭ-25 в ответ на Вопросы МСЭ-D, утвержденные на ВКРЭ-22. Представители БР также внимательно следили за работой ВКРЭ-25 и принимали в ней участие.</w:t>
      </w:r>
    </w:p>
    <w:p w14:paraId="6C5B2309" w14:textId="5715BBF2" w:rsidR="00BF5F40" w:rsidRPr="00A66BD6" w:rsidRDefault="00BF5F40" w:rsidP="00BF5F40">
      <w:pPr>
        <w:rPr>
          <w:rFonts w:eastAsia="Calibri"/>
        </w:rPr>
      </w:pPr>
      <w:r w:rsidRPr="00A66BD6">
        <w:t>В целях содействия сотрудничеству с использованием существующих механизмов Департамент исследовательских комиссий БР представляет соответствующим ИК МСЭ-D краткие данные о</w:t>
      </w:r>
      <w:r w:rsidR="004A2808" w:rsidRPr="00A66BD6">
        <w:t> </w:t>
      </w:r>
      <w:r w:rsidRPr="00A66BD6">
        <w:t xml:space="preserve">последних достижениях своих ИК или РГ, постоянно обновляя все недавно утвержденные итоговые документы. Эта информация регулярно публикуется на </w:t>
      </w:r>
      <w:hyperlink r:id="rId119" w:history="1">
        <w:r w:rsidRPr="00A66BD6">
          <w:rPr>
            <w:rStyle w:val="Hyperlink"/>
          </w:rPr>
          <w:t>веб-сайте ИК МСЭ-R</w:t>
        </w:r>
      </w:hyperlink>
      <w:r w:rsidRPr="00A66BD6">
        <w:t>. Файл содержит список недавно утвержденных текстов в хронологическом порядке за исследовательский период 2023−2027</w:t>
      </w:r>
      <w:r w:rsidR="004A2808" w:rsidRPr="00A66BD6">
        <w:t> </w:t>
      </w:r>
      <w:r w:rsidRPr="00A66BD6">
        <w:t>годов, а также краткое описание содержания каждого документа. Департамент исследовательских комиссий БР определил исследовательские комиссии МСЭ-D и/или МСЭ-Т и исследовательские вопросы, для которых может быть актуальным каждый документ МСЭ-R. Это также способствует недопущению дублирования усилий и использованию результатов работы ИК МСЭ-R. Эта информация также доступна за исследовательский период 2019</w:t>
      </w:r>
      <w:r w:rsidR="004A2808" w:rsidRPr="00A66BD6">
        <w:t>−</w:t>
      </w:r>
      <w:r w:rsidRPr="00A66BD6">
        <w:t>2023 годов.</w:t>
      </w:r>
      <w:hyperlink r:id="rId120" w:history="1"/>
    </w:p>
    <w:p w14:paraId="7F5C0D3F" w14:textId="77777777" w:rsidR="00BF5F40" w:rsidRPr="00A66BD6" w:rsidRDefault="00BF5F40" w:rsidP="00BF5F40">
      <w:r w:rsidRPr="00A66BD6">
        <w:t>По просьбам БРЭ эксперты из МСЭ-R и БР принимали участие в семинарах и семинарах-практикумах МСЭ, организуемых МСЭ-D.</w:t>
      </w:r>
    </w:p>
    <w:p w14:paraId="09752932" w14:textId="77777777" w:rsidR="00BF5F40" w:rsidRPr="00A66BD6" w:rsidRDefault="00BF5F40" w:rsidP="00BF5F40">
      <w:pPr>
        <w:pStyle w:val="Heading4"/>
        <w:rPr>
          <w:i/>
        </w:rPr>
      </w:pPr>
      <w:r w:rsidRPr="00A66BD6">
        <w:rPr>
          <w:bCs/>
        </w:rPr>
        <w:t>8.4.1.1</w:t>
      </w:r>
      <w:r w:rsidRPr="00A66BD6">
        <w:tab/>
      </w:r>
      <w:r w:rsidRPr="00A66BD6">
        <w:rPr>
          <w:bCs/>
        </w:rPr>
        <w:t>Глобальный симпозиум для регуляторных органов (ГСР)</w:t>
      </w:r>
    </w:p>
    <w:p w14:paraId="6EBA07A7" w14:textId="77777777" w:rsidR="00BF5F40" w:rsidRPr="00A66BD6" w:rsidRDefault="00BF5F40" w:rsidP="00BF5F40">
      <w:bookmarkStart w:id="164" w:name="_Toc424047623"/>
      <w:bookmarkEnd w:id="163"/>
      <w:r w:rsidRPr="00A66BD6">
        <w:t>Понимая важность экспертной информации для Государств-Членов, БР продолжает оказывать поддержку БРЭ путем предоставления технических знаний по вопросам управления использованием спектра, цифрового радиовещания и цифрового дивиденда.</w:t>
      </w:r>
    </w:p>
    <w:p w14:paraId="71C47D1D" w14:textId="77D8069B" w:rsidR="00BF5F40" w:rsidRPr="00A66BD6" w:rsidRDefault="00BF5F40" w:rsidP="00BF5F40">
      <w:pPr>
        <w:pStyle w:val="Heading4"/>
      </w:pPr>
      <w:bookmarkStart w:id="165" w:name="_Toc424047624"/>
      <w:bookmarkEnd w:id="164"/>
      <w:r w:rsidRPr="00A66BD6">
        <w:rPr>
          <w:bCs/>
        </w:rPr>
        <w:t>8.4.1.2</w:t>
      </w:r>
      <w:r w:rsidRPr="00A66BD6">
        <w:tab/>
      </w:r>
      <w:r w:rsidRPr="00A66BD6">
        <w:rPr>
          <w:bCs/>
        </w:rPr>
        <w:t>Учебная программа по управлению использованием спектра (SMTP)</w:t>
      </w:r>
      <w:bookmarkEnd w:id="165"/>
    </w:p>
    <w:p w14:paraId="1A00ADA9" w14:textId="77777777" w:rsidR="00BF5F40" w:rsidRPr="00A66BD6" w:rsidRDefault="00BF5F40" w:rsidP="00BF5F40">
      <w:r w:rsidRPr="00A66BD6">
        <w:t>Начиная с 2013 года БР активно участвует в совместном с БРЭ проекте по разработке учебной программы по управлению использованием спектра (SMTP) на разных стадиях его осуществления – определение концепции, подготовка материалов, экспертная оценка и пилотное тестирование. За прошедшие годы произошло несколько обновлений, в связи с чем БР по просьбе БРЭ регулярно пересматривало материал, содержащийся в действующей программе SMTP.</w:t>
      </w:r>
      <w:bookmarkStart w:id="166" w:name="_Toc446060796"/>
    </w:p>
    <w:p w14:paraId="2712E411" w14:textId="77777777" w:rsidR="00BF5F40" w:rsidRPr="00A66BD6" w:rsidRDefault="00BF5F40" w:rsidP="00BF5F40">
      <w:pPr>
        <w:pStyle w:val="Heading3"/>
      </w:pPr>
      <w:bookmarkStart w:id="167" w:name="_Toc223379870"/>
      <w:bookmarkStart w:id="168" w:name="_Toc223957824"/>
      <w:r w:rsidRPr="00A66BD6">
        <w:rPr>
          <w:bCs/>
        </w:rPr>
        <w:t>8.4.2</w:t>
      </w:r>
      <w:r w:rsidRPr="00A66BD6">
        <w:tab/>
      </w:r>
      <w:r w:rsidRPr="00A66BD6">
        <w:rPr>
          <w:bCs/>
        </w:rPr>
        <w:t>Сотрудничество с МСЭ-</w:t>
      </w:r>
      <w:r w:rsidRPr="00A66BD6">
        <w:t>T</w:t>
      </w:r>
      <w:bookmarkEnd w:id="167"/>
      <w:bookmarkEnd w:id="168"/>
    </w:p>
    <w:p w14:paraId="1AC43872" w14:textId="77777777" w:rsidR="00BF5F40" w:rsidRPr="00A66BD6" w:rsidRDefault="00BF5F40" w:rsidP="00BF5F40">
      <w:r w:rsidRPr="00A66BD6">
        <w:t>Наряду с изменением климата и связью в чрезвычайных ситуациях к темам, представляющим взаимный интерес для МСЭ-R и МСЭ-Т, относятся IMT, воздействие радиочастот на человека, системы передачи с использованием линий электропередачи, "умные" электросети, "умные" города, ЭМС/ЭМП, интеллектуальные транспортные системы, искусственный интеллект (ИИ), доступность аудиовизуальных средств массовой информации, общая патентная политика и права интеллектуальной собственности.</w:t>
      </w:r>
    </w:p>
    <w:p w14:paraId="74B61FD7" w14:textId="77777777" w:rsidR="00BF5F40" w:rsidRPr="00A66BD6" w:rsidRDefault="00BF5F40" w:rsidP="00BF5F40">
      <w:pPr>
        <w:pStyle w:val="Heading3"/>
      </w:pPr>
      <w:bookmarkStart w:id="169" w:name="_Toc223379871"/>
      <w:bookmarkStart w:id="170" w:name="_Toc223957825"/>
      <w:r w:rsidRPr="00A66BD6">
        <w:rPr>
          <w:bCs/>
        </w:rPr>
        <w:t>8.4.3</w:t>
      </w:r>
      <w:r w:rsidRPr="00A66BD6">
        <w:tab/>
      </w:r>
      <w:r w:rsidRPr="00A66BD6">
        <w:rPr>
          <w:bCs/>
        </w:rPr>
        <w:t>Межсекторальная деятельность по другим вопросам</w:t>
      </w:r>
      <w:bookmarkEnd w:id="169"/>
      <w:bookmarkEnd w:id="170"/>
    </w:p>
    <w:p w14:paraId="09F05E50" w14:textId="77777777" w:rsidR="00BF5F40" w:rsidRPr="00A66BD6" w:rsidRDefault="00BF5F40" w:rsidP="00BF5F40">
      <w:r w:rsidRPr="00A66BD6">
        <w:t>БР принимало активное участие в межсекторальной деятельности по другим направлениям, актуальным для работы ИК МСЭ-R, таким как:</w:t>
      </w:r>
    </w:p>
    <w:p w14:paraId="655EE96B" w14:textId="77777777" w:rsidR="00BF5F40" w:rsidRPr="00A66BD6" w:rsidRDefault="00BF5F40" w:rsidP="004A2808">
      <w:pPr>
        <w:pStyle w:val="enumlev1"/>
      </w:pPr>
      <w:r w:rsidRPr="00A66BD6">
        <w:t>–</w:t>
      </w:r>
      <w:r w:rsidRPr="00A66BD6">
        <w:tab/>
        <w:t>изменение климата и связь в чрезвычайных ситуациях;</w:t>
      </w:r>
    </w:p>
    <w:p w14:paraId="052D9D38" w14:textId="77777777" w:rsidR="00BF5F40" w:rsidRPr="00A66BD6" w:rsidRDefault="00BF5F40" w:rsidP="004A2808">
      <w:pPr>
        <w:pStyle w:val="enumlev1"/>
      </w:pPr>
      <w:r w:rsidRPr="00A66BD6">
        <w:t>–</w:t>
      </w:r>
      <w:r w:rsidRPr="00A66BD6">
        <w:tab/>
        <w:t>доступность, участие в работе JCA-AHF МСЭ-Т (Группа по совместной координационной деятельности по доступности и человеческим факторам);</w:t>
      </w:r>
    </w:p>
    <w:p w14:paraId="41F51DAC" w14:textId="77777777" w:rsidR="00BF5F40" w:rsidRPr="00A66BD6" w:rsidRDefault="00BF5F40" w:rsidP="004A2808">
      <w:pPr>
        <w:pStyle w:val="enumlev1"/>
      </w:pPr>
      <w:r w:rsidRPr="00A66BD6">
        <w:t>–</w:t>
      </w:r>
      <w:r w:rsidRPr="00A66BD6">
        <w:tab/>
        <w:t>ВВУИО и РГС по ВВУИО и ЦУР;</w:t>
      </w:r>
    </w:p>
    <w:p w14:paraId="73802F64" w14:textId="77777777" w:rsidR="00BF5F40" w:rsidRPr="00A66BD6" w:rsidRDefault="00BF5F40" w:rsidP="004A2808">
      <w:pPr>
        <w:pStyle w:val="enumlev1"/>
      </w:pPr>
      <w:r w:rsidRPr="00A66BD6">
        <w:lastRenderedPageBreak/>
        <w:t>–</w:t>
      </w:r>
      <w:r w:rsidRPr="00A66BD6">
        <w:tab/>
        <w:t>предоставление соответствующей поддержки Полномочной конференции, Совету МСЭ, ВАСЭ и ВКРЭ.</w:t>
      </w:r>
    </w:p>
    <w:p w14:paraId="17A6FC5A" w14:textId="77777777" w:rsidR="00BF5F40" w:rsidRPr="00A66BD6" w:rsidRDefault="00BF5F40" w:rsidP="00BF5F40">
      <w:r w:rsidRPr="00A66BD6">
        <w:t xml:space="preserve">В соответствии с Резолюцией </w:t>
      </w:r>
      <w:hyperlink r:id="rId121" w:history="1">
        <w:r w:rsidRPr="00A66BD6">
          <w:rPr>
            <w:rStyle w:val="Hyperlink"/>
          </w:rPr>
          <w:t>МСЭ-R 75</w:t>
        </w:r>
      </w:hyperlink>
      <w:r w:rsidRPr="00A66BD6">
        <w:t xml:space="preserve"> "Усиление координации и сотрудничества между МСЭ-R, МСЭ-T и МСЭ-D по вопросам, представляющим взаимный интерес" БР продолжит сотрудничать с МСЭ-D и МСЭ-Т по мере необходимости.</w:t>
      </w:r>
      <w:hyperlink r:id="rId122" w:history="1"/>
    </w:p>
    <w:p w14:paraId="7C2BC742" w14:textId="77777777" w:rsidR="00BF5F40" w:rsidRPr="00A66BD6" w:rsidRDefault="00BF5F40" w:rsidP="00BF5F40">
      <w:r w:rsidRPr="00A66BD6">
        <w:t xml:space="preserve">Приведенные примеры наглядно иллюстрируют сотрудничество, осуществляемое между Секторами МСЭ в соответствии с Резолюцией 191 (Пересм. Бухарест, 2022 г.) Полномочной конференции о стратегии координации усилий трех Секторов Союза. </w:t>
      </w:r>
    </w:p>
    <w:p w14:paraId="36882284" w14:textId="77777777" w:rsidR="00BF5F40" w:rsidRPr="00A66BD6" w:rsidRDefault="00BF5F40" w:rsidP="00BF5F40">
      <w:pPr>
        <w:pStyle w:val="Heading3"/>
      </w:pPr>
      <w:bookmarkStart w:id="171" w:name="_Toc223379872"/>
      <w:bookmarkStart w:id="172" w:name="_Toc223957826"/>
      <w:r w:rsidRPr="00A66BD6">
        <w:rPr>
          <w:bCs/>
        </w:rPr>
        <w:t>8.4.4</w:t>
      </w:r>
      <w:r w:rsidRPr="00A66BD6">
        <w:tab/>
      </w:r>
      <w:r w:rsidRPr="00A66BD6">
        <w:rPr>
          <w:bCs/>
        </w:rPr>
        <w:t>Сотрудничество с другими организациями</w:t>
      </w:r>
      <w:bookmarkEnd w:id="171"/>
      <w:bookmarkEnd w:id="172"/>
    </w:p>
    <w:p w14:paraId="1FA0FF64" w14:textId="77777777" w:rsidR="00BF5F40" w:rsidRPr="00A66BD6" w:rsidRDefault="00BF5F40" w:rsidP="00BF5F40">
      <w:r w:rsidRPr="00A66BD6">
        <w:t xml:space="preserve">Продолжалось необходимое взаимодействие ИК МСЭ-R и других организаций при надлежащем учете Резолюции </w:t>
      </w:r>
      <w:hyperlink r:id="rId123" w:history="1">
        <w:r w:rsidRPr="00A66BD6">
          <w:rPr>
            <w:rStyle w:val="Hyperlink"/>
          </w:rPr>
          <w:t>МСЭ-R 9</w:t>
        </w:r>
      </w:hyperlink>
      <w:r w:rsidRPr="00A66BD6">
        <w:t xml:space="preserve"> в соответствующих случаях. Информация о "Патентном заявлении и декларации о лицензировании" МСЭ-R доступна на </w:t>
      </w:r>
      <w:hyperlink r:id="rId124" w:history="1">
        <w:r w:rsidRPr="00A66BD6">
          <w:rPr>
            <w:rStyle w:val="Hyperlink"/>
          </w:rPr>
          <w:t>веб-сайте</w:t>
        </w:r>
      </w:hyperlink>
      <w:r w:rsidRPr="00A66BD6">
        <w:t>.</w:t>
      </w:r>
      <w:hyperlink r:id="rId125" w:history="1"/>
      <w:hyperlink r:id="rId126" w:history="1"/>
    </w:p>
    <w:p w14:paraId="7E726635" w14:textId="77777777" w:rsidR="00BF5F40" w:rsidRPr="00A66BD6" w:rsidRDefault="00BF5F40" w:rsidP="00BF5F40">
      <w:r w:rsidRPr="00A66BD6">
        <w:t>Бюро по-прежнему поддерживало тесное сотрудничество с рядом организаций в следующих целях:</w:t>
      </w:r>
    </w:p>
    <w:p w14:paraId="05C7F904" w14:textId="2B588FF1" w:rsidR="00BF5F40" w:rsidRPr="00A66BD6" w:rsidRDefault="004A2808" w:rsidP="004A2808">
      <w:pPr>
        <w:pStyle w:val="enumlev1"/>
      </w:pPr>
      <w:r w:rsidRPr="00A66BD6">
        <w:t>1)</w:t>
      </w:r>
      <w:r w:rsidRPr="00A66BD6">
        <w:tab/>
      </w:r>
      <w:r w:rsidR="00BF5F40" w:rsidRPr="00A66BD6">
        <w:t>содействовать диалогу между органами, имеющими общие интересы;</w:t>
      </w:r>
    </w:p>
    <w:p w14:paraId="63A8C85F" w14:textId="591D5929" w:rsidR="00BF5F40" w:rsidRPr="00A66BD6" w:rsidRDefault="004A2808" w:rsidP="004A2808">
      <w:pPr>
        <w:pStyle w:val="enumlev1"/>
      </w:pPr>
      <w:r w:rsidRPr="00A66BD6">
        <w:t>2)</w:t>
      </w:r>
      <w:r w:rsidRPr="00A66BD6">
        <w:tab/>
      </w:r>
      <w:r w:rsidR="00BF5F40" w:rsidRPr="00A66BD6">
        <w:t>улучшать координацию, которая приводит к более эффективной подготовке таких мероприятий, как ВКР; и</w:t>
      </w:r>
    </w:p>
    <w:p w14:paraId="5D1BCE02" w14:textId="2EB60159" w:rsidR="00BF5F40" w:rsidRPr="00A66BD6" w:rsidRDefault="004A2808" w:rsidP="004A2808">
      <w:pPr>
        <w:pStyle w:val="enumlev1"/>
      </w:pPr>
      <w:r w:rsidRPr="00A66BD6">
        <w:t>3)</w:t>
      </w:r>
      <w:r w:rsidRPr="00A66BD6">
        <w:tab/>
      </w:r>
      <w:r w:rsidR="00BF5F40" w:rsidRPr="00A66BD6">
        <w:t>постоянно информировать МСЭ-R о соответствующей деятельности в других организациях для стратегического планирования программ работы.</w:t>
      </w:r>
    </w:p>
    <w:p w14:paraId="0EBB1957" w14:textId="77777777" w:rsidR="00BF5F40" w:rsidRPr="00A66BD6" w:rsidRDefault="00BF5F40" w:rsidP="00BF5F40">
      <w:r w:rsidRPr="00A66BD6">
        <w:t>Бюро продолжает тесное сотрудничество с соответствующими международными и региональными организациями, в том числе со следующими:</w:t>
      </w:r>
    </w:p>
    <w:p w14:paraId="3AC7E6B0" w14:textId="77777777" w:rsidR="00BF5F40" w:rsidRPr="00A66BD6" w:rsidRDefault="00BF5F40" w:rsidP="004A2808">
      <w:pPr>
        <w:pStyle w:val="enumlev1"/>
      </w:pPr>
      <w:r w:rsidRPr="00A66BD6">
        <w:t>−</w:t>
      </w:r>
      <w:r w:rsidRPr="00A66BD6">
        <w:tab/>
        <w:t>АТСЭ, ASMG, АСЭ, СЕПТ, СИТЕЛ и РСС по вопросам региональной координации;</w:t>
      </w:r>
    </w:p>
    <w:p w14:paraId="21E9BDBD" w14:textId="77777777" w:rsidR="00BF5F40" w:rsidRPr="00A66BD6" w:rsidRDefault="00BF5F40" w:rsidP="004A2808">
      <w:pPr>
        <w:pStyle w:val="enumlev1"/>
      </w:pPr>
      <w:r w:rsidRPr="00A66BD6">
        <w:t>−</w:t>
      </w:r>
      <w:r w:rsidRPr="00A66BD6">
        <w:tab/>
        <w:t>АТРС, РСАГ, ЕРС SMPT, ЕТСИ и ККВЧ по вопросам радиовещания;</w:t>
      </w:r>
    </w:p>
    <w:p w14:paraId="1F20C04C" w14:textId="77777777" w:rsidR="00BF5F40" w:rsidRPr="00A66BD6" w:rsidRDefault="00BF5F40" w:rsidP="004A2808">
      <w:pPr>
        <w:pStyle w:val="enumlev1"/>
      </w:pPr>
      <w:r w:rsidRPr="00A66BD6">
        <w:t>−</w:t>
      </w:r>
      <w:r w:rsidRPr="00A66BD6">
        <w:tab/>
        <w:t>ITSO, ESOA, GVF, Ассоциацией GSM по вопросам использования конкретных систем и услуг радиосвязи;</w:t>
      </w:r>
    </w:p>
    <w:p w14:paraId="467DE5C5" w14:textId="77777777" w:rsidR="00BF5F40" w:rsidRPr="00A66BD6" w:rsidRDefault="00BF5F40" w:rsidP="004A2808">
      <w:pPr>
        <w:pStyle w:val="enumlev1"/>
      </w:pPr>
      <w:r w:rsidRPr="00A66BD6">
        <w:t>−</w:t>
      </w:r>
      <w:r w:rsidRPr="00A66BD6">
        <w:tab/>
        <w:t>3GPP, IEEE и рядом региональных организаций по разработке стандартов по вопросам, связанным с деятельностью Глобального сотрудничества по стандартам (ГСС);</w:t>
      </w:r>
    </w:p>
    <w:p w14:paraId="66E49F50" w14:textId="77777777" w:rsidR="00BF5F40" w:rsidRPr="00A66BD6" w:rsidRDefault="00BF5F40" w:rsidP="004A2808">
      <w:pPr>
        <w:pStyle w:val="enumlev1"/>
      </w:pPr>
      <w:r w:rsidRPr="00A66BD6">
        <w:t>−</w:t>
      </w:r>
      <w:r w:rsidRPr="00A66BD6">
        <w:tab/>
        <w:t>Всемирной метеорологической организацией (ВМО), Всемирной организацией здравоохранения (ВОЗ), ИСО и МЭК (включая Международный специальный комитет по радиопомехам (СИСПР)), Группой по координации космических частот, Международным научным радиосоюзом (МНРС) и некоторыми другими организациями в отдельных случаях по вопросам полезного обмена информацией в отношении деятельности ИК.</w:t>
      </w:r>
    </w:p>
    <w:p w14:paraId="6BC0BDB7" w14:textId="77777777" w:rsidR="00BF5F40" w:rsidRPr="00A66BD6" w:rsidRDefault="00BF5F40" w:rsidP="004A2808">
      <w:pPr>
        <w:pStyle w:val="enumlev1"/>
      </w:pPr>
      <w:r w:rsidRPr="00A66BD6">
        <w:t>−</w:t>
      </w:r>
      <w:r w:rsidRPr="00A66BD6">
        <w:tab/>
        <w:t>Комитетом Организации Объединенных Наций по использованию космического пространства в мирных целях (КОПУОС ООН), Европейской экономической комиссией Организации Объединенных Наций (ЕЭК ООН), Международной морской организацией (ИМО), Международной организацией подвижной спутниковой связи (IMSO), Международным бюро мер и весов (МБМВ), Международной организацией спутниковой связи (ITSO), КОСПАС-САРСАТ, Международным комитетом Красного Креста (МККК) и Международной организацией гражданской авиации (ИКАО) в отношении применения текстов МСЭ уровня договора.</w:t>
      </w:r>
    </w:p>
    <w:p w14:paraId="5C3B06C5" w14:textId="77777777" w:rsidR="00BF5F40" w:rsidRPr="00A66BD6" w:rsidRDefault="00BF5F40" w:rsidP="00BF5F40">
      <w:pPr>
        <w:pStyle w:val="Heading2"/>
      </w:pPr>
      <w:bookmarkStart w:id="173" w:name="_Toc223379873"/>
      <w:bookmarkStart w:id="174" w:name="_Toc223957827"/>
      <w:r w:rsidRPr="00A66BD6">
        <w:rPr>
          <w:bCs/>
        </w:rPr>
        <w:t>8.5</w:t>
      </w:r>
      <w:r w:rsidRPr="00A66BD6">
        <w:tab/>
      </w:r>
      <w:r w:rsidRPr="00A66BD6">
        <w:rPr>
          <w:bCs/>
        </w:rPr>
        <w:t>Членство</w:t>
      </w:r>
      <w:bookmarkEnd w:id="166"/>
      <w:bookmarkEnd w:id="173"/>
      <w:bookmarkEnd w:id="174"/>
    </w:p>
    <w:p w14:paraId="5F7FA5FB" w14:textId="77777777" w:rsidR="00BF5F40" w:rsidRPr="00A66BD6" w:rsidRDefault="00BF5F40" w:rsidP="00BF5F40">
      <w:pPr>
        <w:pStyle w:val="Heading3"/>
      </w:pPr>
      <w:bookmarkStart w:id="175" w:name="_Toc223379874"/>
      <w:bookmarkStart w:id="176" w:name="_Toc223957828"/>
      <w:r w:rsidRPr="00A66BD6">
        <w:rPr>
          <w:bCs/>
        </w:rPr>
        <w:t>8.5.1</w:t>
      </w:r>
      <w:r w:rsidRPr="00A66BD6">
        <w:tab/>
      </w:r>
      <w:r w:rsidRPr="00A66BD6">
        <w:rPr>
          <w:bCs/>
        </w:rPr>
        <w:t>Члены МСЭ</w:t>
      </w:r>
      <w:bookmarkEnd w:id="175"/>
      <w:bookmarkEnd w:id="176"/>
    </w:p>
    <w:p w14:paraId="3F0F7609" w14:textId="1465A0B2" w:rsidR="00BF5F40" w:rsidRPr="00A66BD6" w:rsidRDefault="00BF5F40" w:rsidP="00BF5F40">
      <w:r w:rsidRPr="00A66BD6">
        <w:t xml:space="preserve">В </w:t>
      </w:r>
      <w:r w:rsidR="00497FEF" w:rsidRPr="00A66BD6">
        <w:t xml:space="preserve">Таблице </w:t>
      </w:r>
      <w:r w:rsidRPr="00A66BD6">
        <w:t>8.5.1-1 показано распределение членского состава МСЭ по Секторам и регионам в 2025 году.</w:t>
      </w:r>
    </w:p>
    <w:p w14:paraId="4F3007AB" w14:textId="77777777" w:rsidR="00BF5F40" w:rsidRPr="00A66BD6" w:rsidRDefault="00BF5F40" w:rsidP="00BF5F40">
      <w:pPr>
        <w:pStyle w:val="TableNo"/>
        <w:rPr>
          <w:lang w:val="ru-RU"/>
        </w:rPr>
      </w:pPr>
      <w:r w:rsidRPr="00A66BD6">
        <w:rPr>
          <w:lang w:val="ru-RU"/>
        </w:rPr>
        <w:lastRenderedPageBreak/>
        <w:t>Таблица 8.5.1-1</w:t>
      </w:r>
    </w:p>
    <w:p w14:paraId="00A30125" w14:textId="77777777" w:rsidR="00BF5F40" w:rsidRPr="00A66BD6" w:rsidRDefault="00BF5F40" w:rsidP="00BF5F40">
      <w:pPr>
        <w:pStyle w:val="Tabletitle"/>
        <w:rPr>
          <w:lang w:val="ru-RU"/>
        </w:rPr>
      </w:pPr>
      <w:r w:rsidRPr="00A66BD6">
        <w:rPr>
          <w:bCs/>
          <w:lang w:val="ru-RU"/>
        </w:rPr>
        <w:t>Распределение членского состава МСЭ по Секторам и регионам в 2025 году</w:t>
      </w:r>
    </w:p>
    <w:p w14:paraId="086F89A3" w14:textId="77777777" w:rsidR="00BF5F40" w:rsidRPr="00A66BD6" w:rsidRDefault="00BF5F40" w:rsidP="00BF5F40">
      <w:pPr>
        <w:jc w:val="center"/>
      </w:pPr>
      <w:r w:rsidRPr="00A66BD6">
        <w:drawing>
          <wp:inline distT="0" distB="0" distL="0" distR="0" wp14:anchorId="788B4161" wp14:editId="11582745">
            <wp:extent cx="6120765" cy="1906905"/>
            <wp:effectExtent l="0" t="0" r="0" b="0"/>
            <wp:docPr id="1806276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276787" name="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ACEAC" w14:textId="77777777" w:rsidR="00BF5F40" w:rsidRPr="00A66BD6" w:rsidRDefault="00BF5F40" w:rsidP="00BF5F40">
      <w:pPr>
        <w:pStyle w:val="Heading3"/>
      </w:pPr>
      <w:bookmarkStart w:id="177" w:name="_Toc223379875"/>
      <w:bookmarkStart w:id="178" w:name="_Toc223957829"/>
      <w:r w:rsidRPr="00A66BD6">
        <w:rPr>
          <w:bCs/>
        </w:rPr>
        <w:t>8.5.2</w:t>
      </w:r>
      <w:r w:rsidRPr="00A66BD6">
        <w:tab/>
      </w:r>
      <w:r w:rsidRPr="00A66BD6">
        <w:rPr>
          <w:bCs/>
        </w:rPr>
        <w:t>Члены МСЭ</w:t>
      </w:r>
      <w:r w:rsidRPr="00A66BD6">
        <w:t>-R</w:t>
      </w:r>
      <w:bookmarkEnd w:id="177"/>
      <w:bookmarkEnd w:id="178"/>
    </w:p>
    <w:p w14:paraId="37D76876" w14:textId="36207639" w:rsidR="00BF5F40" w:rsidRPr="00A66BD6" w:rsidRDefault="00BF5F40" w:rsidP="00BF5F40">
      <w:r w:rsidRPr="00A66BD6">
        <w:t xml:space="preserve">В </w:t>
      </w:r>
      <w:r w:rsidR="00497FEF" w:rsidRPr="00A66BD6">
        <w:t xml:space="preserve">Таблице </w:t>
      </w:r>
      <w:r w:rsidRPr="00A66BD6">
        <w:t>8.5.2-1 показано изменение числа Членов Сектора МСЭ-R, Ассоциированных членов и Академических организаций в период с 2020 по 2025 год.</w:t>
      </w:r>
    </w:p>
    <w:p w14:paraId="5DCF57BF" w14:textId="77777777" w:rsidR="00BF5F40" w:rsidRPr="00A66BD6" w:rsidRDefault="00BF5F40" w:rsidP="004A2808">
      <w:pPr>
        <w:pStyle w:val="TableNo"/>
        <w:rPr>
          <w:lang w:val="ru-RU"/>
        </w:rPr>
      </w:pPr>
      <w:r w:rsidRPr="00A66BD6">
        <w:rPr>
          <w:lang w:val="ru-RU"/>
        </w:rPr>
        <w:t>Таблица 8.5.2-1</w:t>
      </w:r>
    </w:p>
    <w:p w14:paraId="76663544" w14:textId="77777777" w:rsidR="00BF5F40" w:rsidRPr="00A66BD6" w:rsidRDefault="00BF5F40" w:rsidP="00BF5F40">
      <w:pPr>
        <w:pStyle w:val="Tabletitle"/>
        <w:rPr>
          <w:lang w:val="ru-RU"/>
        </w:rPr>
      </w:pPr>
      <w:r w:rsidRPr="00A66BD6">
        <w:rPr>
          <w:bCs/>
          <w:lang w:val="ru-RU"/>
        </w:rPr>
        <w:t>Изменение численности членского состава МСЭ-R в период с 2020 по 2025 год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827"/>
        <w:gridCol w:w="828"/>
        <w:gridCol w:w="827"/>
        <w:gridCol w:w="828"/>
        <w:gridCol w:w="827"/>
        <w:gridCol w:w="828"/>
        <w:gridCol w:w="1349"/>
        <w:gridCol w:w="1350"/>
      </w:tblGrid>
      <w:tr w:rsidR="00D20F5D" w:rsidRPr="00A66BD6" w14:paraId="20A56ACD" w14:textId="77777777" w:rsidTr="00D20F5D">
        <w:trPr>
          <w:trHeight w:val="300"/>
        </w:trPr>
        <w:tc>
          <w:tcPr>
            <w:tcW w:w="1976" w:type="dxa"/>
            <w:vAlign w:val="center"/>
          </w:tcPr>
          <w:p w14:paraId="4A166DB6" w14:textId="77777777" w:rsidR="00BF5F40" w:rsidRPr="00A66BD6" w:rsidRDefault="00BF5F40" w:rsidP="00D20F5D">
            <w:pPr>
              <w:pStyle w:val="Tablehead"/>
              <w:ind w:left="-57" w:right="-57"/>
              <w:rPr>
                <w:lang w:val="ru-RU"/>
              </w:rPr>
            </w:pPr>
          </w:p>
        </w:tc>
        <w:tc>
          <w:tcPr>
            <w:tcW w:w="827" w:type="dxa"/>
            <w:vAlign w:val="center"/>
          </w:tcPr>
          <w:p w14:paraId="597BAA45" w14:textId="3D08F7F6" w:rsidR="00BF5F40" w:rsidRPr="00A66BD6" w:rsidRDefault="00BF5F40" w:rsidP="00D20F5D">
            <w:pPr>
              <w:pStyle w:val="Tablehead"/>
              <w:ind w:left="-57" w:right="-57"/>
              <w:rPr>
                <w:bCs/>
                <w:color w:val="000000" w:themeColor="text1"/>
                <w:lang w:val="ru-RU"/>
              </w:rPr>
            </w:pPr>
            <w:r w:rsidRPr="00A66BD6">
              <w:rPr>
                <w:bCs/>
                <w:color w:val="000000"/>
                <w:lang w:val="ru-RU"/>
              </w:rPr>
              <w:t>2020</w:t>
            </w:r>
            <w:r w:rsidR="004A2808" w:rsidRPr="00A66BD6">
              <w:rPr>
                <w:bCs/>
                <w:color w:val="000000"/>
                <w:lang w:val="ru-RU"/>
              </w:rPr>
              <w:t xml:space="preserve"> г.</w:t>
            </w:r>
          </w:p>
        </w:tc>
        <w:tc>
          <w:tcPr>
            <w:tcW w:w="828" w:type="dxa"/>
            <w:vAlign w:val="center"/>
          </w:tcPr>
          <w:p w14:paraId="783FFA05" w14:textId="74A20B88" w:rsidR="00BF5F40" w:rsidRPr="00A66BD6" w:rsidRDefault="00BF5F40" w:rsidP="00D20F5D">
            <w:pPr>
              <w:pStyle w:val="Tablehead"/>
              <w:ind w:left="-57" w:right="-57"/>
              <w:rPr>
                <w:bCs/>
                <w:color w:val="000000" w:themeColor="text1"/>
                <w:lang w:val="ru-RU"/>
              </w:rPr>
            </w:pPr>
            <w:r w:rsidRPr="00A66BD6">
              <w:rPr>
                <w:bCs/>
                <w:color w:val="000000"/>
                <w:lang w:val="ru-RU"/>
              </w:rPr>
              <w:t>2021</w:t>
            </w:r>
            <w:r w:rsidR="004A2808" w:rsidRPr="00A66BD6">
              <w:rPr>
                <w:bCs/>
                <w:color w:val="000000"/>
                <w:lang w:val="ru-RU"/>
              </w:rPr>
              <w:t xml:space="preserve"> г.</w:t>
            </w:r>
          </w:p>
        </w:tc>
        <w:tc>
          <w:tcPr>
            <w:tcW w:w="827" w:type="dxa"/>
            <w:vAlign w:val="center"/>
          </w:tcPr>
          <w:p w14:paraId="496793AB" w14:textId="22BED068" w:rsidR="00BF5F40" w:rsidRPr="00A66BD6" w:rsidRDefault="00BF5F40" w:rsidP="00D20F5D">
            <w:pPr>
              <w:pStyle w:val="Tablehead"/>
              <w:ind w:left="-57" w:right="-57"/>
              <w:rPr>
                <w:bCs/>
                <w:color w:val="000000" w:themeColor="text1"/>
                <w:lang w:val="ru-RU"/>
              </w:rPr>
            </w:pPr>
            <w:r w:rsidRPr="00A66BD6">
              <w:rPr>
                <w:bCs/>
                <w:color w:val="000000"/>
                <w:lang w:val="ru-RU"/>
              </w:rPr>
              <w:t>2022</w:t>
            </w:r>
            <w:r w:rsidR="004A2808" w:rsidRPr="00A66BD6">
              <w:rPr>
                <w:bCs/>
                <w:color w:val="000000"/>
                <w:lang w:val="ru-RU"/>
              </w:rPr>
              <w:t xml:space="preserve"> г.</w:t>
            </w:r>
          </w:p>
        </w:tc>
        <w:tc>
          <w:tcPr>
            <w:tcW w:w="828" w:type="dxa"/>
            <w:vAlign w:val="center"/>
          </w:tcPr>
          <w:p w14:paraId="2598D8B8" w14:textId="158CF09C" w:rsidR="00BF5F40" w:rsidRPr="00A66BD6" w:rsidRDefault="00BF5F40" w:rsidP="00D20F5D">
            <w:pPr>
              <w:pStyle w:val="Tablehead"/>
              <w:ind w:left="-57" w:right="-57"/>
              <w:rPr>
                <w:bCs/>
                <w:color w:val="000000" w:themeColor="text1"/>
                <w:lang w:val="ru-RU"/>
              </w:rPr>
            </w:pPr>
            <w:r w:rsidRPr="00A66BD6">
              <w:rPr>
                <w:bCs/>
                <w:color w:val="000000"/>
                <w:lang w:val="ru-RU"/>
              </w:rPr>
              <w:t>2023</w:t>
            </w:r>
            <w:r w:rsidR="004A2808" w:rsidRPr="00A66BD6">
              <w:rPr>
                <w:bCs/>
                <w:color w:val="000000"/>
                <w:lang w:val="ru-RU"/>
              </w:rPr>
              <w:t xml:space="preserve"> г.</w:t>
            </w:r>
          </w:p>
        </w:tc>
        <w:tc>
          <w:tcPr>
            <w:tcW w:w="827" w:type="dxa"/>
            <w:vAlign w:val="center"/>
          </w:tcPr>
          <w:p w14:paraId="73BEDD43" w14:textId="501DCF6A" w:rsidR="00BF5F40" w:rsidRPr="00A66BD6" w:rsidRDefault="00BF5F40" w:rsidP="00D20F5D">
            <w:pPr>
              <w:pStyle w:val="Tablehead"/>
              <w:ind w:left="-57" w:right="-57"/>
              <w:rPr>
                <w:bCs/>
                <w:color w:val="000000" w:themeColor="text1"/>
                <w:lang w:val="ru-RU"/>
              </w:rPr>
            </w:pPr>
            <w:r w:rsidRPr="00A66BD6">
              <w:rPr>
                <w:bCs/>
                <w:color w:val="000000"/>
                <w:lang w:val="ru-RU"/>
              </w:rPr>
              <w:t>2024</w:t>
            </w:r>
            <w:r w:rsidR="004A2808" w:rsidRPr="00A66BD6">
              <w:rPr>
                <w:bCs/>
                <w:color w:val="000000"/>
                <w:lang w:val="ru-RU"/>
              </w:rPr>
              <w:t xml:space="preserve"> г.</w:t>
            </w:r>
          </w:p>
        </w:tc>
        <w:tc>
          <w:tcPr>
            <w:tcW w:w="828" w:type="dxa"/>
            <w:vAlign w:val="center"/>
          </w:tcPr>
          <w:p w14:paraId="7C3B4C0C" w14:textId="088D862D" w:rsidR="00BF5F40" w:rsidRPr="00A66BD6" w:rsidRDefault="00BF5F40" w:rsidP="00D20F5D">
            <w:pPr>
              <w:pStyle w:val="Tablehead"/>
              <w:ind w:left="-57" w:right="-57"/>
              <w:rPr>
                <w:bCs/>
                <w:color w:val="000000" w:themeColor="text1"/>
                <w:lang w:val="ru-RU"/>
              </w:rPr>
            </w:pPr>
            <w:r w:rsidRPr="00A66BD6">
              <w:rPr>
                <w:bCs/>
                <w:color w:val="000000"/>
                <w:lang w:val="ru-RU"/>
              </w:rPr>
              <w:t>2025</w:t>
            </w:r>
            <w:r w:rsidR="004A2808" w:rsidRPr="00A66BD6">
              <w:rPr>
                <w:bCs/>
                <w:color w:val="000000"/>
                <w:lang w:val="ru-RU"/>
              </w:rPr>
              <w:t xml:space="preserve"> г.</w:t>
            </w:r>
          </w:p>
        </w:tc>
        <w:tc>
          <w:tcPr>
            <w:tcW w:w="1349" w:type="dxa"/>
            <w:shd w:val="clear" w:color="auto" w:fill="E4EBF4"/>
            <w:vAlign w:val="center"/>
          </w:tcPr>
          <w:p w14:paraId="09E15A2E" w14:textId="34B0ED2A" w:rsidR="00BF5F40" w:rsidRPr="00A66BD6" w:rsidRDefault="00BF5F40" w:rsidP="00D20F5D">
            <w:pPr>
              <w:pStyle w:val="Tablehead"/>
              <w:ind w:left="-57" w:right="-57"/>
              <w:rPr>
                <w:bCs/>
                <w:color w:val="000000" w:themeColor="text1"/>
                <w:lang w:val="ru-RU"/>
              </w:rPr>
            </w:pPr>
            <w:r w:rsidRPr="00A66BD6">
              <w:rPr>
                <w:bCs/>
                <w:color w:val="000000"/>
                <w:lang w:val="ru-RU"/>
              </w:rPr>
              <w:t xml:space="preserve">2025 г. </w:t>
            </w:r>
            <w:r w:rsidR="00D20F5D" w:rsidRPr="00A66BD6">
              <w:rPr>
                <w:bCs/>
                <w:color w:val="000000"/>
                <w:lang w:val="ru-RU"/>
              </w:rPr>
              <w:br/>
            </w:r>
            <w:r w:rsidRPr="00A66BD6">
              <w:rPr>
                <w:bCs/>
                <w:color w:val="000000"/>
                <w:lang w:val="ru-RU"/>
              </w:rPr>
              <w:t>в сравнении с 2020 г.</w:t>
            </w:r>
          </w:p>
        </w:tc>
        <w:tc>
          <w:tcPr>
            <w:tcW w:w="1350" w:type="dxa"/>
            <w:shd w:val="clear" w:color="auto" w:fill="E4EBF4"/>
            <w:vAlign w:val="center"/>
          </w:tcPr>
          <w:p w14:paraId="254D46E4" w14:textId="3B9F0D82" w:rsidR="00BF5F40" w:rsidRPr="00A66BD6" w:rsidRDefault="00BF5F40" w:rsidP="00D20F5D">
            <w:pPr>
              <w:pStyle w:val="Tablehead"/>
              <w:ind w:left="-57" w:right="-57"/>
              <w:rPr>
                <w:bCs/>
                <w:color w:val="000000" w:themeColor="text1"/>
                <w:lang w:val="ru-RU"/>
              </w:rPr>
            </w:pPr>
            <w:r w:rsidRPr="00A66BD6">
              <w:rPr>
                <w:bCs/>
                <w:color w:val="000000"/>
                <w:lang w:val="ru-RU"/>
              </w:rPr>
              <w:t xml:space="preserve">Увеличение </w:t>
            </w:r>
            <w:r w:rsidR="00D20F5D" w:rsidRPr="00A66BD6">
              <w:rPr>
                <w:bCs/>
                <w:color w:val="000000"/>
                <w:lang w:val="ru-RU"/>
              </w:rPr>
              <w:br/>
            </w:r>
            <w:r w:rsidRPr="00A66BD6">
              <w:rPr>
                <w:bCs/>
                <w:color w:val="000000"/>
                <w:lang w:val="ru-RU"/>
              </w:rPr>
              <w:t>с 2020 по 2025 г., %</w:t>
            </w:r>
          </w:p>
        </w:tc>
      </w:tr>
      <w:tr w:rsidR="00D20F5D" w:rsidRPr="00A66BD6" w14:paraId="0AD02255" w14:textId="77777777" w:rsidTr="00D20F5D">
        <w:trPr>
          <w:trHeight w:val="300"/>
        </w:trPr>
        <w:tc>
          <w:tcPr>
            <w:tcW w:w="1976" w:type="dxa"/>
          </w:tcPr>
          <w:p w14:paraId="04FF0960" w14:textId="77777777" w:rsidR="00BF5F40" w:rsidRPr="00A66BD6" w:rsidRDefault="00BF5F40" w:rsidP="004A2808">
            <w:pPr>
              <w:pStyle w:val="Tabletext"/>
            </w:pPr>
            <w:r w:rsidRPr="00A66BD6">
              <w:t>Члены Секторов</w:t>
            </w:r>
          </w:p>
        </w:tc>
        <w:tc>
          <w:tcPr>
            <w:tcW w:w="827" w:type="dxa"/>
            <w:vAlign w:val="center"/>
          </w:tcPr>
          <w:p w14:paraId="4717659E" w14:textId="77777777" w:rsidR="00BF5F40" w:rsidRPr="00A66BD6" w:rsidRDefault="00BF5F40" w:rsidP="004A2808">
            <w:pPr>
              <w:pStyle w:val="Tabletext"/>
              <w:jc w:val="center"/>
            </w:pPr>
            <w:r w:rsidRPr="00A66BD6">
              <w:t>275</w:t>
            </w:r>
          </w:p>
        </w:tc>
        <w:tc>
          <w:tcPr>
            <w:tcW w:w="828" w:type="dxa"/>
            <w:vAlign w:val="center"/>
          </w:tcPr>
          <w:p w14:paraId="67A22BA6" w14:textId="77777777" w:rsidR="00BF5F40" w:rsidRPr="00A66BD6" w:rsidRDefault="00BF5F40" w:rsidP="004A2808">
            <w:pPr>
              <w:pStyle w:val="Tabletext"/>
              <w:jc w:val="center"/>
            </w:pPr>
            <w:r w:rsidRPr="00A66BD6">
              <w:t>278</w:t>
            </w:r>
          </w:p>
        </w:tc>
        <w:tc>
          <w:tcPr>
            <w:tcW w:w="827" w:type="dxa"/>
            <w:vAlign w:val="center"/>
          </w:tcPr>
          <w:p w14:paraId="5371638F" w14:textId="77777777" w:rsidR="00BF5F40" w:rsidRPr="00A66BD6" w:rsidRDefault="00BF5F40" w:rsidP="004A2808">
            <w:pPr>
              <w:pStyle w:val="Tabletext"/>
              <w:jc w:val="center"/>
            </w:pPr>
            <w:r w:rsidRPr="00A66BD6">
              <w:t>278</w:t>
            </w:r>
          </w:p>
        </w:tc>
        <w:tc>
          <w:tcPr>
            <w:tcW w:w="828" w:type="dxa"/>
            <w:vAlign w:val="center"/>
          </w:tcPr>
          <w:p w14:paraId="40054023" w14:textId="77777777" w:rsidR="00BF5F40" w:rsidRPr="00A66BD6" w:rsidRDefault="00BF5F40" w:rsidP="004A2808">
            <w:pPr>
              <w:pStyle w:val="Tabletext"/>
              <w:jc w:val="center"/>
            </w:pPr>
            <w:r w:rsidRPr="00A66BD6">
              <w:t>283</w:t>
            </w:r>
          </w:p>
        </w:tc>
        <w:tc>
          <w:tcPr>
            <w:tcW w:w="827" w:type="dxa"/>
            <w:vAlign w:val="center"/>
          </w:tcPr>
          <w:p w14:paraId="247A5ABB" w14:textId="77777777" w:rsidR="00BF5F40" w:rsidRPr="00A66BD6" w:rsidRDefault="00BF5F40" w:rsidP="004A2808">
            <w:pPr>
              <w:pStyle w:val="Tabletext"/>
              <w:jc w:val="center"/>
            </w:pPr>
            <w:r w:rsidRPr="00A66BD6">
              <w:t>285</w:t>
            </w:r>
          </w:p>
        </w:tc>
        <w:tc>
          <w:tcPr>
            <w:tcW w:w="828" w:type="dxa"/>
            <w:vAlign w:val="center"/>
          </w:tcPr>
          <w:p w14:paraId="04F76D83" w14:textId="77777777" w:rsidR="00BF5F40" w:rsidRPr="00A66BD6" w:rsidRDefault="00BF5F40" w:rsidP="004A2808">
            <w:pPr>
              <w:pStyle w:val="Tabletext"/>
              <w:jc w:val="center"/>
            </w:pPr>
            <w:r w:rsidRPr="00A66BD6">
              <w:t>280</w:t>
            </w:r>
          </w:p>
        </w:tc>
        <w:tc>
          <w:tcPr>
            <w:tcW w:w="1349" w:type="dxa"/>
            <w:shd w:val="clear" w:color="auto" w:fill="E4EBF4"/>
            <w:vAlign w:val="center"/>
          </w:tcPr>
          <w:p w14:paraId="2330E933" w14:textId="57529703" w:rsidR="00BF5F40" w:rsidRPr="00A66BD6" w:rsidRDefault="00BF5F40" w:rsidP="00D20F5D">
            <w:pPr>
              <w:pStyle w:val="Tabletext"/>
              <w:jc w:val="center"/>
            </w:pPr>
            <w:r w:rsidRPr="00A66BD6">
              <w:t>5</w:t>
            </w:r>
          </w:p>
        </w:tc>
        <w:tc>
          <w:tcPr>
            <w:tcW w:w="1350" w:type="dxa"/>
            <w:shd w:val="clear" w:color="auto" w:fill="E4EBF4"/>
            <w:vAlign w:val="center"/>
          </w:tcPr>
          <w:p w14:paraId="266EFC41" w14:textId="63512D0C" w:rsidR="00BF5F40" w:rsidRPr="00A66BD6" w:rsidRDefault="00BF5F40" w:rsidP="00D20F5D">
            <w:pPr>
              <w:pStyle w:val="Tabletext"/>
              <w:jc w:val="center"/>
            </w:pPr>
            <w:r w:rsidRPr="00A66BD6">
              <w:t>1,82%</w:t>
            </w:r>
          </w:p>
        </w:tc>
      </w:tr>
      <w:tr w:rsidR="00D20F5D" w:rsidRPr="00A66BD6" w14:paraId="241B6C57" w14:textId="77777777" w:rsidTr="00D20F5D">
        <w:trPr>
          <w:trHeight w:val="300"/>
        </w:trPr>
        <w:tc>
          <w:tcPr>
            <w:tcW w:w="1976" w:type="dxa"/>
          </w:tcPr>
          <w:p w14:paraId="6DC1CCC0" w14:textId="77777777" w:rsidR="00BF5F40" w:rsidRPr="00A66BD6" w:rsidRDefault="00BF5F40" w:rsidP="004A2808">
            <w:pPr>
              <w:pStyle w:val="Tabletext"/>
            </w:pPr>
            <w:r w:rsidRPr="00A66BD6">
              <w:t>Ассоциированные члены</w:t>
            </w:r>
          </w:p>
        </w:tc>
        <w:tc>
          <w:tcPr>
            <w:tcW w:w="827" w:type="dxa"/>
            <w:vAlign w:val="center"/>
          </w:tcPr>
          <w:p w14:paraId="3ED8D298" w14:textId="77777777" w:rsidR="00BF5F40" w:rsidRPr="00A66BD6" w:rsidRDefault="00BF5F40" w:rsidP="004A2808">
            <w:pPr>
              <w:pStyle w:val="Tabletext"/>
              <w:jc w:val="center"/>
            </w:pPr>
            <w:r w:rsidRPr="00A66BD6">
              <w:t>22</w:t>
            </w:r>
          </w:p>
        </w:tc>
        <w:tc>
          <w:tcPr>
            <w:tcW w:w="828" w:type="dxa"/>
            <w:vAlign w:val="center"/>
          </w:tcPr>
          <w:p w14:paraId="1F13D9FA" w14:textId="77777777" w:rsidR="00BF5F40" w:rsidRPr="00A66BD6" w:rsidRDefault="00BF5F40" w:rsidP="004A2808">
            <w:pPr>
              <w:pStyle w:val="Tabletext"/>
              <w:jc w:val="center"/>
            </w:pPr>
            <w:r w:rsidRPr="00A66BD6">
              <w:t>28</w:t>
            </w:r>
          </w:p>
        </w:tc>
        <w:tc>
          <w:tcPr>
            <w:tcW w:w="827" w:type="dxa"/>
            <w:vAlign w:val="center"/>
          </w:tcPr>
          <w:p w14:paraId="579E0D9B" w14:textId="77777777" w:rsidR="00BF5F40" w:rsidRPr="00A66BD6" w:rsidRDefault="00BF5F40" w:rsidP="004A2808">
            <w:pPr>
              <w:pStyle w:val="Tabletext"/>
              <w:jc w:val="center"/>
            </w:pPr>
            <w:r w:rsidRPr="00A66BD6">
              <w:t>38</w:t>
            </w:r>
          </w:p>
        </w:tc>
        <w:tc>
          <w:tcPr>
            <w:tcW w:w="828" w:type="dxa"/>
            <w:vAlign w:val="center"/>
          </w:tcPr>
          <w:p w14:paraId="657CDF94" w14:textId="77777777" w:rsidR="00BF5F40" w:rsidRPr="00A66BD6" w:rsidRDefault="00BF5F40" w:rsidP="004A2808">
            <w:pPr>
              <w:pStyle w:val="Tabletext"/>
              <w:jc w:val="center"/>
            </w:pPr>
            <w:r w:rsidRPr="00A66BD6">
              <w:t>44</w:t>
            </w:r>
          </w:p>
        </w:tc>
        <w:tc>
          <w:tcPr>
            <w:tcW w:w="827" w:type="dxa"/>
            <w:vAlign w:val="center"/>
          </w:tcPr>
          <w:p w14:paraId="029A1CAB" w14:textId="77777777" w:rsidR="00BF5F40" w:rsidRPr="00A66BD6" w:rsidRDefault="00BF5F40" w:rsidP="004A2808">
            <w:pPr>
              <w:pStyle w:val="Tabletext"/>
              <w:jc w:val="center"/>
            </w:pPr>
            <w:r w:rsidRPr="00A66BD6">
              <w:t>43</w:t>
            </w:r>
          </w:p>
        </w:tc>
        <w:tc>
          <w:tcPr>
            <w:tcW w:w="828" w:type="dxa"/>
            <w:vAlign w:val="center"/>
          </w:tcPr>
          <w:p w14:paraId="6D4A6ECF" w14:textId="77777777" w:rsidR="00BF5F40" w:rsidRPr="00A66BD6" w:rsidRDefault="00BF5F40" w:rsidP="004A2808">
            <w:pPr>
              <w:pStyle w:val="Tabletext"/>
              <w:jc w:val="center"/>
            </w:pPr>
            <w:r w:rsidRPr="00A66BD6">
              <w:t>57</w:t>
            </w:r>
          </w:p>
        </w:tc>
        <w:tc>
          <w:tcPr>
            <w:tcW w:w="1349" w:type="dxa"/>
            <w:shd w:val="clear" w:color="auto" w:fill="E4EBF4"/>
            <w:vAlign w:val="center"/>
          </w:tcPr>
          <w:p w14:paraId="5B89FF39" w14:textId="1678223D" w:rsidR="00BF5F40" w:rsidRPr="00A66BD6" w:rsidRDefault="00BF5F40" w:rsidP="00D20F5D">
            <w:pPr>
              <w:pStyle w:val="Tabletext"/>
              <w:jc w:val="center"/>
            </w:pPr>
            <w:r w:rsidRPr="00A66BD6">
              <w:t>35</w:t>
            </w:r>
          </w:p>
        </w:tc>
        <w:tc>
          <w:tcPr>
            <w:tcW w:w="1350" w:type="dxa"/>
            <w:shd w:val="clear" w:color="auto" w:fill="E4EBF4"/>
            <w:vAlign w:val="center"/>
          </w:tcPr>
          <w:p w14:paraId="58112092" w14:textId="3C3A23D7" w:rsidR="00BF5F40" w:rsidRPr="00A66BD6" w:rsidRDefault="00BF5F40" w:rsidP="00D20F5D">
            <w:pPr>
              <w:pStyle w:val="Tabletext"/>
              <w:jc w:val="center"/>
            </w:pPr>
            <w:r w:rsidRPr="00A66BD6">
              <w:t>159,1%</w:t>
            </w:r>
          </w:p>
        </w:tc>
      </w:tr>
      <w:tr w:rsidR="00D20F5D" w:rsidRPr="00A66BD6" w14:paraId="1887E6B6" w14:textId="77777777" w:rsidTr="00D20F5D">
        <w:trPr>
          <w:trHeight w:val="300"/>
        </w:trPr>
        <w:tc>
          <w:tcPr>
            <w:tcW w:w="1976" w:type="dxa"/>
          </w:tcPr>
          <w:p w14:paraId="4B17FD47" w14:textId="77777777" w:rsidR="00BF5F40" w:rsidRPr="00A66BD6" w:rsidRDefault="00BF5F40" w:rsidP="004A2808">
            <w:pPr>
              <w:pStyle w:val="Tabletext"/>
            </w:pPr>
            <w:r w:rsidRPr="00A66BD6">
              <w:t>Академические организации*</w:t>
            </w:r>
          </w:p>
        </w:tc>
        <w:tc>
          <w:tcPr>
            <w:tcW w:w="827" w:type="dxa"/>
            <w:vAlign w:val="center"/>
          </w:tcPr>
          <w:p w14:paraId="725C650E" w14:textId="77777777" w:rsidR="00BF5F40" w:rsidRPr="00A66BD6" w:rsidRDefault="00BF5F40" w:rsidP="004A2808">
            <w:pPr>
              <w:pStyle w:val="Tabletext"/>
              <w:jc w:val="center"/>
            </w:pPr>
            <w:r w:rsidRPr="00A66BD6">
              <w:t>161</w:t>
            </w:r>
          </w:p>
        </w:tc>
        <w:tc>
          <w:tcPr>
            <w:tcW w:w="828" w:type="dxa"/>
            <w:vAlign w:val="center"/>
          </w:tcPr>
          <w:p w14:paraId="5D9DC93D" w14:textId="77777777" w:rsidR="00BF5F40" w:rsidRPr="00A66BD6" w:rsidRDefault="00BF5F40" w:rsidP="004A2808">
            <w:pPr>
              <w:pStyle w:val="Tabletext"/>
              <w:jc w:val="center"/>
            </w:pPr>
            <w:r w:rsidRPr="00A66BD6">
              <w:t>161</w:t>
            </w:r>
          </w:p>
        </w:tc>
        <w:tc>
          <w:tcPr>
            <w:tcW w:w="827" w:type="dxa"/>
            <w:vAlign w:val="center"/>
          </w:tcPr>
          <w:p w14:paraId="093E0C72" w14:textId="77777777" w:rsidR="00BF5F40" w:rsidRPr="00A66BD6" w:rsidRDefault="00BF5F40" w:rsidP="004A2808">
            <w:pPr>
              <w:pStyle w:val="Tabletext"/>
              <w:jc w:val="center"/>
            </w:pPr>
            <w:r w:rsidRPr="00A66BD6">
              <w:t>171</w:t>
            </w:r>
          </w:p>
        </w:tc>
        <w:tc>
          <w:tcPr>
            <w:tcW w:w="828" w:type="dxa"/>
            <w:vAlign w:val="center"/>
          </w:tcPr>
          <w:p w14:paraId="2C701861" w14:textId="77777777" w:rsidR="00BF5F40" w:rsidRPr="00A66BD6" w:rsidRDefault="00BF5F40" w:rsidP="004A2808">
            <w:pPr>
              <w:pStyle w:val="Tabletext"/>
              <w:jc w:val="center"/>
            </w:pPr>
            <w:r w:rsidRPr="00A66BD6">
              <w:t>169</w:t>
            </w:r>
          </w:p>
        </w:tc>
        <w:tc>
          <w:tcPr>
            <w:tcW w:w="827" w:type="dxa"/>
            <w:vAlign w:val="center"/>
          </w:tcPr>
          <w:p w14:paraId="63640618" w14:textId="77777777" w:rsidR="00BF5F40" w:rsidRPr="00A66BD6" w:rsidRDefault="00BF5F40" w:rsidP="004A2808">
            <w:pPr>
              <w:pStyle w:val="Tabletext"/>
              <w:jc w:val="center"/>
            </w:pPr>
            <w:r w:rsidRPr="00A66BD6">
              <w:t>170</w:t>
            </w:r>
          </w:p>
        </w:tc>
        <w:tc>
          <w:tcPr>
            <w:tcW w:w="828" w:type="dxa"/>
            <w:vAlign w:val="center"/>
          </w:tcPr>
          <w:p w14:paraId="0F4AC427" w14:textId="77777777" w:rsidR="00BF5F40" w:rsidRPr="00A66BD6" w:rsidRDefault="00BF5F40" w:rsidP="004A2808">
            <w:pPr>
              <w:pStyle w:val="Tabletext"/>
              <w:jc w:val="center"/>
            </w:pPr>
            <w:r w:rsidRPr="00A66BD6">
              <w:t>181</w:t>
            </w:r>
          </w:p>
        </w:tc>
        <w:tc>
          <w:tcPr>
            <w:tcW w:w="1349" w:type="dxa"/>
            <w:shd w:val="clear" w:color="auto" w:fill="E4EBF4"/>
            <w:vAlign w:val="center"/>
          </w:tcPr>
          <w:p w14:paraId="4253C231" w14:textId="19C630F7" w:rsidR="00BF5F40" w:rsidRPr="00A66BD6" w:rsidRDefault="00BF5F40" w:rsidP="00D20F5D">
            <w:pPr>
              <w:pStyle w:val="Tabletext"/>
              <w:jc w:val="center"/>
            </w:pPr>
            <w:r w:rsidRPr="00A66BD6">
              <w:t>20</w:t>
            </w:r>
          </w:p>
        </w:tc>
        <w:tc>
          <w:tcPr>
            <w:tcW w:w="1350" w:type="dxa"/>
            <w:shd w:val="clear" w:color="auto" w:fill="E4EBF4"/>
            <w:vAlign w:val="center"/>
          </w:tcPr>
          <w:p w14:paraId="224DAA38" w14:textId="1D7DB9F6" w:rsidR="00BF5F40" w:rsidRPr="00A66BD6" w:rsidRDefault="00BF5F40" w:rsidP="00D20F5D">
            <w:pPr>
              <w:pStyle w:val="Tabletext"/>
              <w:jc w:val="center"/>
            </w:pPr>
            <w:r w:rsidRPr="00A66BD6">
              <w:t>12,42%</w:t>
            </w:r>
          </w:p>
        </w:tc>
      </w:tr>
    </w:tbl>
    <w:p w14:paraId="30AA88B8" w14:textId="27785AE3" w:rsidR="00BF5F40" w:rsidRPr="00A66BD6" w:rsidRDefault="00BF5F40" w:rsidP="00D20F5D">
      <w:pPr>
        <w:keepNext/>
        <w:keepLines/>
        <w:tabs>
          <w:tab w:val="left" w:pos="284"/>
        </w:tabs>
        <w:spacing w:before="80" w:after="120"/>
        <w:ind w:right="-142"/>
        <w:rPr>
          <w:i/>
          <w:iCs/>
          <w:sz w:val="20"/>
        </w:rPr>
      </w:pPr>
      <w:r w:rsidRPr="00A66BD6">
        <w:rPr>
          <w:i/>
          <w:iCs/>
          <w:sz w:val="20"/>
        </w:rPr>
        <w:t>*</w:t>
      </w:r>
      <w:r w:rsidR="00D20F5D" w:rsidRPr="00A66BD6">
        <w:rPr>
          <w:i/>
          <w:iCs/>
          <w:sz w:val="20"/>
        </w:rPr>
        <w:tab/>
      </w:r>
      <w:r w:rsidRPr="00A66BD6">
        <w:rPr>
          <w:i/>
          <w:iCs/>
          <w:sz w:val="20"/>
        </w:rPr>
        <w:t>Согласно решению ПК-14 членство Академических организаций распространяется на все три Сектора МСЭ.</w:t>
      </w:r>
    </w:p>
    <w:p w14:paraId="0A5C6F95" w14:textId="77777777" w:rsidR="00BF5F40" w:rsidRPr="00A66BD6" w:rsidRDefault="00BF5F40" w:rsidP="00BF5F40">
      <w:pPr>
        <w:pStyle w:val="Heading2"/>
      </w:pPr>
      <w:bookmarkStart w:id="179" w:name="_Toc424047607"/>
      <w:bookmarkStart w:id="180" w:name="_Toc446060797"/>
      <w:bookmarkStart w:id="181" w:name="_Toc223379876"/>
      <w:bookmarkStart w:id="182" w:name="_Toc223957830"/>
      <w:r w:rsidRPr="00A66BD6">
        <w:rPr>
          <w:bCs/>
        </w:rPr>
        <w:t>8.6</w:t>
      </w:r>
      <w:r w:rsidRPr="00A66BD6">
        <w:tab/>
      </w:r>
      <w:r w:rsidRPr="00A66BD6">
        <w:rPr>
          <w:bCs/>
        </w:rPr>
        <w:t>Коммуникационная и рекламно-пропагандистская деятельность</w:t>
      </w:r>
      <w:bookmarkEnd w:id="179"/>
      <w:bookmarkEnd w:id="180"/>
      <w:bookmarkEnd w:id="181"/>
      <w:bookmarkEnd w:id="182"/>
    </w:p>
    <w:p w14:paraId="1731549D" w14:textId="77777777" w:rsidR="00BF5F40" w:rsidRPr="00A66BD6" w:rsidRDefault="00BF5F40" w:rsidP="00BF5F40">
      <w:pPr>
        <w:pStyle w:val="Heading3"/>
        <w:rPr>
          <w:i/>
        </w:rPr>
      </w:pPr>
      <w:bookmarkStart w:id="183" w:name="_Toc223379877"/>
      <w:bookmarkStart w:id="184" w:name="_Toc223957831"/>
      <w:r w:rsidRPr="00A66BD6">
        <w:rPr>
          <w:bCs/>
        </w:rPr>
        <w:t>8.6.1</w:t>
      </w:r>
      <w:r w:rsidRPr="00A66BD6">
        <w:tab/>
      </w:r>
      <w:r w:rsidRPr="00A66BD6">
        <w:rPr>
          <w:bCs/>
        </w:rPr>
        <w:t>Веб-сайт и базы данных</w:t>
      </w:r>
      <w:bookmarkEnd w:id="183"/>
      <w:bookmarkEnd w:id="184"/>
    </w:p>
    <w:p w14:paraId="5A87C853" w14:textId="77777777" w:rsidR="00BF5F40" w:rsidRPr="00A66BD6" w:rsidRDefault="00BF5F40" w:rsidP="00BF5F40">
      <w:r w:rsidRPr="00A66BD6">
        <w:t>Веб-сайты МСЭ-R, включая соответствующие базы данных и другие системы управления информацией, обслуживаются командой BRWeb (</w:t>
      </w:r>
      <w:hyperlink r:id="rId128" w:history="1">
        <w:r w:rsidRPr="00A66BD6">
          <w:rPr>
            <w:rStyle w:val="Hyperlink"/>
          </w:rPr>
          <w:t>brweb@itu.int</w:t>
        </w:r>
      </w:hyperlink>
      <w:r w:rsidRPr="00A66BD6">
        <w:t>).</w:t>
      </w:r>
      <w:hyperlink r:id="rId129"/>
    </w:p>
    <w:p w14:paraId="261D0852" w14:textId="77777777" w:rsidR="00BF5F40" w:rsidRPr="00A66BD6" w:rsidRDefault="00BF5F40" w:rsidP="00BF5F40">
      <w:pPr>
        <w:rPr>
          <w:rFonts w:eastAsia="SimSun"/>
        </w:rPr>
      </w:pPr>
      <w:r w:rsidRPr="00A66BD6">
        <w:t xml:space="preserve">Информация о новой системе управления контентом (CMS) WordPress, а также о статусе перевода веб-страниц МСЭ-R представлена в Дополнительном документе 2 к настоящему документу. </w:t>
      </w:r>
    </w:p>
    <w:p w14:paraId="42D50868" w14:textId="77777777" w:rsidR="00BF5F40" w:rsidRPr="00A66BD6" w:rsidRDefault="00BF5F40" w:rsidP="00BF5F40">
      <w:pPr>
        <w:pStyle w:val="Heading3"/>
        <w:rPr>
          <w:i/>
        </w:rPr>
      </w:pPr>
      <w:bookmarkStart w:id="185" w:name="_Toc223379878"/>
      <w:bookmarkStart w:id="186" w:name="_Toc223957832"/>
      <w:r w:rsidRPr="00A66BD6">
        <w:rPr>
          <w:bCs/>
        </w:rPr>
        <w:t>8.6.2</w:t>
      </w:r>
      <w:r w:rsidRPr="00A66BD6">
        <w:tab/>
      </w:r>
      <w:r w:rsidRPr="00A66BD6">
        <w:rPr>
          <w:bCs/>
        </w:rPr>
        <w:t>Рекламно-пропагандистская деятельность и связь со СМИ</w:t>
      </w:r>
      <w:bookmarkEnd w:id="185"/>
      <w:bookmarkEnd w:id="186"/>
    </w:p>
    <w:p w14:paraId="01B056BA" w14:textId="77777777" w:rsidR="00BF5F40" w:rsidRPr="00A66BD6" w:rsidRDefault="00BF5F40" w:rsidP="00BF5F40">
      <w:pPr>
        <w:rPr>
          <w:rFonts w:eastAsia="SimSun"/>
        </w:rPr>
      </w:pPr>
      <w:r w:rsidRPr="00A66BD6">
        <w:t>В БР была внедрена новая система документооборота и организации работы по связям с общественностью (PMS), которая помогает координировать подготовку рекламных материалов с сотрудниками Генерального секретариата, отвечающими за аудиовизуальное наполнение и брендинг.</w:t>
      </w:r>
    </w:p>
    <w:p w14:paraId="64FBC1FC" w14:textId="77777777" w:rsidR="00BF5F40" w:rsidRPr="00A66BD6" w:rsidRDefault="00BF5F40" w:rsidP="00BF5F40">
      <w:pPr>
        <w:pStyle w:val="Heading4"/>
      </w:pPr>
      <w:r w:rsidRPr="00A66BD6">
        <w:rPr>
          <w:bCs/>
        </w:rPr>
        <w:t>8.6.2.1</w:t>
      </w:r>
      <w:r w:rsidRPr="00A66BD6">
        <w:tab/>
      </w:r>
      <w:r w:rsidRPr="00A66BD6">
        <w:rPr>
          <w:bCs/>
        </w:rPr>
        <w:t xml:space="preserve">Работа со СМИ, часто задаваемые вопросы, памятные записки для СМИ и журнал </w:t>
      </w:r>
      <w:r w:rsidRPr="00A66BD6">
        <w:rPr>
          <w:b w:val="0"/>
        </w:rPr>
        <w:t>"</w:t>
      </w:r>
      <w:r w:rsidRPr="00A66BD6">
        <w:rPr>
          <w:bCs/>
        </w:rPr>
        <w:t>Новости МСЭ</w:t>
      </w:r>
      <w:r w:rsidRPr="00A66BD6">
        <w:rPr>
          <w:b w:val="0"/>
        </w:rPr>
        <w:t>"</w:t>
      </w:r>
      <w:r w:rsidRPr="00A66BD6">
        <w:rPr>
          <w:bCs/>
        </w:rPr>
        <w:t>, блоги и статьи</w:t>
      </w:r>
    </w:p>
    <w:p w14:paraId="294DC508" w14:textId="77777777" w:rsidR="00BF5F40" w:rsidRPr="00A66BD6" w:rsidRDefault="00BF5F40" w:rsidP="00BF5F40">
      <w:r w:rsidRPr="00A66BD6">
        <w:t xml:space="preserve">В 2025 году Бюро в сотрудничестве с Отделом корпоративной связи на регулярной основе публиковало на веб-сайте БР и через Центр новостей МСЭ памятные записки для СМИ, новостные статьи, а также вело блоги Директора БР и других старших сотрудников БР. </w:t>
      </w:r>
    </w:p>
    <w:p w14:paraId="278C7E47" w14:textId="77777777" w:rsidR="00BF5F40" w:rsidRPr="00A66BD6" w:rsidRDefault="00BF5F40" w:rsidP="00D20F5D">
      <w:r w:rsidRPr="00A66BD6">
        <w:lastRenderedPageBreak/>
        <w:t xml:space="preserve">С новостными статьями и материалами блогов Директора БР и других старших сотрудников БР можно ознакомиться по адресу: </w:t>
      </w:r>
      <w:hyperlink r:id="rId130" w:history="1">
        <w:r w:rsidRPr="00A66BD6">
          <w:rPr>
            <w:rStyle w:val="Hyperlink"/>
          </w:rPr>
          <w:t>https://www.itu.int/hub/?s=Maniewicz&amp;by_time=last_year</w:t>
        </w:r>
      </w:hyperlink>
      <w:r w:rsidRPr="00A66BD6">
        <w:t>.</w:t>
      </w:r>
      <w:hyperlink r:id="rId131" w:history="1"/>
    </w:p>
    <w:p w14:paraId="53D53060" w14:textId="77777777" w:rsidR="00BF5F40" w:rsidRPr="00A66BD6" w:rsidRDefault="00BF5F40" w:rsidP="00D20F5D">
      <w:r w:rsidRPr="00A66BD6">
        <w:t xml:space="preserve">Перечень часто задаваемых вопросов о деятельности БР обновлялся по мере необходимости. Обновленный перечень размещен по адресу: </w:t>
      </w:r>
      <w:hyperlink r:id="rId132" w:history="1">
        <w:r w:rsidRPr="00A66BD6">
          <w:rPr>
            <w:rStyle w:val="Hyperlink"/>
          </w:rPr>
          <w:t>https://www.itu.int/ru/ITU-R/Pages/default.aspx</w:t>
        </w:r>
      </w:hyperlink>
      <w:r w:rsidRPr="00A66BD6">
        <w:t>.</w:t>
      </w:r>
      <w:hyperlink r:id="rId133" w:history="1"/>
    </w:p>
    <w:p w14:paraId="34ADB0C3" w14:textId="572809D5" w:rsidR="00BF5F40" w:rsidRPr="00A66BD6" w:rsidRDefault="00BF5F40" w:rsidP="00D20F5D">
      <w:r w:rsidRPr="00A66BD6">
        <w:t xml:space="preserve">На веб-сайте МСЭ размещено несколько </w:t>
      </w:r>
      <w:hyperlink r:id="rId134" w:history="1">
        <w:r w:rsidRPr="00A66BD6">
          <w:rPr>
            <w:rStyle w:val="Hyperlink"/>
          </w:rPr>
          <w:t>памятных записок для СМИ</w:t>
        </w:r>
      </w:hyperlink>
      <w:r w:rsidRPr="00A66BD6">
        <w:t>.</w:t>
      </w:r>
      <w:hyperlink r:id="rId135" w:history="1"/>
    </w:p>
    <w:p w14:paraId="0662F32C" w14:textId="77777777" w:rsidR="00BF5F40" w:rsidRPr="00A66BD6" w:rsidRDefault="00BF5F40" w:rsidP="00D20F5D">
      <w:r w:rsidRPr="00A66BD6">
        <w:t>В 2025 году Бюро радиосвязи ответило на 55 запросов специализированных технических журналов и СМИ, оперативно предоставляя запрашиваемую информацию и налаживая отношения со средствами массовой информации. Запросы СМИ о деятельности МСЭ-R в основном касались заявок на регистрацию спутниковых сетей, вредных помех/глушения GPS, Радиорегламентарного комитета (РРК), ВКР-23 и 5G/6G.</w:t>
      </w:r>
    </w:p>
    <w:p w14:paraId="1D1799A8" w14:textId="77777777" w:rsidR="00BF5F40" w:rsidRPr="00A66BD6" w:rsidRDefault="00BF5F40" w:rsidP="00D20F5D">
      <w:r w:rsidRPr="00A66BD6">
        <w:t>В 2025 году Бюро выпустило две публикации для СМИ, посвященные следующим темам:</w:t>
      </w:r>
    </w:p>
    <w:p w14:paraId="2D6E7E20" w14:textId="652EA8EE" w:rsidR="00BF5F40" w:rsidRPr="00A66BD6" w:rsidRDefault="00D20F5D" w:rsidP="00D20F5D">
      <w:pPr>
        <w:pStyle w:val="enumlev1"/>
      </w:pPr>
      <w:r w:rsidRPr="00A66BD6">
        <w:t>•</w:t>
      </w:r>
      <w:r w:rsidRPr="00A66BD6">
        <w:tab/>
      </w:r>
      <w:r w:rsidR="00BF5F40" w:rsidRPr="00A66BD6">
        <w:t>совместное заявление МСЭ, ИКАО и ИМО о защите спутниковой навигации от вредных помех</w:t>
      </w:r>
      <w:r w:rsidRPr="00A66BD6">
        <w:t>;</w:t>
      </w:r>
      <w:r w:rsidR="00BF5F40" w:rsidRPr="00A66BD6">
        <w:t xml:space="preserve"> и </w:t>
      </w:r>
    </w:p>
    <w:p w14:paraId="02E95F08" w14:textId="551A189A" w:rsidR="00BF5F40" w:rsidRPr="00A66BD6" w:rsidRDefault="00D20F5D" w:rsidP="00D20F5D">
      <w:pPr>
        <w:pStyle w:val="enumlev1"/>
      </w:pPr>
      <w:r w:rsidRPr="00A66BD6">
        <w:t>•</w:t>
      </w:r>
      <w:r w:rsidRPr="00A66BD6">
        <w:tab/>
      </w:r>
      <w:r w:rsidR="00BF5F40" w:rsidRPr="00A66BD6">
        <w:t>проведение ВКР-27 в Шанхае, Китай.</w:t>
      </w:r>
    </w:p>
    <w:p w14:paraId="4DEF5B5F" w14:textId="77777777" w:rsidR="00BF5F40" w:rsidRPr="00A66BD6" w:rsidRDefault="00BF5F40" w:rsidP="00BF5F40">
      <w:pPr>
        <w:rPr>
          <w:szCs w:val="22"/>
        </w:rPr>
      </w:pPr>
      <w:r w:rsidRPr="00A66BD6">
        <w:t>Информационно-пропагандистская деятельность проводилась с использованием пресс-релизов, коммюнике для членов, блогов "Новости МСЭ", видеоматериалов, брендинга мероприятий и сообщений в социальных сетях.</w:t>
      </w:r>
    </w:p>
    <w:p w14:paraId="72911E75" w14:textId="77777777" w:rsidR="00BF5F40" w:rsidRPr="00A66BD6" w:rsidRDefault="00BF5F40" w:rsidP="00BF5F40">
      <w:r w:rsidRPr="00A66BD6">
        <w:t>В 2025 году Бюро активно участвовало в различных международных днях Организации Объединенных Наций, имеющих отношение к его работе, например:</w:t>
      </w:r>
    </w:p>
    <w:p w14:paraId="444A6245" w14:textId="09E9C4FB" w:rsidR="00BF5F40" w:rsidRPr="00A66BD6" w:rsidRDefault="00D20F5D" w:rsidP="00D20F5D">
      <w:pPr>
        <w:pStyle w:val="enumlev1"/>
      </w:pPr>
      <w:r w:rsidRPr="00A66BD6">
        <w:t>•</w:t>
      </w:r>
      <w:r w:rsidRPr="00A66BD6">
        <w:tab/>
      </w:r>
      <w:r w:rsidR="00BF5F40" w:rsidRPr="00A66BD6">
        <w:t>Всемирный день радио – 13 февраля;</w:t>
      </w:r>
    </w:p>
    <w:p w14:paraId="74A8BCF7" w14:textId="0F7801CD" w:rsidR="00BF5F40" w:rsidRPr="00A66BD6" w:rsidRDefault="00D20F5D" w:rsidP="00D20F5D">
      <w:pPr>
        <w:pStyle w:val="enumlev1"/>
      </w:pPr>
      <w:r w:rsidRPr="00A66BD6">
        <w:t>•</w:t>
      </w:r>
      <w:r w:rsidRPr="00A66BD6">
        <w:tab/>
      </w:r>
      <w:r w:rsidR="00BF5F40" w:rsidRPr="00A66BD6">
        <w:t>Всемирный метеорологический день – 24 марта</w:t>
      </w:r>
      <w:r w:rsidR="00963ED3" w:rsidRPr="00A66BD6">
        <w:t>;</w:t>
      </w:r>
    </w:p>
    <w:p w14:paraId="08665003" w14:textId="79AE30A7" w:rsidR="00BF5F40" w:rsidRPr="00A66BD6" w:rsidRDefault="00D20F5D" w:rsidP="00D20F5D">
      <w:pPr>
        <w:pStyle w:val="enumlev1"/>
      </w:pPr>
      <w:r w:rsidRPr="00A66BD6">
        <w:t>•</w:t>
      </w:r>
      <w:r w:rsidRPr="00A66BD6">
        <w:tab/>
      </w:r>
      <w:r w:rsidR="00BF5F40" w:rsidRPr="00A66BD6">
        <w:t>Всемирный день радиолюбителя – 18 апреля;</w:t>
      </w:r>
    </w:p>
    <w:p w14:paraId="5818355E" w14:textId="53E4556E" w:rsidR="00BF5F40" w:rsidRPr="00A66BD6" w:rsidRDefault="00D20F5D" w:rsidP="00D20F5D">
      <w:pPr>
        <w:pStyle w:val="enumlev1"/>
      </w:pPr>
      <w:r w:rsidRPr="00A66BD6">
        <w:t>•</w:t>
      </w:r>
      <w:r w:rsidRPr="00A66BD6">
        <w:tab/>
      </w:r>
      <w:r w:rsidR="00BF5F40" w:rsidRPr="00A66BD6">
        <w:t>Международный день Луны – 20 июля;</w:t>
      </w:r>
    </w:p>
    <w:p w14:paraId="33C42C6B" w14:textId="360E0BB8" w:rsidR="00BF5F40" w:rsidRPr="00A66BD6" w:rsidRDefault="00D20F5D" w:rsidP="00D20F5D">
      <w:pPr>
        <w:pStyle w:val="enumlev1"/>
      </w:pPr>
      <w:r w:rsidRPr="00A66BD6">
        <w:t>•</w:t>
      </w:r>
      <w:r w:rsidRPr="00A66BD6">
        <w:tab/>
      </w:r>
      <w:r w:rsidR="00BF5F40" w:rsidRPr="00A66BD6">
        <w:t>Всемирный день телевидения – 21 ноября.</w:t>
      </w:r>
    </w:p>
    <w:p w14:paraId="07E8D37A" w14:textId="68368ACD" w:rsidR="00BF5F40" w:rsidRPr="00A66BD6" w:rsidRDefault="00BF5F40" w:rsidP="00BF5F40">
      <w:pPr>
        <w:rPr>
          <w:rFonts w:eastAsia="Calibri"/>
        </w:rPr>
      </w:pPr>
      <w:r w:rsidRPr="00A66BD6">
        <w:t xml:space="preserve">Директор Бюро радиосвязи регулярно публиковал статьи, блоги и подкасты в разделе "Новости МСЭ", которые размещались на </w:t>
      </w:r>
      <w:hyperlink r:id="rId136" w:history="1">
        <w:r w:rsidRPr="00A66BD6">
          <w:rPr>
            <w:rStyle w:val="Hyperlink"/>
          </w:rPr>
          <w:t>веб-странице Директора БР</w:t>
        </w:r>
      </w:hyperlink>
      <w:r w:rsidRPr="00A66BD6">
        <w:t>.</w:t>
      </w:r>
      <w:hyperlink r:id="rId137" w:history="1"/>
    </w:p>
    <w:p w14:paraId="0A059131" w14:textId="77777777" w:rsidR="00BF5F40" w:rsidRPr="00A66BD6" w:rsidRDefault="00BF5F40" w:rsidP="00BF5F40">
      <w:pPr>
        <w:pStyle w:val="Heading4"/>
      </w:pPr>
      <w:r w:rsidRPr="00A66BD6">
        <w:rPr>
          <w:bCs/>
        </w:rPr>
        <w:t>8.6.2.2</w:t>
      </w:r>
      <w:r w:rsidRPr="00A66BD6">
        <w:tab/>
      </w:r>
      <w:r w:rsidRPr="00A66BD6">
        <w:rPr>
          <w:bCs/>
        </w:rPr>
        <w:t>Информационное обеспечение брендинга, продажи и маркетинг</w:t>
      </w:r>
    </w:p>
    <w:p w14:paraId="129FBC2D" w14:textId="77777777" w:rsidR="00BF5F40" w:rsidRPr="00A66BD6" w:rsidRDefault="00BF5F40" w:rsidP="00BF5F40">
      <w:r w:rsidRPr="00A66BD6">
        <w:t xml:space="preserve">В рамках мероприятий по брендингу и информационной работе основное внимание уделялось использованию новой платформы </w:t>
      </w:r>
      <w:hyperlink r:id="rId138" w:history="1">
        <w:r w:rsidRPr="00A66BD6">
          <w:rPr>
            <w:rStyle w:val="Hyperlink"/>
          </w:rPr>
          <w:t>Центра новостей МСЭ</w:t>
        </w:r>
      </w:hyperlink>
      <w:r w:rsidRPr="00A66BD6">
        <w:t xml:space="preserve"> в сотрудничестве с отделом продаж и маркетинга для электронного продвижения конкретных публикаций, баз данных и программного обеспечения МСЭ-R со специально разработанными фирменными стилями для информационно-пропагандистской деятельности.</w:t>
      </w:r>
      <w:hyperlink r:id="rId139" w:history="1"/>
    </w:p>
    <w:p w14:paraId="268F29F0" w14:textId="3C0F013F" w:rsidR="00BF5F40" w:rsidRPr="00A66BD6" w:rsidRDefault="00BF5F40" w:rsidP="00BF5F40">
      <w:pPr>
        <w:pStyle w:val="Heading2"/>
      </w:pPr>
      <w:bookmarkStart w:id="187" w:name="_Toc223379879"/>
      <w:bookmarkStart w:id="188" w:name="_Toc223957833"/>
      <w:r w:rsidRPr="00A66BD6">
        <w:rPr>
          <w:bCs/>
        </w:rPr>
        <w:lastRenderedPageBreak/>
        <w:t>8.7</w:t>
      </w:r>
      <w:r w:rsidRPr="00A66BD6">
        <w:tab/>
      </w:r>
      <w:r w:rsidRPr="00A66BD6">
        <w:rPr>
          <w:bCs/>
        </w:rPr>
        <w:t>Гендерное равенство</w:t>
      </w:r>
      <w:bookmarkEnd w:id="187"/>
      <w:bookmarkEnd w:id="188"/>
    </w:p>
    <w:p w14:paraId="5D489787" w14:textId="0238659B" w:rsidR="00BF5F40" w:rsidRPr="00A66BD6" w:rsidRDefault="00BF5F40" w:rsidP="00BF5F40">
      <w:pPr>
        <w:keepNext/>
        <w:keepLines/>
      </w:pPr>
      <w:r w:rsidRPr="00A66BD6">
        <w:t xml:space="preserve">В </w:t>
      </w:r>
      <w:r w:rsidR="00497FEF" w:rsidRPr="00A66BD6">
        <w:t xml:space="preserve">Таблице </w:t>
      </w:r>
      <w:r w:rsidRPr="00A66BD6">
        <w:t>8.7-1 показано увеличение количества женщин – участниц мероприятий МСЭ-R с</w:t>
      </w:r>
      <w:r w:rsidR="00D20F5D" w:rsidRPr="00A66BD6">
        <w:t> </w:t>
      </w:r>
      <w:r w:rsidRPr="00A66BD6">
        <w:t>2019</w:t>
      </w:r>
      <w:r w:rsidR="00D20F5D" w:rsidRPr="00A66BD6">
        <w:t> </w:t>
      </w:r>
      <w:r w:rsidRPr="00A66BD6">
        <w:t>года</w:t>
      </w:r>
      <w:r w:rsidRPr="00A66BD6">
        <w:rPr>
          <w:rStyle w:val="FootnoteReference"/>
        </w:rPr>
        <w:footnoteReference w:id="2"/>
      </w:r>
      <w:r w:rsidRPr="00A66BD6">
        <w:t>.</w:t>
      </w:r>
    </w:p>
    <w:p w14:paraId="44EA10DA" w14:textId="77777777" w:rsidR="00BF5F40" w:rsidRPr="00A66BD6" w:rsidRDefault="00BF5F40" w:rsidP="00BF5F40">
      <w:pPr>
        <w:pStyle w:val="TableNo"/>
        <w:keepLines/>
        <w:rPr>
          <w:lang w:val="ru-RU"/>
        </w:rPr>
      </w:pPr>
      <w:r w:rsidRPr="00A66BD6">
        <w:rPr>
          <w:lang w:val="ru-RU"/>
        </w:rPr>
        <w:t>Таблица 8.7-1</w:t>
      </w:r>
    </w:p>
    <w:p w14:paraId="629549DE" w14:textId="77777777" w:rsidR="00BF5F40" w:rsidRPr="00A66BD6" w:rsidRDefault="00BF5F40" w:rsidP="00BF5F40">
      <w:pPr>
        <w:pStyle w:val="Tabletitle"/>
        <w:rPr>
          <w:lang w:val="ru-RU"/>
        </w:rPr>
      </w:pPr>
      <w:r w:rsidRPr="00A66BD6">
        <w:rPr>
          <w:bCs/>
          <w:lang w:val="ru-RU"/>
        </w:rPr>
        <w:t>Динамика участия женщин в мероприятиях МСЭ-R с 2019 года</w:t>
      </w:r>
    </w:p>
    <w:p w14:paraId="143FBF37" w14:textId="77777777" w:rsidR="00BF5F40" w:rsidRPr="00A66BD6" w:rsidRDefault="00BF5F40" w:rsidP="00BF5F40">
      <w:pPr>
        <w:pStyle w:val="Tabletext"/>
        <w:keepNext/>
        <w:keepLines/>
        <w:jc w:val="center"/>
      </w:pPr>
      <w:r w:rsidRPr="00A66BD6">
        <w:drawing>
          <wp:inline distT="0" distB="0" distL="0" distR="0" wp14:anchorId="7DE72D72" wp14:editId="28C77523">
            <wp:extent cx="4468068" cy="1775361"/>
            <wp:effectExtent l="0" t="0" r="0" b="0"/>
            <wp:docPr id="1709590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590584" name="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4534705" cy="180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73E91" w14:textId="0F77CE77" w:rsidR="00BF5F40" w:rsidRPr="00A66BD6" w:rsidRDefault="00BF5F40" w:rsidP="00BF5F40">
      <w:pPr>
        <w:pStyle w:val="Heading3"/>
        <w:rPr>
          <w:rFonts w:eastAsia="Calibri"/>
        </w:rPr>
      </w:pPr>
      <w:bookmarkStart w:id="189" w:name="_Toc223379880"/>
      <w:bookmarkStart w:id="190" w:name="_Toc223957834"/>
      <w:r w:rsidRPr="00A66BD6">
        <w:rPr>
          <w:bCs/>
        </w:rPr>
        <w:t>8.7.1</w:t>
      </w:r>
      <w:r w:rsidRPr="00A66BD6">
        <w:tab/>
      </w:r>
      <w:r w:rsidRPr="00A66BD6">
        <w:rPr>
          <w:bCs/>
        </w:rPr>
        <w:t>Резолюция АР-23 о гендерном равенстве</w:t>
      </w:r>
      <w:bookmarkEnd w:id="189"/>
      <w:bookmarkEnd w:id="190"/>
    </w:p>
    <w:p w14:paraId="53780024" w14:textId="489E8B87" w:rsidR="00BF5F40" w:rsidRPr="00A66BD6" w:rsidRDefault="00BF5F40" w:rsidP="00BF5F40">
      <w:r w:rsidRPr="00A66BD6">
        <w:t xml:space="preserve">В 2023 году Ассамблея радиосвязи (АР-23) МСЭ приняла новую </w:t>
      </w:r>
      <w:hyperlink r:id="rId141" w:history="1">
        <w:r w:rsidRPr="00A66BD6">
          <w:rPr>
            <w:rStyle w:val="Hyperlink"/>
          </w:rPr>
          <w:t>Резолюцию о гендерном равенстве</w:t>
        </w:r>
      </w:hyperlink>
      <w:r w:rsidRPr="00A66BD6">
        <w:t xml:space="preserve"> (Резолюция МСЭ-R 72), которая направлена на дальнейшее укрепление, ускорение и расширение активного участия женщин в работе и деятельности Сектора радиосвязи МСЭ (МСЭ-R).</w:t>
      </w:r>
      <w:hyperlink r:id="rId142" w:history="1"/>
    </w:p>
    <w:p w14:paraId="3DAA3926" w14:textId="77777777" w:rsidR="00BF5F40" w:rsidRPr="00A66BD6" w:rsidRDefault="00BF5F40" w:rsidP="00BF5F40">
      <w:r w:rsidRPr="00A66BD6">
        <w:t>Резолюция МСЭ-R 72 продолжает применяться в рамках всех направлений работы Бюро.</w:t>
      </w:r>
    </w:p>
    <w:p w14:paraId="465F3900" w14:textId="055B97EF" w:rsidR="00BF5F40" w:rsidRPr="00A66BD6" w:rsidRDefault="00BF5F40" w:rsidP="00BF5F40">
      <w:pPr>
        <w:pStyle w:val="Heading3"/>
        <w:rPr>
          <w:rFonts w:eastAsia="Calibri"/>
          <w:b w:val="0"/>
        </w:rPr>
      </w:pPr>
      <w:bookmarkStart w:id="191" w:name="_Toc223379881"/>
      <w:bookmarkStart w:id="192" w:name="_Toc223957835"/>
      <w:r w:rsidRPr="00A66BD6">
        <w:rPr>
          <w:bCs/>
        </w:rPr>
        <w:t>8.7.2</w:t>
      </w:r>
      <w:r w:rsidRPr="00A66BD6">
        <w:tab/>
      </w:r>
      <w:r w:rsidRPr="00A66BD6">
        <w:rPr>
          <w:bCs/>
        </w:rPr>
        <w:t>Сеть женщин в интересах ВКР-27</w:t>
      </w:r>
      <w:bookmarkEnd w:id="191"/>
      <w:bookmarkEnd w:id="192"/>
    </w:p>
    <w:p w14:paraId="4E1A98CE" w14:textId="77777777" w:rsidR="00BF5F40" w:rsidRPr="00A66BD6" w:rsidRDefault="00BF5F40" w:rsidP="00BF5F40">
      <w:pPr>
        <w:rPr>
          <w:rFonts w:eastAsia="Aptos"/>
        </w:rPr>
      </w:pPr>
      <w:r w:rsidRPr="00A66BD6">
        <w:t xml:space="preserve">На ВКР-23 было официально объявлено о начале реализации инициативы </w:t>
      </w:r>
      <w:r w:rsidRPr="00A66BD6">
        <w:rPr>
          <w:rStyle w:val="Hyperlink"/>
        </w:rPr>
        <w:t>"</w:t>
      </w:r>
      <w:hyperlink r:id="rId143" w:history="1">
        <w:r w:rsidRPr="00A66BD6">
          <w:rPr>
            <w:rStyle w:val="Hyperlink"/>
          </w:rPr>
          <w:t>Сеть женщин в интересах ВКР-27" (NOW4WRC27)</w:t>
        </w:r>
      </w:hyperlink>
      <w:r w:rsidRPr="00A66BD6">
        <w:t xml:space="preserve">, призванной содействовать гендерному равенству, равноправию и равному соотношению мужчин и женщин, расширять права и возможности женщин и девушек в области радиосвязи, а также содействовать их участию и выдвижению на руководящие позиции в деятельности МСЭ-R. </w:t>
      </w:r>
      <w:hyperlink r:id="rId144" w:history="1"/>
    </w:p>
    <w:p w14:paraId="6D64EE93" w14:textId="77777777" w:rsidR="00BF5F40" w:rsidRPr="00A66BD6" w:rsidRDefault="00BF5F40" w:rsidP="00BF5F40">
      <w:pPr>
        <w:rPr>
          <w:rFonts w:eastAsia="Aptos"/>
        </w:rPr>
      </w:pPr>
      <w:r w:rsidRPr="00A66BD6">
        <w:t xml:space="preserve">Эта инициатива опирается на успешный опыт программы NOW4WRC23 и продолжает способствовать активному вовлечению женщин в работу на протяжении всего исследовательского цикла перед ВКР-27. </w:t>
      </w:r>
    </w:p>
    <w:p w14:paraId="65DFF263" w14:textId="77777777" w:rsidR="00AD5667" w:rsidRPr="00A66BD6" w:rsidRDefault="00BF5F40" w:rsidP="00BF5F40">
      <w:r w:rsidRPr="00A66BD6">
        <w:t>Инициативы МСЭ-R подкрепляют региональную деятельность, возглавляемую региональными сопредседателями NOW4WRC27.</w:t>
      </w:r>
    </w:p>
    <w:p w14:paraId="2224A8EB" w14:textId="77777777" w:rsidR="00BF5F40" w:rsidRPr="00A66BD6" w:rsidRDefault="00BF5F40" w:rsidP="00BF5F40">
      <w:pPr>
        <w:rPr>
          <w:rFonts w:eastAsia="Aptos"/>
        </w:rPr>
      </w:pPr>
      <w:r w:rsidRPr="00A66BD6">
        <w:t xml:space="preserve">В феврале 2025 года началась реализация </w:t>
      </w:r>
      <w:hyperlink r:id="rId145" w:history="1">
        <w:r w:rsidRPr="00A66BD6">
          <w:rPr>
            <w:rStyle w:val="Hyperlink"/>
          </w:rPr>
          <w:t>Программы наставничества NOW4WRC27</w:t>
        </w:r>
      </w:hyperlink>
      <w:r w:rsidRPr="00A66BD6">
        <w:t>. Ее целью является расширение прав и возможностей женщин-делегатов путем углубления их понимания методов работы МСЭ-R, Регламента радиосвязи и международных процедур ВКР-27.</w:t>
      </w:r>
      <w:hyperlink r:id="rId146" w:history="1"/>
    </w:p>
    <w:p w14:paraId="7371110A" w14:textId="23F17AAE" w:rsidR="00BF5F40" w:rsidRPr="00A66BD6" w:rsidRDefault="00BF5F40" w:rsidP="00BF5F40">
      <w:r w:rsidRPr="00A66BD6">
        <w:t>Программа наставничества имеет важнейшее значение для содействия подопечным, особенно тем, кто участвует в ВКР впервые, в понимании процессов, пунктов повестки дня и проблем ВКР. В</w:t>
      </w:r>
      <w:r w:rsidR="00AD5667" w:rsidRPr="00A66BD6">
        <w:t> </w:t>
      </w:r>
      <w:r w:rsidRPr="00A66BD6">
        <w:t xml:space="preserve">контексте этих усилий по созданию потенциала и налаживанию связей в рамках </w:t>
      </w:r>
      <w:hyperlink r:id="rId147" w:history="1">
        <w:r w:rsidRPr="00A66BD6">
          <w:rPr>
            <w:rStyle w:val="Hyperlink"/>
          </w:rPr>
          <w:t>Программы наставничества NOW4WRC27</w:t>
        </w:r>
      </w:hyperlink>
      <w:r w:rsidRPr="00A66BD6">
        <w:t xml:space="preserve"> было организовано специальное мероприятие в формате перерыва на кофе, которое состоялось 3 декабря 2025 года в ходе 1-й Межрегиональной информационной сессии МСЭ (МРИС) по подготовке к ВКР-27. В мероприятии приняли участие женщины-делегаты, наставники, региональные сопредседатели и руководители МСЭ, которые собрались в неформальной обстановке с важной целью – наладить контакты, обменяться опытом и содействовать более активному вовлечению женщин в подготовительную работу в рамках МСЭ-R. В ходе мероприятия </w:t>
      </w:r>
      <w:r w:rsidRPr="00A66BD6">
        <w:lastRenderedPageBreak/>
        <w:t>участникам были представлены основные координаторы и наставники, обсуждались вопросы укрепления руководящей роли женщин, развития сотрудничества между регионами и стимулирования делегатов к активному участию в подготовке к ВКР-27.</w:t>
      </w:r>
      <w:hyperlink r:id="rId148" w:history="1"/>
    </w:p>
    <w:p w14:paraId="53A7AC62" w14:textId="77777777" w:rsidR="00BF5F40" w:rsidRPr="00A66BD6" w:rsidRDefault="00BF5F40" w:rsidP="00BF5F40">
      <w:r w:rsidRPr="00A66BD6">
        <w:t>Хотя программа ориентирована в первую очередь на женщин-делегатов, участие мужчин в качестве наставников также приветствуется, поскольку это способствует укреплению сотрудничества и инклюзивности в масштабах всего сообщества МСЭ-R. На сегодняшний день к программе присоединились 51 наставник и 136 подопечных из 71 страны трех регионов.</w:t>
      </w:r>
    </w:p>
    <w:p w14:paraId="454211CF" w14:textId="311DF318" w:rsidR="00BF5F40" w:rsidRPr="00A66BD6" w:rsidRDefault="00BF5F40" w:rsidP="00BF5F40">
      <w:pPr>
        <w:spacing w:before="720"/>
        <w:jc w:val="center"/>
      </w:pPr>
      <w:r w:rsidRPr="00A66BD6">
        <w:t>______________</w:t>
      </w:r>
    </w:p>
    <w:sectPr w:rsidR="00BF5F40" w:rsidRPr="00A66BD6" w:rsidSect="00BF5F40">
      <w:headerReference w:type="default" r:id="rId149"/>
      <w:footerReference w:type="first" r:id="rId150"/>
      <w:pgSz w:w="11907" w:h="16834" w:code="9"/>
      <w:pgMar w:top="1418" w:right="1134" w:bottom="1418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E45EA" w14:textId="77777777" w:rsidR="00BF5F40" w:rsidRDefault="00BF5F40">
      <w:r>
        <w:separator/>
      </w:r>
    </w:p>
  </w:endnote>
  <w:endnote w:type="continuationSeparator" w:id="0">
    <w:p w14:paraId="2AFBD7AC" w14:textId="77777777" w:rsidR="00BF5F40" w:rsidRDefault="00BF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00BF5F40" w14:paraId="5CA8067F" w14:textId="77777777">
      <w:trPr>
        <w:trHeight w:val="300"/>
      </w:trPr>
      <w:tc>
        <w:tcPr>
          <w:tcW w:w="4855" w:type="dxa"/>
        </w:tcPr>
        <w:p w14:paraId="66F041DC" w14:textId="77777777" w:rsidR="00BF5F40" w:rsidRDefault="00BF5F40">
          <w:pPr>
            <w:ind w:left="-115"/>
          </w:pPr>
        </w:p>
      </w:tc>
      <w:tc>
        <w:tcPr>
          <w:tcW w:w="4855" w:type="dxa"/>
        </w:tcPr>
        <w:p w14:paraId="2A1B92BA" w14:textId="77777777" w:rsidR="00BF5F40" w:rsidRDefault="00BF5F40">
          <w:pPr>
            <w:jc w:val="center"/>
          </w:pPr>
        </w:p>
      </w:tc>
      <w:tc>
        <w:tcPr>
          <w:tcW w:w="4855" w:type="dxa"/>
        </w:tcPr>
        <w:p w14:paraId="7ED8C26F" w14:textId="77777777" w:rsidR="00BF5F40" w:rsidRDefault="00BF5F40">
          <w:pPr>
            <w:ind w:right="-115"/>
            <w:jc w:val="right"/>
          </w:pPr>
        </w:p>
      </w:tc>
    </w:tr>
  </w:tbl>
  <w:p w14:paraId="350E1ED0" w14:textId="77777777" w:rsidR="00BF5F40" w:rsidRDefault="00BF5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B181" w14:textId="0FC590EA" w:rsidR="00633D6D" w:rsidRPr="00BF5F40" w:rsidRDefault="00633D6D" w:rsidP="00BF5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6B29A" w14:textId="77777777" w:rsidR="00BF5F40" w:rsidRDefault="00BF5F40">
      <w:r>
        <w:t>____________________</w:t>
      </w:r>
    </w:p>
  </w:footnote>
  <w:footnote w:type="continuationSeparator" w:id="0">
    <w:p w14:paraId="713C98E1" w14:textId="77777777" w:rsidR="00BF5F40" w:rsidRDefault="00BF5F40">
      <w:r>
        <w:continuationSeparator/>
      </w:r>
    </w:p>
  </w:footnote>
  <w:footnote w:id="1">
    <w:p w14:paraId="2EEAC929" w14:textId="72A42DA1" w:rsidR="00BF5F40" w:rsidRPr="002C7B92" w:rsidRDefault="00BF5F40" w:rsidP="00BF5F40">
      <w:pPr>
        <w:tabs>
          <w:tab w:val="clear" w:pos="1134"/>
          <w:tab w:val="left" w:pos="284"/>
        </w:tabs>
        <w:ind w:left="284" w:hanging="284"/>
        <w:rPr>
          <w:rStyle w:val="FootnoteTextChar"/>
          <w:rFonts w:ascii="Times New Roman" w:hAnsi="Times New Roman"/>
          <w:sz w:val="20"/>
          <w:lang w:val="ru-RU"/>
        </w:rPr>
      </w:pPr>
      <w:r w:rsidRPr="002C7B92">
        <w:rPr>
          <w:rStyle w:val="FootnoteReference"/>
        </w:rPr>
        <w:footnoteRef/>
      </w:r>
      <w:r w:rsidRPr="002C7B92">
        <w:tab/>
      </w:r>
      <w:r w:rsidRPr="002C7B92">
        <w:rPr>
          <w:rStyle w:val="FootnoteTextChar"/>
          <w:rFonts w:ascii="Times New Roman" w:hAnsi="Times New Roman"/>
          <w:sz w:val="20"/>
          <w:lang w:val="ru-RU"/>
        </w:rPr>
        <w:t>Значения 2025 года соответствуют данным, собранным в период с января по июнь 2025 года, и были экстраполированы для получения оценки за весь год. Эта корректировка потребовалась в связи с влиянием деятельности ботов с использованием искусственного интеллекта (ИИ), которая имела место во втором полугодии 2025 года. Ведется работа по получению набора данных, отфильтрованного с помощью бота, для следующего цикла КГР.</w:t>
      </w:r>
    </w:p>
  </w:footnote>
  <w:footnote w:id="2">
    <w:p w14:paraId="0033EA1D" w14:textId="2958071B" w:rsidR="00BF5F40" w:rsidRPr="00D20F5D" w:rsidRDefault="00BF5F40" w:rsidP="00BF5F40">
      <w:pPr>
        <w:pStyle w:val="FootnoteText"/>
        <w:rPr>
          <w:rFonts w:ascii="Times New Roman" w:hAnsi="Times New Roman"/>
          <w:sz w:val="22"/>
          <w:szCs w:val="22"/>
          <w:lang w:val="ru-RU"/>
        </w:rPr>
      </w:pPr>
      <w:r w:rsidRPr="00D20F5D">
        <w:rPr>
          <w:rStyle w:val="FootnoteReference"/>
          <w:rFonts w:ascii="Times New Roman" w:hAnsi="Times New Roman"/>
        </w:rPr>
        <w:footnoteRef/>
      </w:r>
      <w:r w:rsidRPr="00D20F5D">
        <w:rPr>
          <w:rFonts w:ascii="Times New Roman" w:hAnsi="Times New Roman"/>
          <w:lang w:val="ru-RU"/>
        </w:rPr>
        <w:tab/>
        <w:t xml:space="preserve">Источник: </w:t>
      </w:r>
      <w:hyperlink r:id="rId1" w:history="1">
        <w:r w:rsidRPr="00D20F5D">
          <w:rPr>
            <w:rStyle w:val="Hyperlink"/>
            <w:rFonts w:ascii="Times New Roman" w:hAnsi="Times New Roman"/>
            <w:lang w:val="ru-RU"/>
          </w:rPr>
          <w:t>https://www.itu.int/initiatives/gender-equality/gender-dashboard</w:t>
        </w:r>
      </w:hyperlink>
      <w:r w:rsidRPr="00D20F5D">
        <w:rPr>
          <w:rFonts w:ascii="Times New Roman" w:hAnsi="Times New Roman"/>
          <w:lang w:val="ru-RU"/>
        </w:rPr>
        <w:t>.</w:t>
      </w:r>
      <w:hyperlink r:id="rId2" w:history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6622358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id w:val="-534198450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14:paraId="62A90132" w14:textId="77777777" w:rsidR="00BF5F40" w:rsidRDefault="00BF5F40">
            <w:pPr>
              <w:pStyle w:val="Header"/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40</w:t>
            </w:r>
            <w:r>
              <w:rPr>
                <w:noProof/>
              </w:rPr>
              <w:fldChar w:fldCharType="end"/>
            </w:r>
          </w:p>
          <w:p w14:paraId="761D174F" w14:textId="20BD86A7" w:rsidR="00BF5F40" w:rsidRPr="00BF5F40" w:rsidRDefault="00BF5F40">
            <w:pPr>
              <w:pStyle w:val="Header"/>
              <w:rPr>
                <w:noProof/>
              </w:rPr>
            </w:pPr>
            <w:r>
              <w:rPr>
                <w:lang w:val="ru-RU"/>
              </w:rPr>
              <w:t>RAG/58-</w:t>
            </w:r>
            <w:r>
              <w:rPr>
                <w:lang w:val="en-US"/>
              </w:rPr>
              <w:t>R</w:t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B6AE" w14:textId="77777777" w:rsidR="00BF5F40" w:rsidRDefault="00BF5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563536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id w:val="952059597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14:paraId="102076AB" w14:textId="77777777" w:rsidR="00BF5F40" w:rsidRDefault="00BF5F40">
            <w:pPr>
              <w:pStyle w:val="Header"/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40</w:t>
            </w:r>
            <w:r>
              <w:rPr>
                <w:noProof/>
              </w:rPr>
              <w:fldChar w:fldCharType="end"/>
            </w:r>
          </w:p>
          <w:p w14:paraId="52F3ECA4" w14:textId="45784ABF" w:rsidR="00BF5F40" w:rsidRPr="00BF5F40" w:rsidRDefault="00BF5F40">
            <w:pPr>
              <w:pStyle w:val="Header"/>
              <w:rPr>
                <w:noProof/>
              </w:rPr>
            </w:pPr>
            <w:r>
              <w:rPr>
                <w:lang w:val="ru-RU"/>
              </w:rPr>
              <w:t>RAG/58-</w:t>
            </w:r>
            <w:r>
              <w:rPr>
                <w:lang w:val="en-US"/>
              </w:rPr>
              <w:t>R</w:t>
            </w:r>
          </w:p>
        </w:sdtContent>
      </w:sdt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858923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id w:val="-1210416060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14:paraId="3FF47610" w14:textId="77777777" w:rsidR="00BF5F40" w:rsidRDefault="00BF5F40" w:rsidP="00BF5F40">
            <w:pPr>
              <w:pStyle w:val="Header"/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25</w:t>
            </w:r>
            <w:r>
              <w:rPr>
                <w:noProof/>
              </w:rPr>
              <w:fldChar w:fldCharType="end"/>
            </w:r>
          </w:p>
          <w:p w14:paraId="6578BF63" w14:textId="6D2717B6" w:rsidR="00BF5F40" w:rsidRDefault="00BF5F40" w:rsidP="00BF5F40">
            <w:pPr>
              <w:pStyle w:val="Header"/>
              <w:rPr>
                <w:noProof/>
              </w:rPr>
            </w:pPr>
            <w:r>
              <w:rPr>
                <w:lang w:val="ru-RU"/>
              </w:rPr>
              <w:t>RAG/58-</w:t>
            </w:r>
            <w:r>
              <w:rPr>
                <w:lang w:val="en-US"/>
              </w:rPr>
              <w:t>R</w:t>
            </w:r>
          </w:p>
        </w:sdtContent>
      </w:sdt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C039" w14:textId="7E3F3A05" w:rsidR="00633D6D" w:rsidRDefault="00633D6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B239A0">
      <w:rPr>
        <w:noProof/>
      </w:rPr>
      <w:t>2</w:t>
    </w:r>
    <w:r>
      <w:fldChar w:fldCharType="end"/>
    </w:r>
    <w:r>
      <w:rPr>
        <w:lang w:val="es-ES"/>
      </w:rPr>
      <w:br/>
      <w:t>RAG/</w:t>
    </w:r>
    <w:r w:rsidR="00BF5F40">
      <w:rPr>
        <w:lang w:val="ru-RU"/>
      </w:rPr>
      <w:t>58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E5E"/>
    <w:multiLevelType w:val="hybridMultilevel"/>
    <w:tmpl w:val="A5309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91F"/>
    <w:multiLevelType w:val="hybridMultilevel"/>
    <w:tmpl w:val="02E0A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4D90"/>
    <w:multiLevelType w:val="hybridMultilevel"/>
    <w:tmpl w:val="09BA9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22BB3"/>
    <w:multiLevelType w:val="hybridMultilevel"/>
    <w:tmpl w:val="1C58BC1C"/>
    <w:lvl w:ilvl="0" w:tplc="D166D5F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B6702F1"/>
    <w:multiLevelType w:val="hybridMultilevel"/>
    <w:tmpl w:val="F1726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C6177"/>
    <w:multiLevelType w:val="hybridMultilevel"/>
    <w:tmpl w:val="E2EE7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07400"/>
    <w:multiLevelType w:val="hybridMultilevel"/>
    <w:tmpl w:val="2A9C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C075B"/>
    <w:multiLevelType w:val="hybridMultilevel"/>
    <w:tmpl w:val="1DDE4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2216C"/>
    <w:multiLevelType w:val="hybridMultilevel"/>
    <w:tmpl w:val="D85CB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C53C9"/>
    <w:multiLevelType w:val="hybridMultilevel"/>
    <w:tmpl w:val="4FD651F2"/>
    <w:lvl w:ilvl="0" w:tplc="5EFAF3E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25AA4"/>
    <w:multiLevelType w:val="hybridMultilevel"/>
    <w:tmpl w:val="AFD86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23966">
    <w:abstractNumId w:val="9"/>
  </w:num>
  <w:num w:numId="2" w16cid:durableId="1991013538">
    <w:abstractNumId w:val="7"/>
  </w:num>
  <w:num w:numId="3" w16cid:durableId="2099212076">
    <w:abstractNumId w:val="0"/>
  </w:num>
  <w:num w:numId="4" w16cid:durableId="1260989275">
    <w:abstractNumId w:val="5"/>
  </w:num>
  <w:num w:numId="5" w16cid:durableId="2069259366">
    <w:abstractNumId w:val="2"/>
  </w:num>
  <w:num w:numId="6" w16cid:durableId="982277445">
    <w:abstractNumId w:val="1"/>
  </w:num>
  <w:num w:numId="7" w16cid:durableId="1013536966">
    <w:abstractNumId w:val="6"/>
  </w:num>
  <w:num w:numId="8" w16cid:durableId="1091467870">
    <w:abstractNumId w:val="4"/>
  </w:num>
  <w:num w:numId="9" w16cid:durableId="1343387431">
    <w:abstractNumId w:val="10"/>
  </w:num>
  <w:num w:numId="10" w16cid:durableId="1488667481">
    <w:abstractNumId w:val="3"/>
  </w:num>
  <w:num w:numId="11" w16cid:durableId="144349944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40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4AD8"/>
    <w:rsid w:val="000252AA"/>
    <w:rsid w:val="000311CF"/>
    <w:rsid w:val="00032498"/>
    <w:rsid w:val="000365C9"/>
    <w:rsid w:val="00047081"/>
    <w:rsid w:val="00050979"/>
    <w:rsid w:val="00055FEE"/>
    <w:rsid w:val="00060A29"/>
    <w:rsid w:val="000653E0"/>
    <w:rsid w:val="0006614B"/>
    <w:rsid w:val="00066577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6DD7"/>
    <w:rsid w:val="00093C73"/>
    <w:rsid w:val="00096A5C"/>
    <w:rsid w:val="00097E01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D738C"/>
    <w:rsid w:val="000E036E"/>
    <w:rsid w:val="000E2292"/>
    <w:rsid w:val="000E2C05"/>
    <w:rsid w:val="000F275A"/>
    <w:rsid w:val="000F438F"/>
    <w:rsid w:val="000F47E9"/>
    <w:rsid w:val="000F5F8B"/>
    <w:rsid w:val="00101C48"/>
    <w:rsid w:val="00107E5A"/>
    <w:rsid w:val="00110829"/>
    <w:rsid w:val="00113164"/>
    <w:rsid w:val="00114B08"/>
    <w:rsid w:val="00116077"/>
    <w:rsid w:val="001225EE"/>
    <w:rsid w:val="00126441"/>
    <w:rsid w:val="0012724F"/>
    <w:rsid w:val="00130A81"/>
    <w:rsid w:val="00130BE2"/>
    <w:rsid w:val="0013473D"/>
    <w:rsid w:val="00134F13"/>
    <w:rsid w:val="00135FF1"/>
    <w:rsid w:val="00140B2F"/>
    <w:rsid w:val="00147382"/>
    <w:rsid w:val="00147B5C"/>
    <w:rsid w:val="00150712"/>
    <w:rsid w:val="00152B3F"/>
    <w:rsid w:val="00152C2B"/>
    <w:rsid w:val="001539C7"/>
    <w:rsid w:val="001575F8"/>
    <w:rsid w:val="00163B42"/>
    <w:rsid w:val="00164043"/>
    <w:rsid w:val="00165EAA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4972"/>
    <w:rsid w:val="001E5A76"/>
    <w:rsid w:val="001E6608"/>
    <w:rsid w:val="001E692F"/>
    <w:rsid w:val="001F20FB"/>
    <w:rsid w:val="001F6CBE"/>
    <w:rsid w:val="00200E65"/>
    <w:rsid w:val="0020275A"/>
    <w:rsid w:val="00203844"/>
    <w:rsid w:val="002052B1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2B41"/>
    <w:rsid w:val="00274F95"/>
    <w:rsid w:val="00276ED4"/>
    <w:rsid w:val="0028191B"/>
    <w:rsid w:val="002864D7"/>
    <w:rsid w:val="002963EF"/>
    <w:rsid w:val="002A0B6D"/>
    <w:rsid w:val="002A42BA"/>
    <w:rsid w:val="002A6FC3"/>
    <w:rsid w:val="002A7323"/>
    <w:rsid w:val="002A78EC"/>
    <w:rsid w:val="002B09B0"/>
    <w:rsid w:val="002B224F"/>
    <w:rsid w:val="002C7355"/>
    <w:rsid w:val="002C7B92"/>
    <w:rsid w:val="002D53B7"/>
    <w:rsid w:val="002D5588"/>
    <w:rsid w:val="002D7FEB"/>
    <w:rsid w:val="002E0179"/>
    <w:rsid w:val="002E25C5"/>
    <w:rsid w:val="002E2FAB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40E9"/>
    <w:rsid w:val="00314CF7"/>
    <w:rsid w:val="00314DB3"/>
    <w:rsid w:val="00315AF9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5BF"/>
    <w:rsid w:val="00342659"/>
    <w:rsid w:val="0034529C"/>
    <w:rsid w:val="003459B1"/>
    <w:rsid w:val="003522D4"/>
    <w:rsid w:val="00355F7A"/>
    <w:rsid w:val="00362A4F"/>
    <w:rsid w:val="00363AF1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B317F"/>
    <w:rsid w:val="003B31B7"/>
    <w:rsid w:val="003B55F3"/>
    <w:rsid w:val="003B6621"/>
    <w:rsid w:val="003C5141"/>
    <w:rsid w:val="003D0AB2"/>
    <w:rsid w:val="003D2EFD"/>
    <w:rsid w:val="003E056B"/>
    <w:rsid w:val="003E4819"/>
    <w:rsid w:val="003E4E3F"/>
    <w:rsid w:val="003E578C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97FEF"/>
    <w:rsid w:val="004A2808"/>
    <w:rsid w:val="004B358C"/>
    <w:rsid w:val="004B468C"/>
    <w:rsid w:val="004B5692"/>
    <w:rsid w:val="004C01AA"/>
    <w:rsid w:val="004C1CE6"/>
    <w:rsid w:val="004C6851"/>
    <w:rsid w:val="004C6B2A"/>
    <w:rsid w:val="004D1784"/>
    <w:rsid w:val="004D5597"/>
    <w:rsid w:val="004D5B60"/>
    <w:rsid w:val="004D5FED"/>
    <w:rsid w:val="004D6A72"/>
    <w:rsid w:val="004E209D"/>
    <w:rsid w:val="004E2B28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10E8"/>
    <w:rsid w:val="0051204C"/>
    <w:rsid w:val="00512C8F"/>
    <w:rsid w:val="00513BEA"/>
    <w:rsid w:val="0051782D"/>
    <w:rsid w:val="00521064"/>
    <w:rsid w:val="00524666"/>
    <w:rsid w:val="00526B4A"/>
    <w:rsid w:val="0053462E"/>
    <w:rsid w:val="00536070"/>
    <w:rsid w:val="005407A6"/>
    <w:rsid w:val="005409F7"/>
    <w:rsid w:val="0054481D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7134"/>
    <w:rsid w:val="00587219"/>
    <w:rsid w:val="00587D68"/>
    <w:rsid w:val="005916ED"/>
    <w:rsid w:val="00591E9F"/>
    <w:rsid w:val="00595966"/>
    <w:rsid w:val="00597414"/>
    <w:rsid w:val="005A2C08"/>
    <w:rsid w:val="005C08C0"/>
    <w:rsid w:val="005C1745"/>
    <w:rsid w:val="005C190E"/>
    <w:rsid w:val="005C1B2D"/>
    <w:rsid w:val="005C6338"/>
    <w:rsid w:val="005C6906"/>
    <w:rsid w:val="005D0F3F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604016"/>
    <w:rsid w:val="00605989"/>
    <w:rsid w:val="0060773B"/>
    <w:rsid w:val="00611199"/>
    <w:rsid w:val="00616C43"/>
    <w:rsid w:val="0061785E"/>
    <w:rsid w:val="00620255"/>
    <w:rsid w:val="006202DD"/>
    <w:rsid w:val="00624E06"/>
    <w:rsid w:val="006262A3"/>
    <w:rsid w:val="00632DDD"/>
    <w:rsid w:val="00633D6D"/>
    <w:rsid w:val="006427A8"/>
    <w:rsid w:val="00645289"/>
    <w:rsid w:val="006476FF"/>
    <w:rsid w:val="0065517E"/>
    <w:rsid w:val="00662CAA"/>
    <w:rsid w:val="00666A4C"/>
    <w:rsid w:val="0066731E"/>
    <w:rsid w:val="00667B8C"/>
    <w:rsid w:val="00667E3A"/>
    <w:rsid w:val="006707FC"/>
    <w:rsid w:val="006719A5"/>
    <w:rsid w:val="00675D35"/>
    <w:rsid w:val="00682478"/>
    <w:rsid w:val="0068290E"/>
    <w:rsid w:val="00683C7F"/>
    <w:rsid w:val="0068559E"/>
    <w:rsid w:val="00686545"/>
    <w:rsid w:val="00686700"/>
    <w:rsid w:val="00686AD3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5EF5"/>
    <w:rsid w:val="006A78B6"/>
    <w:rsid w:val="006B1646"/>
    <w:rsid w:val="006C0595"/>
    <w:rsid w:val="006C6CC6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704C"/>
    <w:rsid w:val="0076044E"/>
    <w:rsid w:val="00763088"/>
    <w:rsid w:val="007712F8"/>
    <w:rsid w:val="00772533"/>
    <w:rsid w:val="00776BF6"/>
    <w:rsid w:val="00782996"/>
    <w:rsid w:val="00782AEA"/>
    <w:rsid w:val="007873EB"/>
    <w:rsid w:val="007955F2"/>
    <w:rsid w:val="007A0A02"/>
    <w:rsid w:val="007A299C"/>
    <w:rsid w:val="007C1EBA"/>
    <w:rsid w:val="007C3994"/>
    <w:rsid w:val="007C4F8B"/>
    <w:rsid w:val="007D1EFB"/>
    <w:rsid w:val="007E206B"/>
    <w:rsid w:val="007E730A"/>
    <w:rsid w:val="007F087F"/>
    <w:rsid w:val="007F28FE"/>
    <w:rsid w:val="007F42B2"/>
    <w:rsid w:val="007F4426"/>
    <w:rsid w:val="008024F9"/>
    <w:rsid w:val="00804750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4565A"/>
    <w:rsid w:val="0084602B"/>
    <w:rsid w:val="00846404"/>
    <w:rsid w:val="00846490"/>
    <w:rsid w:val="00847359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8755C"/>
    <w:rsid w:val="00891006"/>
    <w:rsid w:val="0089511D"/>
    <w:rsid w:val="008954AA"/>
    <w:rsid w:val="008960A0"/>
    <w:rsid w:val="008A0906"/>
    <w:rsid w:val="008A29F6"/>
    <w:rsid w:val="008A56A5"/>
    <w:rsid w:val="008B06FC"/>
    <w:rsid w:val="008C1346"/>
    <w:rsid w:val="008C34A4"/>
    <w:rsid w:val="008C3808"/>
    <w:rsid w:val="008C7E12"/>
    <w:rsid w:val="008D7DE1"/>
    <w:rsid w:val="008E1D3D"/>
    <w:rsid w:val="008E282B"/>
    <w:rsid w:val="008E63AD"/>
    <w:rsid w:val="008F1F07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3AF7"/>
    <w:rsid w:val="009540C3"/>
    <w:rsid w:val="0095722A"/>
    <w:rsid w:val="00963ED3"/>
    <w:rsid w:val="009650D7"/>
    <w:rsid w:val="009670B0"/>
    <w:rsid w:val="0098015B"/>
    <w:rsid w:val="00981E62"/>
    <w:rsid w:val="00982915"/>
    <w:rsid w:val="0098698E"/>
    <w:rsid w:val="00990B31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7F84"/>
    <w:rsid w:val="009D10D0"/>
    <w:rsid w:val="009D1E49"/>
    <w:rsid w:val="009D36FD"/>
    <w:rsid w:val="009D79B4"/>
    <w:rsid w:val="009E3FB0"/>
    <w:rsid w:val="009E763E"/>
    <w:rsid w:val="009F2C16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16CB2"/>
    <w:rsid w:val="00A202CB"/>
    <w:rsid w:val="00A21ECC"/>
    <w:rsid w:val="00A23258"/>
    <w:rsid w:val="00A23E26"/>
    <w:rsid w:val="00A27ECF"/>
    <w:rsid w:val="00A31978"/>
    <w:rsid w:val="00A326CD"/>
    <w:rsid w:val="00A3455E"/>
    <w:rsid w:val="00A34BB7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373C"/>
    <w:rsid w:val="00A66BD6"/>
    <w:rsid w:val="00A66E4C"/>
    <w:rsid w:val="00A71784"/>
    <w:rsid w:val="00A7469A"/>
    <w:rsid w:val="00A84AEC"/>
    <w:rsid w:val="00A9373B"/>
    <w:rsid w:val="00A93DC8"/>
    <w:rsid w:val="00A941E2"/>
    <w:rsid w:val="00A9776C"/>
    <w:rsid w:val="00AA0C11"/>
    <w:rsid w:val="00AA38D3"/>
    <w:rsid w:val="00AA4079"/>
    <w:rsid w:val="00AA456A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5667"/>
    <w:rsid w:val="00AD5D1A"/>
    <w:rsid w:val="00AD6EBC"/>
    <w:rsid w:val="00AE40E0"/>
    <w:rsid w:val="00AF0307"/>
    <w:rsid w:val="00AF35CB"/>
    <w:rsid w:val="00AF575D"/>
    <w:rsid w:val="00AF6B02"/>
    <w:rsid w:val="00AF7953"/>
    <w:rsid w:val="00B11BA5"/>
    <w:rsid w:val="00B13131"/>
    <w:rsid w:val="00B14F67"/>
    <w:rsid w:val="00B1508A"/>
    <w:rsid w:val="00B16424"/>
    <w:rsid w:val="00B207FF"/>
    <w:rsid w:val="00B239A0"/>
    <w:rsid w:val="00B25A3A"/>
    <w:rsid w:val="00B277C7"/>
    <w:rsid w:val="00B326CB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820B1"/>
    <w:rsid w:val="00B82BEC"/>
    <w:rsid w:val="00B8548B"/>
    <w:rsid w:val="00B87B3E"/>
    <w:rsid w:val="00B912A0"/>
    <w:rsid w:val="00B958A7"/>
    <w:rsid w:val="00BB4ADA"/>
    <w:rsid w:val="00BC2E16"/>
    <w:rsid w:val="00BC3C0F"/>
    <w:rsid w:val="00BC72C9"/>
    <w:rsid w:val="00BD4758"/>
    <w:rsid w:val="00BD7223"/>
    <w:rsid w:val="00BD7C73"/>
    <w:rsid w:val="00BE1F57"/>
    <w:rsid w:val="00BE3942"/>
    <w:rsid w:val="00BE5431"/>
    <w:rsid w:val="00BF4ECD"/>
    <w:rsid w:val="00BF5541"/>
    <w:rsid w:val="00BF5D79"/>
    <w:rsid w:val="00BF5F40"/>
    <w:rsid w:val="00C06656"/>
    <w:rsid w:val="00C07CB6"/>
    <w:rsid w:val="00C102CC"/>
    <w:rsid w:val="00C226F4"/>
    <w:rsid w:val="00C23957"/>
    <w:rsid w:val="00C25047"/>
    <w:rsid w:val="00C251DA"/>
    <w:rsid w:val="00C30A3C"/>
    <w:rsid w:val="00C3184E"/>
    <w:rsid w:val="00C53997"/>
    <w:rsid w:val="00C60F9F"/>
    <w:rsid w:val="00C6189E"/>
    <w:rsid w:val="00C630C3"/>
    <w:rsid w:val="00C659E9"/>
    <w:rsid w:val="00C7040D"/>
    <w:rsid w:val="00C736BD"/>
    <w:rsid w:val="00C73D9E"/>
    <w:rsid w:val="00C753AE"/>
    <w:rsid w:val="00C75D7A"/>
    <w:rsid w:val="00C82617"/>
    <w:rsid w:val="00C83B40"/>
    <w:rsid w:val="00C841B9"/>
    <w:rsid w:val="00C93772"/>
    <w:rsid w:val="00C96AC3"/>
    <w:rsid w:val="00CA784A"/>
    <w:rsid w:val="00CB007C"/>
    <w:rsid w:val="00CB2312"/>
    <w:rsid w:val="00CB5A5C"/>
    <w:rsid w:val="00CB7F4E"/>
    <w:rsid w:val="00CC0991"/>
    <w:rsid w:val="00CC0F47"/>
    <w:rsid w:val="00CC3661"/>
    <w:rsid w:val="00CD107B"/>
    <w:rsid w:val="00CD7876"/>
    <w:rsid w:val="00CE1DEC"/>
    <w:rsid w:val="00CE20C1"/>
    <w:rsid w:val="00CE6FDB"/>
    <w:rsid w:val="00CF6EFF"/>
    <w:rsid w:val="00D0037A"/>
    <w:rsid w:val="00D00939"/>
    <w:rsid w:val="00D00DA3"/>
    <w:rsid w:val="00D01572"/>
    <w:rsid w:val="00D02852"/>
    <w:rsid w:val="00D030CF"/>
    <w:rsid w:val="00D03E6D"/>
    <w:rsid w:val="00D04DD1"/>
    <w:rsid w:val="00D105D6"/>
    <w:rsid w:val="00D12C28"/>
    <w:rsid w:val="00D14247"/>
    <w:rsid w:val="00D16119"/>
    <w:rsid w:val="00D20CD4"/>
    <w:rsid w:val="00D20F5D"/>
    <w:rsid w:val="00D22D5C"/>
    <w:rsid w:val="00D2593D"/>
    <w:rsid w:val="00D26E22"/>
    <w:rsid w:val="00D27D74"/>
    <w:rsid w:val="00D33717"/>
    <w:rsid w:val="00D33A41"/>
    <w:rsid w:val="00D42892"/>
    <w:rsid w:val="00D42BEE"/>
    <w:rsid w:val="00D45252"/>
    <w:rsid w:val="00D45618"/>
    <w:rsid w:val="00D476FB"/>
    <w:rsid w:val="00D510CA"/>
    <w:rsid w:val="00D57D8C"/>
    <w:rsid w:val="00D63CD7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666E"/>
    <w:rsid w:val="00D97BAD"/>
    <w:rsid w:val="00DA1982"/>
    <w:rsid w:val="00DA1DC0"/>
    <w:rsid w:val="00DA593F"/>
    <w:rsid w:val="00DA6EFE"/>
    <w:rsid w:val="00DB489B"/>
    <w:rsid w:val="00DC5051"/>
    <w:rsid w:val="00DD3AF3"/>
    <w:rsid w:val="00DE27E2"/>
    <w:rsid w:val="00DE6419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528E0"/>
    <w:rsid w:val="00E5332A"/>
    <w:rsid w:val="00E54DCD"/>
    <w:rsid w:val="00E57B2A"/>
    <w:rsid w:val="00E742EE"/>
    <w:rsid w:val="00E75D79"/>
    <w:rsid w:val="00E91301"/>
    <w:rsid w:val="00E916B2"/>
    <w:rsid w:val="00E91B49"/>
    <w:rsid w:val="00E91B8F"/>
    <w:rsid w:val="00E935D6"/>
    <w:rsid w:val="00E96988"/>
    <w:rsid w:val="00EA3A88"/>
    <w:rsid w:val="00EA45CD"/>
    <w:rsid w:val="00EA7EA7"/>
    <w:rsid w:val="00EB27F8"/>
    <w:rsid w:val="00EB6F34"/>
    <w:rsid w:val="00EC0ADA"/>
    <w:rsid w:val="00EC2739"/>
    <w:rsid w:val="00EC48CC"/>
    <w:rsid w:val="00EC5C8A"/>
    <w:rsid w:val="00EC70AC"/>
    <w:rsid w:val="00EC79F5"/>
    <w:rsid w:val="00ED021D"/>
    <w:rsid w:val="00ED13A2"/>
    <w:rsid w:val="00EE06FF"/>
    <w:rsid w:val="00EE44D4"/>
    <w:rsid w:val="00EF5D90"/>
    <w:rsid w:val="00EF6791"/>
    <w:rsid w:val="00EF6E54"/>
    <w:rsid w:val="00F07E56"/>
    <w:rsid w:val="00F10CEC"/>
    <w:rsid w:val="00F12444"/>
    <w:rsid w:val="00F13BA3"/>
    <w:rsid w:val="00F15FFB"/>
    <w:rsid w:val="00F17801"/>
    <w:rsid w:val="00F179DC"/>
    <w:rsid w:val="00F17AA1"/>
    <w:rsid w:val="00F25FF5"/>
    <w:rsid w:val="00F30153"/>
    <w:rsid w:val="00F30F45"/>
    <w:rsid w:val="00F349E0"/>
    <w:rsid w:val="00F34F9C"/>
    <w:rsid w:val="00F36FFF"/>
    <w:rsid w:val="00F50FD6"/>
    <w:rsid w:val="00F517D3"/>
    <w:rsid w:val="00F52782"/>
    <w:rsid w:val="00F529DA"/>
    <w:rsid w:val="00F53331"/>
    <w:rsid w:val="00F55E16"/>
    <w:rsid w:val="00F56BE0"/>
    <w:rsid w:val="00F5795F"/>
    <w:rsid w:val="00F6788A"/>
    <w:rsid w:val="00F818E8"/>
    <w:rsid w:val="00F84FB7"/>
    <w:rsid w:val="00F85331"/>
    <w:rsid w:val="00F90561"/>
    <w:rsid w:val="00F92FBE"/>
    <w:rsid w:val="00F9582A"/>
    <w:rsid w:val="00F95A2A"/>
    <w:rsid w:val="00F97513"/>
    <w:rsid w:val="00FA433B"/>
    <w:rsid w:val="00FB0B89"/>
    <w:rsid w:val="00FB1E59"/>
    <w:rsid w:val="00FB62A3"/>
    <w:rsid w:val="00FB6D5F"/>
    <w:rsid w:val="00FC3D94"/>
    <w:rsid w:val="00FC42B3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CC1EF"/>
  <w15:docId w15:val="{87BC5AEE-CD9A-4226-B321-007FF7F9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5F4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qFormat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qFormat/>
    <w:rsid w:val="002C7B9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character" w:customStyle="1" w:styleId="TabletextChar">
    <w:name w:val="Table_text Char"/>
    <w:link w:val="Tabletext"/>
    <w:locked/>
    <w:rsid w:val="002C7B92"/>
    <w:rPr>
      <w:rFonts w:ascii="Times New Roman" w:hAnsi="Times New Roman"/>
      <w:lang w:val="ru-RU" w:eastAsia="en-US"/>
    </w:rPr>
  </w:style>
  <w:style w:type="paragraph" w:customStyle="1" w:styleId="Call">
    <w:name w:val="Call"/>
    <w:basedOn w:val="Normal"/>
    <w:next w:val="Normal"/>
    <w:link w:val="CallChar"/>
    <w:qFormat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qFormat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uiPriority w:val="99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TableNo"/>
    <w:next w:val="Tabletext"/>
    <w:link w:val="TabletitleChar"/>
    <w:rsid w:val="00847359"/>
    <w:pPr>
      <w:spacing w:before="0"/>
    </w:pPr>
    <w:rPr>
      <w:b/>
      <w:caps w:val="0"/>
    </w:rPr>
  </w:style>
  <w:style w:type="character" w:customStyle="1" w:styleId="TabletitleChar">
    <w:name w:val="Table_title Char"/>
    <w:link w:val="Tabletitle"/>
    <w:locked/>
    <w:rsid w:val="00254F06"/>
    <w:rPr>
      <w:rFonts w:ascii="Calibri" w:hAnsi="Calibri"/>
      <w:b/>
      <w:sz w:val="22"/>
      <w:lang w:val="en-GB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uiPriority w:val="99"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BF5F40"/>
    <w:pPr>
      <w:keepLines/>
      <w:tabs>
        <w:tab w:val="clear" w:pos="1134"/>
        <w:tab w:val="clear" w:pos="1871"/>
        <w:tab w:val="clear" w:pos="2268"/>
        <w:tab w:val="left" w:pos="255"/>
        <w:tab w:val="left" w:pos="794"/>
        <w:tab w:val="left" w:pos="1191"/>
        <w:tab w:val="left" w:pos="1588"/>
        <w:tab w:val="left" w:pos="1985"/>
      </w:tabs>
      <w:spacing w:before="60"/>
      <w:ind w:left="284" w:hanging="284"/>
    </w:pPr>
    <w:rPr>
      <w:rFonts w:ascii="Calibri" w:hAnsi="Calibri"/>
      <w:sz w:val="20"/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Calibri" w:hAnsi="Calibri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aliases w:val="encabezado,he"/>
    <w:basedOn w:val="Normal"/>
    <w:link w:val="HeaderChar"/>
    <w:uiPriority w:val="99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aliases w:val="encabezado Char,he Char"/>
    <w:link w:val="Header"/>
    <w:uiPriority w:val="99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uiPriority w:val="99"/>
    <w:rsid w:val="00254F06"/>
    <w:pPr>
      <w:ind w:left="849"/>
    </w:pPr>
  </w:style>
  <w:style w:type="paragraph" w:styleId="Index5">
    <w:name w:val="index 5"/>
    <w:basedOn w:val="Normal"/>
    <w:next w:val="Normal"/>
    <w:uiPriority w:val="99"/>
    <w:rsid w:val="00254F06"/>
    <w:pPr>
      <w:ind w:left="1132"/>
    </w:pPr>
  </w:style>
  <w:style w:type="paragraph" w:styleId="Index6">
    <w:name w:val="index 6"/>
    <w:basedOn w:val="Normal"/>
    <w:next w:val="Normal"/>
    <w:uiPriority w:val="99"/>
    <w:rsid w:val="00254F06"/>
    <w:pPr>
      <w:ind w:left="1415"/>
    </w:pPr>
  </w:style>
  <w:style w:type="paragraph" w:styleId="Index7">
    <w:name w:val="index 7"/>
    <w:basedOn w:val="Normal"/>
    <w:next w:val="Normal"/>
    <w:uiPriority w:val="99"/>
    <w:rsid w:val="00254F06"/>
    <w:pPr>
      <w:ind w:left="1698"/>
    </w:pPr>
  </w:style>
  <w:style w:type="paragraph" w:styleId="IndexHeading">
    <w:name w:val="index heading"/>
    <w:basedOn w:val="Normal"/>
    <w:next w:val="Index1"/>
    <w:uiPriority w:val="99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uiPriority w:val="99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qFormat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uiPriority w:val="59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DD3AF3"/>
    <w:pPr>
      <w:keepNext/>
      <w:tabs>
        <w:tab w:val="clear" w:pos="1871"/>
      </w:tabs>
      <w:spacing w:before="80" w:after="80"/>
      <w:jc w:val="center"/>
    </w:pPr>
    <w:rPr>
      <w:b/>
      <w:lang w:val="en-GB"/>
    </w:rPr>
  </w:style>
  <w:style w:type="character" w:customStyle="1" w:styleId="TableheadChar">
    <w:name w:val="Table_head Char"/>
    <w:link w:val="Tablehead"/>
    <w:locked/>
    <w:rsid w:val="00DD3AF3"/>
    <w:rPr>
      <w:rFonts w:ascii="Times New Roman" w:hAnsi="Times New Roman"/>
      <w:b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847359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caps/>
      <w:lang w:val="en-GB"/>
    </w:rPr>
  </w:style>
  <w:style w:type="character" w:customStyle="1" w:styleId="TableNoChar">
    <w:name w:val="Table_No Char"/>
    <w:link w:val="TableNo"/>
    <w:locked/>
    <w:rsid w:val="00847359"/>
    <w:rPr>
      <w:rFonts w:ascii="Times New Roman" w:hAnsi="Times New Roman"/>
      <w:caps/>
      <w:sz w:val="22"/>
      <w:lang w:val="en-GB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paragraph" w:customStyle="1" w:styleId="Title1">
    <w:name w:val="Title 1"/>
    <w:basedOn w:val="Source"/>
    <w:next w:val="Title2"/>
    <w:link w:val="Title1Char"/>
    <w:qFormat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qFormat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254F06"/>
    <w:pPr>
      <w:spacing w:before="120"/>
    </w:pPr>
  </w:style>
  <w:style w:type="paragraph" w:styleId="TOC3">
    <w:name w:val="toc 3"/>
    <w:basedOn w:val="TOC2"/>
    <w:uiPriority w:val="39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paragraph" w:customStyle="1" w:styleId="AnnexNotitle">
    <w:name w:val="Annex_No &amp; title"/>
    <w:basedOn w:val="Normal"/>
    <w:next w:val="Normal"/>
    <w:rsid w:val="00BF5F4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  <w:lang w:val="en-GB"/>
    </w:rPr>
  </w:style>
  <w:style w:type="paragraph" w:customStyle="1" w:styleId="AppendixNotitle">
    <w:name w:val="Appendix_No &amp; title"/>
    <w:basedOn w:val="AnnexNotitle"/>
    <w:next w:val="Normal"/>
    <w:rsid w:val="00BF5F40"/>
  </w:style>
  <w:style w:type="paragraph" w:customStyle="1" w:styleId="FigureNotitle">
    <w:name w:val="Figure_No &amp; title"/>
    <w:basedOn w:val="Normal"/>
    <w:next w:val="Normal"/>
    <w:rsid w:val="00BF5F40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sz w:val="24"/>
      <w:lang w:val="en-GB"/>
    </w:rPr>
  </w:style>
  <w:style w:type="paragraph" w:customStyle="1" w:styleId="FigureNoBR">
    <w:name w:val="Figure_No_BR"/>
    <w:basedOn w:val="Normal"/>
    <w:next w:val="Normal"/>
    <w:rsid w:val="00BF5F4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sz w:val="24"/>
      <w:lang w:val="en-GB"/>
    </w:rPr>
  </w:style>
  <w:style w:type="paragraph" w:customStyle="1" w:styleId="TabletitleBR">
    <w:name w:val="Table_title_BR"/>
    <w:basedOn w:val="Normal"/>
    <w:next w:val="Normal"/>
    <w:rsid w:val="00BF5F4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  <w:sz w:val="24"/>
      <w:lang w:val="en-GB"/>
    </w:rPr>
  </w:style>
  <w:style w:type="paragraph" w:customStyle="1" w:styleId="FiguretitleBR">
    <w:name w:val="Figure_title_BR"/>
    <w:basedOn w:val="TabletitleBR"/>
    <w:next w:val="Normal"/>
    <w:rsid w:val="00BF5F40"/>
    <w:pPr>
      <w:keepNext w:val="0"/>
      <w:spacing w:after="480"/>
    </w:pPr>
  </w:style>
  <w:style w:type="paragraph" w:customStyle="1" w:styleId="Normalaftertitle0">
    <w:name w:val="Normal_after_title"/>
    <w:basedOn w:val="Normal"/>
    <w:next w:val="Normal"/>
    <w:rsid w:val="00BF5F4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</w:pPr>
    <w:rPr>
      <w:sz w:val="24"/>
      <w:lang w:val="en-GB"/>
    </w:rPr>
  </w:style>
  <w:style w:type="paragraph" w:customStyle="1" w:styleId="RecNoBR">
    <w:name w:val="Rec_No_BR"/>
    <w:basedOn w:val="Normal"/>
    <w:next w:val="Normal"/>
    <w:rsid w:val="00BF5F4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sz w:val="28"/>
      <w:lang w:val="en-GB"/>
    </w:rPr>
  </w:style>
  <w:style w:type="paragraph" w:customStyle="1" w:styleId="QuestionNoBR">
    <w:name w:val="Question_No_BR"/>
    <w:basedOn w:val="RecNoBR"/>
    <w:next w:val="Normal"/>
    <w:rsid w:val="00BF5F40"/>
  </w:style>
  <w:style w:type="paragraph" w:customStyle="1" w:styleId="RepNoBR">
    <w:name w:val="Rep_No_BR"/>
    <w:basedOn w:val="RecNoBR"/>
    <w:next w:val="Normal"/>
    <w:rsid w:val="00BF5F40"/>
  </w:style>
  <w:style w:type="paragraph" w:customStyle="1" w:styleId="ResNoBR">
    <w:name w:val="Res_No_BR"/>
    <w:basedOn w:val="RecNoBR"/>
    <w:next w:val="Normal"/>
    <w:rsid w:val="00BF5F40"/>
  </w:style>
  <w:style w:type="paragraph" w:customStyle="1" w:styleId="TableNotitle">
    <w:name w:val="Table_No &amp; title"/>
    <w:basedOn w:val="Normal"/>
    <w:next w:val="Tablehead"/>
    <w:rsid w:val="00BF5F4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sz w:val="24"/>
      <w:lang w:val="en-GB"/>
    </w:rPr>
  </w:style>
  <w:style w:type="paragraph" w:customStyle="1" w:styleId="TableNoBR">
    <w:name w:val="Table_No_BR"/>
    <w:basedOn w:val="Normal"/>
    <w:next w:val="TabletitleBR"/>
    <w:rsid w:val="00BF5F40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sz w:val="24"/>
      <w:lang w:val="en-GB"/>
    </w:rPr>
  </w:style>
  <w:style w:type="paragraph" w:customStyle="1" w:styleId="Docnumber">
    <w:name w:val="Docnumber"/>
    <w:basedOn w:val="Normal"/>
    <w:link w:val="DocnumberChar"/>
    <w:qFormat/>
    <w:rsid w:val="00BF5F4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rFonts w:eastAsia="SimSun"/>
      <w:b/>
      <w:sz w:val="32"/>
      <w:lang w:val="en-GB"/>
    </w:rPr>
  </w:style>
  <w:style w:type="character" w:customStyle="1" w:styleId="DocnumberChar">
    <w:name w:val="Docnumber Char"/>
    <w:link w:val="Docnumber"/>
    <w:rsid w:val="00BF5F40"/>
    <w:rPr>
      <w:rFonts w:ascii="Times New Roman" w:eastAsia="SimSun" w:hAnsi="Times New Roman"/>
      <w:b/>
      <w:sz w:val="32"/>
      <w:lang w:val="en-GB" w:eastAsia="en-US"/>
    </w:rPr>
  </w:style>
  <w:style w:type="character" w:styleId="Hyperlink">
    <w:name w:val="Hyperlink"/>
    <w:basedOn w:val="DefaultParagraphFont"/>
    <w:uiPriority w:val="99"/>
    <w:qFormat/>
    <w:rsid w:val="00BF5F40"/>
    <w:rPr>
      <w:color w:val="0000FF"/>
      <w:u w:val="single"/>
    </w:rPr>
  </w:style>
  <w:style w:type="paragraph" w:customStyle="1" w:styleId="LSDeadline">
    <w:name w:val="LSDeadline"/>
    <w:basedOn w:val="Normal"/>
    <w:next w:val="Normal"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 w:val="24"/>
      <w:szCs w:val="24"/>
      <w:lang w:val="en-GB" w:eastAsia="ja-JP"/>
    </w:rPr>
  </w:style>
  <w:style w:type="paragraph" w:customStyle="1" w:styleId="LSForAction">
    <w:name w:val="LSForAction"/>
    <w:basedOn w:val="Normal"/>
    <w:next w:val="Normal"/>
    <w:rsid w:val="00BF5F4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 w:val="24"/>
      <w:lang w:val="en-GB"/>
    </w:rPr>
  </w:style>
  <w:style w:type="paragraph" w:customStyle="1" w:styleId="LSForInfo">
    <w:name w:val="LSForInfo"/>
    <w:basedOn w:val="Normal"/>
    <w:next w:val="Normal"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bCs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BF5F40"/>
    <w:pPr>
      <w:tabs>
        <w:tab w:val="clear" w:pos="1134"/>
        <w:tab w:val="clear" w:pos="1871"/>
        <w:tab w:val="clear" w:pos="2268"/>
      </w:tabs>
      <w:jc w:val="right"/>
    </w:pPr>
    <w:rPr>
      <w:sz w:val="24"/>
      <w:lang w:val="en-GB"/>
    </w:rPr>
  </w:style>
  <w:style w:type="paragraph" w:customStyle="1" w:styleId="TSBHeaderQuestion">
    <w:name w:val="TSBHeaderQuestion"/>
    <w:basedOn w:val="Normal"/>
    <w:qFormat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GB" w:eastAsia="ja-JP"/>
    </w:rPr>
  </w:style>
  <w:style w:type="paragraph" w:customStyle="1" w:styleId="TSBHeaderSource">
    <w:name w:val="TSBHeaderSource"/>
    <w:basedOn w:val="Normal"/>
    <w:qFormat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GB" w:eastAsia="ja-JP"/>
    </w:rPr>
  </w:style>
  <w:style w:type="paragraph" w:customStyle="1" w:styleId="TSBHeaderTitle">
    <w:name w:val="TSBHeaderTitle"/>
    <w:basedOn w:val="Normal"/>
    <w:qFormat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GB" w:eastAsia="ja-JP"/>
    </w:rPr>
  </w:style>
  <w:style w:type="paragraph" w:customStyle="1" w:styleId="TSBHeaderSummary">
    <w:name w:val="TSBHeaderSummary"/>
    <w:basedOn w:val="Normal"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GB" w:eastAsia="ja-JP"/>
    </w:rPr>
  </w:style>
  <w:style w:type="paragraph" w:customStyle="1" w:styleId="LSApproval">
    <w:name w:val="LSApproval"/>
    <w:basedOn w:val="Normal"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 w:val="24"/>
      <w:szCs w:val="24"/>
      <w:lang w:val="en-GB" w:eastAsia="ja-JP"/>
    </w:rPr>
  </w:style>
  <w:style w:type="paragraph" w:customStyle="1" w:styleId="TSBHeaderRight14">
    <w:name w:val="TSBHeaderRight14"/>
    <w:basedOn w:val="Normal"/>
    <w:qFormat/>
    <w:rsid w:val="00BF5F4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b/>
      <w:bCs/>
      <w:sz w:val="28"/>
      <w:szCs w:val="28"/>
      <w:lang w:val="en-GB"/>
    </w:rPr>
  </w:style>
  <w:style w:type="paragraph" w:styleId="ListParagraph">
    <w:name w:val="List Paragraph"/>
    <w:aliases w:val="Recommendation,List Paragraph11,O5,Para_sk,Resume Title,- Bullets,List Paragraph1,Citation List,List Paragraph Char Char,Bullets,list1,b1,Number_1,Normal Sentence,Colorful List - Accent 11,ListPar1,new,SGLText List Paragraph,List Paragrap"/>
    <w:basedOn w:val="Normal"/>
    <w:link w:val="ListParagraphChar"/>
    <w:uiPriority w:val="34"/>
    <w:qFormat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 w:val="24"/>
      <w:szCs w:val="24"/>
      <w:lang w:val="en-GB" w:eastAsia="ja-JP"/>
    </w:rPr>
  </w:style>
  <w:style w:type="character" w:customStyle="1" w:styleId="ListParagraphChar">
    <w:name w:val="List Paragraph Char"/>
    <w:aliases w:val="Recommendation Char,List Paragraph11 Char,O5 Char,Para_sk Char,Resume Title Char,- Bullets Char,List Paragraph1 Char,Citation List Char,List Paragraph Char Char Char,Bullets Char,list1 Char,b1 Char,Number_1 Char,Normal Sentence Char"/>
    <w:basedOn w:val="DefaultParagraphFont"/>
    <w:link w:val="ListParagraph"/>
    <w:uiPriority w:val="34"/>
    <w:locked/>
    <w:rsid w:val="00BF5F40"/>
    <w:rPr>
      <w:rFonts w:ascii="Times New Roman" w:eastAsiaTheme="minorEastAsia" w:hAnsi="Times New Roman"/>
      <w:sz w:val="24"/>
      <w:szCs w:val="24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BF5F40"/>
    <w:rPr>
      <w:color w:val="808080"/>
    </w:rPr>
  </w:style>
  <w:style w:type="paragraph" w:customStyle="1" w:styleId="ASN1">
    <w:name w:val="ASN.1"/>
    <w:basedOn w:val="Normal"/>
    <w:rsid w:val="00BF5F40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  <w:lang w:val="en-GB"/>
    </w:rPr>
  </w:style>
  <w:style w:type="character" w:styleId="EndnoteReference">
    <w:name w:val="endnote reference"/>
    <w:basedOn w:val="DefaultParagraphFont"/>
    <w:uiPriority w:val="99"/>
    <w:rsid w:val="00BF5F40"/>
    <w:rPr>
      <w:vertAlign w:val="superscript"/>
    </w:rPr>
  </w:style>
  <w:style w:type="paragraph" w:customStyle="1" w:styleId="FooterQP">
    <w:name w:val="Footer_QP"/>
    <w:basedOn w:val="Normal"/>
    <w:rsid w:val="00BF5F40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styleId="BalloonText">
    <w:name w:val="Balloon Text"/>
    <w:basedOn w:val="Normal"/>
    <w:link w:val="BalloonTextChar"/>
    <w:rsid w:val="00BF5F4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BF5F40"/>
    <w:rPr>
      <w:rFonts w:ascii="Tahoma" w:hAnsi="Tahoma" w:cs="Tahoma"/>
      <w:sz w:val="16"/>
      <w:szCs w:val="16"/>
      <w:lang w:val="en-GB" w:eastAsia="en-US"/>
    </w:rPr>
  </w:style>
  <w:style w:type="paragraph" w:customStyle="1" w:styleId="headingb0">
    <w:name w:val="heading_b"/>
    <w:basedOn w:val="Heading3"/>
    <w:next w:val="Normal"/>
    <w:rsid w:val="00BF5F40"/>
    <w:pPr>
      <w:tabs>
        <w:tab w:val="left" w:pos="794"/>
        <w:tab w:val="left" w:pos="1134"/>
        <w:tab w:val="left" w:pos="2127"/>
        <w:tab w:val="left" w:pos="2410"/>
        <w:tab w:val="left" w:pos="2921"/>
        <w:tab w:val="left" w:pos="3261"/>
      </w:tabs>
      <w:spacing w:before="160"/>
      <w:ind w:left="0" w:firstLine="0"/>
      <w:textAlignment w:val="auto"/>
      <w:outlineLvl w:val="9"/>
    </w:pPr>
    <w:rPr>
      <w:b w:val="0"/>
      <w:sz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BF5F40"/>
    <w:rPr>
      <w:rFonts w:ascii="Consolas" w:eastAsiaTheme="minorEastAsia" w:hAnsi="Consolas" w:cstheme="minorBidi"/>
      <w:sz w:val="21"/>
      <w:szCs w:val="21"/>
    </w:rPr>
  </w:style>
  <w:style w:type="paragraph" w:styleId="NoSpacing">
    <w:name w:val="No Spacing"/>
    <w:uiPriority w:val="1"/>
    <w:qFormat/>
    <w:rsid w:val="00BF5F40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BF5F40"/>
  </w:style>
  <w:style w:type="table" w:customStyle="1" w:styleId="TableGrid1">
    <w:name w:val="Table Grid1"/>
    <w:basedOn w:val="TableNormal"/>
    <w:next w:val="TableGrid"/>
    <w:rsid w:val="00BF5F4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F5F40"/>
    <w:rPr>
      <w:b/>
      <w:bCs/>
    </w:rPr>
  </w:style>
  <w:style w:type="character" w:styleId="FollowedHyperlink">
    <w:name w:val="FollowedHyperlink"/>
    <w:basedOn w:val="DefaultParagraphFont"/>
    <w:unhideWhenUsed/>
    <w:rsid w:val="00BF5F40"/>
    <w:rPr>
      <w:color w:val="606420"/>
      <w:u w:val="single"/>
    </w:rPr>
  </w:style>
  <w:style w:type="paragraph" w:styleId="NormalWeb">
    <w:name w:val="Normal (Web)"/>
    <w:basedOn w:val="Normal"/>
    <w:uiPriority w:val="99"/>
    <w:unhideWhenUsed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EndnoteText">
    <w:name w:val="endnote text"/>
    <w:basedOn w:val="Normal"/>
    <w:link w:val="EndnoteTextChar"/>
    <w:uiPriority w:val="99"/>
    <w:unhideWhenUsed/>
    <w:rsid w:val="00BF5F4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textAlignment w:val="auto"/>
    </w:pPr>
    <w:rPr>
      <w:sz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F5F40"/>
    <w:rPr>
      <w:rFonts w:ascii="Times New Roman" w:hAnsi="Times New Roman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BF5F40"/>
    <w:pPr>
      <w:pBdr>
        <w:bottom w:val="single" w:sz="8" w:space="4" w:color="4F81BD" w:themeColor="accent1"/>
      </w:pBd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rsid w:val="00BF5F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BodyText">
    <w:name w:val="Body Text"/>
    <w:basedOn w:val="Normal"/>
    <w:link w:val="BodyTextChar"/>
    <w:unhideWhenUsed/>
    <w:rsid w:val="00BF5F4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textAlignment w:val="auto"/>
    </w:pPr>
    <w:rPr>
      <w:b/>
      <w:bCs/>
      <w:i/>
      <w:i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F5F40"/>
    <w:rPr>
      <w:rFonts w:ascii="Times New Roman" w:hAnsi="Times New Roman"/>
      <w:b/>
      <w:bCs/>
      <w:i/>
      <w:iCs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BF5F4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120"/>
      <w:ind w:left="360"/>
      <w:textAlignment w:val="auto"/>
    </w:pPr>
    <w:rPr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F5F40"/>
    <w:rPr>
      <w:rFonts w:ascii="Times New Roman" w:hAnsi="Times New Roman"/>
      <w:sz w:val="24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textAlignment w:val="auto"/>
    </w:pPr>
    <w:rPr>
      <w:rFonts w:ascii="Cambria" w:eastAsia="SimSun" w:hAnsi="Cambria"/>
      <w:i/>
      <w:iCs/>
      <w:color w:val="4F81BD"/>
      <w:spacing w:val="15"/>
      <w:sz w:val="24"/>
      <w:szCs w:val="24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BF5F40"/>
    <w:rPr>
      <w:rFonts w:ascii="Cambria" w:eastAsia="SimSun" w:hAnsi="Cambria"/>
      <w:i/>
      <w:iCs/>
      <w:color w:val="4F81BD"/>
      <w:spacing w:val="15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BF5F4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120" w:line="480" w:lineRule="auto"/>
      <w:textAlignment w:val="auto"/>
    </w:pPr>
    <w:rPr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BF5F40"/>
    <w:rPr>
      <w:rFonts w:ascii="Times New Roman" w:hAnsi="Times New Roman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F5F4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F5F4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BF5F40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5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5F40"/>
    <w:rPr>
      <w:rFonts w:ascii="Times New Roman" w:hAnsi="Times New Roman"/>
      <w:b/>
      <w:bCs/>
      <w:lang w:val="en-GB" w:eastAsia="en-US"/>
    </w:rPr>
  </w:style>
  <w:style w:type="table" w:customStyle="1" w:styleId="GridTable1Light-Accent512">
    <w:name w:val="Grid Table 1 Light - Accent 512"/>
    <w:basedOn w:val="TableNormal"/>
    <w:uiPriority w:val="46"/>
    <w:rsid w:val="00BF5F40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2">
    <w:name w:val="Grid Table 4 - Accent 112"/>
    <w:basedOn w:val="TableNormal"/>
    <w:uiPriority w:val="49"/>
    <w:rsid w:val="00BF5F40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122">
    <w:name w:val="Grid Table 4 - Accent 122"/>
    <w:basedOn w:val="TableNormal"/>
    <w:uiPriority w:val="49"/>
    <w:rsid w:val="00BF5F40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Index8">
    <w:name w:val="index 8"/>
    <w:basedOn w:val="Normal"/>
    <w:next w:val="Normal"/>
    <w:autoRedefine/>
    <w:uiPriority w:val="99"/>
    <w:unhideWhenUsed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line="259" w:lineRule="auto"/>
      <w:ind w:left="1760" w:hanging="220"/>
      <w:textAlignment w:val="auto"/>
    </w:pPr>
    <w:rPr>
      <w:rFonts w:eastAsiaTheme="minorEastAsia" w:cstheme="minorBidi"/>
      <w:sz w:val="18"/>
      <w:szCs w:val="18"/>
      <w:lang w:val="en-US" w:eastAsia="zh-CN"/>
    </w:rPr>
  </w:style>
  <w:style w:type="paragraph" w:styleId="Index9">
    <w:name w:val="index 9"/>
    <w:basedOn w:val="Normal"/>
    <w:next w:val="Normal"/>
    <w:autoRedefine/>
    <w:uiPriority w:val="99"/>
    <w:unhideWhenUsed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line="259" w:lineRule="auto"/>
      <w:ind w:left="1980" w:hanging="220"/>
      <w:textAlignment w:val="auto"/>
    </w:pPr>
    <w:rPr>
      <w:rFonts w:eastAsiaTheme="minorEastAsia" w:cstheme="minorBidi"/>
      <w:sz w:val="18"/>
      <w:szCs w:val="18"/>
      <w:lang w:val="en-US"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line="259" w:lineRule="auto"/>
      <w:ind w:left="1760"/>
      <w:textAlignment w:val="auto"/>
    </w:pPr>
    <w:rPr>
      <w:rFonts w:eastAsiaTheme="minorEastAsia" w:cstheme="minorBidi"/>
      <w:sz w:val="20"/>
      <w:lang w:val="en-US" w:eastAsia="zh-CN"/>
    </w:rPr>
  </w:style>
  <w:style w:type="table" w:customStyle="1" w:styleId="TableGrid2">
    <w:name w:val="Table Grid2"/>
    <w:basedOn w:val="TableNormal"/>
    <w:next w:val="TableGrid"/>
    <w:uiPriority w:val="39"/>
    <w:rsid w:val="00BF5F40"/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zh-CN"/>
    </w:rPr>
  </w:style>
  <w:style w:type="table" w:customStyle="1" w:styleId="-111">
    <w:name w:val="Список-таблица 1 светлая — акцент 11"/>
    <w:basedOn w:val="TableNormal"/>
    <w:uiPriority w:val="46"/>
    <w:rsid w:val="00BF5F4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11">
    <w:name w:val="Список-таблица 2 — акцент 11"/>
    <w:basedOn w:val="TableNormal"/>
    <w:uiPriority w:val="47"/>
    <w:rsid w:val="00BF5F4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511">
    <w:name w:val="Таблица-сетка 5 темная — акцент 11"/>
    <w:basedOn w:val="TableNormal"/>
    <w:uiPriority w:val="50"/>
    <w:rsid w:val="00BF5F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-411">
    <w:name w:val="Таблица-сетка 4 — акцент 11"/>
    <w:basedOn w:val="TableNormal"/>
    <w:uiPriority w:val="49"/>
    <w:rsid w:val="00BF5F4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Date">
    <w:name w:val="Date"/>
    <w:basedOn w:val="Normal"/>
    <w:next w:val="Normal"/>
    <w:link w:val="DateChar"/>
    <w:rsid w:val="00BF5F4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 w:val="24"/>
      <w:lang w:val="en-GB"/>
    </w:rPr>
  </w:style>
  <w:style w:type="character" w:customStyle="1" w:styleId="DateChar">
    <w:name w:val="Date Char"/>
    <w:basedOn w:val="DefaultParagraphFont"/>
    <w:link w:val="Date"/>
    <w:rsid w:val="00BF5F40"/>
    <w:rPr>
      <w:rFonts w:ascii="Times New Roman" w:hAnsi="Times New Roman"/>
      <w:sz w:val="24"/>
      <w:lang w:val="en-GB" w:eastAsia="en-US"/>
    </w:rPr>
  </w:style>
  <w:style w:type="table" w:customStyle="1" w:styleId="ListTable1Light-Accent11">
    <w:name w:val="List Table 1 Light - Accent 11"/>
    <w:basedOn w:val="TableNormal"/>
    <w:next w:val="-111"/>
    <w:uiPriority w:val="46"/>
    <w:rsid w:val="00BF5F4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BF5F4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F5F40"/>
  </w:style>
  <w:style w:type="character" w:customStyle="1" w:styleId="eop">
    <w:name w:val="eop"/>
    <w:basedOn w:val="DefaultParagraphFont"/>
    <w:rsid w:val="00BF5F40"/>
  </w:style>
  <w:style w:type="character" w:customStyle="1" w:styleId="scxw8478885">
    <w:name w:val="scxw8478885"/>
    <w:basedOn w:val="DefaultParagraphFont"/>
    <w:rsid w:val="00BF5F40"/>
  </w:style>
  <w:style w:type="character" w:customStyle="1" w:styleId="ms-rtethemebackcolor-1-0">
    <w:name w:val="ms-rtethemebackcolor-1-0"/>
    <w:basedOn w:val="DefaultParagraphFont"/>
    <w:rsid w:val="00BF5F40"/>
  </w:style>
  <w:style w:type="table" w:customStyle="1" w:styleId="GridTable5Dark-Accent11">
    <w:name w:val="Grid Table 5 Dark - Accent 11"/>
    <w:basedOn w:val="TableNormal"/>
    <w:next w:val="-511"/>
    <w:uiPriority w:val="50"/>
    <w:rsid w:val="00BF5F4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GridTable5Dark-Accent12">
    <w:name w:val="Grid Table 5 Dark - Accent 12"/>
    <w:basedOn w:val="TableNormal"/>
    <w:next w:val="-511"/>
    <w:uiPriority w:val="50"/>
    <w:rsid w:val="00BF5F4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character" w:customStyle="1" w:styleId="10">
    <w:name w:val="Упомянуть1"/>
    <w:basedOn w:val="DefaultParagraphFont"/>
    <w:uiPriority w:val="99"/>
    <w:unhideWhenUsed/>
    <w:rsid w:val="00BF5F40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F5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en/ITU-R/seminars/ntfa/Pages/default.aspx" TargetMode="External"/><Relationship Id="rId21" Type="http://schemas.openxmlformats.org/officeDocument/2006/relationships/image" Target="media/image4.emf"/><Relationship Id="rId42" Type="http://schemas.openxmlformats.org/officeDocument/2006/relationships/hyperlink" Target="http://www.itu.int/md/S26-SG-CIR-0006/en" TargetMode="External"/><Relationship Id="rId63" Type="http://schemas.openxmlformats.org/officeDocument/2006/relationships/hyperlink" Target="http://www.itu.int/en/ITU-R/study-groups/rcpm/Pages/wrc-31-preliminary-studies.aspx" TargetMode="External"/><Relationship Id="rId84" Type="http://schemas.openxmlformats.org/officeDocument/2006/relationships/hyperlink" Target="https://www.itu.int/md/S25-CL-C-0028/en" TargetMode="External"/><Relationship Id="rId138" Type="http://schemas.openxmlformats.org/officeDocument/2006/relationships/hyperlink" Target="https://www.itu.int/hub/pubs/itu-news-magazine" TargetMode="External"/><Relationship Id="rId107" Type="http://schemas.openxmlformats.org/officeDocument/2006/relationships/hyperlink" Target="https://www.itu.int/pub/R-REG-RR-2020" TargetMode="External"/><Relationship Id="rId11" Type="http://schemas.openxmlformats.org/officeDocument/2006/relationships/hyperlink" Target="https://council.itu.int/2025/en/" TargetMode="External"/><Relationship Id="rId32" Type="http://schemas.openxmlformats.org/officeDocument/2006/relationships/hyperlink" Target="https://www.itu.int/en/general-secretariat/ICT-Services/remoteparticipation/Pages/default.aspx" TargetMode="External"/><Relationship Id="rId53" Type="http://schemas.openxmlformats.org/officeDocument/2006/relationships/hyperlink" Target="https://www.itu.int/md/S25-CL-C-0118/en" TargetMode="External"/><Relationship Id="rId74" Type="http://schemas.openxmlformats.org/officeDocument/2006/relationships/hyperlink" Target="http://www.itu.int/iris-wrc-27/2025/" TargetMode="External"/><Relationship Id="rId128" Type="http://schemas.openxmlformats.org/officeDocument/2006/relationships/hyperlink" Target="file:///C:\Users\maloletk\Downloads\brweb@itu.int" TargetMode="External"/><Relationship Id="rId149" Type="http://schemas.openxmlformats.org/officeDocument/2006/relationships/header" Target="header5.xml"/><Relationship Id="rId5" Type="http://schemas.openxmlformats.org/officeDocument/2006/relationships/webSettings" Target="webSettings.xml"/><Relationship Id="rId95" Type="http://schemas.openxmlformats.org/officeDocument/2006/relationships/hyperlink" Target="https://www.itu.int/md/R00-CR-CIR-0526" TargetMode="External"/><Relationship Id="rId22" Type="http://schemas.openxmlformats.org/officeDocument/2006/relationships/hyperlink" Target="https://www.itu.int/md/S26-CWGFHR22-C-0021/en" TargetMode="External"/><Relationship Id="rId27" Type="http://schemas.openxmlformats.org/officeDocument/2006/relationships/hyperlink" Target="https://www.itu.int/md/S26-RCLCWGLANG17-C-0009/en" TargetMode="External"/><Relationship Id="rId43" Type="http://schemas.openxmlformats.org/officeDocument/2006/relationships/hyperlink" Target="https://www.itu.int/md/S26-CWGFHR22-C-0013/en" TargetMode="External"/><Relationship Id="rId48" Type="http://schemas.openxmlformats.org/officeDocument/2006/relationships/hyperlink" Target="https://www.itu.int/md/S24-CL-C-0134/en" TargetMode="External"/><Relationship Id="rId64" Type="http://schemas.openxmlformats.org/officeDocument/2006/relationships/hyperlink" Target="http://www.itu.int/go/rcpm-wrc-27-studies" TargetMode="External"/><Relationship Id="rId69" Type="http://schemas.openxmlformats.org/officeDocument/2006/relationships/hyperlink" Target="https://www.itu.int/net4/proposals/CPI/WRC27" TargetMode="External"/><Relationship Id="rId113" Type="http://schemas.openxmlformats.org/officeDocument/2006/relationships/header" Target="header2.xml"/><Relationship Id="rId118" Type="http://schemas.openxmlformats.org/officeDocument/2006/relationships/hyperlink" Target="https://www.itu.int/en/ITU-R/seminars/ntfa/Pages/default.aspx" TargetMode="External"/><Relationship Id="rId134" Type="http://schemas.openxmlformats.org/officeDocument/2006/relationships/hyperlink" Target="https://www.itu.int/en/mediacentre/backgrounders/Pages/default.aspx" TargetMode="External"/><Relationship Id="rId139" Type="http://schemas.openxmlformats.org/officeDocument/2006/relationships/hyperlink" Target="https://www.itu.int/hub/pubs/itu-news-magazine/" TargetMode="External"/><Relationship Id="rId80" Type="http://schemas.openxmlformats.org/officeDocument/2006/relationships/hyperlink" Target="https://www.itu.int/en/ITU-R/study-groups/rcpm/Pages/cpm-27.aspx" TargetMode="External"/><Relationship Id="rId85" Type="http://schemas.openxmlformats.org/officeDocument/2006/relationships/hyperlink" Target="https://www.itu.int/md/S25-CL-C-0115/en" TargetMode="External"/><Relationship Id="rId150" Type="http://schemas.openxmlformats.org/officeDocument/2006/relationships/footer" Target="footer2.xml"/><Relationship Id="rId12" Type="http://schemas.openxmlformats.org/officeDocument/2006/relationships/hyperlink" Target="https://council.itu.int/2025/en/" TargetMode="External"/><Relationship Id="rId17" Type="http://schemas.openxmlformats.org/officeDocument/2006/relationships/hyperlink" Target="https://www.itu.int/md/S23-CL-C-0115/en" TargetMode="External"/><Relationship Id="rId33" Type="http://schemas.openxmlformats.org/officeDocument/2006/relationships/hyperlink" Target="https://www.itu.int/md/S24-CL-C-0139/en" TargetMode="External"/><Relationship Id="rId38" Type="http://schemas.openxmlformats.org/officeDocument/2006/relationships/hyperlink" Target="https://www.itu.int/md/S26-CWGSFP4-C-0006/en" TargetMode="External"/><Relationship Id="rId59" Type="http://schemas.openxmlformats.org/officeDocument/2006/relationships/hyperlink" Target="https://www.itu.int/md/S24-SG-CIR-0049/en" TargetMode="External"/><Relationship Id="rId103" Type="http://schemas.openxmlformats.org/officeDocument/2006/relationships/hyperlink" Target="https://www.itu.int/ITU-R/BR-GeoCatalogue/?.language=en" TargetMode="External"/><Relationship Id="rId108" Type="http://schemas.openxmlformats.org/officeDocument/2006/relationships/hyperlink" Target="https://www.itu.int/en/publications/ITU-R/pages/publications.aspx?parent=R-REG-RR-2024&amp;media=electronic" TargetMode="External"/><Relationship Id="rId124" Type="http://schemas.openxmlformats.org/officeDocument/2006/relationships/hyperlink" Target="https://www.itu.int/en/ITU-R/study-groups/Pages/itu-r-patent-information.aspx" TargetMode="External"/><Relationship Id="rId129" Type="http://schemas.openxmlformats.org/officeDocument/2006/relationships/hyperlink" Target="mailto:brweb@itu.int" TargetMode="External"/><Relationship Id="rId54" Type="http://schemas.openxmlformats.org/officeDocument/2006/relationships/hyperlink" Target="https://www.itu.int/md/S24-CL-C-0125/en" TargetMode="External"/><Relationship Id="rId70" Type="http://schemas.openxmlformats.org/officeDocument/2006/relationships/hyperlink" Target="http://www.itu.int/en/ITU-R/conferences/wrc/2027/Pages/reg-prep.aspx" TargetMode="External"/><Relationship Id="rId75" Type="http://schemas.openxmlformats.org/officeDocument/2006/relationships/hyperlink" Target="http://www.itu.int/iris-wrc-27/" TargetMode="External"/><Relationship Id="rId91" Type="http://schemas.openxmlformats.org/officeDocument/2006/relationships/hyperlink" Target="https://www.itu.int/md/R00-CR-CIR-0516/en" TargetMode="External"/><Relationship Id="rId96" Type="http://schemas.openxmlformats.org/officeDocument/2006/relationships/hyperlink" Target="https://itu.int/space-argus/" TargetMode="External"/><Relationship Id="rId140" Type="http://schemas.openxmlformats.org/officeDocument/2006/relationships/image" Target="media/image8.png"/><Relationship Id="rId145" Type="http://schemas.openxmlformats.org/officeDocument/2006/relationships/hyperlink" Target="https://www.itu.int/now4wrc27/mentoring-programm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itu.int/md/S26-CWGFHR22-C-0021/en" TargetMode="External"/><Relationship Id="rId28" Type="http://schemas.openxmlformats.org/officeDocument/2006/relationships/hyperlink" Target="https://www.itu.int/md/S25-CL-C-0012/en" TargetMode="External"/><Relationship Id="rId49" Type="http://schemas.openxmlformats.org/officeDocument/2006/relationships/hyperlink" Target="https://www.itu.int/md/S24-CL-C-0134/en" TargetMode="External"/><Relationship Id="rId114" Type="http://schemas.openxmlformats.org/officeDocument/2006/relationships/header" Target="header3.xml"/><Relationship Id="rId119" Type="http://schemas.openxmlformats.org/officeDocument/2006/relationships/hyperlink" Target="https://www.itu.int/dms_pub/itu-r/oth/0a/0e/R0A0E0000EC0001PDFE.pdf" TargetMode="External"/><Relationship Id="rId44" Type="http://schemas.openxmlformats.org/officeDocument/2006/relationships/hyperlink" Target="https://www.itu.int/md/S26-CWGFHR22-C-0013/en" TargetMode="External"/><Relationship Id="rId60" Type="http://schemas.openxmlformats.org/officeDocument/2006/relationships/hyperlink" Target="http://www.itu.int/wrc-27/" TargetMode="External"/><Relationship Id="rId65" Type="http://schemas.openxmlformats.org/officeDocument/2006/relationships/hyperlink" Target="http://www.itu.int/en/ITU-R/study-groups/rcpm/Pages/wrc-31-preliminary-studies.aspx" TargetMode="External"/><Relationship Id="rId81" Type="http://schemas.openxmlformats.org/officeDocument/2006/relationships/hyperlink" Target="https://www.itu.int/en/ITU-R/study-groups/rcpm/Pages/cpm-27.aspx" TargetMode="External"/><Relationship Id="rId86" Type="http://schemas.openxmlformats.org/officeDocument/2006/relationships/hyperlink" Target="https://www.itu.int/md/R23-RAG-C-0062/en" TargetMode="External"/><Relationship Id="rId130" Type="http://schemas.openxmlformats.org/officeDocument/2006/relationships/hyperlink" Target="https://www.itu.int/hub/?s=Maniewicz&amp;by_time=last_year" TargetMode="External"/><Relationship Id="rId135" Type="http://schemas.openxmlformats.org/officeDocument/2006/relationships/hyperlink" Target="https://www.itu.int/en/mediacentre/backgrounders/Pages/default.aspx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www.itu.int/md/S25-CL-C-0016/en" TargetMode="External"/><Relationship Id="rId18" Type="http://schemas.openxmlformats.org/officeDocument/2006/relationships/hyperlink" Target="https://www.itu.int/md/S23-CL-C-0115/en" TargetMode="External"/><Relationship Id="rId39" Type="http://schemas.openxmlformats.org/officeDocument/2006/relationships/hyperlink" Target="https://www.itu.int/md/R23-RAG-C-0055/en" TargetMode="External"/><Relationship Id="rId109" Type="http://schemas.openxmlformats.org/officeDocument/2006/relationships/header" Target="header1.xml"/><Relationship Id="rId34" Type="http://schemas.openxmlformats.org/officeDocument/2006/relationships/hyperlink" Target="https://www.itu.int/md/S24-CL-C-0139/en" TargetMode="External"/><Relationship Id="rId50" Type="http://schemas.openxmlformats.org/officeDocument/2006/relationships/hyperlink" Target="https://www.itu.int/md/S24-CL-C-0109/en" TargetMode="External"/><Relationship Id="rId55" Type="http://schemas.openxmlformats.org/officeDocument/2006/relationships/hyperlink" Target="https://www.itu.int/md/S24-SG-CIR-0038/en" TargetMode="External"/><Relationship Id="rId76" Type="http://schemas.openxmlformats.org/officeDocument/2006/relationships/hyperlink" Target="https://www.itu.int/iris-wrc-27/2025/" TargetMode="External"/><Relationship Id="rId97" Type="http://schemas.openxmlformats.org/officeDocument/2006/relationships/hyperlink" Target="https://www.itu.int/md/R23-WP4A-C-0343/en" TargetMode="External"/><Relationship Id="rId104" Type="http://schemas.openxmlformats.org/officeDocument/2006/relationships/hyperlink" Target="https://www.itu.int/ITU-R/BR-GeoCatalogue/?.language=en" TargetMode="External"/><Relationship Id="rId120" Type="http://schemas.openxmlformats.org/officeDocument/2006/relationships/hyperlink" Target="https://www.itu.int/dms_pub/itu-r/oth/0a/0e/R0A0E0000EC0001PDFE.pdf" TargetMode="External"/><Relationship Id="rId125" Type="http://schemas.openxmlformats.org/officeDocument/2006/relationships/hyperlink" Target="https://www.itu.int/pub/R-RES-R.9" TargetMode="External"/><Relationship Id="rId141" Type="http://schemas.openxmlformats.org/officeDocument/2006/relationships/hyperlink" Target="https://www.itu.int/pub/R-RES-R.72/ru" TargetMode="External"/><Relationship Id="rId146" Type="http://schemas.openxmlformats.org/officeDocument/2006/relationships/hyperlink" Target="https://www.itu.int/now4wrc27/mentoring-programm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tu.int/en/ITU-R/conferences/wrc/2027/Pages/reg-prep.aspx" TargetMode="External"/><Relationship Id="rId92" Type="http://schemas.openxmlformats.org/officeDocument/2006/relationships/hyperlink" Target="https://www.itu.int/ITU-R/terrasys/doc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tu.int/md/S25-CL-INF-0007/en" TargetMode="External"/><Relationship Id="rId24" Type="http://schemas.openxmlformats.org/officeDocument/2006/relationships/image" Target="media/image5.png"/><Relationship Id="rId40" Type="http://schemas.openxmlformats.org/officeDocument/2006/relationships/hyperlink" Target="https://www.itu.int/md/R23-RAG-C-0055/en" TargetMode="External"/><Relationship Id="rId45" Type="http://schemas.openxmlformats.org/officeDocument/2006/relationships/hyperlink" Target="https://www.itu.int/md/S24-CL-C-0063/en" TargetMode="External"/><Relationship Id="rId66" Type="http://schemas.openxmlformats.org/officeDocument/2006/relationships/hyperlink" Target="https://www.itu.int/md/R23-WP4A-C-0840/en" TargetMode="External"/><Relationship Id="rId87" Type="http://schemas.openxmlformats.org/officeDocument/2006/relationships/hyperlink" Target="https://www.itu.int/md/R23-RAG-C-0062/en" TargetMode="External"/><Relationship Id="rId110" Type="http://schemas.openxmlformats.org/officeDocument/2006/relationships/hyperlink" Target="https://atuuat.africa/" TargetMode="External"/><Relationship Id="rId115" Type="http://schemas.openxmlformats.org/officeDocument/2006/relationships/header" Target="header4.xml"/><Relationship Id="rId131" Type="http://schemas.openxmlformats.org/officeDocument/2006/relationships/hyperlink" Target="https://www.itu.int/hub/?s=Maniewicz&amp;by_time=last_year" TargetMode="External"/><Relationship Id="rId136" Type="http://schemas.openxmlformats.org/officeDocument/2006/relationships/hyperlink" Target="https://www.itu.int/ru/ITU-R/Director/Pages/default.aspx" TargetMode="External"/><Relationship Id="rId61" Type="http://schemas.openxmlformats.org/officeDocument/2006/relationships/hyperlink" Target="http://www.itu.int/wrc-27/" TargetMode="External"/><Relationship Id="rId82" Type="http://schemas.openxmlformats.org/officeDocument/2006/relationships/hyperlink" Target="https://www.itu.int/md/S25-CL-C-0028/en" TargetMode="External"/><Relationship Id="rId152" Type="http://schemas.openxmlformats.org/officeDocument/2006/relationships/theme" Target="theme/theme1.xml"/><Relationship Id="rId19" Type="http://schemas.openxmlformats.org/officeDocument/2006/relationships/image" Target="media/image2.emf"/><Relationship Id="rId14" Type="http://schemas.openxmlformats.org/officeDocument/2006/relationships/hyperlink" Target="https://www.itu.int/md/S25-CL-C-0016/en" TargetMode="External"/><Relationship Id="rId30" Type="http://schemas.openxmlformats.org/officeDocument/2006/relationships/hyperlink" Target="https://www.itu.int/md/S26-RCLCWGLANG17-C-0009/en" TargetMode="External"/><Relationship Id="rId35" Type="http://schemas.openxmlformats.org/officeDocument/2006/relationships/hyperlink" Target="https://www.itu.int/md/R23-RAG-C-0051/en" TargetMode="External"/><Relationship Id="rId56" Type="http://schemas.openxmlformats.org/officeDocument/2006/relationships/hyperlink" Target="https://www.itu.int/md/S24-SG-CIR-0049/en" TargetMode="External"/><Relationship Id="rId77" Type="http://schemas.openxmlformats.org/officeDocument/2006/relationships/hyperlink" Target="https://www.itu.int/iris-wrc-27/2025/" TargetMode="External"/><Relationship Id="rId100" Type="http://schemas.openxmlformats.org/officeDocument/2006/relationships/hyperlink" Target="https://www.itu.int/md/R23-WP4A-C-0830/en" TargetMode="External"/><Relationship Id="rId105" Type="http://schemas.openxmlformats.org/officeDocument/2006/relationships/hyperlink" Target="https://www.itu.int/pub/R-REG-RR-2020" TargetMode="External"/><Relationship Id="rId126" Type="http://schemas.openxmlformats.org/officeDocument/2006/relationships/hyperlink" Target="https://www.itu.int/en/ITU-R/study-groups/Pages/itu-r-patent-information.aspx" TargetMode="External"/><Relationship Id="rId147" Type="http://schemas.openxmlformats.org/officeDocument/2006/relationships/hyperlink" Target="https://www.itu.int/now4wrc27/mentoring-programme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itu.int/md/S24-CL-C-0109/en" TargetMode="External"/><Relationship Id="rId72" Type="http://schemas.openxmlformats.org/officeDocument/2006/relationships/hyperlink" Target="https://www.itu.int/iris-wrc-27/2025/" TargetMode="External"/><Relationship Id="rId93" Type="http://schemas.openxmlformats.org/officeDocument/2006/relationships/hyperlink" Target="https://www.itu.int/md/R00-CR-CIR-0516/en" TargetMode="External"/><Relationship Id="rId98" Type="http://schemas.openxmlformats.org/officeDocument/2006/relationships/hyperlink" Target="https://www.itu.int/md/R23-WP4A-C-0830/en" TargetMode="External"/><Relationship Id="rId121" Type="http://schemas.openxmlformats.org/officeDocument/2006/relationships/hyperlink" Target="https://www.itu.int/pub/R-RES-R.75/ru" TargetMode="External"/><Relationship Id="rId142" Type="http://schemas.openxmlformats.org/officeDocument/2006/relationships/hyperlink" Target="https://www.itu.int/pub/R-RES-R.72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itu.int/md/S25-CL-C-0012/en" TargetMode="External"/><Relationship Id="rId46" Type="http://schemas.openxmlformats.org/officeDocument/2006/relationships/hyperlink" Target="https://www.itu.int/md/S24-CL-C-0063/en" TargetMode="External"/><Relationship Id="rId67" Type="http://schemas.openxmlformats.org/officeDocument/2006/relationships/hyperlink" Target="https://www.itu.int/net4/proposals/CPI/WRC27" TargetMode="External"/><Relationship Id="rId116" Type="http://schemas.openxmlformats.org/officeDocument/2006/relationships/footer" Target="footer1.xml"/><Relationship Id="rId137" Type="http://schemas.openxmlformats.org/officeDocument/2006/relationships/hyperlink" Target="https://www.itu.int/en/ITU-R/Director/Pages/default.aspx" TargetMode="External"/><Relationship Id="rId20" Type="http://schemas.openxmlformats.org/officeDocument/2006/relationships/image" Target="media/image3.png"/><Relationship Id="rId41" Type="http://schemas.openxmlformats.org/officeDocument/2006/relationships/hyperlink" Target="http://www.itu.int/md/S26-SG-CIR-0006/en" TargetMode="External"/><Relationship Id="rId62" Type="http://schemas.openxmlformats.org/officeDocument/2006/relationships/hyperlink" Target="http://www.itu.int/go/rcpm-wrc-27-studies" TargetMode="External"/><Relationship Id="rId83" Type="http://schemas.openxmlformats.org/officeDocument/2006/relationships/hyperlink" Target="https://www.itu.int/md/S25-CL-C-0115/en" TargetMode="External"/><Relationship Id="rId88" Type="http://schemas.openxmlformats.org/officeDocument/2006/relationships/hyperlink" Target="https://www.itu.int/ITU-R/terrasys" TargetMode="External"/><Relationship Id="rId111" Type="http://schemas.openxmlformats.org/officeDocument/2006/relationships/hyperlink" Target="https://ctu.int/" TargetMode="External"/><Relationship Id="rId132" Type="http://schemas.openxmlformats.org/officeDocument/2006/relationships/hyperlink" Target="https://www.itu.int/ru/ITU-R/Pages/default.aspx" TargetMode="External"/><Relationship Id="rId15" Type="http://schemas.openxmlformats.org/officeDocument/2006/relationships/hyperlink" Target="https://www.itu.int/md/S26-CWGFHR22-C-0036/en" TargetMode="External"/><Relationship Id="rId36" Type="http://schemas.openxmlformats.org/officeDocument/2006/relationships/hyperlink" Target="https://www.itu.int/md/R23-RAG-C-0051/en" TargetMode="External"/><Relationship Id="rId57" Type="http://schemas.openxmlformats.org/officeDocument/2006/relationships/hyperlink" Target="https://www.itu.int/md/S24-CL-C-0125/en" TargetMode="External"/><Relationship Id="rId106" Type="http://schemas.openxmlformats.org/officeDocument/2006/relationships/hyperlink" Target="https://www.itu.int/en/publications/ITU-R/pages/publications.aspx?parent=R-REG-RR-2024&amp;media=electronic" TargetMode="External"/><Relationship Id="rId127" Type="http://schemas.openxmlformats.org/officeDocument/2006/relationships/image" Target="media/image7.png"/><Relationship Id="rId10" Type="http://schemas.openxmlformats.org/officeDocument/2006/relationships/hyperlink" Target="https://www.itu.int/md/R00-CA-CIR-0280/en" TargetMode="External"/><Relationship Id="rId31" Type="http://schemas.openxmlformats.org/officeDocument/2006/relationships/hyperlink" Target="https://www.itu.int/en/general-secretariat/ICT-Services/remoteparticipation/Pages/default.aspx" TargetMode="External"/><Relationship Id="rId52" Type="http://schemas.openxmlformats.org/officeDocument/2006/relationships/hyperlink" Target="https://www.itu.int/md/S25-CL-C-0118/en" TargetMode="External"/><Relationship Id="rId73" Type="http://schemas.openxmlformats.org/officeDocument/2006/relationships/hyperlink" Target="https://www.itu.int/iris-wrc-27/2025/" TargetMode="External"/><Relationship Id="rId78" Type="http://schemas.openxmlformats.org/officeDocument/2006/relationships/hyperlink" Target="http://www.itu.int/iris-wrc-27/2025/" TargetMode="External"/><Relationship Id="rId94" Type="http://schemas.openxmlformats.org/officeDocument/2006/relationships/hyperlink" Target="https://www.itu.int/md/R00-CR-CIR-0526" TargetMode="External"/><Relationship Id="rId99" Type="http://schemas.openxmlformats.org/officeDocument/2006/relationships/hyperlink" Target="https://www.itu.int/md/R23-WP4A-C-0343/en" TargetMode="External"/><Relationship Id="rId101" Type="http://schemas.openxmlformats.org/officeDocument/2006/relationships/hyperlink" Target="https://www.itu.int/md/R00-CR-CIR-0511/en" TargetMode="External"/><Relationship Id="rId122" Type="http://schemas.openxmlformats.org/officeDocument/2006/relationships/hyperlink" Target="https://www.itu.int/pub/R-RES-R.75" TargetMode="External"/><Relationship Id="rId143" Type="http://schemas.openxmlformats.org/officeDocument/2006/relationships/hyperlink" Target="https://www.itu.int/now4wrc27" TargetMode="External"/><Relationship Id="rId148" Type="http://schemas.openxmlformats.org/officeDocument/2006/relationships/hyperlink" Target="https://www.itu.int/now4wrc27/mentoring-program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-CIR-0280/en" TargetMode="External"/><Relationship Id="rId26" Type="http://schemas.openxmlformats.org/officeDocument/2006/relationships/hyperlink" Target="https://www.itu.int/md/S25-CL-INF-0007/en" TargetMode="External"/><Relationship Id="rId47" Type="http://schemas.openxmlformats.org/officeDocument/2006/relationships/image" Target="media/image6.emf"/><Relationship Id="rId68" Type="http://schemas.openxmlformats.org/officeDocument/2006/relationships/hyperlink" Target="https://www.itu.int/md/R23-WP4A-C-0840/en" TargetMode="External"/><Relationship Id="rId89" Type="http://schemas.openxmlformats.org/officeDocument/2006/relationships/hyperlink" Target="https://www.itu.int/ITU-R/terrasys" TargetMode="External"/><Relationship Id="rId112" Type="http://schemas.openxmlformats.org/officeDocument/2006/relationships/hyperlink" Target="https://www.apt.int/" TargetMode="External"/><Relationship Id="rId133" Type="http://schemas.openxmlformats.org/officeDocument/2006/relationships/hyperlink" Target="https://www.itu.int/en/ITU-R/Pages/default.aspx" TargetMode="External"/><Relationship Id="rId16" Type="http://schemas.openxmlformats.org/officeDocument/2006/relationships/hyperlink" Target="https://www.itu.int/md/S26-CWGFHR22-C-0036/en" TargetMode="External"/><Relationship Id="rId37" Type="http://schemas.openxmlformats.org/officeDocument/2006/relationships/hyperlink" Target="https://www.itu.int/md/S26-CWGSFP4-C-0006/en" TargetMode="External"/><Relationship Id="rId58" Type="http://schemas.openxmlformats.org/officeDocument/2006/relationships/hyperlink" Target="https://www.itu.int/md/S24-SG-CIR-0038/en" TargetMode="External"/><Relationship Id="rId79" Type="http://schemas.openxmlformats.org/officeDocument/2006/relationships/hyperlink" Target="http://www.itu.int/iris-wrc-27/" TargetMode="External"/><Relationship Id="rId102" Type="http://schemas.openxmlformats.org/officeDocument/2006/relationships/hyperlink" Target="https://www.itu.int/md/R00-CR-CIR-0511/en" TargetMode="External"/><Relationship Id="rId123" Type="http://schemas.openxmlformats.org/officeDocument/2006/relationships/hyperlink" Target="https://www.itu.int/pub/R-RES-R.9/ru" TargetMode="External"/><Relationship Id="rId144" Type="http://schemas.openxmlformats.org/officeDocument/2006/relationships/hyperlink" Target="https://www.itu.int/now4wrc27" TargetMode="External"/><Relationship Id="rId90" Type="http://schemas.openxmlformats.org/officeDocument/2006/relationships/hyperlink" Target="https://www.itu.int/ITU-R/terrasys/docs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initiatives/gender-equality/gender-dashboard/" TargetMode="External"/><Relationship Id="rId1" Type="http://schemas.openxmlformats.org/officeDocument/2006/relationships/hyperlink" Target="https://www.itu.int/initiatives/gender-equality/gender-dashboar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BR\PR_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22B9C-C45D-4A32-951E-C952C2AD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PR_RAG.dotx</Template>
  <TotalTime>372</TotalTime>
  <Pages>34</Pages>
  <Words>14071</Words>
  <Characters>80210</Characters>
  <Application>Microsoft Office Word</Application>
  <DocSecurity>0</DocSecurity>
  <Lines>668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94093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Russian</dc:creator>
  <cp:keywords>RAG03-1</cp:keywords>
  <dc:description>Document RAG08-1/1-E  For: _x000d_Document date: 12 December 2007_x000d_Saved by JJF44233 at 15:38:46 on 18/12/2007</dc:description>
  <cp:lastModifiedBy>NA</cp:lastModifiedBy>
  <cp:revision>12</cp:revision>
  <cp:lastPrinted>2011-05-23T08:58:00Z</cp:lastPrinted>
  <dcterms:created xsi:type="dcterms:W3CDTF">2026-03-09T09:06:00Z</dcterms:created>
  <dcterms:modified xsi:type="dcterms:W3CDTF">2026-03-09T15:27:00Z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