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CFE2" w14:textId="77777777" w:rsidR="00A60948" w:rsidRPr="00E15C2C" w:rsidRDefault="00A60948" w:rsidP="00A60948"/>
    <w:tbl>
      <w:tblPr>
        <w:tblpPr w:leftFromText="180" w:rightFromText="180" w:tblpY="-766"/>
        <w:tblW w:w="9889" w:type="dxa"/>
        <w:tblLayout w:type="fixed"/>
        <w:tblLook w:val="0000" w:firstRow="0" w:lastRow="0" w:firstColumn="0" w:lastColumn="0" w:noHBand="0" w:noVBand="0"/>
      </w:tblPr>
      <w:tblGrid>
        <w:gridCol w:w="6771"/>
        <w:gridCol w:w="3118"/>
      </w:tblGrid>
      <w:tr w:rsidR="00D65006" w:rsidRPr="00E15C2C" w14:paraId="5CD65C15" w14:textId="77777777" w:rsidTr="000E71BC">
        <w:trPr>
          <w:cantSplit/>
        </w:trPr>
        <w:tc>
          <w:tcPr>
            <w:tcW w:w="6771" w:type="dxa"/>
            <w:vAlign w:val="center"/>
          </w:tcPr>
          <w:p w14:paraId="490790D0" w14:textId="77777777" w:rsidR="00D65006" w:rsidRPr="00E15C2C" w:rsidRDefault="00D65006" w:rsidP="000E71BC">
            <w:pPr>
              <w:shd w:val="solid" w:color="FFFFFF" w:fill="FFFFFF"/>
              <w:spacing w:before="360" w:after="240"/>
              <w:rPr>
                <w:rFonts w:ascii="Verdana" w:hAnsi="Verdana"/>
                <w:b/>
                <w:bCs/>
              </w:rPr>
            </w:pPr>
            <w:r w:rsidRPr="00E15C2C">
              <w:rPr>
                <w:rFonts w:ascii="Verdana" w:hAnsi="Verdana" w:cs="Times New Roman Bold"/>
                <w:b/>
                <w:sz w:val="25"/>
                <w:szCs w:val="25"/>
              </w:rPr>
              <w:t>Groupe Consultatif des Radiocommunications</w:t>
            </w:r>
            <w:r w:rsidRPr="00E15C2C">
              <w:rPr>
                <w:rFonts w:ascii="Verdana" w:hAnsi="Verdana"/>
                <w:b/>
                <w:sz w:val="25"/>
                <w:szCs w:val="25"/>
              </w:rPr>
              <w:br/>
            </w:r>
          </w:p>
        </w:tc>
        <w:tc>
          <w:tcPr>
            <w:tcW w:w="3118" w:type="dxa"/>
          </w:tcPr>
          <w:p w14:paraId="424B4657" w14:textId="77777777" w:rsidR="00D65006" w:rsidRPr="00E15C2C" w:rsidRDefault="00D65006" w:rsidP="000E71BC">
            <w:pPr>
              <w:shd w:val="solid" w:color="FFFFFF" w:fill="FFFFFF"/>
              <w:spacing w:before="0" w:line="240" w:lineRule="atLeast"/>
            </w:pPr>
            <w:r w:rsidRPr="00E15C2C">
              <w:rPr>
                <w:lang w:eastAsia="zh-CN"/>
              </w:rPr>
              <w:drawing>
                <wp:inline distT="0" distB="0" distL="0" distR="0" wp14:anchorId="11C57AC9" wp14:editId="60043B0C">
                  <wp:extent cx="844492" cy="844492"/>
                  <wp:effectExtent l="0" t="0" r="0" b="0"/>
                  <wp:docPr id="1" name="Picture 1"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D65006" w:rsidRPr="00E15C2C" w14:paraId="63485F9E" w14:textId="77777777" w:rsidTr="000E71BC">
        <w:trPr>
          <w:cantSplit/>
        </w:trPr>
        <w:tc>
          <w:tcPr>
            <w:tcW w:w="6771" w:type="dxa"/>
            <w:tcBorders>
              <w:bottom w:val="single" w:sz="12" w:space="0" w:color="auto"/>
            </w:tcBorders>
          </w:tcPr>
          <w:p w14:paraId="269781B9" w14:textId="77777777" w:rsidR="00D65006" w:rsidRPr="00E15C2C" w:rsidRDefault="00D65006" w:rsidP="000E71BC">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1D5865DC" w14:textId="77777777" w:rsidR="00D65006" w:rsidRPr="00E15C2C" w:rsidRDefault="00D65006" w:rsidP="000E71BC">
            <w:pPr>
              <w:shd w:val="solid" w:color="FFFFFF" w:fill="FFFFFF"/>
              <w:spacing w:before="0" w:after="48" w:line="240" w:lineRule="atLeast"/>
              <w:rPr>
                <w:sz w:val="22"/>
                <w:szCs w:val="22"/>
              </w:rPr>
            </w:pPr>
          </w:p>
        </w:tc>
      </w:tr>
      <w:tr w:rsidR="00D65006" w:rsidRPr="00E15C2C" w14:paraId="4CAA3250" w14:textId="77777777" w:rsidTr="000E71BC">
        <w:trPr>
          <w:cantSplit/>
        </w:trPr>
        <w:tc>
          <w:tcPr>
            <w:tcW w:w="6771" w:type="dxa"/>
            <w:tcBorders>
              <w:top w:val="single" w:sz="12" w:space="0" w:color="auto"/>
            </w:tcBorders>
          </w:tcPr>
          <w:p w14:paraId="6A89212A" w14:textId="77777777" w:rsidR="00D65006" w:rsidRPr="00E15C2C" w:rsidRDefault="00D65006" w:rsidP="000E71BC">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29CA3043" w14:textId="77777777" w:rsidR="00D65006" w:rsidRPr="00E15C2C" w:rsidRDefault="00D65006" w:rsidP="000E71BC">
            <w:pPr>
              <w:shd w:val="solid" w:color="FFFFFF" w:fill="FFFFFF"/>
              <w:spacing w:before="0" w:after="48" w:line="240" w:lineRule="atLeast"/>
              <w:rPr>
                <w:rFonts w:ascii="Verdana" w:hAnsi="Verdana"/>
                <w:sz w:val="22"/>
                <w:szCs w:val="22"/>
              </w:rPr>
            </w:pPr>
          </w:p>
        </w:tc>
      </w:tr>
      <w:tr w:rsidR="00D65006" w:rsidRPr="00E15C2C" w14:paraId="1E7134DA" w14:textId="77777777" w:rsidTr="000E71BC">
        <w:trPr>
          <w:cantSplit/>
        </w:trPr>
        <w:tc>
          <w:tcPr>
            <w:tcW w:w="6771" w:type="dxa"/>
            <w:vMerge w:val="restart"/>
          </w:tcPr>
          <w:p w14:paraId="3858F4D7" w14:textId="77777777" w:rsidR="00D65006" w:rsidRPr="00E15C2C" w:rsidRDefault="00D65006" w:rsidP="000E71BC">
            <w:pPr>
              <w:shd w:val="solid" w:color="FFFFFF" w:fill="FFFFFF"/>
              <w:spacing w:before="0" w:line="240" w:lineRule="atLeast"/>
              <w:rPr>
                <w:rFonts w:ascii="Verdana" w:hAnsi="Verdana"/>
                <w:sz w:val="20"/>
              </w:rPr>
            </w:pPr>
          </w:p>
        </w:tc>
        <w:tc>
          <w:tcPr>
            <w:tcW w:w="3118" w:type="dxa"/>
          </w:tcPr>
          <w:p w14:paraId="47B5A469" w14:textId="20A552C3" w:rsidR="00D65006" w:rsidRPr="00E15C2C" w:rsidRDefault="00D65006" w:rsidP="000E71BC">
            <w:pPr>
              <w:shd w:val="solid" w:color="FFFFFF" w:fill="FFFFFF"/>
              <w:spacing w:before="0" w:line="240" w:lineRule="atLeast"/>
              <w:rPr>
                <w:rFonts w:ascii="Verdana" w:hAnsi="Verdana"/>
                <w:b/>
                <w:bCs/>
                <w:sz w:val="20"/>
              </w:rPr>
            </w:pPr>
            <w:r w:rsidRPr="00E15C2C">
              <w:rPr>
                <w:rFonts w:ascii="Verdana" w:hAnsi="Verdana"/>
                <w:b/>
                <w:bCs/>
                <w:sz w:val="20"/>
              </w:rPr>
              <w:t>Document RAG/58-F</w:t>
            </w:r>
          </w:p>
        </w:tc>
      </w:tr>
      <w:tr w:rsidR="00D65006" w:rsidRPr="00E15C2C" w14:paraId="201D5B13" w14:textId="77777777" w:rsidTr="000E71BC">
        <w:trPr>
          <w:cantSplit/>
        </w:trPr>
        <w:tc>
          <w:tcPr>
            <w:tcW w:w="6771" w:type="dxa"/>
            <w:vMerge/>
          </w:tcPr>
          <w:p w14:paraId="78054777" w14:textId="77777777" w:rsidR="00D65006" w:rsidRPr="00E15C2C" w:rsidRDefault="00D65006" w:rsidP="000E71BC">
            <w:pPr>
              <w:spacing w:before="60"/>
              <w:jc w:val="center"/>
              <w:rPr>
                <w:b/>
                <w:smallCaps/>
                <w:sz w:val="32"/>
              </w:rPr>
            </w:pPr>
          </w:p>
        </w:tc>
        <w:tc>
          <w:tcPr>
            <w:tcW w:w="3118" w:type="dxa"/>
          </w:tcPr>
          <w:p w14:paraId="7D9389E0" w14:textId="1F77CD0B" w:rsidR="00D65006" w:rsidRPr="00E15C2C" w:rsidRDefault="00D65006" w:rsidP="000E71BC">
            <w:pPr>
              <w:shd w:val="solid" w:color="FFFFFF" w:fill="FFFFFF"/>
              <w:spacing w:before="0" w:line="240" w:lineRule="atLeast"/>
              <w:rPr>
                <w:rFonts w:ascii="Verdana" w:hAnsi="Verdana"/>
                <w:b/>
                <w:bCs/>
                <w:sz w:val="20"/>
              </w:rPr>
            </w:pPr>
            <w:r w:rsidRPr="00E15C2C">
              <w:rPr>
                <w:rFonts w:ascii="Verdana" w:hAnsi="Verdana"/>
                <w:b/>
                <w:bCs/>
                <w:sz w:val="20"/>
              </w:rPr>
              <w:t>19 février 2026</w:t>
            </w:r>
          </w:p>
        </w:tc>
      </w:tr>
      <w:tr w:rsidR="00D65006" w:rsidRPr="00E15C2C" w14:paraId="6288C28C" w14:textId="77777777" w:rsidTr="000E71BC">
        <w:trPr>
          <w:cantSplit/>
        </w:trPr>
        <w:tc>
          <w:tcPr>
            <w:tcW w:w="6771" w:type="dxa"/>
            <w:vMerge/>
          </w:tcPr>
          <w:p w14:paraId="213BB5C1" w14:textId="77777777" w:rsidR="00D65006" w:rsidRPr="00E15C2C" w:rsidRDefault="00D65006" w:rsidP="000E71BC">
            <w:pPr>
              <w:spacing w:before="60"/>
              <w:jc w:val="center"/>
              <w:rPr>
                <w:b/>
                <w:smallCaps/>
                <w:sz w:val="32"/>
              </w:rPr>
            </w:pPr>
          </w:p>
        </w:tc>
        <w:tc>
          <w:tcPr>
            <w:tcW w:w="3118" w:type="dxa"/>
          </w:tcPr>
          <w:p w14:paraId="0AB87C64" w14:textId="7E669408" w:rsidR="00D65006" w:rsidRPr="00E15C2C" w:rsidRDefault="00D65006" w:rsidP="000E71BC">
            <w:pPr>
              <w:shd w:val="solid" w:color="FFFFFF" w:fill="FFFFFF"/>
              <w:spacing w:before="0" w:after="120" w:line="240" w:lineRule="atLeast"/>
              <w:rPr>
                <w:rFonts w:ascii="Verdana" w:hAnsi="Verdana"/>
                <w:b/>
                <w:bCs/>
                <w:sz w:val="20"/>
              </w:rPr>
            </w:pPr>
            <w:r w:rsidRPr="00E15C2C">
              <w:rPr>
                <w:rFonts w:ascii="Verdana" w:hAnsi="Verdana"/>
                <w:b/>
                <w:bCs/>
                <w:sz w:val="20"/>
              </w:rPr>
              <w:t>Original: anglais</w:t>
            </w:r>
          </w:p>
        </w:tc>
      </w:tr>
      <w:tr w:rsidR="00D65006" w:rsidRPr="00E15C2C" w14:paraId="0F4A51C7" w14:textId="77777777" w:rsidTr="000E71BC">
        <w:trPr>
          <w:cantSplit/>
        </w:trPr>
        <w:tc>
          <w:tcPr>
            <w:tcW w:w="9889" w:type="dxa"/>
            <w:gridSpan w:val="2"/>
          </w:tcPr>
          <w:p w14:paraId="339C53DF" w14:textId="788E9835" w:rsidR="00D65006" w:rsidRPr="00E15C2C" w:rsidRDefault="00D65006" w:rsidP="000E71BC">
            <w:pPr>
              <w:pStyle w:val="Source"/>
            </w:pPr>
            <w:r w:rsidRPr="00E15C2C">
              <w:t>Directeur du Bureau des radiocommunications</w:t>
            </w:r>
          </w:p>
        </w:tc>
      </w:tr>
      <w:tr w:rsidR="00D65006" w:rsidRPr="00E15C2C" w14:paraId="1AD13B17" w14:textId="77777777" w:rsidTr="000E71BC">
        <w:trPr>
          <w:cantSplit/>
        </w:trPr>
        <w:tc>
          <w:tcPr>
            <w:tcW w:w="9889" w:type="dxa"/>
            <w:gridSpan w:val="2"/>
          </w:tcPr>
          <w:p w14:paraId="313008E0" w14:textId="2F099593" w:rsidR="00D65006" w:rsidRPr="00E15C2C" w:rsidRDefault="00D65006" w:rsidP="000E71BC">
            <w:pPr>
              <w:pStyle w:val="Title1"/>
            </w:pPr>
            <w:r w:rsidRPr="00E15C2C">
              <w:t>RAPPORT À LA TRENTE-TROISIÈME RÉUNION DU GROUPE CONSULTATIF DES RADIOCOMMUNICATIONS</w:t>
            </w:r>
          </w:p>
        </w:tc>
      </w:tr>
    </w:tbl>
    <w:p w14:paraId="64ABBFA6" w14:textId="4F4EAF66" w:rsidR="00D65006" w:rsidRPr="00E15C2C" w:rsidRDefault="00D65006" w:rsidP="00D65006">
      <w:r w:rsidRPr="00E15C2C">
        <w:br w:type="page"/>
      </w:r>
    </w:p>
    <w:p w14:paraId="6E589E20" w14:textId="77777777" w:rsidR="00D65006" w:rsidRPr="00E15C2C" w:rsidRDefault="00D65006" w:rsidP="00D65006">
      <w:pPr>
        <w:pStyle w:val="Title4"/>
      </w:pPr>
      <w:r w:rsidRPr="00E15C2C">
        <w:lastRenderedPageBreak/>
        <w:t>Table des matières</w:t>
      </w:r>
    </w:p>
    <w:p w14:paraId="65C2A99C" w14:textId="77777777" w:rsidR="00D65006" w:rsidRPr="00E15C2C" w:rsidRDefault="00D65006" w:rsidP="00D65006">
      <w:pPr>
        <w:tabs>
          <w:tab w:val="clear" w:pos="794"/>
          <w:tab w:val="clear" w:pos="1191"/>
          <w:tab w:val="clear" w:pos="1588"/>
          <w:tab w:val="clear" w:pos="1985"/>
        </w:tabs>
        <w:overflowPunct/>
        <w:autoSpaceDE/>
        <w:autoSpaceDN/>
        <w:adjustRightInd/>
        <w:spacing w:before="0"/>
        <w:jc w:val="right"/>
        <w:textAlignment w:val="auto"/>
      </w:pPr>
      <w:r w:rsidRPr="00E15C2C">
        <w:t>Page</w:t>
      </w:r>
    </w:p>
    <w:p w14:paraId="079956D6" w14:textId="0800E5BC" w:rsidR="00D65006" w:rsidRPr="00E15C2C" w:rsidRDefault="00D65006">
      <w:pPr>
        <w:pStyle w:val="TOC1"/>
        <w:rPr>
          <w:rFonts w:asciiTheme="minorHAnsi" w:eastAsiaTheme="minorEastAsia" w:hAnsiTheme="minorHAnsi" w:cstheme="minorBidi"/>
          <w:sz w:val="22"/>
          <w:szCs w:val="22"/>
        </w:rPr>
      </w:pPr>
      <w:r w:rsidRPr="00E15C2C">
        <w:fldChar w:fldCharType="begin"/>
      </w:r>
      <w:r w:rsidRPr="00E15C2C">
        <w:instrText xml:space="preserve"> TOC \o "1-3" \h \z \u </w:instrText>
      </w:r>
      <w:r w:rsidRPr="00E15C2C">
        <w:fldChar w:fldCharType="separate"/>
      </w:r>
      <w:hyperlink w:anchor="_Toc223427595" w:history="1">
        <w:r w:rsidRPr="00E15C2C">
          <w:rPr>
            <w:rStyle w:val="Hyperlink"/>
            <w:bCs/>
          </w:rPr>
          <w:t>1</w:t>
        </w:r>
        <w:r w:rsidRPr="00E15C2C">
          <w:rPr>
            <w:rFonts w:asciiTheme="minorHAnsi" w:eastAsiaTheme="minorEastAsia" w:hAnsiTheme="minorHAnsi" w:cstheme="minorBidi"/>
            <w:sz w:val="22"/>
            <w:szCs w:val="22"/>
          </w:rPr>
          <w:tab/>
        </w:r>
        <w:r w:rsidRPr="00E15C2C">
          <w:rPr>
            <w:rStyle w:val="Hyperlink"/>
            <w:bCs/>
          </w:rPr>
          <w:t>Introduction</w:t>
        </w:r>
        <w:r w:rsidRPr="00E15C2C">
          <w:rPr>
            <w:webHidden/>
          </w:rPr>
          <w:tab/>
        </w:r>
        <w:r w:rsidRPr="00E15C2C">
          <w:rPr>
            <w:webHidden/>
          </w:rPr>
          <w:tab/>
        </w:r>
        <w:r w:rsidRPr="00E15C2C">
          <w:rPr>
            <w:webHidden/>
          </w:rPr>
          <w:fldChar w:fldCharType="begin"/>
        </w:r>
        <w:r w:rsidRPr="00E15C2C">
          <w:rPr>
            <w:webHidden/>
          </w:rPr>
          <w:instrText xml:space="preserve"> PAGEREF _Toc223427595 \h </w:instrText>
        </w:r>
        <w:r w:rsidRPr="00E15C2C">
          <w:rPr>
            <w:webHidden/>
          </w:rPr>
        </w:r>
        <w:r w:rsidRPr="00E15C2C">
          <w:rPr>
            <w:webHidden/>
          </w:rPr>
          <w:fldChar w:fldCharType="separate"/>
        </w:r>
        <w:r w:rsidR="00A60948" w:rsidRPr="00E15C2C">
          <w:rPr>
            <w:webHidden/>
          </w:rPr>
          <w:t>5</w:t>
        </w:r>
        <w:r w:rsidRPr="00E15C2C">
          <w:rPr>
            <w:webHidden/>
          </w:rPr>
          <w:fldChar w:fldCharType="end"/>
        </w:r>
      </w:hyperlink>
    </w:p>
    <w:p w14:paraId="20A4F369" w14:textId="5497E7FC" w:rsidR="00D65006" w:rsidRPr="00E15C2C" w:rsidRDefault="00D65006">
      <w:pPr>
        <w:pStyle w:val="TOC1"/>
        <w:rPr>
          <w:rFonts w:asciiTheme="minorHAnsi" w:eastAsiaTheme="minorEastAsia" w:hAnsiTheme="minorHAnsi" w:cstheme="minorBidi"/>
          <w:sz w:val="22"/>
          <w:szCs w:val="22"/>
        </w:rPr>
      </w:pPr>
      <w:hyperlink w:anchor="_Toc223427596" w:history="1">
        <w:r w:rsidRPr="00E15C2C">
          <w:rPr>
            <w:rStyle w:val="Hyperlink"/>
            <w:bCs/>
          </w:rPr>
          <w:t>2</w:t>
        </w:r>
        <w:r w:rsidRPr="00E15C2C">
          <w:rPr>
            <w:rFonts w:asciiTheme="minorHAnsi" w:eastAsiaTheme="minorEastAsia" w:hAnsiTheme="minorHAnsi" w:cstheme="minorBidi"/>
            <w:sz w:val="22"/>
            <w:szCs w:val="22"/>
          </w:rPr>
          <w:tab/>
        </w:r>
        <w:r w:rsidRPr="00E15C2C">
          <w:rPr>
            <w:rStyle w:val="Hyperlink"/>
            <w:bCs/>
          </w:rPr>
          <w:t>Questions relatives au Conseil</w:t>
        </w:r>
        <w:r w:rsidRPr="00E15C2C">
          <w:rPr>
            <w:webHidden/>
          </w:rPr>
          <w:tab/>
        </w:r>
        <w:r w:rsidRPr="00E15C2C">
          <w:rPr>
            <w:webHidden/>
          </w:rPr>
          <w:tab/>
        </w:r>
        <w:r w:rsidRPr="00E15C2C">
          <w:rPr>
            <w:webHidden/>
          </w:rPr>
          <w:fldChar w:fldCharType="begin"/>
        </w:r>
        <w:r w:rsidRPr="00E15C2C">
          <w:rPr>
            <w:webHidden/>
          </w:rPr>
          <w:instrText xml:space="preserve"> PAGEREF _Toc223427596 \h </w:instrText>
        </w:r>
        <w:r w:rsidRPr="00E15C2C">
          <w:rPr>
            <w:webHidden/>
          </w:rPr>
        </w:r>
        <w:r w:rsidRPr="00E15C2C">
          <w:rPr>
            <w:webHidden/>
          </w:rPr>
          <w:fldChar w:fldCharType="separate"/>
        </w:r>
        <w:r w:rsidR="00A60948" w:rsidRPr="00E15C2C">
          <w:rPr>
            <w:webHidden/>
          </w:rPr>
          <w:t>5</w:t>
        </w:r>
        <w:r w:rsidRPr="00E15C2C">
          <w:rPr>
            <w:webHidden/>
          </w:rPr>
          <w:fldChar w:fldCharType="end"/>
        </w:r>
      </w:hyperlink>
    </w:p>
    <w:p w14:paraId="731AC84D" w14:textId="690C561A" w:rsidR="00D65006" w:rsidRPr="00E15C2C" w:rsidRDefault="00D65006">
      <w:pPr>
        <w:pStyle w:val="TOC2"/>
        <w:rPr>
          <w:rFonts w:asciiTheme="minorHAnsi" w:eastAsiaTheme="minorEastAsia" w:hAnsiTheme="minorHAnsi" w:cstheme="minorBidi"/>
          <w:sz w:val="22"/>
          <w:szCs w:val="22"/>
        </w:rPr>
      </w:pPr>
      <w:hyperlink w:anchor="_Toc223427597" w:history="1">
        <w:r w:rsidRPr="00E15C2C">
          <w:rPr>
            <w:rStyle w:val="Hyperlink"/>
            <w:bCs/>
          </w:rPr>
          <w:t>2.1</w:t>
        </w:r>
        <w:r w:rsidRPr="00E15C2C">
          <w:rPr>
            <w:rFonts w:asciiTheme="minorHAnsi" w:eastAsiaTheme="minorEastAsia" w:hAnsiTheme="minorHAnsi" w:cstheme="minorBidi"/>
            <w:sz w:val="22"/>
            <w:szCs w:val="22"/>
          </w:rPr>
          <w:tab/>
        </w:r>
        <w:r w:rsidRPr="00E15C2C">
          <w:rPr>
            <w:rStyle w:val="Hyperlink"/>
            <w:bCs/>
          </w:rPr>
          <w:t>Recouvrement des coûts pour le traitement des fiches de notification des réseaux à satellite</w:t>
        </w:r>
        <w:r w:rsidRPr="00E15C2C">
          <w:rPr>
            <w:webHidden/>
          </w:rPr>
          <w:tab/>
        </w:r>
        <w:r w:rsidRPr="00E15C2C">
          <w:rPr>
            <w:webHidden/>
          </w:rPr>
          <w:tab/>
        </w:r>
        <w:r w:rsidRPr="00E15C2C">
          <w:rPr>
            <w:webHidden/>
          </w:rPr>
          <w:fldChar w:fldCharType="begin"/>
        </w:r>
        <w:r w:rsidRPr="00E15C2C">
          <w:rPr>
            <w:webHidden/>
          </w:rPr>
          <w:instrText xml:space="preserve"> PAGEREF _Toc223427597 \h </w:instrText>
        </w:r>
        <w:r w:rsidRPr="00E15C2C">
          <w:rPr>
            <w:webHidden/>
          </w:rPr>
        </w:r>
        <w:r w:rsidRPr="00E15C2C">
          <w:rPr>
            <w:webHidden/>
          </w:rPr>
          <w:fldChar w:fldCharType="separate"/>
        </w:r>
        <w:r w:rsidR="00A60948" w:rsidRPr="00E15C2C">
          <w:rPr>
            <w:webHidden/>
          </w:rPr>
          <w:t>5</w:t>
        </w:r>
        <w:r w:rsidRPr="00E15C2C">
          <w:rPr>
            <w:webHidden/>
          </w:rPr>
          <w:fldChar w:fldCharType="end"/>
        </w:r>
      </w:hyperlink>
    </w:p>
    <w:p w14:paraId="658324E9" w14:textId="2EC59366"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598" w:history="1">
        <w:r w:rsidRPr="00E15C2C">
          <w:rPr>
            <w:rStyle w:val="Hyperlink"/>
            <w:bCs/>
          </w:rPr>
          <w:t>2.1.1</w:t>
        </w:r>
        <w:r w:rsidRPr="00E15C2C">
          <w:rPr>
            <w:rFonts w:asciiTheme="minorHAnsi" w:eastAsiaTheme="minorEastAsia" w:hAnsiTheme="minorHAnsi" w:cstheme="minorBidi"/>
            <w:sz w:val="22"/>
            <w:szCs w:val="22"/>
          </w:rPr>
          <w:tab/>
        </w:r>
        <w:r w:rsidRPr="00E15C2C">
          <w:rPr>
            <w:rStyle w:val="Hyperlink"/>
            <w:bCs/>
          </w:rPr>
          <w:t>Décision 482</w:t>
        </w:r>
        <w:r w:rsidRPr="00E15C2C">
          <w:rPr>
            <w:webHidden/>
          </w:rPr>
          <w:tab/>
        </w:r>
        <w:r w:rsidRPr="00E15C2C">
          <w:rPr>
            <w:webHidden/>
          </w:rPr>
          <w:tab/>
        </w:r>
        <w:r w:rsidRPr="00E15C2C">
          <w:rPr>
            <w:webHidden/>
          </w:rPr>
          <w:fldChar w:fldCharType="begin"/>
        </w:r>
        <w:r w:rsidRPr="00E15C2C">
          <w:rPr>
            <w:webHidden/>
          </w:rPr>
          <w:instrText xml:space="preserve"> PAGEREF _Toc223427598 \h </w:instrText>
        </w:r>
        <w:r w:rsidRPr="00E15C2C">
          <w:rPr>
            <w:webHidden/>
          </w:rPr>
        </w:r>
        <w:r w:rsidRPr="00E15C2C">
          <w:rPr>
            <w:webHidden/>
          </w:rPr>
          <w:fldChar w:fldCharType="separate"/>
        </w:r>
        <w:r w:rsidR="00A60948" w:rsidRPr="00E15C2C">
          <w:rPr>
            <w:webHidden/>
          </w:rPr>
          <w:t>5</w:t>
        </w:r>
        <w:r w:rsidRPr="00E15C2C">
          <w:rPr>
            <w:webHidden/>
          </w:rPr>
          <w:fldChar w:fldCharType="end"/>
        </w:r>
      </w:hyperlink>
    </w:p>
    <w:p w14:paraId="732BF10F" w14:textId="60A2DB55"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599" w:history="1">
        <w:r w:rsidRPr="00E15C2C">
          <w:rPr>
            <w:rStyle w:val="Hyperlink"/>
            <w:bCs/>
          </w:rPr>
          <w:t>2.1.2</w:t>
        </w:r>
        <w:r w:rsidRPr="00E15C2C">
          <w:rPr>
            <w:rFonts w:asciiTheme="minorHAnsi" w:eastAsiaTheme="minorEastAsia" w:hAnsiTheme="minorHAnsi" w:cstheme="minorBidi"/>
            <w:sz w:val="22"/>
            <w:szCs w:val="22"/>
          </w:rPr>
          <w:tab/>
        </w:r>
        <w:r w:rsidRPr="00E15C2C">
          <w:rPr>
            <w:rStyle w:val="Hyperlink"/>
            <w:bCs/>
          </w:rPr>
          <w:t>Produits différés en raison d'un manque de ressources à des fins de traitement</w:t>
        </w:r>
        <w:r w:rsidRPr="00E15C2C">
          <w:rPr>
            <w:webHidden/>
          </w:rPr>
          <w:tab/>
        </w:r>
        <w:r w:rsidRPr="00E15C2C">
          <w:rPr>
            <w:webHidden/>
          </w:rPr>
          <w:tab/>
        </w:r>
        <w:r w:rsidRPr="00E15C2C">
          <w:rPr>
            <w:webHidden/>
          </w:rPr>
          <w:fldChar w:fldCharType="begin"/>
        </w:r>
        <w:r w:rsidRPr="00E15C2C">
          <w:rPr>
            <w:webHidden/>
          </w:rPr>
          <w:instrText xml:space="preserve"> PAGEREF _Toc223427599 \h </w:instrText>
        </w:r>
        <w:r w:rsidRPr="00E15C2C">
          <w:rPr>
            <w:webHidden/>
          </w:rPr>
        </w:r>
        <w:r w:rsidRPr="00E15C2C">
          <w:rPr>
            <w:webHidden/>
          </w:rPr>
          <w:fldChar w:fldCharType="separate"/>
        </w:r>
        <w:r w:rsidR="00A60948" w:rsidRPr="00E15C2C">
          <w:rPr>
            <w:webHidden/>
          </w:rPr>
          <w:t>6</w:t>
        </w:r>
        <w:r w:rsidRPr="00E15C2C">
          <w:rPr>
            <w:webHidden/>
          </w:rPr>
          <w:fldChar w:fldCharType="end"/>
        </w:r>
      </w:hyperlink>
    </w:p>
    <w:p w14:paraId="77CBB44C" w14:textId="4489245F" w:rsidR="00D65006" w:rsidRPr="00E15C2C" w:rsidRDefault="00D65006">
      <w:pPr>
        <w:pStyle w:val="TOC2"/>
        <w:rPr>
          <w:rFonts w:asciiTheme="minorHAnsi" w:eastAsiaTheme="minorEastAsia" w:hAnsiTheme="minorHAnsi" w:cstheme="minorBidi"/>
          <w:sz w:val="22"/>
          <w:szCs w:val="22"/>
        </w:rPr>
      </w:pPr>
      <w:hyperlink w:anchor="_Toc223427600" w:history="1">
        <w:r w:rsidRPr="00E15C2C">
          <w:rPr>
            <w:rStyle w:val="Hyperlink"/>
            <w:bCs/>
          </w:rPr>
          <w:t>2.2</w:t>
        </w:r>
        <w:r w:rsidRPr="00E15C2C">
          <w:rPr>
            <w:rFonts w:asciiTheme="minorHAnsi" w:eastAsiaTheme="minorEastAsia" w:hAnsiTheme="minorHAnsi" w:cstheme="minorBidi"/>
            <w:sz w:val="22"/>
            <w:szCs w:val="22"/>
          </w:rPr>
          <w:tab/>
        </w:r>
        <w:r w:rsidRPr="00E15C2C">
          <w:rPr>
            <w:rStyle w:val="Hyperlink"/>
            <w:bCs/>
          </w:rPr>
          <w:t>Budget pour l'exercice 2024-2025 et budget pour l'exercice 2026-2027</w:t>
        </w:r>
        <w:r w:rsidRPr="00E15C2C">
          <w:rPr>
            <w:webHidden/>
          </w:rPr>
          <w:tab/>
        </w:r>
        <w:r w:rsidRPr="00E15C2C">
          <w:rPr>
            <w:webHidden/>
          </w:rPr>
          <w:tab/>
        </w:r>
        <w:r w:rsidRPr="00E15C2C">
          <w:rPr>
            <w:webHidden/>
          </w:rPr>
          <w:fldChar w:fldCharType="begin"/>
        </w:r>
        <w:r w:rsidRPr="00E15C2C">
          <w:rPr>
            <w:webHidden/>
          </w:rPr>
          <w:instrText xml:space="preserve"> PAGEREF _Toc223427600 \h </w:instrText>
        </w:r>
        <w:r w:rsidRPr="00E15C2C">
          <w:rPr>
            <w:webHidden/>
          </w:rPr>
        </w:r>
        <w:r w:rsidRPr="00E15C2C">
          <w:rPr>
            <w:webHidden/>
          </w:rPr>
          <w:fldChar w:fldCharType="separate"/>
        </w:r>
        <w:r w:rsidR="00A60948" w:rsidRPr="00E15C2C">
          <w:rPr>
            <w:webHidden/>
          </w:rPr>
          <w:t>6</w:t>
        </w:r>
        <w:r w:rsidRPr="00E15C2C">
          <w:rPr>
            <w:webHidden/>
          </w:rPr>
          <w:fldChar w:fldCharType="end"/>
        </w:r>
      </w:hyperlink>
    </w:p>
    <w:p w14:paraId="5CD0BE85" w14:textId="656DC53E" w:rsidR="00D65006" w:rsidRPr="00E15C2C" w:rsidRDefault="00D65006">
      <w:pPr>
        <w:pStyle w:val="TOC2"/>
        <w:rPr>
          <w:rFonts w:asciiTheme="minorHAnsi" w:eastAsiaTheme="minorEastAsia" w:hAnsiTheme="minorHAnsi" w:cstheme="minorBidi"/>
          <w:sz w:val="22"/>
          <w:szCs w:val="22"/>
        </w:rPr>
      </w:pPr>
      <w:hyperlink w:anchor="_Toc223427601" w:history="1">
        <w:r w:rsidRPr="00E15C2C">
          <w:rPr>
            <w:rStyle w:val="Hyperlink"/>
            <w:bCs/>
          </w:rPr>
          <w:t>2.3</w:t>
        </w:r>
        <w:r w:rsidRPr="00E15C2C">
          <w:rPr>
            <w:rFonts w:asciiTheme="minorHAnsi" w:eastAsiaTheme="minorEastAsia" w:hAnsiTheme="minorHAnsi" w:cstheme="minorBidi"/>
            <w:sz w:val="22"/>
            <w:szCs w:val="22"/>
          </w:rPr>
          <w:tab/>
        </w:r>
        <w:r w:rsidRPr="00E15C2C">
          <w:rPr>
            <w:rStyle w:val="Hyperlink"/>
            <w:bCs/>
          </w:rPr>
          <w:t>Utilisation des six langues officielles de l'Union sur un pied d'égalité</w:t>
        </w:r>
        <w:r w:rsidRPr="00E15C2C">
          <w:rPr>
            <w:webHidden/>
          </w:rPr>
          <w:tab/>
        </w:r>
        <w:r w:rsidRPr="00E15C2C">
          <w:rPr>
            <w:webHidden/>
          </w:rPr>
          <w:tab/>
        </w:r>
        <w:r w:rsidRPr="00E15C2C">
          <w:rPr>
            <w:webHidden/>
          </w:rPr>
          <w:fldChar w:fldCharType="begin"/>
        </w:r>
        <w:r w:rsidRPr="00E15C2C">
          <w:rPr>
            <w:webHidden/>
          </w:rPr>
          <w:instrText xml:space="preserve"> PAGEREF _Toc223427601 \h </w:instrText>
        </w:r>
        <w:r w:rsidRPr="00E15C2C">
          <w:rPr>
            <w:webHidden/>
          </w:rPr>
        </w:r>
        <w:r w:rsidRPr="00E15C2C">
          <w:rPr>
            <w:webHidden/>
          </w:rPr>
          <w:fldChar w:fldCharType="separate"/>
        </w:r>
        <w:r w:rsidR="00A60948" w:rsidRPr="00E15C2C">
          <w:rPr>
            <w:webHidden/>
          </w:rPr>
          <w:t>8</w:t>
        </w:r>
        <w:r w:rsidRPr="00E15C2C">
          <w:rPr>
            <w:webHidden/>
          </w:rPr>
          <w:fldChar w:fldCharType="end"/>
        </w:r>
      </w:hyperlink>
    </w:p>
    <w:p w14:paraId="4F29D858" w14:textId="686E50CB" w:rsidR="00D65006" w:rsidRPr="00E15C2C" w:rsidRDefault="00D65006">
      <w:pPr>
        <w:pStyle w:val="TOC2"/>
        <w:rPr>
          <w:rFonts w:asciiTheme="minorHAnsi" w:eastAsiaTheme="minorEastAsia" w:hAnsiTheme="minorHAnsi" w:cstheme="minorBidi"/>
          <w:sz w:val="22"/>
          <w:szCs w:val="22"/>
        </w:rPr>
      </w:pPr>
      <w:hyperlink w:anchor="_Toc223427602" w:history="1">
        <w:r w:rsidRPr="00E15C2C">
          <w:rPr>
            <w:rStyle w:val="Hyperlink"/>
            <w:bCs/>
          </w:rPr>
          <w:t>2.4</w:t>
        </w:r>
        <w:r w:rsidRPr="00E15C2C">
          <w:rPr>
            <w:rFonts w:asciiTheme="minorHAnsi" w:eastAsiaTheme="minorEastAsia" w:hAnsiTheme="minorHAnsi" w:cstheme="minorBidi"/>
            <w:sz w:val="22"/>
            <w:szCs w:val="22"/>
          </w:rPr>
          <w:tab/>
        </w:r>
        <w:r w:rsidRPr="00E15C2C">
          <w:rPr>
            <w:rStyle w:val="Hyperlink"/>
            <w:bCs/>
          </w:rPr>
          <w:t>Participation à distance</w:t>
        </w:r>
        <w:r w:rsidRPr="00E15C2C">
          <w:rPr>
            <w:webHidden/>
          </w:rPr>
          <w:tab/>
        </w:r>
        <w:r w:rsidRPr="00E15C2C">
          <w:rPr>
            <w:webHidden/>
          </w:rPr>
          <w:tab/>
        </w:r>
        <w:r w:rsidRPr="00E15C2C">
          <w:rPr>
            <w:webHidden/>
          </w:rPr>
          <w:fldChar w:fldCharType="begin"/>
        </w:r>
        <w:r w:rsidRPr="00E15C2C">
          <w:rPr>
            <w:webHidden/>
          </w:rPr>
          <w:instrText xml:space="preserve"> PAGEREF _Toc223427602 \h </w:instrText>
        </w:r>
        <w:r w:rsidRPr="00E15C2C">
          <w:rPr>
            <w:webHidden/>
          </w:rPr>
        </w:r>
        <w:r w:rsidRPr="00E15C2C">
          <w:rPr>
            <w:webHidden/>
          </w:rPr>
          <w:fldChar w:fldCharType="separate"/>
        </w:r>
        <w:r w:rsidR="00A60948" w:rsidRPr="00E15C2C">
          <w:rPr>
            <w:webHidden/>
          </w:rPr>
          <w:t>9</w:t>
        </w:r>
        <w:r w:rsidRPr="00E15C2C">
          <w:rPr>
            <w:webHidden/>
          </w:rPr>
          <w:fldChar w:fldCharType="end"/>
        </w:r>
      </w:hyperlink>
    </w:p>
    <w:p w14:paraId="135D949E" w14:textId="0A04BC48" w:rsidR="00D65006" w:rsidRPr="00E15C2C" w:rsidRDefault="00D65006">
      <w:pPr>
        <w:pStyle w:val="TOC2"/>
        <w:rPr>
          <w:rFonts w:asciiTheme="minorHAnsi" w:eastAsiaTheme="minorEastAsia" w:hAnsiTheme="minorHAnsi" w:cstheme="minorBidi"/>
          <w:sz w:val="22"/>
          <w:szCs w:val="22"/>
        </w:rPr>
      </w:pPr>
      <w:hyperlink w:anchor="_Toc223427603" w:history="1">
        <w:r w:rsidRPr="00E15C2C">
          <w:rPr>
            <w:rStyle w:val="Hyperlink"/>
            <w:bCs/>
          </w:rPr>
          <w:t>2.5</w:t>
        </w:r>
        <w:r w:rsidRPr="00E15C2C">
          <w:rPr>
            <w:rFonts w:asciiTheme="minorHAnsi" w:eastAsiaTheme="minorEastAsia" w:hAnsiTheme="minorHAnsi" w:cstheme="minorBidi"/>
            <w:sz w:val="22"/>
            <w:szCs w:val="22"/>
          </w:rPr>
          <w:tab/>
        </w:r>
        <w:r w:rsidRPr="00E15C2C">
          <w:rPr>
            <w:rStyle w:val="Hyperlink"/>
            <w:bCs/>
          </w:rPr>
          <w:t>Plan stratégique et Plan financier de l'UIT pour la période 2028-2031</w:t>
        </w:r>
        <w:r w:rsidRPr="00E15C2C">
          <w:rPr>
            <w:webHidden/>
          </w:rPr>
          <w:tab/>
        </w:r>
        <w:r w:rsidRPr="00E15C2C">
          <w:rPr>
            <w:webHidden/>
          </w:rPr>
          <w:tab/>
        </w:r>
        <w:r w:rsidRPr="00E15C2C">
          <w:rPr>
            <w:webHidden/>
          </w:rPr>
          <w:fldChar w:fldCharType="begin"/>
        </w:r>
        <w:r w:rsidRPr="00E15C2C">
          <w:rPr>
            <w:webHidden/>
          </w:rPr>
          <w:instrText xml:space="preserve"> PAGEREF _Toc223427603 \h </w:instrText>
        </w:r>
        <w:r w:rsidRPr="00E15C2C">
          <w:rPr>
            <w:webHidden/>
          </w:rPr>
        </w:r>
        <w:r w:rsidRPr="00E15C2C">
          <w:rPr>
            <w:webHidden/>
          </w:rPr>
          <w:fldChar w:fldCharType="separate"/>
        </w:r>
        <w:r w:rsidR="00A60948" w:rsidRPr="00E15C2C">
          <w:rPr>
            <w:webHidden/>
          </w:rPr>
          <w:t>9</w:t>
        </w:r>
        <w:r w:rsidRPr="00E15C2C">
          <w:rPr>
            <w:webHidden/>
          </w:rPr>
          <w:fldChar w:fldCharType="end"/>
        </w:r>
      </w:hyperlink>
    </w:p>
    <w:p w14:paraId="081B336A" w14:textId="11F2842E" w:rsidR="00D65006" w:rsidRPr="00E15C2C" w:rsidRDefault="00D65006">
      <w:pPr>
        <w:pStyle w:val="TOC2"/>
        <w:rPr>
          <w:rFonts w:asciiTheme="minorHAnsi" w:eastAsiaTheme="minorEastAsia" w:hAnsiTheme="minorHAnsi" w:cstheme="minorBidi"/>
          <w:sz w:val="22"/>
          <w:szCs w:val="22"/>
        </w:rPr>
      </w:pPr>
      <w:hyperlink w:anchor="_Toc223427604" w:history="1">
        <w:r w:rsidRPr="00E15C2C">
          <w:rPr>
            <w:rStyle w:val="Hyperlink"/>
            <w:bCs/>
          </w:rPr>
          <w:t>2.6</w:t>
        </w:r>
        <w:r w:rsidRPr="00E15C2C">
          <w:rPr>
            <w:rFonts w:asciiTheme="minorHAnsi" w:eastAsiaTheme="minorEastAsia" w:hAnsiTheme="minorHAnsi" w:cstheme="minorBidi"/>
            <w:sz w:val="22"/>
            <w:szCs w:val="22"/>
          </w:rPr>
          <w:tab/>
        </w:r>
        <w:r w:rsidRPr="00E15C2C">
          <w:rPr>
            <w:rStyle w:val="Hyperlink"/>
            <w:bCs/>
          </w:rPr>
          <w:t>Continuité des activités</w:t>
        </w:r>
        <w:r w:rsidRPr="00E15C2C">
          <w:rPr>
            <w:webHidden/>
          </w:rPr>
          <w:tab/>
        </w:r>
        <w:r w:rsidRPr="00E15C2C">
          <w:rPr>
            <w:webHidden/>
          </w:rPr>
          <w:tab/>
        </w:r>
        <w:r w:rsidRPr="00E15C2C">
          <w:rPr>
            <w:webHidden/>
          </w:rPr>
          <w:fldChar w:fldCharType="begin"/>
        </w:r>
        <w:r w:rsidRPr="00E15C2C">
          <w:rPr>
            <w:webHidden/>
          </w:rPr>
          <w:instrText xml:space="preserve"> PAGEREF _Toc223427604 \h </w:instrText>
        </w:r>
        <w:r w:rsidRPr="00E15C2C">
          <w:rPr>
            <w:webHidden/>
          </w:rPr>
        </w:r>
        <w:r w:rsidRPr="00E15C2C">
          <w:rPr>
            <w:webHidden/>
          </w:rPr>
          <w:fldChar w:fldCharType="separate"/>
        </w:r>
        <w:r w:rsidR="00A60948" w:rsidRPr="00E15C2C">
          <w:rPr>
            <w:webHidden/>
          </w:rPr>
          <w:t>10</w:t>
        </w:r>
        <w:r w:rsidRPr="00E15C2C">
          <w:rPr>
            <w:webHidden/>
          </w:rPr>
          <w:fldChar w:fldCharType="end"/>
        </w:r>
      </w:hyperlink>
    </w:p>
    <w:p w14:paraId="16901DF6" w14:textId="7843E33F" w:rsidR="00D65006" w:rsidRPr="00E15C2C" w:rsidRDefault="00D65006">
      <w:pPr>
        <w:pStyle w:val="TOC1"/>
        <w:rPr>
          <w:rFonts w:asciiTheme="minorHAnsi" w:eastAsiaTheme="minorEastAsia" w:hAnsiTheme="minorHAnsi" w:cstheme="minorBidi"/>
          <w:sz w:val="22"/>
          <w:szCs w:val="22"/>
        </w:rPr>
      </w:pPr>
      <w:hyperlink w:anchor="_Toc223427605" w:history="1">
        <w:r w:rsidRPr="00E15C2C">
          <w:rPr>
            <w:rStyle w:val="Hyperlink"/>
            <w:bCs/>
          </w:rPr>
          <w:t>3</w:t>
        </w:r>
        <w:r w:rsidRPr="00E15C2C">
          <w:rPr>
            <w:rFonts w:asciiTheme="minorHAnsi" w:eastAsiaTheme="minorEastAsia" w:hAnsiTheme="minorHAnsi" w:cstheme="minorBidi"/>
            <w:sz w:val="22"/>
            <w:szCs w:val="22"/>
          </w:rPr>
          <w:tab/>
        </w:r>
        <w:r w:rsidRPr="00E15C2C">
          <w:rPr>
            <w:rStyle w:val="Hyperlink"/>
            <w:bCs/>
          </w:rPr>
          <w:t>Mise en œuvre des décisions de la CMR-23</w:t>
        </w:r>
        <w:r w:rsidRPr="00E15C2C">
          <w:rPr>
            <w:webHidden/>
          </w:rPr>
          <w:tab/>
        </w:r>
        <w:r w:rsidRPr="00E15C2C">
          <w:rPr>
            <w:webHidden/>
          </w:rPr>
          <w:tab/>
        </w:r>
        <w:r w:rsidRPr="00E15C2C">
          <w:rPr>
            <w:webHidden/>
          </w:rPr>
          <w:fldChar w:fldCharType="begin"/>
        </w:r>
        <w:r w:rsidRPr="00E15C2C">
          <w:rPr>
            <w:webHidden/>
          </w:rPr>
          <w:instrText xml:space="preserve"> PAGEREF _Toc223427605 \h </w:instrText>
        </w:r>
        <w:r w:rsidRPr="00E15C2C">
          <w:rPr>
            <w:webHidden/>
          </w:rPr>
        </w:r>
        <w:r w:rsidRPr="00E15C2C">
          <w:rPr>
            <w:webHidden/>
          </w:rPr>
          <w:fldChar w:fldCharType="separate"/>
        </w:r>
        <w:r w:rsidR="00A60948" w:rsidRPr="00E15C2C">
          <w:rPr>
            <w:webHidden/>
          </w:rPr>
          <w:t>11</w:t>
        </w:r>
        <w:r w:rsidRPr="00E15C2C">
          <w:rPr>
            <w:webHidden/>
          </w:rPr>
          <w:fldChar w:fldCharType="end"/>
        </w:r>
      </w:hyperlink>
    </w:p>
    <w:p w14:paraId="31DA1F8A" w14:textId="2C947220" w:rsidR="00D65006" w:rsidRPr="00E15C2C" w:rsidRDefault="00D65006">
      <w:pPr>
        <w:pStyle w:val="TOC2"/>
        <w:rPr>
          <w:rFonts w:asciiTheme="minorHAnsi" w:eastAsiaTheme="minorEastAsia" w:hAnsiTheme="minorHAnsi" w:cstheme="minorBidi"/>
          <w:sz w:val="22"/>
          <w:szCs w:val="22"/>
        </w:rPr>
      </w:pPr>
      <w:hyperlink w:anchor="_Toc223427606" w:history="1">
        <w:r w:rsidRPr="00E15C2C">
          <w:rPr>
            <w:rStyle w:val="Hyperlink"/>
            <w:bCs/>
          </w:rPr>
          <w:t>3.1</w:t>
        </w:r>
        <w:r w:rsidRPr="00E15C2C">
          <w:rPr>
            <w:rFonts w:asciiTheme="minorHAnsi" w:eastAsiaTheme="minorEastAsia" w:hAnsiTheme="minorHAnsi" w:cstheme="minorBidi"/>
            <w:sz w:val="22"/>
            <w:szCs w:val="22"/>
          </w:rPr>
          <w:tab/>
        </w:r>
        <w:r w:rsidRPr="00E15C2C">
          <w:rPr>
            <w:rStyle w:val="Hyperlink"/>
            <w:bCs/>
          </w:rPr>
          <w:t>Mise en œuvre des décisions de la CMR-23</w:t>
        </w:r>
        <w:r w:rsidRPr="00E15C2C">
          <w:rPr>
            <w:webHidden/>
          </w:rPr>
          <w:tab/>
        </w:r>
        <w:r w:rsidRPr="00E15C2C">
          <w:rPr>
            <w:webHidden/>
          </w:rPr>
          <w:tab/>
        </w:r>
        <w:r w:rsidRPr="00E15C2C">
          <w:rPr>
            <w:webHidden/>
          </w:rPr>
          <w:fldChar w:fldCharType="begin"/>
        </w:r>
        <w:r w:rsidRPr="00E15C2C">
          <w:rPr>
            <w:webHidden/>
          </w:rPr>
          <w:instrText xml:space="preserve"> PAGEREF _Toc223427606 \h </w:instrText>
        </w:r>
        <w:r w:rsidRPr="00E15C2C">
          <w:rPr>
            <w:webHidden/>
          </w:rPr>
        </w:r>
        <w:r w:rsidRPr="00E15C2C">
          <w:rPr>
            <w:webHidden/>
          </w:rPr>
          <w:fldChar w:fldCharType="separate"/>
        </w:r>
        <w:r w:rsidR="00A60948" w:rsidRPr="00E15C2C">
          <w:rPr>
            <w:webHidden/>
          </w:rPr>
          <w:t>11</w:t>
        </w:r>
        <w:r w:rsidRPr="00E15C2C">
          <w:rPr>
            <w:webHidden/>
          </w:rPr>
          <w:fldChar w:fldCharType="end"/>
        </w:r>
      </w:hyperlink>
    </w:p>
    <w:p w14:paraId="17F8BB51" w14:textId="34500A54" w:rsidR="00D65006" w:rsidRPr="00E15C2C" w:rsidRDefault="00D65006">
      <w:pPr>
        <w:pStyle w:val="TOC1"/>
        <w:rPr>
          <w:rFonts w:asciiTheme="minorHAnsi" w:eastAsiaTheme="minorEastAsia" w:hAnsiTheme="minorHAnsi" w:cstheme="minorBidi"/>
          <w:sz w:val="22"/>
          <w:szCs w:val="22"/>
        </w:rPr>
      </w:pPr>
      <w:hyperlink w:anchor="_Toc223427607" w:history="1">
        <w:r w:rsidRPr="00E15C2C">
          <w:rPr>
            <w:rStyle w:val="Hyperlink"/>
            <w:bCs/>
          </w:rPr>
          <w:t>4</w:t>
        </w:r>
        <w:r w:rsidRPr="00E15C2C">
          <w:rPr>
            <w:rFonts w:asciiTheme="minorHAnsi" w:eastAsiaTheme="minorEastAsia" w:hAnsiTheme="minorHAnsi" w:cstheme="minorBidi"/>
            <w:sz w:val="22"/>
            <w:szCs w:val="22"/>
          </w:rPr>
          <w:tab/>
        </w:r>
        <w:r w:rsidRPr="00E15C2C">
          <w:rPr>
            <w:rStyle w:val="Hyperlink"/>
            <w:bCs/>
          </w:rPr>
          <w:t>Travaux préparatoires en vue de la CMR-27</w:t>
        </w:r>
        <w:r w:rsidRPr="00E15C2C">
          <w:rPr>
            <w:webHidden/>
          </w:rPr>
          <w:tab/>
        </w:r>
        <w:r w:rsidRPr="00E15C2C">
          <w:rPr>
            <w:webHidden/>
          </w:rPr>
          <w:tab/>
        </w:r>
        <w:r w:rsidRPr="00E15C2C">
          <w:rPr>
            <w:webHidden/>
          </w:rPr>
          <w:fldChar w:fldCharType="begin"/>
        </w:r>
        <w:r w:rsidRPr="00E15C2C">
          <w:rPr>
            <w:webHidden/>
          </w:rPr>
          <w:instrText xml:space="preserve"> PAGEREF _Toc223427607 \h </w:instrText>
        </w:r>
        <w:r w:rsidRPr="00E15C2C">
          <w:rPr>
            <w:webHidden/>
          </w:rPr>
        </w:r>
        <w:r w:rsidRPr="00E15C2C">
          <w:rPr>
            <w:webHidden/>
          </w:rPr>
          <w:fldChar w:fldCharType="separate"/>
        </w:r>
        <w:r w:rsidR="00A60948" w:rsidRPr="00E15C2C">
          <w:rPr>
            <w:webHidden/>
          </w:rPr>
          <w:t>11</w:t>
        </w:r>
        <w:r w:rsidRPr="00E15C2C">
          <w:rPr>
            <w:webHidden/>
          </w:rPr>
          <w:fldChar w:fldCharType="end"/>
        </w:r>
      </w:hyperlink>
    </w:p>
    <w:p w14:paraId="3C36BF29" w14:textId="5812B72C" w:rsidR="00D65006" w:rsidRPr="00E15C2C" w:rsidRDefault="00D65006">
      <w:pPr>
        <w:pStyle w:val="TOC2"/>
        <w:rPr>
          <w:rFonts w:asciiTheme="minorHAnsi" w:eastAsiaTheme="minorEastAsia" w:hAnsiTheme="minorHAnsi" w:cstheme="minorBidi"/>
          <w:sz w:val="22"/>
          <w:szCs w:val="22"/>
        </w:rPr>
      </w:pPr>
      <w:hyperlink w:anchor="_Toc223427608" w:history="1">
        <w:r w:rsidRPr="00E15C2C">
          <w:rPr>
            <w:rStyle w:val="Hyperlink"/>
            <w:bCs/>
          </w:rPr>
          <w:t>4.1</w:t>
        </w:r>
        <w:r w:rsidRPr="00E15C2C">
          <w:rPr>
            <w:rFonts w:asciiTheme="minorHAnsi" w:eastAsiaTheme="minorEastAsia" w:hAnsiTheme="minorHAnsi" w:cstheme="minorBidi"/>
            <w:sz w:val="22"/>
            <w:szCs w:val="22"/>
          </w:rPr>
          <w:tab/>
        </w:r>
        <w:r w:rsidRPr="00E15C2C">
          <w:rPr>
            <w:rStyle w:val="Hyperlink"/>
            <w:bCs/>
          </w:rPr>
          <w:t>Travaux préparatoires en vue de la CMR-27</w:t>
        </w:r>
        <w:r w:rsidRPr="00E15C2C">
          <w:rPr>
            <w:webHidden/>
          </w:rPr>
          <w:tab/>
        </w:r>
        <w:r w:rsidRPr="00E15C2C">
          <w:rPr>
            <w:webHidden/>
          </w:rPr>
          <w:tab/>
        </w:r>
        <w:r w:rsidRPr="00E15C2C">
          <w:rPr>
            <w:webHidden/>
          </w:rPr>
          <w:fldChar w:fldCharType="begin"/>
        </w:r>
        <w:r w:rsidRPr="00E15C2C">
          <w:rPr>
            <w:webHidden/>
          </w:rPr>
          <w:instrText xml:space="preserve"> PAGEREF _Toc223427608 \h </w:instrText>
        </w:r>
        <w:r w:rsidRPr="00E15C2C">
          <w:rPr>
            <w:webHidden/>
          </w:rPr>
        </w:r>
        <w:r w:rsidRPr="00E15C2C">
          <w:rPr>
            <w:webHidden/>
          </w:rPr>
          <w:fldChar w:fldCharType="separate"/>
        </w:r>
        <w:r w:rsidR="00A60948" w:rsidRPr="00E15C2C">
          <w:rPr>
            <w:webHidden/>
          </w:rPr>
          <w:t>11</w:t>
        </w:r>
        <w:r w:rsidRPr="00E15C2C">
          <w:rPr>
            <w:webHidden/>
          </w:rPr>
          <w:fldChar w:fldCharType="end"/>
        </w:r>
      </w:hyperlink>
    </w:p>
    <w:p w14:paraId="1B504C3B" w14:textId="567E58ED" w:rsidR="00D65006" w:rsidRPr="00E15C2C" w:rsidRDefault="00D65006">
      <w:pPr>
        <w:pStyle w:val="TOC2"/>
        <w:rPr>
          <w:rFonts w:asciiTheme="minorHAnsi" w:eastAsiaTheme="minorEastAsia" w:hAnsiTheme="minorHAnsi" w:cstheme="minorBidi"/>
          <w:sz w:val="22"/>
          <w:szCs w:val="22"/>
        </w:rPr>
      </w:pPr>
      <w:hyperlink w:anchor="_Toc223427609" w:history="1">
        <w:r w:rsidRPr="00E15C2C">
          <w:rPr>
            <w:rStyle w:val="Hyperlink"/>
            <w:bCs/>
          </w:rPr>
          <w:t>4.2</w:t>
        </w:r>
        <w:r w:rsidRPr="00E15C2C">
          <w:rPr>
            <w:rFonts w:asciiTheme="minorHAnsi" w:eastAsiaTheme="minorEastAsia" w:hAnsiTheme="minorHAnsi" w:cstheme="minorBidi"/>
            <w:sz w:val="22"/>
            <w:szCs w:val="22"/>
          </w:rPr>
          <w:tab/>
        </w:r>
        <w:r w:rsidRPr="00E15C2C">
          <w:rPr>
            <w:rStyle w:val="Hyperlink"/>
            <w:bCs/>
          </w:rPr>
          <w:t>Autres travaux préparatoires connexes</w:t>
        </w:r>
        <w:r w:rsidRPr="00E15C2C">
          <w:rPr>
            <w:webHidden/>
          </w:rPr>
          <w:tab/>
        </w:r>
        <w:r w:rsidRPr="00E15C2C">
          <w:rPr>
            <w:webHidden/>
          </w:rPr>
          <w:tab/>
        </w:r>
        <w:r w:rsidRPr="00E15C2C">
          <w:rPr>
            <w:webHidden/>
          </w:rPr>
          <w:fldChar w:fldCharType="begin"/>
        </w:r>
        <w:r w:rsidRPr="00E15C2C">
          <w:rPr>
            <w:webHidden/>
          </w:rPr>
          <w:instrText xml:space="preserve"> PAGEREF _Toc223427609 \h </w:instrText>
        </w:r>
        <w:r w:rsidRPr="00E15C2C">
          <w:rPr>
            <w:webHidden/>
          </w:rPr>
        </w:r>
        <w:r w:rsidRPr="00E15C2C">
          <w:rPr>
            <w:webHidden/>
          </w:rPr>
          <w:fldChar w:fldCharType="separate"/>
        </w:r>
        <w:r w:rsidR="00A60948" w:rsidRPr="00E15C2C">
          <w:rPr>
            <w:webHidden/>
          </w:rPr>
          <w:t>12</w:t>
        </w:r>
        <w:r w:rsidRPr="00E15C2C">
          <w:rPr>
            <w:webHidden/>
          </w:rPr>
          <w:fldChar w:fldCharType="end"/>
        </w:r>
      </w:hyperlink>
    </w:p>
    <w:p w14:paraId="72894015" w14:textId="0103B224" w:rsidR="00D65006" w:rsidRPr="00E15C2C" w:rsidRDefault="00D65006">
      <w:pPr>
        <w:pStyle w:val="TOC1"/>
        <w:rPr>
          <w:rFonts w:asciiTheme="minorHAnsi" w:eastAsiaTheme="minorEastAsia" w:hAnsiTheme="minorHAnsi" w:cstheme="minorBidi"/>
          <w:sz w:val="22"/>
          <w:szCs w:val="22"/>
        </w:rPr>
      </w:pPr>
      <w:hyperlink w:anchor="_Toc223427610" w:history="1">
        <w:r w:rsidRPr="00E15C2C">
          <w:rPr>
            <w:rStyle w:val="Hyperlink"/>
            <w:bCs/>
          </w:rPr>
          <w:t>5</w:t>
        </w:r>
        <w:r w:rsidRPr="00E15C2C">
          <w:rPr>
            <w:rFonts w:asciiTheme="minorHAnsi" w:eastAsiaTheme="minorEastAsia" w:hAnsiTheme="minorHAnsi" w:cstheme="minorBidi"/>
            <w:sz w:val="22"/>
            <w:szCs w:val="22"/>
          </w:rPr>
          <w:tab/>
        </w:r>
        <w:r w:rsidRPr="00E15C2C">
          <w:rPr>
            <w:rStyle w:val="Hyperlink"/>
            <w:bCs/>
          </w:rPr>
          <w:t>Activités des commissions d'études</w:t>
        </w:r>
        <w:r w:rsidRPr="00E15C2C">
          <w:rPr>
            <w:webHidden/>
          </w:rPr>
          <w:tab/>
        </w:r>
        <w:r w:rsidRPr="00E15C2C">
          <w:rPr>
            <w:webHidden/>
          </w:rPr>
          <w:tab/>
        </w:r>
        <w:r w:rsidRPr="00E15C2C">
          <w:rPr>
            <w:webHidden/>
          </w:rPr>
          <w:fldChar w:fldCharType="begin"/>
        </w:r>
        <w:r w:rsidRPr="00E15C2C">
          <w:rPr>
            <w:webHidden/>
          </w:rPr>
          <w:instrText xml:space="preserve"> PAGEREF _Toc223427610 \h </w:instrText>
        </w:r>
        <w:r w:rsidRPr="00E15C2C">
          <w:rPr>
            <w:webHidden/>
          </w:rPr>
        </w:r>
        <w:r w:rsidRPr="00E15C2C">
          <w:rPr>
            <w:webHidden/>
          </w:rPr>
          <w:fldChar w:fldCharType="separate"/>
        </w:r>
        <w:r w:rsidR="00A60948" w:rsidRPr="00E15C2C">
          <w:rPr>
            <w:webHidden/>
          </w:rPr>
          <w:t>13</w:t>
        </w:r>
        <w:r w:rsidRPr="00E15C2C">
          <w:rPr>
            <w:webHidden/>
          </w:rPr>
          <w:fldChar w:fldCharType="end"/>
        </w:r>
      </w:hyperlink>
    </w:p>
    <w:p w14:paraId="166C5EDE" w14:textId="73CC5C4F" w:rsidR="00D65006" w:rsidRPr="00E15C2C" w:rsidRDefault="00D65006">
      <w:pPr>
        <w:pStyle w:val="TOC1"/>
        <w:rPr>
          <w:rFonts w:asciiTheme="minorHAnsi" w:eastAsiaTheme="minorEastAsia" w:hAnsiTheme="minorHAnsi" w:cstheme="minorBidi"/>
          <w:sz w:val="22"/>
          <w:szCs w:val="22"/>
        </w:rPr>
      </w:pPr>
      <w:hyperlink w:anchor="_Toc223427611" w:history="1">
        <w:r w:rsidRPr="00E15C2C">
          <w:rPr>
            <w:rStyle w:val="Hyperlink"/>
          </w:rPr>
          <w:t>6</w:t>
        </w:r>
        <w:r w:rsidRPr="00E15C2C">
          <w:rPr>
            <w:rFonts w:asciiTheme="minorHAnsi" w:eastAsiaTheme="minorEastAsia" w:hAnsiTheme="minorHAnsi" w:cstheme="minorBidi"/>
            <w:sz w:val="22"/>
            <w:szCs w:val="22"/>
          </w:rPr>
          <w:tab/>
        </w:r>
        <w:r w:rsidRPr="00E15C2C">
          <w:rPr>
            <w:rStyle w:val="Hyperlink"/>
            <w:bCs/>
          </w:rPr>
          <w:t>Planification opérationnelle</w:t>
        </w:r>
        <w:r w:rsidRPr="00E15C2C">
          <w:rPr>
            <w:webHidden/>
          </w:rPr>
          <w:tab/>
        </w:r>
        <w:r w:rsidRPr="00E15C2C">
          <w:rPr>
            <w:webHidden/>
          </w:rPr>
          <w:tab/>
        </w:r>
        <w:r w:rsidRPr="00E15C2C">
          <w:rPr>
            <w:webHidden/>
          </w:rPr>
          <w:fldChar w:fldCharType="begin"/>
        </w:r>
        <w:r w:rsidRPr="00E15C2C">
          <w:rPr>
            <w:webHidden/>
          </w:rPr>
          <w:instrText xml:space="preserve"> PAGEREF _Toc223427611 \h </w:instrText>
        </w:r>
        <w:r w:rsidRPr="00E15C2C">
          <w:rPr>
            <w:webHidden/>
          </w:rPr>
        </w:r>
        <w:r w:rsidRPr="00E15C2C">
          <w:rPr>
            <w:webHidden/>
          </w:rPr>
          <w:fldChar w:fldCharType="separate"/>
        </w:r>
        <w:r w:rsidR="00A60948" w:rsidRPr="00E15C2C">
          <w:rPr>
            <w:webHidden/>
          </w:rPr>
          <w:t>14</w:t>
        </w:r>
        <w:r w:rsidRPr="00E15C2C">
          <w:rPr>
            <w:webHidden/>
          </w:rPr>
          <w:fldChar w:fldCharType="end"/>
        </w:r>
      </w:hyperlink>
    </w:p>
    <w:p w14:paraId="56801A3A" w14:textId="113E1870" w:rsidR="00D65006" w:rsidRPr="00E15C2C" w:rsidRDefault="00D65006">
      <w:pPr>
        <w:pStyle w:val="TOC1"/>
        <w:rPr>
          <w:rFonts w:asciiTheme="minorHAnsi" w:eastAsiaTheme="minorEastAsia" w:hAnsiTheme="minorHAnsi" w:cstheme="minorBidi"/>
          <w:sz w:val="22"/>
          <w:szCs w:val="22"/>
        </w:rPr>
      </w:pPr>
      <w:hyperlink w:anchor="_Toc223427612" w:history="1">
        <w:r w:rsidRPr="00E15C2C">
          <w:rPr>
            <w:rStyle w:val="Hyperlink"/>
            <w:bCs/>
          </w:rPr>
          <w:t>7</w:t>
        </w:r>
        <w:r w:rsidRPr="00E15C2C">
          <w:rPr>
            <w:rFonts w:asciiTheme="minorHAnsi" w:eastAsiaTheme="minorEastAsia" w:hAnsiTheme="minorHAnsi" w:cstheme="minorBidi"/>
            <w:sz w:val="22"/>
            <w:szCs w:val="22"/>
          </w:rPr>
          <w:tab/>
        </w:r>
        <w:r w:rsidRPr="00E15C2C">
          <w:rPr>
            <w:rStyle w:val="Hyperlink"/>
            <w:bCs/>
          </w:rPr>
          <w:t>Système d'information du BR</w:t>
        </w:r>
        <w:r w:rsidRPr="00E15C2C">
          <w:rPr>
            <w:webHidden/>
          </w:rPr>
          <w:tab/>
        </w:r>
        <w:r w:rsidRPr="00E15C2C">
          <w:rPr>
            <w:webHidden/>
          </w:rPr>
          <w:tab/>
        </w:r>
        <w:r w:rsidRPr="00E15C2C">
          <w:rPr>
            <w:webHidden/>
          </w:rPr>
          <w:fldChar w:fldCharType="begin"/>
        </w:r>
        <w:r w:rsidRPr="00E15C2C">
          <w:rPr>
            <w:webHidden/>
          </w:rPr>
          <w:instrText xml:space="preserve"> PAGEREF _Toc223427612 \h </w:instrText>
        </w:r>
        <w:r w:rsidRPr="00E15C2C">
          <w:rPr>
            <w:webHidden/>
          </w:rPr>
        </w:r>
        <w:r w:rsidRPr="00E15C2C">
          <w:rPr>
            <w:webHidden/>
          </w:rPr>
          <w:fldChar w:fldCharType="separate"/>
        </w:r>
        <w:r w:rsidR="00A60948" w:rsidRPr="00E15C2C">
          <w:rPr>
            <w:webHidden/>
          </w:rPr>
          <w:t>14</w:t>
        </w:r>
        <w:r w:rsidRPr="00E15C2C">
          <w:rPr>
            <w:webHidden/>
          </w:rPr>
          <w:fldChar w:fldCharType="end"/>
        </w:r>
      </w:hyperlink>
    </w:p>
    <w:p w14:paraId="0B7B0A06" w14:textId="2078E31D" w:rsidR="00D65006" w:rsidRPr="00E15C2C" w:rsidRDefault="00D65006">
      <w:pPr>
        <w:pStyle w:val="TOC2"/>
        <w:rPr>
          <w:rFonts w:asciiTheme="minorHAnsi" w:eastAsiaTheme="minorEastAsia" w:hAnsiTheme="minorHAnsi" w:cstheme="minorBidi"/>
          <w:sz w:val="22"/>
          <w:szCs w:val="22"/>
        </w:rPr>
      </w:pPr>
      <w:hyperlink w:anchor="_Toc223427613" w:history="1">
        <w:r w:rsidRPr="00E15C2C">
          <w:rPr>
            <w:rStyle w:val="Hyperlink"/>
            <w:bCs/>
          </w:rPr>
          <w:t>7.1</w:t>
        </w:r>
        <w:r w:rsidRPr="00E15C2C">
          <w:rPr>
            <w:rFonts w:asciiTheme="minorHAnsi" w:eastAsiaTheme="minorEastAsia" w:hAnsiTheme="minorHAnsi" w:cstheme="minorBidi"/>
            <w:sz w:val="22"/>
            <w:szCs w:val="22"/>
          </w:rPr>
          <w:tab/>
        </w:r>
        <w:r w:rsidRPr="00E15C2C">
          <w:rPr>
            <w:rStyle w:val="Hyperlink"/>
            <w:bCs/>
          </w:rPr>
          <w:t>Outils et logiciels pour les services de Terre</w:t>
        </w:r>
        <w:r w:rsidRPr="00E15C2C">
          <w:rPr>
            <w:webHidden/>
          </w:rPr>
          <w:tab/>
        </w:r>
        <w:r w:rsidRPr="00E15C2C">
          <w:rPr>
            <w:webHidden/>
          </w:rPr>
          <w:tab/>
        </w:r>
        <w:r w:rsidRPr="00E15C2C">
          <w:rPr>
            <w:webHidden/>
          </w:rPr>
          <w:fldChar w:fldCharType="begin"/>
        </w:r>
        <w:r w:rsidRPr="00E15C2C">
          <w:rPr>
            <w:webHidden/>
          </w:rPr>
          <w:instrText xml:space="preserve"> PAGEREF _Toc223427613 \h </w:instrText>
        </w:r>
        <w:r w:rsidRPr="00E15C2C">
          <w:rPr>
            <w:webHidden/>
          </w:rPr>
        </w:r>
        <w:r w:rsidRPr="00E15C2C">
          <w:rPr>
            <w:webHidden/>
          </w:rPr>
          <w:fldChar w:fldCharType="separate"/>
        </w:r>
        <w:r w:rsidR="00A60948" w:rsidRPr="00E15C2C">
          <w:rPr>
            <w:webHidden/>
          </w:rPr>
          <w:t>14</w:t>
        </w:r>
        <w:r w:rsidRPr="00E15C2C">
          <w:rPr>
            <w:webHidden/>
          </w:rPr>
          <w:fldChar w:fldCharType="end"/>
        </w:r>
      </w:hyperlink>
    </w:p>
    <w:p w14:paraId="0A3C51B0" w14:textId="16287D81" w:rsidR="00D65006" w:rsidRPr="00E15C2C" w:rsidRDefault="00D65006" w:rsidP="00D65006">
      <w:pPr>
        <w:pStyle w:val="TOC3"/>
        <w:tabs>
          <w:tab w:val="clear" w:pos="964"/>
        </w:tabs>
        <w:ind w:left="2380"/>
        <w:rPr>
          <w:rStyle w:val="Hyperlink"/>
          <w:bCs/>
        </w:rPr>
      </w:pPr>
      <w:hyperlink w:anchor="_Toc223427614" w:history="1">
        <w:r w:rsidRPr="00E15C2C">
          <w:rPr>
            <w:rStyle w:val="Hyperlink"/>
            <w:bCs/>
          </w:rPr>
          <w:t>7.1.1</w:t>
        </w:r>
        <w:r w:rsidRPr="00E15C2C">
          <w:rPr>
            <w:rStyle w:val="Hyperlink"/>
            <w:bCs/>
          </w:rPr>
          <w:tab/>
          <w:t>Mise en œuvre des décisions de la CMR-23 se rapportant aux services de Terre</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_Toc223427614 \h </w:instrText>
        </w:r>
        <w:r w:rsidRPr="00E15C2C">
          <w:rPr>
            <w:rStyle w:val="Hyperlink"/>
            <w:bCs/>
            <w:webHidden/>
          </w:rPr>
        </w:r>
        <w:r w:rsidRPr="00E15C2C">
          <w:rPr>
            <w:rStyle w:val="Hyperlink"/>
            <w:bCs/>
            <w:webHidden/>
          </w:rPr>
          <w:fldChar w:fldCharType="separate"/>
        </w:r>
        <w:r w:rsidR="00A60948" w:rsidRPr="00E15C2C">
          <w:rPr>
            <w:rStyle w:val="Hyperlink"/>
            <w:bCs/>
            <w:webHidden/>
          </w:rPr>
          <w:t>14</w:t>
        </w:r>
        <w:r w:rsidRPr="00E15C2C">
          <w:rPr>
            <w:rStyle w:val="Hyperlink"/>
            <w:bCs/>
            <w:webHidden/>
          </w:rPr>
          <w:fldChar w:fldCharType="end"/>
        </w:r>
      </w:hyperlink>
    </w:p>
    <w:p w14:paraId="471687AE" w14:textId="4325721B" w:rsidR="00D65006" w:rsidRPr="00E15C2C" w:rsidRDefault="00D65006" w:rsidP="00D65006">
      <w:pPr>
        <w:pStyle w:val="TOC3"/>
        <w:tabs>
          <w:tab w:val="clear" w:pos="964"/>
        </w:tabs>
        <w:ind w:left="2380"/>
        <w:rPr>
          <w:rStyle w:val="Hyperlink"/>
          <w:bCs/>
        </w:rPr>
      </w:pPr>
      <w:hyperlink w:anchor="_Toc223427615" w:history="1">
        <w:r w:rsidRPr="00E15C2C">
          <w:rPr>
            <w:rStyle w:val="Hyperlink"/>
            <w:bCs/>
          </w:rPr>
          <w:t>7.1.2</w:t>
        </w:r>
        <w:r w:rsidRPr="00E15C2C">
          <w:rPr>
            <w:rStyle w:val="Hyperlink"/>
            <w:bCs/>
          </w:rPr>
          <w:tab/>
          <w:t>Traitement des demandes de coordination au titre du numéro 9.21 du RR</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_Toc223427615 \h </w:instrText>
        </w:r>
        <w:r w:rsidRPr="00E15C2C">
          <w:rPr>
            <w:rStyle w:val="Hyperlink"/>
            <w:bCs/>
            <w:webHidden/>
          </w:rPr>
        </w:r>
        <w:r w:rsidRPr="00E15C2C">
          <w:rPr>
            <w:rStyle w:val="Hyperlink"/>
            <w:bCs/>
            <w:webHidden/>
          </w:rPr>
          <w:fldChar w:fldCharType="separate"/>
        </w:r>
        <w:r w:rsidR="00A60948" w:rsidRPr="00E15C2C">
          <w:rPr>
            <w:rStyle w:val="Hyperlink"/>
            <w:bCs/>
            <w:webHidden/>
          </w:rPr>
          <w:t>14</w:t>
        </w:r>
        <w:r w:rsidRPr="00E15C2C">
          <w:rPr>
            <w:rStyle w:val="Hyperlink"/>
            <w:bCs/>
            <w:webHidden/>
          </w:rPr>
          <w:fldChar w:fldCharType="end"/>
        </w:r>
      </w:hyperlink>
    </w:p>
    <w:p w14:paraId="466007A3" w14:textId="5EB79AE3" w:rsidR="00D65006" w:rsidRPr="00E15C2C" w:rsidRDefault="00D65006" w:rsidP="00D65006">
      <w:pPr>
        <w:pStyle w:val="TOC3"/>
        <w:tabs>
          <w:tab w:val="clear" w:pos="964"/>
        </w:tabs>
        <w:ind w:left="2380"/>
        <w:rPr>
          <w:rStyle w:val="Hyperlink"/>
          <w:bCs/>
        </w:rPr>
      </w:pPr>
      <w:hyperlink w:anchor="_Toc223427616" w:history="1">
        <w:r w:rsidRPr="00E15C2C">
          <w:rPr>
            <w:rStyle w:val="Hyperlink"/>
            <w:bCs/>
          </w:rPr>
          <w:t>7.1.3</w:t>
        </w:r>
        <w:r w:rsidRPr="00E15C2C">
          <w:rPr>
            <w:rStyle w:val="Hyperlink"/>
            <w:bCs/>
          </w:rPr>
          <w:tab/>
          <w:t>Traitement des fiches de notification des stations HAPS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_Toc223427616 \h </w:instrText>
        </w:r>
        <w:r w:rsidRPr="00E15C2C">
          <w:rPr>
            <w:rStyle w:val="Hyperlink"/>
            <w:bCs/>
            <w:webHidden/>
          </w:rPr>
        </w:r>
        <w:r w:rsidRPr="00E15C2C">
          <w:rPr>
            <w:rStyle w:val="Hyperlink"/>
            <w:bCs/>
            <w:webHidden/>
          </w:rPr>
          <w:fldChar w:fldCharType="separate"/>
        </w:r>
        <w:r w:rsidR="00A60948" w:rsidRPr="00E15C2C">
          <w:rPr>
            <w:rStyle w:val="Hyperlink"/>
            <w:bCs/>
            <w:webHidden/>
          </w:rPr>
          <w:t>14</w:t>
        </w:r>
        <w:r w:rsidRPr="00E15C2C">
          <w:rPr>
            <w:rStyle w:val="Hyperlink"/>
            <w:bCs/>
            <w:webHidden/>
          </w:rPr>
          <w:fldChar w:fldCharType="end"/>
        </w:r>
      </w:hyperlink>
    </w:p>
    <w:p w14:paraId="6D11C17E" w14:textId="446DE9A8" w:rsidR="00D65006" w:rsidRPr="00E15C2C" w:rsidRDefault="00D65006" w:rsidP="00D65006">
      <w:pPr>
        <w:pStyle w:val="TOC3"/>
        <w:tabs>
          <w:tab w:val="clear" w:pos="964"/>
        </w:tabs>
        <w:ind w:left="2380"/>
        <w:rPr>
          <w:rStyle w:val="Hyperlink"/>
          <w:bCs/>
        </w:rPr>
      </w:pPr>
      <w:hyperlink w:anchor="_Toc223427617" w:history="1">
        <w:r w:rsidRPr="00E15C2C">
          <w:rPr>
            <w:rStyle w:val="Hyperlink"/>
            <w:bCs/>
          </w:rPr>
          <w:t>7.1.4</w:t>
        </w:r>
        <w:r w:rsidRPr="00E15C2C">
          <w:rPr>
            <w:rStyle w:val="Hyperlink"/>
            <w:bCs/>
          </w:rPr>
          <w:tab/>
          <w:t>Restructuration du logiciel HFBC</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_Toc223427617 \h </w:instrText>
        </w:r>
        <w:r w:rsidRPr="00E15C2C">
          <w:rPr>
            <w:rStyle w:val="Hyperlink"/>
            <w:bCs/>
            <w:webHidden/>
          </w:rPr>
        </w:r>
        <w:r w:rsidRPr="00E15C2C">
          <w:rPr>
            <w:rStyle w:val="Hyperlink"/>
            <w:bCs/>
            <w:webHidden/>
          </w:rPr>
          <w:fldChar w:fldCharType="separate"/>
        </w:r>
        <w:r w:rsidR="00A60948" w:rsidRPr="00E15C2C">
          <w:rPr>
            <w:rStyle w:val="Hyperlink"/>
            <w:bCs/>
            <w:webHidden/>
          </w:rPr>
          <w:t>14</w:t>
        </w:r>
        <w:r w:rsidRPr="00E15C2C">
          <w:rPr>
            <w:rStyle w:val="Hyperlink"/>
            <w:bCs/>
            <w:webHidden/>
          </w:rPr>
          <w:fldChar w:fldCharType="end"/>
        </w:r>
      </w:hyperlink>
    </w:p>
    <w:p w14:paraId="5D38F156" w14:textId="55EAFC63" w:rsidR="00D65006" w:rsidRPr="00E15C2C" w:rsidRDefault="00D65006" w:rsidP="00D65006">
      <w:pPr>
        <w:pStyle w:val="TOC3"/>
        <w:tabs>
          <w:tab w:val="clear" w:pos="964"/>
        </w:tabs>
        <w:ind w:left="2380"/>
        <w:rPr>
          <w:rStyle w:val="Hyperlink"/>
          <w:bCs/>
        </w:rPr>
      </w:pPr>
      <w:hyperlink w:anchor="_Toc223427618" w:history="1">
        <w:r w:rsidRPr="00E15C2C">
          <w:rPr>
            <w:rStyle w:val="Hyperlink"/>
            <w:bCs/>
          </w:rPr>
          <w:t>7.1.5</w:t>
        </w:r>
        <w:r w:rsidRPr="00E15C2C">
          <w:rPr>
            <w:rStyle w:val="Hyperlink"/>
            <w:bCs/>
          </w:rPr>
          <w:tab/>
          <w:t>Migration d'Ingres vers SQL Server</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_Toc223427618 \h </w:instrText>
        </w:r>
        <w:r w:rsidRPr="00E15C2C">
          <w:rPr>
            <w:rStyle w:val="Hyperlink"/>
            <w:bCs/>
            <w:webHidden/>
          </w:rPr>
        </w:r>
        <w:r w:rsidRPr="00E15C2C">
          <w:rPr>
            <w:rStyle w:val="Hyperlink"/>
            <w:bCs/>
            <w:webHidden/>
          </w:rPr>
          <w:fldChar w:fldCharType="separate"/>
        </w:r>
        <w:r w:rsidR="00A60948" w:rsidRPr="00E15C2C">
          <w:rPr>
            <w:rStyle w:val="Hyperlink"/>
            <w:bCs/>
            <w:webHidden/>
          </w:rPr>
          <w:t>15</w:t>
        </w:r>
        <w:r w:rsidRPr="00E15C2C">
          <w:rPr>
            <w:rStyle w:val="Hyperlink"/>
            <w:bCs/>
            <w:webHidden/>
          </w:rPr>
          <w:fldChar w:fldCharType="end"/>
        </w:r>
      </w:hyperlink>
    </w:p>
    <w:p w14:paraId="6C8F661A" w14:textId="05B4A007" w:rsidR="00D65006" w:rsidRPr="00E15C2C" w:rsidRDefault="00D65006" w:rsidP="00D65006">
      <w:pPr>
        <w:pStyle w:val="TOC3"/>
        <w:tabs>
          <w:tab w:val="clear" w:pos="964"/>
        </w:tabs>
        <w:ind w:left="2380"/>
        <w:rPr>
          <w:rStyle w:val="Hyperlink"/>
          <w:bCs/>
        </w:rPr>
      </w:pPr>
      <w:hyperlink w:anchor="_Toc223427619" w:history="1">
        <w:r w:rsidRPr="00E15C2C">
          <w:rPr>
            <w:rStyle w:val="Hyperlink"/>
            <w:bCs/>
          </w:rPr>
          <w:t>7.1.6</w:t>
        </w:r>
        <w:r w:rsidRPr="00E15C2C">
          <w:rPr>
            <w:rStyle w:val="Hyperlink"/>
            <w:bCs/>
          </w:rPr>
          <w:tab/>
          <w:t>Projet de publications relatives au service maritime</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_Toc223427619 \h </w:instrText>
        </w:r>
        <w:r w:rsidRPr="00E15C2C">
          <w:rPr>
            <w:rStyle w:val="Hyperlink"/>
            <w:bCs/>
            <w:webHidden/>
          </w:rPr>
        </w:r>
        <w:r w:rsidRPr="00E15C2C">
          <w:rPr>
            <w:rStyle w:val="Hyperlink"/>
            <w:bCs/>
            <w:webHidden/>
          </w:rPr>
          <w:fldChar w:fldCharType="separate"/>
        </w:r>
        <w:r w:rsidR="00A60948" w:rsidRPr="00E15C2C">
          <w:rPr>
            <w:rStyle w:val="Hyperlink"/>
            <w:bCs/>
            <w:webHidden/>
          </w:rPr>
          <w:t>15</w:t>
        </w:r>
        <w:r w:rsidRPr="00E15C2C">
          <w:rPr>
            <w:rStyle w:val="Hyperlink"/>
            <w:bCs/>
            <w:webHidden/>
          </w:rPr>
          <w:fldChar w:fldCharType="end"/>
        </w:r>
      </w:hyperlink>
    </w:p>
    <w:p w14:paraId="544CE8EF" w14:textId="30E515D0" w:rsidR="00D65006" w:rsidRPr="00E15C2C" w:rsidRDefault="00D65006" w:rsidP="00D65006">
      <w:pPr>
        <w:pStyle w:val="TOC3"/>
        <w:tabs>
          <w:tab w:val="clear" w:pos="964"/>
        </w:tabs>
        <w:ind w:left="2380"/>
        <w:rPr>
          <w:rStyle w:val="Hyperlink"/>
          <w:bCs/>
        </w:rPr>
      </w:pPr>
      <w:hyperlink w:anchor="_Toc223427620" w:history="1">
        <w:r w:rsidRPr="00E15C2C">
          <w:rPr>
            <w:rStyle w:val="Hyperlink"/>
            <w:bCs/>
          </w:rPr>
          <w:t>7.1.7</w:t>
        </w:r>
        <w:r w:rsidRPr="00E15C2C">
          <w:rPr>
            <w:rStyle w:val="Hyperlink"/>
            <w:bCs/>
          </w:rPr>
          <w:tab/>
          <w:t>Brouillages préjudiciables causés aux services de Terre</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_Toc223427620 \h </w:instrText>
        </w:r>
        <w:r w:rsidRPr="00E15C2C">
          <w:rPr>
            <w:rStyle w:val="Hyperlink"/>
            <w:bCs/>
            <w:webHidden/>
          </w:rPr>
        </w:r>
        <w:r w:rsidRPr="00E15C2C">
          <w:rPr>
            <w:rStyle w:val="Hyperlink"/>
            <w:bCs/>
            <w:webHidden/>
          </w:rPr>
          <w:fldChar w:fldCharType="separate"/>
        </w:r>
        <w:r w:rsidR="00A60948" w:rsidRPr="00E15C2C">
          <w:rPr>
            <w:rStyle w:val="Hyperlink"/>
            <w:bCs/>
            <w:webHidden/>
          </w:rPr>
          <w:t>15</w:t>
        </w:r>
        <w:r w:rsidRPr="00E15C2C">
          <w:rPr>
            <w:rStyle w:val="Hyperlink"/>
            <w:bCs/>
            <w:webHidden/>
          </w:rPr>
          <w:fldChar w:fldCharType="end"/>
        </w:r>
      </w:hyperlink>
    </w:p>
    <w:p w14:paraId="2590EB79" w14:textId="32368F17"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21" w:history="1">
        <w:r w:rsidRPr="00E15C2C">
          <w:rPr>
            <w:rStyle w:val="Hyperlink"/>
            <w:bCs/>
          </w:rPr>
          <w:t>7.1.8</w:t>
        </w:r>
        <w:r w:rsidRPr="00E15C2C">
          <w:rPr>
            <w:rStyle w:val="Hyperlink"/>
            <w:bCs/>
          </w:rPr>
          <w:tab/>
          <w:t>Nouvelles améliorations apportées aux outils web</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_Toc223427621 \h </w:instrText>
        </w:r>
        <w:r w:rsidRPr="00E15C2C">
          <w:rPr>
            <w:rStyle w:val="Hyperlink"/>
            <w:bCs/>
            <w:webHidden/>
          </w:rPr>
        </w:r>
        <w:r w:rsidRPr="00E15C2C">
          <w:rPr>
            <w:rStyle w:val="Hyperlink"/>
            <w:bCs/>
            <w:webHidden/>
          </w:rPr>
          <w:fldChar w:fldCharType="separate"/>
        </w:r>
        <w:r w:rsidR="00A60948" w:rsidRPr="00E15C2C">
          <w:rPr>
            <w:rStyle w:val="Hyperlink"/>
            <w:bCs/>
            <w:webHidden/>
          </w:rPr>
          <w:t>16</w:t>
        </w:r>
        <w:r w:rsidRPr="00E15C2C">
          <w:rPr>
            <w:rStyle w:val="Hyperlink"/>
            <w:bCs/>
            <w:webHidden/>
          </w:rPr>
          <w:fldChar w:fldCharType="end"/>
        </w:r>
      </w:hyperlink>
    </w:p>
    <w:p w14:paraId="43A641D8" w14:textId="409FF39D" w:rsidR="00D65006" w:rsidRPr="00E15C2C" w:rsidRDefault="00D65006" w:rsidP="00E15C2C">
      <w:pPr>
        <w:pStyle w:val="TOC2"/>
        <w:keepNext/>
        <w:keepLines/>
        <w:rPr>
          <w:rFonts w:asciiTheme="minorHAnsi" w:eastAsiaTheme="minorEastAsia" w:hAnsiTheme="minorHAnsi" w:cstheme="minorBidi"/>
          <w:sz w:val="22"/>
          <w:szCs w:val="22"/>
        </w:rPr>
      </w:pPr>
      <w:hyperlink w:anchor="_Toc223427622" w:history="1">
        <w:r w:rsidRPr="00E15C2C">
          <w:rPr>
            <w:rStyle w:val="Hyperlink"/>
            <w:bCs/>
          </w:rPr>
          <w:t>7.2</w:t>
        </w:r>
        <w:r w:rsidRPr="00E15C2C">
          <w:rPr>
            <w:rFonts w:asciiTheme="minorHAnsi" w:eastAsiaTheme="minorEastAsia" w:hAnsiTheme="minorHAnsi" w:cstheme="minorBidi"/>
            <w:sz w:val="22"/>
            <w:szCs w:val="22"/>
          </w:rPr>
          <w:tab/>
        </w:r>
        <w:r w:rsidRPr="00E15C2C">
          <w:rPr>
            <w:rStyle w:val="Hyperlink"/>
            <w:bCs/>
          </w:rPr>
          <w:t>Outils et logiciels pour les services spatiaux</w:t>
        </w:r>
        <w:r w:rsidRPr="00E15C2C">
          <w:rPr>
            <w:webHidden/>
          </w:rPr>
          <w:tab/>
        </w:r>
        <w:r w:rsidRPr="00E15C2C">
          <w:rPr>
            <w:webHidden/>
          </w:rPr>
          <w:tab/>
        </w:r>
        <w:r w:rsidRPr="00E15C2C">
          <w:rPr>
            <w:webHidden/>
          </w:rPr>
          <w:fldChar w:fldCharType="begin"/>
        </w:r>
        <w:r w:rsidRPr="00E15C2C">
          <w:rPr>
            <w:webHidden/>
          </w:rPr>
          <w:instrText xml:space="preserve"> PAGEREF _Toc223427622 \h </w:instrText>
        </w:r>
        <w:r w:rsidRPr="00E15C2C">
          <w:rPr>
            <w:webHidden/>
          </w:rPr>
        </w:r>
        <w:r w:rsidRPr="00E15C2C">
          <w:rPr>
            <w:webHidden/>
          </w:rPr>
          <w:fldChar w:fldCharType="separate"/>
        </w:r>
        <w:r w:rsidR="00A60948" w:rsidRPr="00E15C2C">
          <w:rPr>
            <w:webHidden/>
          </w:rPr>
          <w:t>16</w:t>
        </w:r>
        <w:r w:rsidRPr="00E15C2C">
          <w:rPr>
            <w:webHidden/>
          </w:rPr>
          <w:fldChar w:fldCharType="end"/>
        </w:r>
      </w:hyperlink>
    </w:p>
    <w:p w14:paraId="5C38E0D8" w14:textId="7C85A65B" w:rsidR="00D65006" w:rsidRPr="00E15C2C" w:rsidRDefault="00D65006" w:rsidP="00E15C2C">
      <w:pPr>
        <w:pStyle w:val="TOC3"/>
        <w:keepNext/>
        <w:keepLines/>
        <w:tabs>
          <w:tab w:val="clear" w:pos="964"/>
        </w:tabs>
        <w:ind w:left="2380"/>
        <w:rPr>
          <w:rFonts w:asciiTheme="minorHAnsi" w:eastAsiaTheme="minorEastAsia" w:hAnsiTheme="minorHAnsi" w:cstheme="minorBidi"/>
          <w:sz w:val="22"/>
          <w:szCs w:val="22"/>
        </w:rPr>
      </w:pPr>
      <w:hyperlink w:anchor="_Toc223427623" w:history="1">
        <w:r w:rsidRPr="00E15C2C">
          <w:rPr>
            <w:rStyle w:val="Hyperlink"/>
            <w:bCs/>
          </w:rPr>
          <w:t>7.2.1</w:t>
        </w:r>
        <w:r w:rsidRPr="00E15C2C">
          <w:rPr>
            <w:rFonts w:asciiTheme="minorHAnsi" w:eastAsiaTheme="minorEastAsia" w:hAnsiTheme="minorHAnsi" w:cstheme="minorBidi"/>
            <w:sz w:val="22"/>
            <w:szCs w:val="22"/>
          </w:rPr>
          <w:tab/>
        </w:r>
        <w:r w:rsidRPr="00E15C2C">
          <w:rPr>
            <w:rStyle w:val="Hyperlink"/>
            <w:bCs/>
          </w:rPr>
          <w:t>Mise en œuvre des décisions de la CMR-23 se rapportant aux services spatiaux</w:t>
        </w:r>
        <w:r w:rsidRPr="00E15C2C">
          <w:rPr>
            <w:webHidden/>
          </w:rPr>
          <w:tab/>
        </w:r>
        <w:r w:rsidRPr="00E15C2C">
          <w:rPr>
            <w:webHidden/>
          </w:rPr>
          <w:tab/>
        </w:r>
        <w:r w:rsidRPr="00E15C2C">
          <w:rPr>
            <w:webHidden/>
          </w:rPr>
          <w:fldChar w:fldCharType="begin"/>
        </w:r>
        <w:r w:rsidRPr="00E15C2C">
          <w:rPr>
            <w:webHidden/>
          </w:rPr>
          <w:instrText xml:space="preserve"> PAGEREF _Toc223427623 \h </w:instrText>
        </w:r>
        <w:r w:rsidRPr="00E15C2C">
          <w:rPr>
            <w:webHidden/>
          </w:rPr>
        </w:r>
        <w:r w:rsidRPr="00E15C2C">
          <w:rPr>
            <w:webHidden/>
          </w:rPr>
          <w:fldChar w:fldCharType="separate"/>
        </w:r>
        <w:r w:rsidR="00A60948" w:rsidRPr="00E15C2C">
          <w:rPr>
            <w:webHidden/>
          </w:rPr>
          <w:t>16</w:t>
        </w:r>
        <w:r w:rsidRPr="00E15C2C">
          <w:rPr>
            <w:webHidden/>
          </w:rPr>
          <w:fldChar w:fldCharType="end"/>
        </w:r>
      </w:hyperlink>
    </w:p>
    <w:p w14:paraId="0D16B575" w14:textId="33819CEE" w:rsidR="00D65006" w:rsidRPr="00E15C2C" w:rsidRDefault="00D65006" w:rsidP="00D65006">
      <w:pPr>
        <w:pStyle w:val="TOC3"/>
        <w:tabs>
          <w:tab w:val="clear" w:pos="964"/>
        </w:tabs>
        <w:ind w:left="2380"/>
        <w:rPr>
          <w:rStyle w:val="Hyperlink"/>
          <w:bCs/>
        </w:rPr>
      </w:pPr>
      <w:hyperlink w:anchor="_Toc223427624" w:history="1">
        <w:r w:rsidRPr="00E15C2C">
          <w:rPr>
            <w:rStyle w:val="Hyperlink"/>
            <w:bCs/>
          </w:rPr>
          <w:t>7.2.2</w:t>
        </w:r>
        <w:r w:rsidRPr="00E15C2C">
          <w:rPr>
            <w:rStyle w:val="Hyperlink"/>
            <w:bCs/>
          </w:rPr>
          <w:tab/>
          <w:t>Progrès accomplis dans la mise en œuvre de la feuille de route sur les systèmes informatiques du BR pour les services spatiaux (19ème réunion du GCR, 2012)</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_Toc223427624 \h </w:instrText>
        </w:r>
        <w:r w:rsidRPr="00E15C2C">
          <w:rPr>
            <w:rStyle w:val="Hyperlink"/>
            <w:bCs/>
            <w:webHidden/>
          </w:rPr>
        </w:r>
        <w:r w:rsidRPr="00E15C2C">
          <w:rPr>
            <w:rStyle w:val="Hyperlink"/>
            <w:bCs/>
            <w:webHidden/>
          </w:rPr>
          <w:fldChar w:fldCharType="separate"/>
        </w:r>
        <w:r w:rsidR="00A60948" w:rsidRPr="00E15C2C">
          <w:rPr>
            <w:rStyle w:val="Hyperlink"/>
            <w:bCs/>
            <w:webHidden/>
          </w:rPr>
          <w:t>17</w:t>
        </w:r>
        <w:r w:rsidRPr="00E15C2C">
          <w:rPr>
            <w:rStyle w:val="Hyperlink"/>
            <w:bCs/>
            <w:webHidden/>
          </w:rPr>
          <w:fldChar w:fldCharType="end"/>
        </w:r>
      </w:hyperlink>
    </w:p>
    <w:p w14:paraId="3B3C0E10" w14:textId="34AA26DC" w:rsidR="00D65006" w:rsidRPr="00E15C2C" w:rsidRDefault="00D65006" w:rsidP="00D65006">
      <w:pPr>
        <w:pStyle w:val="TOC3"/>
        <w:tabs>
          <w:tab w:val="clear" w:pos="964"/>
        </w:tabs>
        <w:ind w:left="2380"/>
        <w:rPr>
          <w:rStyle w:val="Hyperlink"/>
          <w:bCs/>
        </w:rPr>
      </w:pPr>
      <w:hyperlink w:anchor="_Toc223427625" w:history="1">
        <w:r w:rsidRPr="00E15C2C">
          <w:rPr>
            <w:rStyle w:val="Hyperlink"/>
            <w:bCs/>
          </w:rPr>
          <w:t>7.2.3</w:t>
        </w:r>
        <w:r w:rsidRPr="00E15C2C">
          <w:rPr>
            <w:rStyle w:val="Hyperlink"/>
            <w:bCs/>
          </w:rPr>
          <w:tab/>
          <w:t>Progrès accomplis en vue de la réalisation des objectifs de la Phase 2 de la feuille de route</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_Toc223427625 \h </w:instrText>
        </w:r>
        <w:r w:rsidRPr="00E15C2C">
          <w:rPr>
            <w:rStyle w:val="Hyperlink"/>
            <w:bCs/>
            <w:webHidden/>
          </w:rPr>
        </w:r>
        <w:r w:rsidRPr="00E15C2C">
          <w:rPr>
            <w:rStyle w:val="Hyperlink"/>
            <w:bCs/>
            <w:webHidden/>
          </w:rPr>
          <w:fldChar w:fldCharType="separate"/>
        </w:r>
        <w:r w:rsidR="00A60948" w:rsidRPr="00E15C2C">
          <w:rPr>
            <w:rStyle w:val="Hyperlink"/>
            <w:bCs/>
            <w:webHidden/>
          </w:rPr>
          <w:t>18</w:t>
        </w:r>
        <w:r w:rsidRPr="00E15C2C">
          <w:rPr>
            <w:rStyle w:val="Hyperlink"/>
            <w:bCs/>
            <w:webHidden/>
          </w:rPr>
          <w:fldChar w:fldCharType="end"/>
        </w:r>
      </w:hyperlink>
    </w:p>
    <w:p w14:paraId="09F45D5F" w14:textId="198EEC9C" w:rsidR="00D65006" w:rsidRPr="00E15C2C" w:rsidRDefault="00D65006" w:rsidP="00D65006">
      <w:pPr>
        <w:pStyle w:val="TOC3"/>
        <w:tabs>
          <w:tab w:val="clear" w:pos="964"/>
        </w:tabs>
        <w:ind w:left="2380"/>
        <w:rPr>
          <w:rStyle w:val="Hyperlink"/>
          <w:bCs/>
        </w:rPr>
      </w:pPr>
      <w:hyperlink w:anchor="_Toc223427626" w:history="1">
        <w:r w:rsidRPr="00E15C2C">
          <w:rPr>
            <w:rStyle w:val="Hyperlink"/>
            <w:bCs/>
          </w:rPr>
          <w:t>7.2.4</w:t>
        </w:r>
        <w:r w:rsidRPr="00E15C2C">
          <w:rPr>
            <w:rStyle w:val="Hyperlink"/>
            <w:bCs/>
          </w:rPr>
          <w:tab/>
          <w:t>Progrès accomplis en vue de la réalisation des objectifs de la Phase 3 de la feuille de route</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_Toc223427626 \h </w:instrText>
        </w:r>
        <w:r w:rsidRPr="00E15C2C">
          <w:rPr>
            <w:rStyle w:val="Hyperlink"/>
            <w:bCs/>
            <w:webHidden/>
          </w:rPr>
        </w:r>
        <w:r w:rsidRPr="00E15C2C">
          <w:rPr>
            <w:rStyle w:val="Hyperlink"/>
            <w:bCs/>
            <w:webHidden/>
          </w:rPr>
          <w:fldChar w:fldCharType="separate"/>
        </w:r>
        <w:r w:rsidR="00A60948" w:rsidRPr="00E15C2C">
          <w:rPr>
            <w:rStyle w:val="Hyperlink"/>
            <w:bCs/>
            <w:webHidden/>
          </w:rPr>
          <w:t>18</w:t>
        </w:r>
        <w:r w:rsidRPr="00E15C2C">
          <w:rPr>
            <w:rStyle w:val="Hyperlink"/>
            <w:bCs/>
            <w:webHidden/>
          </w:rPr>
          <w:fldChar w:fldCharType="end"/>
        </w:r>
      </w:hyperlink>
    </w:p>
    <w:p w14:paraId="7EAECC04" w14:textId="7CF7C3B2" w:rsidR="00D65006" w:rsidRPr="00E15C2C" w:rsidRDefault="00D65006" w:rsidP="00D65006">
      <w:pPr>
        <w:pStyle w:val="TOC3"/>
        <w:tabs>
          <w:tab w:val="clear" w:pos="964"/>
        </w:tabs>
        <w:ind w:left="2380"/>
        <w:rPr>
          <w:rStyle w:val="Hyperlink"/>
          <w:bCs/>
        </w:rPr>
      </w:pPr>
      <w:hyperlink w:anchor="_Toc223427627" w:history="1">
        <w:r w:rsidRPr="00E15C2C">
          <w:rPr>
            <w:rStyle w:val="Hyperlink"/>
            <w:bCs/>
          </w:rPr>
          <w:t>7.2.5</w:t>
        </w:r>
        <w:r w:rsidRPr="00E15C2C">
          <w:rPr>
            <w:rStyle w:val="Hyperlink"/>
            <w:bCs/>
          </w:rPr>
          <w:tab/>
          <w:t>Outils de recherche relatifs aux services spatiaux</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_Toc223427627 \h </w:instrText>
        </w:r>
        <w:r w:rsidRPr="00E15C2C">
          <w:rPr>
            <w:rStyle w:val="Hyperlink"/>
            <w:bCs/>
            <w:webHidden/>
          </w:rPr>
        </w:r>
        <w:r w:rsidRPr="00E15C2C">
          <w:rPr>
            <w:rStyle w:val="Hyperlink"/>
            <w:bCs/>
            <w:webHidden/>
          </w:rPr>
          <w:fldChar w:fldCharType="separate"/>
        </w:r>
        <w:r w:rsidR="00A60948" w:rsidRPr="00E15C2C">
          <w:rPr>
            <w:rStyle w:val="Hyperlink"/>
            <w:bCs/>
            <w:webHidden/>
          </w:rPr>
          <w:t>18</w:t>
        </w:r>
        <w:r w:rsidRPr="00E15C2C">
          <w:rPr>
            <w:rStyle w:val="Hyperlink"/>
            <w:bCs/>
            <w:webHidden/>
          </w:rPr>
          <w:fldChar w:fldCharType="end"/>
        </w:r>
      </w:hyperlink>
    </w:p>
    <w:p w14:paraId="12D5B2BC" w14:textId="61F23527"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28" w:history="1">
        <w:r w:rsidRPr="00E15C2C">
          <w:rPr>
            <w:rStyle w:val="Hyperlink"/>
            <w:bCs/>
          </w:rPr>
          <w:t>7.2.6</w:t>
        </w:r>
        <w:r w:rsidRPr="00E15C2C">
          <w:rPr>
            <w:rStyle w:val="Hyperlink"/>
            <w:bCs/>
          </w:rPr>
          <w:tab/>
          <w:t>Mise en œuvre de la Résolution 55 (Rév.CMR-23): soumission électronique des fiches de notification pour les réseaux à satellite, les stations terriennes et les stations de radioastronomie, ainsi que des rapports sur des brouillages préjudiciables ayant des incidences sur les services spatiaux, et communications correspondantes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_Toc223427628 \h </w:instrText>
        </w:r>
        <w:r w:rsidRPr="00E15C2C">
          <w:rPr>
            <w:rStyle w:val="Hyperlink"/>
            <w:bCs/>
            <w:webHidden/>
          </w:rPr>
        </w:r>
        <w:r w:rsidRPr="00E15C2C">
          <w:rPr>
            <w:rStyle w:val="Hyperlink"/>
            <w:bCs/>
            <w:webHidden/>
          </w:rPr>
          <w:fldChar w:fldCharType="separate"/>
        </w:r>
        <w:r w:rsidR="00A60948" w:rsidRPr="00E15C2C">
          <w:rPr>
            <w:rStyle w:val="Hyperlink"/>
            <w:bCs/>
            <w:webHidden/>
          </w:rPr>
          <w:t>19</w:t>
        </w:r>
        <w:r w:rsidRPr="00E15C2C">
          <w:rPr>
            <w:rStyle w:val="Hyperlink"/>
            <w:bCs/>
            <w:webHidden/>
          </w:rPr>
          <w:fldChar w:fldCharType="end"/>
        </w:r>
      </w:hyperlink>
    </w:p>
    <w:p w14:paraId="2B36A4C0" w14:textId="7E19DCA8" w:rsidR="00D65006" w:rsidRPr="00E15C2C" w:rsidRDefault="00D65006">
      <w:pPr>
        <w:pStyle w:val="TOC2"/>
        <w:rPr>
          <w:rFonts w:asciiTheme="minorHAnsi" w:eastAsiaTheme="minorEastAsia" w:hAnsiTheme="minorHAnsi" w:cstheme="minorBidi"/>
          <w:sz w:val="22"/>
          <w:szCs w:val="22"/>
        </w:rPr>
      </w:pPr>
      <w:hyperlink w:anchor="_Toc223427629" w:history="1">
        <w:r w:rsidRPr="00E15C2C">
          <w:rPr>
            <w:rStyle w:val="Hyperlink"/>
            <w:bCs/>
          </w:rPr>
          <w:t>7.3</w:t>
        </w:r>
        <w:r w:rsidRPr="00E15C2C">
          <w:rPr>
            <w:rFonts w:asciiTheme="minorHAnsi" w:eastAsiaTheme="minorEastAsia" w:hAnsiTheme="minorHAnsi" w:cstheme="minorBidi"/>
            <w:sz w:val="22"/>
            <w:szCs w:val="22"/>
          </w:rPr>
          <w:tab/>
        </w:r>
        <w:r w:rsidRPr="00E15C2C">
          <w:rPr>
            <w:rStyle w:val="Hyperlink"/>
            <w:bCs/>
          </w:rPr>
          <w:t>Autres outils et logiciels du BR</w:t>
        </w:r>
        <w:r w:rsidRPr="00E15C2C">
          <w:rPr>
            <w:webHidden/>
          </w:rPr>
          <w:tab/>
        </w:r>
        <w:r w:rsidRPr="00E15C2C">
          <w:rPr>
            <w:webHidden/>
          </w:rPr>
          <w:tab/>
        </w:r>
        <w:r w:rsidRPr="00E15C2C">
          <w:rPr>
            <w:webHidden/>
          </w:rPr>
          <w:fldChar w:fldCharType="begin"/>
        </w:r>
        <w:r w:rsidRPr="00E15C2C">
          <w:rPr>
            <w:webHidden/>
          </w:rPr>
          <w:instrText xml:space="preserve"> PAGEREF _Toc223427629 \h </w:instrText>
        </w:r>
        <w:r w:rsidRPr="00E15C2C">
          <w:rPr>
            <w:webHidden/>
          </w:rPr>
        </w:r>
        <w:r w:rsidRPr="00E15C2C">
          <w:rPr>
            <w:webHidden/>
          </w:rPr>
          <w:fldChar w:fldCharType="separate"/>
        </w:r>
        <w:r w:rsidR="00A60948" w:rsidRPr="00E15C2C">
          <w:rPr>
            <w:webHidden/>
          </w:rPr>
          <w:t>20</w:t>
        </w:r>
        <w:r w:rsidRPr="00E15C2C">
          <w:rPr>
            <w:webHidden/>
          </w:rPr>
          <w:fldChar w:fldCharType="end"/>
        </w:r>
      </w:hyperlink>
    </w:p>
    <w:p w14:paraId="6A5B140B" w14:textId="61393A82" w:rsidR="00D65006" w:rsidRPr="00E15C2C" w:rsidRDefault="00D65006" w:rsidP="00D65006">
      <w:pPr>
        <w:pStyle w:val="TOC3"/>
        <w:tabs>
          <w:tab w:val="clear" w:pos="964"/>
        </w:tabs>
        <w:ind w:left="2380"/>
        <w:rPr>
          <w:rStyle w:val="Hyperlink"/>
          <w:bCs/>
        </w:rPr>
      </w:pPr>
      <w:hyperlink w:anchor="_Toc223427630" w:history="1">
        <w:r w:rsidRPr="00E15C2C">
          <w:rPr>
            <w:rStyle w:val="Hyperlink"/>
            <w:bCs/>
          </w:rPr>
          <w:t>7.3.1</w:t>
        </w:r>
        <w:r w:rsidRPr="00E15C2C">
          <w:rPr>
            <w:rStyle w:val="Hyperlink"/>
            <w:bCs/>
          </w:rPr>
          <w:tab/>
          <w:t>Outils concernant le Règlement des radiocommunications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_Toc223427630 \h </w:instrText>
        </w:r>
        <w:r w:rsidRPr="00E15C2C">
          <w:rPr>
            <w:rStyle w:val="Hyperlink"/>
            <w:bCs/>
            <w:webHidden/>
          </w:rPr>
        </w:r>
        <w:r w:rsidRPr="00E15C2C">
          <w:rPr>
            <w:rStyle w:val="Hyperlink"/>
            <w:bCs/>
            <w:webHidden/>
          </w:rPr>
          <w:fldChar w:fldCharType="separate"/>
        </w:r>
        <w:r w:rsidR="00A60948" w:rsidRPr="00E15C2C">
          <w:rPr>
            <w:rStyle w:val="Hyperlink"/>
            <w:bCs/>
            <w:webHidden/>
          </w:rPr>
          <w:t>20</w:t>
        </w:r>
        <w:r w:rsidRPr="00E15C2C">
          <w:rPr>
            <w:rStyle w:val="Hyperlink"/>
            <w:bCs/>
            <w:webHidden/>
          </w:rPr>
          <w:fldChar w:fldCharType="end"/>
        </w:r>
      </w:hyperlink>
    </w:p>
    <w:p w14:paraId="431CCFF9" w14:textId="224BB963" w:rsidR="00D65006" w:rsidRPr="00E15C2C" w:rsidRDefault="00D65006" w:rsidP="00D65006">
      <w:pPr>
        <w:pStyle w:val="TOC3"/>
        <w:tabs>
          <w:tab w:val="clear" w:pos="964"/>
        </w:tabs>
        <w:ind w:left="2380"/>
        <w:rPr>
          <w:rStyle w:val="Hyperlink"/>
          <w:bCs/>
        </w:rPr>
      </w:pPr>
      <w:hyperlink w:anchor="_Toc223427631" w:history="1">
        <w:r w:rsidRPr="00E15C2C">
          <w:rPr>
            <w:rStyle w:val="Hyperlink"/>
            <w:bCs/>
          </w:rPr>
          <w:t>7.3.2</w:t>
        </w:r>
        <w:r w:rsidRPr="00E15C2C">
          <w:rPr>
            <w:rStyle w:val="Hyperlink"/>
            <w:bCs/>
          </w:rPr>
          <w:tab/>
          <w:t>Systèmes d'information géographique du BR</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_Toc223427631 \h </w:instrText>
        </w:r>
        <w:r w:rsidRPr="00E15C2C">
          <w:rPr>
            <w:rStyle w:val="Hyperlink"/>
            <w:bCs/>
            <w:webHidden/>
          </w:rPr>
        </w:r>
        <w:r w:rsidRPr="00E15C2C">
          <w:rPr>
            <w:rStyle w:val="Hyperlink"/>
            <w:bCs/>
            <w:webHidden/>
          </w:rPr>
          <w:fldChar w:fldCharType="separate"/>
        </w:r>
        <w:r w:rsidR="00A60948" w:rsidRPr="00E15C2C">
          <w:rPr>
            <w:rStyle w:val="Hyperlink"/>
            <w:bCs/>
            <w:webHidden/>
          </w:rPr>
          <w:t>21</w:t>
        </w:r>
        <w:r w:rsidRPr="00E15C2C">
          <w:rPr>
            <w:rStyle w:val="Hyperlink"/>
            <w:bCs/>
            <w:webHidden/>
          </w:rPr>
          <w:fldChar w:fldCharType="end"/>
        </w:r>
      </w:hyperlink>
    </w:p>
    <w:p w14:paraId="43636577" w14:textId="69BF6137"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32" w:history="1">
        <w:r w:rsidRPr="00E15C2C">
          <w:rPr>
            <w:rStyle w:val="Hyperlink"/>
            <w:bCs/>
          </w:rPr>
          <w:t>7.3.3</w:t>
        </w:r>
        <w:r w:rsidRPr="00E15C2C">
          <w:rPr>
            <w:rStyle w:val="Hyperlink"/>
            <w:bCs/>
          </w:rPr>
          <w:tab/>
          <w:t>Activités du BR sur l'intelligence artificielle géospatiale</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_Toc223427632 \h </w:instrText>
        </w:r>
        <w:r w:rsidRPr="00E15C2C">
          <w:rPr>
            <w:rStyle w:val="Hyperlink"/>
            <w:bCs/>
            <w:webHidden/>
          </w:rPr>
        </w:r>
        <w:r w:rsidRPr="00E15C2C">
          <w:rPr>
            <w:rStyle w:val="Hyperlink"/>
            <w:bCs/>
            <w:webHidden/>
          </w:rPr>
          <w:fldChar w:fldCharType="separate"/>
        </w:r>
        <w:r w:rsidR="00A60948" w:rsidRPr="00E15C2C">
          <w:rPr>
            <w:rStyle w:val="Hyperlink"/>
            <w:bCs/>
            <w:webHidden/>
          </w:rPr>
          <w:t>21</w:t>
        </w:r>
        <w:r w:rsidRPr="00E15C2C">
          <w:rPr>
            <w:rStyle w:val="Hyperlink"/>
            <w:bCs/>
            <w:webHidden/>
          </w:rPr>
          <w:fldChar w:fldCharType="end"/>
        </w:r>
      </w:hyperlink>
    </w:p>
    <w:p w14:paraId="5738502F" w14:textId="48EE169C" w:rsidR="00D65006" w:rsidRPr="00E15C2C" w:rsidRDefault="00D65006">
      <w:pPr>
        <w:pStyle w:val="TOC2"/>
        <w:rPr>
          <w:rFonts w:asciiTheme="minorHAnsi" w:eastAsiaTheme="minorEastAsia" w:hAnsiTheme="minorHAnsi" w:cstheme="minorBidi"/>
          <w:sz w:val="22"/>
          <w:szCs w:val="22"/>
        </w:rPr>
      </w:pPr>
      <w:hyperlink w:anchor="_Toc223427633" w:history="1">
        <w:r w:rsidRPr="00E15C2C">
          <w:rPr>
            <w:rStyle w:val="Hyperlink"/>
            <w:bCs/>
          </w:rPr>
          <w:t>7.4</w:t>
        </w:r>
        <w:r w:rsidRPr="00E15C2C">
          <w:rPr>
            <w:rFonts w:asciiTheme="minorHAnsi" w:eastAsiaTheme="minorEastAsia" w:hAnsiTheme="minorHAnsi" w:cstheme="minorBidi"/>
            <w:sz w:val="22"/>
            <w:szCs w:val="22"/>
          </w:rPr>
          <w:tab/>
        </w:r>
        <w:r w:rsidRPr="00E15C2C">
          <w:rPr>
            <w:rStyle w:val="Hyperlink"/>
            <w:bCs/>
          </w:rPr>
          <w:t>Plan de continuité des activités et de rétablissement en cas de catastrophe</w:t>
        </w:r>
        <w:r w:rsidRPr="00E15C2C">
          <w:rPr>
            <w:rStyle w:val="Hyperlink"/>
            <w:bCs/>
          </w:rPr>
          <w:tab/>
        </w:r>
        <w:r w:rsidRPr="00E15C2C">
          <w:rPr>
            <w:webHidden/>
          </w:rPr>
          <w:tab/>
        </w:r>
        <w:r w:rsidRPr="00E15C2C">
          <w:rPr>
            <w:webHidden/>
          </w:rPr>
          <w:fldChar w:fldCharType="begin"/>
        </w:r>
        <w:r w:rsidRPr="00E15C2C">
          <w:rPr>
            <w:webHidden/>
          </w:rPr>
          <w:instrText xml:space="preserve"> PAGEREF _Toc223427633 \h </w:instrText>
        </w:r>
        <w:r w:rsidRPr="00E15C2C">
          <w:rPr>
            <w:webHidden/>
          </w:rPr>
        </w:r>
        <w:r w:rsidRPr="00E15C2C">
          <w:rPr>
            <w:webHidden/>
          </w:rPr>
          <w:fldChar w:fldCharType="separate"/>
        </w:r>
        <w:r w:rsidR="00A60948" w:rsidRPr="00E15C2C">
          <w:rPr>
            <w:webHidden/>
          </w:rPr>
          <w:t>21</w:t>
        </w:r>
        <w:r w:rsidRPr="00E15C2C">
          <w:rPr>
            <w:webHidden/>
          </w:rPr>
          <w:fldChar w:fldCharType="end"/>
        </w:r>
      </w:hyperlink>
    </w:p>
    <w:p w14:paraId="2668FFA1" w14:textId="4B29CA3A" w:rsidR="00D65006" w:rsidRPr="00E15C2C" w:rsidRDefault="00D65006">
      <w:pPr>
        <w:pStyle w:val="TOC2"/>
        <w:rPr>
          <w:rFonts w:asciiTheme="minorHAnsi" w:eastAsiaTheme="minorEastAsia" w:hAnsiTheme="minorHAnsi" w:cstheme="minorBidi"/>
          <w:sz w:val="22"/>
          <w:szCs w:val="22"/>
        </w:rPr>
      </w:pPr>
      <w:hyperlink w:anchor="_Toc223427634" w:history="1">
        <w:r w:rsidRPr="00E15C2C">
          <w:rPr>
            <w:rStyle w:val="Hyperlink"/>
            <w:bCs/>
          </w:rPr>
          <w:t>7.5</w:t>
        </w:r>
        <w:r w:rsidRPr="00E15C2C">
          <w:rPr>
            <w:rFonts w:asciiTheme="minorHAnsi" w:eastAsiaTheme="minorEastAsia" w:hAnsiTheme="minorHAnsi" w:cstheme="minorBidi"/>
            <w:sz w:val="22"/>
            <w:szCs w:val="22"/>
          </w:rPr>
          <w:tab/>
        </w:r>
        <w:r w:rsidRPr="00E15C2C">
          <w:rPr>
            <w:rStyle w:val="Hyperlink"/>
            <w:bCs/>
          </w:rPr>
          <w:t>Informatique en nuage</w:t>
        </w:r>
        <w:r w:rsidRPr="00E15C2C">
          <w:rPr>
            <w:webHidden/>
          </w:rPr>
          <w:tab/>
        </w:r>
        <w:r w:rsidRPr="00E15C2C">
          <w:rPr>
            <w:webHidden/>
          </w:rPr>
          <w:tab/>
        </w:r>
        <w:r w:rsidRPr="00E15C2C">
          <w:rPr>
            <w:webHidden/>
          </w:rPr>
          <w:fldChar w:fldCharType="begin"/>
        </w:r>
        <w:r w:rsidRPr="00E15C2C">
          <w:rPr>
            <w:webHidden/>
          </w:rPr>
          <w:instrText xml:space="preserve"> PAGEREF _Toc223427634 \h </w:instrText>
        </w:r>
        <w:r w:rsidRPr="00E15C2C">
          <w:rPr>
            <w:webHidden/>
          </w:rPr>
        </w:r>
        <w:r w:rsidRPr="00E15C2C">
          <w:rPr>
            <w:webHidden/>
          </w:rPr>
          <w:fldChar w:fldCharType="separate"/>
        </w:r>
        <w:r w:rsidR="00A60948" w:rsidRPr="00E15C2C">
          <w:rPr>
            <w:webHidden/>
          </w:rPr>
          <w:t>21</w:t>
        </w:r>
        <w:r w:rsidRPr="00E15C2C">
          <w:rPr>
            <w:webHidden/>
          </w:rPr>
          <w:fldChar w:fldCharType="end"/>
        </w:r>
      </w:hyperlink>
    </w:p>
    <w:p w14:paraId="25239430" w14:textId="3933EF86" w:rsidR="00D65006" w:rsidRPr="00E15C2C" w:rsidRDefault="00D65006">
      <w:pPr>
        <w:pStyle w:val="TOC1"/>
        <w:rPr>
          <w:rFonts w:asciiTheme="minorHAnsi" w:eastAsiaTheme="minorEastAsia" w:hAnsiTheme="minorHAnsi" w:cstheme="minorBidi"/>
          <w:sz w:val="22"/>
          <w:szCs w:val="22"/>
        </w:rPr>
      </w:pPr>
      <w:hyperlink w:anchor="_Toc223427635" w:history="1">
        <w:r w:rsidRPr="00E15C2C">
          <w:rPr>
            <w:rStyle w:val="Hyperlink"/>
          </w:rPr>
          <w:t>8</w:t>
        </w:r>
        <w:r w:rsidRPr="00E15C2C">
          <w:rPr>
            <w:rFonts w:asciiTheme="minorHAnsi" w:eastAsiaTheme="minorEastAsia" w:hAnsiTheme="minorHAnsi" w:cstheme="minorBidi"/>
            <w:sz w:val="22"/>
            <w:szCs w:val="22"/>
          </w:rPr>
          <w:tab/>
        </w:r>
        <w:r w:rsidRPr="00E15C2C">
          <w:rPr>
            <w:rStyle w:val="Hyperlink"/>
          </w:rPr>
          <w:t>Activités de sensibilisation</w:t>
        </w:r>
        <w:r w:rsidRPr="00E15C2C">
          <w:rPr>
            <w:webHidden/>
          </w:rPr>
          <w:tab/>
        </w:r>
        <w:r w:rsidRPr="00E15C2C">
          <w:rPr>
            <w:webHidden/>
          </w:rPr>
          <w:tab/>
        </w:r>
        <w:r w:rsidRPr="00E15C2C">
          <w:rPr>
            <w:webHidden/>
          </w:rPr>
          <w:fldChar w:fldCharType="begin"/>
        </w:r>
        <w:r w:rsidRPr="00E15C2C">
          <w:rPr>
            <w:webHidden/>
          </w:rPr>
          <w:instrText xml:space="preserve"> PAGEREF _Toc223427635 \h </w:instrText>
        </w:r>
        <w:r w:rsidRPr="00E15C2C">
          <w:rPr>
            <w:webHidden/>
          </w:rPr>
        </w:r>
        <w:r w:rsidRPr="00E15C2C">
          <w:rPr>
            <w:webHidden/>
          </w:rPr>
          <w:fldChar w:fldCharType="separate"/>
        </w:r>
        <w:r w:rsidR="00A60948" w:rsidRPr="00E15C2C">
          <w:rPr>
            <w:webHidden/>
          </w:rPr>
          <w:t>21</w:t>
        </w:r>
        <w:r w:rsidRPr="00E15C2C">
          <w:rPr>
            <w:webHidden/>
          </w:rPr>
          <w:fldChar w:fldCharType="end"/>
        </w:r>
      </w:hyperlink>
    </w:p>
    <w:p w14:paraId="60F8C0F7" w14:textId="69D331F0" w:rsidR="00D65006" w:rsidRPr="00E15C2C" w:rsidRDefault="00D65006">
      <w:pPr>
        <w:pStyle w:val="TOC2"/>
        <w:rPr>
          <w:rFonts w:asciiTheme="minorHAnsi" w:eastAsiaTheme="minorEastAsia" w:hAnsiTheme="minorHAnsi" w:cstheme="minorBidi"/>
          <w:sz w:val="22"/>
          <w:szCs w:val="22"/>
        </w:rPr>
      </w:pPr>
      <w:hyperlink w:anchor="_Toc223427636" w:history="1">
        <w:r w:rsidRPr="00E15C2C">
          <w:rPr>
            <w:rStyle w:val="Hyperlink"/>
            <w:bCs/>
          </w:rPr>
          <w:t>8.1</w:t>
        </w:r>
        <w:r w:rsidRPr="00E15C2C">
          <w:rPr>
            <w:rFonts w:asciiTheme="minorHAnsi" w:eastAsiaTheme="minorEastAsia" w:hAnsiTheme="minorHAnsi" w:cstheme="minorBidi"/>
            <w:sz w:val="22"/>
            <w:szCs w:val="22"/>
          </w:rPr>
          <w:tab/>
        </w:r>
        <w:r w:rsidRPr="00E15C2C">
          <w:rPr>
            <w:rStyle w:val="Hyperlink"/>
            <w:bCs/>
          </w:rPr>
          <w:t>Publications</w:t>
        </w:r>
        <w:r w:rsidRPr="00E15C2C">
          <w:rPr>
            <w:webHidden/>
          </w:rPr>
          <w:tab/>
        </w:r>
        <w:r w:rsidRPr="00E15C2C">
          <w:rPr>
            <w:webHidden/>
          </w:rPr>
          <w:tab/>
        </w:r>
        <w:r w:rsidRPr="00E15C2C">
          <w:rPr>
            <w:webHidden/>
          </w:rPr>
          <w:fldChar w:fldCharType="begin"/>
        </w:r>
        <w:r w:rsidRPr="00E15C2C">
          <w:rPr>
            <w:webHidden/>
          </w:rPr>
          <w:instrText xml:space="preserve"> PAGEREF _Toc223427636 \h </w:instrText>
        </w:r>
        <w:r w:rsidRPr="00E15C2C">
          <w:rPr>
            <w:webHidden/>
          </w:rPr>
        </w:r>
        <w:r w:rsidRPr="00E15C2C">
          <w:rPr>
            <w:webHidden/>
          </w:rPr>
          <w:fldChar w:fldCharType="separate"/>
        </w:r>
        <w:r w:rsidR="00A60948" w:rsidRPr="00E15C2C">
          <w:rPr>
            <w:webHidden/>
          </w:rPr>
          <w:t>22</w:t>
        </w:r>
        <w:r w:rsidRPr="00E15C2C">
          <w:rPr>
            <w:webHidden/>
          </w:rPr>
          <w:fldChar w:fldCharType="end"/>
        </w:r>
      </w:hyperlink>
    </w:p>
    <w:p w14:paraId="420FA12B" w14:textId="4E0D2A59" w:rsidR="00D65006" w:rsidRPr="00E15C2C" w:rsidRDefault="00D65006" w:rsidP="00D65006">
      <w:pPr>
        <w:pStyle w:val="TOC3"/>
        <w:tabs>
          <w:tab w:val="clear" w:pos="964"/>
        </w:tabs>
        <w:ind w:left="2380"/>
        <w:rPr>
          <w:rStyle w:val="Hyperlink"/>
          <w:bCs/>
        </w:rPr>
      </w:pPr>
      <w:hyperlink w:anchor="_Toc223427637" w:history="1">
        <w:r w:rsidRPr="00E15C2C">
          <w:rPr>
            <w:rStyle w:val="Hyperlink"/>
            <w:bCs/>
          </w:rPr>
          <w:t>8.1.1</w:t>
        </w:r>
        <w:r w:rsidRPr="00E15C2C">
          <w:rPr>
            <w:rStyle w:val="Hyperlink"/>
            <w:bCs/>
          </w:rPr>
          <w:tab/>
          <w:t>Publications réglementaires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_Toc223427637 \h </w:instrText>
        </w:r>
        <w:r w:rsidRPr="00E15C2C">
          <w:rPr>
            <w:rStyle w:val="Hyperlink"/>
            <w:bCs/>
            <w:webHidden/>
          </w:rPr>
        </w:r>
        <w:r w:rsidRPr="00E15C2C">
          <w:rPr>
            <w:rStyle w:val="Hyperlink"/>
            <w:bCs/>
            <w:webHidden/>
          </w:rPr>
          <w:fldChar w:fldCharType="separate"/>
        </w:r>
        <w:r w:rsidR="00A60948" w:rsidRPr="00E15C2C">
          <w:rPr>
            <w:rStyle w:val="Hyperlink"/>
            <w:bCs/>
            <w:webHidden/>
          </w:rPr>
          <w:t>22</w:t>
        </w:r>
        <w:r w:rsidRPr="00E15C2C">
          <w:rPr>
            <w:rStyle w:val="Hyperlink"/>
            <w:bCs/>
            <w:webHidden/>
          </w:rPr>
          <w:fldChar w:fldCharType="end"/>
        </w:r>
      </w:hyperlink>
    </w:p>
    <w:p w14:paraId="6CA6B580" w14:textId="2FF4724B" w:rsidR="00D65006" w:rsidRPr="00E15C2C" w:rsidRDefault="00D65006" w:rsidP="00D65006">
      <w:pPr>
        <w:pStyle w:val="TOC3"/>
        <w:tabs>
          <w:tab w:val="clear" w:pos="964"/>
        </w:tabs>
        <w:ind w:left="2380"/>
        <w:rPr>
          <w:rStyle w:val="Hyperlink"/>
          <w:bCs/>
        </w:rPr>
      </w:pPr>
      <w:hyperlink w:anchor="_Toc223427638" w:history="1">
        <w:r w:rsidRPr="00E15C2C">
          <w:rPr>
            <w:rStyle w:val="Hyperlink"/>
            <w:bCs/>
          </w:rPr>
          <w:t>8.1.2</w:t>
        </w:r>
        <w:r w:rsidRPr="00E15C2C">
          <w:rPr>
            <w:rStyle w:val="Hyperlink"/>
            <w:bCs/>
          </w:rPr>
          <w:tab/>
          <w:t>Publications de service</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_Toc223427638 \h </w:instrText>
        </w:r>
        <w:r w:rsidRPr="00E15C2C">
          <w:rPr>
            <w:rStyle w:val="Hyperlink"/>
            <w:bCs/>
            <w:webHidden/>
          </w:rPr>
        </w:r>
        <w:r w:rsidRPr="00E15C2C">
          <w:rPr>
            <w:rStyle w:val="Hyperlink"/>
            <w:bCs/>
            <w:webHidden/>
          </w:rPr>
          <w:fldChar w:fldCharType="separate"/>
        </w:r>
        <w:r w:rsidR="00A60948" w:rsidRPr="00E15C2C">
          <w:rPr>
            <w:rStyle w:val="Hyperlink"/>
            <w:bCs/>
            <w:webHidden/>
          </w:rPr>
          <w:t>22</w:t>
        </w:r>
        <w:r w:rsidRPr="00E15C2C">
          <w:rPr>
            <w:rStyle w:val="Hyperlink"/>
            <w:bCs/>
            <w:webHidden/>
          </w:rPr>
          <w:fldChar w:fldCharType="end"/>
        </w:r>
      </w:hyperlink>
    </w:p>
    <w:p w14:paraId="528DE942" w14:textId="2F24AAC6" w:rsidR="00D65006" w:rsidRPr="00E15C2C" w:rsidRDefault="00D65006" w:rsidP="00D65006">
      <w:pPr>
        <w:pStyle w:val="TOC3"/>
        <w:tabs>
          <w:tab w:val="clear" w:pos="964"/>
        </w:tabs>
        <w:ind w:left="2380"/>
        <w:rPr>
          <w:rStyle w:val="Hyperlink"/>
          <w:bCs/>
        </w:rPr>
      </w:pPr>
      <w:hyperlink w:anchor="_Toc223427639" w:history="1">
        <w:r w:rsidRPr="00E15C2C">
          <w:rPr>
            <w:rStyle w:val="Hyperlink"/>
            <w:bCs/>
          </w:rPr>
          <w:t>8.1.3</w:t>
        </w:r>
        <w:r w:rsidRPr="00E15C2C">
          <w:rPr>
            <w:rStyle w:val="Hyperlink"/>
            <w:bCs/>
          </w:rPr>
          <w:tab/>
          <w:t>Publications des commissions d'études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_Toc223427639 \h </w:instrText>
        </w:r>
        <w:r w:rsidRPr="00E15C2C">
          <w:rPr>
            <w:rStyle w:val="Hyperlink"/>
            <w:bCs/>
            <w:webHidden/>
          </w:rPr>
        </w:r>
        <w:r w:rsidRPr="00E15C2C">
          <w:rPr>
            <w:rStyle w:val="Hyperlink"/>
            <w:bCs/>
            <w:webHidden/>
          </w:rPr>
          <w:fldChar w:fldCharType="separate"/>
        </w:r>
        <w:r w:rsidR="00A60948" w:rsidRPr="00E15C2C">
          <w:rPr>
            <w:rStyle w:val="Hyperlink"/>
            <w:bCs/>
            <w:webHidden/>
          </w:rPr>
          <w:t>24</w:t>
        </w:r>
        <w:r w:rsidRPr="00E15C2C">
          <w:rPr>
            <w:rStyle w:val="Hyperlink"/>
            <w:bCs/>
            <w:webHidden/>
          </w:rPr>
          <w:fldChar w:fldCharType="end"/>
        </w:r>
      </w:hyperlink>
    </w:p>
    <w:p w14:paraId="293A6943" w14:textId="345B659A"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40" w:history="1">
        <w:r w:rsidRPr="00E15C2C">
          <w:rPr>
            <w:rStyle w:val="Hyperlink"/>
            <w:bCs/>
          </w:rPr>
          <w:t>8.1.4</w:t>
        </w:r>
        <w:r w:rsidRPr="00E15C2C">
          <w:rPr>
            <w:rStyle w:val="Hyperlink"/>
            <w:bCs/>
          </w:rPr>
          <w:tab/>
          <w:t>Téléchargement et livraison des publications de l'UIT-R</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_Toc223427640 \h </w:instrText>
        </w:r>
        <w:r w:rsidRPr="00E15C2C">
          <w:rPr>
            <w:rStyle w:val="Hyperlink"/>
            <w:bCs/>
            <w:webHidden/>
          </w:rPr>
        </w:r>
        <w:r w:rsidRPr="00E15C2C">
          <w:rPr>
            <w:rStyle w:val="Hyperlink"/>
            <w:bCs/>
            <w:webHidden/>
          </w:rPr>
          <w:fldChar w:fldCharType="separate"/>
        </w:r>
        <w:r w:rsidR="00A60948" w:rsidRPr="00E15C2C">
          <w:rPr>
            <w:rStyle w:val="Hyperlink"/>
            <w:bCs/>
            <w:webHidden/>
          </w:rPr>
          <w:t>24</w:t>
        </w:r>
        <w:r w:rsidRPr="00E15C2C">
          <w:rPr>
            <w:rStyle w:val="Hyperlink"/>
            <w:bCs/>
            <w:webHidden/>
          </w:rPr>
          <w:fldChar w:fldCharType="end"/>
        </w:r>
      </w:hyperlink>
    </w:p>
    <w:p w14:paraId="40E4F27A" w14:textId="3B77652D" w:rsidR="00D65006" w:rsidRPr="00E15C2C" w:rsidRDefault="00D65006">
      <w:pPr>
        <w:pStyle w:val="TOC2"/>
        <w:rPr>
          <w:rFonts w:asciiTheme="minorHAnsi" w:eastAsiaTheme="minorEastAsia" w:hAnsiTheme="minorHAnsi" w:cstheme="minorBidi"/>
          <w:sz w:val="22"/>
          <w:szCs w:val="22"/>
        </w:rPr>
      </w:pPr>
      <w:hyperlink w:anchor="_Toc223427641" w:history="1">
        <w:r w:rsidRPr="00E15C2C">
          <w:rPr>
            <w:rStyle w:val="Hyperlink"/>
            <w:bCs/>
          </w:rPr>
          <w:t>8.2</w:t>
        </w:r>
        <w:r w:rsidRPr="00E15C2C">
          <w:rPr>
            <w:rFonts w:asciiTheme="minorHAnsi" w:eastAsiaTheme="minorEastAsia" w:hAnsiTheme="minorHAnsi" w:cstheme="minorBidi"/>
            <w:sz w:val="22"/>
            <w:szCs w:val="22"/>
          </w:rPr>
          <w:tab/>
        </w:r>
        <w:r w:rsidRPr="00E15C2C">
          <w:rPr>
            <w:rStyle w:val="Hyperlink"/>
            <w:bCs/>
          </w:rPr>
          <w:t>Séminaires, ateliers et autres manifestations</w:t>
        </w:r>
        <w:r w:rsidRPr="00E15C2C">
          <w:rPr>
            <w:webHidden/>
          </w:rPr>
          <w:tab/>
        </w:r>
        <w:r w:rsidRPr="00E15C2C">
          <w:rPr>
            <w:webHidden/>
          </w:rPr>
          <w:tab/>
        </w:r>
        <w:r w:rsidRPr="00E15C2C">
          <w:rPr>
            <w:webHidden/>
          </w:rPr>
          <w:fldChar w:fldCharType="begin"/>
        </w:r>
        <w:r w:rsidRPr="00E15C2C">
          <w:rPr>
            <w:webHidden/>
          </w:rPr>
          <w:instrText xml:space="preserve"> PAGEREF _Toc223427641 \h </w:instrText>
        </w:r>
        <w:r w:rsidRPr="00E15C2C">
          <w:rPr>
            <w:webHidden/>
          </w:rPr>
        </w:r>
        <w:r w:rsidRPr="00E15C2C">
          <w:rPr>
            <w:webHidden/>
          </w:rPr>
          <w:fldChar w:fldCharType="separate"/>
        </w:r>
        <w:r w:rsidR="00A60948" w:rsidRPr="00E15C2C">
          <w:rPr>
            <w:webHidden/>
          </w:rPr>
          <w:t>28</w:t>
        </w:r>
        <w:r w:rsidRPr="00E15C2C">
          <w:rPr>
            <w:webHidden/>
          </w:rPr>
          <w:fldChar w:fldCharType="end"/>
        </w:r>
      </w:hyperlink>
    </w:p>
    <w:p w14:paraId="2A370292" w14:textId="0B2E46D2" w:rsidR="00D65006" w:rsidRPr="00E15C2C" w:rsidRDefault="00D65006" w:rsidP="00D65006">
      <w:pPr>
        <w:pStyle w:val="TOC3"/>
        <w:tabs>
          <w:tab w:val="clear" w:pos="964"/>
        </w:tabs>
        <w:ind w:left="2380"/>
        <w:rPr>
          <w:rStyle w:val="Hyperlink"/>
          <w:bCs/>
        </w:rPr>
      </w:pPr>
      <w:hyperlink w:anchor="_Toc223427642" w:history="1">
        <w:r w:rsidRPr="00E15C2C">
          <w:rPr>
            <w:rStyle w:val="Hyperlink"/>
            <w:bCs/>
          </w:rPr>
          <w:t>8.2.1</w:t>
        </w:r>
        <w:r w:rsidRPr="00E15C2C">
          <w:rPr>
            <w:rStyle w:val="Hyperlink"/>
            <w:bCs/>
          </w:rPr>
          <w:tab/>
          <w:t>Séminaire mondial des radiocommunications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_Toc223427642 \h </w:instrText>
        </w:r>
        <w:r w:rsidRPr="00E15C2C">
          <w:rPr>
            <w:rStyle w:val="Hyperlink"/>
            <w:bCs/>
            <w:webHidden/>
          </w:rPr>
        </w:r>
        <w:r w:rsidRPr="00E15C2C">
          <w:rPr>
            <w:rStyle w:val="Hyperlink"/>
            <w:bCs/>
            <w:webHidden/>
          </w:rPr>
          <w:fldChar w:fldCharType="separate"/>
        </w:r>
        <w:r w:rsidR="00A60948" w:rsidRPr="00E15C2C">
          <w:rPr>
            <w:rStyle w:val="Hyperlink"/>
            <w:bCs/>
            <w:webHidden/>
          </w:rPr>
          <w:t>29</w:t>
        </w:r>
        <w:r w:rsidRPr="00E15C2C">
          <w:rPr>
            <w:rStyle w:val="Hyperlink"/>
            <w:bCs/>
            <w:webHidden/>
          </w:rPr>
          <w:fldChar w:fldCharType="end"/>
        </w:r>
      </w:hyperlink>
    </w:p>
    <w:p w14:paraId="1B6A631F" w14:textId="331C4B91" w:rsidR="00D65006" w:rsidRPr="00E15C2C" w:rsidRDefault="00D65006" w:rsidP="00D65006">
      <w:pPr>
        <w:pStyle w:val="TOC3"/>
        <w:tabs>
          <w:tab w:val="clear" w:pos="964"/>
        </w:tabs>
        <w:ind w:left="2380"/>
        <w:rPr>
          <w:rStyle w:val="Hyperlink"/>
          <w:bCs/>
        </w:rPr>
      </w:pPr>
      <w:hyperlink w:anchor="_Toc223427643" w:history="1">
        <w:r w:rsidRPr="00E15C2C">
          <w:rPr>
            <w:rStyle w:val="Hyperlink"/>
            <w:bCs/>
          </w:rPr>
          <w:t>8.2.2</w:t>
        </w:r>
        <w:r w:rsidRPr="00E15C2C">
          <w:rPr>
            <w:rStyle w:val="Hyperlink"/>
            <w:bCs/>
          </w:rPr>
          <w:tab/>
          <w:t>Séminaires régionaux des radiocommunications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_Toc223427643 \h </w:instrText>
        </w:r>
        <w:r w:rsidRPr="00E15C2C">
          <w:rPr>
            <w:rStyle w:val="Hyperlink"/>
            <w:bCs/>
            <w:webHidden/>
          </w:rPr>
        </w:r>
        <w:r w:rsidRPr="00E15C2C">
          <w:rPr>
            <w:rStyle w:val="Hyperlink"/>
            <w:bCs/>
            <w:webHidden/>
          </w:rPr>
          <w:fldChar w:fldCharType="separate"/>
        </w:r>
        <w:r w:rsidR="00A60948" w:rsidRPr="00E15C2C">
          <w:rPr>
            <w:rStyle w:val="Hyperlink"/>
            <w:bCs/>
            <w:webHidden/>
          </w:rPr>
          <w:t>30</w:t>
        </w:r>
        <w:r w:rsidRPr="00E15C2C">
          <w:rPr>
            <w:rStyle w:val="Hyperlink"/>
            <w:bCs/>
            <w:webHidden/>
          </w:rPr>
          <w:fldChar w:fldCharType="end"/>
        </w:r>
      </w:hyperlink>
    </w:p>
    <w:p w14:paraId="5B696C0F" w14:textId="109A9382"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44" w:history="1">
        <w:r w:rsidRPr="00E15C2C">
          <w:rPr>
            <w:rStyle w:val="Hyperlink"/>
            <w:bCs/>
          </w:rPr>
          <w:t>8.2.3</w:t>
        </w:r>
        <w:r w:rsidRPr="00E15C2C">
          <w:rPr>
            <w:rStyle w:val="Hyperlink"/>
            <w:bCs/>
          </w:rPr>
          <w:tab/>
          <w:t>Ateliers sur les tableaux nationaux d'attribution des bandes de fréquences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_Toc223427644 \h </w:instrText>
        </w:r>
        <w:r w:rsidRPr="00E15C2C">
          <w:rPr>
            <w:rStyle w:val="Hyperlink"/>
            <w:bCs/>
            <w:webHidden/>
          </w:rPr>
        </w:r>
        <w:r w:rsidRPr="00E15C2C">
          <w:rPr>
            <w:rStyle w:val="Hyperlink"/>
            <w:bCs/>
            <w:webHidden/>
          </w:rPr>
          <w:fldChar w:fldCharType="separate"/>
        </w:r>
        <w:r w:rsidR="00A60948" w:rsidRPr="00E15C2C">
          <w:rPr>
            <w:rStyle w:val="Hyperlink"/>
            <w:bCs/>
            <w:webHidden/>
          </w:rPr>
          <w:t>32</w:t>
        </w:r>
        <w:r w:rsidRPr="00E15C2C">
          <w:rPr>
            <w:rStyle w:val="Hyperlink"/>
            <w:bCs/>
            <w:webHidden/>
          </w:rPr>
          <w:fldChar w:fldCharType="end"/>
        </w:r>
      </w:hyperlink>
    </w:p>
    <w:p w14:paraId="76636672" w14:textId="156DBF94" w:rsidR="00D65006" w:rsidRPr="00E15C2C" w:rsidRDefault="00D65006">
      <w:pPr>
        <w:pStyle w:val="TOC2"/>
        <w:rPr>
          <w:rFonts w:asciiTheme="minorHAnsi" w:eastAsiaTheme="minorEastAsia" w:hAnsiTheme="minorHAnsi" w:cstheme="minorBidi"/>
          <w:sz w:val="22"/>
          <w:szCs w:val="22"/>
        </w:rPr>
      </w:pPr>
      <w:hyperlink w:anchor="_Toc223427645" w:history="1">
        <w:r w:rsidRPr="00E15C2C">
          <w:rPr>
            <w:rStyle w:val="Hyperlink"/>
            <w:bCs/>
          </w:rPr>
          <w:t>8.3</w:t>
        </w:r>
        <w:r w:rsidRPr="00E15C2C">
          <w:rPr>
            <w:rFonts w:asciiTheme="minorHAnsi" w:eastAsiaTheme="minorEastAsia" w:hAnsiTheme="minorHAnsi" w:cstheme="minorBidi"/>
            <w:sz w:val="22"/>
            <w:szCs w:val="22"/>
          </w:rPr>
          <w:tab/>
        </w:r>
        <w:r w:rsidRPr="00E15C2C">
          <w:rPr>
            <w:rStyle w:val="Hyperlink"/>
            <w:bCs/>
          </w:rPr>
          <w:t>Assistance fournie aux États Membres</w:t>
        </w:r>
        <w:r w:rsidRPr="00E15C2C">
          <w:rPr>
            <w:webHidden/>
          </w:rPr>
          <w:tab/>
        </w:r>
        <w:r w:rsidRPr="00E15C2C">
          <w:rPr>
            <w:webHidden/>
          </w:rPr>
          <w:tab/>
        </w:r>
        <w:r w:rsidRPr="00E15C2C">
          <w:rPr>
            <w:webHidden/>
          </w:rPr>
          <w:fldChar w:fldCharType="begin"/>
        </w:r>
        <w:r w:rsidRPr="00E15C2C">
          <w:rPr>
            <w:webHidden/>
          </w:rPr>
          <w:instrText xml:space="preserve"> PAGEREF _Toc223427645 \h </w:instrText>
        </w:r>
        <w:r w:rsidRPr="00E15C2C">
          <w:rPr>
            <w:webHidden/>
          </w:rPr>
        </w:r>
        <w:r w:rsidRPr="00E15C2C">
          <w:rPr>
            <w:webHidden/>
          </w:rPr>
          <w:fldChar w:fldCharType="separate"/>
        </w:r>
        <w:r w:rsidR="00A60948" w:rsidRPr="00E15C2C">
          <w:rPr>
            <w:webHidden/>
          </w:rPr>
          <w:t>32</w:t>
        </w:r>
        <w:r w:rsidRPr="00E15C2C">
          <w:rPr>
            <w:webHidden/>
          </w:rPr>
          <w:fldChar w:fldCharType="end"/>
        </w:r>
      </w:hyperlink>
    </w:p>
    <w:p w14:paraId="5E5E0BF0" w14:textId="7E898DDD" w:rsidR="00D65006" w:rsidRPr="00E15C2C" w:rsidRDefault="00D65006" w:rsidP="00D65006">
      <w:pPr>
        <w:pStyle w:val="TOC3"/>
        <w:tabs>
          <w:tab w:val="clear" w:pos="964"/>
        </w:tabs>
        <w:ind w:left="2380"/>
        <w:rPr>
          <w:rStyle w:val="Hyperlink"/>
          <w:bCs/>
        </w:rPr>
      </w:pPr>
      <w:hyperlink w:anchor="_Toc223427646" w:history="1">
        <w:r w:rsidRPr="00E15C2C">
          <w:rPr>
            <w:rStyle w:val="Hyperlink"/>
            <w:bCs/>
          </w:rPr>
          <w:t>8.3.1</w:t>
        </w:r>
        <w:r w:rsidRPr="00E15C2C">
          <w:rPr>
            <w:rStyle w:val="Hyperlink"/>
            <w:bCs/>
          </w:rPr>
          <w:tab/>
          <w:t>Assistance fournie aux administrations des pays en développement</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_Toc223427646 \h </w:instrText>
        </w:r>
        <w:r w:rsidRPr="00E15C2C">
          <w:rPr>
            <w:rStyle w:val="Hyperlink"/>
            <w:bCs/>
            <w:webHidden/>
          </w:rPr>
        </w:r>
        <w:r w:rsidRPr="00E15C2C">
          <w:rPr>
            <w:rStyle w:val="Hyperlink"/>
            <w:bCs/>
            <w:webHidden/>
          </w:rPr>
          <w:fldChar w:fldCharType="separate"/>
        </w:r>
        <w:r w:rsidR="00A60948" w:rsidRPr="00E15C2C">
          <w:rPr>
            <w:rStyle w:val="Hyperlink"/>
            <w:bCs/>
            <w:webHidden/>
          </w:rPr>
          <w:t>32</w:t>
        </w:r>
        <w:r w:rsidRPr="00E15C2C">
          <w:rPr>
            <w:rStyle w:val="Hyperlink"/>
            <w:bCs/>
            <w:webHidden/>
          </w:rPr>
          <w:fldChar w:fldCharType="end"/>
        </w:r>
      </w:hyperlink>
    </w:p>
    <w:p w14:paraId="58FCDF03" w14:textId="6DBDA489"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47" w:history="1">
        <w:r w:rsidRPr="00E15C2C">
          <w:rPr>
            <w:rStyle w:val="Hyperlink"/>
            <w:bCs/>
          </w:rPr>
          <w:t>8.3.2</w:t>
        </w:r>
        <w:r w:rsidRPr="00E15C2C">
          <w:rPr>
            <w:rStyle w:val="Hyperlink"/>
            <w:bCs/>
          </w:rPr>
          <w:tab/>
          <w:t>Assistance aux Groupes régionaux</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_Toc223427647 \h </w:instrText>
        </w:r>
        <w:r w:rsidRPr="00E15C2C">
          <w:rPr>
            <w:rStyle w:val="Hyperlink"/>
            <w:bCs/>
            <w:webHidden/>
          </w:rPr>
        </w:r>
        <w:r w:rsidRPr="00E15C2C">
          <w:rPr>
            <w:rStyle w:val="Hyperlink"/>
            <w:bCs/>
            <w:webHidden/>
          </w:rPr>
          <w:fldChar w:fldCharType="separate"/>
        </w:r>
        <w:r w:rsidR="00A60948" w:rsidRPr="00E15C2C">
          <w:rPr>
            <w:rStyle w:val="Hyperlink"/>
            <w:bCs/>
            <w:webHidden/>
          </w:rPr>
          <w:t>32</w:t>
        </w:r>
        <w:r w:rsidRPr="00E15C2C">
          <w:rPr>
            <w:rStyle w:val="Hyperlink"/>
            <w:bCs/>
            <w:webHidden/>
          </w:rPr>
          <w:fldChar w:fldCharType="end"/>
        </w:r>
      </w:hyperlink>
    </w:p>
    <w:p w14:paraId="78045459" w14:textId="7395A88D" w:rsidR="00D65006" w:rsidRPr="00E15C2C" w:rsidRDefault="00D65006" w:rsidP="00E15C2C">
      <w:pPr>
        <w:pStyle w:val="TOC2"/>
        <w:keepNext/>
        <w:keepLines/>
        <w:rPr>
          <w:rFonts w:asciiTheme="minorHAnsi" w:eastAsiaTheme="minorEastAsia" w:hAnsiTheme="minorHAnsi" w:cstheme="minorBidi"/>
          <w:sz w:val="22"/>
          <w:szCs w:val="22"/>
        </w:rPr>
      </w:pPr>
      <w:hyperlink w:anchor="_Toc223427648" w:history="1">
        <w:r w:rsidRPr="00E15C2C">
          <w:rPr>
            <w:rStyle w:val="Hyperlink"/>
            <w:bCs/>
          </w:rPr>
          <w:t>8.4</w:t>
        </w:r>
        <w:r w:rsidRPr="00E15C2C">
          <w:rPr>
            <w:rFonts w:asciiTheme="minorHAnsi" w:eastAsiaTheme="minorEastAsia" w:hAnsiTheme="minorHAnsi" w:cstheme="minorBidi"/>
            <w:sz w:val="22"/>
            <w:szCs w:val="22"/>
          </w:rPr>
          <w:tab/>
        </w:r>
        <w:r w:rsidRPr="00E15C2C">
          <w:rPr>
            <w:rStyle w:val="Hyperlink"/>
            <w:bCs/>
          </w:rPr>
          <w:t>Partenariats stratégiques et coopération intersectorielle</w:t>
        </w:r>
        <w:r w:rsidRPr="00E15C2C">
          <w:rPr>
            <w:webHidden/>
          </w:rPr>
          <w:tab/>
        </w:r>
        <w:r w:rsidRPr="00E15C2C">
          <w:rPr>
            <w:webHidden/>
          </w:rPr>
          <w:tab/>
        </w:r>
        <w:r w:rsidRPr="00E15C2C">
          <w:rPr>
            <w:webHidden/>
          </w:rPr>
          <w:fldChar w:fldCharType="begin"/>
        </w:r>
        <w:r w:rsidRPr="00E15C2C">
          <w:rPr>
            <w:webHidden/>
          </w:rPr>
          <w:instrText xml:space="preserve"> PAGEREF _Toc223427648 \h </w:instrText>
        </w:r>
        <w:r w:rsidRPr="00E15C2C">
          <w:rPr>
            <w:webHidden/>
          </w:rPr>
        </w:r>
        <w:r w:rsidRPr="00E15C2C">
          <w:rPr>
            <w:webHidden/>
          </w:rPr>
          <w:fldChar w:fldCharType="separate"/>
        </w:r>
        <w:r w:rsidR="00A60948" w:rsidRPr="00E15C2C">
          <w:rPr>
            <w:webHidden/>
          </w:rPr>
          <w:t>33</w:t>
        </w:r>
        <w:r w:rsidRPr="00E15C2C">
          <w:rPr>
            <w:webHidden/>
          </w:rPr>
          <w:fldChar w:fldCharType="end"/>
        </w:r>
      </w:hyperlink>
    </w:p>
    <w:p w14:paraId="5924C780" w14:textId="1DC9A2B9" w:rsidR="00D65006" w:rsidRPr="00E15C2C" w:rsidRDefault="00D65006" w:rsidP="00E15C2C">
      <w:pPr>
        <w:pStyle w:val="TOC3"/>
        <w:keepNext/>
        <w:keepLines/>
        <w:tabs>
          <w:tab w:val="clear" w:pos="964"/>
        </w:tabs>
        <w:ind w:left="2380"/>
        <w:rPr>
          <w:rStyle w:val="Hyperlink"/>
          <w:bCs/>
        </w:rPr>
      </w:pPr>
      <w:hyperlink w:anchor="_Toc223427649" w:history="1">
        <w:r w:rsidRPr="00E15C2C">
          <w:rPr>
            <w:rStyle w:val="Hyperlink"/>
            <w:bCs/>
          </w:rPr>
          <w:t>8.4.1</w:t>
        </w:r>
        <w:r w:rsidRPr="00E15C2C">
          <w:rPr>
            <w:rStyle w:val="Hyperlink"/>
            <w:bCs/>
          </w:rPr>
          <w:tab/>
          <w:t>Coopération avec l'UIT-D</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_Toc223427649 \h </w:instrText>
        </w:r>
        <w:r w:rsidRPr="00E15C2C">
          <w:rPr>
            <w:rStyle w:val="Hyperlink"/>
            <w:bCs/>
            <w:webHidden/>
          </w:rPr>
        </w:r>
        <w:r w:rsidRPr="00E15C2C">
          <w:rPr>
            <w:rStyle w:val="Hyperlink"/>
            <w:bCs/>
            <w:webHidden/>
          </w:rPr>
          <w:fldChar w:fldCharType="separate"/>
        </w:r>
        <w:r w:rsidR="00A60948" w:rsidRPr="00E15C2C">
          <w:rPr>
            <w:rStyle w:val="Hyperlink"/>
            <w:bCs/>
            <w:webHidden/>
          </w:rPr>
          <w:t>33</w:t>
        </w:r>
        <w:r w:rsidRPr="00E15C2C">
          <w:rPr>
            <w:rStyle w:val="Hyperlink"/>
            <w:bCs/>
            <w:webHidden/>
          </w:rPr>
          <w:fldChar w:fldCharType="end"/>
        </w:r>
      </w:hyperlink>
    </w:p>
    <w:p w14:paraId="73066C5D" w14:textId="187A85B8" w:rsidR="00D65006" w:rsidRPr="00E15C2C" w:rsidRDefault="00D65006" w:rsidP="00E15C2C">
      <w:pPr>
        <w:pStyle w:val="TOC3"/>
        <w:keepNext/>
        <w:keepLines/>
        <w:tabs>
          <w:tab w:val="clear" w:pos="964"/>
        </w:tabs>
        <w:ind w:left="2380"/>
        <w:rPr>
          <w:rStyle w:val="Hyperlink"/>
          <w:bCs/>
        </w:rPr>
      </w:pPr>
      <w:hyperlink w:anchor="_Toc223427650" w:history="1">
        <w:r w:rsidRPr="00E15C2C">
          <w:rPr>
            <w:rStyle w:val="Hyperlink"/>
            <w:bCs/>
          </w:rPr>
          <w:t>8.4.2</w:t>
        </w:r>
        <w:r w:rsidRPr="00E15C2C">
          <w:rPr>
            <w:rStyle w:val="Hyperlink"/>
            <w:bCs/>
          </w:rPr>
          <w:tab/>
          <w:t>Coopération avec l'UIT-T</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_Toc223427650 \h </w:instrText>
        </w:r>
        <w:r w:rsidRPr="00E15C2C">
          <w:rPr>
            <w:rStyle w:val="Hyperlink"/>
            <w:bCs/>
            <w:webHidden/>
          </w:rPr>
        </w:r>
        <w:r w:rsidRPr="00E15C2C">
          <w:rPr>
            <w:rStyle w:val="Hyperlink"/>
            <w:bCs/>
            <w:webHidden/>
          </w:rPr>
          <w:fldChar w:fldCharType="separate"/>
        </w:r>
        <w:r w:rsidR="00A60948" w:rsidRPr="00E15C2C">
          <w:rPr>
            <w:rStyle w:val="Hyperlink"/>
            <w:bCs/>
            <w:webHidden/>
          </w:rPr>
          <w:t>34</w:t>
        </w:r>
        <w:r w:rsidRPr="00E15C2C">
          <w:rPr>
            <w:rStyle w:val="Hyperlink"/>
            <w:bCs/>
            <w:webHidden/>
          </w:rPr>
          <w:fldChar w:fldCharType="end"/>
        </w:r>
      </w:hyperlink>
    </w:p>
    <w:p w14:paraId="58781715" w14:textId="5EEBA3A2" w:rsidR="00D65006" w:rsidRPr="00E15C2C" w:rsidRDefault="00D65006" w:rsidP="00D65006">
      <w:pPr>
        <w:pStyle w:val="TOC3"/>
        <w:tabs>
          <w:tab w:val="clear" w:pos="964"/>
        </w:tabs>
        <w:ind w:left="2380"/>
        <w:rPr>
          <w:rStyle w:val="Hyperlink"/>
          <w:bCs/>
        </w:rPr>
      </w:pPr>
      <w:hyperlink w:anchor="_Toc223427651" w:history="1">
        <w:r w:rsidRPr="00E15C2C">
          <w:rPr>
            <w:rStyle w:val="Hyperlink"/>
            <w:bCs/>
          </w:rPr>
          <w:t>8.4.3</w:t>
        </w:r>
        <w:r w:rsidRPr="00E15C2C">
          <w:rPr>
            <w:rStyle w:val="Hyperlink"/>
            <w:bCs/>
          </w:rPr>
          <w:tab/>
          <w:t>Autres activités intersectorielles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_Toc223427651 \h </w:instrText>
        </w:r>
        <w:r w:rsidRPr="00E15C2C">
          <w:rPr>
            <w:rStyle w:val="Hyperlink"/>
            <w:bCs/>
            <w:webHidden/>
          </w:rPr>
        </w:r>
        <w:r w:rsidRPr="00E15C2C">
          <w:rPr>
            <w:rStyle w:val="Hyperlink"/>
            <w:bCs/>
            <w:webHidden/>
          </w:rPr>
          <w:fldChar w:fldCharType="separate"/>
        </w:r>
        <w:r w:rsidR="00A60948" w:rsidRPr="00E15C2C">
          <w:rPr>
            <w:rStyle w:val="Hyperlink"/>
            <w:bCs/>
            <w:webHidden/>
          </w:rPr>
          <w:t>34</w:t>
        </w:r>
        <w:r w:rsidRPr="00E15C2C">
          <w:rPr>
            <w:rStyle w:val="Hyperlink"/>
            <w:bCs/>
            <w:webHidden/>
          </w:rPr>
          <w:fldChar w:fldCharType="end"/>
        </w:r>
      </w:hyperlink>
    </w:p>
    <w:p w14:paraId="121A5EAB" w14:textId="1A2D5FE4"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52" w:history="1">
        <w:r w:rsidRPr="00E15C2C">
          <w:rPr>
            <w:rStyle w:val="Hyperlink"/>
            <w:bCs/>
          </w:rPr>
          <w:t>8.4.4</w:t>
        </w:r>
        <w:r w:rsidRPr="00E15C2C">
          <w:rPr>
            <w:rStyle w:val="Hyperlink"/>
            <w:bCs/>
          </w:rPr>
          <w:tab/>
          <w:t>Coopération avec d'autres organisations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_Toc223427652 \h </w:instrText>
        </w:r>
        <w:r w:rsidRPr="00E15C2C">
          <w:rPr>
            <w:rStyle w:val="Hyperlink"/>
            <w:bCs/>
            <w:webHidden/>
          </w:rPr>
        </w:r>
        <w:r w:rsidRPr="00E15C2C">
          <w:rPr>
            <w:rStyle w:val="Hyperlink"/>
            <w:bCs/>
            <w:webHidden/>
          </w:rPr>
          <w:fldChar w:fldCharType="separate"/>
        </w:r>
        <w:r w:rsidR="00A60948" w:rsidRPr="00E15C2C">
          <w:rPr>
            <w:rStyle w:val="Hyperlink"/>
            <w:bCs/>
            <w:webHidden/>
          </w:rPr>
          <w:t>34</w:t>
        </w:r>
        <w:r w:rsidRPr="00E15C2C">
          <w:rPr>
            <w:rStyle w:val="Hyperlink"/>
            <w:bCs/>
            <w:webHidden/>
          </w:rPr>
          <w:fldChar w:fldCharType="end"/>
        </w:r>
      </w:hyperlink>
    </w:p>
    <w:p w14:paraId="18AE7807" w14:textId="6108FA26" w:rsidR="00D65006" w:rsidRPr="00E15C2C" w:rsidRDefault="00D65006">
      <w:pPr>
        <w:pStyle w:val="TOC2"/>
        <w:rPr>
          <w:rFonts w:asciiTheme="minorHAnsi" w:eastAsiaTheme="minorEastAsia" w:hAnsiTheme="minorHAnsi" w:cstheme="minorBidi"/>
          <w:sz w:val="22"/>
          <w:szCs w:val="22"/>
        </w:rPr>
      </w:pPr>
      <w:hyperlink w:anchor="_Toc223427653" w:history="1">
        <w:r w:rsidRPr="00E15C2C">
          <w:rPr>
            <w:rStyle w:val="Hyperlink"/>
            <w:bCs/>
          </w:rPr>
          <w:t>8.5</w:t>
        </w:r>
        <w:r w:rsidRPr="00E15C2C">
          <w:rPr>
            <w:rFonts w:asciiTheme="minorHAnsi" w:eastAsiaTheme="minorEastAsia" w:hAnsiTheme="minorHAnsi" w:cstheme="minorBidi"/>
            <w:sz w:val="22"/>
            <w:szCs w:val="22"/>
          </w:rPr>
          <w:tab/>
        </w:r>
        <w:r w:rsidRPr="00E15C2C">
          <w:rPr>
            <w:rStyle w:val="Hyperlink"/>
            <w:bCs/>
          </w:rPr>
          <w:t>Membres</w:t>
        </w:r>
        <w:r w:rsidRPr="00E15C2C">
          <w:rPr>
            <w:webHidden/>
          </w:rPr>
          <w:tab/>
        </w:r>
        <w:r w:rsidRPr="00E15C2C">
          <w:rPr>
            <w:webHidden/>
          </w:rPr>
          <w:tab/>
        </w:r>
        <w:r w:rsidRPr="00E15C2C">
          <w:rPr>
            <w:webHidden/>
          </w:rPr>
          <w:fldChar w:fldCharType="begin"/>
        </w:r>
        <w:r w:rsidRPr="00E15C2C">
          <w:rPr>
            <w:webHidden/>
          </w:rPr>
          <w:instrText xml:space="preserve"> PAGEREF _Toc223427653 \h </w:instrText>
        </w:r>
        <w:r w:rsidRPr="00E15C2C">
          <w:rPr>
            <w:webHidden/>
          </w:rPr>
        </w:r>
        <w:r w:rsidRPr="00E15C2C">
          <w:rPr>
            <w:webHidden/>
          </w:rPr>
          <w:fldChar w:fldCharType="separate"/>
        </w:r>
        <w:r w:rsidR="00A60948" w:rsidRPr="00E15C2C">
          <w:rPr>
            <w:webHidden/>
          </w:rPr>
          <w:t>35</w:t>
        </w:r>
        <w:r w:rsidRPr="00E15C2C">
          <w:rPr>
            <w:webHidden/>
          </w:rPr>
          <w:fldChar w:fldCharType="end"/>
        </w:r>
      </w:hyperlink>
    </w:p>
    <w:p w14:paraId="783F56F7" w14:textId="0A475BEA" w:rsidR="00D65006" w:rsidRPr="00E15C2C" w:rsidRDefault="00D65006" w:rsidP="00D65006">
      <w:pPr>
        <w:pStyle w:val="TOC3"/>
        <w:tabs>
          <w:tab w:val="clear" w:pos="964"/>
        </w:tabs>
        <w:ind w:left="2380"/>
        <w:rPr>
          <w:rStyle w:val="Hyperlink"/>
          <w:bCs/>
        </w:rPr>
      </w:pPr>
      <w:hyperlink w:anchor="_Toc223427654" w:history="1">
        <w:r w:rsidRPr="00E15C2C">
          <w:rPr>
            <w:rStyle w:val="Hyperlink"/>
            <w:bCs/>
          </w:rPr>
          <w:t>8.5.1</w:t>
        </w:r>
        <w:r w:rsidRPr="00E15C2C">
          <w:rPr>
            <w:rStyle w:val="Hyperlink"/>
            <w:bCs/>
          </w:rPr>
          <w:tab/>
          <w:t>Membres de l'UIT</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_Toc223427654 \h </w:instrText>
        </w:r>
        <w:r w:rsidRPr="00E15C2C">
          <w:rPr>
            <w:rStyle w:val="Hyperlink"/>
            <w:bCs/>
            <w:webHidden/>
          </w:rPr>
        </w:r>
        <w:r w:rsidRPr="00E15C2C">
          <w:rPr>
            <w:rStyle w:val="Hyperlink"/>
            <w:bCs/>
            <w:webHidden/>
          </w:rPr>
          <w:fldChar w:fldCharType="separate"/>
        </w:r>
        <w:r w:rsidR="00A60948" w:rsidRPr="00E15C2C">
          <w:rPr>
            <w:rStyle w:val="Hyperlink"/>
            <w:bCs/>
            <w:webHidden/>
          </w:rPr>
          <w:t>35</w:t>
        </w:r>
        <w:r w:rsidRPr="00E15C2C">
          <w:rPr>
            <w:rStyle w:val="Hyperlink"/>
            <w:bCs/>
            <w:webHidden/>
          </w:rPr>
          <w:fldChar w:fldCharType="end"/>
        </w:r>
      </w:hyperlink>
    </w:p>
    <w:p w14:paraId="30F84B4D" w14:textId="3A7BCE8D"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55" w:history="1">
        <w:r w:rsidRPr="00E15C2C">
          <w:rPr>
            <w:rStyle w:val="Hyperlink"/>
            <w:bCs/>
          </w:rPr>
          <w:t>8.5.2</w:t>
        </w:r>
        <w:r w:rsidRPr="00E15C2C">
          <w:rPr>
            <w:rStyle w:val="Hyperlink"/>
            <w:bCs/>
          </w:rPr>
          <w:tab/>
          <w:t>Membres de l'UIT</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_Toc223427655 \h </w:instrText>
        </w:r>
        <w:r w:rsidRPr="00E15C2C">
          <w:rPr>
            <w:rStyle w:val="Hyperlink"/>
            <w:bCs/>
            <w:webHidden/>
          </w:rPr>
        </w:r>
        <w:r w:rsidRPr="00E15C2C">
          <w:rPr>
            <w:rStyle w:val="Hyperlink"/>
            <w:bCs/>
            <w:webHidden/>
          </w:rPr>
          <w:fldChar w:fldCharType="separate"/>
        </w:r>
        <w:r w:rsidR="00A60948" w:rsidRPr="00E15C2C">
          <w:rPr>
            <w:rStyle w:val="Hyperlink"/>
            <w:bCs/>
            <w:webHidden/>
          </w:rPr>
          <w:t>35</w:t>
        </w:r>
        <w:r w:rsidRPr="00E15C2C">
          <w:rPr>
            <w:rStyle w:val="Hyperlink"/>
            <w:bCs/>
            <w:webHidden/>
          </w:rPr>
          <w:fldChar w:fldCharType="end"/>
        </w:r>
      </w:hyperlink>
    </w:p>
    <w:p w14:paraId="406D8F55" w14:textId="06899DC3" w:rsidR="00D65006" w:rsidRPr="00E15C2C" w:rsidRDefault="00D65006">
      <w:pPr>
        <w:pStyle w:val="TOC2"/>
        <w:rPr>
          <w:rFonts w:asciiTheme="minorHAnsi" w:eastAsiaTheme="minorEastAsia" w:hAnsiTheme="minorHAnsi" w:cstheme="minorBidi"/>
          <w:sz w:val="22"/>
          <w:szCs w:val="22"/>
        </w:rPr>
      </w:pPr>
      <w:hyperlink w:anchor="_Toc223427656" w:history="1">
        <w:r w:rsidRPr="00E15C2C">
          <w:rPr>
            <w:rStyle w:val="Hyperlink"/>
            <w:bCs/>
          </w:rPr>
          <w:t>8.6</w:t>
        </w:r>
        <w:r w:rsidRPr="00E15C2C">
          <w:rPr>
            <w:rFonts w:asciiTheme="minorHAnsi" w:eastAsiaTheme="minorEastAsia" w:hAnsiTheme="minorHAnsi" w:cstheme="minorBidi"/>
            <w:sz w:val="22"/>
            <w:szCs w:val="22"/>
          </w:rPr>
          <w:tab/>
        </w:r>
        <w:r w:rsidRPr="00E15C2C">
          <w:rPr>
            <w:rStyle w:val="Hyperlink"/>
            <w:bCs/>
          </w:rPr>
          <w:t>Communication et promotion</w:t>
        </w:r>
        <w:r w:rsidRPr="00E15C2C">
          <w:rPr>
            <w:webHidden/>
          </w:rPr>
          <w:tab/>
        </w:r>
        <w:r w:rsidRPr="00E15C2C">
          <w:rPr>
            <w:webHidden/>
          </w:rPr>
          <w:tab/>
        </w:r>
        <w:r w:rsidRPr="00E15C2C">
          <w:rPr>
            <w:webHidden/>
          </w:rPr>
          <w:fldChar w:fldCharType="begin"/>
        </w:r>
        <w:r w:rsidRPr="00E15C2C">
          <w:rPr>
            <w:webHidden/>
          </w:rPr>
          <w:instrText xml:space="preserve"> PAGEREF _Toc223427656 \h </w:instrText>
        </w:r>
        <w:r w:rsidRPr="00E15C2C">
          <w:rPr>
            <w:webHidden/>
          </w:rPr>
        </w:r>
        <w:r w:rsidRPr="00E15C2C">
          <w:rPr>
            <w:webHidden/>
          </w:rPr>
          <w:fldChar w:fldCharType="separate"/>
        </w:r>
        <w:r w:rsidR="00A60948" w:rsidRPr="00E15C2C">
          <w:rPr>
            <w:webHidden/>
          </w:rPr>
          <w:t>36</w:t>
        </w:r>
        <w:r w:rsidRPr="00E15C2C">
          <w:rPr>
            <w:webHidden/>
          </w:rPr>
          <w:fldChar w:fldCharType="end"/>
        </w:r>
      </w:hyperlink>
    </w:p>
    <w:p w14:paraId="462078DC" w14:textId="12A11B76" w:rsidR="00D65006" w:rsidRPr="00E15C2C" w:rsidRDefault="00D65006" w:rsidP="00D65006">
      <w:pPr>
        <w:pStyle w:val="TOC3"/>
        <w:tabs>
          <w:tab w:val="clear" w:pos="964"/>
        </w:tabs>
        <w:ind w:left="2380"/>
        <w:rPr>
          <w:rStyle w:val="Hyperlink"/>
          <w:bCs/>
        </w:rPr>
      </w:pPr>
      <w:hyperlink w:anchor="_Toc223427657" w:history="1">
        <w:r w:rsidRPr="00E15C2C">
          <w:rPr>
            <w:rStyle w:val="Hyperlink"/>
            <w:bCs/>
          </w:rPr>
          <w:t>8.6.1</w:t>
        </w:r>
        <w:r w:rsidRPr="00E15C2C">
          <w:rPr>
            <w:rStyle w:val="Hyperlink"/>
            <w:bCs/>
          </w:rPr>
          <w:tab/>
          <w:t>Sites web et bases de données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_Toc223427657 \h </w:instrText>
        </w:r>
        <w:r w:rsidRPr="00E15C2C">
          <w:rPr>
            <w:rStyle w:val="Hyperlink"/>
            <w:bCs/>
            <w:webHidden/>
          </w:rPr>
        </w:r>
        <w:r w:rsidRPr="00E15C2C">
          <w:rPr>
            <w:rStyle w:val="Hyperlink"/>
            <w:bCs/>
            <w:webHidden/>
          </w:rPr>
          <w:fldChar w:fldCharType="separate"/>
        </w:r>
        <w:r w:rsidR="00A60948" w:rsidRPr="00E15C2C">
          <w:rPr>
            <w:rStyle w:val="Hyperlink"/>
            <w:bCs/>
            <w:webHidden/>
          </w:rPr>
          <w:t>36</w:t>
        </w:r>
        <w:r w:rsidRPr="00E15C2C">
          <w:rPr>
            <w:rStyle w:val="Hyperlink"/>
            <w:bCs/>
            <w:webHidden/>
          </w:rPr>
          <w:fldChar w:fldCharType="end"/>
        </w:r>
      </w:hyperlink>
    </w:p>
    <w:p w14:paraId="66C9669D" w14:textId="2D4DD7F4" w:rsidR="00D65006" w:rsidRPr="00E15C2C" w:rsidRDefault="00D65006" w:rsidP="00D65006">
      <w:pPr>
        <w:pStyle w:val="TOC3"/>
        <w:tabs>
          <w:tab w:val="clear" w:pos="964"/>
        </w:tabs>
        <w:ind w:left="2380"/>
        <w:rPr>
          <w:rFonts w:asciiTheme="minorHAnsi" w:eastAsiaTheme="minorEastAsia" w:hAnsiTheme="minorHAnsi" w:cstheme="minorBidi"/>
          <w:sz w:val="22"/>
          <w:szCs w:val="22"/>
        </w:rPr>
      </w:pPr>
      <w:hyperlink w:anchor="_Toc223427658" w:history="1">
        <w:r w:rsidRPr="00E15C2C">
          <w:rPr>
            <w:rStyle w:val="Hyperlink"/>
            <w:bCs/>
          </w:rPr>
          <w:t>8.6.2</w:t>
        </w:r>
        <w:r w:rsidRPr="00E15C2C">
          <w:rPr>
            <w:rStyle w:val="Hyperlink"/>
            <w:bCs/>
          </w:rPr>
          <w:tab/>
          <w:t>Promotion et relations avec les médias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_Toc223427658 \h </w:instrText>
        </w:r>
        <w:r w:rsidRPr="00E15C2C">
          <w:rPr>
            <w:rStyle w:val="Hyperlink"/>
            <w:bCs/>
            <w:webHidden/>
          </w:rPr>
        </w:r>
        <w:r w:rsidRPr="00E15C2C">
          <w:rPr>
            <w:rStyle w:val="Hyperlink"/>
            <w:bCs/>
            <w:webHidden/>
          </w:rPr>
          <w:fldChar w:fldCharType="separate"/>
        </w:r>
        <w:r w:rsidR="00A60948" w:rsidRPr="00E15C2C">
          <w:rPr>
            <w:rStyle w:val="Hyperlink"/>
            <w:bCs/>
            <w:webHidden/>
          </w:rPr>
          <w:t>36</w:t>
        </w:r>
        <w:r w:rsidRPr="00E15C2C">
          <w:rPr>
            <w:rStyle w:val="Hyperlink"/>
            <w:bCs/>
            <w:webHidden/>
          </w:rPr>
          <w:fldChar w:fldCharType="end"/>
        </w:r>
      </w:hyperlink>
    </w:p>
    <w:p w14:paraId="577274F1" w14:textId="430F63B8" w:rsidR="00D65006" w:rsidRPr="00E15C2C" w:rsidRDefault="00D65006">
      <w:pPr>
        <w:pStyle w:val="TOC2"/>
        <w:rPr>
          <w:rFonts w:asciiTheme="minorHAnsi" w:eastAsiaTheme="minorEastAsia" w:hAnsiTheme="minorHAnsi" w:cstheme="minorBidi"/>
          <w:sz w:val="22"/>
          <w:szCs w:val="22"/>
        </w:rPr>
      </w:pPr>
      <w:hyperlink w:anchor="_Toc223427659" w:history="1">
        <w:r w:rsidRPr="00E15C2C">
          <w:rPr>
            <w:rStyle w:val="Hyperlink"/>
            <w:bCs/>
          </w:rPr>
          <w:t>8.7</w:t>
        </w:r>
        <w:r w:rsidRPr="00E15C2C">
          <w:rPr>
            <w:rFonts w:asciiTheme="minorHAnsi" w:eastAsiaTheme="minorEastAsia" w:hAnsiTheme="minorHAnsi" w:cstheme="minorBidi"/>
            <w:sz w:val="22"/>
            <w:szCs w:val="22"/>
          </w:rPr>
          <w:tab/>
        </w:r>
        <w:r w:rsidRPr="00E15C2C">
          <w:rPr>
            <w:rStyle w:val="Hyperlink"/>
            <w:bCs/>
          </w:rPr>
          <w:t>Équité hommes-femmes</w:t>
        </w:r>
        <w:r w:rsidRPr="00E15C2C">
          <w:rPr>
            <w:webHidden/>
          </w:rPr>
          <w:tab/>
        </w:r>
        <w:r w:rsidRPr="00E15C2C">
          <w:rPr>
            <w:webHidden/>
          </w:rPr>
          <w:tab/>
        </w:r>
        <w:r w:rsidRPr="00E15C2C">
          <w:rPr>
            <w:webHidden/>
          </w:rPr>
          <w:fldChar w:fldCharType="begin"/>
        </w:r>
        <w:r w:rsidRPr="00E15C2C">
          <w:rPr>
            <w:webHidden/>
          </w:rPr>
          <w:instrText xml:space="preserve"> PAGEREF _Toc223427659 \h </w:instrText>
        </w:r>
        <w:r w:rsidRPr="00E15C2C">
          <w:rPr>
            <w:webHidden/>
          </w:rPr>
        </w:r>
        <w:r w:rsidRPr="00E15C2C">
          <w:rPr>
            <w:webHidden/>
          </w:rPr>
          <w:fldChar w:fldCharType="separate"/>
        </w:r>
        <w:r w:rsidR="00A60948" w:rsidRPr="00E15C2C">
          <w:rPr>
            <w:webHidden/>
          </w:rPr>
          <w:t>37</w:t>
        </w:r>
        <w:r w:rsidRPr="00E15C2C">
          <w:rPr>
            <w:webHidden/>
          </w:rPr>
          <w:fldChar w:fldCharType="end"/>
        </w:r>
      </w:hyperlink>
    </w:p>
    <w:p w14:paraId="5CFD2E92" w14:textId="5A6E7235" w:rsidR="00D65006" w:rsidRPr="00E15C2C" w:rsidRDefault="00D65006" w:rsidP="00D65006">
      <w:pPr>
        <w:pStyle w:val="TOC3"/>
        <w:tabs>
          <w:tab w:val="clear" w:pos="964"/>
        </w:tabs>
        <w:ind w:left="2380"/>
        <w:rPr>
          <w:rStyle w:val="Hyperlink"/>
          <w:bCs/>
        </w:rPr>
      </w:pPr>
      <w:hyperlink w:anchor="_Toc223427660" w:history="1">
        <w:r w:rsidRPr="00E15C2C">
          <w:rPr>
            <w:rStyle w:val="Hyperlink"/>
            <w:bCs/>
          </w:rPr>
          <w:t>8.7.1</w:t>
        </w:r>
        <w:r w:rsidRPr="00E15C2C">
          <w:rPr>
            <w:rStyle w:val="Hyperlink"/>
            <w:bCs/>
          </w:rPr>
          <w:tab/>
          <w:t>Résolution de l'AR-23 sur l'égalité hommes-femmes</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_Toc223427660 \h </w:instrText>
        </w:r>
        <w:r w:rsidRPr="00E15C2C">
          <w:rPr>
            <w:rStyle w:val="Hyperlink"/>
            <w:bCs/>
            <w:webHidden/>
          </w:rPr>
        </w:r>
        <w:r w:rsidRPr="00E15C2C">
          <w:rPr>
            <w:rStyle w:val="Hyperlink"/>
            <w:bCs/>
            <w:webHidden/>
          </w:rPr>
          <w:fldChar w:fldCharType="separate"/>
        </w:r>
        <w:r w:rsidR="00A60948" w:rsidRPr="00E15C2C">
          <w:rPr>
            <w:rStyle w:val="Hyperlink"/>
            <w:bCs/>
            <w:webHidden/>
          </w:rPr>
          <w:t>38</w:t>
        </w:r>
        <w:r w:rsidRPr="00E15C2C">
          <w:rPr>
            <w:rStyle w:val="Hyperlink"/>
            <w:bCs/>
            <w:webHidden/>
          </w:rPr>
          <w:fldChar w:fldCharType="end"/>
        </w:r>
      </w:hyperlink>
    </w:p>
    <w:p w14:paraId="77F07BE4" w14:textId="2478BF2A" w:rsidR="00D65006" w:rsidRPr="00E15C2C" w:rsidRDefault="00D65006" w:rsidP="00D65006">
      <w:pPr>
        <w:pStyle w:val="TOC3"/>
        <w:tabs>
          <w:tab w:val="clear" w:pos="964"/>
        </w:tabs>
        <w:ind w:left="2380"/>
        <w:rPr>
          <w:rStyle w:val="Hyperlink"/>
          <w:bCs/>
        </w:rPr>
      </w:pPr>
      <w:hyperlink w:anchor="_Toc223427661" w:history="1">
        <w:r w:rsidRPr="00E15C2C">
          <w:rPr>
            <w:rStyle w:val="Hyperlink"/>
            <w:bCs/>
          </w:rPr>
          <w:t>8.7.2</w:t>
        </w:r>
        <w:r w:rsidRPr="00E15C2C">
          <w:rPr>
            <w:rStyle w:val="Hyperlink"/>
            <w:bCs/>
          </w:rPr>
          <w:tab/>
          <w:t>Réseau de femmes pour la CMR-27</w:t>
        </w:r>
        <w:r w:rsidRPr="00E15C2C">
          <w:rPr>
            <w:rStyle w:val="Hyperlink"/>
            <w:bCs/>
            <w:webHidden/>
          </w:rPr>
          <w:tab/>
        </w:r>
        <w:r w:rsidRPr="00E15C2C">
          <w:rPr>
            <w:rStyle w:val="Hyperlink"/>
            <w:bCs/>
            <w:webHidden/>
          </w:rPr>
          <w:tab/>
        </w:r>
        <w:r w:rsidRPr="00E15C2C">
          <w:rPr>
            <w:rStyle w:val="Hyperlink"/>
            <w:bCs/>
            <w:webHidden/>
          </w:rPr>
          <w:fldChar w:fldCharType="begin"/>
        </w:r>
        <w:r w:rsidRPr="00E15C2C">
          <w:rPr>
            <w:rStyle w:val="Hyperlink"/>
            <w:bCs/>
            <w:webHidden/>
          </w:rPr>
          <w:instrText xml:space="preserve"> PAGEREF _Toc223427661 \h </w:instrText>
        </w:r>
        <w:r w:rsidRPr="00E15C2C">
          <w:rPr>
            <w:rStyle w:val="Hyperlink"/>
            <w:bCs/>
            <w:webHidden/>
          </w:rPr>
        </w:r>
        <w:r w:rsidRPr="00E15C2C">
          <w:rPr>
            <w:rStyle w:val="Hyperlink"/>
            <w:bCs/>
            <w:webHidden/>
          </w:rPr>
          <w:fldChar w:fldCharType="separate"/>
        </w:r>
        <w:r w:rsidR="00A60948" w:rsidRPr="00E15C2C">
          <w:rPr>
            <w:rStyle w:val="Hyperlink"/>
            <w:bCs/>
            <w:webHidden/>
          </w:rPr>
          <w:t>38</w:t>
        </w:r>
        <w:r w:rsidRPr="00E15C2C">
          <w:rPr>
            <w:rStyle w:val="Hyperlink"/>
            <w:bCs/>
            <w:webHidden/>
          </w:rPr>
          <w:fldChar w:fldCharType="end"/>
        </w:r>
      </w:hyperlink>
    </w:p>
    <w:p w14:paraId="45F87C7F" w14:textId="46351E12" w:rsidR="00D87525" w:rsidRPr="00E15C2C" w:rsidRDefault="00D65006" w:rsidP="00D65006">
      <w:r w:rsidRPr="00E15C2C">
        <w:fldChar w:fldCharType="end"/>
      </w:r>
      <w:r w:rsidRPr="00E15C2C">
        <w:br w:type="page"/>
      </w:r>
    </w:p>
    <w:p w14:paraId="518AC4B2" w14:textId="5AD3C62B" w:rsidR="004F76FD" w:rsidRPr="00E15C2C" w:rsidRDefault="004F76FD" w:rsidP="00D65006">
      <w:pPr>
        <w:pStyle w:val="Heading1"/>
      </w:pPr>
      <w:bookmarkStart w:id="0" w:name="_Toc446060751"/>
      <w:bookmarkStart w:id="1" w:name="_Toc222308665"/>
      <w:bookmarkStart w:id="2" w:name="_Toc223425076"/>
      <w:bookmarkStart w:id="3" w:name="_Toc223425182"/>
      <w:bookmarkStart w:id="4" w:name="_Toc223427595"/>
      <w:r w:rsidRPr="00E15C2C">
        <w:lastRenderedPageBreak/>
        <w:t>1</w:t>
      </w:r>
      <w:r w:rsidRPr="00E15C2C">
        <w:tab/>
        <w:t>Introduction</w:t>
      </w:r>
      <w:bookmarkEnd w:id="0"/>
      <w:bookmarkEnd w:id="1"/>
      <w:bookmarkEnd w:id="2"/>
      <w:bookmarkEnd w:id="3"/>
      <w:bookmarkEnd w:id="4"/>
    </w:p>
    <w:p w14:paraId="53A8CDC2" w14:textId="719FCBBF" w:rsidR="004F76FD" w:rsidRPr="00E15C2C" w:rsidRDefault="004F76FD" w:rsidP="004F76FD">
      <w:r w:rsidRPr="00E15C2C">
        <w:t xml:space="preserve">Le présent document vise à faire le point et à donner des informations sur des questions inscrites dans le projet d'ordre du jour de la 33ème réunion du Groupe consultatif des radiocommunications (GCR) (voir la Circulaire administrative </w:t>
      </w:r>
      <w:hyperlink r:id="rId9" w:history="1">
        <w:r w:rsidRPr="00E15C2C">
          <w:rPr>
            <w:rStyle w:val="Hyperlink"/>
          </w:rPr>
          <w:t>CA/280</w:t>
        </w:r>
      </w:hyperlink>
      <w:r w:rsidRPr="00E15C2C">
        <w:t>), afin d'aider les participants lorsqu'ils examineront les points correspondants de l'ordre du jour.</w:t>
      </w:r>
      <w:hyperlink r:id="rId10" w:history="1"/>
    </w:p>
    <w:p w14:paraId="0DEA774D" w14:textId="77777777" w:rsidR="004F76FD" w:rsidRPr="00E15C2C" w:rsidRDefault="004F76FD" w:rsidP="004F76FD">
      <w:r w:rsidRPr="00E15C2C">
        <w:t>Des rapports distincts seront soumis pour certains des points de l'ordre du jour.</w:t>
      </w:r>
    </w:p>
    <w:p w14:paraId="5E1D2C3B" w14:textId="77777777" w:rsidR="004F76FD" w:rsidRPr="00E15C2C" w:rsidRDefault="004F76FD" w:rsidP="00D65006">
      <w:pPr>
        <w:pStyle w:val="Heading1"/>
      </w:pPr>
      <w:bookmarkStart w:id="5" w:name="_Toc222308666"/>
      <w:bookmarkStart w:id="6" w:name="_Toc223425077"/>
      <w:bookmarkStart w:id="7" w:name="_Toc223425183"/>
      <w:bookmarkStart w:id="8" w:name="_Toc446060752"/>
      <w:bookmarkStart w:id="9" w:name="_Toc223427596"/>
      <w:r w:rsidRPr="00E15C2C">
        <w:t>2</w:t>
      </w:r>
      <w:r w:rsidRPr="00E15C2C">
        <w:tab/>
        <w:t>Questions relatives au Conseil</w:t>
      </w:r>
      <w:bookmarkEnd w:id="5"/>
      <w:bookmarkEnd w:id="6"/>
      <w:bookmarkEnd w:id="7"/>
      <w:bookmarkEnd w:id="9"/>
    </w:p>
    <w:p w14:paraId="2036AEEC" w14:textId="6F2B93F3" w:rsidR="004F76FD" w:rsidRPr="00E15C2C" w:rsidRDefault="004F76FD" w:rsidP="004F76FD">
      <w:bookmarkStart w:id="10" w:name="_Toc446060753"/>
      <w:bookmarkEnd w:id="8"/>
      <w:r w:rsidRPr="00E15C2C">
        <w:t>Cette partie porte sur les questions traitées durant la session de 2025 du Conseil, tenue du</w:t>
      </w:r>
      <w:r w:rsidR="00D65006" w:rsidRPr="00E15C2C">
        <w:t> </w:t>
      </w:r>
      <w:r w:rsidRPr="00E15C2C">
        <w:t>17</w:t>
      </w:r>
      <w:r w:rsidR="00D65006" w:rsidRPr="00E15C2C">
        <w:t> </w:t>
      </w:r>
      <w:r w:rsidRPr="00E15C2C">
        <w:t>au</w:t>
      </w:r>
      <w:r w:rsidR="00D65006" w:rsidRPr="00E15C2C">
        <w:t> </w:t>
      </w:r>
      <w:r w:rsidRPr="00E15C2C">
        <w:t>24</w:t>
      </w:r>
      <w:r w:rsidR="00C40594" w:rsidRPr="00E15C2C">
        <w:t> </w:t>
      </w:r>
      <w:r w:rsidRPr="00E15C2C">
        <w:t xml:space="preserve">juin 2025 (voir la page </w:t>
      </w:r>
      <w:hyperlink r:id="rId11" w:anchor="/fr" w:history="1">
        <w:r w:rsidRPr="00E15C2C">
          <w:rPr>
            <w:rStyle w:val="Hyperlink"/>
          </w:rPr>
          <w:t>https://council.itu.int/2025/en/</w:t>
        </w:r>
      </w:hyperlink>
      <w:r w:rsidRPr="00E15C2C">
        <w:t>) et durant les réunions ultérieures des Groupes de travail et des Groupes d'experts du Conseil.</w:t>
      </w:r>
      <w:hyperlink r:id="rId12" w:history="1"/>
      <w:bookmarkEnd w:id="10"/>
    </w:p>
    <w:p w14:paraId="6CE16541" w14:textId="3BCB6363" w:rsidR="004F76FD" w:rsidRPr="00E15C2C" w:rsidRDefault="004F76FD" w:rsidP="00D65006">
      <w:pPr>
        <w:pStyle w:val="Heading2"/>
      </w:pPr>
      <w:bookmarkStart w:id="11" w:name="_Toc446060754"/>
      <w:bookmarkStart w:id="12" w:name="_Toc222308667"/>
      <w:bookmarkStart w:id="13" w:name="_Toc223425078"/>
      <w:bookmarkStart w:id="14" w:name="_Toc223425184"/>
      <w:bookmarkStart w:id="15" w:name="_Toc223427597"/>
      <w:r w:rsidRPr="00E15C2C">
        <w:t>2.1</w:t>
      </w:r>
      <w:r w:rsidRPr="00E15C2C">
        <w:tab/>
        <w:t>Recouvrement des coûts pour le traitement des fiches de notification des réseaux à</w:t>
      </w:r>
      <w:r w:rsidR="00C40594" w:rsidRPr="00E15C2C">
        <w:t> </w:t>
      </w:r>
      <w:r w:rsidRPr="00E15C2C">
        <w:t>satellite</w:t>
      </w:r>
      <w:bookmarkEnd w:id="11"/>
      <w:bookmarkEnd w:id="12"/>
      <w:bookmarkEnd w:id="13"/>
      <w:bookmarkEnd w:id="14"/>
      <w:bookmarkEnd w:id="15"/>
    </w:p>
    <w:p w14:paraId="1DF6606F" w14:textId="77777777" w:rsidR="004F76FD" w:rsidRPr="00E15C2C" w:rsidRDefault="004F76FD" w:rsidP="00D65006">
      <w:pPr>
        <w:pStyle w:val="Heading3"/>
      </w:pPr>
      <w:bookmarkStart w:id="16" w:name="_Toc222308668"/>
      <w:bookmarkStart w:id="17" w:name="_Toc223425079"/>
      <w:bookmarkStart w:id="18" w:name="_Toc223425185"/>
      <w:bookmarkStart w:id="19" w:name="_Toc223427598"/>
      <w:r w:rsidRPr="00E15C2C">
        <w:t>2.1.1</w:t>
      </w:r>
      <w:r w:rsidRPr="00E15C2C">
        <w:tab/>
        <w:t>Décision 482</w:t>
      </w:r>
      <w:bookmarkEnd w:id="16"/>
      <w:bookmarkEnd w:id="17"/>
      <w:bookmarkEnd w:id="18"/>
      <w:bookmarkEnd w:id="19"/>
    </w:p>
    <w:p w14:paraId="0FDE3282" w14:textId="1F776C70" w:rsidR="004F76FD" w:rsidRPr="00E15C2C" w:rsidRDefault="004F76FD" w:rsidP="004F76FD">
      <w:pPr>
        <w:rPr>
          <w:szCs w:val="24"/>
        </w:rPr>
      </w:pPr>
      <w:r w:rsidRPr="00E15C2C">
        <w:t>À sa session de 2025, le Conseil a pris note du rapport annuel sur la mise en œuvre de la Décision</w:t>
      </w:r>
      <w:r w:rsidR="00C40594" w:rsidRPr="00E15C2C">
        <w:t> </w:t>
      </w:r>
      <w:r w:rsidRPr="00E15C2C">
        <w:t>482 (C01, dernière mod. C24) (voir le</w:t>
      </w:r>
      <w:r w:rsidR="002863FB" w:rsidRPr="00E15C2C">
        <w:t xml:space="preserve"> Document</w:t>
      </w:r>
      <w:r w:rsidRPr="00E15C2C">
        <w:t xml:space="preserve"> </w:t>
      </w:r>
      <w:hyperlink r:id="rId13" w:history="1">
        <w:r w:rsidR="002863FB" w:rsidRPr="00E15C2C">
          <w:rPr>
            <w:rStyle w:val="Hyperlink"/>
          </w:rPr>
          <w:t>C25/16</w:t>
        </w:r>
      </w:hyperlink>
      <w:r w:rsidRPr="00E15C2C">
        <w:t>).</w:t>
      </w:r>
      <w:hyperlink r:id="rId14" w:history="1"/>
    </w:p>
    <w:p w14:paraId="5A4450D5" w14:textId="1C14ADCD" w:rsidR="004F76FD" w:rsidRPr="00E15C2C" w:rsidRDefault="004F76FD" w:rsidP="004F76FD">
      <w:r w:rsidRPr="00E15C2C">
        <w:t>Le Conseil a également approuvé toutes les propositions formulées par le Groupe d'experts sur la Décision 482 en vue de la révision de cette Décision. Vu le nombre élevé de modifications, le Conseil a décidé que la Décision révisée entrerait en vigueur le 1er janvier 2026. Les principaux changements apportés à la Décision 482 (C01, dernière mod. C24) sont les suivants:</w:t>
      </w:r>
    </w:p>
    <w:p w14:paraId="09DDF0A5" w14:textId="0B1B6282" w:rsidR="004F76FD" w:rsidRPr="00E15C2C" w:rsidRDefault="00C40594" w:rsidP="00C40594">
      <w:pPr>
        <w:pStyle w:val="enumlev1"/>
      </w:pPr>
      <w:r w:rsidRPr="00E15C2C">
        <w:t>–</w:t>
      </w:r>
      <w:r w:rsidRPr="00E15C2C">
        <w:tab/>
      </w:r>
      <w:r w:rsidR="004F76FD" w:rsidRPr="00E15C2C">
        <w:t>Le droit fixe pour les renseignements API et les notifications des systèmes non soumis à la coordination est remplacé par un droit de départ associé à un droit linéaire par unité.</w:t>
      </w:r>
    </w:p>
    <w:p w14:paraId="2265A7AF" w14:textId="4BF66282" w:rsidR="004F76FD" w:rsidRPr="00E15C2C" w:rsidRDefault="00C40594" w:rsidP="00C40594">
      <w:pPr>
        <w:pStyle w:val="enumlev1"/>
      </w:pPr>
      <w:r w:rsidRPr="00E15C2C">
        <w:t>–</w:t>
      </w:r>
      <w:r w:rsidRPr="00E15C2C">
        <w:tab/>
      </w:r>
      <w:r w:rsidR="004F76FD" w:rsidRPr="00E15C2C">
        <w:t>Des droits spécifiques ont été fixés au titre de l'examen des limites d'epfd.</w:t>
      </w:r>
    </w:p>
    <w:p w14:paraId="30DEB1D4" w14:textId="462DF835" w:rsidR="004F76FD" w:rsidRPr="00E15C2C" w:rsidRDefault="00C40594" w:rsidP="00C40594">
      <w:pPr>
        <w:pStyle w:val="enumlev1"/>
      </w:pPr>
      <w:r w:rsidRPr="00E15C2C">
        <w:t>–</w:t>
      </w:r>
      <w:r w:rsidRPr="00E15C2C">
        <w:tab/>
      </w:r>
      <w:r w:rsidR="004F76FD" w:rsidRPr="00E15C2C">
        <w:t>Des droits additionnels ont été créés pour les fiches de notification de réseaux à satellite volumineuses ou coûteuses à traiter.</w:t>
      </w:r>
    </w:p>
    <w:p w14:paraId="6A58CFE7" w14:textId="6C97E111" w:rsidR="004F76FD" w:rsidRPr="00E15C2C" w:rsidRDefault="00C40594" w:rsidP="00C40594">
      <w:pPr>
        <w:pStyle w:val="enumlev1"/>
      </w:pPr>
      <w:r w:rsidRPr="00E15C2C">
        <w:t>–</w:t>
      </w:r>
      <w:r w:rsidRPr="00E15C2C">
        <w:tab/>
      </w:r>
      <w:r w:rsidR="004F76FD" w:rsidRPr="00E15C2C">
        <w:t>Ces fiches de notification sont exclues des fiches pouvant faire l'objet de la possibilité annuelle de publication en franchise de droits.</w:t>
      </w:r>
    </w:p>
    <w:p w14:paraId="6C2CD277" w14:textId="71C601DC" w:rsidR="004F76FD" w:rsidRPr="00E15C2C" w:rsidRDefault="004F76FD" w:rsidP="004F76FD">
      <w:r w:rsidRPr="00E15C2C">
        <w:t>Le Bureau a mis à jour son logiciel pour permettre aux administrations de calculer à l'avance les coûts leur incombant. Une version de test du logiciel a été mise à disposition en novembre 2025, afin que les administrations puissent mieux comprendre les conséquences des modifications apportées à la Décision 482 sur les fiches de notification qu'elles prévoient de soumettre à partir de</w:t>
      </w:r>
      <w:r w:rsidR="00D65006" w:rsidRPr="00E15C2C">
        <w:t> </w:t>
      </w:r>
      <w:r w:rsidRPr="00E15C2C">
        <w:t>2026.</w:t>
      </w:r>
    </w:p>
    <w:p w14:paraId="0E93219C" w14:textId="0093775D" w:rsidR="004F76FD" w:rsidRPr="00E15C2C" w:rsidRDefault="004F76FD" w:rsidP="004F76FD">
      <w:r w:rsidRPr="00E15C2C">
        <w:t>Par ailleurs, concernant le recouvrement des coûts indirects, le Conseil a décidé qu'en 2026 et 2027, tous les droits prévus par la Décision 482 (C01, dernière mod. C25) seraient augmentés d'environ</w:t>
      </w:r>
      <w:r w:rsidR="00C40594" w:rsidRPr="00E15C2C">
        <w:t> </w:t>
      </w:r>
      <w:r w:rsidRPr="00E15C2C">
        <w:t>10%. Le Groupe de travail du Conseil sur les ressources financières et les ressources humaines (GTC-FHR) a quant à lui été chargé de réexaminer les coûts indirects associés au traitement des fiches de notification de réseaux à satellite et de proposer une méthode applicable à</w:t>
      </w:r>
      <w:r w:rsidR="00C40594" w:rsidRPr="00E15C2C">
        <w:t> </w:t>
      </w:r>
      <w:r w:rsidRPr="00E15C2C">
        <w:t>leur recouvrement.</w:t>
      </w:r>
    </w:p>
    <w:p w14:paraId="3D7D133F" w14:textId="3456DA5E" w:rsidR="004F76FD" w:rsidRPr="00E15C2C" w:rsidRDefault="004F76FD" w:rsidP="004F76FD">
      <w:r w:rsidRPr="00E15C2C">
        <w:t>Ce Groupe de travail s'est réuni du 10 au 12 septembre 2025 et a examiné une contribution des États-Unis d'Amérique visant à présenter des informations et des questions supplémentaires dont le Secrétariat de l'UIT devrait tenir compte pour l'évaluation des coûts indirects associés au traitement des fiches de notification de réseaux à satellite.</w:t>
      </w:r>
    </w:p>
    <w:p w14:paraId="02582CDC" w14:textId="109D34CE" w:rsidR="004F76FD" w:rsidRPr="00E15C2C" w:rsidRDefault="004F76FD" w:rsidP="004F76FD">
      <w:r w:rsidRPr="00E15C2C">
        <w:lastRenderedPageBreak/>
        <w:t>Le Groupe de travail s'est également réuni du 14 au 16 janvier 2026 pour examiner plus avant le modèle de recouvrement des coûts pour le traitement des fiches de notification des réseaux à</w:t>
      </w:r>
      <w:r w:rsidR="00C40594" w:rsidRPr="00E15C2C">
        <w:t> </w:t>
      </w:r>
      <w:r w:rsidRPr="00E15C2C">
        <w:t>satellite, sur la base d'une proposition du Secrétariat de l'UIT et de plusieurs contributions émanant des membres. La Présidente du Groupe de travail du Conseil a reconnu que, malgré les efforts considérables, le GTC-FHR n'avait pas été en mesure de répondre aux demandes formulées par le Conseil à sa session de 2025. Faute d'accord sur la Résolution 91, la Présidente a indiqué qu'il était difficile de poursuivre l'élaboration d'une méthode. Elle a présenté un diagramme résumant les principales questions en suspens qui devront être examinées et traitées par le Conseil à sa session de</w:t>
      </w:r>
      <w:r w:rsidR="00D65006" w:rsidRPr="00E15C2C">
        <w:t> </w:t>
      </w:r>
      <w:r w:rsidRPr="00E15C2C">
        <w:t>2026 (voir les pages 17 à 19 du</w:t>
      </w:r>
      <w:r w:rsidR="002863FB" w:rsidRPr="00E15C2C">
        <w:t xml:space="preserve"> Document</w:t>
      </w:r>
      <w:r w:rsidRPr="00E15C2C">
        <w:t xml:space="preserve"> </w:t>
      </w:r>
      <w:hyperlink r:id="rId15" w:history="1">
        <w:r w:rsidR="002863FB" w:rsidRPr="00E15C2C">
          <w:rPr>
            <w:rStyle w:val="Hyperlink"/>
          </w:rPr>
          <w:t>CWG-FHR-22/36</w:t>
        </w:r>
      </w:hyperlink>
      <w:r w:rsidRPr="00E15C2C">
        <w:t>).</w:t>
      </w:r>
      <w:hyperlink r:id="rId16" w:history="1"/>
    </w:p>
    <w:p w14:paraId="0BBDA6A7" w14:textId="77777777" w:rsidR="004F76FD" w:rsidRPr="00E15C2C" w:rsidRDefault="004F76FD" w:rsidP="00D65006">
      <w:pPr>
        <w:pStyle w:val="Heading3"/>
      </w:pPr>
      <w:bookmarkStart w:id="20" w:name="_Toc222308669"/>
      <w:bookmarkStart w:id="21" w:name="_Toc223425080"/>
      <w:bookmarkStart w:id="22" w:name="_Toc223425186"/>
      <w:bookmarkStart w:id="23" w:name="_Toc223427599"/>
      <w:r w:rsidRPr="00E15C2C">
        <w:t>2.1.2</w:t>
      </w:r>
      <w:r w:rsidRPr="00E15C2C">
        <w:tab/>
        <w:t>Produits différés en raison d'un manque de ressources à des fins de traitement</w:t>
      </w:r>
      <w:bookmarkEnd w:id="20"/>
      <w:bookmarkEnd w:id="21"/>
      <w:bookmarkEnd w:id="22"/>
      <w:bookmarkEnd w:id="23"/>
    </w:p>
    <w:p w14:paraId="05AF0707" w14:textId="053B51F3" w:rsidR="004F76FD" w:rsidRPr="00E15C2C" w:rsidRDefault="004F76FD" w:rsidP="002863FB">
      <w:r w:rsidRPr="00E15C2C">
        <w:t>Compte tenu des règles de vérification des comptes en vigueur, le paiement des factures liées au recouvrement des coûts pour le traitement des fiches de notification des réseaux à satellite n'est pris en compte dans les produits comptabilisés qu'après la publication des Sections spéciales correspondantes. Fin 2025, les produits différés (c'est-à-dire les cas dans lesquels les factures ont déjà été émises à l'entité qui soumet la fiche de notification, mais où la Section spéciale correspondante n'a pas encore été publiée) s'élevaient à 4 237 520 CHF. Il convient de noter que</w:t>
      </w:r>
      <w:r w:rsidR="00D65006" w:rsidRPr="00E15C2C">
        <w:t> </w:t>
      </w:r>
      <w:r w:rsidRPr="00E15C2C">
        <w:t>95% de ce montant concerne les factures associées aux demandes de notification faisant l'objet d'une coordination et aux demandes de coordination, les dates de publication des fiches de notification les plus récentes étant respectivement le 21 décembre 2024 et le 5 novembre 2024. En outre, il est important de souligner que plus de 190 demandes de coordination, estimées à environ</w:t>
      </w:r>
      <w:r w:rsidR="00D65006" w:rsidRPr="00E15C2C">
        <w:t> </w:t>
      </w:r>
      <w:r w:rsidRPr="00E15C2C">
        <w:t>3</w:t>
      </w:r>
      <w:r w:rsidR="00E33E75" w:rsidRPr="00E15C2C">
        <w:t> </w:t>
      </w:r>
      <w:r w:rsidRPr="00E15C2C">
        <w:t>800</w:t>
      </w:r>
      <w:r w:rsidR="00E33E75" w:rsidRPr="00E15C2C">
        <w:t> </w:t>
      </w:r>
      <w:r w:rsidRPr="00E15C2C">
        <w:t>000</w:t>
      </w:r>
      <w:r w:rsidR="00E33E75" w:rsidRPr="00E15C2C">
        <w:t> </w:t>
      </w:r>
      <w:r w:rsidRPr="00E15C2C">
        <w:t>CHF (sur la base d'une valeur de 20 000 CHF par demande de coordination), reçues en 2025, sont toujours en attente de facturation.</w:t>
      </w:r>
    </w:p>
    <w:p w14:paraId="26AD3E0C" w14:textId="77777777" w:rsidR="004F76FD" w:rsidRPr="00E15C2C" w:rsidRDefault="004F76FD" w:rsidP="002863FB">
      <w:r w:rsidRPr="00E15C2C">
        <w:t>Les délais de traitement applicables à l'ensemble des Sections spéciales, à l'exception des demandes de coordination, sont compris dans les délais précisés soit dans le Règlement des radiocommunications (RR), soit dans le Plan opérationnel de l'UIT-R pour les cas où il n'y a pas de délai réglementaire. S'agissant des demandes de coordination, le nombre de réseaux en cours de traitement est en baisse depuis mai 2025, ce qui témoigne des efforts déployés par le Bureau des radiocommunications (BR) pour résorber le retard (le délai de traitement actuel est de 14 mois alors que le délai réglementaire est de quatre mois). Toutefois, ces efforts sont mis en péril par les contraintes budgétaires actuelles de l'UIT, qui ont entraîné un gel effectif des recrutements, plusieurs postes vacants du Bureau n'étant toujours pas pourvus. Compte tenu du manque flagrant de personnel pour ce qui est du traitement des demandes de coordination, le Bureau ne dispose pas des ressources nécessaires pour résorber le retard et, partant, réduire le montant des produits différés. Des retards dans le traitement des demandes de coordination augmentent également l'incertitude réglementaire et nuisent à la capacité des administrations et des opérateurs de satellites de progresser dans l'exécution de leurs plans de déploiement de réseaux à satellite, qui doivent être mis en service dans un délai de sept ans après la soumission.</w:t>
      </w:r>
    </w:p>
    <w:p w14:paraId="22A3C87D" w14:textId="77777777" w:rsidR="004F76FD" w:rsidRPr="00E15C2C" w:rsidRDefault="004F76FD" w:rsidP="004F76FD">
      <w:pPr>
        <w:pStyle w:val="Heading2"/>
        <w:rPr>
          <w:i/>
        </w:rPr>
      </w:pPr>
      <w:bookmarkStart w:id="24" w:name="_Toc446060757"/>
      <w:bookmarkStart w:id="25" w:name="_Toc222308670"/>
      <w:bookmarkStart w:id="26" w:name="_Toc223425081"/>
      <w:bookmarkStart w:id="27" w:name="_Toc223425187"/>
      <w:bookmarkStart w:id="28" w:name="_Toc223427600"/>
      <w:r w:rsidRPr="00E15C2C">
        <w:rPr>
          <w:bCs/>
        </w:rPr>
        <w:t>2.2</w:t>
      </w:r>
      <w:r w:rsidRPr="00E15C2C">
        <w:tab/>
      </w:r>
      <w:r w:rsidRPr="00E15C2C">
        <w:rPr>
          <w:bCs/>
        </w:rPr>
        <w:t>Budget pour l'exercice 2024-2025 et budget pour l'exercice 2026-2027</w:t>
      </w:r>
      <w:bookmarkEnd w:id="24"/>
      <w:bookmarkEnd w:id="25"/>
      <w:bookmarkEnd w:id="26"/>
      <w:bookmarkEnd w:id="27"/>
      <w:bookmarkEnd w:id="28"/>
    </w:p>
    <w:p w14:paraId="004F3995" w14:textId="5FA23141" w:rsidR="004F76FD" w:rsidRPr="00E15C2C" w:rsidRDefault="004F76FD" w:rsidP="004F76FD">
      <w:pPr>
        <w:rPr>
          <w:rFonts w:eastAsia="Calibri"/>
        </w:rPr>
      </w:pPr>
      <w:r w:rsidRPr="00E15C2C">
        <w:t xml:space="preserve">Le budget de l'UIT-R pour l'exercice 2024-2025 (voir la Résolution </w:t>
      </w:r>
      <w:hyperlink r:id="rId17" w:history="1">
        <w:r w:rsidRPr="00E15C2C">
          <w:rPr>
            <w:rStyle w:val="Hyperlink"/>
          </w:rPr>
          <w:t>1417</w:t>
        </w:r>
      </w:hyperlink>
      <w:r w:rsidRPr="00E15C2C">
        <w:t xml:space="preserve"> du Conseil), reproduit ci</w:t>
      </w:r>
      <w:r w:rsidR="002863FB" w:rsidRPr="00E15C2C">
        <w:noBreakHyphen/>
      </w:r>
      <w:r w:rsidRPr="00E15C2C">
        <w:t>après, a été adopté par le Conseil à sa session de 2023.</w:t>
      </w:r>
      <w:hyperlink r:id="rId18" w:history="1"/>
    </w:p>
    <w:p w14:paraId="6B899F7B" w14:textId="77777777" w:rsidR="004F76FD" w:rsidRPr="00E15C2C" w:rsidRDefault="004F76FD" w:rsidP="00DC7ED3">
      <w:pPr>
        <w:pStyle w:val="TableNotitle"/>
      </w:pPr>
      <w:r w:rsidRPr="00E15C2C">
        <w:lastRenderedPageBreak/>
        <w:t>Tableau 2.2-1 – Budget pour l'exercice 2024-2025</w:t>
      </w:r>
    </w:p>
    <w:p w14:paraId="19B8224E" w14:textId="77777777" w:rsidR="004F76FD" w:rsidRPr="00E15C2C" w:rsidRDefault="004F76FD" w:rsidP="006D2E9F">
      <w:pPr>
        <w:pStyle w:val="Figure"/>
        <w:rPr>
          <w:rFonts w:eastAsia="Calibri"/>
        </w:rPr>
      </w:pPr>
      <w:r w:rsidRPr="00E15C2C">
        <w:drawing>
          <wp:inline distT="0" distB="0" distL="0" distR="0" wp14:anchorId="421F93AC" wp14:editId="507106A6">
            <wp:extent cx="5871422" cy="3038475"/>
            <wp:effectExtent l="0" t="0" r="4445" b="0"/>
            <wp:docPr id="1794614690" name="Picture 179461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614690"/>
                    <pic:cNvPicPr/>
                  </pic:nvPicPr>
                  <pic:blipFill>
                    <a:blip r:embed="rId19">
                      <a:extLst>
                        <a:ext uri="{28A0092B-C50C-407E-A947-70E740481C1C}">
                          <a14:useLocalDpi xmlns:a14="http://schemas.microsoft.com/office/drawing/2010/main" val="0"/>
                        </a:ext>
                      </a:extLst>
                    </a:blip>
                    <a:stretch>
                      <a:fillRect/>
                    </a:stretch>
                  </pic:blipFill>
                  <pic:spPr>
                    <a:xfrm>
                      <a:off x="0" y="0"/>
                      <a:ext cx="5871422" cy="3038475"/>
                    </a:xfrm>
                    <a:prstGeom prst="rect">
                      <a:avLst/>
                    </a:prstGeom>
                  </pic:spPr>
                </pic:pic>
              </a:graphicData>
            </a:graphic>
          </wp:inline>
        </w:drawing>
      </w:r>
    </w:p>
    <w:p w14:paraId="127225B8" w14:textId="45D6C8F2" w:rsidR="004F76FD" w:rsidRPr="00E15C2C" w:rsidRDefault="004F76FD" w:rsidP="006D2E9F">
      <w:pPr>
        <w:pStyle w:val="Normalaftertitle0"/>
        <w:rPr>
          <w:lang w:val="fr-FR"/>
        </w:rPr>
      </w:pPr>
      <w:r w:rsidRPr="00E15C2C">
        <w:rPr>
          <w:lang w:val="fr-FR"/>
        </w:rPr>
        <w:t>Les Tableaux 2.2-2 et 2.2-3 indiquent respectivement le budget biennal de l'Union pour 2026-2027 et sa répartition pour le Secteur des radiocommunications (UIT-R) par section (voir la Résolution</w:t>
      </w:r>
      <w:r w:rsidR="00DC7ED3" w:rsidRPr="00E15C2C">
        <w:rPr>
          <w:lang w:val="fr-FR"/>
        </w:rPr>
        <w:t> </w:t>
      </w:r>
      <w:r w:rsidRPr="00E15C2C">
        <w:rPr>
          <w:lang w:val="fr-FR"/>
        </w:rPr>
        <w:t>1435), tels qu'adoptés par le Conseil à sa session de 2025.</w:t>
      </w:r>
    </w:p>
    <w:p w14:paraId="5244B179" w14:textId="332807F7" w:rsidR="004F76FD" w:rsidRPr="00E15C2C" w:rsidRDefault="004F76FD" w:rsidP="00DC7ED3">
      <w:r w:rsidRPr="00E15C2C">
        <w:t>Le budget biennal de l'UIT pour 2026-2027 a subi une réduction globale de 6</w:t>
      </w:r>
      <w:r w:rsidR="000F7759" w:rsidRPr="00E15C2C">
        <w:t> </w:t>
      </w:r>
      <w:r w:rsidRPr="00E15C2C">
        <w:t>008</w:t>
      </w:r>
      <w:r w:rsidR="000F7759" w:rsidRPr="00E15C2C">
        <w:t> </w:t>
      </w:r>
      <w:r w:rsidRPr="00E15C2C">
        <w:t>millions</w:t>
      </w:r>
      <w:r w:rsidR="000F7759" w:rsidRPr="00E15C2C">
        <w:t> </w:t>
      </w:r>
      <w:r w:rsidRPr="00E15C2C">
        <w:t>CHF. Afin de parvenir à un budget équilibré, le Conseil, à sa session de 2025, a demandé au Secrétariat de procéder à une réduction globale par le biais d'un effort de hiérarchisation des priorités qui permettrait aux trois Secteurs de continuer de s'acquitter efficacement de leur mandat et de rendre compte des mesures prises au GTC-FHR. En outre, le budget du BR a été établi sur la base de l'application d'un taux de vacance d'emploi aux postes du BR.</w:t>
      </w:r>
    </w:p>
    <w:p w14:paraId="305952FD" w14:textId="77777777" w:rsidR="004F76FD" w:rsidRPr="00E15C2C" w:rsidRDefault="004F76FD" w:rsidP="006D2E9F">
      <w:pPr>
        <w:pStyle w:val="TableNotitle"/>
        <w:keepNext w:val="0"/>
        <w:keepLines w:val="0"/>
      </w:pPr>
      <w:r w:rsidRPr="00E15C2C">
        <w:t>Tableau 2.2-2 – Budget biennal de l'Union pour 2026-2027</w:t>
      </w:r>
    </w:p>
    <w:p w14:paraId="6DD17A31" w14:textId="77777777" w:rsidR="004F76FD" w:rsidRPr="00E15C2C" w:rsidRDefault="004F76FD" w:rsidP="006D2E9F">
      <w:pPr>
        <w:pStyle w:val="Figure"/>
        <w:keepNext w:val="0"/>
        <w:keepLines w:val="0"/>
      </w:pPr>
      <w:r w:rsidRPr="00E15C2C">
        <w:drawing>
          <wp:inline distT="0" distB="0" distL="0" distR="0" wp14:anchorId="1B18EDFE" wp14:editId="2E14DF51">
            <wp:extent cx="4600575" cy="1789171"/>
            <wp:effectExtent l="0" t="0" r="0" b="1905"/>
            <wp:docPr id="771317382" name="Picture 1" descr="A blue and red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17382" name="Picture 1" descr="A blue and red card with white text&#10;&#10;AI-generated content may be incorrect."/>
                    <pic:cNvPicPr/>
                  </pic:nvPicPr>
                  <pic:blipFill rotWithShape="1">
                    <a:blip r:embed="rId20" cstate="print">
                      <a:extLst>
                        <a:ext uri="{28A0092B-C50C-407E-A947-70E740481C1C}">
                          <a14:useLocalDpi xmlns:a14="http://schemas.microsoft.com/office/drawing/2010/main" val="0"/>
                        </a:ext>
                      </a:extLst>
                    </a:blip>
                    <a:srcRect l="531"/>
                    <a:stretch/>
                  </pic:blipFill>
                  <pic:spPr bwMode="auto">
                    <a:xfrm>
                      <a:off x="0" y="0"/>
                      <a:ext cx="4623033" cy="1797905"/>
                    </a:xfrm>
                    <a:prstGeom prst="rect">
                      <a:avLst/>
                    </a:prstGeom>
                    <a:ln>
                      <a:noFill/>
                    </a:ln>
                    <a:extLst>
                      <a:ext uri="{53640926-AAD7-44D8-BBD7-CCE9431645EC}">
                        <a14:shadowObscured xmlns:a14="http://schemas.microsoft.com/office/drawing/2010/main"/>
                      </a:ext>
                    </a:extLst>
                  </pic:spPr>
                </pic:pic>
              </a:graphicData>
            </a:graphic>
          </wp:inline>
        </w:drawing>
      </w:r>
    </w:p>
    <w:p w14:paraId="5979A33C" w14:textId="77777777" w:rsidR="004F76FD" w:rsidRPr="00E15C2C" w:rsidRDefault="004F76FD" w:rsidP="00DC7ED3">
      <w:pPr>
        <w:pStyle w:val="TableNotitle"/>
      </w:pPr>
      <w:r w:rsidRPr="00E15C2C">
        <w:lastRenderedPageBreak/>
        <w:t>Tableau 2.2-3 – Budget du BR pour l'exercice 2026-2027</w:t>
      </w:r>
    </w:p>
    <w:p w14:paraId="2A781B4D" w14:textId="77777777" w:rsidR="004F76FD" w:rsidRPr="00E15C2C" w:rsidRDefault="004F76FD" w:rsidP="006D2E9F">
      <w:pPr>
        <w:pStyle w:val="Figure"/>
      </w:pPr>
      <w:r w:rsidRPr="00E15C2C">
        <w:drawing>
          <wp:inline distT="0" distB="0" distL="0" distR="0" wp14:anchorId="05D56666" wp14:editId="66C61C23">
            <wp:extent cx="6120765" cy="3287758"/>
            <wp:effectExtent l="0" t="0" r="0" b="8255"/>
            <wp:docPr id="186617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74066" name=""/>
                    <pic:cNvPicPr/>
                  </pic:nvPicPr>
                  <pic:blipFill>
                    <a:blip r:embed="rId21"/>
                    <a:stretch>
                      <a:fillRect/>
                    </a:stretch>
                  </pic:blipFill>
                  <pic:spPr>
                    <a:xfrm>
                      <a:off x="0" y="0"/>
                      <a:ext cx="6120765" cy="3287758"/>
                    </a:xfrm>
                    <a:prstGeom prst="rect">
                      <a:avLst/>
                    </a:prstGeom>
                  </pic:spPr>
                </pic:pic>
              </a:graphicData>
            </a:graphic>
          </wp:inline>
        </w:drawing>
      </w:r>
    </w:p>
    <w:p w14:paraId="37FF4961" w14:textId="34CBD391" w:rsidR="004F76FD" w:rsidRPr="00E15C2C" w:rsidRDefault="004F76FD" w:rsidP="006D2E9F">
      <w:pPr>
        <w:pStyle w:val="Normalaftertitle0"/>
        <w:rPr>
          <w:lang w:val="fr-FR"/>
        </w:rPr>
      </w:pPr>
      <w:r w:rsidRPr="00E15C2C">
        <w:rPr>
          <w:lang w:val="fr-FR"/>
        </w:rPr>
        <w:t>Le</w:t>
      </w:r>
      <w:r w:rsidR="00022773" w:rsidRPr="00E15C2C">
        <w:rPr>
          <w:lang w:val="fr-FR"/>
        </w:rPr>
        <w:t xml:space="preserve"> Document</w:t>
      </w:r>
      <w:r w:rsidRPr="00E15C2C">
        <w:rPr>
          <w:lang w:val="fr-FR"/>
        </w:rPr>
        <w:t xml:space="preserve"> </w:t>
      </w:r>
      <w:hyperlink r:id="rId22" w:history="1">
        <w:r w:rsidR="00022773" w:rsidRPr="00E15C2C">
          <w:rPr>
            <w:rStyle w:val="Hyperlink"/>
            <w:lang w:val="fr-FR"/>
          </w:rPr>
          <w:t>CWG-FHR-22/21</w:t>
        </w:r>
      </w:hyperlink>
      <w:r w:rsidRPr="00E15C2C">
        <w:rPr>
          <w:lang w:val="fr-FR"/>
        </w:rPr>
        <w:t>, présenté à la réunion de janvier 2026 du GTC-FHR, contient une mise à jour du budget de l'UIT pour 2026-2027 afin de parvenir à l'équilibre grâce à l'établissement de priorités et à la consolidation dans le cadre de l'exercice de planification opérationnelle. La proposition comprend une réduction des frais de voyage et des services de consultants à court terme, ainsi que des gains d'efficacité (par exemple au moyen de l'automatisation), comme indiqué dans le Tableau 2.2-4. L'examen annuel des produits et des charges dans le cadre de la mise en</w:t>
      </w:r>
      <w:r w:rsidR="00A769FD" w:rsidRPr="00E15C2C">
        <w:rPr>
          <w:lang w:val="fr-FR"/>
        </w:rPr>
        <w:t> </w:t>
      </w:r>
      <w:r w:rsidRPr="00E15C2C">
        <w:rPr>
          <w:lang w:val="fr-FR"/>
        </w:rPr>
        <w:t>œuvre du budget 2026, y compris la réduction globale du budget pour la période 2026-2027, sera soumis au Conseil à sa session de 2026.</w:t>
      </w:r>
      <w:hyperlink r:id="rId23" w:history="1"/>
    </w:p>
    <w:p w14:paraId="684A0421" w14:textId="77777777" w:rsidR="004F76FD" w:rsidRPr="00E15C2C" w:rsidRDefault="004F76FD" w:rsidP="005E2152">
      <w:pPr>
        <w:pStyle w:val="TableNotitle"/>
      </w:pPr>
      <w:r w:rsidRPr="00E15C2C">
        <w:t>Tableau 2.2-4 – Proposition de budget révisé pour 2026-2027 par les Bureaux</w:t>
      </w:r>
    </w:p>
    <w:p w14:paraId="7A8D6118" w14:textId="77777777" w:rsidR="004F76FD" w:rsidRPr="00E15C2C" w:rsidRDefault="004F76FD" w:rsidP="006D2E9F">
      <w:pPr>
        <w:pStyle w:val="Figure"/>
      </w:pPr>
      <w:r w:rsidRPr="00E15C2C">
        <w:drawing>
          <wp:inline distT="0" distB="0" distL="0" distR="0" wp14:anchorId="593256AF" wp14:editId="7B346DF5">
            <wp:extent cx="5869116" cy="1744318"/>
            <wp:effectExtent l="0" t="0" r="0" b="8890"/>
            <wp:docPr id="986529964"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29964" name="Picture 1" descr="A white rectangular box with black text&#10;&#10;AI-generated content may be incorrect."/>
                    <pic:cNvPicPr/>
                  </pic:nvPicPr>
                  <pic:blipFill>
                    <a:blip r:embed="rId24"/>
                    <a:stretch>
                      <a:fillRect/>
                    </a:stretch>
                  </pic:blipFill>
                  <pic:spPr>
                    <a:xfrm>
                      <a:off x="0" y="0"/>
                      <a:ext cx="5915828" cy="1758201"/>
                    </a:xfrm>
                    <a:prstGeom prst="rect">
                      <a:avLst/>
                    </a:prstGeom>
                  </pic:spPr>
                </pic:pic>
              </a:graphicData>
            </a:graphic>
          </wp:inline>
        </w:drawing>
      </w:r>
    </w:p>
    <w:p w14:paraId="5C26D5EE" w14:textId="77777777" w:rsidR="004F76FD" w:rsidRPr="00E15C2C" w:rsidRDefault="004F76FD" w:rsidP="006D2E9F">
      <w:pPr>
        <w:pStyle w:val="Heading2"/>
      </w:pPr>
      <w:bookmarkStart w:id="29" w:name="_Toc222308671"/>
      <w:bookmarkStart w:id="30" w:name="_Toc223425082"/>
      <w:bookmarkStart w:id="31" w:name="_Toc223425188"/>
      <w:bookmarkStart w:id="32" w:name="_Toc223427601"/>
      <w:r w:rsidRPr="00E15C2C">
        <w:t>2.3</w:t>
      </w:r>
      <w:r w:rsidRPr="00E15C2C">
        <w:tab/>
        <w:t>Utilisation des six langues officielles de l'Union sur un pied d'égalité</w:t>
      </w:r>
      <w:bookmarkEnd w:id="29"/>
      <w:bookmarkEnd w:id="30"/>
      <w:bookmarkEnd w:id="31"/>
      <w:bookmarkEnd w:id="32"/>
    </w:p>
    <w:p w14:paraId="58E9F482" w14:textId="52C0850E" w:rsidR="004F76FD" w:rsidRPr="00E15C2C" w:rsidRDefault="004F76FD" w:rsidP="004F76FD">
      <w:r w:rsidRPr="00E15C2C">
        <w:t xml:space="preserve">La Conférence de plénipotentiaires de l'UIT tenue en 2022 (PP-22) a modifié la Résolution 154 (Rév. Bucarest, 2022) aux termes de laquelle l'UIT est invitée à continuer de prendre toutes les mesures nécessaires pour garantir l'utilisation des six langues officielles de l'Union sur un pied d'égalité, et pour assurer l'interprétation et la traduction des documents de l'UIT, même s'il se </w:t>
      </w:r>
      <w:r w:rsidRPr="00E15C2C">
        <w:lastRenderedPageBreak/>
        <w:t>pourrait que certaines activités de l'UIT (comme celles des groupes de travail ou des conférences régionales) ne nécessitent pas l'utilisation de toutes les langues officielles. Dans sa Résolution 154 (Rév. Bucarest, 2022), la Conférence de plénipotentiaires charge le Secrétaire général de l'UIT, en</w:t>
      </w:r>
      <w:r w:rsidR="000F7759" w:rsidRPr="00E15C2C">
        <w:t> </w:t>
      </w:r>
      <w:r w:rsidRPr="00E15C2C">
        <w:t>collaboration étroite avec les Directeurs des Bureaux, de présenter chaque année un rapport au Conseil et au Groupe de travail du Conseil sur l'utilisation des langues (GTC-LANG).</w:t>
      </w:r>
    </w:p>
    <w:p w14:paraId="22561265" w14:textId="10142C08" w:rsidR="004F76FD" w:rsidRPr="00E15C2C" w:rsidRDefault="004F76FD" w:rsidP="004F76FD">
      <w:pPr>
        <w:rPr>
          <w:rFonts w:eastAsia="Calibri" w:cs="Arial"/>
          <w:kern w:val="2"/>
          <w14:ligatures w14:val="standardContextual"/>
        </w:rPr>
      </w:pPr>
      <w:r w:rsidRPr="00E15C2C">
        <w:t xml:space="preserve">À sa session de 2025, le Conseil a pris note du rapport sur l'utilisation des six langues de l'Union sur un pied d'égalité établi par la Présidente du GTC-LANG (Document </w:t>
      </w:r>
      <w:hyperlink r:id="rId25" w:history="1">
        <w:r w:rsidRPr="00E15C2C">
          <w:rPr>
            <w:rStyle w:val="Hyperlink"/>
          </w:rPr>
          <w:t>C25/12</w:t>
        </w:r>
      </w:hyperlink>
      <w:r w:rsidRPr="00E15C2C">
        <w:t xml:space="preserve">), qui comprend des informations actualisées sur la mise en œuvre du Guide sur le multilinguisme, des données sur l'utilisation des outils de traduction automatique ITU Translate, et un rapport sur les défis et les perspectives liées à l'utilisation de l'interprétation assistée par l'IA à l'UIT (Document </w:t>
      </w:r>
      <w:hyperlink r:id="rId26" w:history="1">
        <w:r w:rsidRPr="00E15C2C">
          <w:rPr>
            <w:rStyle w:val="Hyperlink"/>
          </w:rPr>
          <w:t>C25/INF/7</w:t>
        </w:r>
      </w:hyperlink>
      <w:r w:rsidRPr="00E15C2C">
        <w:t xml:space="preserve">). La Présidente du GTC-LANG présentera </w:t>
      </w:r>
      <w:hyperlink r:id="rId27" w:history="1">
        <w:r w:rsidRPr="00E15C2C">
          <w:rPr>
            <w:rStyle w:val="Hyperlink"/>
          </w:rPr>
          <w:t>un rapport actualisé au Conseil à sa session de 2026</w:t>
        </w:r>
      </w:hyperlink>
      <w:r w:rsidRPr="00E15C2C">
        <w:t>, contenant des propositions de modification de la Résolution 154 (Rév. Bucarest, 2022), de la Résolution 1386 du Conseil (C17, dernière mod. C26) relative au Comité de coordination de l'UIT, et de la Résolution 1372 du Conseil (C15, dernière mod. C26) relative au Groupe de travail du Conseil sur l'utilisation des langues.</w:t>
      </w:r>
      <w:hyperlink r:id="rId28" w:history="1"/>
      <w:hyperlink r:id="rId29" w:history="1"/>
      <w:hyperlink r:id="rId30" w:history="1"/>
    </w:p>
    <w:p w14:paraId="5B0C6722" w14:textId="7A140009" w:rsidR="004F76FD" w:rsidRPr="00E15C2C" w:rsidRDefault="004F76FD" w:rsidP="004F76FD">
      <w:r w:rsidRPr="00E15C2C">
        <w:t>En outre, dans la Résolution 154 (Rév. Bucarest, 2022) de la Conférence de plénipotentiaires, les groupes consultatifs des Secteurs sont chargés de procéder chaque année à un examen de l'utilisation sur un pied d'égalité de toutes les langues officielles de l'Union dans les publications et sur les sites web de l'UIT. Le BR a également accompli des progrès importants en vue d'abandonner SharePoint au profit de WordPress, qui prend en charge la traduction automatique des pages web, pour ses sites web. On trouvera des informations sur l'état d'avancement de la traduction des pages</w:t>
      </w:r>
      <w:r w:rsidR="006D2E9F" w:rsidRPr="00E15C2C">
        <w:t> </w:t>
      </w:r>
      <w:r w:rsidRPr="00E15C2C">
        <w:t>web du BR dans l'Addendum 2 du présent document.</w:t>
      </w:r>
    </w:p>
    <w:p w14:paraId="05DD7745" w14:textId="77777777" w:rsidR="004F76FD" w:rsidRPr="00E15C2C" w:rsidRDefault="004F76FD" w:rsidP="004F76FD">
      <w:pPr>
        <w:pStyle w:val="Heading2"/>
      </w:pPr>
      <w:bookmarkStart w:id="33" w:name="_Toc222308672"/>
      <w:bookmarkStart w:id="34" w:name="_Toc223425083"/>
      <w:bookmarkStart w:id="35" w:name="_Toc223425189"/>
      <w:bookmarkStart w:id="36" w:name="_Toc223427602"/>
      <w:r w:rsidRPr="00E15C2C">
        <w:rPr>
          <w:bCs/>
        </w:rPr>
        <w:t>2.4</w:t>
      </w:r>
      <w:r w:rsidRPr="00E15C2C">
        <w:tab/>
      </w:r>
      <w:r w:rsidRPr="00E15C2C">
        <w:rPr>
          <w:bCs/>
        </w:rPr>
        <w:t>Participation à distance</w:t>
      </w:r>
      <w:bookmarkEnd w:id="33"/>
      <w:bookmarkEnd w:id="34"/>
      <w:bookmarkEnd w:id="35"/>
      <w:bookmarkEnd w:id="36"/>
    </w:p>
    <w:p w14:paraId="1C354578" w14:textId="52EAD734" w:rsidR="004F76FD" w:rsidRPr="00E15C2C" w:rsidRDefault="004F76FD" w:rsidP="004F76FD">
      <w:r w:rsidRPr="00E15C2C">
        <w:t>La PP-22 a adopté sa Résolution 167 (Rév. Bucarest, 2022), intitulée «Renforcement et développement des capacités de l'UIT pour les réunions entièrement virtuelles et les réunions physiques avec participation à distance, et des moyens électroniques permettant de faire avancer les travaux de l'Union». Par cette Résolution, l'UIT est invitée à élaborer des orientations de haut niveau pour la gestion et la gouvernance des réunions entièrement virtuelles et des réunions physiques avec participation à distance.</w:t>
      </w:r>
    </w:p>
    <w:p w14:paraId="42B6D74C" w14:textId="56EEEC0C" w:rsidR="004F76FD" w:rsidRPr="00E15C2C" w:rsidRDefault="004F76FD" w:rsidP="004F76FD">
      <w:pPr>
        <w:rPr>
          <w:rFonts w:eastAsia="Calibri"/>
        </w:rPr>
      </w:pPr>
      <w:r w:rsidRPr="00E15C2C">
        <w:t xml:space="preserve">Conformément à la mise en œuvre de la Résolution 167 (Rév. Bucarest, 2022) de la Conférence de plénipotentiaires, le Conseil a créé, durant sa session de 2024, un groupe de travail par correspondance chargé d'élaborer un projet de lignes directrices sur la gestion des réunions entièrement virtuelles et des réunions physiques avec participation à distance, devant être soumis pour examen au GTC-FHR. Les lignes directrices élaborées ont été présentées et adoptées à la session de 2025 du Conseil et publiées sur le </w:t>
      </w:r>
      <w:hyperlink r:id="rId31" w:anchor="/fr" w:history="1">
        <w:r w:rsidRPr="00E15C2C">
          <w:rPr>
            <w:rStyle w:val="Hyperlink"/>
          </w:rPr>
          <w:t>site web de l'UIT</w:t>
        </w:r>
      </w:hyperlink>
      <w:r w:rsidRPr="00E15C2C">
        <w:t>.</w:t>
      </w:r>
      <w:hyperlink r:id="rId32" w:history="1"/>
    </w:p>
    <w:p w14:paraId="7B6E5C1E" w14:textId="77777777" w:rsidR="004F76FD" w:rsidRPr="00E15C2C" w:rsidRDefault="004F76FD" w:rsidP="00D67929">
      <w:pPr>
        <w:pStyle w:val="Heading2"/>
      </w:pPr>
      <w:bookmarkStart w:id="37" w:name="_Toc222308673"/>
      <w:bookmarkStart w:id="38" w:name="_Toc223425084"/>
      <w:bookmarkStart w:id="39" w:name="_Toc223425190"/>
      <w:bookmarkStart w:id="40" w:name="_Toc223427603"/>
      <w:r w:rsidRPr="00E15C2C">
        <w:t>2.5</w:t>
      </w:r>
      <w:r w:rsidRPr="00E15C2C">
        <w:tab/>
        <w:t>Plan stratégique et Plan financier de l'UIT pour la période 2028-2031</w:t>
      </w:r>
      <w:bookmarkEnd w:id="37"/>
      <w:bookmarkEnd w:id="38"/>
      <w:bookmarkEnd w:id="39"/>
      <w:bookmarkEnd w:id="40"/>
    </w:p>
    <w:p w14:paraId="53D0DF1D" w14:textId="08385F5C" w:rsidR="004F76FD" w:rsidRPr="00E15C2C" w:rsidRDefault="004F76FD" w:rsidP="004F76FD">
      <w:r w:rsidRPr="00E15C2C">
        <w:t>À sa session de 2024, le Conseil a créé le Groupe de travail du Conseil chargé d'élaborer le Plan</w:t>
      </w:r>
      <w:r w:rsidR="00D67929" w:rsidRPr="00E15C2C">
        <w:t> </w:t>
      </w:r>
      <w:r w:rsidRPr="00E15C2C">
        <w:t xml:space="preserve">stratégique et le Plan financier (GTC-SFP), en vertu de sa Résolution </w:t>
      </w:r>
      <w:hyperlink r:id="rId33" w:history="1">
        <w:r w:rsidR="00986D30" w:rsidRPr="00E15C2C">
          <w:rPr>
            <w:rStyle w:val="Hyperlink"/>
          </w:rPr>
          <w:t>1428 (C24)</w:t>
        </w:r>
      </w:hyperlink>
      <w:r w:rsidRPr="00E15C2C">
        <w:t>, le chargeant d'élaborer les projets de Plan stratégique et de Plan financier pour la période 2028-2031 et de les présenter à la Conférence de plénipotentiaires de 2026.</w:t>
      </w:r>
      <w:hyperlink r:id="rId34" w:history="1"/>
    </w:p>
    <w:p w14:paraId="5D5FDD95" w14:textId="1131350E" w:rsidR="00D67929" w:rsidRPr="00E15C2C" w:rsidRDefault="004F76FD" w:rsidP="00D67929">
      <w:r w:rsidRPr="00E15C2C">
        <w:t>À sa 32ème réunion, le GCR a créé un Groupe de travail par correspondance du GCR sur le Plan</w:t>
      </w:r>
      <w:r w:rsidR="00D67929" w:rsidRPr="00E15C2C">
        <w:t> </w:t>
      </w:r>
      <w:r w:rsidRPr="00E15C2C">
        <w:t>stratégique de l'UIT pour la période 2028-2031 (GC-UIT-PS-2028-31), présidé par M.</w:t>
      </w:r>
      <w:r w:rsidR="00D67929" w:rsidRPr="00E15C2C">
        <w:t> </w:t>
      </w:r>
      <w:r w:rsidRPr="00E15C2C">
        <w:t>El</w:t>
      </w:r>
      <w:r w:rsidR="00D67929" w:rsidRPr="00E15C2C">
        <w:t> </w:t>
      </w:r>
      <w:r w:rsidRPr="00E15C2C">
        <w:t xml:space="preserve">Hadjar ABDOURAMANE (Cameroun). Le Groupe de travail par correspondance s'est réuni </w:t>
      </w:r>
      <w:r w:rsidR="00D67929" w:rsidRPr="00E15C2C">
        <w:br w:type="page"/>
      </w:r>
    </w:p>
    <w:p w14:paraId="0F0C2AE3" w14:textId="033D2FD0" w:rsidR="004F76FD" w:rsidRPr="00E15C2C" w:rsidRDefault="004F76FD" w:rsidP="004F76FD">
      <w:r w:rsidRPr="00E15C2C">
        <w:lastRenderedPageBreak/>
        <w:t xml:space="preserve">à deux reprises pour examiner les résultats de la réunion de septembre 2025 du GTC-SFP et élaborer une proposition de contribution du GCR (voir le rapport du Groupe de travail par correspondance reproduit dans le Document </w:t>
      </w:r>
      <w:hyperlink r:id="rId35" w:history="1">
        <w:r w:rsidRPr="00E15C2C">
          <w:rPr>
            <w:rStyle w:val="Hyperlink"/>
          </w:rPr>
          <w:t>RAG/51</w:t>
        </w:r>
      </w:hyperlink>
      <w:r w:rsidRPr="00E15C2C">
        <w:t>).</w:t>
      </w:r>
      <w:hyperlink r:id="rId36" w:history="1"/>
    </w:p>
    <w:p w14:paraId="60D607A7" w14:textId="05EF3B4D" w:rsidR="004F76FD" w:rsidRPr="00E15C2C" w:rsidRDefault="004F76FD" w:rsidP="004F76FD">
      <w:r w:rsidRPr="00E15C2C">
        <w:t xml:space="preserve">Lors d'une session spéciale du GCR sur le projet de Plan stratégique et le projet de Plan financier de l'UIT-R, tenue en décembre 2025, le GCR a examiné le rapport du Groupe de travail par correspondance et a soumis une note de liaison à la quatrième réunion du GTC-SFP (voir le Document </w:t>
      </w:r>
      <w:hyperlink r:id="rId37" w:history="1">
        <w:r w:rsidRPr="00E15C2C">
          <w:rPr>
            <w:rStyle w:val="Hyperlink"/>
          </w:rPr>
          <w:t>CWG-SFP-4/6</w:t>
        </w:r>
      </w:hyperlink>
      <w:r w:rsidRPr="00E15C2C">
        <w:t>) contenant la contribution du GCR au GTC-SFP.</w:t>
      </w:r>
      <w:hyperlink r:id="rId38" w:history="1"/>
      <w:bookmarkStart w:id="41" w:name="_Hlk216183759"/>
      <w:bookmarkEnd w:id="41"/>
    </w:p>
    <w:p w14:paraId="0DF06C8F" w14:textId="5984208F" w:rsidR="004F76FD" w:rsidRPr="00E15C2C" w:rsidRDefault="004F76FD" w:rsidP="004F76FD">
      <w:r w:rsidRPr="00E15C2C">
        <w:t xml:space="preserve">Les résultats de la quatrième réunion du GTC-SFP ont été soumis à la 33ème réunion du GCR (Document </w:t>
      </w:r>
      <w:hyperlink r:id="rId39" w:history="1">
        <w:r w:rsidRPr="00E15C2C">
          <w:rPr>
            <w:rStyle w:val="Hyperlink"/>
          </w:rPr>
          <w:t>RAG/55</w:t>
        </w:r>
      </w:hyperlink>
      <w:r w:rsidRPr="00E15C2C">
        <w:t>).</w:t>
      </w:r>
      <w:hyperlink r:id="rId40" w:history="1"/>
    </w:p>
    <w:p w14:paraId="5B816A16" w14:textId="046AF280" w:rsidR="004F76FD" w:rsidRPr="00E15C2C" w:rsidRDefault="004F76FD" w:rsidP="004F76FD">
      <w:r w:rsidRPr="00E15C2C">
        <w:t>Pour faire suite à la série de réunions des groupes de travail de janvier 2026, une réunion supplémentaire du GTC-SFP et une réunion conjointe du GTC-SFP et du GTC-FHR sont prévues le</w:t>
      </w:r>
      <w:r w:rsidR="00D67929" w:rsidRPr="00E15C2C">
        <w:t> </w:t>
      </w:r>
      <w:r w:rsidRPr="00E15C2C">
        <w:t xml:space="preserve">27 avril 2026 (voir la Lettre circulaire </w:t>
      </w:r>
      <w:hyperlink r:id="rId41" w:history="1">
        <w:r w:rsidRPr="00E15C2C">
          <w:rPr>
            <w:rStyle w:val="Hyperlink"/>
          </w:rPr>
          <w:t>CL-26/06</w:t>
        </w:r>
      </w:hyperlink>
      <w:r w:rsidRPr="00E15C2C">
        <w:t>).</w:t>
      </w:r>
      <w:hyperlink r:id="rId42" w:history="1"/>
    </w:p>
    <w:p w14:paraId="0ECFBA6B" w14:textId="4915C60B" w:rsidR="004F76FD" w:rsidRPr="00E15C2C" w:rsidRDefault="004F76FD" w:rsidP="00D67929">
      <w:pPr>
        <w:pStyle w:val="Heading2"/>
      </w:pPr>
      <w:bookmarkStart w:id="42" w:name="_Toc222308674"/>
      <w:bookmarkStart w:id="43" w:name="_Toc223425085"/>
      <w:bookmarkStart w:id="44" w:name="_Toc223425191"/>
      <w:bookmarkStart w:id="45" w:name="_Toc223427604"/>
      <w:r w:rsidRPr="00E15C2C">
        <w:t>2.6</w:t>
      </w:r>
      <w:r w:rsidRPr="00E15C2C">
        <w:tab/>
        <w:t>Continuité des activités</w:t>
      </w:r>
      <w:bookmarkEnd w:id="42"/>
      <w:bookmarkEnd w:id="43"/>
      <w:bookmarkEnd w:id="44"/>
      <w:bookmarkEnd w:id="45"/>
    </w:p>
    <w:p w14:paraId="522F47FA" w14:textId="30B67C0A" w:rsidR="004F76FD" w:rsidRPr="00E15C2C" w:rsidRDefault="004F76FD" w:rsidP="004F76FD">
      <w:r w:rsidRPr="00E15C2C">
        <w:t xml:space="preserve">Des informations actualisées sur les modalités de continuité des activités pour les réunions de l'UIT pendant la période de construction du nouveau bâtiment du siège de l'UIT en 2028 et 2029 a été soumise à la 22ème réunion du GTC-FHR en janvier 2026 (Document </w:t>
      </w:r>
      <w:hyperlink r:id="rId43" w:history="1">
        <w:r w:rsidRPr="00E15C2C">
          <w:rPr>
            <w:rStyle w:val="Hyperlink"/>
          </w:rPr>
          <w:t>CWG-FHR-22/13</w:t>
        </w:r>
      </w:hyperlink>
      <w:r w:rsidRPr="00E15C2C">
        <w:t>).</w:t>
      </w:r>
      <w:hyperlink r:id="rId44" w:history="1"/>
    </w:p>
    <w:p w14:paraId="7AE928FE" w14:textId="77777777" w:rsidR="004F76FD" w:rsidRPr="00E15C2C" w:rsidRDefault="004F76FD" w:rsidP="003D01C0">
      <w:pPr>
        <w:rPr>
          <w:rFonts w:eastAsia="Calibri"/>
        </w:rPr>
      </w:pPr>
      <w:r w:rsidRPr="00E15C2C">
        <w:t>En raison des perturbations que devrait causer la construction du nouveau bâtiment, il est nécessaire de réserver d'autres salles de réunion pour environ 60 à 65 réunions techniques statutaires (réunions des commissions d'études (CE) et des groupes de travail (GT) pour tous les Secteurs, ainsi que les réunions des groupes consultatifs, du Conseil et des groupes de travail du Conseil), qui se tiennent habituellement au siège de l'UIT. L'entreprise chargée de la conception du projet de bâtiment a confirmé que la principale période de perturbation ira de juillet 2028 à juillet 2029, avec une période supplémentaire pour imprévus, entre juillet 2029 et décembre 2029. On trouvera dans l'Annexe du Document CWG-FHR-22/13 une liste provisoire détaillée des réunions concernées pendant cette période.</w:t>
      </w:r>
    </w:p>
    <w:p w14:paraId="5DD69D0B" w14:textId="77777777" w:rsidR="004F76FD" w:rsidRPr="00E15C2C" w:rsidRDefault="004F76FD" w:rsidP="003D01C0">
      <w:pPr>
        <w:rPr>
          <w:rFonts w:eastAsia="Calibri"/>
        </w:rPr>
      </w:pPr>
      <w:r w:rsidRPr="00E15C2C">
        <w:t>Pendant la réunion du GTC-FHR, la Suisse a soumis une contribution confirmant le financement d'environ 2,8 millions CHF qui seront affectés au fonds pour la continuité des activités en vue de la tenue des réunions de l'UIT à Genève pendant la période au cours de laquelle le projet de construction entraînera le plus de perturbations.</w:t>
      </w:r>
    </w:p>
    <w:p w14:paraId="0D53AA1B" w14:textId="013C463C" w:rsidR="004F76FD" w:rsidRPr="00E15C2C" w:rsidRDefault="004F76FD" w:rsidP="004F76FD">
      <w:pPr>
        <w:rPr>
          <w:rFonts w:eastAsia="Calibri"/>
          <w:szCs w:val="24"/>
        </w:rPr>
      </w:pPr>
      <w:r w:rsidRPr="00E15C2C">
        <w:t>Le secrétariat s'efforce de trouver autant de salles de réunion que possible à Genève et dans ses environs, afin d'accueillir le plus grand nombre possible de réunions pendant cette période, dans les limites du budget. Parmi les sites possibles à Genève figurent le Centre international de conférences Genève (CICG), Palexpo, l'Office des Nations Unies à Genève (ONUG), l'Organisation mondiale de la Santé (OMS) et l'Organisation internationale du Travail (OIT). Il convient toutefois de noter que le CICG sera indisponible tout au long de l'année 2028 en raison de travaux de rénovation prévus et que sa disponibilité sera très limitée en 2029. En outre, l'ONUG n'accepte pas les réservations plus de six mois à l'avance. Compte tenu de ces limites et des contraintes budgétaires strictes, le secrétariat collabore également avec les Secteurs pour revoir la liste des réunions et déterminer s'il serait possible de réduire le nombre de réunions pendant cette période, la durée de ces dernières et/ou le nombre de jours de réunions, ou de réduire la capacité requise en réduisant le nombre de salles pour chaque réunion. On pourrait également envisager la possibilité pour un gouvernement invitant de tenir des réunions en dehors de Genève, conformément à la Résolution 5 (Kyoto, 1994) de la Conférence de plénipotentiaires, ou dans le cadre de la proposition de centres de réunion de l'UIT envoyée à tous les États Membres au cas où des propositions fermes seraient reçues pour soumission au Conseil à sa session de 2026. Une dernière option pourrait consister à</w:t>
      </w:r>
      <w:r w:rsidR="000F7759" w:rsidRPr="00E15C2C">
        <w:t> </w:t>
      </w:r>
      <w:r w:rsidRPr="00E15C2C">
        <w:t>tenir certaines réunions de manière entièrement virtuelle.</w:t>
      </w:r>
    </w:p>
    <w:p w14:paraId="5DB191FE" w14:textId="2C02C52A" w:rsidR="004F76FD" w:rsidRPr="00E15C2C" w:rsidRDefault="004F76FD" w:rsidP="00D67929">
      <w:pPr>
        <w:widowControl w:val="0"/>
      </w:pPr>
      <w:r w:rsidRPr="00E15C2C">
        <w:lastRenderedPageBreak/>
        <w:t>Un rapport d'activité sur la continuité des activités pour les réunions sera présenté à la session de</w:t>
      </w:r>
      <w:r w:rsidR="00D67929" w:rsidRPr="00E15C2C">
        <w:t> </w:t>
      </w:r>
      <w:r w:rsidRPr="00E15C2C">
        <w:t>2026 du Conseil.</w:t>
      </w:r>
    </w:p>
    <w:p w14:paraId="003AA25B" w14:textId="77777777" w:rsidR="004F76FD" w:rsidRPr="00E15C2C" w:rsidRDefault="004F76FD" w:rsidP="00D67929">
      <w:pPr>
        <w:pStyle w:val="Heading1"/>
      </w:pPr>
      <w:bookmarkStart w:id="46" w:name="_Toc222308675"/>
      <w:bookmarkStart w:id="47" w:name="_Toc223425086"/>
      <w:bookmarkStart w:id="48" w:name="_Toc223425192"/>
      <w:bookmarkStart w:id="49" w:name="_Toc223427605"/>
      <w:r w:rsidRPr="00E15C2C">
        <w:t>3</w:t>
      </w:r>
      <w:r w:rsidRPr="00E15C2C">
        <w:tab/>
        <w:t>Mise en œuvre des décisions de la CMR-23</w:t>
      </w:r>
      <w:bookmarkEnd w:id="46"/>
      <w:bookmarkEnd w:id="47"/>
      <w:bookmarkEnd w:id="48"/>
      <w:bookmarkEnd w:id="49"/>
    </w:p>
    <w:p w14:paraId="647331CE" w14:textId="77777777" w:rsidR="004F76FD" w:rsidRPr="00E15C2C" w:rsidRDefault="004F76FD" w:rsidP="00D67929">
      <w:pPr>
        <w:pStyle w:val="Heading2"/>
      </w:pPr>
      <w:bookmarkStart w:id="50" w:name="_Toc446060760"/>
      <w:bookmarkStart w:id="51" w:name="_Toc222308676"/>
      <w:bookmarkStart w:id="52" w:name="_Toc223425087"/>
      <w:bookmarkStart w:id="53" w:name="_Toc223425193"/>
      <w:bookmarkStart w:id="54" w:name="_Toc223427606"/>
      <w:r w:rsidRPr="00E15C2C">
        <w:t>3.1</w:t>
      </w:r>
      <w:r w:rsidRPr="00E15C2C">
        <w:tab/>
        <w:t>Mise en œuvre des décisions de la CMR-23</w:t>
      </w:r>
      <w:bookmarkEnd w:id="50"/>
      <w:bookmarkEnd w:id="51"/>
      <w:bookmarkEnd w:id="52"/>
      <w:bookmarkEnd w:id="53"/>
      <w:bookmarkEnd w:id="54"/>
    </w:p>
    <w:p w14:paraId="324AA73F" w14:textId="77777777" w:rsidR="004F76FD" w:rsidRPr="00E15C2C" w:rsidRDefault="004F76FD" w:rsidP="004F76FD">
      <w:r w:rsidRPr="00E15C2C">
        <w:t>La Conférence mondiale des radiocommunications de 2023 (CMR-23) a permis de déterminer de nouvelles activités ou études, ainsi que des travaux d'élaboration de logiciels à mener, afin de mettre en œuvre ses décisions. Les coûts estimés pour la réalisation de ces nouveaux travaux sont de l'ordre de 12,6 millions CHF et correspondent à la fois aux coûts ponctuels et aux coûts récurrents pour la période 2024-2027. On trouvera dans le Tableau 3.2.1 les coûts globaux estimés en question.</w:t>
      </w:r>
    </w:p>
    <w:p w14:paraId="717C70E4" w14:textId="2BF7AAC6" w:rsidR="004F76FD" w:rsidRPr="00E15C2C" w:rsidRDefault="004F76FD" w:rsidP="00CE2EBD">
      <w:r w:rsidRPr="00E15C2C">
        <w:t xml:space="preserve">Les incidences budgétaires annuelles de la suite donnée aux décisions de la CMR-23 ont été présentées à la session de 2024 au Conseil à travers le Document </w:t>
      </w:r>
      <w:hyperlink r:id="rId45" w:history="1">
        <w:r w:rsidRPr="00E15C2C">
          <w:rPr>
            <w:rStyle w:val="Hyperlink"/>
          </w:rPr>
          <w:t>C24/63</w:t>
        </w:r>
      </w:hyperlink>
      <w:r w:rsidRPr="00E15C2C">
        <w:t>.</w:t>
      </w:r>
      <w:hyperlink r:id="rId46" w:history="1"/>
    </w:p>
    <w:p w14:paraId="4E03C5E6" w14:textId="535A8F5F" w:rsidR="004F76FD" w:rsidRPr="00E15C2C" w:rsidRDefault="004F76FD" w:rsidP="00CE2EBD">
      <w:pPr>
        <w:pStyle w:val="TableNotitle"/>
      </w:pPr>
      <w:r w:rsidRPr="00E15C2C">
        <w:t>Tableau 3.1.1 – Incidences financières des décisions</w:t>
      </w:r>
      <w:r w:rsidR="00D67929" w:rsidRPr="00E15C2C">
        <w:br/>
      </w:r>
      <w:r w:rsidRPr="00E15C2C">
        <w:t>de</w:t>
      </w:r>
      <w:r w:rsidR="00D67929" w:rsidRPr="00E15C2C">
        <w:t xml:space="preserve"> </w:t>
      </w:r>
      <w:r w:rsidRPr="00E15C2C">
        <w:t xml:space="preserve">la CMR-23 </w:t>
      </w:r>
      <w:r w:rsidR="00CE2EBD" w:rsidRPr="00E15C2C">
        <w:t>–</w:t>
      </w:r>
      <w:r w:rsidRPr="00E15C2C">
        <w:t xml:space="preserve"> Estimations de coût globales</w:t>
      </w:r>
    </w:p>
    <w:p w14:paraId="01CBF821" w14:textId="77777777" w:rsidR="004F76FD" w:rsidRPr="00E15C2C" w:rsidRDefault="004F76FD" w:rsidP="00D67929">
      <w:pPr>
        <w:pStyle w:val="Figure"/>
      </w:pPr>
      <w:r w:rsidRPr="00E15C2C">
        <w:drawing>
          <wp:inline distT="0" distB="0" distL="0" distR="0" wp14:anchorId="256B4FE9" wp14:editId="20E55385">
            <wp:extent cx="6120765" cy="1285240"/>
            <wp:effectExtent l="19050" t="19050" r="13335" b="10160"/>
            <wp:docPr id="725283219" name="Picture 72528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283219"/>
                    <pic:cNvPicPr/>
                  </pic:nvPicPr>
                  <pic:blipFill>
                    <a:blip r:embed="rId47">
                      <a:extLst>
                        <a:ext uri="{28A0092B-C50C-407E-A947-70E740481C1C}">
                          <a14:useLocalDpi xmlns:a14="http://schemas.microsoft.com/office/drawing/2010/main" val="0"/>
                        </a:ext>
                      </a:extLst>
                    </a:blip>
                    <a:stretch>
                      <a:fillRect/>
                    </a:stretch>
                  </pic:blipFill>
                  <pic:spPr>
                    <a:xfrm>
                      <a:off x="0" y="0"/>
                      <a:ext cx="6120765" cy="1285240"/>
                    </a:xfrm>
                    <a:prstGeom prst="rect">
                      <a:avLst/>
                    </a:prstGeom>
                    <a:ln>
                      <a:solidFill>
                        <a:schemeClr val="tx1"/>
                      </a:solidFill>
                    </a:ln>
                  </pic:spPr>
                </pic:pic>
              </a:graphicData>
            </a:graphic>
          </wp:inline>
        </w:drawing>
      </w:r>
    </w:p>
    <w:p w14:paraId="132CD379" w14:textId="64000F11" w:rsidR="004F76FD" w:rsidRPr="00E15C2C" w:rsidRDefault="004F76FD" w:rsidP="003D01C0">
      <w:pPr>
        <w:pStyle w:val="Normalaftertitle0"/>
        <w:rPr>
          <w:lang w:val="fr-FR"/>
        </w:rPr>
      </w:pPr>
      <w:r w:rsidRPr="00E15C2C">
        <w:rPr>
          <w:lang w:val="fr-FR"/>
        </w:rPr>
        <w:t>Le Conseil a adopté la</w:t>
      </w:r>
      <w:r w:rsidR="003846DF" w:rsidRPr="00E15C2C">
        <w:rPr>
          <w:lang w:val="fr-FR"/>
        </w:rPr>
        <w:t xml:space="preserve"> Résolution </w:t>
      </w:r>
      <w:hyperlink r:id="rId48" w:history="1">
        <w:r w:rsidR="003846DF" w:rsidRPr="00E15C2C">
          <w:rPr>
            <w:rStyle w:val="Hyperlink"/>
            <w:lang w:val="fr-FR"/>
          </w:rPr>
          <w:t>1427</w:t>
        </w:r>
      </w:hyperlink>
      <w:r w:rsidRPr="00E15C2C">
        <w:rPr>
          <w:lang w:val="fr-FR"/>
        </w:rPr>
        <w:t xml:space="preserve"> relative à l'affectation des économies réalisées dans le cadre de l'exécution du budget 2023 et à l'affectation du Fonds de roulement des expositions. Aux termes de ladite Résolution, l'excédent budgétaire pour l'année 2023 a été alloué à la mise en œuvre des décisions de la CMR-23 (1 423 000 CHF).</w:t>
      </w:r>
      <w:hyperlink r:id="rId49" w:history="1"/>
    </w:p>
    <w:p w14:paraId="39B9815F" w14:textId="69F9ED3A" w:rsidR="004F76FD" w:rsidRPr="00E15C2C" w:rsidRDefault="004F76FD" w:rsidP="00CE2EBD">
      <w:r w:rsidRPr="00E15C2C">
        <w:t>Les Émirats arabes unis, pays hôte de la CMR-23, ont généreusement accepté d'utiliser le solde positif restant au titre de l'accord de pays hôte (d'un montant total de 1,9 million CHF) pour appuyer la mise en œuvre des décisions de la CMR-23, contribuant ainsi à alléger une partie de la charge financière qui pèse sur l'Union. De plus amples renseignements sont fournis dans le Document</w:t>
      </w:r>
      <w:r w:rsidR="00D67929" w:rsidRPr="00E15C2C">
        <w:t> </w:t>
      </w:r>
      <w:hyperlink r:id="rId50" w:history="1">
        <w:r w:rsidRPr="00E15C2C">
          <w:rPr>
            <w:rStyle w:val="Hyperlink"/>
          </w:rPr>
          <w:t>C24/109</w:t>
        </w:r>
      </w:hyperlink>
      <w:r w:rsidRPr="00E15C2C">
        <w:t>.</w:t>
      </w:r>
      <w:hyperlink r:id="rId51" w:history="1"/>
    </w:p>
    <w:p w14:paraId="1CA4DB7D" w14:textId="2A10B787" w:rsidR="004F76FD" w:rsidRPr="00E15C2C" w:rsidRDefault="004F76FD" w:rsidP="00800AB1">
      <w:r w:rsidRPr="00E15C2C">
        <w:t>Dans la</w:t>
      </w:r>
      <w:r w:rsidR="003846DF" w:rsidRPr="00E15C2C">
        <w:t xml:space="preserve"> Résolution</w:t>
      </w:r>
      <w:r w:rsidRPr="00E15C2C">
        <w:t xml:space="preserve"> </w:t>
      </w:r>
      <w:hyperlink r:id="rId52" w:history="1">
        <w:r w:rsidR="003846DF" w:rsidRPr="00E15C2C">
          <w:rPr>
            <w:rStyle w:val="Hyperlink"/>
          </w:rPr>
          <w:t>1434</w:t>
        </w:r>
      </w:hyperlink>
      <w:r w:rsidRPr="00E15C2C">
        <w:t xml:space="preserve"> relative à l'affectation des économies réalisées dans le cadre de l'exécution</w:t>
      </w:r>
      <w:r w:rsidR="00D67929" w:rsidRPr="00E15C2C">
        <w:t xml:space="preserve"> </w:t>
      </w:r>
      <w:r w:rsidRPr="00E15C2C">
        <w:t>du budget pour 2024, adoptée par le Conseil à sa session de 2025, il a été décidé d'allouer</w:t>
      </w:r>
      <w:r w:rsidR="00D67929" w:rsidRPr="00E15C2C">
        <w:t> </w:t>
      </w:r>
      <w:r w:rsidRPr="00E15C2C">
        <w:t>300 000</w:t>
      </w:r>
      <w:r w:rsidR="000F7759" w:rsidRPr="00E15C2C">
        <w:t> </w:t>
      </w:r>
      <w:r w:rsidRPr="00E15C2C">
        <w:t>CHF à la mise en œuvre des décisions de la CMR-23.</w:t>
      </w:r>
    </w:p>
    <w:p w14:paraId="7B850E97" w14:textId="77777777" w:rsidR="004F76FD" w:rsidRPr="00E15C2C" w:rsidRDefault="004F76FD" w:rsidP="004F76FD">
      <w:pPr>
        <w:pStyle w:val="Heading1"/>
      </w:pPr>
      <w:bookmarkStart w:id="55" w:name="_Toc222308677"/>
      <w:bookmarkStart w:id="56" w:name="_Toc223425088"/>
      <w:bookmarkStart w:id="57" w:name="_Toc223425194"/>
      <w:bookmarkStart w:id="58" w:name="_Toc446060768"/>
      <w:bookmarkStart w:id="59" w:name="_Toc223427607"/>
      <w:r w:rsidRPr="00E15C2C">
        <w:rPr>
          <w:bCs/>
        </w:rPr>
        <w:t>4</w:t>
      </w:r>
      <w:r w:rsidRPr="00E15C2C">
        <w:tab/>
      </w:r>
      <w:r w:rsidRPr="00E15C2C">
        <w:rPr>
          <w:bCs/>
        </w:rPr>
        <w:t>Travaux préparatoires en vue de la CMR-27</w:t>
      </w:r>
      <w:bookmarkEnd w:id="55"/>
      <w:bookmarkEnd w:id="56"/>
      <w:bookmarkEnd w:id="57"/>
      <w:bookmarkEnd w:id="59"/>
    </w:p>
    <w:p w14:paraId="3A8DC24C" w14:textId="77777777" w:rsidR="004F76FD" w:rsidRPr="00E15C2C" w:rsidRDefault="004F76FD" w:rsidP="004F76FD">
      <w:pPr>
        <w:pStyle w:val="Heading2"/>
      </w:pPr>
      <w:bookmarkStart w:id="60" w:name="_Toc222308678"/>
      <w:bookmarkStart w:id="61" w:name="_Toc223425089"/>
      <w:bookmarkStart w:id="62" w:name="_Toc223425195"/>
      <w:bookmarkStart w:id="63" w:name="_Toc223427608"/>
      <w:r w:rsidRPr="00E15C2C">
        <w:rPr>
          <w:bCs/>
        </w:rPr>
        <w:t>4.1</w:t>
      </w:r>
      <w:r w:rsidRPr="00E15C2C">
        <w:tab/>
      </w:r>
      <w:r w:rsidRPr="00E15C2C">
        <w:rPr>
          <w:bCs/>
        </w:rPr>
        <w:t>Travaux préparatoires en vue de la CMR-27</w:t>
      </w:r>
      <w:bookmarkEnd w:id="60"/>
      <w:bookmarkEnd w:id="61"/>
      <w:bookmarkEnd w:id="62"/>
      <w:bookmarkEnd w:id="63"/>
    </w:p>
    <w:p w14:paraId="54B478FC" w14:textId="357BA651" w:rsidR="00D67929" w:rsidRPr="00E15C2C" w:rsidRDefault="004F76FD" w:rsidP="00D67929">
      <w:r w:rsidRPr="00E15C2C">
        <w:t xml:space="preserve">À sa session de 2024 (Genève, 4-14 juin 2024), le Conseil a examiné l'ordre du jour de la Conférence mondiale des radiocommunications de 2027 (CMR-27), tel qu'il figure dans la Résolution </w:t>
      </w:r>
      <w:r w:rsidRPr="00E15C2C">
        <w:rPr>
          <w:b/>
          <w:bCs/>
        </w:rPr>
        <w:t>813 (CMR-23)</w:t>
      </w:r>
      <w:r w:rsidRPr="00E15C2C">
        <w:t xml:space="preserve">. Le Conseil a adopté la Résolution </w:t>
      </w:r>
      <w:hyperlink r:id="rId53" w:history="1">
        <w:r w:rsidRPr="00E15C2C">
          <w:rPr>
            <w:rStyle w:val="Hyperlink"/>
          </w:rPr>
          <w:t>1422 (C24)</w:t>
        </w:r>
      </w:hyperlink>
      <w:r w:rsidRPr="00E15C2C">
        <w:t xml:space="preserve">, qui contient l'ordre du </w:t>
      </w:r>
      <w:r w:rsidR="00D67929" w:rsidRPr="00E15C2C">
        <w:br w:type="page"/>
      </w:r>
    </w:p>
    <w:p w14:paraId="6B63B8CB" w14:textId="4AEEDAC7" w:rsidR="004F76FD" w:rsidRPr="00E15C2C" w:rsidRDefault="004F76FD" w:rsidP="004F76FD">
      <w:r w:rsidRPr="00E15C2C">
        <w:lastRenderedPageBreak/>
        <w:t xml:space="preserve">jour de la CMR-27, dont les points précis et permanents demeurent identiques à ceux qui figurent dans la Résolution </w:t>
      </w:r>
      <w:r w:rsidRPr="00E15C2C">
        <w:rPr>
          <w:b/>
          <w:bCs/>
        </w:rPr>
        <w:t>813 (CMR-23)</w:t>
      </w:r>
      <w:r w:rsidRPr="00E15C2C">
        <w:t>. Les États Membres de l'UIT l'ont ensuite approuvée le</w:t>
      </w:r>
      <w:r w:rsidR="00D67929" w:rsidRPr="00E15C2C">
        <w:t> </w:t>
      </w:r>
      <w:r w:rsidRPr="00E15C2C">
        <w:t>31</w:t>
      </w:r>
      <w:r w:rsidR="008E5B10" w:rsidRPr="00E15C2C">
        <w:t> </w:t>
      </w:r>
      <w:r w:rsidRPr="00E15C2C">
        <w:t>août</w:t>
      </w:r>
      <w:r w:rsidR="008E5B10" w:rsidRPr="00E15C2C">
        <w:t> </w:t>
      </w:r>
      <w:r w:rsidRPr="00E15C2C">
        <w:t xml:space="preserve">2024 (voir les Lettres circulaires </w:t>
      </w:r>
      <w:hyperlink r:id="rId54" w:history="1">
        <w:r w:rsidRPr="00E15C2C">
          <w:rPr>
            <w:rStyle w:val="Hyperlink"/>
          </w:rPr>
          <w:t>CL-24/38</w:t>
        </w:r>
      </w:hyperlink>
      <w:r w:rsidRPr="00E15C2C">
        <w:t xml:space="preserve"> et </w:t>
      </w:r>
      <w:hyperlink r:id="rId55" w:history="1">
        <w:r w:rsidRPr="00E15C2C">
          <w:rPr>
            <w:rStyle w:val="Hyperlink"/>
          </w:rPr>
          <w:t>CL-24/49</w:t>
        </w:r>
      </w:hyperlink>
      <w:r w:rsidRPr="00E15C2C">
        <w:t>).</w:t>
      </w:r>
      <w:hyperlink r:id="rId56" w:history="1"/>
      <w:hyperlink r:id="rId57" w:history="1"/>
      <w:hyperlink r:id="rId58" w:history="1"/>
    </w:p>
    <w:p w14:paraId="6BB5461E" w14:textId="1006E731" w:rsidR="004F76FD" w:rsidRPr="00E15C2C" w:rsidRDefault="004F76FD" w:rsidP="004F76FD">
      <w:r w:rsidRPr="00E15C2C">
        <w:t>Par suite de l'approbation de l'ordre du jour de la CMR-27, le Conseil a été invité, à sa session de</w:t>
      </w:r>
      <w:r w:rsidR="00D67929" w:rsidRPr="00E15C2C">
        <w:t xml:space="preserve"> </w:t>
      </w:r>
      <w:r w:rsidRPr="00E15C2C">
        <w:t>2025, à adopter une nouvelle Décision indiquant les dates de l'Assemblée des radiocommunications de 2027 (AR-27) et de la CMR-27 et le lieu qui accueillera ces manifestations.</w:t>
      </w:r>
    </w:p>
    <w:p w14:paraId="244FEF33" w14:textId="56D4780A" w:rsidR="004F76FD" w:rsidRPr="00E15C2C" w:rsidRDefault="004F76FD" w:rsidP="004F76FD">
      <w:r w:rsidRPr="00E15C2C">
        <w:t>Le Conseil a décidé, ainsi qu'il ressort du compte rendu de la septième séance plénière (Document</w:t>
      </w:r>
      <w:r w:rsidR="003846DF" w:rsidRPr="00E15C2C">
        <w:t> </w:t>
      </w:r>
      <w:r w:rsidRPr="00E15C2C">
        <w:t xml:space="preserve">C25/113), </w:t>
      </w:r>
      <w:r w:rsidR="003846DF" w:rsidRPr="00E15C2C">
        <w:t>«</w:t>
      </w:r>
      <w:r w:rsidRPr="00E15C2C">
        <w:rPr>
          <w:i/>
          <w:iCs/>
        </w:rPr>
        <w:t>d'accepter l'invitation présentée par la Chine en vue d'accueillir l'Assemblée des radiocommunications de 2027 (AR-27), la Conférence mondiale des radiocommunications de 2027 (CMR-27) et la première session de la Réunion de préparation à la Conférence en vue de la CMR</w:t>
      </w:r>
      <w:r w:rsidR="00CE2EBD" w:rsidRPr="00E15C2C">
        <w:rPr>
          <w:i/>
          <w:iCs/>
        </w:rPr>
        <w:noBreakHyphen/>
      </w:r>
      <w:r w:rsidRPr="00E15C2C">
        <w:rPr>
          <w:i/>
          <w:iCs/>
        </w:rPr>
        <w:t>31 (RPC31-1) à Shanghai. En conséquence, et sous réserve de l'accord de la majorité des États Membres de l'Union, la CMR-27, précédée de l'AR-27, se tiendra à Shanghai (Chine)</w:t>
      </w:r>
      <w:r w:rsidR="003846DF" w:rsidRPr="00E15C2C">
        <w:t>»</w:t>
      </w:r>
      <w:r w:rsidRPr="00E15C2C">
        <w:t>.</w:t>
      </w:r>
    </w:p>
    <w:p w14:paraId="29984C93" w14:textId="5546005D" w:rsidR="004F76FD" w:rsidRPr="00E15C2C" w:rsidRDefault="004F76FD" w:rsidP="004F76FD">
      <w:pPr>
        <w:rPr>
          <w:rFonts w:cs="Calibri"/>
        </w:rPr>
      </w:pPr>
      <w:r w:rsidRPr="00E15C2C">
        <w:t>Conformément à cette décision et au numéro 42 de la Convention de l'UIT, le Secrétariat général a engagé des consultations auprès des États Membres sur le lieu précis et les dates exactes de l'AR-27 et de la CMR-27, pour lesquelles l'accord de la majorité requise des États Membres a été obtenu, comme indiqué dans la Lettre circulaire CL-25/45. En conséquence, les États Membres se sont mis d'accord pour que l'AR-27 et la CMR-27 se tiennent à Shanghai (Chine), du 11 octobre au</w:t>
      </w:r>
      <w:r w:rsidR="005903C8" w:rsidRPr="00E15C2C">
        <w:t> </w:t>
      </w:r>
      <w:r w:rsidRPr="00E15C2C">
        <w:t>12</w:t>
      </w:r>
      <w:r w:rsidR="00CE2EBD" w:rsidRPr="00E15C2C">
        <w:t> </w:t>
      </w:r>
      <w:r w:rsidRPr="00E15C2C">
        <w:t>novembre 2027.</w:t>
      </w:r>
    </w:p>
    <w:p w14:paraId="52BE5D19" w14:textId="5AAB13F1" w:rsidR="004F76FD" w:rsidRPr="00E15C2C" w:rsidRDefault="004F76FD" w:rsidP="004F76FD">
      <w:pPr>
        <w:rPr>
          <w:spacing w:val="-2"/>
        </w:rPr>
      </w:pPr>
      <w:r w:rsidRPr="00E15C2C">
        <w:t>Comme il est généralement prévu, la première session de la Réunion de préparation à la Conférence en vue de la CMR-31 (RPC31-1) se tiendra également à Shanghai, immédiatement après la</w:t>
      </w:r>
      <w:r w:rsidR="005903C8" w:rsidRPr="00E15C2C">
        <w:t> </w:t>
      </w:r>
      <w:r w:rsidRPr="00E15C2C">
        <w:t>CMR</w:t>
      </w:r>
      <w:r w:rsidR="005903C8" w:rsidRPr="00E15C2C">
        <w:noBreakHyphen/>
      </w:r>
      <w:r w:rsidRPr="00E15C2C">
        <w:t>27, les 15 et 16 novembre 2027.</w:t>
      </w:r>
    </w:p>
    <w:p w14:paraId="6C065CAC" w14:textId="0235A2CB" w:rsidR="004F76FD" w:rsidRPr="00E15C2C" w:rsidRDefault="004F76FD" w:rsidP="004F76FD">
      <w:pPr>
        <w:rPr>
          <w:rFonts w:cs="Calibri"/>
        </w:rPr>
      </w:pPr>
      <w:r w:rsidRPr="00E15C2C">
        <w:t>Le projet d'accord de pays hôte a été communiqué à la Chine et le Secrétariat effectuera une première visite sur place en mars.</w:t>
      </w:r>
    </w:p>
    <w:p w14:paraId="4B1E3575" w14:textId="77777777" w:rsidR="004F76FD" w:rsidRPr="00E15C2C" w:rsidRDefault="004F76FD" w:rsidP="004F76FD">
      <w:pPr>
        <w:rPr>
          <w:rFonts w:cs="Calibri"/>
        </w:rPr>
      </w:pPr>
      <w:r w:rsidRPr="00E15C2C">
        <w:t>La procédure de coordination entre les services concernés du Secrétariat général et du BR a déjà été engagée afin de procéder aux travaux préparatoires administratifs et logistiques en vue de l'AR-27, de la CMR-27 et de la RPC31-1. Cette procédure se poursuivra et s'intensifiera à mesure que les travaux préparatoires progresseront, y compris en ce qui concerne la collaboration continue avec le pays hôte.</w:t>
      </w:r>
    </w:p>
    <w:p w14:paraId="60F5B6D3" w14:textId="131B7C5A" w:rsidR="004F76FD" w:rsidRPr="00E15C2C" w:rsidRDefault="004F76FD" w:rsidP="004F76FD">
      <w:pPr>
        <w:rPr>
          <w:rFonts w:cs="Calibri"/>
        </w:rPr>
      </w:pPr>
      <w:r w:rsidRPr="00E15C2C">
        <w:t>Le site web de l'UIT pour la CMR-27 (</w:t>
      </w:r>
      <w:hyperlink r:id="rId59" w:anchor="/fr" w:history="1">
        <w:r w:rsidRPr="00E15C2C">
          <w:rPr>
            <w:rStyle w:val="Hyperlink"/>
          </w:rPr>
          <w:t>www.itu.int/wrc-27</w:t>
        </w:r>
      </w:hyperlink>
      <w:r w:rsidRPr="00E15C2C">
        <w:t>) a été élaboré et sera mis à jour régulièrement.</w:t>
      </w:r>
      <w:hyperlink r:id="rId60" w:history="1"/>
    </w:p>
    <w:p w14:paraId="4D739704" w14:textId="77777777" w:rsidR="004F76FD" w:rsidRPr="00E15C2C" w:rsidRDefault="004F76FD" w:rsidP="004F76FD">
      <w:pPr>
        <w:pStyle w:val="Heading2"/>
      </w:pPr>
      <w:bookmarkStart w:id="64" w:name="_Toc222308679"/>
      <w:bookmarkStart w:id="65" w:name="_Toc223425090"/>
      <w:bookmarkStart w:id="66" w:name="_Toc223425196"/>
      <w:bookmarkStart w:id="67" w:name="_Toc223427609"/>
      <w:r w:rsidRPr="00E15C2C">
        <w:rPr>
          <w:bCs/>
        </w:rPr>
        <w:t>4.2</w:t>
      </w:r>
      <w:r w:rsidRPr="00E15C2C">
        <w:tab/>
      </w:r>
      <w:r w:rsidRPr="00E15C2C">
        <w:rPr>
          <w:bCs/>
        </w:rPr>
        <w:t>Autres travaux préparatoires connexes</w:t>
      </w:r>
      <w:bookmarkEnd w:id="64"/>
      <w:bookmarkEnd w:id="65"/>
      <w:bookmarkEnd w:id="66"/>
      <w:bookmarkEnd w:id="67"/>
    </w:p>
    <w:p w14:paraId="6675508A" w14:textId="77777777" w:rsidR="004F76FD" w:rsidRPr="00E15C2C" w:rsidRDefault="004F76FD" w:rsidP="004F76FD">
      <w:r w:rsidRPr="00E15C2C">
        <w:t>Après la session de 2025 du Conseil, la Commission de direction de la RPC-27 (RPC-STR-COM) a tenu deux réunions hybrides. Les autres membres de l'équipe de gestion de la RPC-27 (c'est-à-dire les présidents de l'ensemble des CE de l'UIT-R et des GT responsables des points de l'ordre du jour de la CMR-27) ont également été invités à participer à ces réunions.</w:t>
      </w:r>
    </w:p>
    <w:p w14:paraId="3D9FA10A" w14:textId="77777777" w:rsidR="004F76FD" w:rsidRPr="00E15C2C" w:rsidRDefault="004F76FD" w:rsidP="004F76FD">
      <w:r w:rsidRPr="00E15C2C">
        <w:t>La première réunion de la RPC-STR-COM s'est tenue le 3 juillet 2025 afin d'examiner les progrès accomplis à ce jour par les GT responsables et les questions qui pourraient découler des études préparatoires en vue de la RPC27-2 et de la CMR-27, ainsi que les informations préliminaires sur les travaux préparatoires en vue de la première session d'information interrégionale (IRIS) de l'UIT sur les travaux préparatoires en vue de la CMR-27.</w:t>
      </w:r>
    </w:p>
    <w:p w14:paraId="2FF1CD7B" w14:textId="19B402DC" w:rsidR="004F76FD" w:rsidRPr="00E15C2C" w:rsidRDefault="004F76FD" w:rsidP="004F76FD">
      <w:r w:rsidRPr="00E15C2C">
        <w:t xml:space="preserve">La deuxième réunion de la RPC-STR-COM s'est tenue le 5 décembre 2025 dans le but d'examiner les progrès réalisés à la suite des séries de réunions des GT, tenues de septembre à novembre 2025, ainsi que toute question recensée à la suite des nouvelles études préparatoires de l'UIT-R en vue de </w:t>
      </w:r>
      <w:r w:rsidRPr="00E15C2C">
        <w:lastRenderedPageBreak/>
        <w:t>la RPC27-2, de la CMR-27 et de la CMR-31. Aucune modification n'a été apportée au délai précédemment convenu du 23 octobre 2026 pour la soumission des projets de texte de la RPC par les GT responsables. Toutefois, certaines dispositions pratiques pourraient être envisagées compte tenu de la situation à la prochaine réunion de la RPC-STR-COM prévue le 12 juin 2026, par exemple concernant la réunion du GT 4A prévue jusqu'au 29 octobre 2026.</w:t>
      </w:r>
    </w:p>
    <w:p w14:paraId="6A64C125" w14:textId="6A9DB75C" w:rsidR="004F76FD" w:rsidRPr="00E15C2C" w:rsidRDefault="004F76FD" w:rsidP="004F76FD">
      <w:r w:rsidRPr="00E15C2C">
        <w:t>On trouvera des précisions régulièrement actualisées sur les études préparatoires menées par l'UIT</w:t>
      </w:r>
      <w:r w:rsidR="002863FB" w:rsidRPr="00E15C2C">
        <w:noBreakHyphen/>
      </w:r>
      <w:r w:rsidRPr="00E15C2C">
        <w:t xml:space="preserve">R au titre des points de l'ordre du jour de la CMR-27 sur la page web de l'UIT à l'adresse: </w:t>
      </w:r>
      <w:hyperlink r:id="rId61" w:history="1">
        <w:r w:rsidRPr="00E15C2C">
          <w:rPr>
            <w:rStyle w:val="Hyperlink"/>
          </w:rPr>
          <w:t>www.itu.int/go/rcpm-wrc-27-studies</w:t>
        </w:r>
      </w:hyperlink>
      <w:r w:rsidRPr="00E15C2C">
        <w:t>. L'achèvement de ces activités conformément aux programmes de travail préalablement établis devrait en particulier garantir la mise à disposition en temps utile du projet de Rapport de la RPC à la CMR-27, en vue de son examen à la seconde session de la</w:t>
      </w:r>
      <w:r w:rsidR="005903C8" w:rsidRPr="00E15C2C">
        <w:t> </w:t>
      </w:r>
      <w:r w:rsidRPr="00E15C2C">
        <w:t>RPC</w:t>
      </w:r>
      <w:r w:rsidR="002863FB" w:rsidRPr="00E15C2C">
        <w:noBreakHyphen/>
      </w:r>
      <w:r w:rsidRPr="00E15C2C">
        <w:t xml:space="preserve">27. Cette page web comprend aussi un lien vers les </w:t>
      </w:r>
      <w:hyperlink r:id="rId62" w:history="1">
        <w:r w:rsidRPr="00E15C2C">
          <w:rPr>
            <w:rStyle w:val="Hyperlink"/>
          </w:rPr>
          <w:t>études relatives aux points de l'ordre du jour préliminaire de la CMR-31</w:t>
        </w:r>
      </w:hyperlink>
      <w:r w:rsidRPr="00E15C2C">
        <w:t>.</w:t>
      </w:r>
      <w:hyperlink r:id="rId63" w:history="1"/>
      <w:hyperlink r:id="rId64" w:history="1"/>
    </w:p>
    <w:p w14:paraId="3652A400" w14:textId="6327F5DE" w:rsidR="004F76FD" w:rsidRPr="00E15C2C" w:rsidRDefault="004F76FD" w:rsidP="004F76FD">
      <w:r w:rsidRPr="00E15C2C">
        <w:t xml:space="preserve">À la fin du mois de janvier 2026, le BR a transmis aux GT responsables </w:t>
      </w:r>
      <w:hyperlink r:id="rId65" w:history="1">
        <w:r w:rsidRPr="00E15C2C">
          <w:rPr>
            <w:rStyle w:val="Hyperlink"/>
          </w:rPr>
          <w:t>des lignes directrices et des exemples supplémentaires</w:t>
        </w:r>
      </w:hyperlink>
      <w:r w:rsidRPr="00E15C2C">
        <w:t xml:space="preserve"> sur l'utilisation de l'</w:t>
      </w:r>
      <w:hyperlink r:id="rId66" w:history="1">
        <w:r w:rsidRPr="00E15C2C">
          <w:rPr>
            <w:rStyle w:val="Hyperlink"/>
          </w:rPr>
          <w:t>Interface pour les propositions aux conférences (CPI) pour la CMR-27</w:t>
        </w:r>
      </w:hyperlink>
      <w:r w:rsidRPr="00E15C2C">
        <w:t>, en vue de l'élaboration d'exemples de textes réglementaires pour le projet de Rapport de la RPC à la CMR-27.</w:t>
      </w:r>
      <w:hyperlink r:id="rId67" w:history="1"/>
      <w:hyperlink r:id="rId68" w:history="1"/>
    </w:p>
    <w:p w14:paraId="1B6A5BA2" w14:textId="38A2CB38" w:rsidR="004F76FD" w:rsidRPr="00E15C2C" w:rsidRDefault="004F76FD" w:rsidP="004F76FD">
      <w:r w:rsidRPr="00E15C2C">
        <w:t xml:space="preserve">Compte tenu de la Résolution 80 (Rév. Marrakech, 2002) de la PP et de la Résolution </w:t>
      </w:r>
      <w:r w:rsidRPr="00E15C2C">
        <w:rPr>
          <w:b/>
          <w:bCs/>
        </w:rPr>
        <w:t>72 (Rév.CMR-19)</w:t>
      </w:r>
      <w:r w:rsidRPr="00E15C2C">
        <w:t xml:space="preserve">, la préparation de la CMR-27 s'est poursuivie également au niveau régional, le BR ayant participé activement à certaines réunions des groupes régionaux, notamment de la Télécommunauté Asie-Pacifique (APT), du Groupe arabe de gestion du spectre (ASMG), de l'Union arabe des télécommunications (UAT), de la Conférence européenne des administrations des postes et des télécommunications (CEPT), de la Commission interaméricaine des télécommunications (CITEL) et de la Communauté régionale des communications (RCC), chaque fois que cela était possible. Des informations actualisées concernant les travaux préparatoires menés par les groupes régionaux en vue de la CMR-27 sont disponibles à l'adresse suivante: </w:t>
      </w:r>
      <w:hyperlink r:id="rId69" w:history="1">
        <w:r w:rsidRPr="00E15C2C">
          <w:rPr>
            <w:rStyle w:val="Hyperlink"/>
          </w:rPr>
          <w:t>www.itu.int/en/ITU-R/conferences/wrc/2027/Pages/reg-prep.aspx</w:t>
        </w:r>
      </w:hyperlink>
      <w:r w:rsidRPr="00E15C2C">
        <w:t>.</w:t>
      </w:r>
      <w:hyperlink r:id="rId70" w:history="1"/>
    </w:p>
    <w:p w14:paraId="5A4A2234" w14:textId="68187C03" w:rsidR="004F76FD" w:rsidRPr="00E15C2C" w:rsidRDefault="004F76FD" w:rsidP="004F76FD">
      <w:r w:rsidRPr="00E15C2C">
        <w:t>Sur la base des observations formulées à la 32ème réunion du GCR et après avoir consulté les Présidents des groupes régionaux susmentionnés et les membres de l'équipe de gestion de la RPC</w:t>
      </w:r>
      <w:r w:rsidR="005903C8" w:rsidRPr="00E15C2C">
        <w:noBreakHyphen/>
      </w:r>
      <w:r w:rsidRPr="00E15C2C">
        <w:t xml:space="preserve">27 concernant le programme et la forme de la manifestation, le BR a convoqué la </w:t>
      </w:r>
      <w:hyperlink r:id="rId71" w:anchor="/fr" w:history="1">
        <w:r w:rsidRPr="00E15C2C">
          <w:rPr>
            <w:rStyle w:val="Hyperlink"/>
          </w:rPr>
          <w:t>première</w:t>
        </w:r>
        <w:r w:rsidR="005903C8" w:rsidRPr="00E15C2C">
          <w:rPr>
            <w:rStyle w:val="Hyperlink"/>
          </w:rPr>
          <w:t> </w:t>
        </w:r>
        <w:r w:rsidRPr="00E15C2C">
          <w:rPr>
            <w:rStyle w:val="Hyperlink"/>
          </w:rPr>
          <w:t>IRIS sur les travaux préparatoires en vue de la CMR-27</w:t>
        </w:r>
      </w:hyperlink>
      <w:r w:rsidRPr="00E15C2C">
        <w:t xml:space="preserve"> du 3 au 5 décembre 2025, en présentiel à Genève. Un service d'interprétation avait été assuré à cette occasion, et les participations avaient la possibilité de participer à distance. Le programme et l'ensemble des documents soumis à cette 1ère IRIS, ainsi que les </w:t>
      </w:r>
      <w:hyperlink r:id="rId72" w:anchor="/fr" w:history="1">
        <w:r w:rsidRPr="00E15C2C">
          <w:rPr>
            <w:rStyle w:val="Hyperlink"/>
          </w:rPr>
          <w:t>archives de diffusion sur le web</w:t>
        </w:r>
      </w:hyperlink>
      <w:r w:rsidRPr="00E15C2C">
        <w:t xml:space="preserve"> des tables rondes et les transcriptions sont disponibles sur le site web de la manifestation à l'adresse suivante: </w:t>
      </w:r>
      <w:hyperlink r:id="rId73" w:anchor="/fr" w:history="1">
        <w:r w:rsidRPr="00E15C2C">
          <w:rPr>
            <w:rStyle w:val="Hyperlink"/>
          </w:rPr>
          <w:t>www.itu.int/iris-wrc-27/2025</w:t>
        </w:r>
      </w:hyperlink>
      <w:r w:rsidRPr="00E15C2C">
        <w:t xml:space="preserve">. Une deuxième et une troisième session sur les travaux préparatoires en vue de la CMR-27 sont prévues respectivement du 14 au 16 décembre 2026, avant la RPC27-2, et quelques mois avant la CMR-27. De plus amples informations sur les deuxième et troisième IRIS sur les travaux préparatoires en vue de la CMR-27 seront fournies en temps utile sur le site web à l'adresse: </w:t>
      </w:r>
      <w:hyperlink r:id="rId74" w:anchor="/fr" w:history="1">
        <w:r w:rsidRPr="00E15C2C">
          <w:rPr>
            <w:rStyle w:val="Hyperlink"/>
          </w:rPr>
          <w:t>www.itu.int/iris-wrc-27</w:t>
        </w:r>
      </w:hyperlink>
      <w:r w:rsidRPr="00E15C2C">
        <w:t>.</w:t>
      </w:r>
      <w:hyperlink r:id="rId75" w:history="1"/>
      <w:hyperlink r:id="rId76" w:anchor="Media-Centre" w:history="1"/>
      <w:hyperlink r:id="rId77" w:history="1"/>
      <w:hyperlink r:id="rId78" w:history="1"/>
    </w:p>
    <w:p w14:paraId="7FD63786" w14:textId="62C378DA" w:rsidR="004F76FD" w:rsidRPr="00E15C2C" w:rsidRDefault="004F76FD" w:rsidP="004F76FD">
      <w:r w:rsidRPr="00E15C2C">
        <w:t xml:space="preserve">Les informations en ligne présentées ci-dessus seront accessibles sur le </w:t>
      </w:r>
      <w:hyperlink r:id="rId79" w:history="1">
        <w:r w:rsidRPr="00E15C2C">
          <w:rPr>
            <w:rStyle w:val="Hyperlink"/>
          </w:rPr>
          <w:t>site web de la RPC</w:t>
        </w:r>
      </w:hyperlink>
      <w:r w:rsidRPr="00E15C2C">
        <w:t xml:space="preserve"> une fois disponibles.</w:t>
      </w:r>
      <w:hyperlink r:id="rId80" w:history="1"/>
    </w:p>
    <w:p w14:paraId="581D0D8F" w14:textId="77777777" w:rsidR="004F76FD" w:rsidRPr="00E15C2C" w:rsidRDefault="004F76FD" w:rsidP="004F76FD">
      <w:pPr>
        <w:pStyle w:val="Heading1"/>
      </w:pPr>
      <w:bookmarkStart w:id="68" w:name="_Toc222308680"/>
      <w:bookmarkStart w:id="69" w:name="_Toc223425091"/>
      <w:bookmarkStart w:id="70" w:name="_Toc223425197"/>
      <w:bookmarkStart w:id="71" w:name="_Toc223427610"/>
      <w:r w:rsidRPr="00E15C2C">
        <w:rPr>
          <w:bCs/>
        </w:rPr>
        <w:t>5</w:t>
      </w:r>
      <w:r w:rsidRPr="00E15C2C">
        <w:tab/>
      </w:r>
      <w:r w:rsidRPr="00E15C2C">
        <w:rPr>
          <w:bCs/>
        </w:rPr>
        <w:t>Activités des commissions d'études</w:t>
      </w:r>
      <w:bookmarkEnd w:id="68"/>
      <w:bookmarkEnd w:id="69"/>
      <w:bookmarkEnd w:id="70"/>
      <w:bookmarkEnd w:id="71"/>
    </w:p>
    <w:p w14:paraId="6D9E06C8" w14:textId="77777777" w:rsidR="004F76FD" w:rsidRPr="00E15C2C" w:rsidRDefault="004F76FD" w:rsidP="004F76FD">
      <w:pPr>
        <w:rPr>
          <w:rFonts w:eastAsia="SimSun"/>
        </w:rPr>
      </w:pPr>
      <w:r w:rsidRPr="00E15C2C">
        <w:t>Cette question fait l'objet de l'Addendum 1 au présent document.</w:t>
      </w:r>
    </w:p>
    <w:p w14:paraId="0C2F64E2" w14:textId="77777777" w:rsidR="004F76FD" w:rsidRPr="00E15C2C" w:rsidRDefault="004F76FD" w:rsidP="004F76FD">
      <w:pPr>
        <w:pStyle w:val="Heading1"/>
        <w:numPr>
          <w:ilvl w:val="0"/>
          <w:numId w:val="1"/>
        </w:numPr>
        <w:ind w:left="792" w:hanging="792"/>
        <w:rPr>
          <w:szCs w:val="24"/>
        </w:rPr>
      </w:pPr>
      <w:bookmarkStart w:id="72" w:name="_Toc222308681"/>
      <w:bookmarkStart w:id="73" w:name="_Toc223425092"/>
      <w:bookmarkStart w:id="74" w:name="_Toc223425198"/>
      <w:bookmarkStart w:id="75" w:name="_Toc223427611"/>
      <w:r w:rsidRPr="00E15C2C">
        <w:rPr>
          <w:bCs/>
        </w:rPr>
        <w:lastRenderedPageBreak/>
        <w:t>Planification opérationnelle</w:t>
      </w:r>
      <w:bookmarkEnd w:id="58"/>
      <w:bookmarkEnd w:id="72"/>
      <w:bookmarkEnd w:id="73"/>
      <w:bookmarkEnd w:id="74"/>
      <w:bookmarkEnd w:id="75"/>
    </w:p>
    <w:p w14:paraId="113DDF83" w14:textId="4C456998" w:rsidR="004F76FD" w:rsidRPr="00E15C2C" w:rsidRDefault="004F76FD" w:rsidP="004F76FD">
      <w:pPr>
        <w:rPr>
          <w:rFonts w:eastAsia="SimSun"/>
        </w:rPr>
      </w:pPr>
      <w:r w:rsidRPr="00E15C2C">
        <w:t xml:space="preserve">À sa session de 2025, le Conseil a approuvé le plan opérationnel quadriennal glissant de l'Union pour la période 2026-2029 (Document </w:t>
      </w:r>
      <w:hyperlink r:id="rId81" w:history="1">
        <w:r w:rsidRPr="00E15C2C">
          <w:rPr>
            <w:rStyle w:val="Hyperlink"/>
          </w:rPr>
          <w:t>24/28</w:t>
        </w:r>
      </w:hyperlink>
      <w:r w:rsidRPr="00E15C2C">
        <w:t xml:space="preserve">) et adopté la Résolution </w:t>
      </w:r>
      <w:hyperlink r:id="rId82" w:history="1">
        <w:r w:rsidRPr="00E15C2C">
          <w:rPr>
            <w:rStyle w:val="Hyperlink"/>
          </w:rPr>
          <w:t>1431</w:t>
        </w:r>
      </w:hyperlink>
      <w:r w:rsidRPr="00E15C2C">
        <w:t>. Le plan opérationnel pour cette période porte sur la mise en œuvre de 5 priorités thématiques et de 43 produits. Il suit la structure du Plan stratégique et du Plan financier pour la période 2024-2027 approuvés par la Conférence de plénipotentiaires de 2022.</w:t>
      </w:r>
      <w:hyperlink r:id="rId83" w:history="1"/>
      <w:hyperlink r:id="rId84" w:history="1"/>
    </w:p>
    <w:p w14:paraId="5B1090EF" w14:textId="527639B2" w:rsidR="004F76FD" w:rsidRPr="00E15C2C" w:rsidRDefault="004F76FD" w:rsidP="004F76FD">
      <w:r w:rsidRPr="00E15C2C">
        <w:t xml:space="preserve">Le projet de Plan opérationnel glissant de l'UIT-R pour la période 2027-2030 et le rapport d'activité pour 2025 sont reproduits dans le Document </w:t>
      </w:r>
      <w:hyperlink r:id="rId85" w:history="1">
        <w:r w:rsidRPr="00E15C2C">
          <w:rPr>
            <w:rStyle w:val="Hyperlink"/>
          </w:rPr>
          <w:t>RAG/62</w:t>
        </w:r>
      </w:hyperlink>
      <w:r w:rsidRPr="00E15C2C">
        <w:t>.</w:t>
      </w:r>
      <w:hyperlink r:id="rId86" w:history="1"/>
    </w:p>
    <w:p w14:paraId="2594F712" w14:textId="77777777" w:rsidR="004F76FD" w:rsidRPr="00E15C2C" w:rsidRDefault="004F76FD" w:rsidP="004F76FD">
      <w:pPr>
        <w:pStyle w:val="Heading1"/>
      </w:pPr>
      <w:bookmarkStart w:id="76" w:name="_Toc446060769"/>
      <w:bookmarkStart w:id="77" w:name="_Toc222308682"/>
      <w:bookmarkStart w:id="78" w:name="_Toc223425093"/>
      <w:bookmarkStart w:id="79" w:name="_Toc223425199"/>
      <w:bookmarkStart w:id="80" w:name="_Toc223427612"/>
      <w:r w:rsidRPr="00E15C2C">
        <w:rPr>
          <w:bCs/>
        </w:rPr>
        <w:t>7</w:t>
      </w:r>
      <w:r w:rsidRPr="00E15C2C">
        <w:tab/>
      </w:r>
      <w:r w:rsidRPr="00E15C2C">
        <w:rPr>
          <w:bCs/>
        </w:rPr>
        <w:t>Système d'information du BR</w:t>
      </w:r>
      <w:bookmarkEnd w:id="76"/>
      <w:bookmarkEnd w:id="77"/>
      <w:bookmarkEnd w:id="78"/>
      <w:bookmarkEnd w:id="79"/>
      <w:bookmarkEnd w:id="80"/>
    </w:p>
    <w:p w14:paraId="5ED723A3" w14:textId="0E5A7C00" w:rsidR="004F76FD" w:rsidRPr="00E15C2C" w:rsidRDefault="004F76FD" w:rsidP="004F76FD">
      <w:pPr>
        <w:pStyle w:val="Heading2"/>
      </w:pPr>
      <w:bookmarkStart w:id="81" w:name="_Toc222308683"/>
      <w:bookmarkStart w:id="82" w:name="_Toc223425094"/>
      <w:bookmarkStart w:id="83" w:name="_Toc223425200"/>
      <w:bookmarkStart w:id="84" w:name="_Toc223427613"/>
      <w:r w:rsidRPr="00E15C2C">
        <w:rPr>
          <w:bCs/>
        </w:rPr>
        <w:t>7.1</w:t>
      </w:r>
      <w:r w:rsidRPr="00E15C2C">
        <w:tab/>
      </w:r>
      <w:r w:rsidRPr="00E15C2C">
        <w:rPr>
          <w:bCs/>
        </w:rPr>
        <w:t>Outils et logiciels pour les services de Terre</w:t>
      </w:r>
      <w:bookmarkEnd w:id="81"/>
      <w:bookmarkEnd w:id="82"/>
      <w:bookmarkEnd w:id="83"/>
      <w:bookmarkEnd w:id="84"/>
    </w:p>
    <w:p w14:paraId="7E7F0398" w14:textId="4053B79C" w:rsidR="004F76FD" w:rsidRPr="00E15C2C" w:rsidRDefault="004F76FD" w:rsidP="004F76FD">
      <w:pPr>
        <w:pStyle w:val="Heading3"/>
        <w:rPr>
          <w:rFonts w:eastAsia="Verdana"/>
        </w:rPr>
      </w:pPr>
      <w:bookmarkStart w:id="85" w:name="_Toc222308684"/>
      <w:bookmarkStart w:id="86" w:name="_Toc223425095"/>
      <w:bookmarkStart w:id="87" w:name="_Toc223425201"/>
      <w:bookmarkStart w:id="88" w:name="_Toc223427614"/>
      <w:r w:rsidRPr="00E15C2C">
        <w:rPr>
          <w:bCs/>
        </w:rPr>
        <w:t>7.1.1</w:t>
      </w:r>
      <w:r w:rsidRPr="00E15C2C">
        <w:tab/>
      </w:r>
      <w:r w:rsidRPr="00E15C2C">
        <w:rPr>
          <w:bCs/>
        </w:rPr>
        <w:t>Mise en œuvre des décisions de la CMR-23 se rapportant aux services de Terre</w:t>
      </w:r>
      <w:bookmarkEnd w:id="85"/>
      <w:bookmarkEnd w:id="86"/>
      <w:bookmarkEnd w:id="87"/>
      <w:bookmarkEnd w:id="88"/>
    </w:p>
    <w:p w14:paraId="69B9E72F" w14:textId="1C905581" w:rsidR="004F76FD" w:rsidRPr="00E15C2C" w:rsidRDefault="004F76FD" w:rsidP="004F76FD">
      <w:pPr>
        <w:pStyle w:val="enumlev1"/>
        <w:tabs>
          <w:tab w:val="clear" w:pos="794"/>
        </w:tabs>
        <w:ind w:left="0" w:firstLine="0"/>
      </w:pPr>
      <w:r w:rsidRPr="00E15C2C">
        <w:t xml:space="preserve">Achèvement de la modernisation et de la mise à jour des logiciels utilisés pour le traitement et la publication des notifications relatives aux services de Terre, pour une utilisation tant interne (TerRaSys) qu'externe (BR IFIC (services de Terre)), afin d'appliquer les décisions de la CMR-23 et les Règles de procédure y afférentes. Il s'agissait notamment d'apporter des changements dans les bases de données des services de Terre, les logiciels de validation et d'examen, et les tableaux de référence pour les bandes de fréquences utilisées en partage avec des services spatiaux, assujetties au numéro </w:t>
      </w:r>
      <w:r w:rsidRPr="00E15C2C">
        <w:rPr>
          <w:b/>
          <w:bCs/>
        </w:rPr>
        <w:t>9.21</w:t>
      </w:r>
      <w:r w:rsidRPr="00E15C2C">
        <w:t xml:space="preserve"> du RR, identifiées pour les IMT, etc. Toutes les modifications nécessaires ont été mises en œuvre et l'intégration a été pleinement effective dans le courant de l'année 2025.</w:t>
      </w:r>
    </w:p>
    <w:p w14:paraId="1BE6F7C7" w14:textId="2F178725" w:rsidR="004F76FD" w:rsidRPr="00E15C2C" w:rsidRDefault="004F76FD" w:rsidP="004F76FD">
      <w:pPr>
        <w:pStyle w:val="Heading3"/>
      </w:pPr>
      <w:bookmarkStart w:id="89" w:name="_Toc222308685"/>
      <w:bookmarkStart w:id="90" w:name="_Toc223425096"/>
      <w:bookmarkStart w:id="91" w:name="_Toc223425202"/>
      <w:bookmarkStart w:id="92" w:name="_Toc223427615"/>
      <w:r w:rsidRPr="00E15C2C">
        <w:rPr>
          <w:bCs/>
        </w:rPr>
        <w:t>7.1.2</w:t>
      </w:r>
      <w:r w:rsidRPr="00E15C2C">
        <w:tab/>
      </w:r>
      <w:r w:rsidRPr="00E15C2C">
        <w:rPr>
          <w:bCs/>
        </w:rPr>
        <w:t>Traitement des demandes de coordination au titre du numéro 9.21 du RR</w:t>
      </w:r>
      <w:bookmarkEnd w:id="89"/>
      <w:bookmarkEnd w:id="90"/>
      <w:bookmarkEnd w:id="91"/>
      <w:bookmarkEnd w:id="92"/>
    </w:p>
    <w:p w14:paraId="06BC50E2" w14:textId="77777777" w:rsidR="004F76FD" w:rsidRPr="00E15C2C" w:rsidRDefault="004F76FD" w:rsidP="004F76FD">
      <w:r w:rsidRPr="00E15C2C">
        <w:t xml:space="preserve">L'élaboration des modules logiciels et des outils associés pour le traitement des demandes de coordination au titre du numéro </w:t>
      </w:r>
      <w:r w:rsidRPr="00E15C2C">
        <w:rPr>
          <w:b/>
          <w:bCs/>
        </w:rPr>
        <w:t>9.21</w:t>
      </w:r>
      <w:r w:rsidRPr="00E15C2C">
        <w:t xml:space="preserve"> du RR s'est poursuivie pendant la période considérée. Il est prévu d'achever, au quatrième trimestre 2026, l'élaboration du logiciel pour la vérification des assignations correspondantes (visées au numéro </w:t>
      </w:r>
      <w:r w:rsidRPr="00E15C2C">
        <w:rPr>
          <w:b/>
          <w:bCs/>
        </w:rPr>
        <w:t>9.21</w:t>
      </w:r>
      <w:r w:rsidRPr="00E15C2C">
        <w:t xml:space="preserve">) notifiées au titre de l'Article </w:t>
      </w:r>
      <w:r w:rsidRPr="00E15C2C">
        <w:rPr>
          <w:b/>
          <w:bCs/>
        </w:rPr>
        <w:t>11</w:t>
      </w:r>
      <w:r w:rsidRPr="00E15C2C">
        <w:t xml:space="preserve"> du RR en vue de leur inscription dans le Fichier de référence ainsi que l'intégration du logiciel dans le système TerRaSys.</w:t>
      </w:r>
    </w:p>
    <w:p w14:paraId="01779B70" w14:textId="66B7AA92" w:rsidR="004F76FD" w:rsidRPr="00E15C2C" w:rsidRDefault="004F76FD" w:rsidP="004F76FD">
      <w:pPr>
        <w:pStyle w:val="Heading3"/>
        <w:rPr>
          <w:rFonts w:eastAsia="Verdana"/>
        </w:rPr>
      </w:pPr>
      <w:bookmarkStart w:id="93" w:name="_Toc222308686"/>
      <w:bookmarkStart w:id="94" w:name="_Toc223425097"/>
      <w:bookmarkStart w:id="95" w:name="_Toc223425203"/>
      <w:bookmarkStart w:id="96" w:name="_Toc223427616"/>
      <w:r w:rsidRPr="00E15C2C">
        <w:rPr>
          <w:bCs/>
        </w:rPr>
        <w:t>7.1.3</w:t>
      </w:r>
      <w:r w:rsidRPr="00E15C2C">
        <w:tab/>
      </w:r>
      <w:r w:rsidRPr="00E15C2C">
        <w:rPr>
          <w:bCs/>
        </w:rPr>
        <w:t>Traitement des fiches de notification des stations HAPS</w:t>
      </w:r>
      <w:bookmarkEnd w:id="93"/>
      <w:bookmarkEnd w:id="94"/>
      <w:bookmarkEnd w:id="95"/>
      <w:bookmarkEnd w:id="96"/>
    </w:p>
    <w:p w14:paraId="6492C70A" w14:textId="1023DFFA" w:rsidR="004F76FD" w:rsidRPr="00E15C2C" w:rsidRDefault="004F76FD" w:rsidP="004F76FD">
      <w:r w:rsidRPr="00E15C2C">
        <w:t>Il y a eu poursuite de l'élaboration de modules de calcul permettant de vérifier le respect des</w:t>
      </w:r>
      <w:r w:rsidR="005903C8" w:rsidRPr="00E15C2C">
        <w:t> </w:t>
      </w:r>
      <w:r w:rsidRPr="00E15C2C">
        <w:t xml:space="preserve">conditions techniques qui sont précisées dans les Résolutions </w:t>
      </w:r>
      <w:r w:rsidRPr="00E15C2C">
        <w:rPr>
          <w:b/>
          <w:bCs/>
        </w:rPr>
        <w:t>122 (Rév.CMR-19)</w:t>
      </w:r>
      <w:r w:rsidRPr="00E15C2C">
        <w:t xml:space="preserve">, </w:t>
      </w:r>
      <w:r w:rsidRPr="00E15C2C">
        <w:rPr>
          <w:b/>
          <w:bCs/>
        </w:rPr>
        <w:t>145</w:t>
      </w:r>
      <w:r w:rsidR="005903C8" w:rsidRPr="00E15C2C">
        <w:rPr>
          <w:b/>
          <w:bCs/>
        </w:rPr>
        <w:t> </w:t>
      </w:r>
      <w:r w:rsidRPr="00E15C2C">
        <w:rPr>
          <w:b/>
          <w:bCs/>
        </w:rPr>
        <w:t>(Rév.CMR</w:t>
      </w:r>
      <w:r w:rsidR="002D6192" w:rsidRPr="00E15C2C">
        <w:rPr>
          <w:b/>
          <w:bCs/>
        </w:rPr>
        <w:noBreakHyphen/>
      </w:r>
      <w:r w:rsidRPr="00E15C2C">
        <w:rPr>
          <w:b/>
          <w:bCs/>
        </w:rPr>
        <w:t>19)</w:t>
      </w:r>
      <w:r w:rsidRPr="00E15C2C">
        <w:t xml:space="preserve">, </w:t>
      </w:r>
      <w:r w:rsidRPr="00E15C2C">
        <w:rPr>
          <w:b/>
          <w:bCs/>
        </w:rPr>
        <w:t>165 (Rév.CMR-23)</w:t>
      </w:r>
      <w:r w:rsidRPr="00E15C2C">
        <w:t xml:space="preserve">, </w:t>
      </w:r>
      <w:r w:rsidRPr="00E15C2C">
        <w:rPr>
          <w:b/>
          <w:bCs/>
        </w:rPr>
        <w:t>166 (Rév.CMR-23)</w:t>
      </w:r>
      <w:r w:rsidRPr="00E15C2C">
        <w:t xml:space="preserve">, </w:t>
      </w:r>
      <w:r w:rsidRPr="00E15C2C">
        <w:rPr>
          <w:b/>
          <w:bCs/>
        </w:rPr>
        <w:t>167 (Rév.CMR-23)</w:t>
      </w:r>
      <w:r w:rsidRPr="00E15C2C">
        <w:t xml:space="preserve"> et</w:t>
      </w:r>
      <w:r w:rsidR="005903C8" w:rsidRPr="00E15C2C">
        <w:t> </w:t>
      </w:r>
      <w:r w:rsidRPr="00E15C2C">
        <w:rPr>
          <w:b/>
          <w:bCs/>
        </w:rPr>
        <w:t>168</w:t>
      </w:r>
      <w:r w:rsidR="005903C8" w:rsidRPr="00E15C2C">
        <w:rPr>
          <w:b/>
          <w:bCs/>
        </w:rPr>
        <w:t> </w:t>
      </w:r>
      <w:r w:rsidRPr="00E15C2C">
        <w:rPr>
          <w:b/>
          <w:bCs/>
        </w:rPr>
        <w:t>(Rév.CMR</w:t>
      </w:r>
      <w:r w:rsidR="000F7759" w:rsidRPr="00E15C2C">
        <w:rPr>
          <w:b/>
          <w:bCs/>
        </w:rPr>
        <w:noBreakHyphen/>
      </w:r>
      <w:r w:rsidRPr="00E15C2C">
        <w:rPr>
          <w:b/>
          <w:bCs/>
        </w:rPr>
        <w:t>23)</w:t>
      </w:r>
      <w:r w:rsidRPr="00E15C2C">
        <w:t>.</w:t>
      </w:r>
    </w:p>
    <w:p w14:paraId="6DEAC30B" w14:textId="77777777" w:rsidR="004F76FD" w:rsidRPr="00E15C2C" w:rsidRDefault="004F76FD" w:rsidP="004F76FD">
      <w:pPr>
        <w:pStyle w:val="Heading3"/>
      </w:pPr>
      <w:bookmarkStart w:id="97" w:name="_Toc222308687"/>
      <w:bookmarkStart w:id="98" w:name="_Toc223425098"/>
      <w:bookmarkStart w:id="99" w:name="_Toc223425204"/>
      <w:bookmarkStart w:id="100" w:name="_Toc223427617"/>
      <w:r w:rsidRPr="00E15C2C">
        <w:rPr>
          <w:bCs/>
        </w:rPr>
        <w:t>7.1.4</w:t>
      </w:r>
      <w:r w:rsidRPr="00E15C2C">
        <w:tab/>
      </w:r>
      <w:r w:rsidRPr="00E15C2C">
        <w:rPr>
          <w:bCs/>
        </w:rPr>
        <w:t>Restructuration du logiciel HFBC</w:t>
      </w:r>
      <w:bookmarkEnd w:id="97"/>
      <w:bookmarkEnd w:id="98"/>
      <w:bookmarkEnd w:id="99"/>
      <w:bookmarkEnd w:id="100"/>
    </w:p>
    <w:p w14:paraId="62495E54" w14:textId="77777777" w:rsidR="004F76FD" w:rsidRPr="00E15C2C" w:rsidRDefault="004F76FD" w:rsidP="004F76FD">
      <w:r w:rsidRPr="00E15C2C">
        <w:t xml:space="preserve">Conformément aux dispositions de l'Article </w:t>
      </w:r>
      <w:r w:rsidRPr="00E15C2C">
        <w:rPr>
          <w:b/>
          <w:bCs/>
        </w:rPr>
        <w:t>12</w:t>
      </w:r>
      <w:r w:rsidRPr="00E15C2C">
        <w:t xml:space="preserve"> du RR, le BR établit et publie les horaires de radiodiffusion à ondes décamétriques (HFBC) saisonniers ainsi que les résultats des analyses de compatibilité. Les horaires sont publiés sur le site web du BR.</w:t>
      </w:r>
    </w:p>
    <w:p w14:paraId="389043DF" w14:textId="77777777" w:rsidR="002D6192" w:rsidRPr="00E15C2C" w:rsidRDefault="004F76FD" w:rsidP="002D6192">
      <w:r w:rsidRPr="00E15C2C">
        <w:t>Parmi les nouveautés introduites, on compte notamment les fonctionnalités et améliorations suivantes:</w:t>
      </w:r>
    </w:p>
    <w:p w14:paraId="67E9A0E7" w14:textId="727778D4" w:rsidR="002D6192" w:rsidRPr="00E15C2C" w:rsidRDefault="00C33FF8" w:rsidP="002D6192">
      <w:pPr>
        <w:pStyle w:val="enumlev1"/>
      </w:pPr>
      <w:r w:rsidRPr="00E15C2C">
        <w:t>•</w:t>
      </w:r>
      <w:r w:rsidR="002D6192" w:rsidRPr="00E15C2C">
        <w:tab/>
      </w:r>
      <w:r w:rsidR="004F76FD" w:rsidRPr="00E15C2C">
        <w:t>un rapport de validation des fiches de notification sous forme de vue éditable pour apporter des corrections en ligne;</w:t>
      </w:r>
    </w:p>
    <w:p w14:paraId="5FEADBF2" w14:textId="38F0D6A1" w:rsidR="004F76FD" w:rsidRPr="00E15C2C" w:rsidRDefault="00C33FF8" w:rsidP="002D6192">
      <w:pPr>
        <w:pStyle w:val="enumlev1"/>
        <w:rPr>
          <w:szCs w:val="24"/>
        </w:rPr>
      </w:pPr>
      <w:r w:rsidRPr="00E15C2C">
        <w:t>•</w:t>
      </w:r>
      <w:r w:rsidR="002D6192" w:rsidRPr="00E15C2C">
        <w:tab/>
      </w:r>
      <w:r w:rsidR="004F76FD" w:rsidRPr="00E15C2C">
        <w:t>une mise à jour automatique des fiches de notification de la période précédente en vue de leur réutilisation pour la période en cours.</w:t>
      </w:r>
    </w:p>
    <w:p w14:paraId="5004BE83" w14:textId="77777777" w:rsidR="004F76FD" w:rsidRPr="00E15C2C" w:rsidRDefault="004F76FD" w:rsidP="004F76FD">
      <w:pPr>
        <w:pStyle w:val="Heading3"/>
      </w:pPr>
      <w:bookmarkStart w:id="101" w:name="_Toc222308688"/>
      <w:bookmarkStart w:id="102" w:name="_Toc223425099"/>
      <w:bookmarkStart w:id="103" w:name="_Toc223425205"/>
      <w:bookmarkStart w:id="104" w:name="_Toc223427618"/>
      <w:r w:rsidRPr="00E15C2C">
        <w:rPr>
          <w:bCs/>
        </w:rPr>
        <w:lastRenderedPageBreak/>
        <w:t>7.1.5</w:t>
      </w:r>
      <w:r w:rsidRPr="00E15C2C">
        <w:tab/>
      </w:r>
      <w:r w:rsidRPr="00E15C2C">
        <w:rPr>
          <w:bCs/>
        </w:rPr>
        <w:t>Migration d'Ingres vers SQL Server</w:t>
      </w:r>
      <w:bookmarkEnd w:id="101"/>
      <w:bookmarkEnd w:id="102"/>
      <w:bookmarkEnd w:id="103"/>
      <w:bookmarkEnd w:id="104"/>
    </w:p>
    <w:p w14:paraId="610D7B22" w14:textId="77777777" w:rsidR="004F76FD" w:rsidRPr="00E15C2C" w:rsidRDefault="004F76FD" w:rsidP="004F76FD">
      <w:bookmarkStart w:id="105" w:name="_Hlk221622139"/>
      <w:r w:rsidRPr="00E15C2C">
        <w:t>Au 3 mars 2025, la migration et la modernisation du système TerRaSys était terminée et le nouveau système était en phase de production. Une nouvelle structure de base de données a été ajoutée, intégrant les nouveaux éléments de données de l'Appendice 4 du RR. Les modules logiciels de validation des données des notifications électroniques pour les services de Terre ont été examinés et mis à jour en conséquence. Les modules logiciels de traitement des notifications pour les services de Terre en vue de leur inscription dans le Fichier de référence international des fréquences et dans les divers Plans pour les services de Terre ont également été modifiés en conséquence. Les modules logiciels utilisés pour les examens techniques ont également été modernisés, y compris les modules d'affichage des résultats des examens. Les travaux relatifs à la publication et à la préparation des nouvelles versions complètes de la BR IFIC sont aussi achevés.</w:t>
      </w:r>
      <w:bookmarkEnd w:id="105"/>
    </w:p>
    <w:p w14:paraId="5D39B57F" w14:textId="57B0A0C7" w:rsidR="004F76FD" w:rsidRPr="00E15C2C" w:rsidRDefault="004F76FD" w:rsidP="004F76FD">
      <w:pPr>
        <w:rPr>
          <w:color w:val="000000" w:themeColor="text1"/>
        </w:rPr>
      </w:pPr>
      <w:r w:rsidRPr="00E15C2C">
        <w:t>Diverses applications web ont été conçues et mises en œuvre, et sont entrées en production, pour permettre l'accès en ligne à l'interrogation de la base de données et à d'autres outils logiciels, y</w:t>
      </w:r>
      <w:r w:rsidR="002D6192" w:rsidRPr="00E15C2C">
        <w:t> </w:t>
      </w:r>
      <w:r w:rsidRPr="00E15C2C">
        <w:t>compris à la validation en ligne des notifications d'assignations de fréquence aux services de Terre. Des copies de la base de données existante pour les services de Terre dans la nouvelle structure de la plate-forme SGBD sont disponibles et utilisées à l'heure actuelle par diverses applications web du BR, afin d'afficher, de valider et de traiter les notifications d'assignations de fréquence aux services de Terre.</w:t>
      </w:r>
    </w:p>
    <w:p w14:paraId="09F4A36E" w14:textId="583953CA" w:rsidR="004F76FD" w:rsidRPr="00E15C2C" w:rsidRDefault="004F76FD" w:rsidP="004F76FD">
      <w:r w:rsidRPr="00E15C2C">
        <w:t>Suite à ces travaux, et conformément à la nouvelle politique d'accès, les administrations des États</w:t>
      </w:r>
      <w:r w:rsidR="00C76052" w:rsidRPr="00E15C2C">
        <w:t> </w:t>
      </w:r>
      <w:r w:rsidRPr="00E15C2C">
        <w:t xml:space="preserve">Membres peuvent désormais accéder gratuitement en ligne à la </w:t>
      </w:r>
      <w:hyperlink r:id="rId87" w:history="1">
        <w:r w:rsidRPr="00E15C2C">
          <w:rPr>
            <w:rStyle w:val="Hyperlink"/>
          </w:rPr>
          <w:t>BR IFIC (services de Terre)</w:t>
        </w:r>
      </w:hyperlink>
      <w:r w:rsidRPr="00E15C2C">
        <w:t xml:space="preserve"> actuelle, sur la page Terrestrial BR IFIC, y compris aux BR IFIC (services de Terre) publiées plus tôt dans l'année. Divers outils de recherche et d'exportation ont également été mis en ligne.</w:t>
      </w:r>
      <w:hyperlink r:id="rId88"/>
    </w:p>
    <w:p w14:paraId="092E61B8" w14:textId="690962B1" w:rsidR="004F76FD" w:rsidRPr="00E15C2C" w:rsidRDefault="004F76FD" w:rsidP="004F76FD">
      <w:r w:rsidRPr="00E15C2C">
        <w:t>La structure de la base de données publiée pour les services de Terre (</w:t>
      </w:r>
      <w:r w:rsidRPr="00E15C2C">
        <w:rPr>
          <w:b/>
          <w:bCs/>
          <w:i/>
          <w:iCs/>
        </w:rPr>
        <w:t>TerRaBase</w:t>
      </w:r>
      <w:r w:rsidRPr="00E15C2C">
        <w:t>) dans le fichier d'image ISO est conforme à la nouvelle structure de données. Cette transition s'est faite en toute transparence lors de l'utilisation des outils fournis par le Bureau sur le fichier d'image ISO (à</w:t>
      </w:r>
      <w:r w:rsidR="00C76052" w:rsidRPr="00E15C2C">
        <w:t> </w:t>
      </w:r>
      <w:r w:rsidRPr="00E15C2C">
        <w:t>savoir</w:t>
      </w:r>
      <w:r w:rsidR="00C76052" w:rsidRPr="00E15C2C">
        <w:t> </w:t>
      </w:r>
      <w:r w:rsidRPr="00E15C2C">
        <w:rPr>
          <w:b/>
          <w:bCs/>
          <w:i/>
          <w:iCs/>
        </w:rPr>
        <w:t>TerRaQ</w:t>
      </w:r>
      <w:r w:rsidRPr="00E15C2C">
        <w:t xml:space="preserve"> et </w:t>
      </w:r>
      <w:r w:rsidRPr="00E15C2C">
        <w:rPr>
          <w:b/>
          <w:bCs/>
          <w:i/>
          <w:iCs/>
        </w:rPr>
        <w:t>TerRaNotices</w:t>
      </w:r>
      <w:r w:rsidRPr="00E15C2C">
        <w:t>).</w:t>
      </w:r>
    </w:p>
    <w:p w14:paraId="53679082" w14:textId="2283D50A" w:rsidR="004F76FD" w:rsidRPr="00E15C2C" w:rsidRDefault="004F76FD" w:rsidP="004F76FD">
      <w:r w:rsidRPr="00E15C2C">
        <w:t xml:space="preserve">Afin de permettre une transition fluide sur les logiciels développés par des tiers, le BR a également mis au point un «outil de rétrocompatibilité», qui permet de convertir un fichier de base de données vers une version antérieure. La description des modifications apportées à la structure de la base de données ainsi que des informations détaillées sur les différences entre l'ancienne et la nouvelle structure de données sont disponibles à l'adresse suivante: </w:t>
      </w:r>
      <w:hyperlink r:id="rId89" w:history="1">
        <w:r w:rsidRPr="00E15C2C">
          <w:rPr>
            <w:rStyle w:val="Hyperlink"/>
          </w:rPr>
          <w:t>https://www.itu.int/ITU-R/terrasys/docs/</w:t>
        </w:r>
      </w:hyperlink>
      <w:r w:rsidRPr="00E15C2C">
        <w:t xml:space="preserve">. Voir la Lettre circulaire </w:t>
      </w:r>
      <w:hyperlink r:id="rId90" w:history="1">
        <w:r w:rsidRPr="00E15C2C">
          <w:rPr>
            <w:rStyle w:val="Hyperlink"/>
          </w:rPr>
          <w:t>CR/516</w:t>
        </w:r>
      </w:hyperlink>
      <w:r w:rsidRPr="00E15C2C">
        <w:t xml:space="preserve"> pour plus d'informations.</w:t>
      </w:r>
      <w:hyperlink r:id="rId91"/>
      <w:hyperlink r:id="rId92"/>
    </w:p>
    <w:p w14:paraId="471F9BB3" w14:textId="77777777" w:rsidR="004F76FD" w:rsidRPr="00E15C2C" w:rsidRDefault="004F76FD" w:rsidP="004F76FD">
      <w:pPr>
        <w:pStyle w:val="Heading3"/>
      </w:pPr>
      <w:bookmarkStart w:id="106" w:name="_Toc222308689"/>
      <w:bookmarkStart w:id="107" w:name="_Toc223425100"/>
      <w:bookmarkStart w:id="108" w:name="_Toc223425206"/>
      <w:bookmarkStart w:id="109" w:name="_Toc223427619"/>
      <w:r w:rsidRPr="00E15C2C">
        <w:rPr>
          <w:bCs/>
        </w:rPr>
        <w:t>7.1.6</w:t>
      </w:r>
      <w:r w:rsidRPr="00E15C2C">
        <w:tab/>
      </w:r>
      <w:r w:rsidRPr="00E15C2C">
        <w:rPr>
          <w:bCs/>
        </w:rPr>
        <w:t>Projet de publications relatives au service maritime</w:t>
      </w:r>
      <w:bookmarkEnd w:id="106"/>
      <w:bookmarkEnd w:id="107"/>
      <w:bookmarkEnd w:id="108"/>
      <w:bookmarkEnd w:id="109"/>
    </w:p>
    <w:p w14:paraId="22A4FF04" w14:textId="77777777" w:rsidR="004F76FD" w:rsidRPr="00E15C2C" w:rsidRDefault="004F76FD" w:rsidP="004F76FD">
      <w:r w:rsidRPr="00E15C2C">
        <w:t>Le BR a atteint la phase finale de ce projet. La plate-forme de vente en ligne et l'application de bureau contenant trois publications au format numérique (Liste IV, Liste V et Manuel maritime) sont en phase de production. S'agissant de l'élaboration des applications mobiles associées, l'application mobile destinée à l'utilisateur contenant les versions simplifiées des trois publications numériques est pratiquement terminée. L'application d'inspection (vérificateur de publications de l'UIT) est terminée et prête à être publiée gratuitement dans les principales boutiques d'applications mobiles (Google et Apple). Avant le lancement des applications mobiles, le BR étudie la façon de répondre aux exigences spécifiques nécessaires à leur publication.</w:t>
      </w:r>
    </w:p>
    <w:p w14:paraId="2ED7FFE4" w14:textId="281C1C16" w:rsidR="004F76FD" w:rsidRPr="00E15C2C" w:rsidRDefault="004F76FD" w:rsidP="004F76FD">
      <w:pPr>
        <w:pStyle w:val="Heading3"/>
      </w:pPr>
      <w:bookmarkStart w:id="110" w:name="_Toc222308690"/>
      <w:bookmarkStart w:id="111" w:name="_Toc223425101"/>
      <w:bookmarkStart w:id="112" w:name="_Toc223425207"/>
      <w:bookmarkStart w:id="113" w:name="_Toc223427620"/>
      <w:r w:rsidRPr="00E15C2C">
        <w:rPr>
          <w:bCs/>
        </w:rPr>
        <w:t>7.1.7</w:t>
      </w:r>
      <w:r w:rsidRPr="00E15C2C">
        <w:tab/>
      </w:r>
      <w:r w:rsidRPr="00E15C2C">
        <w:rPr>
          <w:bCs/>
        </w:rPr>
        <w:t>Brouillages préjudiciables causés aux services de Terre</w:t>
      </w:r>
      <w:bookmarkEnd w:id="110"/>
      <w:bookmarkEnd w:id="111"/>
      <w:bookmarkEnd w:id="112"/>
      <w:bookmarkEnd w:id="113"/>
    </w:p>
    <w:p w14:paraId="2F809396" w14:textId="64EB709F" w:rsidR="004F76FD" w:rsidRPr="00E15C2C" w:rsidRDefault="004F76FD" w:rsidP="004F76FD">
      <w:r w:rsidRPr="00E15C2C">
        <w:t xml:space="preserve">En décembre 2025, la version officielle de la plate-forme de </w:t>
      </w:r>
      <w:r w:rsidRPr="00E15C2C">
        <w:rPr>
          <w:bCs/>
        </w:rPr>
        <w:t>brouillages préjudiciables causés aux services de Terre (</w:t>
      </w:r>
      <w:r w:rsidRPr="00E15C2C">
        <w:t xml:space="preserve">HITS) a été mise à la disposition de tous les États Membres (conformément à la Lettre circulaire </w:t>
      </w:r>
      <w:hyperlink r:id="rId93" w:history="1">
        <w:r w:rsidRPr="00E15C2C">
          <w:rPr>
            <w:rStyle w:val="Hyperlink"/>
          </w:rPr>
          <w:t>CR/526</w:t>
        </w:r>
      </w:hyperlink>
      <w:r w:rsidRPr="00E15C2C">
        <w:t xml:space="preserve">). Cet outil est conçu pour être utilisé afin d'établir des rapports, d'échanger </w:t>
      </w:r>
      <w:r w:rsidRPr="00E15C2C">
        <w:lastRenderedPageBreak/>
        <w:t>des informations et d'accéder aux archives de correspondance avec le Bureau sur les cas de brouillages préjudiciables et les infractions concernant les services de Terre. Les travaux fondés sur les informations communiquées en retour par les administrations et l'ajout de nouvelles fonctionnalités se poursuivent.</w:t>
      </w:r>
      <w:hyperlink r:id="rId94" w:history="1"/>
    </w:p>
    <w:p w14:paraId="72AABF73" w14:textId="53CFC5FE" w:rsidR="004F76FD" w:rsidRPr="00E15C2C" w:rsidRDefault="004F76FD" w:rsidP="004F76FD">
      <w:pPr>
        <w:pStyle w:val="Heading3"/>
      </w:pPr>
      <w:bookmarkStart w:id="114" w:name="_Toc222308691"/>
      <w:bookmarkStart w:id="115" w:name="_Toc223425102"/>
      <w:bookmarkStart w:id="116" w:name="_Toc223425208"/>
      <w:bookmarkStart w:id="117" w:name="_Toc223427621"/>
      <w:r w:rsidRPr="00E15C2C">
        <w:rPr>
          <w:bCs/>
        </w:rPr>
        <w:t>7.1.8</w:t>
      </w:r>
      <w:r w:rsidRPr="00E15C2C">
        <w:tab/>
      </w:r>
      <w:r w:rsidRPr="00E15C2C">
        <w:rPr>
          <w:bCs/>
        </w:rPr>
        <w:t>Nouvelles améliorations apportées aux outils web</w:t>
      </w:r>
      <w:bookmarkEnd w:id="114"/>
      <w:bookmarkEnd w:id="115"/>
      <w:bookmarkEnd w:id="116"/>
      <w:bookmarkEnd w:id="117"/>
    </w:p>
    <w:p w14:paraId="1B7F9671" w14:textId="374C6B50" w:rsidR="004F76FD" w:rsidRPr="00E15C2C" w:rsidRDefault="004F76FD" w:rsidP="004F76FD">
      <w:pPr>
        <w:rPr>
          <w:szCs w:val="24"/>
        </w:rPr>
      </w:pPr>
      <w:r w:rsidRPr="00E15C2C">
        <w:t>Le BR continue de mettre au point des outils web relatifs aux services de Terre et de les intégrer au portail en ligne des services de Terre, fondé sur les technologies web les plus modernes, comme indiqué ci-dessous.</w:t>
      </w:r>
    </w:p>
    <w:p w14:paraId="08BB23AD" w14:textId="11ED1C52" w:rsidR="004F76FD" w:rsidRPr="00E15C2C" w:rsidRDefault="004F76FD" w:rsidP="004F76FD">
      <w:pPr>
        <w:rPr>
          <w:szCs w:val="24"/>
        </w:rPr>
      </w:pPr>
      <w:r w:rsidRPr="00E15C2C">
        <w:t>L'intégration de l'examen de conformité relevant de l'Article 5 de l'Accord GE06 dans eTools est achevée, de même pour eBroadcasting, ce qui permettra de désactiver l'outil dans l'outil autonome</w:t>
      </w:r>
      <w:r w:rsidR="00C76052" w:rsidRPr="00E15C2C">
        <w:t xml:space="preserve"> </w:t>
      </w:r>
      <w:r w:rsidRPr="00E15C2C">
        <w:t>GE06Calc. En outre, des améliorations ont été apportées à l'outil d'analyse de compatibilité du Plan GE84, au moyen de l'intégration de cartes et de l'affichage des détails des stations.</w:t>
      </w:r>
    </w:p>
    <w:p w14:paraId="0E546749" w14:textId="099C7F64" w:rsidR="004F76FD" w:rsidRPr="00E15C2C" w:rsidRDefault="004F76FD" w:rsidP="004F76FD">
      <w:pPr>
        <w:rPr>
          <w:szCs w:val="24"/>
        </w:rPr>
      </w:pPr>
      <w:r w:rsidRPr="00E15C2C">
        <w:t>Par suite de l'achèvement de l'outil de simulation point à point P.452, l'outil de simulation point à</w:t>
      </w:r>
      <w:r w:rsidR="00C33FF8" w:rsidRPr="00E15C2C">
        <w:t> </w:t>
      </w:r>
      <w:r w:rsidRPr="00E15C2C">
        <w:t>zone P.452 est en cours d'élaboration. Cet outil est conçu pour aider les administrations à effectuer des analyses géographiques complètes concernant les brouillages sur la base d'un modèle numérique d'élévation et d'un modèle de la «Terre régulière» pour aider les administrations à</w:t>
      </w:r>
      <w:r w:rsidR="00C33FF8" w:rsidRPr="00E15C2C">
        <w:t> </w:t>
      </w:r>
      <w:r w:rsidRPr="00E15C2C">
        <w:t xml:space="preserve">identifier les pays voisins susceptibles d'être affectés au titre du numéro </w:t>
      </w:r>
      <w:r w:rsidRPr="00E15C2C">
        <w:rPr>
          <w:b/>
          <w:bCs/>
        </w:rPr>
        <w:t xml:space="preserve">9.21 </w:t>
      </w:r>
      <w:r w:rsidRPr="00E15C2C">
        <w:t>du RR.</w:t>
      </w:r>
    </w:p>
    <w:p w14:paraId="570B2147" w14:textId="3838EEDA" w:rsidR="004F76FD" w:rsidRPr="00E15C2C" w:rsidRDefault="004F76FD" w:rsidP="004F76FD">
      <w:r w:rsidRPr="00E15C2C">
        <w:t xml:space="preserve">Les éléments de la plate-forme en ligne pour les services de Terre (sauf la radiodiffusion) (eFXM), à savoir ePubFXM et MyAdminFXM, ont été mis au point et intégrés à cette dernière en 2024. Le système ePubFXM a été enrichi de nouvelles fonctionnalités pour permettre aux administrations de suivre le déroulement de la coordination au titre du numéro </w:t>
      </w:r>
      <w:r w:rsidRPr="00E15C2C">
        <w:rPr>
          <w:b/>
          <w:bCs/>
        </w:rPr>
        <w:t xml:space="preserve">9.21 </w:t>
      </w:r>
      <w:r w:rsidRPr="00E15C2C">
        <w:t>du RR et de la Section spéciale</w:t>
      </w:r>
      <w:r w:rsidR="00C76052" w:rsidRPr="00E15C2C">
        <w:t> </w:t>
      </w:r>
      <w:r w:rsidRPr="00E15C2C">
        <w:t>GE06L annexés à la BR IFIC (services de Terre). L'outil MyAdminFXM, qui aide les administrations à gérer le suivi des procédures de coordination FXM et de modification du plan</w:t>
      </w:r>
      <w:r w:rsidR="00C76052" w:rsidRPr="00E15C2C">
        <w:t> </w:t>
      </w:r>
      <w:r w:rsidRPr="00E15C2C">
        <w:t>FXM, a été récemment élaboré et intégré dans la plate-forme eFXM.</w:t>
      </w:r>
    </w:p>
    <w:p w14:paraId="61087EC0" w14:textId="77777777" w:rsidR="004F76FD" w:rsidRPr="00E15C2C" w:rsidRDefault="004F76FD" w:rsidP="004F76FD">
      <w:pPr>
        <w:pStyle w:val="Heading2"/>
      </w:pPr>
      <w:bookmarkStart w:id="118" w:name="_Toc222308692"/>
      <w:bookmarkStart w:id="119" w:name="_Toc223425103"/>
      <w:bookmarkStart w:id="120" w:name="_Toc223425209"/>
      <w:bookmarkStart w:id="121" w:name="_Toc223427622"/>
      <w:r w:rsidRPr="00E15C2C">
        <w:rPr>
          <w:bCs/>
        </w:rPr>
        <w:t>7.2</w:t>
      </w:r>
      <w:r w:rsidRPr="00E15C2C">
        <w:tab/>
      </w:r>
      <w:r w:rsidRPr="00E15C2C">
        <w:rPr>
          <w:bCs/>
        </w:rPr>
        <w:t>Outils et logiciels pour les services spatiaux</w:t>
      </w:r>
      <w:bookmarkEnd w:id="118"/>
      <w:bookmarkEnd w:id="119"/>
      <w:bookmarkEnd w:id="120"/>
      <w:bookmarkEnd w:id="121"/>
    </w:p>
    <w:p w14:paraId="1DF3836A" w14:textId="715AEB9B" w:rsidR="004F76FD" w:rsidRPr="00E15C2C" w:rsidRDefault="004F76FD" w:rsidP="004F76FD">
      <w:pPr>
        <w:pStyle w:val="Heading3"/>
        <w:rPr>
          <w:rFonts w:eastAsia="Verdana"/>
        </w:rPr>
      </w:pPr>
      <w:bookmarkStart w:id="122" w:name="_Toc222308693"/>
      <w:bookmarkStart w:id="123" w:name="_Toc223425104"/>
      <w:bookmarkStart w:id="124" w:name="_Toc223425210"/>
      <w:bookmarkStart w:id="125" w:name="_Toc223427623"/>
      <w:r w:rsidRPr="00E15C2C">
        <w:rPr>
          <w:bCs/>
        </w:rPr>
        <w:t>7.2.1</w:t>
      </w:r>
      <w:r w:rsidRPr="00E15C2C">
        <w:tab/>
      </w:r>
      <w:r w:rsidRPr="00E15C2C">
        <w:rPr>
          <w:bCs/>
        </w:rPr>
        <w:t>Mise en œuvre des décisions de la CMR-23 se rapportant aux services spatiaux</w:t>
      </w:r>
      <w:bookmarkEnd w:id="122"/>
      <w:bookmarkEnd w:id="123"/>
      <w:bookmarkEnd w:id="124"/>
      <w:bookmarkEnd w:id="125"/>
    </w:p>
    <w:p w14:paraId="2205300F" w14:textId="78E12F68" w:rsidR="004F76FD" w:rsidRPr="00E15C2C" w:rsidRDefault="004F76FD" w:rsidP="004F76FD">
      <w:pPr>
        <w:rPr>
          <w:rStyle w:val="CommentReference"/>
          <w:sz w:val="24"/>
          <w:szCs w:val="20"/>
        </w:rPr>
      </w:pPr>
      <w:r w:rsidRPr="00E15C2C">
        <w:t>Après avoir publié la version 10 du logiciel du BR pour les services spatiaux au début de l'année</w:t>
      </w:r>
      <w:r w:rsidR="00C76052" w:rsidRPr="00E15C2C">
        <w:t> </w:t>
      </w:r>
      <w:r w:rsidRPr="00E15C2C">
        <w:t>2025, le Bureau a continué d'apporter, tout au long de l'année, des modifications en ce qui concerne les décisions de la CMR, à savoir:</w:t>
      </w:r>
    </w:p>
    <w:p w14:paraId="3C116BEB" w14:textId="6B2B2930" w:rsidR="004F76FD" w:rsidRPr="00E15C2C" w:rsidRDefault="00C33FF8" w:rsidP="007F4335">
      <w:pPr>
        <w:pStyle w:val="enumlev1"/>
        <w:rPr>
          <w:szCs w:val="24"/>
        </w:rPr>
      </w:pPr>
      <w:r w:rsidRPr="00E15C2C">
        <w:t>–</w:t>
      </w:r>
      <w:r w:rsidR="004F76FD" w:rsidRPr="00E15C2C">
        <w:tab/>
        <w:t xml:space="preserve">Introduction de la validation des fiches de notification au titre des Résolutions </w:t>
      </w:r>
      <w:r w:rsidR="004F76FD" w:rsidRPr="00E15C2C">
        <w:rPr>
          <w:b/>
          <w:bCs/>
        </w:rPr>
        <w:t xml:space="preserve">8 (CMR-23) </w:t>
      </w:r>
      <w:r w:rsidR="004F76FD" w:rsidRPr="00E15C2C">
        <w:t xml:space="preserve">et </w:t>
      </w:r>
      <w:r w:rsidR="004F76FD" w:rsidRPr="00E15C2C">
        <w:rPr>
          <w:b/>
          <w:bCs/>
        </w:rPr>
        <w:t xml:space="preserve">35 (Rév.CMR-23) </w:t>
      </w:r>
      <w:r w:rsidR="004F76FD" w:rsidRPr="00E15C2C">
        <w:t>dans l'application BRSIS-Capture</w:t>
      </w:r>
      <w:r w:rsidR="00C76052" w:rsidRPr="00E15C2C">
        <w:t>.</w:t>
      </w:r>
    </w:p>
    <w:p w14:paraId="0365E041" w14:textId="0A39DFB5" w:rsidR="004F76FD" w:rsidRPr="00E15C2C" w:rsidRDefault="00C33FF8" w:rsidP="007F4335">
      <w:pPr>
        <w:pStyle w:val="enumlev1"/>
        <w:rPr>
          <w:szCs w:val="24"/>
        </w:rPr>
      </w:pPr>
      <w:r w:rsidRPr="00E15C2C">
        <w:t>–</w:t>
      </w:r>
      <w:r w:rsidR="004F76FD" w:rsidRPr="00E15C2C">
        <w:tab/>
        <w:t xml:space="preserve">Appui à la publication de la Résolution </w:t>
      </w:r>
      <w:r w:rsidR="004F76FD" w:rsidRPr="00E15C2C">
        <w:rPr>
          <w:b/>
          <w:bCs/>
        </w:rPr>
        <w:t xml:space="preserve">170 (Rév.CMR-23) </w:t>
      </w:r>
      <w:r w:rsidR="004F76FD" w:rsidRPr="00E15C2C">
        <w:t>dans l'application BRSIS</w:t>
      </w:r>
      <w:r w:rsidR="000F7759" w:rsidRPr="00E15C2C">
        <w:noBreakHyphen/>
      </w:r>
      <w:r w:rsidR="004F76FD" w:rsidRPr="00E15C2C">
        <w:t>Publication</w:t>
      </w:r>
      <w:r w:rsidR="00C76052" w:rsidRPr="00E15C2C">
        <w:t>.</w:t>
      </w:r>
    </w:p>
    <w:p w14:paraId="7658D4D5" w14:textId="04E3DC3F" w:rsidR="004F76FD" w:rsidRPr="00E15C2C" w:rsidRDefault="00C33FF8" w:rsidP="007F4335">
      <w:pPr>
        <w:pStyle w:val="enumlev1"/>
        <w:rPr>
          <w:szCs w:val="24"/>
        </w:rPr>
      </w:pPr>
      <w:r w:rsidRPr="00E15C2C">
        <w:t>–</w:t>
      </w:r>
      <w:r w:rsidR="004F76FD" w:rsidRPr="00E15C2C">
        <w:tab/>
        <w:t xml:space="preserve">Mise en œuvre des gabarits de puissance surfacique conformément à la Résolution </w:t>
      </w:r>
      <w:r w:rsidR="004F76FD" w:rsidRPr="00E15C2C">
        <w:rPr>
          <w:b/>
          <w:bCs/>
        </w:rPr>
        <w:t xml:space="preserve">553 (Rév.CMR-23) </w:t>
      </w:r>
      <w:r w:rsidR="004F76FD" w:rsidRPr="00E15C2C">
        <w:t>aux fins de la procédure spéciale dans l'application GIBC-AP8</w:t>
      </w:r>
      <w:r w:rsidR="00C76052" w:rsidRPr="00E15C2C">
        <w:t>.</w:t>
      </w:r>
    </w:p>
    <w:p w14:paraId="48E9EA90" w14:textId="6F9DD3C8" w:rsidR="004F76FD" w:rsidRPr="00E15C2C" w:rsidRDefault="00C33FF8" w:rsidP="007F4335">
      <w:pPr>
        <w:pStyle w:val="enumlev1"/>
        <w:rPr>
          <w:szCs w:val="24"/>
        </w:rPr>
      </w:pPr>
      <w:r w:rsidRPr="00E15C2C">
        <w:t>–</w:t>
      </w:r>
      <w:r w:rsidR="004F76FD" w:rsidRPr="00E15C2C">
        <w:tab/>
        <w:t xml:space="preserve">Ajout d'une option permettant d'effectuer l'examen de la puissance surfacique pour les renseignements API et mise en œuvre de la limite stricte de puissance surfacique indiquée dans la Résolution </w:t>
      </w:r>
      <w:r w:rsidR="004F76FD" w:rsidRPr="00E15C2C">
        <w:rPr>
          <w:b/>
          <w:bCs/>
        </w:rPr>
        <w:t xml:space="preserve">678 (CMR-23) </w:t>
      </w:r>
      <w:r w:rsidR="004F76FD" w:rsidRPr="00E15C2C">
        <w:t>dans le programme GIBC-PFD NGSO</w:t>
      </w:r>
      <w:r w:rsidR="00C76052" w:rsidRPr="00E15C2C">
        <w:t>.</w:t>
      </w:r>
    </w:p>
    <w:p w14:paraId="50D86177" w14:textId="11E97755" w:rsidR="004F76FD" w:rsidRPr="00E15C2C" w:rsidRDefault="00C33FF8" w:rsidP="007F4335">
      <w:pPr>
        <w:pStyle w:val="enumlev1"/>
        <w:rPr>
          <w:szCs w:val="24"/>
        </w:rPr>
      </w:pPr>
      <w:r w:rsidRPr="00E15C2C">
        <w:t>–</w:t>
      </w:r>
      <w:r w:rsidRPr="00E15C2C">
        <w:tab/>
      </w:r>
      <w:r w:rsidR="004F76FD" w:rsidRPr="00E15C2C">
        <w:t xml:space="preserve">Mise en œuvre de la Résolution </w:t>
      </w:r>
      <w:r w:rsidR="004F76FD" w:rsidRPr="00E15C2C">
        <w:rPr>
          <w:b/>
          <w:bCs/>
        </w:rPr>
        <w:t>678 (CMR-23)</w:t>
      </w:r>
      <w:r w:rsidR="004F76FD" w:rsidRPr="00E15C2C">
        <w:t xml:space="preserve"> dans le programme GIBC-PFD OSG.</w:t>
      </w:r>
    </w:p>
    <w:p w14:paraId="181FF331" w14:textId="6ED891D7" w:rsidR="004F76FD" w:rsidRPr="00E15C2C" w:rsidRDefault="004F76FD" w:rsidP="00C76052">
      <w:pPr>
        <w:keepLines/>
        <w:rPr>
          <w:szCs w:val="24"/>
        </w:rPr>
      </w:pPr>
      <w:r w:rsidRPr="00E15C2C">
        <w:lastRenderedPageBreak/>
        <w:t xml:space="preserve">En outre, conformément au point 3 du </w:t>
      </w:r>
      <w:r w:rsidRPr="00E15C2C">
        <w:rPr>
          <w:i/>
          <w:iCs/>
        </w:rPr>
        <w:t>charge le Bureau des radiocommunications</w:t>
      </w:r>
      <w:r w:rsidRPr="00E15C2C">
        <w:t xml:space="preserve"> de la Résolution</w:t>
      </w:r>
      <w:r w:rsidR="00C76052" w:rsidRPr="00E15C2C">
        <w:t> </w:t>
      </w:r>
      <w:r w:rsidRPr="00E15C2C">
        <w:rPr>
          <w:b/>
          <w:bCs/>
        </w:rPr>
        <w:t>8 (CMR-23)</w:t>
      </w:r>
      <w:r w:rsidRPr="00E15C2C">
        <w:t xml:space="preserve">, le BR a élaboré un outil en ligne (Argus) pour visualiser le déploiement des systèmes à satellites non géostationnaires assujettis à la Résolution </w:t>
      </w:r>
      <w:r w:rsidRPr="00E15C2C">
        <w:rPr>
          <w:b/>
          <w:bCs/>
        </w:rPr>
        <w:t>8 (CMR-23)</w:t>
      </w:r>
      <w:r w:rsidRPr="00E15C2C">
        <w:t xml:space="preserve"> et en assurer la transparence, tout en facilitant les communications directes entre les opérateurs de satellites responsables de ces systèmes.</w:t>
      </w:r>
    </w:p>
    <w:p w14:paraId="1CC153ED" w14:textId="77777777" w:rsidR="004F76FD" w:rsidRPr="00E15C2C" w:rsidRDefault="004F76FD" w:rsidP="004F76FD">
      <w:pPr>
        <w:tabs>
          <w:tab w:val="left" w:pos="900"/>
        </w:tabs>
        <w:spacing w:after="120"/>
        <w:rPr>
          <w:szCs w:val="24"/>
        </w:rPr>
      </w:pPr>
      <w:r w:rsidRPr="00E15C2C">
        <w:t>En utilisant Argus, les administrations et les opérateurs de satellites pourront visualiser et récupérer les informations suivantes:</w:t>
      </w:r>
    </w:p>
    <w:p w14:paraId="3FBD7C9F" w14:textId="66B2390E" w:rsidR="004F76FD" w:rsidRPr="00E15C2C" w:rsidRDefault="00C76052" w:rsidP="00C33FF8">
      <w:pPr>
        <w:pStyle w:val="enumlev1"/>
        <w:rPr>
          <w:szCs w:val="24"/>
        </w:rPr>
      </w:pPr>
      <w:r w:rsidRPr="00E15C2C">
        <w:t>–</w:t>
      </w:r>
      <w:r w:rsidR="004F76FD" w:rsidRPr="00E15C2C">
        <w:tab/>
        <w:t xml:space="preserve">Paramètres orbitaux d'un système à satellites ou d'un engin spatial donné, notifiés ou déclarés au titre de la Résolution </w:t>
      </w:r>
      <w:r w:rsidR="004F76FD" w:rsidRPr="00E15C2C">
        <w:rPr>
          <w:b/>
          <w:bCs/>
        </w:rPr>
        <w:t>8 (CMR-23)</w:t>
      </w:r>
      <w:r w:rsidR="004F76FD" w:rsidRPr="00E15C2C">
        <w:t xml:space="preserve"> par une administration notificatrice</w:t>
      </w:r>
      <w:r w:rsidRPr="00E15C2C">
        <w:t>.</w:t>
      </w:r>
    </w:p>
    <w:p w14:paraId="6362AB36" w14:textId="67D27B22" w:rsidR="004F76FD" w:rsidRPr="00E15C2C" w:rsidRDefault="00C76052" w:rsidP="00C33FF8">
      <w:pPr>
        <w:pStyle w:val="enumlev1"/>
        <w:rPr>
          <w:szCs w:val="24"/>
        </w:rPr>
      </w:pPr>
      <w:r w:rsidRPr="00E15C2C">
        <w:t>–</w:t>
      </w:r>
      <w:r w:rsidR="004F76FD" w:rsidRPr="00E15C2C">
        <w:tab/>
        <w:t>Paramètres orbitaux réels associés obtenus régulièrement auprès de sources publiques fiables</w:t>
      </w:r>
      <w:r w:rsidRPr="00E15C2C">
        <w:t>.</w:t>
      </w:r>
    </w:p>
    <w:p w14:paraId="5B4F3372" w14:textId="4CC6D63C" w:rsidR="004F76FD" w:rsidRPr="00E15C2C" w:rsidRDefault="00C76052" w:rsidP="00C33FF8">
      <w:pPr>
        <w:pStyle w:val="enumlev1"/>
        <w:rPr>
          <w:szCs w:val="24"/>
        </w:rPr>
      </w:pPr>
      <w:r w:rsidRPr="00E15C2C">
        <w:t>–</w:t>
      </w:r>
      <w:r w:rsidR="004F76FD" w:rsidRPr="00E15C2C">
        <w:tab/>
        <w:t xml:space="preserve">Vérification du maintien des satellites dans le respect des tolérances d'altitude et d'inclinaison définies dans la Résolution </w:t>
      </w:r>
      <w:r w:rsidR="004F76FD" w:rsidRPr="00E15C2C">
        <w:rPr>
          <w:b/>
          <w:bCs/>
        </w:rPr>
        <w:t>8 (CMR-23)</w:t>
      </w:r>
      <w:r w:rsidRPr="00E15C2C">
        <w:t>.</w:t>
      </w:r>
    </w:p>
    <w:p w14:paraId="08758DC9" w14:textId="6DA48530" w:rsidR="004F76FD" w:rsidRPr="00E15C2C" w:rsidRDefault="00C76052" w:rsidP="00C33FF8">
      <w:pPr>
        <w:pStyle w:val="enumlev1"/>
        <w:rPr>
          <w:szCs w:val="24"/>
        </w:rPr>
      </w:pPr>
      <w:r w:rsidRPr="00E15C2C">
        <w:t>–</w:t>
      </w:r>
      <w:r w:rsidR="004F76FD" w:rsidRPr="00E15C2C">
        <w:tab/>
        <w:t>Filtrage par bande de fréquences, apogée, périgée, inclinaison et RAAN</w:t>
      </w:r>
      <w:r w:rsidRPr="00E15C2C">
        <w:t>.</w:t>
      </w:r>
    </w:p>
    <w:p w14:paraId="20CD04AE" w14:textId="34A0BE8D" w:rsidR="004F76FD" w:rsidRPr="00E15C2C" w:rsidRDefault="00C76052" w:rsidP="00C33FF8">
      <w:pPr>
        <w:pStyle w:val="enumlev1"/>
        <w:rPr>
          <w:szCs w:val="24"/>
        </w:rPr>
      </w:pPr>
      <w:r w:rsidRPr="00E15C2C">
        <w:t>–</w:t>
      </w:r>
      <w:r w:rsidR="004F76FD" w:rsidRPr="00E15C2C">
        <w:tab/>
        <w:t>Renseignements détaillés sur les assignations de fréquence associées inscrites dans le Fichier de référence pour un système à satellites sélectionné</w:t>
      </w:r>
      <w:r w:rsidRPr="00E15C2C">
        <w:t>.</w:t>
      </w:r>
    </w:p>
    <w:p w14:paraId="74394493" w14:textId="75AEF734" w:rsidR="004F76FD" w:rsidRPr="00E15C2C" w:rsidRDefault="00C76052" w:rsidP="00C33FF8">
      <w:pPr>
        <w:pStyle w:val="enumlev1"/>
        <w:rPr>
          <w:szCs w:val="24"/>
        </w:rPr>
      </w:pPr>
      <w:r w:rsidRPr="00E15C2C">
        <w:t>–</w:t>
      </w:r>
      <w:r w:rsidR="004F76FD" w:rsidRPr="00E15C2C">
        <w:tab/>
        <w:t xml:space="preserve">Lien vers les Sections spéciales associées publiées au titre de la Résolution </w:t>
      </w:r>
      <w:r w:rsidR="004F76FD" w:rsidRPr="00E15C2C">
        <w:rPr>
          <w:b/>
          <w:bCs/>
        </w:rPr>
        <w:t>8 (CMR-23)</w:t>
      </w:r>
      <w:r w:rsidR="004F76FD" w:rsidRPr="00E15C2C">
        <w:t xml:space="preserve"> et état du déploiement conformément à la Résolution </w:t>
      </w:r>
      <w:r w:rsidR="004F76FD" w:rsidRPr="00E15C2C">
        <w:rPr>
          <w:b/>
          <w:bCs/>
        </w:rPr>
        <w:t>35 (Rév.CMR-23)</w:t>
      </w:r>
      <w:r w:rsidRPr="00E15C2C">
        <w:t>.</w:t>
      </w:r>
    </w:p>
    <w:p w14:paraId="5408B28A" w14:textId="0F9D3DBC" w:rsidR="004F76FD" w:rsidRPr="00E15C2C" w:rsidRDefault="00C76052" w:rsidP="00C33FF8">
      <w:pPr>
        <w:pStyle w:val="enumlev1"/>
        <w:rPr>
          <w:szCs w:val="24"/>
        </w:rPr>
      </w:pPr>
      <w:r w:rsidRPr="00E15C2C">
        <w:t>–</w:t>
      </w:r>
      <w:r w:rsidR="004F76FD" w:rsidRPr="00E15C2C">
        <w:tab/>
        <w:t>Accès à des points de contact directs pour l'atténuation des brouillages radioélectriques et les opérations spatiales.</w:t>
      </w:r>
    </w:p>
    <w:p w14:paraId="6CB62AC7" w14:textId="77777777" w:rsidR="004F76FD" w:rsidRPr="00E15C2C" w:rsidRDefault="004F76FD" w:rsidP="007F4335">
      <w:pPr>
        <w:rPr>
          <w:szCs w:val="24"/>
        </w:rPr>
      </w:pPr>
      <w:r w:rsidRPr="00E15C2C">
        <w:t>Le système est relié au Fichier de référence international des fréquences et son accès limité aux Membres du Secteur de l'UIT-R titulaires d'un compte TIES.</w:t>
      </w:r>
    </w:p>
    <w:p w14:paraId="2393FB8C" w14:textId="0A66ADB1" w:rsidR="004F76FD" w:rsidRPr="00E15C2C" w:rsidRDefault="004F76FD" w:rsidP="007F4335">
      <w:pPr>
        <w:rPr>
          <w:szCs w:val="24"/>
        </w:rPr>
      </w:pPr>
      <w:r w:rsidRPr="00E15C2C">
        <w:t>Une page web spéciale a été créée pour Argus et peut être consultée à l'adresse:</w:t>
      </w:r>
    </w:p>
    <w:p w14:paraId="7F25E905" w14:textId="5E52C540" w:rsidR="004F76FD" w:rsidRPr="00E15C2C" w:rsidRDefault="000B33A9" w:rsidP="004F76FD">
      <w:pPr>
        <w:tabs>
          <w:tab w:val="left" w:pos="900"/>
        </w:tabs>
        <w:spacing w:before="240" w:after="240"/>
        <w:jc w:val="center"/>
        <w:rPr>
          <w:szCs w:val="24"/>
        </w:rPr>
      </w:pPr>
      <w:hyperlink r:id="rId95" w:anchor="/fr" w:history="1">
        <w:r w:rsidR="004F76FD" w:rsidRPr="00E15C2C">
          <w:rPr>
            <w:rStyle w:val="Hyperlink"/>
          </w:rPr>
          <w:t>https://itu.int/space-argus/</w:t>
        </w:r>
      </w:hyperlink>
    </w:p>
    <w:p w14:paraId="6C6969BD" w14:textId="7EB80A22" w:rsidR="004F76FD" w:rsidRPr="00E15C2C" w:rsidRDefault="004F76FD" w:rsidP="00C76052">
      <w:r w:rsidRPr="00E15C2C">
        <w:t>Cet outil, actuellement à la disposition des administrations et des Membres du Secteur de l'UIT-R, présente une version d'essai contenant des paramètres fictifs pour aider les utilisateurs à se familiariser avec le système. La base de données associée sera activée en 2026 pour visualiser les systèmes à satellites réellement notifiés et mis en service.</w:t>
      </w:r>
    </w:p>
    <w:p w14:paraId="230A5A7E" w14:textId="7569A7E5" w:rsidR="004F76FD" w:rsidRPr="00E15C2C" w:rsidRDefault="004F76FD" w:rsidP="004F76FD">
      <w:pPr>
        <w:pStyle w:val="Heading3"/>
      </w:pPr>
      <w:bookmarkStart w:id="126" w:name="_Toc222308694"/>
      <w:bookmarkStart w:id="127" w:name="_Toc223425105"/>
      <w:bookmarkStart w:id="128" w:name="_Toc223425211"/>
      <w:bookmarkStart w:id="129" w:name="_Toc223427624"/>
      <w:r w:rsidRPr="00E15C2C">
        <w:rPr>
          <w:bCs/>
        </w:rPr>
        <w:t>7.2.2</w:t>
      </w:r>
      <w:r w:rsidRPr="00E15C2C">
        <w:tab/>
      </w:r>
      <w:r w:rsidRPr="00E15C2C">
        <w:rPr>
          <w:bCs/>
        </w:rPr>
        <w:t>Progrès accomplis dans la mise en œuvre de la feuille de route sur les systèmes informatiques du BR pour les services spatiaux (19ème réunion du GCR, 2012)</w:t>
      </w:r>
      <w:bookmarkEnd w:id="126"/>
      <w:bookmarkEnd w:id="127"/>
      <w:bookmarkEnd w:id="128"/>
      <w:bookmarkEnd w:id="129"/>
    </w:p>
    <w:p w14:paraId="5F3E5DBA" w14:textId="480D9D68" w:rsidR="004F76FD" w:rsidRPr="00E15C2C" w:rsidRDefault="004F76FD" w:rsidP="004F76FD">
      <w:r w:rsidRPr="00E15C2C">
        <w:t>À sa 19ème réunion (2012), le GCR avait invité le Directeur à mettre en œuvre les mesures recommandées dans les délais proposés, comme indiqué dans la feuille de route approuvée, comprenant les phases suivantes: Phase 1 (Mise en œuvre des décisions de la CMR-12); Phase 2 (Réécriture de certains logiciels existants); et Phase 3 (Création d'une équipe de projet chargée de mettre en place un cadre commun, un système de sécurité et une base de données centralisée sur les services spatiaux). Le GCR a encouragé les États Membres et les Membres de Secteur à soumettre leurs observations concernant la Phase 3.</w:t>
      </w:r>
    </w:p>
    <w:p w14:paraId="769E8D1F" w14:textId="24632C95" w:rsidR="004F76FD" w:rsidRPr="00E15C2C" w:rsidRDefault="004F76FD" w:rsidP="004F76FD">
      <w:r w:rsidRPr="00E15C2C">
        <w:t>En 2025, le BR a continué de tenir à jour les logiciels existants, tout en s'employant à mettre en</w:t>
      </w:r>
      <w:r w:rsidR="00C76052" w:rsidRPr="00E15C2C">
        <w:t> </w:t>
      </w:r>
      <w:r w:rsidRPr="00E15C2C">
        <w:t>œuvre de nouvelles versions des principales applications logicielles. Il a été nécessaire de déployer ces efforts en parallèle, compte tenu des besoins opérationnels, raison pour laquelle certains projets de modernisation sont encore en cours.</w:t>
      </w:r>
    </w:p>
    <w:p w14:paraId="3B98D553" w14:textId="77777777" w:rsidR="004F76FD" w:rsidRPr="00E15C2C" w:rsidRDefault="004F76FD" w:rsidP="004F76FD">
      <w:pPr>
        <w:pStyle w:val="Heading3"/>
      </w:pPr>
      <w:bookmarkStart w:id="130" w:name="_Toc222308695"/>
      <w:bookmarkStart w:id="131" w:name="_Toc223425106"/>
      <w:bookmarkStart w:id="132" w:name="_Toc223425212"/>
      <w:bookmarkStart w:id="133" w:name="_Toc223427625"/>
      <w:r w:rsidRPr="00E15C2C">
        <w:rPr>
          <w:bCs/>
        </w:rPr>
        <w:lastRenderedPageBreak/>
        <w:t>7.2.3</w:t>
      </w:r>
      <w:r w:rsidRPr="00E15C2C">
        <w:tab/>
      </w:r>
      <w:r w:rsidRPr="00E15C2C">
        <w:rPr>
          <w:bCs/>
        </w:rPr>
        <w:t>Progrès accomplis en vue de la réalisation des objectifs de la Phase 2 de la feuille de route</w:t>
      </w:r>
      <w:bookmarkEnd w:id="130"/>
      <w:bookmarkEnd w:id="131"/>
      <w:bookmarkEnd w:id="132"/>
      <w:bookmarkEnd w:id="133"/>
    </w:p>
    <w:p w14:paraId="713C9CC1" w14:textId="4D5C819C" w:rsidR="004F76FD" w:rsidRPr="00E15C2C" w:rsidRDefault="004F76FD" w:rsidP="00C76052">
      <w:pPr>
        <w:pStyle w:val="Heading4"/>
      </w:pPr>
      <w:r w:rsidRPr="00E15C2C">
        <w:t>7.2.3.1</w:t>
      </w:r>
      <w:r w:rsidRPr="00E15C2C">
        <w:tab/>
        <w:t>Réécriture des logiciels existants pour les examens techniques</w:t>
      </w:r>
    </w:p>
    <w:p w14:paraId="3D567C85" w14:textId="25EE84B1" w:rsidR="004F76FD" w:rsidRPr="00E15C2C" w:rsidRDefault="007F4335" w:rsidP="007F4335">
      <w:pPr>
        <w:pStyle w:val="enumlev1"/>
      </w:pPr>
      <w:r w:rsidRPr="00E15C2C">
        <w:t>•</w:t>
      </w:r>
      <w:r w:rsidRPr="00E15C2C">
        <w:tab/>
      </w:r>
      <w:r w:rsidR="004F76FD" w:rsidRPr="00E15C2C">
        <w:t>Migration des éléments du logiciel GIMS en Fortran: en cours. Le BR étudie de nouvelles méthodes de migration des codes existants au moyen de l'intelligence artificielle (IA), à la fois avec l'aide de consultants ayant fait leurs preuves dans la migration des codes existants assistée par l'IA et moyennant des investissements dans le développement de ces compétences et capacités internes en matière d'IA.</w:t>
      </w:r>
    </w:p>
    <w:p w14:paraId="39F3BD14" w14:textId="28FB618D" w:rsidR="004F76FD" w:rsidRPr="00E15C2C" w:rsidRDefault="007F4335" w:rsidP="007F4335">
      <w:pPr>
        <w:pStyle w:val="enumlev1"/>
      </w:pPr>
      <w:r w:rsidRPr="00E15C2C">
        <w:t>•</w:t>
      </w:r>
      <w:r w:rsidRPr="00E15C2C">
        <w:tab/>
      </w:r>
      <w:r w:rsidR="004F76FD" w:rsidRPr="00E15C2C">
        <w:t>Mspace – Migration des éléments du langage Visual Basic 6 au langage .NET: en cours.</w:t>
      </w:r>
    </w:p>
    <w:p w14:paraId="56A97C09" w14:textId="70E52DE9" w:rsidR="004F76FD" w:rsidRPr="00E15C2C" w:rsidRDefault="004F76FD" w:rsidP="004F76FD">
      <w:pPr>
        <w:pStyle w:val="Heading4"/>
      </w:pPr>
      <w:r w:rsidRPr="00E15C2C">
        <w:rPr>
          <w:bCs/>
        </w:rPr>
        <w:t>7.2.3.2</w:t>
      </w:r>
      <w:r w:rsidRPr="00E15C2C">
        <w:tab/>
      </w:r>
      <w:r w:rsidRPr="00E15C2C">
        <w:rPr>
          <w:bCs/>
        </w:rPr>
        <w:t>Conception et élaboration du système d'information du BR pour les systèmes spatiaux</w:t>
      </w:r>
    </w:p>
    <w:p w14:paraId="3F0841F5" w14:textId="4A859D59" w:rsidR="004F76FD" w:rsidRPr="00E15C2C" w:rsidRDefault="007F4335" w:rsidP="007F4335">
      <w:pPr>
        <w:pStyle w:val="enumlev1"/>
      </w:pPr>
      <w:r w:rsidRPr="00E15C2C">
        <w:t>•</w:t>
      </w:r>
      <w:r w:rsidRPr="00E15C2C">
        <w:tab/>
      </w:r>
      <w:r w:rsidR="004F76FD" w:rsidRPr="00E15C2C">
        <w:t>Réécriture du logiciel SpaceCap en langage Visual Basic 6: en cours. Les travaux de migration de la fonctionnalité SpaceCap vers le module BRSIS-Capture se poursuivront en</w:t>
      </w:r>
      <w:r w:rsidR="00C76052" w:rsidRPr="00E15C2C">
        <w:t> </w:t>
      </w:r>
      <w:r w:rsidR="004F76FD" w:rsidRPr="00E15C2C">
        <w:t>2026, une version de démonstration devant être présentée au Séminaire mondial des radiocommunications de 2026 (WRS-26).</w:t>
      </w:r>
    </w:p>
    <w:p w14:paraId="3AD721EE" w14:textId="751E2F58" w:rsidR="004F76FD" w:rsidRPr="00E15C2C" w:rsidRDefault="007F4335" w:rsidP="007F4335">
      <w:pPr>
        <w:pStyle w:val="enumlev1"/>
      </w:pPr>
      <w:r w:rsidRPr="00E15C2C">
        <w:t>•</w:t>
      </w:r>
      <w:r w:rsidRPr="00E15C2C">
        <w:tab/>
      </w:r>
      <w:r w:rsidR="004F76FD" w:rsidRPr="00E15C2C">
        <w:t>Réécriture du logiciel SpaceCom en langage Visual Basic 6: en cours. Ceci est expliqué plus en détail au § 7.2.6.4</w:t>
      </w:r>
      <w:r w:rsidR="00C76052" w:rsidRPr="00E15C2C">
        <w:t xml:space="preserve">: </w:t>
      </w:r>
      <w:r w:rsidR="004F76FD" w:rsidRPr="00E15C2C">
        <w:t>Système de formulation d'observations en ligne.</w:t>
      </w:r>
    </w:p>
    <w:p w14:paraId="6A3D7DB3" w14:textId="45A427EE" w:rsidR="004F76FD" w:rsidRPr="00E15C2C" w:rsidRDefault="007F4335" w:rsidP="007F4335">
      <w:pPr>
        <w:pStyle w:val="enumlev1"/>
      </w:pPr>
      <w:r w:rsidRPr="00E15C2C">
        <w:t>•</w:t>
      </w:r>
      <w:r w:rsidRPr="00E15C2C">
        <w:tab/>
      </w:r>
      <w:r w:rsidR="004F76FD" w:rsidRPr="00E15C2C">
        <w:t>Migration de SRS.mdb vers une technologie plus moderne: en cours. Le logiciel d'examen</w:t>
      </w:r>
      <w:r w:rsidR="00C76052" w:rsidRPr="00E15C2C">
        <w:t> </w:t>
      </w:r>
      <w:r w:rsidR="004F76FD" w:rsidRPr="00E15C2C">
        <w:t>FOT peut être connecté à la base de données IFIC de Terre, qui est au format</w:t>
      </w:r>
      <w:r w:rsidR="00C76052" w:rsidRPr="00E15C2C">
        <w:t> </w:t>
      </w:r>
      <w:r w:rsidR="004F76FD" w:rsidRPr="00E15C2C">
        <w:t>SQLite, et certaines bases de données des résultats d'examen prennent également en charge le format SQLite. Une fois que l'on aura opéré la migration des applications logicielles du BR pour les services spatiaux vers SQLite, la rétrocompatibilité avec le format MDB, ainsi que les outils de conversion associés, seront maintenus.</w:t>
      </w:r>
    </w:p>
    <w:p w14:paraId="540C3EDA" w14:textId="62862BA1" w:rsidR="004F76FD" w:rsidRPr="00E15C2C" w:rsidRDefault="007F4335" w:rsidP="007F4335">
      <w:pPr>
        <w:pStyle w:val="enumlev1"/>
      </w:pPr>
      <w:r w:rsidRPr="00E15C2C">
        <w:t>•</w:t>
      </w:r>
      <w:r w:rsidRPr="00E15C2C">
        <w:tab/>
      </w:r>
      <w:r w:rsidR="004F76FD" w:rsidRPr="00E15C2C">
        <w:t>Réexamen de SNTrack: en cours. SNTrack sera remplacé progressivement par un système informatique de gestion des systèmes spatiaux, afin de compléter la fonctionnalité administrative du système de soumission électronique.</w:t>
      </w:r>
    </w:p>
    <w:p w14:paraId="74D41093" w14:textId="77777777" w:rsidR="004F76FD" w:rsidRPr="00E15C2C" w:rsidRDefault="004F76FD" w:rsidP="004F76FD">
      <w:pPr>
        <w:pStyle w:val="Heading3"/>
      </w:pPr>
      <w:bookmarkStart w:id="134" w:name="_Toc222308696"/>
      <w:bookmarkStart w:id="135" w:name="_Toc223425107"/>
      <w:bookmarkStart w:id="136" w:name="_Toc223425213"/>
      <w:bookmarkStart w:id="137" w:name="_Toc223427626"/>
      <w:r w:rsidRPr="00E15C2C">
        <w:rPr>
          <w:bCs/>
        </w:rPr>
        <w:t>7.2.4</w:t>
      </w:r>
      <w:r w:rsidRPr="00E15C2C">
        <w:tab/>
      </w:r>
      <w:r w:rsidRPr="00E15C2C">
        <w:rPr>
          <w:bCs/>
        </w:rPr>
        <w:t>Progrès accomplis en vue de la réalisation des objectifs de la Phase 3 de la feuille de route</w:t>
      </w:r>
      <w:bookmarkEnd w:id="134"/>
      <w:bookmarkEnd w:id="135"/>
      <w:bookmarkEnd w:id="136"/>
      <w:bookmarkEnd w:id="137"/>
    </w:p>
    <w:p w14:paraId="068CE060" w14:textId="642295A8" w:rsidR="004F76FD" w:rsidRPr="00E15C2C" w:rsidRDefault="004F76FD" w:rsidP="004F76FD">
      <w:r w:rsidRPr="00E15C2C">
        <w:t>Les travaux menés au cours des phases précédentes, ainsi que les choix de conception et les choix techniques effectués, constituent une excellente base pour la mise en œuvre avec succès de la Phase</w:t>
      </w:r>
      <w:r w:rsidR="00C33FF8" w:rsidRPr="00E15C2C">
        <w:t> </w:t>
      </w:r>
      <w:r w:rsidRPr="00E15C2C">
        <w:t>3:</w:t>
      </w:r>
    </w:p>
    <w:p w14:paraId="658877D9" w14:textId="25726C86" w:rsidR="004F76FD" w:rsidRPr="00E15C2C" w:rsidRDefault="00C33FF8" w:rsidP="00C33FF8">
      <w:pPr>
        <w:pStyle w:val="enumlev1"/>
      </w:pPr>
      <w:r w:rsidRPr="00E15C2C">
        <w:t>•</w:t>
      </w:r>
      <w:r w:rsidRPr="00E15C2C">
        <w:tab/>
      </w:r>
      <w:r w:rsidR="004F76FD" w:rsidRPr="00E15C2C">
        <w:t>Une nouvelle conception de la structure, qui préservera l'équivalence des données, mais aura pour objectif de supprimer certaines redondances, sera déployée sous la forme d'une version 10.5 début 2027, à mi-chemin de la mise en œuvre des décisions entre la CMR-23 et la CMR-27, de façon à ne pas conduire à un changement trop fréquent de la structure de base de données.</w:t>
      </w:r>
    </w:p>
    <w:p w14:paraId="3F6AA9C8" w14:textId="01A86883" w:rsidR="004F76FD" w:rsidRPr="00E15C2C" w:rsidRDefault="00C33FF8" w:rsidP="00C33FF8">
      <w:pPr>
        <w:pStyle w:val="enumlev1"/>
      </w:pPr>
      <w:r w:rsidRPr="00E15C2C">
        <w:t>•</w:t>
      </w:r>
      <w:r w:rsidRPr="00E15C2C">
        <w:tab/>
      </w:r>
      <w:r w:rsidR="004F76FD" w:rsidRPr="00E15C2C">
        <w:t>Des activités visant à centraliser et à rationaliser la gestion des risques, de la reprise des activités et de la sécurité sont en cours.</w:t>
      </w:r>
    </w:p>
    <w:p w14:paraId="7A003159" w14:textId="77777777" w:rsidR="004F76FD" w:rsidRPr="00E15C2C" w:rsidRDefault="004F76FD" w:rsidP="004F76FD">
      <w:pPr>
        <w:pStyle w:val="Heading3"/>
      </w:pPr>
      <w:bookmarkStart w:id="138" w:name="_Toc222308697"/>
      <w:bookmarkStart w:id="139" w:name="_Toc223425108"/>
      <w:bookmarkStart w:id="140" w:name="_Toc223425214"/>
      <w:bookmarkStart w:id="141" w:name="_Toc223427627"/>
      <w:r w:rsidRPr="00E15C2C">
        <w:rPr>
          <w:bCs/>
        </w:rPr>
        <w:t>7.2.5</w:t>
      </w:r>
      <w:r w:rsidRPr="00E15C2C">
        <w:tab/>
      </w:r>
      <w:r w:rsidRPr="00E15C2C">
        <w:rPr>
          <w:bCs/>
        </w:rPr>
        <w:t>Outils de recherche relatifs aux services spatiaux</w:t>
      </w:r>
      <w:bookmarkEnd w:id="138"/>
      <w:bookmarkEnd w:id="139"/>
      <w:bookmarkEnd w:id="140"/>
      <w:bookmarkEnd w:id="141"/>
    </w:p>
    <w:p w14:paraId="0DF4B566" w14:textId="1AA3A684" w:rsidR="00C76052" w:rsidRPr="00E15C2C" w:rsidRDefault="004F76FD" w:rsidP="00C76052">
      <w:r w:rsidRPr="00E15C2C">
        <w:t xml:space="preserve">Le Bureau a noté que les groupes de travail de l'UIT-R demandent de plus en plus au Bureau d'extraire des données des bases de données du BR (voir par exemple, dans les précédents rapports du Président du Groupe de travail 4A de l'UIT-R, l'Annexe 42 du Document </w:t>
      </w:r>
      <w:hyperlink r:id="rId96" w:history="1">
        <w:r w:rsidRPr="00E15C2C">
          <w:rPr>
            <w:rStyle w:val="Hyperlink"/>
          </w:rPr>
          <w:t>4A/343</w:t>
        </w:r>
      </w:hyperlink>
      <w:r w:rsidRPr="00E15C2C">
        <w:t xml:space="preserve"> ou l'Annexe 61 du Document </w:t>
      </w:r>
      <w:hyperlink r:id="rId97" w:history="1">
        <w:r w:rsidRPr="00E15C2C">
          <w:rPr>
            <w:rStyle w:val="Hyperlink"/>
          </w:rPr>
          <w:t>4A/830</w:t>
        </w:r>
      </w:hyperlink>
      <w:r w:rsidRPr="00E15C2C">
        <w:t xml:space="preserve">) alors que des outils comme BRSIS-Query ou Space Explorer sont </w:t>
      </w:r>
      <w:r w:rsidR="00C76052" w:rsidRPr="00E15C2C">
        <w:br w:type="page"/>
      </w:r>
    </w:p>
    <w:p w14:paraId="74721F69" w14:textId="319A77DA" w:rsidR="004F76FD" w:rsidRPr="00E15C2C" w:rsidRDefault="004F76FD" w:rsidP="004F76FD">
      <w:r w:rsidRPr="00E15C2C">
        <w:lastRenderedPageBreak/>
        <w:t>disponibles à cette fin. Compte tenu des ressources dont a besoin le Bureau pour mettre au point ces outils et des contraintes budgétaires actuelles, les administrations sont invitées à indiquer au Bureau s'il est nécessaire de poursuivre le développement de ces outils de recherche.</w:t>
      </w:r>
      <w:hyperlink r:id="rId98" w:history="1"/>
      <w:hyperlink r:id="rId99" w:history="1"/>
    </w:p>
    <w:p w14:paraId="592BF78E" w14:textId="77777777" w:rsidR="004F76FD" w:rsidRPr="00E15C2C" w:rsidRDefault="004F76FD" w:rsidP="004F76FD">
      <w:pPr>
        <w:pStyle w:val="Heading3"/>
      </w:pPr>
      <w:bookmarkStart w:id="142" w:name="_Toc222308698"/>
      <w:bookmarkStart w:id="143" w:name="_Toc223425109"/>
      <w:bookmarkStart w:id="144" w:name="_Toc223425215"/>
      <w:bookmarkStart w:id="145" w:name="_Toc223427628"/>
      <w:r w:rsidRPr="00E15C2C">
        <w:rPr>
          <w:bCs/>
        </w:rPr>
        <w:t>7.2.6</w:t>
      </w:r>
      <w:r w:rsidRPr="00E15C2C">
        <w:tab/>
      </w:r>
      <w:r w:rsidRPr="00E15C2C">
        <w:rPr>
          <w:bCs/>
        </w:rPr>
        <w:t>Mise en œuvre de la Résolution 55 (Rév.CMR-23): soumission électronique des fiches de notification pour les réseaux à satellite, les stations terriennes et les stations de radioastronomie, ainsi que des rapports sur des brouillages préjudiciables ayant des incidences sur les services spatiaux, et communications correspondantes</w:t>
      </w:r>
      <w:bookmarkStart w:id="146" w:name="_Toc161652718"/>
      <w:bookmarkStart w:id="147" w:name="_Toc162257816"/>
      <w:bookmarkStart w:id="148" w:name="_Toc166147660"/>
      <w:bookmarkEnd w:id="142"/>
      <w:bookmarkEnd w:id="146"/>
      <w:bookmarkEnd w:id="147"/>
      <w:bookmarkEnd w:id="148"/>
      <w:bookmarkEnd w:id="143"/>
      <w:bookmarkEnd w:id="144"/>
      <w:bookmarkEnd w:id="145"/>
    </w:p>
    <w:p w14:paraId="06C4D888" w14:textId="1337D366" w:rsidR="004F76FD" w:rsidRPr="00E15C2C" w:rsidRDefault="004F76FD" w:rsidP="004F76FD">
      <w:pPr>
        <w:pStyle w:val="Heading4"/>
      </w:pPr>
      <w:r w:rsidRPr="00E15C2C">
        <w:rPr>
          <w:bCs/>
        </w:rPr>
        <w:t>7.2.6.1</w:t>
      </w:r>
      <w:r w:rsidRPr="00E15C2C">
        <w:tab/>
      </w:r>
      <w:r w:rsidRPr="00E15C2C">
        <w:rPr>
          <w:bCs/>
        </w:rPr>
        <w:t>Système de soumission par voie électronique</w:t>
      </w:r>
    </w:p>
    <w:p w14:paraId="48B399FF" w14:textId="32749A49" w:rsidR="004F76FD" w:rsidRPr="00E15C2C" w:rsidRDefault="004F76FD" w:rsidP="004F76FD">
      <w:pPr>
        <w:rPr>
          <w:rFonts w:eastAsia="Calibri"/>
        </w:rPr>
      </w:pPr>
      <w:r w:rsidRPr="00E15C2C">
        <w:t>En 2025, le système de soumission par voie électronique était accessible 24 heures sur 24 pour les administrations et les entités exploitantes souhaitant soumettre des fiches de notification de réseaux à satellite. Le nombre d'administrations enregistrées est passé de 156, au début de l'année 2025, à</w:t>
      </w:r>
      <w:r w:rsidR="000F7759" w:rsidRPr="00E15C2C">
        <w:t> </w:t>
      </w:r>
      <w:r w:rsidRPr="00E15C2C">
        <w:t>157, au moment de la rédaction du présent rapport.</w:t>
      </w:r>
    </w:p>
    <w:p w14:paraId="2D279525" w14:textId="4BB590C5" w:rsidR="004F76FD" w:rsidRPr="00E15C2C" w:rsidRDefault="004F76FD" w:rsidP="004F76FD">
      <w:r w:rsidRPr="00E15C2C">
        <w:t xml:space="preserve">Comme indiqué dans la Lettre circulaire </w:t>
      </w:r>
      <w:hyperlink r:id="rId100" w:history="1">
        <w:r w:rsidRPr="00E15C2C">
          <w:rPr>
            <w:rStyle w:val="Hyperlink"/>
          </w:rPr>
          <w:t>CR/511</w:t>
        </w:r>
      </w:hyperlink>
      <w:r w:rsidRPr="00E15C2C">
        <w:t>, il est officiellement possible, depuis le</w:t>
      </w:r>
      <w:r w:rsidR="00C76052" w:rsidRPr="00E15C2C">
        <w:t> </w:t>
      </w:r>
      <w:r w:rsidRPr="00E15C2C">
        <w:t>1er</w:t>
      </w:r>
      <w:r w:rsidR="00C76052" w:rsidRPr="00E15C2C">
        <w:t> </w:t>
      </w:r>
      <w:r w:rsidRPr="00E15C2C">
        <w:t>janvier</w:t>
      </w:r>
      <w:r w:rsidR="00C76052" w:rsidRPr="00E15C2C">
        <w:t> </w:t>
      </w:r>
      <w:r w:rsidRPr="00E15C2C">
        <w:t>2025, de soumettre des fiches de notification au format SNS V10 par le biais du système de soumission électronique. En outre, le Bureau a mis à jour le système en 2025 pour en améliorer la stabilité et la qualité de fonctionnement. De plus, le Bureau a mis à jour le système le</w:t>
      </w:r>
      <w:r w:rsidR="00C76052" w:rsidRPr="00E15C2C">
        <w:t> </w:t>
      </w:r>
      <w:r w:rsidRPr="00E15C2C">
        <w:t>8</w:t>
      </w:r>
      <w:r w:rsidR="00C76052" w:rsidRPr="00E15C2C">
        <w:t> </w:t>
      </w:r>
      <w:r w:rsidRPr="00E15C2C">
        <w:t xml:space="preserve">décembre 2025 pour permettre aux administrations de soumettre une explication volontaire lorsque, au stade de la notification, des modifications sont apportées aux caractéristiques techniques initialement publiées au titre du numéro </w:t>
      </w:r>
      <w:r w:rsidRPr="00E15C2C">
        <w:rPr>
          <w:b/>
          <w:bCs/>
        </w:rPr>
        <w:t xml:space="preserve">9.2B </w:t>
      </w:r>
      <w:r w:rsidRPr="00E15C2C">
        <w:t xml:space="preserve">(API/A), afin de faciliter la formulation d'observations par d'autres administrations au titre du numéro </w:t>
      </w:r>
      <w:r w:rsidRPr="00E15C2C">
        <w:rPr>
          <w:b/>
          <w:bCs/>
        </w:rPr>
        <w:t>11.28.1</w:t>
      </w:r>
      <w:r w:rsidRPr="00E15C2C">
        <w:t xml:space="preserve"> du RR.</w:t>
      </w:r>
      <w:hyperlink r:id="rId101" w:history="1"/>
    </w:p>
    <w:p w14:paraId="6291672F" w14:textId="77777777" w:rsidR="004F76FD" w:rsidRPr="00E15C2C" w:rsidRDefault="004F76FD" w:rsidP="004F76FD">
      <w:pPr>
        <w:rPr>
          <w:rFonts w:eastAsia="Calibri"/>
        </w:rPr>
      </w:pPr>
      <w:r w:rsidRPr="00E15C2C">
        <w:t>Afin de faciliter les activités de développement et de tests du système de soumission électronique, l'Administration du Japon a apporté une contribution financière et a aussi mis à disposition au siège de l'UIT un expert technique et en réglementation dans le domaine des réseaux à satellite. Le BR remercie à nouveau l'Administration du Japon de son appui constant et d'avoir bien voulu fournir une assistance concrète aux fins de l'élaboration de ce projet.</w:t>
      </w:r>
    </w:p>
    <w:p w14:paraId="7F305F7F" w14:textId="31FA2920" w:rsidR="004F76FD" w:rsidRPr="00E15C2C" w:rsidRDefault="004F76FD" w:rsidP="004F76FD">
      <w:pPr>
        <w:pStyle w:val="Heading4"/>
      </w:pPr>
      <w:r w:rsidRPr="00E15C2C">
        <w:rPr>
          <w:bCs/>
        </w:rPr>
        <w:t>7.2.6.2</w:t>
      </w:r>
      <w:r w:rsidRPr="00E15C2C">
        <w:tab/>
      </w:r>
      <w:r w:rsidRPr="00E15C2C">
        <w:rPr>
          <w:bCs/>
        </w:rPr>
        <w:t>Système de communications électroniques</w:t>
      </w:r>
    </w:p>
    <w:p w14:paraId="7DCC7AC7" w14:textId="77777777" w:rsidR="004F76FD" w:rsidRPr="00E15C2C" w:rsidRDefault="004F76FD" w:rsidP="004F76FD">
      <w:pPr>
        <w:rPr>
          <w:rFonts w:eastAsia="Calibri"/>
        </w:rPr>
      </w:pPr>
      <w:r w:rsidRPr="00E15C2C">
        <w:t>En 2025, le système de communications électroniques était pleinement accessible 24 heures sur 24 pour les administrations. Le nombre d'administrations enregistrées est passé de 163, au début de l'année 2025, à 164. Au moment de la rédaction du présent rapport, 138 d'entre elles ont envoyé des correspondances par le biais de ce système.</w:t>
      </w:r>
    </w:p>
    <w:p w14:paraId="288F1703" w14:textId="115EE3CE" w:rsidR="004F76FD" w:rsidRPr="00E15C2C" w:rsidRDefault="004F76FD" w:rsidP="004F76FD">
      <w:pPr>
        <w:rPr>
          <w:rFonts w:eastAsia="Calibri"/>
        </w:rPr>
      </w:pPr>
      <w:r w:rsidRPr="00E15C2C">
        <w:t>Le Bureau a mis à jour le système en 2025 pour en améliorer la stabilité et la qualité de fonctionnement. De plus, de nouvelles évolutions sont en cours afin de mettre d'autres fonctions à</w:t>
      </w:r>
      <w:r w:rsidR="00C76052" w:rsidRPr="00E15C2C">
        <w:t xml:space="preserve"> </w:t>
      </w:r>
      <w:r w:rsidRPr="00E15C2C">
        <w:t>disposition, notamment pour permettre les exploitations d'utiliser le système de communications électroniques. Les utilisateurs issus des exploitations ne seront autorisés à communiquer qu'avec leur administration notificatrice, comme cela a été demandé par les administrations lors des réunions précédentes du GCR. Cette fonctionnalité devrait être mise en place dans le courant du deuxième trimestre de l'année 2026.</w:t>
      </w:r>
    </w:p>
    <w:p w14:paraId="1472852A" w14:textId="6444BCE2" w:rsidR="004F76FD" w:rsidRPr="00E15C2C" w:rsidRDefault="004F76FD" w:rsidP="004F76FD">
      <w:pPr>
        <w:pStyle w:val="Heading4"/>
      </w:pPr>
      <w:r w:rsidRPr="00E15C2C">
        <w:rPr>
          <w:bCs/>
        </w:rPr>
        <w:t>7.2.6.3</w:t>
      </w:r>
      <w:r w:rsidRPr="00E15C2C">
        <w:tab/>
      </w:r>
      <w:r w:rsidRPr="00E15C2C">
        <w:rPr>
          <w:bCs/>
        </w:rPr>
        <w:t>Système de notification et de règlement des cas de brouillages causés par les systèmes à satellites</w:t>
      </w:r>
    </w:p>
    <w:p w14:paraId="086B6325" w14:textId="77777777" w:rsidR="004F76FD" w:rsidRPr="00E15C2C" w:rsidRDefault="004F76FD" w:rsidP="004F76FD">
      <w:pPr>
        <w:rPr>
          <w:rFonts w:eastAsia="Calibri"/>
        </w:rPr>
      </w:pPr>
      <w:r w:rsidRPr="00E15C2C">
        <w:t>Compte tenu du nombre croissant de cas de brouillage et d'usurpation visant les récepteurs du service de radionavigation par satellite situés à bord d'aéronefs et de navires, l'UIT a renforcé sa coopération avec l'Organisation de l'aviation civile internationale (OACI) et l'Organisation maritime internationale (OMI), comme en témoigne une déclaration commune cosignée par les Secrétaires généraux des trois organisations en mars 2025, qui porte notamment sur le renforcement du signalement des cas de brouillages préjudiciables afin de surveiller et d'évaluer la situation réelle.</w:t>
      </w:r>
    </w:p>
    <w:p w14:paraId="1AC72F7A" w14:textId="77777777" w:rsidR="004F76FD" w:rsidRPr="00E15C2C" w:rsidRDefault="004F76FD" w:rsidP="004F76FD">
      <w:pPr>
        <w:rPr>
          <w:rFonts w:eastAsia="Calibri"/>
        </w:rPr>
      </w:pPr>
      <w:r w:rsidRPr="00E15C2C">
        <w:lastRenderedPageBreak/>
        <w:t>À cet égard, et en réponse à une demande de l'OACI, le Bureau a amélioré l'interface de gestion des utilisateurs du système de notification et de règlement des cas de brouillages causés par les systèmes à satellites (SIRRS) de sorte qu'elle puisse également prendre en charge les utilisateurs des Nations Unies et de l'OACI.</w:t>
      </w:r>
    </w:p>
    <w:p w14:paraId="6675152A" w14:textId="77777777" w:rsidR="004F76FD" w:rsidRPr="00E15C2C" w:rsidRDefault="004F76FD" w:rsidP="004F76FD">
      <w:pPr>
        <w:rPr>
          <w:rFonts w:eastAsia="Calibri"/>
        </w:rPr>
      </w:pPr>
      <w:r w:rsidRPr="00E15C2C">
        <w:t>En février 2026, une formation virtuelle a été dispensée au personnel du siège et des bureaux régionaux de l'OACI pour leur permettre de procéder à l'établissement de rapports.</w:t>
      </w:r>
    </w:p>
    <w:p w14:paraId="34B9CECA" w14:textId="46346CF5" w:rsidR="004F76FD" w:rsidRPr="00E15C2C" w:rsidRDefault="004F76FD" w:rsidP="004F76FD">
      <w:pPr>
        <w:pStyle w:val="Heading4"/>
      </w:pPr>
      <w:bookmarkStart w:id="149" w:name="_Ref222156293"/>
      <w:r w:rsidRPr="00E15C2C">
        <w:rPr>
          <w:bCs/>
        </w:rPr>
        <w:t>7.2.6.4</w:t>
      </w:r>
      <w:r w:rsidRPr="00E15C2C">
        <w:tab/>
      </w:r>
      <w:r w:rsidRPr="00E15C2C">
        <w:rPr>
          <w:bCs/>
        </w:rPr>
        <w:t>Système de formulation d'observations en ligne</w:t>
      </w:r>
      <w:bookmarkEnd w:id="149"/>
    </w:p>
    <w:p w14:paraId="573EEFC0" w14:textId="42002A88" w:rsidR="004F76FD" w:rsidRPr="00E15C2C" w:rsidRDefault="004F76FD" w:rsidP="004F76FD">
      <w:r w:rsidRPr="00E15C2C">
        <w:t>En 2025, le Bureau a commencé à élaborer un système de formulation d'observations en ligne, appelé «e-Comment», qui est une application web conçue pour remplacer l'ancienne application de bureau SpaceCom et pour transformer l'ensemble du processus de formulation d'observations réglementaires de sorte qu'il fonctionne en ligne et au format numérique. Il vise essentiellement à</w:t>
      </w:r>
      <w:r w:rsidR="00900A3C" w:rsidRPr="00E15C2C">
        <w:t> </w:t>
      </w:r>
      <w:r w:rsidRPr="00E15C2C">
        <w:t>permettre aux administrations de saisir efficacement leurs observations en ligne et de les soumettre au Bureau de façon harmonieuse, et de permettre aux administrations de consulter et de vérifier les observations envoyées et reçues en ligne.</w:t>
      </w:r>
    </w:p>
    <w:p w14:paraId="248086D2" w14:textId="77777777" w:rsidR="004F76FD" w:rsidRPr="00E15C2C" w:rsidRDefault="004F76FD" w:rsidP="004F76FD">
      <w:pPr>
        <w:pStyle w:val="Heading2"/>
        <w:rPr>
          <w:sz w:val="28"/>
          <w:szCs w:val="28"/>
        </w:rPr>
      </w:pPr>
      <w:bookmarkStart w:id="150" w:name="_Toc222308699"/>
      <w:bookmarkStart w:id="151" w:name="_Toc223425110"/>
      <w:bookmarkStart w:id="152" w:name="_Toc223425216"/>
      <w:bookmarkStart w:id="153" w:name="_Toc223427629"/>
      <w:r w:rsidRPr="00E15C2C">
        <w:rPr>
          <w:bCs/>
        </w:rPr>
        <w:t>7.3</w:t>
      </w:r>
      <w:r w:rsidRPr="00E15C2C">
        <w:tab/>
      </w:r>
      <w:r w:rsidRPr="00E15C2C">
        <w:rPr>
          <w:bCs/>
        </w:rPr>
        <w:t>Autres outils et logiciels du BR</w:t>
      </w:r>
      <w:bookmarkEnd w:id="150"/>
      <w:bookmarkEnd w:id="151"/>
      <w:bookmarkEnd w:id="152"/>
      <w:bookmarkEnd w:id="153"/>
    </w:p>
    <w:p w14:paraId="71C0F99B" w14:textId="77777777" w:rsidR="004F76FD" w:rsidRPr="00E15C2C" w:rsidRDefault="004F76FD" w:rsidP="004F76FD">
      <w:pPr>
        <w:pStyle w:val="Heading3"/>
      </w:pPr>
      <w:bookmarkStart w:id="154" w:name="_Toc222308700"/>
      <w:bookmarkStart w:id="155" w:name="_Toc223425111"/>
      <w:bookmarkStart w:id="156" w:name="_Toc223425217"/>
      <w:bookmarkStart w:id="157" w:name="_Toc223427630"/>
      <w:r w:rsidRPr="00E15C2C">
        <w:rPr>
          <w:bCs/>
        </w:rPr>
        <w:t>7.3.1</w:t>
      </w:r>
      <w:r w:rsidRPr="00E15C2C">
        <w:tab/>
      </w:r>
      <w:r w:rsidRPr="00E15C2C">
        <w:rPr>
          <w:bCs/>
        </w:rPr>
        <w:t>Outils concernant le Règlement des radiocommunications</w:t>
      </w:r>
      <w:bookmarkEnd w:id="154"/>
      <w:bookmarkEnd w:id="155"/>
      <w:bookmarkEnd w:id="156"/>
      <w:bookmarkEnd w:id="157"/>
    </w:p>
    <w:p w14:paraId="1334AEEA" w14:textId="77777777" w:rsidR="004F76FD" w:rsidRPr="00E15C2C" w:rsidRDefault="004F76FD" w:rsidP="004F76FD">
      <w:r w:rsidRPr="00E15C2C">
        <w:t>Le Bureau continue d'actualiser et de tenir à jour les outils logiciels pour faciliter l'utilisation et l'analyse du Règlement des radiocommunications (RR):</w:t>
      </w:r>
    </w:p>
    <w:p w14:paraId="6727075F" w14:textId="77777777" w:rsidR="004F76FD" w:rsidRPr="00E15C2C" w:rsidRDefault="004F76FD" w:rsidP="002B3624">
      <w:pPr>
        <w:pStyle w:val="enumlev1"/>
      </w:pPr>
      <w:r w:rsidRPr="00E15C2C">
        <w:t>a)</w:t>
      </w:r>
      <w:r w:rsidRPr="00E15C2C">
        <w:tab/>
        <w:t>L'</w:t>
      </w:r>
      <w:r w:rsidRPr="00E15C2C">
        <w:rPr>
          <w:b/>
          <w:bCs/>
          <w:i/>
          <w:iCs/>
        </w:rPr>
        <w:t>outil de navigation du Règlement des radiocommunications</w:t>
      </w:r>
      <w:r w:rsidRPr="00E15C2C">
        <w:t xml:space="preserve"> a été de sorte à inclure la version de 2024 du Règlement des radiocommunications et d'autres textes pertinents (Règles de procédure, textes fondamentaux de l'Union). Le logiciel mis à jour (gratuit pour tous les utilisateurs) a été publié en août 2025.</w:t>
      </w:r>
    </w:p>
    <w:p w14:paraId="5F52A279" w14:textId="150778DF" w:rsidR="004F76FD" w:rsidRPr="00E15C2C" w:rsidRDefault="004F76FD" w:rsidP="002B3624">
      <w:pPr>
        <w:pStyle w:val="enumlev1"/>
      </w:pPr>
      <w:r w:rsidRPr="00E15C2C">
        <w:t>b)</w:t>
      </w:r>
      <w:r w:rsidRPr="00E15C2C">
        <w:tab/>
        <w:t xml:space="preserve">L'outil logiciel relatif au </w:t>
      </w:r>
      <w:r w:rsidRPr="00E15C2C">
        <w:rPr>
          <w:b/>
          <w:bCs/>
          <w:i/>
          <w:iCs/>
        </w:rPr>
        <w:t>Tableau d'attribution des bandes de fréquences de l'Article 5 du</w:t>
      </w:r>
      <w:r w:rsidR="00C76052" w:rsidRPr="00E15C2C">
        <w:rPr>
          <w:b/>
          <w:bCs/>
          <w:i/>
          <w:iCs/>
        </w:rPr>
        <w:t> </w:t>
      </w:r>
      <w:r w:rsidRPr="00E15C2C">
        <w:rPr>
          <w:b/>
          <w:bCs/>
          <w:i/>
          <w:iCs/>
        </w:rPr>
        <w:t>RR</w:t>
      </w:r>
      <w:r w:rsidRPr="00E15C2C">
        <w:t xml:space="preserve"> permet d'effectuer des recherches et une analyse détaillées dans le Tableau d'attribution des bandes de fréquences de l'Article 5 du Règlement des radiocommunications, avec filtrage et reformatage en fonction de la gamme de fréquences, du service, de la catégorie de service, du renvoi, du pays, etc.</w:t>
      </w:r>
    </w:p>
    <w:p w14:paraId="002FE96E" w14:textId="77777777" w:rsidR="004F76FD" w:rsidRPr="00E15C2C" w:rsidRDefault="004F76FD" w:rsidP="004F76FD">
      <w:r w:rsidRPr="00E15C2C">
        <w:t>Cet outil a été mis à jour compte tenu des résultats de la CMR-23 et de l'édition de 2024 du RR, afin d'apporter les changements concernant les attributions de fréquences, les renvois relatifs à des pays et les références connexes aux Résolutions et aux Recommandations concernées. Il inclut également des liens renvoyant vers les Recommandations UIT-R pertinentes dont il est fait mention dans l'Article 5 du RR, ainsi que vers la version la plus récente des Règles de procédure qui s'appliquent.</w:t>
      </w:r>
    </w:p>
    <w:p w14:paraId="491AE2E6" w14:textId="77777777" w:rsidR="004F76FD" w:rsidRPr="00E15C2C" w:rsidRDefault="004F76FD" w:rsidP="004F76FD">
      <w:r w:rsidRPr="00E15C2C">
        <w:t>De plus, il est équipé d'un utilitaire permettant d'extraire le Tableau national d'attribution des bandes de fréquences pour un pays donné, dans la mesure où ce tableau résulte d'une combinaison des diverses dispositions de l'Article 5 du RR. Des modules supplémentaires ont été ajoutés pour permettre l'accès aux dispositions pertinentes d'autres Articles du RR, lorsqu'elles sont directement liées aux renvois du Tableau d'attribution des bandes de fréquences de l'Article 5 du RR. En 2025, l'outil a été présenté à l'occasion de plusieurs séminaires et ateliers régionaux des radiocommunications consacrés à la gestion du spectre (Djibouti, Tegucigalpa, Chengdu).</w:t>
      </w:r>
    </w:p>
    <w:p w14:paraId="277F6567" w14:textId="3394E646" w:rsidR="004F76FD" w:rsidRPr="00E15C2C" w:rsidRDefault="004F76FD" w:rsidP="004F76FD">
      <w:r w:rsidRPr="00E15C2C">
        <w:t>Toutes les mises à jour logicielles et de données seront proposées aux abonnés gratuitement et à</w:t>
      </w:r>
      <w:r w:rsidR="00C76052" w:rsidRPr="00E15C2C">
        <w:t xml:space="preserve"> </w:t>
      </w:r>
      <w:r w:rsidRPr="00E15C2C">
        <w:t>intervalles réguliers, jusqu'à la publication de la nouvelle version, compte tenu des décisions de la</w:t>
      </w:r>
      <w:r w:rsidR="00C76052" w:rsidRPr="00E15C2C">
        <w:t> </w:t>
      </w:r>
      <w:r w:rsidRPr="00E15C2C">
        <w:t>CMR-27.</w:t>
      </w:r>
    </w:p>
    <w:p w14:paraId="5D61EC18" w14:textId="77777777" w:rsidR="004F76FD" w:rsidRPr="00E15C2C" w:rsidRDefault="004F76FD" w:rsidP="004F76FD">
      <w:pPr>
        <w:pStyle w:val="Heading3"/>
      </w:pPr>
      <w:bookmarkStart w:id="158" w:name="_Toc222308701"/>
      <w:bookmarkStart w:id="159" w:name="_Toc223425112"/>
      <w:bookmarkStart w:id="160" w:name="_Toc223425218"/>
      <w:bookmarkStart w:id="161" w:name="_Toc223427631"/>
      <w:r w:rsidRPr="00E15C2C">
        <w:rPr>
          <w:bCs/>
        </w:rPr>
        <w:lastRenderedPageBreak/>
        <w:t>7.3.2</w:t>
      </w:r>
      <w:r w:rsidRPr="00E15C2C">
        <w:tab/>
      </w:r>
      <w:r w:rsidRPr="00E15C2C">
        <w:rPr>
          <w:bCs/>
        </w:rPr>
        <w:t>Systèmes d'information géographique du BR</w:t>
      </w:r>
      <w:bookmarkEnd w:id="158"/>
      <w:bookmarkEnd w:id="159"/>
      <w:bookmarkEnd w:id="160"/>
      <w:bookmarkEnd w:id="161"/>
    </w:p>
    <w:p w14:paraId="10AB4018" w14:textId="20EB9777" w:rsidR="004F76FD" w:rsidRPr="00E15C2C" w:rsidRDefault="004F76FD" w:rsidP="004F76FD">
      <w:r w:rsidRPr="00E15C2C">
        <w:t>Le Groupe d'action du BR sur les systèmes d'information géographique (GIS), composé de fonctionnaires issus de tous les départements du BR, a été mis sur pied afin d'harmoniser les activités relatives à ces systèmes au sein du BR.</w:t>
      </w:r>
    </w:p>
    <w:p w14:paraId="14C6975D" w14:textId="6F0792B2" w:rsidR="004F76FD" w:rsidRPr="00E15C2C" w:rsidRDefault="004F76FD" w:rsidP="004F76FD">
      <w:r w:rsidRPr="00E15C2C">
        <w:t xml:space="preserve">Le Groupe d'action a mis en œuvre la </w:t>
      </w:r>
      <w:hyperlink r:id="rId102" w:history="1">
        <w:r w:rsidRPr="00E15C2C">
          <w:rPr>
            <w:rStyle w:val="Hyperlink"/>
          </w:rPr>
          <w:t>plate-forme GIS du BR</w:t>
        </w:r>
      </w:hyperlink>
      <w:r w:rsidRPr="00E15C2C">
        <w:t xml:space="preserve"> en tant que plate-forme géospatiale en</w:t>
      </w:r>
      <w:r w:rsidR="00900A3C" w:rsidRPr="00E15C2C">
        <w:t> </w:t>
      </w:r>
      <w:r w:rsidRPr="00E15C2C">
        <w:t>conteneur à code source ouvert moderne qui gère des ensembles de données géospatiales (y</w:t>
      </w:r>
      <w:r w:rsidR="00900A3C" w:rsidRPr="00E15C2C">
        <w:t> </w:t>
      </w:r>
      <w:r w:rsidRPr="00E15C2C">
        <w:t>compris des ensembles de données IDWM et radiométéorologiques de la CE 3), qui est désormais prête à</w:t>
      </w:r>
      <w:r w:rsidR="00C76052" w:rsidRPr="00E15C2C">
        <w:t xml:space="preserve"> </w:t>
      </w:r>
      <w:r w:rsidRPr="00E15C2C">
        <w:t>être déployée en nuage.</w:t>
      </w:r>
      <w:hyperlink r:id="rId103" w:history="1"/>
    </w:p>
    <w:p w14:paraId="21A97892" w14:textId="77777777" w:rsidR="004F76FD" w:rsidRPr="00E15C2C" w:rsidRDefault="004F76FD" w:rsidP="004F76FD">
      <w:r w:rsidRPr="00E15C2C">
        <w:t>La bibliothèque de modèles de cartes, créée par le Groupe d'action, continue d'être intégrée dans plusieurs outils relatifs aux services de Terre, et peut être réutilisée pour garantir le même aspect et la même convivialité dans les applications web du BR.</w:t>
      </w:r>
    </w:p>
    <w:p w14:paraId="7D832BD6" w14:textId="3B82DFA0" w:rsidR="004F76FD" w:rsidRPr="00E15C2C" w:rsidRDefault="004F76FD" w:rsidP="004F76FD">
      <w:pPr>
        <w:pStyle w:val="Heading3"/>
      </w:pPr>
      <w:bookmarkStart w:id="162" w:name="_Toc222308702"/>
      <w:bookmarkStart w:id="163" w:name="_Toc223425113"/>
      <w:bookmarkStart w:id="164" w:name="_Toc223425219"/>
      <w:bookmarkStart w:id="165" w:name="_Toc223427632"/>
      <w:r w:rsidRPr="00E15C2C">
        <w:rPr>
          <w:bCs/>
        </w:rPr>
        <w:t>7.3.3</w:t>
      </w:r>
      <w:r w:rsidRPr="00E15C2C">
        <w:tab/>
      </w:r>
      <w:r w:rsidRPr="00E15C2C">
        <w:rPr>
          <w:bCs/>
        </w:rPr>
        <w:t>Activités du BR sur l'intelligence artificielle géospatiale</w:t>
      </w:r>
      <w:bookmarkEnd w:id="162"/>
      <w:bookmarkEnd w:id="163"/>
      <w:bookmarkEnd w:id="164"/>
      <w:bookmarkEnd w:id="165"/>
    </w:p>
    <w:p w14:paraId="2C35B6CA" w14:textId="77777777" w:rsidR="004F76FD" w:rsidRPr="00E15C2C" w:rsidRDefault="004F76FD" w:rsidP="004F76FD">
      <w:r w:rsidRPr="00E15C2C">
        <w:t>Le BR, en collaboration avec des partenaires comme l'Agence spatiale européenne (ESA) et l'Institut polytechnique de Milan, étudie comment tirer parti de l'IA géospatiale et des modèles fondamentaux géospatiaux pour élaborer un ensemble de données recueillies dans le monde entier, composé de modèles numériques de surface (DSM) et de modèles numériques de terrain (DTM), divisé en catégories de couverture de terrain utilisant uniquement des images satellites à code source ouvert. Ces ensembles de données recueillies dans le monde entier sont essentiels pour mettre en œuvre certaines méthodes de prévision de la propagation des ondes radioélectriques de l'UIT-R, utilisées pour faciliter l'identification de possibilités de partage du spectre et améliorer l'analyse des brouillages, l'estimation de la couverture et les efforts de coordination.</w:t>
      </w:r>
    </w:p>
    <w:p w14:paraId="23B23B93" w14:textId="77777777" w:rsidR="004F76FD" w:rsidRPr="00E15C2C" w:rsidRDefault="004F76FD" w:rsidP="002B3624">
      <w:pPr>
        <w:pStyle w:val="Heading2"/>
      </w:pPr>
      <w:bookmarkStart w:id="166" w:name="_Ref222157273"/>
      <w:bookmarkStart w:id="167" w:name="_Toc222308703"/>
      <w:bookmarkStart w:id="168" w:name="_Toc223425114"/>
      <w:bookmarkStart w:id="169" w:name="_Toc223425220"/>
      <w:bookmarkStart w:id="170" w:name="_Toc223427633"/>
      <w:r w:rsidRPr="00E15C2C">
        <w:rPr>
          <w:bCs/>
        </w:rPr>
        <w:t>7.4</w:t>
      </w:r>
      <w:r w:rsidRPr="00E15C2C">
        <w:tab/>
      </w:r>
      <w:r w:rsidRPr="00E15C2C">
        <w:rPr>
          <w:bCs/>
        </w:rPr>
        <w:t>Plan de continuité des activités et de rétablissement en cas de catastrophe</w:t>
      </w:r>
      <w:bookmarkEnd w:id="166"/>
      <w:bookmarkEnd w:id="167"/>
      <w:bookmarkEnd w:id="168"/>
      <w:bookmarkEnd w:id="169"/>
      <w:bookmarkEnd w:id="170"/>
    </w:p>
    <w:p w14:paraId="07A4483A" w14:textId="0C55002F" w:rsidR="004F76FD" w:rsidRPr="00E15C2C" w:rsidRDefault="004F76FD" w:rsidP="002B3624">
      <w:pPr>
        <w:keepLines/>
        <w:spacing w:line="259" w:lineRule="auto"/>
      </w:pPr>
      <w:r w:rsidRPr="00E15C2C">
        <w:t>Le registre des risques du BR est mentionné dans le Plan opérationnel du BR. Les travaux visant à</w:t>
      </w:r>
      <w:r w:rsidR="002B3624" w:rsidRPr="00E15C2C">
        <w:t> </w:t>
      </w:r>
      <w:r w:rsidRPr="00E15C2C">
        <w:t>renforcer davantage le cadre de gestion des risques de l'UIT se poursuivront en 2026 et des sessions seront organisées par le Coordonnateur du Système de gestion de la résilience de l'organisation (ORMS) de l'UIT et le Responsable de la gestion des risques liés aux activités de l'organisation de l'UIT.</w:t>
      </w:r>
    </w:p>
    <w:p w14:paraId="44739A08" w14:textId="7142D11E" w:rsidR="004F76FD" w:rsidRPr="00E15C2C" w:rsidRDefault="004F76FD" w:rsidP="002B3624">
      <w:pPr>
        <w:pStyle w:val="Heading2"/>
      </w:pPr>
      <w:bookmarkStart w:id="171" w:name="_Ref222157196"/>
      <w:bookmarkStart w:id="172" w:name="_Toc222308704"/>
      <w:bookmarkStart w:id="173" w:name="_Toc223425115"/>
      <w:bookmarkStart w:id="174" w:name="_Toc223425221"/>
      <w:bookmarkStart w:id="175" w:name="_Toc223427634"/>
      <w:r w:rsidRPr="00E15C2C">
        <w:rPr>
          <w:bCs/>
        </w:rPr>
        <w:t>7.5</w:t>
      </w:r>
      <w:r w:rsidRPr="00E15C2C">
        <w:tab/>
      </w:r>
      <w:r w:rsidRPr="00E15C2C">
        <w:rPr>
          <w:bCs/>
        </w:rPr>
        <w:t>Informatique en nuage</w:t>
      </w:r>
      <w:bookmarkEnd w:id="171"/>
      <w:bookmarkEnd w:id="172"/>
      <w:bookmarkEnd w:id="173"/>
      <w:bookmarkEnd w:id="174"/>
      <w:bookmarkEnd w:id="175"/>
    </w:p>
    <w:p w14:paraId="21E91141" w14:textId="6CFCCB57" w:rsidR="004F76FD" w:rsidRPr="00E15C2C" w:rsidRDefault="004F76FD" w:rsidP="007F4335">
      <w:r w:rsidRPr="00E15C2C">
        <w:t>Le Groupe d'action du BR sur la migration vers l'informatique en nuage a continué de travailler en</w:t>
      </w:r>
      <w:r w:rsidR="00900A3C" w:rsidRPr="00E15C2C">
        <w:t> </w:t>
      </w:r>
      <w:r w:rsidRPr="00E15C2C">
        <w:t>étroite collaboration avec d'autres chefs de division du BR et le Département des services informatiques, afin d'établir une feuille de route pour la migration vers l'informatique en nuage des applications du BR, conformément à la stratégie générale de l'UIT en la matière.</w:t>
      </w:r>
    </w:p>
    <w:p w14:paraId="0547B71E" w14:textId="77777777" w:rsidR="004F76FD" w:rsidRPr="00E15C2C" w:rsidRDefault="004F76FD" w:rsidP="007F4335">
      <w:pPr>
        <w:pStyle w:val="Heading1"/>
        <w:rPr>
          <w:i/>
          <w:iCs/>
        </w:rPr>
      </w:pPr>
      <w:bookmarkStart w:id="176" w:name="_Toc446060776"/>
      <w:bookmarkStart w:id="177" w:name="_Toc222308705"/>
      <w:bookmarkStart w:id="178" w:name="_Toc223425116"/>
      <w:bookmarkStart w:id="179" w:name="_Toc223425222"/>
      <w:bookmarkStart w:id="180" w:name="_Toc223427635"/>
      <w:r w:rsidRPr="00E15C2C">
        <w:t>8</w:t>
      </w:r>
      <w:r w:rsidRPr="00E15C2C">
        <w:tab/>
        <w:t>Activités de sensibilisation</w:t>
      </w:r>
      <w:bookmarkEnd w:id="176"/>
      <w:bookmarkEnd w:id="177"/>
      <w:bookmarkEnd w:id="178"/>
      <w:bookmarkEnd w:id="179"/>
      <w:bookmarkEnd w:id="180"/>
    </w:p>
    <w:p w14:paraId="4AD92B09" w14:textId="2E7679EC" w:rsidR="00C76052" w:rsidRPr="00E15C2C" w:rsidRDefault="004F76FD" w:rsidP="00C76052">
      <w:r w:rsidRPr="00E15C2C">
        <w:t xml:space="preserve">Au nombre des activités de sensibilisation figurent la diffusion d'informations et l'assistance aux membres, la publication des produits de l'UIT-R, l'organisation de séminaires et d'ateliers et la participation à ces manifestations ainsi que l'élaboration et la tenue à jour d'outils de communication et de promotion. L'objectif de ces activités est de faire en sorte que les produits résultant des activités menées par le Secteur de l'UIT-R (dispositions réglementaires, Recommandations, Rapports et Manuels) soient diffusés dans le monde entier afin de pouvoir servir de base à la formulation de politiques générales et à la prise de décisions aux niveaux national et régional concernant l'utilisation du spectre radioélectrique. Pour mener à bien ces activités, le BR assure une </w:t>
      </w:r>
      <w:r w:rsidR="00C76052" w:rsidRPr="00E15C2C">
        <w:br w:type="page"/>
      </w:r>
    </w:p>
    <w:p w14:paraId="2B48BED6" w14:textId="02672A94" w:rsidR="004F76FD" w:rsidRPr="00E15C2C" w:rsidRDefault="004F76FD" w:rsidP="007F4335">
      <w:r w:rsidRPr="00E15C2C">
        <w:lastRenderedPageBreak/>
        <w:t>collaboration étroite avec les autres Bureaux, le Secrétariat général, les bureaux régionaux et les bureaux de zone de l'UIT, ainsi que les organisations internationales ou les autorités nationales concernées.</w:t>
      </w:r>
    </w:p>
    <w:p w14:paraId="20CDCF6B" w14:textId="77777777" w:rsidR="004F76FD" w:rsidRPr="00E15C2C" w:rsidRDefault="004F76FD" w:rsidP="004F76FD">
      <w:pPr>
        <w:pStyle w:val="Heading2"/>
      </w:pPr>
      <w:bookmarkStart w:id="181" w:name="_Toc418163376"/>
      <w:bookmarkStart w:id="182" w:name="_Toc418232294"/>
      <w:bookmarkStart w:id="183" w:name="_Toc424047595"/>
      <w:bookmarkStart w:id="184" w:name="_Toc446060777"/>
      <w:bookmarkStart w:id="185" w:name="_Toc222308706"/>
      <w:bookmarkStart w:id="186" w:name="_Toc223425117"/>
      <w:bookmarkStart w:id="187" w:name="_Toc223425223"/>
      <w:bookmarkStart w:id="188" w:name="_Toc223427636"/>
      <w:r w:rsidRPr="00E15C2C">
        <w:rPr>
          <w:bCs/>
        </w:rPr>
        <w:t>8.1</w:t>
      </w:r>
      <w:r w:rsidRPr="00E15C2C">
        <w:tab/>
      </w:r>
      <w:r w:rsidRPr="00E15C2C">
        <w:rPr>
          <w:bCs/>
        </w:rPr>
        <w:t>Publications</w:t>
      </w:r>
      <w:bookmarkEnd w:id="181"/>
      <w:bookmarkEnd w:id="182"/>
      <w:bookmarkEnd w:id="183"/>
      <w:bookmarkEnd w:id="184"/>
      <w:bookmarkEnd w:id="185"/>
      <w:bookmarkEnd w:id="186"/>
      <w:bookmarkEnd w:id="187"/>
      <w:bookmarkEnd w:id="188"/>
    </w:p>
    <w:p w14:paraId="129AEDC7" w14:textId="77777777" w:rsidR="004F76FD" w:rsidRPr="00E15C2C" w:rsidRDefault="004F76FD" w:rsidP="004F76FD">
      <w:pPr>
        <w:pStyle w:val="Heading3"/>
      </w:pPr>
      <w:bookmarkStart w:id="189" w:name="_Toc424047596"/>
      <w:bookmarkStart w:id="190" w:name="_Toc446060778"/>
      <w:bookmarkStart w:id="191" w:name="_Toc222308707"/>
      <w:bookmarkStart w:id="192" w:name="_Toc223425118"/>
      <w:bookmarkStart w:id="193" w:name="_Toc223425224"/>
      <w:bookmarkStart w:id="194" w:name="_Toc223427637"/>
      <w:r w:rsidRPr="00E15C2C">
        <w:rPr>
          <w:bCs/>
        </w:rPr>
        <w:t>8.1.1</w:t>
      </w:r>
      <w:r w:rsidRPr="00E15C2C">
        <w:tab/>
      </w:r>
      <w:r w:rsidRPr="00E15C2C">
        <w:rPr>
          <w:bCs/>
        </w:rPr>
        <w:t>Publications réglementaires</w:t>
      </w:r>
      <w:bookmarkEnd w:id="189"/>
      <w:bookmarkEnd w:id="190"/>
      <w:bookmarkEnd w:id="191"/>
      <w:bookmarkEnd w:id="192"/>
      <w:bookmarkEnd w:id="193"/>
      <w:bookmarkEnd w:id="194"/>
    </w:p>
    <w:p w14:paraId="5CA09DB8" w14:textId="77777777" w:rsidR="004F76FD" w:rsidRPr="00E15C2C" w:rsidRDefault="004F76FD" w:rsidP="004F76FD">
      <w:r w:rsidRPr="00E15C2C">
        <w:t>Les publications réglementaires font partie intégrante des règlements administratifs, à savoir le Règlement des radiocommunications, qui contient les textes complets adoptés par la CMR, ainsi que les Actes finals et les Règles de procédure, qui servent de textes complémentaires au Règlement des radiocommunications.</w:t>
      </w:r>
    </w:p>
    <w:p w14:paraId="18CF7F0D" w14:textId="77777777" w:rsidR="004F76FD" w:rsidRPr="00E15C2C" w:rsidRDefault="004F76FD" w:rsidP="004F76FD">
      <w:r w:rsidRPr="00E15C2C">
        <w:t>Une sixième mise à jour de l'édition de 2021 des Règles de procédure a été publiée en juillet 2025.</w:t>
      </w:r>
    </w:p>
    <w:p w14:paraId="6B49DC14" w14:textId="77777777" w:rsidR="004F76FD" w:rsidRPr="00E15C2C" w:rsidRDefault="004F76FD" w:rsidP="004F76FD">
      <w:r w:rsidRPr="00E15C2C">
        <w:t>L'édition de 2025 des Règles de procédure a été publiée en décembre 2025.</w:t>
      </w:r>
    </w:p>
    <w:p w14:paraId="0B8CDA9D" w14:textId="77777777" w:rsidR="004F76FD" w:rsidRPr="00E15C2C" w:rsidRDefault="004F76FD" w:rsidP="004F76FD">
      <w:r w:rsidRPr="00E15C2C">
        <w:t xml:space="preserve">Le BR publie aussi, chaque année, onze horaires saisonniers de radiodiffusion en ondes décamétriques (HFBC), conformément à l'Article </w:t>
      </w:r>
      <w:r w:rsidRPr="00E15C2C">
        <w:rPr>
          <w:b/>
          <w:bCs/>
        </w:rPr>
        <w:t>12</w:t>
      </w:r>
      <w:r w:rsidRPr="00E15C2C">
        <w:t xml:space="preserve"> du RR.</w:t>
      </w:r>
    </w:p>
    <w:p w14:paraId="35AB6984" w14:textId="77777777" w:rsidR="004F76FD" w:rsidRPr="00E15C2C" w:rsidRDefault="004F76FD" w:rsidP="004F76FD">
      <w:pPr>
        <w:pStyle w:val="Heading3"/>
      </w:pPr>
      <w:bookmarkStart w:id="195" w:name="_Toc424047597"/>
      <w:bookmarkStart w:id="196" w:name="_Toc446060779"/>
      <w:bookmarkStart w:id="197" w:name="_Toc222308708"/>
      <w:bookmarkStart w:id="198" w:name="_Toc223425119"/>
      <w:bookmarkStart w:id="199" w:name="_Toc223425225"/>
      <w:bookmarkStart w:id="200" w:name="_Toc223427638"/>
      <w:r w:rsidRPr="00E15C2C">
        <w:rPr>
          <w:bCs/>
        </w:rPr>
        <w:t>8.1.2</w:t>
      </w:r>
      <w:r w:rsidRPr="00E15C2C">
        <w:tab/>
      </w:r>
      <w:r w:rsidRPr="00E15C2C">
        <w:rPr>
          <w:bCs/>
        </w:rPr>
        <w:t>Publications de service</w:t>
      </w:r>
      <w:bookmarkEnd w:id="195"/>
      <w:bookmarkEnd w:id="196"/>
      <w:bookmarkEnd w:id="197"/>
      <w:bookmarkEnd w:id="198"/>
      <w:bookmarkEnd w:id="199"/>
      <w:bookmarkEnd w:id="200"/>
    </w:p>
    <w:p w14:paraId="0BFBB470" w14:textId="77777777" w:rsidR="004F76FD" w:rsidRPr="00E15C2C" w:rsidRDefault="004F76FD" w:rsidP="004F76FD">
      <w:pPr>
        <w:pStyle w:val="Heading4"/>
      </w:pPr>
      <w:r w:rsidRPr="00E15C2C">
        <w:rPr>
          <w:bCs/>
        </w:rPr>
        <w:t>8.1.2.1</w:t>
      </w:r>
      <w:r w:rsidRPr="00E15C2C">
        <w:tab/>
      </w:r>
      <w:r w:rsidRPr="00E15C2C">
        <w:rPr>
          <w:bCs/>
        </w:rPr>
        <w:t>Rappel et observations générales</w:t>
      </w:r>
    </w:p>
    <w:p w14:paraId="5245EB1A" w14:textId="77777777" w:rsidR="004F76FD" w:rsidRPr="00E15C2C" w:rsidRDefault="004F76FD" w:rsidP="004F76FD">
      <w:r w:rsidRPr="00E15C2C">
        <w:t xml:space="preserve">Le Bureau élabore et publie diverses publications de service, comme indiqué dans l'Article </w:t>
      </w:r>
      <w:r w:rsidRPr="00E15C2C">
        <w:rPr>
          <w:b/>
          <w:bCs/>
        </w:rPr>
        <w:t xml:space="preserve">20 </w:t>
      </w:r>
      <w:r w:rsidRPr="00E15C2C">
        <w:t>du Règlement des radiocommunications:</w:t>
      </w:r>
    </w:p>
    <w:p w14:paraId="5F592A0C" w14:textId="6E3DA5E0" w:rsidR="004F76FD" w:rsidRPr="00E15C2C" w:rsidRDefault="007F4335" w:rsidP="002B3624">
      <w:pPr>
        <w:pStyle w:val="enumlev1"/>
      </w:pPr>
      <w:r w:rsidRPr="00E15C2C">
        <w:t>•</w:t>
      </w:r>
      <w:r w:rsidRPr="00E15C2C">
        <w:tab/>
      </w:r>
      <w:r w:rsidR="004F76FD" w:rsidRPr="00E15C2C">
        <w:t>BR IFIC – Circulaire internationale d'information sur les fréquences</w:t>
      </w:r>
    </w:p>
    <w:p w14:paraId="7AAEF3E2" w14:textId="63E86F82" w:rsidR="004F76FD" w:rsidRPr="00E15C2C" w:rsidRDefault="002B3624" w:rsidP="002B3624">
      <w:pPr>
        <w:pStyle w:val="enumlev1"/>
      </w:pPr>
      <w:r w:rsidRPr="00E15C2C">
        <w:t>•</w:t>
      </w:r>
      <w:r w:rsidRPr="00E15C2C">
        <w:tab/>
      </w:r>
      <w:r w:rsidR="004F76FD" w:rsidRPr="00E15C2C">
        <w:t>Liste IV – Nomenclature des stations côtières et des stations effectuant des services spéciaux</w:t>
      </w:r>
    </w:p>
    <w:p w14:paraId="24CF2A07" w14:textId="23DD8C4D" w:rsidR="004F76FD" w:rsidRPr="00E15C2C" w:rsidRDefault="002B3624" w:rsidP="002B3624">
      <w:pPr>
        <w:pStyle w:val="enumlev1"/>
      </w:pPr>
      <w:r w:rsidRPr="00E15C2C">
        <w:t>•</w:t>
      </w:r>
      <w:r w:rsidRPr="00E15C2C">
        <w:tab/>
      </w:r>
      <w:r w:rsidR="004F76FD" w:rsidRPr="00E15C2C">
        <w:t>Liste V – Nomenclature des stations de navire et des identités du service mobile maritime assignées</w:t>
      </w:r>
    </w:p>
    <w:p w14:paraId="3A8C0B03" w14:textId="055C2092" w:rsidR="004F76FD" w:rsidRPr="00E15C2C" w:rsidRDefault="002B3624" w:rsidP="002B3624">
      <w:pPr>
        <w:pStyle w:val="enumlev1"/>
      </w:pPr>
      <w:r w:rsidRPr="00E15C2C">
        <w:t>•</w:t>
      </w:r>
      <w:r w:rsidRPr="00E15C2C">
        <w:tab/>
      </w:r>
      <w:r w:rsidR="004F76FD" w:rsidRPr="00E15C2C">
        <w:t>Liste VIII – Nomenclature des stations de contrôle international des émissions</w:t>
      </w:r>
    </w:p>
    <w:p w14:paraId="298F3BF9" w14:textId="0649E219" w:rsidR="004F76FD" w:rsidRPr="00E15C2C" w:rsidRDefault="002B3624" w:rsidP="002B3624">
      <w:pPr>
        <w:pStyle w:val="enumlev1"/>
      </w:pPr>
      <w:r w:rsidRPr="00E15C2C">
        <w:t>•</w:t>
      </w:r>
      <w:r w:rsidRPr="00E15C2C">
        <w:tab/>
      </w:r>
      <w:r w:rsidR="004F76FD" w:rsidRPr="00E15C2C">
        <w:t>Manuel à l'usage des services mobile maritime et mobile maritime par satellite (Manuel</w:t>
      </w:r>
      <w:r w:rsidR="002D2BD0" w:rsidRPr="00E15C2C">
        <w:t> </w:t>
      </w:r>
      <w:r w:rsidR="004F76FD" w:rsidRPr="00E15C2C">
        <w:t>maritime)</w:t>
      </w:r>
    </w:p>
    <w:p w14:paraId="76FC76AD" w14:textId="77777777" w:rsidR="004F76FD" w:rsidRPr="00E15C2C" w:rsidRDefault="004F76FD" w:rsidP="004F76FD">
      <w:pPr>
        <w:pStyle w:val="Heading4"/>
      </w:pPr>
      <w:r w:rsidRPr="00E15C2C">
        <w:rPr>
          <w:bCs/>
        </w:rPr>
        <w:t>8.1.2.2</w:t>
      </w:r>
      <w:r w:rsidRPr="00E15C2C">
        <w:tab/>
      </w:r>
      <w:r w:rsidRPr="00E15C2C">
        <w:rPr>
          <w:bCs/>
        </w:rPr>
        <w:t>Nomenclature des stations côtières et des stations effectuant des services spéciaux (Liste IV)</w:t>
      </w:r>
    </w:p>
    <w:p w14:paraId="4E61C607" w14:textId="5B73988C" w:rsidR="004F76FD" w:rsidRPr="00E15C2C" w:rsidRDefault="004F76FD" w:rsidP="007F4335">
      <w:r w:rsidRPr="00E15C2C">
        <w:t>Cette Liste contient les informations communiquées à l'UIT (indicatif d'appel, MMSI, coordonnées géographiques, fréquences d'émission et de réception, etc.) concernant les stations côtières qui assurent une veille en utilisant les techniques d'appel sélectif numérique, le service de correspondance publique, les avis médicaux, les avertissements concernant la navigation et la météorologie, les avis aux navigateurs et les signaux horaires, etc.</w:t>
      </w:r>
    </w:p>
    <w:p w14:paraId="17F6EC10" w14:textId="7CB006ED" w:rsidR="004F76FD" w:rsidRPr="00E15C2C" w:rsidRDefault="004F76FD" w:rsidP="007F4335">
      <w:r w:rsidRPr="00E15C2C">
        <w:t>La Nomenclature des stations côtières et des stations effectuant des services spéciaux (Liste IV) est publiée tous les deux ans. La dernière édition de cette Liste a été publiée en novembre 2025.</w:t>
      </w:r>
    </w:p>
    <w:p w14:paraId="76CADC67" w14:textId="013A9E69" w:rsidR="004F76FD" w:rsidRPr="00E15C2C" w:rsidRDefault="004F76FD" w:rsidP="007F4335">
      <w:r w:rsidRPr="00E15C2C">
        <w:t>Les renseignements relatifs à cette Liste sont mis à disposition via le système d'information en ligne</w:t>
      </w:r>
      <w:r w:rsidR="003A4BFE" w:rsidRPr="00E15C2C">
        <w:t> </w:t>
      </w:r>
      <w:r w:rsidRPr="00E15C2C">
        <w:t>MARS (système d'accès et de consultation de la base de données du service mobile maritime) de l'UIT.</w:t>
      </w:r>
    </w:p>
    <w:p w14:paraId="5F765D44" w14:textId="77777777" w:rsidR="004F76FD" w:rsidRPr="00E15C2C" w:rsidRDefault="004F76FD" w:rsidP="003A4BFE">
      <w:pPr>
        <w:pStyle w:val="Heading4"/>
      </w:pPr>
      <w:r w:rsidRPr="00E15C2C">
        <w:lastRenderedPageBreak/>
        <w:t>8.1.2.3</w:t>
      </w:r>
      <w:r w:rsidRPr="00E15C2C">
        <w:tab/>
        <w:t>Nomenclature des stations de navire et des identités du service mobile maritime assignées (Liste V)</w:t>
      </w:r>
    </w:p>
    <w:p w14:paraId="5AE4F1A9" w14:textId="77777777" w:rsidR="004F76FD" w:rsidRPr="00E15C2C" w:rsidRDefault="004F76FD" w:rsidP="004F76FD">
      <w:r w:rsidRPr="00E15C2C">
        <w:t>Cette Liste contient les informations communiquées à l'UIT concernant les stations de navire, les stations côtières et les stations d'aéronef de recherche et de sauvetage (SAR), les codes d'identification de l'autorité comptable (CIAC) et les coordonnées des points de contact pour les administrations notificatrices.</w:t>
      </w:r>
    </w:p>
    <w:p w14:paraId="1C17D92E" w14:textId="02CDD2EA" w:rsidR="004F76FD" w:rsidRPr="00E15C2C" w:rsidRDefault="004F76FD" w:rsidP="004F76FD">
      <w:r w:rsidRPr="00E15C2C">
        <w:t>La Nomenclature des stations de navire et des identités du service mobile maritime assignées (Liste V) est publiée chaque année. La dernière édition de cette Liste a été publiée en avril 2025.</w:t>
      </w:r>
    </w:p>
    <w:p w14:paraId="59F38C0E" w14:textId="77777777" w:rsidR="004F76FD" w:rsidRPr="00E15C2C" w:rsidRDefault="004F76FD" w:rsidP="004F76FD">
      <w:r w:rsidRPr="00E15C2C">
        <w:t>Les renseignements relatifs à cette Liste sont également mis à disposition via le système d'information en ligne MARS. Une compilation de tous les changements communiqués à l'UIT est fournie tous les trois mois sur le web.</w:t>
      </w:r>
    </w:p>
    <w:p w14:paraId="6F50E6D3" w14:textId="77777777" w:rsidR="004F76FD" w:rsidRPr="00E15C2C" w:rsidRDefault="004F76FD" w:rsidP="004F76FD">
      <w:pPr>
        <w:pStyle w:val="Heading4"/>
      </w:pPr>
      <w:r w:rsidRPr="00E15C2C">
        <w:rPr>
          <w:bCs/>
        </w:rPr>
        <w:t>8.1.2.4</w:t>
      </w:r>
      <w:r w:rsidRPr="00E15C2C">
        <w:tab/>
      </w:r>
      <w:r w:rsidRPr="00E15C2C">
        <w:rPr>
          <w:bCs/>
        </w:rPr>
        <w:t>Nomenclature des stations de contrôle international des émissions (Liste VIII)</w:t>
      </w:r>
    </w:p>
    <w:p w14:paraId="0DB42285" w14:textId="2D21135B" w:rsidR="004F76FD" w:rsidRPr="00E15C2C" w:rsidRDefault="004F76FD" w:rsidP="004F76FD">
      <w:pPr>
        <w:rPr>
          <w:b/>
        </w:rPr>
      </w:pPr>
      <w:r w:rsidRPr="00E15C2C">
        <w:t>La Nomenclature des stations de contrôle international des émissions (Liste VIII) contient les adresses et d'autres informations pertinentes des bureaux centralisateurs, y compris des informations détaillées concernant les stations de contrôle mesurant les émissions des stations de Terre et des stations spatiales.</w:t>
      </w:r>
    </w:p>
    <w:p w14:paraId="529CF127" w14:textId="77777777" w:rsidR="004F76FD" w:rsidRPr="00E15C2C" w:rsidRDefault="004F76FD" w:rsidP="004F76FD">
      <w:r w:rsidRPr="00E15C2C">
        <w:t>La dernière édition de cette Liste a été publiée en novembre 2025.</w:t>
      </w:r>
    </w:p>
    <w:p w14:paraId="69DC3EC8" w14:textId="40DBCA28" w:rsidR="004F76FD" w:rsidRPr="00E15C2C" w:rsidRDefault="004F76FD" w:rsidP="004F76FD">
      <w:pPr>
        <w:pStyle w:val="Heading4"/>
      </w:pPr>
      <w:r w:rsidRPr="00E15C2C">
        <w:rPr>
          <w:bCs/>
        </w:rPr>
        <w:t>8.1.2.5</w:t>
      </w:r>
      <w:r w:rsidRPr="00E15C2C">
        <w:tab/>
        <w:t>Manuel à l'usage des services mobile maritime et mobile maritime par satellite (Manuel maritime)</w:t>
      </w:r>
    </w:p>
    <w:p w14:paraId="416161C9" w14:textId="77777777" w:rsidR="004F76FD" w:rsidRPr="00E15C2C" w:rsidRDefault="004F76FD" w:rsidP="004F76FD">
      <w:r w:rsidRPr="00E15C2C">
        <w:t>Le Manuel à l'usage des services mobile maritime et mobile maritime par satellite (Manuel maritime) est un document de référence qui décrit de manière complète les communications maritimes. L'édition de 2024 de ce Manuel, publiée en décembre 2024, tient compte des décisions récemment adoptées par la CMR-23 concernant des services susmentionnés ainsi que des renseignements les plus récents concernant les systèmes de radiocommunication maritimes courants et de leurs dernières évolutions.</w:t>
      </w:r>
    </w:p>
    <w:p w14:paraId="4FF141C6" w14:textId="23B16BE9" w:rsidR="004F76FD" w:rsidRPr="00E15C2C" w:rsidRDefault="004F76FD" w:rsidP="004F76FD">
      <w:r w:rsidRPr="00E15C2C">
        <w:t>Le premier volume décrit l'organisation et le fonctionnement du système mondial de détresse et de sécurité en mer (SMDSM) et d'autres procédures d'exploitation maritimes. Le deuxième volume contient une compilation des textes réglementaires, techniques et relatifs à l'exploitation de l'UIT se</w:t>
      </w:r>
      <w:r w:rsidR="003A4BFE" w:rsidRPr="00E15C2C">
        <w:t xml:space="preserve"> </w:t>
      </w:r>
      <w:r w:rsidRPr="00E15C2C">
        <w:t>rapportant aux services mobile maritime et mobile maritime par satellite.</w:t>
      </w:r>
    </w:p>
    <w:p w14:paraId="75751607" w14:textId="68857CE5" w:rsidR="004F76FD" w:rsidRPr="00E15C2C" w:rsidRDefault="004F76FD" w:rsidP="004F76FD">
      <w:pPr>
        <w:pStyle w:val="Heading4"/>
      </w:pPr>
      <w:r w:rsidRPr="00E15C2C">
        <w:rPr>
          <w:bCs/>
        </w:rPr>
        <w:t>8.1.2.6</w:t>
      </w:r>
      <w:r w:rsidRPr="00E15C2C">
        <w:tab/>
      </w:r>
      <w:r w:rsidRPr="00E15C2C">
        <w:rPr>
          <w:bCs/>
        </w:rPr>
        <w:t>Liste des publications de service diffusées</w:t>
      </w:r>
    </w:p>
    <w:p w14:paraId="27DB073A" w14:textId="77777777" w:rsidR="004F76FD" w:rsidRPr="00E15C2C" w:rsidRDefault="004F76FD" w:rsidP="004F76FD">
      <w:r w:rsidRPr="00E15C2C">
        <w:t>Les différentes publications diffusées pendant la période 2022-2025 sont récapitulées dans le Tableau 8.1.2.5-1 ci-dessous:</w:t>
      </w:r>
    </w:p>
    <w:p w14:paraId="59E50DFA" w14:textId="77777777" w:rsidR="002D2BD0" w:rsidRPr="00E15C2C" w:rsidRDefault="004F76FD" w:rsidP="007C6128">
      <w:pPr>
        <w:pStyle w:val="TableNoBR"/>
        <w:keepNext w:val="0"/>
      </w:pPr>
      <w:r w:rsidRPr="00E15C2C">
        <w:t>Tableau 8.1.2.5-1</w:t>
      </w:r>
    </w:p>
    <w:p w14:paraId="18B0F924" w14:textId="6D2FB2A3" w:rsidR="004F76FD" w:rsidRPr="00E15C2C" w:rsidRDefault="004F76FD" w:rsidP="007C6128">
      <w:pPr>
        <w:pStyle w:val="TabletitleBR"/>
        <w:keepNext w:val="0"/>
        <w:keepLines w:val="0"/>
      </w:pPr>
      <w:r w:rsidRPr="00E15C2C">
        <w:t>Liste des publications de service diffusées pendant la période 2022-2025</w:t>
      </w:r>
    </w:p>
    <w:tbl>
      <w:tblPr>
        <w:tblStyle w:val="GridTable5Dark-Accent1"/>
        <w:tblW w:w="9622" w:type="dxa"/>
        <w:jc w:val="center"/>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3860"/>
        <w:gridCol w:w="1522"/>
        <w:gridCol w:w="1436"/>
        <w:gridCol w:w="1399"/>
        <w:gridCol w:w="1405"/>
      </w:tblGrid>
      <w:tr w:rsidR="004F76FD" w:rsidRPr="00E15C2C" w14:paraId="65D840B0" w14:textId="77777777" w:rsidTr="007C6128">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3860" w:type="dxa"/>
            <w:tcBorders>
              <w:top w:val="none" w:sz="0" w:space="0" w:color="auto"/>
              <w:left w:val="none" w:sz="0" w:space="0" w:color="auto"/>
              <w:right w:val="none" w:sz="0" w:space="0" w:color="auto"/>
            </w:tcBorders>
          </w:tcPr>
          <w:p w14:paraId="58528EFA" w14:textId="0BD493FB" w:rsidR="004F76FD" w:rsidRPr="00E15C2C" w:rsidRDefault="004F76FD" w:rsidP="007C6128">
            <w:pPr>
              <w:pStyle w:val="Tablehead"/>
              <w:keepNext w:val="0"/>
              <w:rPr>
                <w:b/>
                <w:bCs w:val="0"/>
              </w:rPr>
            </w:pPr>
          </w:p>
        </w:tc>
        <w:tc>
          <w:tcPr>
            <w:tcW w:w="1522" w:type="dxa"/>
            <w:tcBorders>
              <w:top w:val="none" w:sz="0" w:space="0" w:color="auto"/>
              <w:left w:val="none" w:sz="0" w:space="0" w:color="auto"/>
              <w:right w:val="none" w:sz="0" w:space="0" w:color="auto"/>
            </w:tcBorders>
          </w:tcPr>
          <w:p w14:paraId="7243EFCC" w14:textId="77777777" w:rsidR="004F76FD" w:rsidRPr="00E15C2C" w:rsidRDefault="004F76FD" w:rsidP="007C6128">
            <w:pPr>
              <w:pStyle w:val="Tablehead"/>
              <w:keepNext w:val="0"/>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2022</w:t>
            </w:r>
          </w:p>
        </w:tc>
        <w:tc>
          <w:tcPr>
            <w:tcW w:w="1436" w:type="dxa"/>
            <w:tcBorders>
              <w:top w:val="none" w:sz="0" w:space="0" w:color="auto"/>
              <w:left w:val="none" w:sz="0" w:space="0" w:color="auto"/>
              <w:right w:val="none" w:sz="0" w:space="0" w:color="auto"/>
            </w:tcBorders>
          </w:tcPr>
          <w:p w14:paraId="3353634A" w14:textId="77777777" w:rsidR="004F76FD" w:rsidRPr="00E15C2C" w:rsidRDefault="004F76FD" w:rsidP="007C6128">
            <w:pPr>
              <w:pStyle w:val="Tablehead"/>
              <w:keepNext w:val="0"/>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2023</w:t>
            </w:r>
          </w:p>
        </w:tc>
        <w:tc>
          <w:tcPr>
            <w:tcW w:w="1399" w:type="dxa"/>
            <w:tcBorders>
              <w:top w:val="none" w:sz="0" w:space="0" w:color="auto"/>
              <w:left w:val="none" w:sz="0" w:space="0" w:color="auto"/>
              <w:right w:val="none" w:sz="0" w:space="0" w:color="auto"/>
            </w:tcBorders>
          </w:tcPr>
          <w:p w14:paraId="2114E33A" w14:textId="77777777" w:rsidR="004F76FD" w:rsidRPr="00E15C2C" w:rsidRDefault="004F76FD" w:rsidP="007C6128">
            <w:pPr>
              <w:pStyle w:val="Tablehead"/>
              <w:keepNext w:val="0"/>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2024</w:t>
            </w:r>
          </w:p>
        </w:tc>
        <w:tc>
          <w:tcPr>
            <w:tcW w:w="1405" w:type="dxa"/>
            <w:tcBorders>
              <w:top w:val="none" w:sz="0" w:space="0" w:color="auto"/>
              <w:left w:val="none" w:sz="0" w:space="0" w:color="auto"/>
              <w:right w:val="none" w:sz="0" w:space="0" w:color="auto"/>
            </w:tcBorders>
          </w:tcPr>
          <w:p w14:paraId="395DFDA4" w14:textId="77777777" w:rsidR="004F76FD" w:rsidRPr="00E15C2C" w:rsidRDefault="004F76FD" w:rsidP="007C6128">
            <w:pPr>
              <w:pStyle w:val="Tablehead"/>
              <w:keepNext w:val="0"/>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2025</w:t>
            </w:r>
          </w:p>
        </w:tc>
      </w:tr>
      <w:tr w:rsidR="004F76FD" w:rsidRPr="00E15C2C" w14:paraId="203FBBE8" w14:textId="77777777" w:rsidTr="00F051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60" w:type="dxa"/>
            <w:tcBorders>
              <w:left w:val="none" w:sz="0" w:space="0" w:color="auto"/>
            </w:tcBorders>
            <w:vAlign w:val="center"/>
          </w:tcPr>
          <w:p w14:paraId="34367E0C" w14:textId="73A49427" w:rsidR="004F76FD" w:rsidRPr="00E15C2C" w:rsidRDefault="004F76FD" w:rsidP="007C6128">
            <w:pPr>
              <w:pStyle w:val="Tabletext"/>
              <w:rPr>
                <w:szCs w:val="18"/>
              </w:rPr>
            </w:pPr>
            <w:r w:rsidRPr="00E15C2C">
              <w:t>BR IFIC (Circulaire</w:t>
            </w:r>
            <w:r w:rsidR="003A4BFE" w:rsidRPr="00E15C2C">
              <w:t xml:space="preserve"> </w:t>
            </w:r>
            <w:r w:rsidRPr="00E15C2C">
              <w:t>internationale d'information sur les fréquences)</w:t>
            </w:r>
          </w:p>
        </w:tc>
        <w:tc>
          <w:tcPr>
            <w:tcW w:w="1522" w:type="dxa"/>
            <w:vAlign w:val="center"/>
          </w:tcPr>
          <w:p w14:paraId="298E7198"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26</w:t>
            </w:r>
          </w:p>
        </w:tc>
        <w:tc>
          <w:tcPr>
            <w:tcW w:w="1436" w:type="dxa"/>
            <w:vAlign w:val="center"/>
          </w:tcPr>
          <w:p w14:paraId="58A8A8E3"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25</w:t>
            </w:r>
          </w:p>
        </w:tc>
        <w:tc>
          <w:tcPr>
            <w:tcW w:w="1399" w:type="dxa"/>
            <w:vAlign w:val="center"/>
          </w:tcPr>
          <w:p w14:paraId="5963F00B"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25</w:t>
            </w:r>
          </w:p>
        </w:tc>
        <w:tc>
          <w:tcPr>
            <w:tcW w:w="1405" w:type="dxa"/>
            <w:vAlign w:val="center"/>
          </w:tcPr>
          <w:p w14:paraId="69FCBF31"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25</w:t>
            </w:r>
          </w:p>
        </w:tc>
      </w:tr>
      <w:tr w:rsidR="004F76FD" w:rsidRPr="00E15C2C" w14:paraId="527B1D32" w14:textId="77777777" w:rsidTr="00F05197">
        <w:trPr>
          <w:trHeight w:val="300"/>
          <w:jc w:val="center"/>
        </w:trPr>
        <w:tc>
          <w:tcPr>
            <w:cnfStyle w:val="001000000000" w:firstRow="0" w:lastRow="0" w:firstColumn="1" w:lastColumn="0" w:oddVBand="0" w:evenVBand="0" w:oddHBand="0" w:evenHBand="0" w:firstRowFirstColumn="0" w:firstRowLastColumn="0" w:lastRowFirstColumn="0" w:lastRowLastColumn="0"/>
            <w:tcW w:w="3860" w:type="dxa"/>
            <w:tcBorders>
              <w:left w:val="none" w:sz="0" w:space="0" w:color="auto"/>
            </w:tcBorders>
            <w:vAlign w:val="center"/>
          </w:tcPr>
          <w:p w14:paraId="4818657C" w14:textId="77777777" w:rsidR="004F76FD" w:rsidRPr="00E15C2C" w:rsidRDefault="004F76FD" w:rsidP="007C6128">
            <w:pPr>
              <w:pStyle w:val="Tabletext"/>
              <w:rPr>
                <w:szCs w:val="18"/>
              </w:rPr>
            </w:pPr>
            <w:r w:rsidRPr="00E15C2C">
              <w:t>Liste IV (Nomenclature des stations côtières et des stations effectuant des services spéciaux)</w:t>
            </w:r>
          </w:p>
        </w:tc>
        <w:tc>
          <w:tcPr>
            <w:tcW w:w="1522" w:type="dxa"/>
            <w:vAlign w:val="center"/>
          </w:tcPr>
          <w:p w14:paraId="6AFA1458"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p>
        </w:tc>
        <w:tc>
          <w:tcPr>
            <w:tcW w:w="1436" w:type="dxa"/>
            <w:vAlign w:val="center"/>
          </w:tcPr>
          <w:p w14:paraId="16EB6D0E"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r w:rsidRPr="00E15C2C">
              <w:t>Édition de 2023 (décembre)</w:t>
            </w:r>
          </w:p>
        </w:tc>
        <w:tc>
          <w:tcPr>
            <w:tcW w:w="1399" w:type="dxa"/>
            <w:vAlign w:val="center"/>
          </w:tcPr>
          <w:p w14:paraId="60C379F1"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p>
        </w:tc>
        <w:tc>
          <w:tcPr>
            <w:tcW w:w="1405" w:type="dxa"/>
            <w:vAlign w:val="center"/>
          </w:tcPr>
          <w:p w14:paraId="4629F3CF"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r w:rsidRPr="00E15C2C">
              <w:t>Édition de 2025 (novembre)</w:t>
            </w:r>
          </w:p>
        </w:tc>
      </w:tr>
      <w:tr w:rsidR="004F76FD" w:rsidRPr="00E15C2C" w14:paraId="48662CDE" w14:textId="77777777" w:rsidTr="00F051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60" w:type="dxa"/>
            <w:tcBorders>
              <w:left w:val="none" w:sz="0" w:space="0" w:color="auto"/>
            </w:tcBorders>
            <w:vAlign w:val="center"/>
          </w:tcPr>
          <w:p w14:paraId="581BEE90" w14:textId="77777777" w:rsidR="004F76FD" w:rsidRPr="00E15C2C" w:rsidRDefault="004F76FD" w:rsidP="007C6128">
            <w:pPr>
              <w:pStyle w:val="Tabletext"/>
              <w:rPr>
                <w:szCs w:val="18"/>
              </w:rPr>
            </w:pPr>
            <w:r w:rsidRPr="00E15C2C">
              <w:lastRenderedPageBreak/>
              <w:t>Liste V (Nomenclature des stations de navire et des identités du service mobile maritime assignées)</w:t>
            </w:r>
          </w:p>
        </w:tc>
        <w:tc>
          <w:tcPr>
            <w:tcW w:w="1522" w:type="dxa"/>
            <w:vAlign w:val="center"/>
          </w:tcPr>
          <w:p w14:paraId="429BFDA1"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Édition de 2022 (avril)</w:t>
            </w:r>
          </w:p>
        </w:tc>
        <w:tc>
          <w:tcPr>
            <w:tcW w:w="1436" w:type="dxa"/>
            <w:vAlign w:val="center"/>
          </w:tcPr>
          <w:p w14:paraId="755DD1DE"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Édition de 2023 (avril)</w:t>
            </w:r>
          </w:p>
        </w:tc>
        <w:tc>
          <w:tcPr>
            <w:tcW w:w="1399" w:type="dxa"/>
            <w:vAlign w:val="center"/>
          </w:tcPr>
          <w:p w14:paraId="2B491D52"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Édition de 2024 (avril)</w:t>
            </w:r>
          </w:p>
        </w:tc>
        <w:tc>
          <w:tcPr>
            <w:tcW w:w="1405" w:type="dxa"/>
            <w:vAlign w:val="center"/>
          </w:tcPr>
          <w:p w14:paraId="2EF6AD61" w14:textId="77777777" w:rsidR="004F76FD" w:rsidRPr="00E15C2C" w:rsidRDefault="004F76FD" w:rsidP="007C6128">
            <w:pPr>
              <w:pStyle w:val="Tabletext"/>
              <w:jc w:val="center"/>
              <w:cnfStyle w:val="000000100000" w:firstRow="0" w:lastRow="0" w:firstColumn="0" w:lastColumn="0" w:oddVBand="0" w:evenVBand="0" w:oddHBand="1" w:evenHBand="0" w:firstRowFirstColumn="0" w:firstRowLastColumn="0" w:lastRowFirstColumn="0" w:lastRowLastColumn="0"/>
              <w:rPr>
                <w:rFonts w:ascii="Times New Roman Bold" w:eastAsia="Times New Roman Bold" w:hAnsi="Times New Roman Bold" w:cs="Times New Roman Bold"/>
                <w:color w:val="212121"/>
                <w:szCs w:val="18"/>
              </w:rPr>
            </w:pPr>
            <w:r w:rsidRPr="00E15C2C">
              <w:t>Édition de 2025 (avril)</w:t>
            </w:r>
          </w:p>
        </w:tc>
      </w:tr>
      <w:tr w:rsidR="004F76FD" w:rsidRPr="00E15C2C" w14:paraId="49D8109B" w14:textId="77777777" w:rsidTr="00F05197">
        <w:trPr>
          <w:trHeight w:val="300"/>
          <w:jc w:val="center"/>
        </w:trPr>
        <w:tc>
          <w:tcPr>
            <w:cnfStyle w:val="001000000000" w:firstRow="0" w:lastRow="0" w:firstColumn="1" w:lastColumn="0" w:oddVBand="0" w:evenVBand="0" w:oddHBand="0" w:evenHBand="0" w:firstRowFirstColumn="0" w:firstRowLastColumn="0" w:lastRowFirstColumn="0" w:lastRowLastColumn="0"/>
            <w:tcW w:w="3860" w:type="dxa"/>
            <w:tcBorders>
              <w:left w:val="none" w:sz="0" w:space="0" w:color="auto"/>
            </w:tcBorders>
            <w:vAlign w:val="center"/>
          </w:tcPr>
          <w:p w14:paraId="12D41732" w14:textId="77777777" w:rsidR="004F76FD" w:rsidRPr="00E15C2C" w:rsidRDefault="004F76FD" w:rsidP="007C6128">
            <w:pPr>
              <w:pStyle w:val="Tabletext"/>
              <w:rPr>
                <w:szCs w:val="18"/>
              </w:rPr>
            </w:pPr>
            <w:r w:rsidRPr="00E15C2C">
              <w:t>Liste VIII (Nomenclature des stations de contrôle international des émissions)</w:t>
            </w:r>
          </w:p>
        </w:tc>
        <w:tc>
          <w:tcPr>
            <w:tcW w:w="1522" w:type="dxa"/>
            <w:vAlign w:val="center"/>
          </w:tcPr>
          <w:p w14:paraId="6D8A84C5"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r w:rsidRPr="00E15C2C">
              <w:t>Édition de 2022 (décembre)</w:t>
            </w:r>
          </w:p>
        </w:tc>
        <w:tc>
          <w:tcPr>
            <w:tcW w:w="1436" w:type="dxa"/>
            <w:vAlign w:val="center"/>
          </w:tcPr>
          <w:p w14:paraId="76146ED4"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p>
        </w:tc>
        <w:tc>
          <w:tcPr>
            <w:tcW w:w="1399" w:type="dxa"/>
            <w:vAlign w:val="center"/>
          </w:tcPr>
          <w:p w14:paraId="08EC9F33"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p>
        </w:tc>
        <w:tc>
          <w:tcPr>
            <w:tcW w:w="1405" w:type="dxa"/>
            <w:vAlign w:val="center"/>
          </w:tcPr>
          <w:p w14:paraId="78A41575" w14:textId="77777777" w:rsidR="004F76FD" w:rsidRPr="00E15C2C" w:rsidRDefault="004F76FD" w:rsidP="007C6128">
            <w:pPr>
              <w:pStyle w:val="Tabletext"/>
              <w:jc w:val="center"/>
              <w:cnfStyle w:val="000000000000" w:firstRow="0" w:lastRow="0" w:firstColumn="0" w:lastColumn="0" w:oddVBand="0" w:evenVBand="0" w:oddHBand="0" w:evenHBand="0" w:firstRowFirstColumn="0" w:firstRowLastColumn="0" w:lastRowFirstColumn="0" w:lastRowLastColumn="0"/>
              <w:rPr>
                <w:szCs w:val="18"/>
              </w:rPr>
            </w:pPr>
            <w:r w:rsidRPr="00E15C2C">
              <w:t>Édition de 2025 (novembre)</w:t>
            </w:r>
          </w:p>
        </w:tc>
      </w:tr>
      <w:tr w:rsidR="004F76FD" w:rsidRPr="00E15C2C" w14:paraId="42C90073" w14:textId="77777777" w:rsidTr="00F0519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860" w:type="dxa"/>
            <w:tcBorders>
              <w:left w:val="none" w:sz="0" w:space="0" w:color="auto"/>
              <w:bottom w:val="none" w:sz="0" w:space="0" w:color="auto"/>
            </w:tcBorders>
            <w:vAlign w:val="center"/>
          </w:tcPr>
          <w:p w14:paraId="0101E1C1" w14:textId="77777777" w:rsidR="004F76FD" w:rsidRPr="00E15C2C" w:rsidRDefault="004F76FD" w:rsidP="002D2BD0">
            <w:pPr>
              <w:pStyle w:val="Tabletext"/>
              <w:rPr>
                <w:szCs w:val="18"/>
              </w:rPr>
            </w:pPr>
            <w:r w:rsidRPr="00E15C2C">
              <w:t>Manuel maritime</w:t>
            </w:r>
          </w:p>
        </w:tc>
        <w:tc>
          <w:tcPr>
            <w:tcW w:w="1522" w:type="dxa"/>
            <w:vAlign w:val="center"/>
          </w:tcPr>
          <w:p w14:paraId="403E5B9E" w14:textId="77777777" w:rsidR="004F76FD" w:rsidRPr="00E15C2C" w:rsidRDefault="004F76FD" w:rsidP="002D2BD0">
            <w:pPr>
              <w:pStyle w:val="Tabletext"/>
              <w:jc w:val="center"/>
              <w:cnfStyle w:val="000000100000" w:firstRow="0" w:lastRow="0" w:firstColumn="0" w:lastColumn="0" w:oddVBand="0" w:evenVBand="0" w:oddHBand="1" w:evenHBand="0" w:firstRowFirstColumn="0" w:firstRowLastColumn="0" w:lastRowFirstColumn="0" w:lastRowLastColumn="0"/>
              <w:rPr>
                <w:szCs w:val="18"/>
              </w:rPr>
            </w:pPr>
          </w:p>
        </w:tc>
        <w:tc>
          <w:tcPr>
            <w:tcW w:w="1436" w:type="dxa"/>
            <w:vAlign w:val="center"/>
          </w:tcPr>
          <w:p w14:paraId="334D8036" w14:textId="77777777" w:rsidR="004F76FD" w:rsidRPr="00E15C2C" w:rsidRDefault="004F76FD" w:rsidP="002D2BD0">
            <w:pPr>
              <w:pStyle w:val="Tabletext"/>
              <w:jc w:val="center"/>
              <w:cnfStyle w:val="000000100000" w:firstRow="0" w:lastRow="0" w:firstColumn="0" w:lastColumn="0" w:oddVBand="0" w:evenVBand="0" w:oddHBand="1" w:evenHBand="0" w:firstRowFirstColumn="0" w:firstRowLastColumn="0" w:lastRowFirstColumn="0" w:lastRowLastColumn="0"/>
              <w:rPr>
                <w:szCs w:val="18"/>
              </w:rPr>
            </w:pPr>
          </w:p>
        </w:tc>
        <w:tc>
          <w:tcPr>
            <w:tcW w:w="1399" w:type="dxa"/>
            <w:vAlign w:val="center"/>
          </w:tcPr>
          <w:p w14:paraId="3F3C6551" w14:textId="77777777" w:rsidR="004F76FD" w:rsidRPr="00E15C2C" w:rsidRDefault="004F76FD" w:rsidP="002D2BD0">
            <w:pPr>
              <w:pStyle w:val="Tabletext"/>
              <w:jc w:val="center"/>
              <w:cnfStyle w:val="000000100000" w:firstRow="0" w:lastRow="0" w:firstColumn="0" w:lastColumn="0" w:oddVBand="0" w:evenVBand="0" w:oddHBand="1" w:evenHBand="0" w:firstRowFirstColumn="0" w:firstRowLastColumn="0" w:lastRowFirstColumn="0" w:lastRowLastColumn="0"/>
              <w:rPr>
                <w:szCs w:val="18"/>
              </w:rPr>
            </w:pPr>
          </w:p>
        </w:tc>
        <w:tc>
          <w:tcPr>
            <w:tcW w:w="1405" w:type="dxa"/>
            <w:vAlign w:val="center"/>
          </w:tcPr>
          <w:p w14:paraId="0B07BC21" w14:textId="77777777" w:rsidR="004F76FD" w:rsidRPr="00E15C2C" w:rsidRDefault="004F76FD" w:rsidP="002D2BD0">
            <w:pPr>
              <w:pStyle w:val="Tabletext"/>
              <w:jc w:val="center"/>
              <w:cnfStyle w:val="000000100000" w:firstRow="0" w:lastRow="0" w:firstColumn="0" w:lastColumn="0" w:oddVBand="0" w:evenVBand="0" w:oddHBand="1" w:evenHBand="0" w:firstRowFirstColumn="0" w:firstRowLastColumn="0" w:lastRowFirstColumn="0" w:lastRowLastColumn="0"/>
              <w:rPr>
                <w:szCs w:val="18"/>
              </w:rPr>
            </w:pPr>
            <w:r w:rsidRPr="00E15C2C">
              <w:t>Édition de 2024 (décembre)</w:t>
            </w:r>
          </w:p>
        </w:tc>
      </w:tr>
    </w:tbl>
    <w:p w14:paraId="41AAB871" w14:textId="50ED1237" w:rsidR="004F76FD" w:rsidRPr="00E15C2C" w:rsidRDefault="004F76FD" w:rsidP="002D2BD0">
      <w:pPr>
        <w:pStyle w:val="Heading3"/>
      </w:pPr>
      <w:bookmarkStart w:id="201" w:name="_Toc222308709"/>
      <w:bookmarkStart w:id="202" w:name="_Toc223425120"/>
      <w:bookmarkStart w:id="203" w:name="_Toc223425226"/>
      <w:bookmarkStart w:id="204" w:name="_Toc418163378"/>
      <w:bookmarkStart w:id="205" w:name="_Toc418232296"/>
      <w:bookmarkStart w:id="206" w:name="_Toc424047598"/>
      <w:bookmarkStart w:id="207" w:name="_Toc446060780"/>
      <w:bookmarkStart w:id="208" w:name="_Toc223427639"/>
      <w:r w:rsidRPr="00E15C2C">
        <w:t>8.1.3</w:t>
      </w:r>
      <w:r w:rsidRPr="00E15C2C">
        <w:tab/>
        <w:t>Publications des commissions d'études</w:t>
      </w:r>
      <w:bookmarkEnd w:id="201"/>
      <w:bookmarkEnd w:id="202"/>
      <w:bookmarkEnd w:id="203"/>
      <w:bookmarkEnd w:id="208"/>
    </w:p>
    <w:p w14:paraId="4D72937A" w14:textId="10189ACD" w:rsidR="004F76FD" w:rsidRPr="00E15C2C" w:rsidRDefault="004F76FD" w:rsidP="004F76FD">
      <w:r w:rsidRPr="00E15C2C">
        <w:t>L'élaboration des publications des CE de l'UIT-R s'est poursuivie conformément à la Résolution</w:t>
      </w:r>
      <w:r w:rsidR="00F05197" w:rsidRPr="00E15C2C">
        <w:t> </w:t>
      </w:r>
      <w:r w:rsidRPr="00E15C2C">
        <w:t>UIT-R 1.</w:t>
      </w:r>
    </w:p>
    <w:p w14:paraId="3F9093A6" w14:textId="77777777" w:rsidR="004F76FD" w:rsidRPr="00E15C2C" w:rsidRDefault="004F76FD" w:rsidP="004F76FD">
      <w:r w:rsidRPr="00E15C2C">
        <w:t>La liste complète des Questions, des Recommandations et des Rapports de l'UIT-R approuvés est reproduite dans l'Addendum 1 au présent rapport.</w:t>
      </w:r>
    </w:p>
    <w:p w14:paraId="287D2976" w14:textId="77777777" w:rsidR="004F76FD" w:rsidRPr="00E15C2C" w:rsidRDefault="004F76FD" w:rsidP="004F76FD">
      <w:pPr>
        <w:pStyle w:val="Heading3"/>
      </w:pPr>
      <w:bookmarkStart w:id="209" w:name="_Toc424047599"/>
      <w:bookmarkStart w:id="210" w:name="_Toc446060781"/>
      <w:bookmarkStart w:id="211" w:name="_Toc222308710"/>
      <w:bookmarkStart w:id="212" w:name="_Toc223425121"/>
      <w:bookmarkStart w:id="213" w:name="_Toc223425227"/>
      <w:bookmarkStart w:id="214" w:name="_Toc223427640"/>
      <w:bookmarkEnd w:id="204"/>
      <w:bookmarkEnd w:id="205"/>
      <w:bookmarkEnd w:id="206"/>
      <w:bookmarkEnd w:id="207"/>
      <w:r w:rsidRPr="00E15C2C">
        <w:rPr>
          <w:bCs/>
        </w:rPr>
        <w:t>8.1.4</w:t>
      </w:r>
      <w:r w:rsidRPr="00E15C2C">
        <w:tab/>
      </w:r>
      <w:r w:rsidRPr="00E15C2C">
        <w:rPr>
          <w:bCs/>
        </w:rPr>
        <w:t>Téléchargement et livraison des publications de l'UIT-R</w:t>
      </w:r>
      <w:bookmarkEnd w:id="209"/>
      <w:bookmarkEnd w:id="210"/>
      <w:bookmarkEnd w:id="211"/>
      <w:bookmarkEnd w:id="212"/>
      <w:bookmarkEnd w:id="213"/>
      <w:bookmarkEnd w:id="214"/>
    </w:p>
    <w:p w14:paraId="64AC6BC2" w14:textId="02361AC9" w:rsidR="004F76FD" w:rsidRPr="00E15C2C" w:rsidRDefault="004F76FD" w:rsidP="004F76FD">
      <w:pPr>
        <w:pStyle w:val="Heading4"/>
      </w:pPr>
      <w:bookmarkStart w:id="215" w:name="_Toc424047600"/>
      <w:bookmarkStart w:id="216" w:name="_Toc446060782"/>
      <w:r w:rsidRPr="00E15C2C">
        <w:rPr>
          <w:bCs/>
        </w:rPr>
        <w:t>8.1.4.1</w:t>
      </w:r>
      <w:r w:rsidRPr="00E15C2C">
        <w:tab/>
      </w:r>
      <w:r w:rsidRPr="00E15C2C">
        <w:rPr>
          <w:bCs/>
        </w:rPr>
        <w:t>Règlement des radiocommunications et Règles de procédure</w:t>
      </w:r>
    </w:p>
    <w:p w14:paraId="45AECDCA" w14:textId="00333941" w:rsidR="004F76FD" w:rsidRPr="00E15C2C" w:rsidRDefault="004F76FD" w:rsidP="004F76FD">
      <w:r w:rsidRPr="00E15C2C">
        <w:t xml:space="preserve">En ce qui concerne ces documents réglementaires, on trouvera dans le Tableau 8.1.4.1-1 le nombre de livraisons des </w:t>
      </w:r>
      <w:hyperlink r:id="rId104" w:history="1">
        <w:r w:rsidRPr="00E15C2C">
          <w:rPr>
            <w:rStyle w:val="Hyperlink"/>
          </w:rPr>
          <w:t>éditions de 2020</w:t>
        </w:r>
      </w:hyperlink>
      <w:r w:rsidRPr="00E15C2C">
        <w:t xml:space="preserve"> et</w:t>
      </w:r>
      <w:r w:rsidR="007C6128" w:rsidRPr="00E15C2C">
        <w:t xml:space="preserve"> de</w:t>
      </w:r>
      <w:r w:rsidRPr="00E15C2C">
        <w:t xml:space="preserve"> </w:t>
      </w:r>
      <w:hyperlink r:id="rId105" w:history="1">
        <w:r w:rsidR="007C6128" w:rsidRPr="00E15C2C">
          <w:rPr>
            <w:rStyle w:val="Hyperlink"/>
          </w:rPr>
          <w:t>2024 du RR</w:t>
        </w:r>
      </w:hyperlink>
      <w:r w:rsidRPr="00E15C2C">
        <w:t>.</w:t>
      </w:r>
      <w:hyperlink r:id="rId106" w:history="1"/>
      <w:hyperlink r:id="rId107" w:history="1"/>
    </w:p>
    <w:p w14:paraId="2DA18F76" w14:textId="387D1C4F" w:rsidR="007C6128" w:rsidRPr="00E15C2C" w:rsidRDefault="004F76FD" w:rsidP="007C6128">
      <w:r w:rsidRPr="00E15C2C">
        <w:t>Suite à une demande formulée par le GCR, les versions pdf et Word du RR sont accessibles en</w:t>
      </w:r>
      <w:r w:rsidR="007C6128" w:rsidRPr="00E15C2C">
        <w:t xml:space="preserve"> </w:t>
      </w:r>
      <w:r w:rsidRPr="00E15C2C">
        <w:t>téléchargement gratuit sur le site web de l'UIT.</w:t>
      </w:r>
    </w:p>
    <w:p w14:paraId="15AFA2DE" w14:textId="77777777" w:rsidR="004F76FD" w:rsidRPr="00E15C2C" w:rsidRDefault="004F76FD" w:rsidP="005E2152">
      <w:pPr>
        <w:pStyle w:val="TableNoBR"/>
      </w:pPr>
      <w:r w:rsidRPr="00E15C2C">
        <w:t>Tableau 8.1.4.1-1</w:t>
      </w:r>
    </w:p>
    <w:p w14:paraId="0E07D2E0" w14:textId="77777777" w:rsidR="004F76FD" w:rsidRPr="00E15C2C" w:rsidRDefault="004F76FD" w:rsidP="005E2152">
      <w:pPr>
        <w:pStyle w:val="TabletitleBR"/>
      </w:pPr>
      <w:r w:rsidRPr="00E15C2C">
        <w:t>Nombre de livraisons du Règlement des radiocommunications</w:t>
      </w:r>
    </w:p>
    <w:tbl>
      <w:tblPr>
        <w:tblStyle w:val="GridTable5Dark-Accent11"/>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1768"/>
        <w:gridCol w:w="1688"/>
        <w:gridCol w:w="2351"/>
        <w:gridCol w:w="1685"/>
      </w:tblGrid>
      <w:tr w:rsidR="002D2BD0" w:rsidRPr="00E15C2C" w14:paraId="3B01E487" w14:textId="77777777" w:rsidTr="007C6128">
        <w:trPr>
          <w:cnfStyle w:val="100000000000" w:firstRow="1" w:lastRow="0" w:firstColumn="0" w:lastColumn="0" w:oddVBand="0" w:evenVBand="0" w:oddHBand="0" w:evenHBand="0" w:firstRowFirstColumn="0" w:firstRowLastColumn="0" w:lastRowFirstColumn="0" w:lastRowLastColumn="0"/>
          <w:trHeight w:val="620"/>
          <w:tblHeader/>
          <w:jc w:val="center"/>
        </w:trPr>
        <w:tc>
          <w:tcPr>
            <w:cnfStyle w:val="001000000000" w:firstRow="0" w:lastRow="0" w:firstColumn="1" w:lastColumn="0" w:oddVBand="0" w:evenVBand="0" w:oddHBand="0" w:evenHBand="0" w:firstRowFirstColumn="0" w:firstRowLastColumn="0" w:lastRowFirstColumn="0" w:lastRowLastColumn="0"/>
            <w:tcW w:w="2055" w:type="dxa"/>
            <w:hideMark/>
          </w:tcPr>
          <w:p w14:paraId="5D31A601" w14:textId="77777777" w:rsidR="004F76FD" w:rsidRPr="00E15C2C" w:rsidRDefault="004F76FD" w:rsidP="002D2BD0">
            <w:pPr>
              <w:pStyle w:val="Tablehead"/>
              <w:rPr>
                <w:b/>
                <w:bCs w:val="0"/>
                <w:color w:val="FFFFFF" w:themeColor="background1"/>
              </w:rPr>
            </w:pPr>
          </w:p>
        </w:tc>
        <w:tc>
          <w:tcPr>
            <w:tcW w:w="1768" w:type="dxa"/>
          </w:tcPr>
          <w:p w14:paraId="54BA4AE8" w14:textId="403BDF2B" w:rsidR="004F76FD" w:rsidRPr="00E15C2C" w:rsidRDefault="004F76FD" w:rsidP="002D2BD0">
            <w:pPr>
              <w:pStyle w:val="Tablehead"/>
              <w:jc w:val="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5C2C">
              <w:rPr>
                <w:b/>
                <w:bCs w:val="0"/>
                <w:color w:val="FFFFFF" w:themeColor="background1"/>
              </w:rPr>
              <w:t>2022</w:t>
            </w:r>
            <w:r w:rsidR="007C6128" w:rsidRPr="00E15C2C">
              <w:rPr>
                <w:b/>
                <w:bCs w:val="0"/>
                <w:color w:val="FFFFFF" w:themeColor="background1"/>
              </w:rPr>
              <w:br/>
            </w:r>
            <w:r w:rsidRPr="00E15C2C">
              <w:rPr>
                <w:b/>
                <w:bCs w:val="0"/>
                <w:color w:val="FFFFFF" w:themeColor="background1"/>
              </w:rPr>
              <w:t>Édition</w:t>
            </w:r>
            <w:r w:rsidR="0074151F" w:rsidRPr="00E15C2C">
              <w:rPr>
                <w:b/>
                <w:bCs w:val="0"/>
                <w:color w:val="FFFFFF" w:themeColor="background1"/>
              </w:rPr>
              <w:t> </w:t>
            </w:r>
            <w:r w:rsidRPr="00E15C2C">
              <w:rPr>
                <w:b/>
                <w:bCs w:val="0"/>
                <w:color w:val="FFFFFF" w:themeColor="background1"/>
              </w:rPr>
              <w:t>de 2020 du RR</w:t>
            </w:r>
          </w:p>
        </w:tc>
        <w:tc>
          <w:tcPr>
            <w:tcW w:w="1688" w:type="dxa"/>
          </w:tcPr>
          <w:p w14:paraId="09D87842" w14:textId="0234B921" w:rsidR="004F76FD" w:rsidRPr="00E15C2C" w:rsidRDefault="004F76FD" w:rsidP="002D2BD0">
            <w:pPr>
              <w:pStyle w:val="Tablehead"/>
              <w:jc w:val="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5C2C">
              <w:rPr>
                <w:b/>
                <w:bCs w:val="0"/>
                <w:color w:val="FFFFFF" w:themeColor="background1"/>
              </w:rPr>
              <w:t>2023</w:t>
            </w:r>
            <w:r w:rsidR="007C6128" w:rsidRPr="00E15C2C">
              <w:rPr>
                <w:b/>
                <w:bCs w:val="0"/>
                <w:color w:val="FFFFFF" w:themeColor="background1"/>
              </w:rPr>
              <w:br/>
            </w:r>
            <w:r w:rsidRPr="00E15C2C">
              <w:rPr>
                <w:b/>
                <w:bCs w:val="0"/>
                <w:color w:val="FFFFFF" w:themeColor="background1"/>
              </w:rPr>
              <w:t>Édition</w:t>
            </w:r>
            <w:r w:rsidR="0074151F" w:rsidRPr="00E15C2C">
              <w:rPr>
                <w:b/>
                <w:bCs w:val="0"/>
                <w:color w:val="FFFFFF" w:themeColor="background1"/>
              </w:rPr>
              <w:t> </w:t>
            </w:r>
            <w:r w:rsidRPr="00E15C2C">
              <w:rPr>
                <w:b/>
                <w:bCs w:val="0"/>
                <w:color w:val="FFFFFF" w:themeColor="background1"/>
              </w:rPr>
              <w:t>de 2020 du RR</w:t>
            </w:r>
          </w:p>
        </w:tc>
        <w:tc>
          <w:tcPr>
            <w:tcW w:w="2351" w:type="dxa"/>
          </w:tcPr>
          <w:p w14:paraId="5EA799B1" w14:textId="7B19E1AA" w:rsidR="004F76FD" w:rsidRPr="00E15C2C" w:rsidRDefault="004F76FD" w:rsidP="002D2BD0">
            <w:pPr>
              <w:pStyle w:val="Tablehead"/>
              <w:jc w:val="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5C2C">
              <w:rPr>
                <w:b/>
                <w:bCs w:val="0"/>
                <w:color w:val="FFFFFF" w:themeColor="background1"/>
              </w:rPr>
              <w:t>2024</w:t>
            </w:r>
            <w:r w:rsidR="007C6128" w:rsidRPr="00E15C2C">
              <w:rPr>
                <w:b/>
                <w:bCs w:val="0"/>
                <w:color w:val="FFFFFF" w:themeColor="background1"/>
              </w:rPr>
              <w:br/>
              <w:t xml:space="preserve">Éditions </w:t>
            </w:r>
            <w:r w:rsidRPr="00E15C2C">
              <w:rPr>
                <w:b/>
                <w:bCs w:val="0"/>
                <w:color w:val="FFFFFF" w:themeColor="background1"/>
              </w:rPr>
              <w:t>de</w:t>
            </w:r>
            <w:r w:rsidR="007C6128" w:rsidRPr="00E15C2C">
              <w:rPr>
                <w:b/>
                <w:bCs w:val="0"/>
                <w:color w:val="FFFFFF" w:themeColor="background1"/>
              </w:rPr>
              <w:t xml:space="preserve"> </w:t>
            </w:r>
            <w:r w:rsidRPr="00E15C2C">
              <w:rPr>
                <w:b/>
                <w:bCs w:val="0"/>
                <w:color w:val="FFFFFF" w:themeColor="background1"/>
              </w:rPr>
              <w:t>2020</w:t>
            </w:r>
            <w:r w:rsidR="007C6128" w:rsidRPr="00E15C2C">
              <w:rPr>
                <w:b/>
                <w:bCs w:val="0"/>
                <w:color w:val="FFFFFF" w:themeColor="background1"/>
              </w:rPr>
              <w:t xml:space="preserve"> </w:t>
            </w:r>
            <w:r w:rsidRPr="00E15C2C">
              <w:rPr>
                <w:b/>
                <w:bCs w:val="0"/>
                <w:color w:val="FFFFFF" w:themeColor="background1"/>
              </w:rPr>
              <w:t>et</w:t>
            </w:r>
            <w:r w:rsidR="002D2BD0" w:rsidRPr="00E15C2C">
              <w:rPr>
                <w:b/>
                <w:bCs w:val="0"/>
                <w:color w:val="FFFFFF" w:themeColor="background1"/>
              </w:rPr>
              <w:t xml:space="preserve"> </w:t>
            </w:r>
            <w:r w:rsidRPr="00E15C2C">
              <w:rPr>
                <w:b/>
                <w:bCs w:val="0"/>
                <w:color w:val="FFFFFF" w:themeColor="background1"/>
              </w:rPr>
              <w:t>de 2024 du RR</w:t>
            </w:r>
          </w:p>
        </w:tc>
        <w:tc>
          <w:tcPr>
            <w:tcW w:w="1685" w:type="dxa"/>
          </w:tcPr>
          <w:p w14:paraId="09090B44" w14:textId="46506699" w:rsidR="004F76FD" w:rsidRPr="00E15C2C" w:rsidRDefault="004F76FD" w:rsidP="002D2BD0">
            <w:pPr>
              <w:pStyle w:val="Tablehead"/>
              <w:jc w:val="left"/>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15C2C">
              <w:rPr>
                <w:b/>
                <w:bCs w:val="0"/>
                <w:color w:val="FFFFFF" w:themeColor="background1"/>
              </w:rPr>
              <w:t>2025</w:t>
            </w:r>
            <w:r w:rsidR="007C6128" w:rsidRPr="00E15C2C">
              <w:rPr>
                <w:b/>
                <w:bCs w:val="0"/>
                <w:color w:val="FFFFFF" w:themeColor="background1"/>
              </w:rPr>
              <w:br/>
            </w:r>
            <w:r w:rsidRPr="00E15C2C">
              <w:rPr>
                <w:b/>
                <w:bCs w:val="0"/>
                <w:color w:val="FFFFFF" w:themeColor="background1"/>
              </w:rPr>
              <w:t>Édition</w:t>
            </w:r>
            <w:r w:rsidR="007C6128" w:rsidRPr="00E15C2C">
              <w:rPr>
                <w:b/>
                <w:bCs w:val="0"/>
                <w:color w:val="FFFFFF" w:themeColor="background1"/>
              </w:rPr>
              <w:t xml:space="preserve"> </w:t>
            </w:r>
            <w:r w:rsidRPr="00E15C2C">
              <w:rPr>
                <w:b/>
                <w:bCs w:val="0"/>
                <w:color w:val="FFFFFF" w:themeColor="background1"/>
              </w:rPr>
              <w:t>de</w:t>
            </w:r>
            <w:r w:rsidR="002D2BD0" w:rsidRPr="00E15C2C">
              <w:rPr>
                <w:b/>
                <w:bCs w:val="0"/>
                <w:color w:val="FFFFFF" w:themeColor="background1"/>
              </w:rPr>
              <w:t> </w:t>
            </w:r>
            <w:r w:rsidRPr="00E15C2C">
              <w:rPr>
                <w:b/>
                <w:bCs w:val="0"/>
                <w:color w:val="FFFFFF" w:themeColor="background1"/>
              </w:rPr>
              <w:t>2024 du RR</w:t>
            </w:r>
          </w:p>
        </w:tc>
      </w:tr>
      <w:tr w:rsidR="004F76FD" w:rsidRPr="00E15C2C" w14:paraId="656F9CB7" w14:textId="77777777" w:rsidTr="007C612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55" w:type="dxa"/>
            <w:hideMark/>
          </w:tcPr>
          <w:p w14:paraId="52A8EB0E" w14:textId="77777777" w:rsidR="004F76FD" w:rsidRPr="00E15C2C" w:rsidRDefault="004F76FD" w:rsidP="002D2BD0">
            <w:pPr>
              <w:pStyle w:val="Tabletext"/>
              <w:rPr>
                <w:sz w:val="20"/>
              </w:rPr>
            </w:pPr>
            <w:r w:rsidRPr="00E15C2C">
              <w:t>Exemplaires papier vendus</w:t>
            </w:r>
          </w:p>
        </w:tc>
        <w:tc>
          <w:tcPr>
            <w:tcW w:w="1768" w:type="dxa"/>
          </w:tcPr>
          <w:p w14:paraId="354E5406"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117</w:t>
            </w:r>
          </w:p>
        </w:tc>
        <w:tc>
          <w:tcPr>
            <w:tcW w:w="1688" w:type="dxa"/>
          </w:tcPr>
          <w:p w14:paraId="18FA3F27"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1 611</w:t>
            </w:r>
          </w:p>
        </w:tc>
        <w:tc>
          <w:tcPr>
            <w:tcW w:w="2351" w:type="dxa"/>
          </w:tcPr>
          <w:p w14:paraId="53556DE5"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Édition de 2020: 22</w:t>
            </w:r>
          </w:p>
          <w:p w14:paraId="0F65C2E9"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Édition de 2024: 231</w:t>
            </w:r>
          </w:p>
          <w:p w14:paraId="4DF31A84"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Total: 253</w:t>
            </w:r>
          </w:p>
        </w:tc>
        <w:tc>
          <w:tcPr>
            <w:tcW w:w="1685" w:type="dxa"/>
          </w:tcPr>
          <w:p w14:paraId="024D2ACD"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418</w:t>
            </w:r>
          </w:p>
        </w:tc>
      </w:tr>
      <w:tr w:rsidR="004F76FD" w:rsidRPr="00E15C2C" w14:paraId="10F32C2B" w14:textId="77777777" w:rsidTr="007C6128">
        <w:trPr>
          <w:trHeight w:val="315"/>
          <w:jc w:val="center"/>
        </w:trPr>
        <w:tc>
          <w:tcPr>
            <w:cnfStyle w:val="001000000000" w:firstRow="0" w:lastRow="0" w:firstColumn="1" w:lastColumn="0" w:oddVBand="0" w:evenVBand="0" w:oddHBand="0" w:evenHBand="0" w:firstRowFirstColumn="0" w:firstRowLastColumn="0" w:lastRowFirstColumn="0" w:lastRowLastColumn="0"/>
            <w:tcW w:w="2055" w:type="dxa"/>
            <w:hideMark/>
          </w:tcPr>
          <w:p w14:paraId="05DBF2B3" w14:textId="77777777" w:rsidR="004F76FD" w:rsidRPr="00E15C2C" w:rsidRDefault="004F76FD" w:rsidP="002D2BD0">
            <w:pPr>
              <w:pStyle w:val="Tabletext"/>
              <w:rPr>
                <w:sz w:val="20"/>
              </w:rPr>
            </w:pPr>
            <w:r w:rsidRPr="00E15C2C">
              <w:t>DVD vendus</w:t>
            </w:r>
          </w:p>
        </w:tc>
        <w:tc>
          <w:tcPr>
            <w:tcW w:w="1768" w:type="dxa"/>
          </w:tcPr>
          <w:p w14:paraId="61FA7BD1"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1 638</w:t>
            </w:r>
          </w:p>
        </w:tc>
        <w:tc>
          <w:tcPr>
            <w:tcW w:w="1688" w:type="dxa"/>
          </w:tcPr>
          <w:p w14:paraId="616CE301"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11 700</w:t>
            </w:r>
          </w:p>
        </w:tc>
        <w:tc>
          <w:tcPr>
            <w:tcW w:w="2351" w:type="dxa"/>
          </w:tcPr>
          <w:p w14:paraId="294D94A7"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Édition de 2020: 922</w:t>
            </w:r>
          </w:p>
          <w:p w14:paraId="204C84BD"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Édition de 2024: 3 750</w:t>
            </w:r>
          </w:p>
          <w:p w14:paraId="328D17BC"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Total: 4 672</w:t>
            </w:r>
          </w:p>
        </w:tc>
        <w:tc>
          <w:tcPr>
            <w:tcW w:w="1685" w:type="dxa"/>
          </w:tcPr>
          <w:p w14:paraId="69D44F4D"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4 521</w:t>
            </w:r>
          </w:p>
        </w:tc>
      </w:tr>
      <w:tr w:rsidR="004F76FD" w:rsidRPr="00E15C2C" w14:paraId="768B28DB" w14:textId="77777777" w:rsidTr="007C6128">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055" w:type="dxa"/>
          </w:tcPr>
          <w:p w14:paraId="5BF23660" w14:textId="77777777" w:rsidR="004F76FD" w:rsidRPr="00E15C2C" w:rsidRDefault="004F76FD" w:rsidP="002D2BD0">
            <w:pPr>
              <w:pStyle w:val="Tabletext"/>
              <w:rPr>
                <w:sz w:val="20"/>
              </w:rPr>
            </w:pPr>
            <w:r w:rsidRPr="00E15C2C">
              <w:t>Clés USB vendues</w:t>
            </w:r>
          </w:p>
        </w:tc>
        <w:tc>
          <w:tcPr>
            <w:tcW w:w="1768" w:type="dxa"/>
          </w:tcPr>
          <w:p w14:paraId="761CE906" w14:textId="6E37161D" w:rsidR="004F76FD" w:rsidRPr="00E15C2C" w:rsidRDefault="003630EA"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rPr>
                <w:sz w:val="20"/>
              </w:rPr>
              <w:t>–</w:t>
            </w:r>
          </w:p>
        </w:tc>
        <w:tc>
          <w:tcPr>
            <w:tcW w:w="1688" w:type="dxa"/>
          </w:tcPr>
          <w:p w14:paraId="4E247773" w14:textId="20CB1095" w:rsidR="004F76FD" w:rsidRPr="00E15C2C" w:rsidRDefault="003630EA"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rPr>
                <w:sz w:val="20"/>
              </w:rPr>
              <w:t>–</w:t>
            </w:r>
          </w:p>
        </w:tc>
        <w:tc>
          <w:tcPr>
            <w:tcW w:w="2351" w:type="dxa"/>
          </w:tcPr>
          <w:p w14:paraId="680762BF" w14:textId="43CF09EA"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Édition de 2020:</w:t>
            </w:r>
            <w:r w:rsidR="007C6128" w:rsidRPr="00E15C2C">
              <w:t xml:space="preserve"> –</w:t>
            </w:r>
          </w:p>
          <w:p w14:paraId="7E642FC5"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Édition de 2024: 3</w:t>
            </w:r>
          </w:p>
          <w:p w14:paraId="64899878"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Total: 3</w:t>
            </w:r>
          </w:p>
        </w:tc>
        <w:tc>
          <w:tcPr>
            <w:tcW w:w="1685" w:type="dxa"/>
          </w:tcPr>
          <w:p w14:paraId="0DAB0FD5" w14:textId="77777777" w:rsidR="004F76FD" w:rsidRPr="00E15C2C" w:rsidRDefault="004F76FD" w:rsidP="002D2BD0">
            <w:pPr>
              <w:pStyle w:val="Tabletext"/>
              <w:cnfStyle w:val="000000100000" w:firstRow="0" w:lastRow="0" w:firstColumn="0" w:lastColumn="0" w:oddVBand="0" w:evenVBand="0" w:oddHBand="1" w:evenHBand="0" w:firstRowFirstColumn="0" w:firstRowLastColumn="0" w:lastRowFirstColumn="0" w:lastRowLastColumn="0"/>
              <w:rPr>
                <w:sz w:val="20"/>
              </w:rPr>
            </w:pPr>
            <w:r w:rsidRPr="00E15C2C">
              <w:t>662</w:t>
            </w:r>
          </w:p>
        </w:tc>
      </w:tr>
      <w:tr w:rsidR="004F76FD" w:rsidRPr="00E15C2C" w14:paraId="1BBDEF07" w14:textId="77777777" w:rsidTr="007C6128">
        <w:trPr>
          <w:trHeight w:val="315"/>
          <w:jc w:val="center"/>
        </w:trPr>
        <w:tc>
          <w:tcPr>
            <w:cnfStyle w:val="001000000000" w:firstRow="0" w:lastRow="0" w:firstColumn="1" w:lastColumn="0" w:oddVBand="0" w:evenVBand="0" w:oddHBand="0" w:evenHBand="0" w:firstRowFirstColumn="0" w:firstRowLastColumn="0" w:lastRowFirstColumn="0" w:lastRowLastColumn="0"/>
            <w:tcW w:w="2055" w:type="dxa"/>
            <w:hideMark/>
          </w:tcPr>
          <w:p w14:paraId="53AB4887" w14:textId="77777777" w:rsidR="004F76FD" w:rsidRPr="00E15C2C" w:rsidRDefault="004F76FD" w:rsidP="002D2BD0">
            <w:pPr>
              <w:pStyle w:val="Tabletext"/>
              <w:rPr>
                <w:sz w:val="20"/>
              </w:rPr>
            </w:pPr>
            <w:r w:rsidRPr="00E15C2C">
              <w:t>Téléchargements gratuits</w:t>
            </w:r>
          </w:p>
        </w:tc>
        <w:tc>
          <w:tcPr>
            <w:tcW w:w="1768" w:type="dxa"/>
          </w:tcPr>
          <w:p w14:paraId="6D0A3D54"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13 467</w:t>
            </w:r>
          </w:p>
        </w:tc>
        <w:tc>
          <w:tcPr>
            <w:tcW w:w="1688" w:type="dxa"/>
          </w:tcPr>
          <w:p w14:paraId="3CDFBAFF"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42 439</w:t>
            </w:r>
          </w:p>
        </w:tc>
        <w:tc>
          <w:tcPr>
            <w:tcW w:w="2351" w:type="dxa"/>
          </w:tcPr>
          <w:p w14:paraId="6E15AFA9"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Édition de 2020: 29 537</w:t>
            </w:r>
          </w:p>
          <w:p w14:paraId="5100DD3B"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Édition de 2024: 12 445</w:t>
            </w:r>
          </w:p>
          <w:p w14:paraId="2933FD92"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Total: 41 982</w:t>
            </w:r>
          </w:p>
        </w:tc>
        <w:tc>
          <w:tcPr>
            <w:tcW w:w="1685" w:type="dxa"/>
          </w:tcPr>
          <w:p w14:paraId="4A939B69" w14:textId="77777777" w:rsidR="004F76FD" w:rsidRPr="00E15C2C" w:rsidRDefault="004F76FD" w:rsidP="002D2BD0">
            <w:pPr>
              <w:pStyle w:val="Tabletext"/>
              <w:cnfStyle w:val="000000000000" w:firstRow="0" w:lastRow="0" w:firstColumn="0" w:lastColumn="0" w:oddVBand="0" w:evenVBand="0" w:oddHBand="0" w:evenHBand="0" w:firstRowFirstColumn="0" w:firstRowLastColumn="0" w:lastRowFirstColumn="0" w:lastRowLastColumn="0"/>
              <w:rPr>
                <w:sz w:val="20"/>
              </w:rPr>
            </w:pPr>
            <w:r w:rsidRPr="00E15C2C">
              <w:t>22 939</w:t>
            </w:r>
          </w:p>
        </w:tc>
      </w:tr>
    </w:tbl>
    <w:p w14:paraId="0DE14691" w14:textId="7B038238" w:rsidR="00CB1957" w:rsidRPr="00E15C2C" w:rsidRDefault="004F76FD" w:rsidP="00CB1957">
      <w:pPr>
        <w:pStyle w:val="Normalaftertitle0"/>
        <w:rPr>
          <w:lang w:val="fr-FR"/>
        </w:rPr>
      </w:pPr>
      <w:r w:rsidRPr="00E15C2C">
        <w:rPr>
          <w:lang w:val="fr-FR"/>
        </w:rPr>
        <w:lastRenderedPageBreak/>
        <w:t>Le Tableau 8.1.4.1-2 indique le nombre total de téléchargements au cours de la même période pour les Règles de procédure. La dernière édition des Règles de procédure, qui tient compte des décisions de la CMR-23, a été publiée en décembre 2025. Cette édition a ultérieurement fait l'objet de six mises à jour pour tenir compte des Règles de procédure nouvelles ou modifiées qui ont été approuvées par le Comité du Règlement des radiocommunications.</w:t>
      </w:r>
      <w:r w:rsidR="00CB1957" w:rsidRPr="00E15C2C">
        <w:rPr>
          <w:lang w:val="fr-FR"/>
        </w:rPr>
        <w:t xml:space="preserve"> </w:t>
      </w:r>
    </w:p>
    <w:p w14:paraId="016D8FB2" w14:textId="77777777" w:rsidR="004F76FD" w:rsidRPr="00E15C2C" w:rsidRDefault="004F76FD" w:rsidP="005E2152">
      <w:pPr>
        <w:pStyle w:val="TableNoBR"/>
      </w:pPr>
      <w:r w:rsidRPr="00E15C2C">
        <w:t>Tableau 8.1.4.1-2</w:t>
      </w:r>
    </w:p>
    <w:p w14:paraId="632E5FE0" w14:textId="77777777" w:rsidR="004F76FD" w:rsidRPr="00E15C2C" w:rsidRDefault="004F76FD" w:rsidP="005E2152">
      <w:pPr>
        <w:pStyle w:val="TabletitleBR"/>
      </w:pPr>
      <w:r w:rsidRPr="00E15C2C">
        <w:t>Téléchargements des Règles de procédure</w:t>
      </w:r>
    </w:p>
    <w:tbl>
      <w:tblPr>
        <w:tblStyle w:val="GridTable5Dark-Accent1"/>
        <w:tblW w:w="9612" w:type="dxa"/>
        <w:jc w:val="center"/>
        <w:tblLayout w:type="fixed"/>
        <w:tblLook w:val="04A0" w:firstRow="1" w:lastRow="0" w:firstColumn="1" w:lastColumn="0" w:noHBand="0" w:noVBand="1"/>
      </w:tblPr>
      <w:tblGrid>
        <w:gridCol w:w="2307"/>
        <w:gridCol w:w="1827"/>
        <w:gridCol w:w="1826"/>
        <w:gridCol w:w="1826"/>
        <w:gridCol w:w="1826"/>
      </w:tblGrid>
      <w:tr w:rsidR="004F76FD" w:rsidRPr="00E15C2C" w14:paraId="1282B87A" w14:textId="77777777" w:rsidTr="00CB1957">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307" w:type="dxa"/>
            <w:hideMark/>
          </w:tcPr>
          <w:p w14:paraId="052107C5" w14:textId="77777777" w:rsidR="004F76FD" w:rsidRPr="00E15C2C" w:rsidRDefault="004F76FD" w:rsidP="0074151F">
            <w:pPr>
              <w:pStyle w:val="Tablehead"/>
              <w:rPr>
                <w:b/>
                <w:bCs w:val="0"/>
              </w:rPr>
            </w:pPr>
          </w:p>
        </w:tc>
        <w:tc>
          <w:tcPr>
            <w:tcW w:w="1827" w:type="dxa"/>
          </w:tcPr>
          <w:p w14:paraId="5F33C504"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2022</w:t>
            </w:r>
          </w:p>
        </w:tc>
        <w:tc>
          <w:tcPr>
            <w:tcW w:w="1826" w:type="dxa"/>
          </w:tcPr>
          <w:p w14:paraId="601A09FC"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2023</w:t>
            </w:r>
          </w:p>
        </w:tc>
        <w:tc>
          <w:tcPr>
            <w:tcW w:w="1826" w:type="dxa"/>
          </w:tcPr>
          <w:p w14:paraId="61FDF916"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2024*</w:t>
            </w:r>
          </w:p>
        </w:tc>
        <w:tc>
          <w:tcPr>
            <w:tcW w:w="1826" w:type="dxa"/>
          </w:tcPr>
          <w:p w14:paraId="6749BA73"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rPr>
            </w:pPr>
            <w:r w:rsidRPr="00E15C2C">
              <w:rPr>
                <w:b/>
                <w:bCs w:val="0"/>
              </w:rPr>
              <w:t>2025*</w:t>
            </w:r>
          </w:p>
        </w:tc>
      </w:tr>
      <w:tr w:rsidR="004F76FD" w:rsidRPr="00E15C2C" w14:paraId="4D18A96D" w14:textId="77777777" w:rsidTr="00CB195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07" w:type="dxa"/>
            <w:hideMark/>
          </w:tcPr>
          <w:p w14:paraId="3BEBECF9" w14:textId="77777777" w:rsidR="004F76FD" w:rsidRPr="00E15C2C" w:rsidRDefault="004F76FD" w:rsidP="0074151F">
            <w:pPr>
              <w:pStyle w:val="Tabletext"/>
              <w:jc w:val="center"/>
              <w:rPr>
                <w:color w:val="auto"/>
              </w:rPr>
            </w:pPr>
            <w:r w:rsidRPr="00E15C2C">
              <w:t>Règles de procédure</w:t>
            </w:r>
          </w:p>
        </w:tc>
        <w:tc>
          <w:tcPr>
            <w:tcW w:w="1827" w:type="dxa"/>
          </w:tcPr>
          <w:p w14:paraId="64EEDF53"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pPr>
            <w:r w:rsidRPr="00E15C2C">
              <w:t>11 887</w:t>
            </w:r>
          </w:p>
        </w:tc>
        <w:tc>
          <w:tcPr>
            <w:tcW w:w="1826" w:type="dxa"/>
          </w:tcPr>
          <w:p w14:paraId="3AFA6F4F"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pPr>
            <w:r w:rsidRPr="00E15C2C">
              <w:t>16 875</w:t>
            </w:r>
          </w:p>
        </w:tc>
        <w:tc>
          <w:tcPr>
            <w:tcW w:w="1826" w:type="dxa"/>
          </w:tcPr>
          <w:p w14:paraId="348D02B7"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pPr>
            <w:r w:rsidRPr="00E15C2C">
              <w:t>14 510</w:t>
            </w:r>
          </w:p>
        </w:tc>
        <w:tc>
          <w:tcPr>
            <w:tcW w:w="1826" w:type="dxa"/>
          </w:tcPr>
          <w:p w14:paraId="20ADF83B"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pPr>
            <w:r w:rsidRPr="00E15C2C">
              <w:t>17 140</w:t>
            </w:r>
          </w:p>
        </w:tc>
      </w:tr>
    </w:tbl>
    <w:p w14:paraId="4628AB11" w14:textId="48D65A0D" w:rsidR="004F76FD" w:rsidRPr="00E15C2C" w:rsidRDefault="004F76FD" w:rsidP="00CB1957">
      <w:pPr>
        <w:pStyle w:val="Tablelegend"/>
        <w:tabs>
          <w:tab w:val="clear" w:pos="284"/>
          <w:tab w:val="clear" w:pos="567"/>
          <w:tab w:val="left" w:pos="426"/>
        </w:tabs>
      </w:pPr>
      <w:r w:rsidRPr="00E15C2C">
        <w:t>*</w:t>
      </w:r>
      <w:r w:rsidR="00CB1957" w:rsidRPr="00E15C2C">
        <w:tab/>
      </w:r>
      <w:r w:rsidRPr="00E15C2C">
        <w:t>Les chiffres donnés pour les années 2024 et 2025 tiennent compte de toutes les Règles de procédure en vigueur, quelle que soit la version téléchargée.</w:t>
      </w:r>
    </w:p>
    <w:p w14:paraId="2137774E" w14:textId="77777777" w:rsidR="004F76FD" w:rsidRPr="00E15C2C" w:rsidRDefault="004F76FD" w:rsidP="00CB1957">
      <w:pPr>
        <w:pStyle w:val="Heading4"/>
      </w:pPr>
      <w:r w:rsidRPr="00E15C2C">
        <w:t>8.1.4.2</w:t>
      </w:r>
      <w:r w:rsidRPr="00E15C2C">
        <w:tab/>
        <w:t>Recommandations UIT-R</w:t>
      </w:r>
    </w:p>
    <w:p w14:paraId="67E8B3CA" w14:textId="3649F423" w:rsidR="004F76FD" w:rsidRPr="00E15C2C" w:rsidRDefault="004F76FD" w:rsidP="004F76FD">
      <w:r w:rsidRPr="00E15C2C">
        <w:t>Grâce à la politique d'accès en ligne gratuit, des utilisateurs du monde entier ont accès aux Recommandations UIT-R et peuvent les télécharger. Entre janvier 2022 et décembre 2025, près de sept millions de téléchargements de Recommandations UIT-R depuis le site web de l'UIT ont été enregistrés.</w:t>
      </w:r>
    </w:p>
    <w:p w14:paraId="65463F05" w14:textId="77777777" w:rsidR="004F76FD" w:rsidRPr="00E15C2C" w:rsidRDefault="004F76FD" w:rsidP="004F76FD">
      <w:r w:rsidRPr="00E15C2C">
        <w:t>Le Tableau 8.1.4.2-1 illustre la répartition de ces téléchargements par année et par série. On recense actuellement 1 208 Recommandations UIT-R en vigueur.</w:t>
      </w:r>
    </w:p>
    <w:p w14:paraId="52EC9F92" w14:textId="11599CD1" w:rsidR="004F76FD" w:rsidRPr="00E15C2C" w:rsidRDefault="004F76FD" w:rsidP="005E2152">
      <w:pPr>
        <w:pStyle w:val="TableNoBR"/>
      </w:pPr>
      <w:r w:rsidRPr="00E15C2C">
        <w:t>Tableau 8.1.4.2-1</w:t>
      </w:r>
    </w:p>
    <w:p w14:paraId="5AB28E70" w14:textId="77777777" w:rsidR="004F76FD" w:rsidRPr="00E15C2C" w:rsidRDefault="004F76FD" w:rsidP="005E2152">
      <w:pPr>
        <w:pStyle w:val="TabletitleBR"/>
      </w:pPr>
      <w:r w:rsidRPr="00E15C2C">
        <w:t>Répartition des téléchargements des Recommandations UIT-R</w:t>
      </w:r>
    </w:p>
    <w:tbl>
      <w:tblPr>
        <w:tblStyle w:val="GridTable5Dark-Accent1"/>
        <w:tblW w:w="0" w:type="auto"/>
        <w:jc w:val="center"/>
        <w:tblLayout w:type="fixed"/>
        <w:tblLook w:val="04A0" w:firstRow="1" w:lastRow="0" w:firstColumn="1" w:lastColumn="0" w:noHBand="0" w:noVBand="1"/>
      </w:tblPr>
      <w:tblGrid>
        <w:gridCol w:w="1092"/>
        <w:gridCol w:w="1261"/>
        <w:gridCol w:w="1261"/>
        <w:gridCol w:w="1261"/>
        <w:gridCol w:w="1305"/>
        <w:gridCol w:w="1200"/>
        <w:gridCol w:w="1095"/>
      </w:tblGrid>
      <w:tr w:rsidR="004F76FD" w:rsidRPr="00E15C2C" w14:paraId="0B339225" w14:textId="77777777" w:rsidTr="00CB1957">
        <w:trPr>
          <w:cnfStyle w:val="100000000000" w:firstRow="1" w:lastRow="0" w:firstColumn="0" w:lastColumn="0" w:oddVBand="0" w:evenVBand="0" w:oddHBand="0" w:evenHBand="0" w:firstRowFirstColumn="0" w:firstRowLastColumn="0" w:lastRowFirstColumn="0" w:lastRowLastColumn="0"/>
          <w:trHeight w:val="465"/>
          <w:tblHeader/>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tcBorders>
            <w:tcMar>
              <w:left w:w="108" w:type="dxa"/>
              <w:right w:w="108" w:type="dxa"/>
            </w:tcMar>
            <w:vAlign w:val="center"/>
          </w:tcPr>
          <w:p w14:paraId="0F0F35D5" w14:textId="77777777" w:rsidR="004F76FD" w:rsidRPr="00E15C2C" w:rsidRDefault="004F76FD" w:rsidP="00CB1957">
            <w:pPr>
              <w:pStyle w:val="Tablehead"/>
              <w:rPr>
                <w:b/>
                <w:bCs w:val="0"/>
                <w:szCs w:val="22"/>
              </w:rPr>
            </w:pPr>
            <w:r w:rsidRPr="00E15C2C">
              <w:rPr>
                <w:b/>
                <w:bCs w:val="0"/>
                <w:szCs w:val="22"/>
              </w:rPr>
              <w:t>SÉRIE</w:t>
            </w:r>
          </w:p>
        </w:tc>
        <w:tc>
          <w:tcPr>
            <w:tcW w:w="1261" w:type="dxa"/>
            <w:tcBorders>
              <w:top w:val="single" w:sz="8" w:space="0" w:color="FFFFFF" w:themeColor="background1"/>
              <w:bottom w:val="single" w:sz="8" w:space="0" w:color="FFFFFF" w:themeColor="background1"/>
            </w:tcBorders>
            <w:tcMar>
              <w:left w:w="108" w:type="dxa"/>
              <w:right w:w="108" w:type="dxa"/>
            </w:tcMar>
            <w:vAlign w:val="center"/>
          </w:tcPr>
          <w:p w14:paraId="5590E95F" w14:textId="77777777" w:rsidR="004F76FD" w:rsidRPr="00E15C2C" w:rsidRDefault="004F76FD" w:rsidP="00CB1957">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2022</w:t>
            </w:r>
          </w:p>
        </w:tc>
        <w:tc>
          <w:tcPr>
            <w:tcW w:w="1261" w:type="dxa"/>
            <w:tcBorders>
              <w:top w:val="single" w:sz="8" w:space="0" w:color="FFFFFF" w:themeColor="background1"/>
              <w:bottom w:val="single" w:sz="8" w:space="0" w:color="FFFFFF" w:themeColor="background1"/>
            </w:tcBorders>
            <w:tcMar>
              <w:left w:w="108" w:type="dxa"/>
              <w:right w:w="108" w:type="dxa"/>
            </w:tcMar>
            <w:vAlign w:val="center"/>
          </w:tcPr>
          <w:p w14:paraId="3355B5CF" w14:textId="77777777" w:rsidR="004F76FD" w:rsidRPr="00E15C2C" w:rsidRDefault="004F76FD" w:rsidP="00CB1957">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2023</w:t>
            </w:r>
          </w:p>
        </w:tc>
        <w:tc>
          <w:tcPr>
            <w:tcW w:w="1261" w:type="dxa"/>
            <w:tcBorders>
              <w:top w:val="single" w:sz="8" w:space="0" w:color="FFFFFF" w:themeColor="background1"/>
              <w:bottom w:val="single" w:sz="8" w:space="0" w:color="FFFFFF" w:themeColor="background1"/>
            </w:tcBorders>
            <w:tcMar>
              <w:left w:w="108" w:type="dxa"/>
              <w:right w:w="108" w:type="dxa"/>
            </w:tcMar>
            <w:vAlign w:val="center"/>
          </w:tcPr>
          <w:p w14:paraId="7A2C86EF" w14:textId="77777777" w:rsidR="004F76FD" w:rsidRPr="00E15C2C" w:rsidRDefault="004F76FD" w:rsidP="00CB1957">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2024</w:t>
            </w:r>
          </w:p>
        </w:tc>
        <w:tc>
          <w:tcPr>
            <w:tcW w:w="1305" w:type="dxa"/>
            <w:tcBorders>
              <w:top w:val="single" w:sz="8" w:space="0" w:color="FFFFFF" w:themeColor="background1"/>
              <w:bottom w:val="single" w:sz="8" w:space="0" w:color="FFFFFF" w:themeColor="background1"/>
            </w:tcBorders>
            <w:tcMar>
              <w:left w:w="108" w:type="dxa"/>
              <w:right w:w="108" w:type="dxa"/>
            </w:tcMar>
            <w:vAlign w:val="center"/>
          </w:tcPr>
          <w:p w14:paraId="19417CA2" w14:textId="4B718C89" w:rsidR="004F76FD" w:rsidRPr="00E15C2C" w:rsidRDefault="004F76FD" w:rsidP="00CB1957">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2025</w:t>
            </w:r>
            <w:r w:rsidRPr="00E15C2C">
              <w:rPr>
                <w:rStyle w:val="FootnoteReference"/>
                <w:szCs w:val="18"/>
              </w:rPr>
              <w:footnoteReference w:id="1"/>
            </w:r>
          </w:p>
        </w:tc>
        <w:tc>
          <w:tcPr>
            <w:tcW w:w="1200" w:type="dxa"/>
            <w:tcBorders>
              <w:top w:val="single" w:sz="8" w:space="0" w:color="FFFFFF" w:themeColor="background1"/>
              <w:bottom w:val="single" w:sz="8" w:space="0" w:color="FFFFFF" w:themeColor="background1"/>
            </w:tcBorders>
            <w:tcMar>
              <w:left w:w="108" w:type="dxa"/>
              <w:right w:w="108" w:type="dxa"/>
            </w:tcMar>
            <w:vAlign w:val="center"/>
          </w:tcPr>
          <w:p w14:paraId="0057056F" w14:textId="77777777" w:rsidR="004F76FD" w:rsidRPr="00E15C2C" w:rsidRDefault="004F76FD" w:rsidP="00CB1957">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TOTAL</w:t>
            </w:r>
          </w:p>
        </w:tc>
        <w:tc>
          <w:tcPr>
            <w:tcW w:w="1095" w:type="dxa"/>
            <w:tcBorders>
              <w:top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57817BE" w14:textId="77777777" w:rsidR="004F76FD" w:rsidRPr="00E15C2C" w:rsidRDefault="004F76FD" w:rsidP="00CB1957">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w:t>
            </w:r>
          </w:p>
        </w:tc>
      </w:tr>
      <w:tr w:rsidR="004F76FD" w:rsidRPr="00E15C2C" w14:paraId="6BD1D330"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47A4731" w14:textId="77777777" w:rsidR="004F76FD" w:rsidRPr="00E15C2C" w:rsidRDefault="004F76FD" w:rsidP="00CB1957">
            <w:pPr>
              <w:pStyle w:val="Tabletext"/>
              <w:jc w:val="center"/>
              <w:rPr>
                <w:szCs w:val="22"/>
              </w:rPr>
            </w:pPr>
            <w:r w:rsidRPr="00E15C2C">
              <w:rPr>
                <w:szCs w:val="22"/>
              </w:rPr>
              <w:t>P</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20A1404"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347 953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7AEC8E7"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401 927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75E0BAD"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425 058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DF2C9CF"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515 984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634DB7E"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1 690 922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4D5740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23,71</w:t>
            </w:r>
          </w:p>
        </w:tc>
      </w:tr>
      <w:tr w:rsidR="004F76FD" w:rsidRPr="00E15C2C" w14:paraId="6C599906"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B9FC8AE" w14:textId="77777777" w:rsidR="004F76FD" w:rsidRPr="00E15C2C" w:rsidRDefault="004F76FD" w:rsidP="00CB1957">
            <w:pPr>
              <w:pStyle w:val="Tabletext"/>
              <w:jc w:val="center"/>
              <w:rPr>
                <w:szCs w:val="22"/>
              </w:rPr>
            </w:pPr>
            <w:r w:rsidRPr="00E15C2C">
              <w:rPr>
                <w:szCs w:val="22"/>
              </w:rPr>
              <w:t>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BE298F2"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314 920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F125EBE"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355 079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EC98F58"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349 004</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58CE13D"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406 346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8A99277"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1 425 349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C64A6A2"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19,98</w:t>
            </w:r>
          </w:p>
        </w:tc>
      </w:tr>
      <w:tr w:rsidR="004F76FD" w:rsidRPr="00E15C2C" w14:paraId="3253A5AB"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45064E7" w14:textId="77777777" w:rsidR="004F76FD" w:rsidRPr="00E15C2C" w:rsidRDefault="004F76FD" w:rsidP="00CB1957">
            <w:pPr>
              <w:pStyle w:val="Tabletext"/>
              <w:jc w:val="center"/>
              <w:rPr>
                <w:szCs w:val="22"/>
              </w:rPr>
            </w:pPr>
            <w:r w:rsidRPr="00E15C2C">
              <w:rPr>
                <w:szCs w:val="22"/>
              </w:rPr>
              <w:t>BT</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B3BD725"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218 403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1B98F7E"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240 031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6C2A193"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237 839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3BD6535"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280 798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3E0962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977 071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9EDC962"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13,70</w:t>
            </w:r>
          </w:p>
        </w:tc>
      </w:tr>
      <w:tr w:rsidR="004F76FD" w:rsidRPr="00E15C2C" w14:paraId="02E40DA3"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E076EB5" w14:textId="77777777" w:rsidR="004F76FD" w:rsidRPr="00E15C2C" w:rsidRDefault="004F76FD" w:rsidP="00CB1957">
            <w:pPr>
              <w:pStyle w:val="Tabletext"/>
              <w:jc w:val="center"/>
              <w:rPr>
                <w:szCs w:val="22"/>
              </w:rPr>
            </w:pPr>
            <w:r w:rsidRPr="00E15C2C">
              <w:rPr>
                <w:szCs w:val="22"/>
              </w:rPr>
              <w:t>SM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E2EEA93"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169 755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8E9D48E"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177 372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D8C2C8A"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166 663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595ABFD"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162 704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9F3B424"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676 494</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552C1DC"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9,48</w:t>
            </w:r>
          </w:p>
        </w:tc>
      </w:tr>
      <w:tr w:rsidR="004F76FD" w:rsidRPr="00E15C2C" w14:paraId="1D15865A"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1EBCB4F" w14:textId="77777777" w:rsidR="004F76FD" w:rsidRPr="00E15C2C" w:rsidRDefault="004F76FD" w:rsidP="00CB1957">
            <w:pPr>
              <w:pStyle w:val="Tabletext"/>
              <w:jc w:val="center"/>
              <w:rPr>
                <w:szCs w:val="22"/>
              </w:rPr>
            </w:pPr>
            <w:r w:rsidRPr="00E15C2C">
              <w:rPr>
                <w:szCs w:val="22"/>
              </w:rPr>
              <w:t>BS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DE345CE"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143 107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2F9D1D7"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158 493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4F3E76A"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135 612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C01C431"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164 454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AD08136"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601 666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BF9E6BB"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8,44</w:t>
            </w:r>
          </w:p>
        </w:tc>
      </w:tr>
      <w:tr w:rsidR="004F76FD" w:rsidRPr="00E15C2C" w14:paraId="28004BA3"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DCFEC2E" w14:textId="77777777" w:rsidR="004F76FD" w:rsidRPr="00E15C2C" w:rsidRDefault="004F76FD" w:rsidP="00CB1957">
            <w:pPr>
              <w:pStyle w:val="Tabletext"/>
              <w:jc w:val="center"/>
              <w:rPr>
                <w:szCs w:val="22"/>
              </w:rPr>
            </w:pPr>
            <w:r w:rsidRPr="00E15C2C">
              <w:rPr>
                <w:szCs w:val="22"/>
              </w:rPr>
              <w: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CA4977A"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116 539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153D2FA"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139 580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7D18861"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123 807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C69B6A0"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140 302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E8FD33E"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520 228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EA7D76E"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7,29</w:t>
            </w:r>
          </w:p>
        </w:tc>
      </w:tr>
      <w:tr w:rsidR="004F76FD" w:rsidRPr="00E15C2C" w14:paraId="4BC671A0"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E627A4B" w14:textId="77777777" w:rsidR="004F76FD" w:rsidRPr="00E15C2C" w:rsidRDefault="004F76FD" w:rsidP="00CB1957">
            <w:pPr>
              <w:pStyle w:val="Tabletext"/>
              <w:jc w:val="center"/>
              <w:rPr>
                <w:szCs w:val="22"/>
              </w:rPr>
            </w:pPr>
            <w:r w:rsidRPr="00E15C2C">
              <w:rPr>
                <w:szCs w:val="22"/>
              </w:rPr>
              <w:t>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2FA4D11"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87 801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76B3309"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105 480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6919A0A"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110 982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ACF4D32"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127 958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DD14FA7"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432 221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1E9A75E"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6,06</w:t>
            </w:r>
          </w:p>
        </w:tc>
      </w:tr>
      <w:tr w:rsidR="004F76FD" w:rsidRPr="00E15C2C" w14:paraId="28A98557"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701F4F9" w14:textId="77777777" w:rsidR="004F76FD" w:rsidRPr="00E15C2C" w:rsidRDefault="004F76FD" w:rsidP="00CB1957">
            <w:pPr>
              <w:pStyle w:val="Tabletext"/>
              <w:jc w:val="center"/>
              <w:rPr>
                <w:szCs w:val="22"/>
              </w:rPr>
            </w:pPr>
            <w:r w:rsidRPr="00E15C2C">
              <w:rPr>
                <w:szCs w:val="22"/>
              </w:rPr>
              <w:t>SA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11FB2DF"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33 274</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81DFA9D"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46 373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1243E90"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49 133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680F8F2"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59 690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CDB4590"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188 470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308837F"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2,64</w:t>
            </w:r>
          </w:p>
        </w:tc>
      </w:tr>
      <w:tr w:rsidR="004F76FD" w:rsidRPr="00E15C2C" w14:paraId="077CE64C"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A6D2B28" w14:textId="77777777" w:rsidR="004F76FD" w:rsidRPr="00E15C2C" w:rsidRDefault="004F76FD" w:rsidP="00CB1957">
            <w:pPr>
              <w:pStyle w:val="Tabletext"/>
              <w:jc w:val="center"/>
              <w:rPr>
                <w:szCs w:val="22"/>
              </w:rPr>
            </w:pPr>
            <w:r w:rsidRPr="00E15C2C">
              <w:rPr>
                <w:szCs w:val="22"/>
              </w:rPr>
              <w:t>V</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91D5B20"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44 707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63D99F1"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39 508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44778AF"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42 201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4EDAC03"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40 586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CECD225"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167 002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446B439"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2,34</w:t>
            </w:r>
          </w:p>
        </w:tc>
      </w:tr>
      <w:tr w:rsidR="004F76FD" w:rsidRPr="00E15C2C" w14:paraId="61776235"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D9BA130" w14:textId="77777777" w:rsidR="004F76FD" w:rsidRPr="00E15C2C" w:rsidRDefault="004F76FD" w:rsidP="00CB1957">
            <w:pPr>
              <w:pStyle w:val="Tabletext"/>
              <w:jc w:val="center"/>
              <w:rPr>
                <w:szCs w:val="22"/>
              </w:rPr>
            </w:pPr>
            <w:r w:rsidRPr="00E15C2C">
              <w:rPr>
                <w:szCs w:val="22"/>
              </w:rPr>
              <w:lastRenderedPageBreak/>
              <w:t>RS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6839564"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19 350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106E6D5"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24 932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0D25A7D"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27 680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0E63079"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33 206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9DE5B3C"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105 168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25EFF5E"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1,47</w:t>
            </w:r>
          </w:p>
        </w:tc>
      </w:tr>
      <w:tr w:rsidR="004F76FD" w:rsidRPr="00E15C2C" w14:paraId="67020EE4"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BFF79C6" w14:textId="77777777" w:rsidR="004F76FD" w:rsidRPr="00E15C2C" w:rsidRDefault="004F76FD" w:rsidP="00CB1957">
            <w:pPr>
              <w:pStyle w:val="Tabletext"/>
              <w:jc w:val="center"/>
              <w:rPr>
                <w:szCs w:val="22"/>
              </w:rPr>
            </w:pPr>
            <w:r w:rsidRPr="00E15C2C">
              <w:rPr>
                <w:szCs w:val="22"/>
              </w:rPr>
              <w:t>BO</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2EF77B2"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16 489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7CFCE8A"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22 760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A336D09"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20 941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1EAB122"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26 832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39A4E66"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87 022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1BE925E"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1,22</w:t>
            </w:r>
          </w:p>
        </w:tc>
      </w:tr>
      <w:tr w:rsidR="004F76FD" w:rsidRPr="00E15C2C" w14:paraId="7A69E634"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5022C80" w14:textId="77777777" w:rsidR="004F76FD" w:rsidRPr="00E15C2C" w:rsidRDefault="004F76FD" w:rsidP="00CB1957">
            <w:pPr>
              <w:pStyle w:val="Tabletext"/>
              <w:jc w:val="center"/>
              <w:rPr>
                <w:szCs w:val="22"/>
              </w:rPr>
            </w:pPr>
            <w:r w:rsidRPr="00E15C2C">
              <w:rPr>
                <w:szCs w:val="22"/>
              </w:rPr>
              <w:t>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F720503"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18 211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4372E1D"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20 903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3F0E933"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20 589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C2F1B20"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25 014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6306D0B"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84 717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AD437B5"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1,19</w:t>
            </w:r>
          </w:p>
        </w:tc>
      </w:tr>
      <w:tr w:rsidR="004F76FD" w:rsidRPr="00E15C2C" w14:paraId="7FA4ADE1"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BB155B9" w14:textId="77777777" w:rsidR="004F76FD" w:rsidRPr="00E15C2C" w:rsidRDefault="004F76FD" w:rsidP="00CB1957">
            <w:pPr>
              <w:pStyle w:val="Tabletext"/>
              <w:jc w:val="center"/>
              <w:rPr>
                <w:szCs w:val="22"/>
              </w:rPr>
            </w:pPr>
            <w:r w:rsidRPr="00E15C2C">
              <w:rPr>
                <w:szCs w:val="22"/>
              </w:rPr>
              <w:t>SF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D32655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13 102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1675B61"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15 980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52973E0"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14 142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24F37D6"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15 486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41DCFF5"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58 710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6BF9AD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0,82</w:t>
            </w:r>
          </w:p>
        </w:tc>
      </w:tr>
      <w:tr w:rsidR="004F76FD" w:rsidRPr="00E15C2C" w14:paraId="5A3B104F"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BAF8746" w14:textId="77777777" w:rsidR="004F76FD" w:rsidRPr="00E15C2C" w:rsidRDefault="004F76FD" w:rsidP="00CB1957">
            <w:pPr>
              <w:pStyle w:val="Tabletext"/>
              <w:jc w:val="center"/>
              <w:rPr>
                <w:szCs w:val="22"/>
              </w:rPr>
            </w:pPr>
            <w:r w:rsidRPr="00E15C2C">
              <w:rPr>
                <w:szCs w:val="22"/>
              </w:rPr>
              <w:t>RA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7E5700E" w14:textId="3F9FF07E"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9</w:t>
            </w:r>
            <w:r w:rsidR="0074151F" w:rsidRPr="00E15C2C">
              <w:rPr>
                <w:szCs w:val="22"/>
              </w:rPr>
              <w:t> </w:t>
            </w:r>
            <w:r w:rsidRPr="00E15C2C">
              <w:rPr>
                <w:szCs w:val="22"/>
              </w:rPr>
              <w:t>169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808AB04"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11 546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F95A1CE"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13 260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A6D1E25"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19 700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72A6821"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53 675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0E9890A"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0,75</w:t>
            </w:r>
          </w:p>
        </w:tc>
      </w:tr>
      <w:tr w:rsidR="004F76FD" w:rsidRPr="00E15C2C" w14:paraId="45EE8CFB"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6ED9213" w14:textId="77777777" w:rsidR="004F76FD" w:rsidRPr="00E15C2C" w:rsidRDefault="004F76FD" w:rsidP="00CB1957">
            <w:pPr>
              <w:pStyle w:val="Tabletext"/>
              <w:jc w:val="center"/>
              <w:rPr>
                <w:szCs w:val="22"/>
              </w:rPr>
            </w:pPr>
            <w:r w:rsidRPr="00E15C2C">
              <w:rPr>
                <w:szCs w:val="22"/>
              </w:rPr>
              <w:t>BR</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309A18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9 838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38725A5"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13 285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2BBDDC0"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10 619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C36B8B6"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13 494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A58ED2A"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47 236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08F564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0,66</w:t>
            </w:r>
          </w:p>
        </w:tc>
      </w:tr>
      <w:tr w:rsidR="004F76FD" w:rsidRPr="00E15C2C" w14:paraId="0FC500BC"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BA35E42" w14:textId="77777777" w:rsidR="004F76FD" w:rsidRPr="00E15C2C" w:rsidRDefault="004F76FD" w:rsidP="00CB1957">
            <w:pPr>
              <w:pStyle w:val="Tabletext"/>
              <w:jc w:val="center"/>
              <w:rPr>
                <w:szCs w:val="22"/>
              </w:rPr>
            </w:pPr>
            <w:r w:rsidRPr="00E15C2C">
              <w:rPr>
                <w:szCs w:val="22"/>
              </w:rPr>
              <w:t>SNG</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5640B73"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1 987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A183630"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3 045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DE38935"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2 673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D1391D2"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3 110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2CDD76B"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10 815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DCDEB33"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0,15</w:t>
            </w:r>
          </w:p>
        </w:tc>
      </w:tr>
      <w:tr w:rsidR="004F76FD" w:rsidRPr="00E15C2C" w14:paraId="01A6AA0B" w14:textId="77777777" w:rsidTr="00CB195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3B9F3DB" w14:textId="77777777" w:rsidR="004F76FD" w:rsidRPr="00E15C2C" w:rsidRDefault="004F76FD" w:rsidP="00CB1957">
            <w:pPr>
              <w:pStyle w:val="Tabletext"/>
              <w:jc w:val="center"/>
              <w:rPr>
                <w:szCs w:val="22"/>
              </w:rPr>
            </w:pPr>
            <w:r w:rsidRPr="00E15C2C">
              <w:rPr>
                <w:szCs w:val="22"/>
              </w:rPr>
              <w:t>IS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FCCDDF1"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1 203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16B4808"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1 416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BB740D0"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997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03E203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1 300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A67923C"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4 916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0261EBFB"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szCs w:val="22"/>
              </w:rPr>
            </w:pPr>
            <w:r w:rsidRPr="00E15C2C">
              <w:rPr>
                <w:szCs w:val="22"/>
              </w:rPr>
              <w:t>0,07</w:t>
            </w:r>
          </w:p>
        </w:tc>
      </w:tr>
      <w:tr w:rsidR="004F76FD" w:rsidRPr="00E15C2C" w14:paraId="1F68C6D0" w14:textId="77777777" w:rsidTr="00CB1957">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1D621C4" w14:textId="77777777" w:rsidR="004F76FD" w:rsidRPr="00E15C2C" w:rsidRDefault="004F76FD" w:rsidP="00CB1957">
            <w:pPr>
              <w:pStyle w:val="Tabletext"/>
              <w:jc w:val="center"/>
              <w:rPr>
                <w:szCs w:val="22"/>
              </w:rPr>
            </w:pPr>
            <w:r w:rsidRPr="00E15C2C">
              <w:rPr>
                <w:szCs w:val="22"/>
              </w:rPr>
              <w:t>PI</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EDA4EC3"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143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580C7185"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288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06BDD9F"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75220296"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318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4CA2F00"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b/>
                <w:bCs/>
                <w:szCs w:val="22"/>
              </w:rPr>
            </w:pPr>
            <w:r w:rsidRPr="00E15C2C">
              <w:rPr>
                <w:b/>
                <w:bCs/>
                <w:szCs w:val="22"/>
              </w:rPr>
              <w:t>997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B79EC3D" w14:textId="77777777" w:rsidR="004F76FD" w:rsidRPr="00E15C2C" w:rsidRDefault="004F76FD" w:rsidP="00CB1957">
            <w:pPr>
              <w:pStyle w:val="Tabletext"/>
              <w:jc w:val="center"/>
              <w:cnfStyle w:val="000000000000" w:firstRow="0" w:lastRow="0" w:firstColumn="0" w:lastColumn="0" w:oddVBand="0" w:evenVBand="0" w:oddHBand="0" w:evenHBand="0" w:firstRowFirstColumn="0" w:firstRowLastColumn="0" w:lastRowFirstColumn="0" w:lastRowLastColumn="0"/>
              <w:rPr>
                <w:szCs w:val="22"/>
              </w:rPr>
            </w:pPr>
            <w:r w:rsidRPr="00E15C2C">
              <w:rPr>
                <w:szCs w:val="22"/>
              </w:rPr>
              <w:t>0,01</w:t>
            </w:r>
          </w:p>
        </w:tc>
      </w:tr>
      <w:tr w:rsidR="004F76FD" w:rsidRPr="00E15C2C" w14:paraId="7BE53DDA" w14:textId="77777777" w:rsidTr="00CB1957">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19FED8F" w14:textId="77777777" w:rsidR="004F76FD" w:rsidRPr="00E15C2C" w:rsidRDefault="004F76FD" w:rsidP="00CB1957">
            <w:pPr>
              <w:pStyle w:val="Tabletext"/>
              <w:jc w:val="center"/>
              <w:rPr>
                <w:szCs w:val="22"/>
              </w:rPr>
            </w:pPr>
            <w:r w:rsidRPr="00E15C2C">
              <w:rPr>
                <w:szCs w:val="22"/>
              </w:rPr>
              <w:t>Total</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3F69522D"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1 565 951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46827046"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1 777 998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151A04CD"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1 751 448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236D802"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2 037 282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2D098CA9"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7 132 679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center"/>
          </w:tcPr>
          <w:p w14:paraId="6265F141" w14:textId="77777777" w:rsidR="004F76FD" w:rsidRPr="00E15C2C" w:rsidRDefault="004F76FD" w:rsidP="00CB1957">
            <w:pPr>
              <w:pStyle w:val="Tabletext"/>
              <w:jc w:val="center"/>
              <w:cnfStyle w:val="000000100000" w:firstRow="0" w:lastRow="0" w:firstColumn="0" w:lastColumn="0" w:oddVBand="0" w:evenVBand="0" w:oddHBand="1" w:evenHBand="0" w:firstRowFirstColumn="0" w:firstRowLastColumn="0" w:lastRowFirstColumn="0" w:lastRowLastColumn="0"/>
              <w:rPr>
                <w:b/>
                <w:bCs/>
                <w:szCs w:val="22"/>
              </w:rPr>
            </w:pPr>
            <w:r w:rsidRPr="00E15C2C">
              <w:rPr>
                <w:b/>
                <w:bCs/>
                <w:szCs w:val="22"/>
              </w:rPr>
              <w:t>100,00</w:t>
            </w:r>
          </w:p>
        </w:tc>
      </w:tr>
    </w:tbl>
    <w:p w14:paraId="2482BBF9" w14:textId="77777777" w:rsidR="004F76FD" w:rsidRPr="00E15C2C" w:rsidRDefault="004F76FD" w:rsidP="00CB1957">
      <w:pPr>
        <w:pStyle w:val="Heading4"/>
      </w:pPr>
      <w:r w:rsidRPr="00E15C2C">
        <w:t>8.1.4.3</w:t>
      </w:r>
      <w:r w:rsidRPr="00E15C2C">
        <w:tab/>
        <w:t>Rapports UIT-R</w:t>
      </w:r>
    </w:p>
    <w:p w14:paraId="467208F6" w14:textId="75D9D92D" w:rsidR="004F76FD" w:rsidRPr="00E15C2C" w:rsidRDefault="004F76FD" w:rsidP="004F76FD">
      <w:r w:rsidRPr="00E15C2C">
        <w:t>Comme pour les Recommandations UIT-R, les Rapports UIT-R ont été mis en œuvre dans le monde entier, touchant la plupart des publics et contribuant à l'application de bonnes pratiques techniques dans certains domaines des radiocommunications.</w:t>
      </w:r>
    </w:p>
    <w:p w14:paraId="1FCEA67A" w14:textId="0251E041" w:rsidR="004F76FD" w:rsidRPr="00E15C2C" w:rsidRDefault="004F76FD" w:rsidP="004F76FD">
      <w:r w:rsidRPr="00E15C2C">
        <w:t>Entre janvier 2022 et décembre 2025, plus d'un million cinq cent mille téléchargements de Rapports</w:t>
      </w:r>
      <w:r w:rsidR="00CB1957" w:rsidRPr="00E15C2C">
        <w:t> </w:t>
      </w:r>
      <w:r w:rsidRPr="00E15C2C">
        <w:t>UIT-R depuis le site web de l'UIT ont été enregistrés. Le Tableau 8.1.4.3-1 illustre la</w:t>
      </w:r>
      <w:r w:rsidR="00CB1957" w:rsidRPr="00E15C2C">
        <w:t> </w:t>
      </w:r>
      <w:r w:rsidRPr="00E15C2C">
        <w:t>répartition de ces téléchargements par année et par série. On recense actuellement 662</w:t>
      </w:r>
      <w:r w:rsidR="00CB1957" w:rsidRPr="00E15C2C">
        <w:t> </w:t>
      </w:r>
      <w:r w:rsidRPr="00E15C2C">
        <w:t>Rapports</w:t>
      </w:r>
      <w:r w:rsidR="00CB1957" w:rsidRPr="00E15C2C">
        <w:t> </w:t>
      </w:r>
      <w:r w:rsidRPr="00E15C2C">
        <w:t>UIT-R en</w:t>
      </w:r>
      <w:r w:rsidR="00900A3C" w:rsidRPr="00E15C2C">
        <w:t> </w:t>
      </w:r>
      <w:r w:rsidRPr="00E15C2C">
        <w:t>vigueur.</w:t>
      </w:r>
    </w:p>
    <w:p w14:paraId="55D55961" w14:textId="77777777" w:rsidR="004F76FD" w:rsidRPr="00E15C2C" w:rsidRDefault="004F76FD" w:rsidP="00CB1957">
      <w:pPr>
        <w:pStyle w:val="TableNoBR"/>
      </w:pPr>
      <w:r w:rsidRPr="00E15C2C">
        <w:t>Tableau 8.1.4.3-1</w:t>
      </w:r>
    </w:p>
    <w:p w14:paraId="74D2CDE1" w14:textId="77777777" w:rsidR="004F76FD" w:rsidRPr="00E15C2C" w:rsidRDefault="004F76FD" w:rsidP="005E2152">
      <w:pPr>
        <w:pStyle w:val="TabletitleBR"/>
      </w:pPr>
      <w:r w:rsidRPr="00E15C2C">
        <w:t>Répartition des téléchargements des Rapports UIT-R</w:t>
      </w:r>
    </w:p>
    <w:tbl>
      <w:tblPr>
        <w:tblStyle w:val="GridTable5Dark-Accent1"/>
        <w:tblW w:w="9629" w:type="dxa"/>
        <w:jc w:val="center"/>
        <w:tblLayout w:type="fixed"/>
        <w:tblLook w:val="04A0" w:firstRow="1" w:lastRow="0" w:firstColumn="1" w:lastColumn="0" w:noHBand="0" w:noVBand="1"/>
      </w:tblPr>
      <w:tblGrid>
        <w:gridCol w:w="1355"/>
        <w:gridCol w:w="1457"/>
        <w:gridCol w:w="1457"/>
        <w:gridCol w:w="1457"/>
        <w:gridCol w:w="1073"/>
        <w:gridCol w:w="1505"/>
        <w:gridCol w:w="1325"/>
      </w:tblGrid>
      <w:tr w:rsidR="004F76FD" w:rsidRPr="00E15C2C" w14:paraId="49836053" w14:textId="77777777" w:rsidTr="0074151F">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5631234D" w14:textId="77777777" w:rsidR="004F76FD" w:rsidRPr="00E15C2C" w:rsidRDefault="004F76FD" w:rsidP="0074151F">
            <w:pPr>
              <w:pStyle w:val="Tablehead"/>
              <w:rPr>
                <w:b/>
                <w:bCs w:val="0"/>
                <w:szCs w:val="22"/>
              </w:rPr>
            </w:pPr>
            <w:r w:rsidRPr="00E15C2C">
              <w:rPr>
                <w:b/>
                <w:bCs w:val="0"/>
                <w:szCs w:val="22"/>
              </w:rPr>
              <w:t>SÉRIE</w:t>
            </w:r>
          </w:p>
        </w:tc>
        <w:tc>
          <w:tcPr>
            <w:tcW w:w="1457" w:type="dxa"/>
            <w:vAlign w:val="bottom"/>
          </w:tcPr>
          <w:p w14:paraId="362436D6"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2022</w:t>
            </w:r>
          </w:p>
        </w:tc>
        <w:tc>
          <w:tcPr>
            <w:tcW w:w="1457" w:type="dxa"/>
            <w:vAlign w:val="bottom"/>
          </w:tcPr>
          <w:p w14:paraId="26587EDE"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2023</w:t>
            </w:r>
          </w:p>
        </w:tc>
        <w:tc>
          <w:tcPr>
            <w:tcW w:w="1457" w:type="dxa"/>
            <w:vAlign w:val="bottom"/>
          </w:tcPr>
          <w:p w14:paraId="2C07DD4C"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2024</w:t>
            </w:r>
          </w:p>
        </w:tc>
        <w:tc>
          <w:tcPr>
            <w:tcW w:w="1073" w:type="dxa"/>
            <w:vAlign w:val="bottom"/>
          </w:tcPr>
          <w:p w14:paraId="44C16D7F" w14:textId="4D4E619A"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2025</w:t>
            </w:r>
            <w:r w:rsidRPr="00E15C2C">
              <w:rPr>
                <w:rStyle w:val="FootnoteReference"/>
              </w:rPr>
              <w:t>1</w:t>
            </w:r>
          </w:p>
        </w:tc>
        <w:tc>
          <w:tcPr>
            <w:tcW w:w="1505" w:type="dxa"/>
            <w:noWrap/>
            <w:vAlign w:val="bottom"/>
          </w:tcPr>
          <w:p w14:paraId="4B928684"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TOTAL</w:t>
            </w:r>
          </w:p>
        </w:tc>
        <w:tc>
          <w:tcPr>
            <w:tcW w:w="1325" w:type="dxa"/>
            <w:vAlign w:val="bottom"/>
          </w:tcPr>
          <w:p w14:paraId="4F3F4693" w14:textId="77777777" w:rsidR="004F76FD" w:rsidRPr="00E15C2C" w:rsidRDefault="004F76FD" w:rsidP="0074151F">
            <w:pPr>
              <w:pStyle w:val="Tablehead"/>
              <w:cnfStyle w:val="100000000000" w:firstRow="1" w:lastRow="0" w:firstColumn="0" w:lastColumn="0" w:oddVBand="0" w:evenVBand="0" w:oddHBand="0" w:evenHBand="0" w:firstRowFirstColumn="0" w:firstRowLastColumn="0" w:lastRowFirstColumn="0" w:lastRowLastColumn="0"/>
              <w:rPr>
                <w:b/>
                <w:bCs w:val="0"/>
                <w:szCs w:val="22"/>
              </w:rPr>
            </w:pPr>
            <w:r w:rsidRPr="00E15C2C">
              <w:rPr>
                <w:b/>
                <w:bCs w:val="0"/>
                <w:szCs w:val="22"/>
              </w:rPr>
              <w:t>%</w:t>
            </w:r>
          </w:p>
        </w:tc>
      </w:tr>
      <w:tr w:rsidR="004F76FD" w:rsidRPr="00E15C2C" w14:paraId="35C97431" w14:textId="77777777" w:rsidTr="0074151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01331B5" w14:textId="77777777" w:rsidR="004F76FD" w:rsidRPr="00E15C2C" w:rsidRDefault="004F76FD" w:rsidP="0074151F">
            <w:pPr>
              <w:pStyle w:val="Tabletext"/>
              <w:jc w:val="center"/>
              <w:rPr>
                <w:rFonts w:eastAsia="Aptos Narrow"/>
                <w:szCs w:val="22"/>
              </w:rPr>
            </w:pPr>
            <w:r w:rsidRPr="00E15C2C">
              <w:rPr>
                <w:szCs w:val="22"/>
              </w:rPr>
              <w:t>SM</w:t>
            </w:r>
          </w:p>
        </w:tc>
        <w:tc>
          <w:tcPr>
            <w:tcW w:w="1457" w:type="dxa"/>
            <w:vAlign w:val="bottom"/>
          </w:tcPr>
          <w:p w14:paraId="0B66D9A1"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105 880</w:t>
            </w:r>
          </w:p>
        </w:tc>
        <w:tc>
          <w:tcPr>
            <w:tcW w:w="1457" w:type="dxa"/>
            <w:vAlign w:val="bottom"/>
          </w:tcPr>
          <w:p w14:paraId="03B7A60C"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116 282</w:t>
            </w:r>
          </w:p>
        </w:tc>
        <w:tc>
          <w:tcPr>
            <w:tcW w:w="1457" w:type="dxa"/>
            <w:vAlign w:val="bottom"/>
          </w:tcPr>
          <w:p w14:paraId="3769C272"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128 647</w:t>
            </w:r>
          </w:p>
        </w:tc>
        <w:tc>
          <w:tcPr>
            <w:tcW w:w="1073" w:type="dxa"/>
            <w:vAlign w:val="bottom"/>
          </w:tcPr>
          <w:p w14:paraId="6F557012"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140 290</w:t>
            </w:r>
          </w:p>
        </w:tc>
        <w:tc>
          <w:tcPr>
            <w:tcW w:w="1505" w:type="dxa"/>
            <w:noWrap/>
            <w:vAlign w:val="bottom"/>
          </w:tcPr>
          <w:p w14:paraId="3BB94884"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491 099</w:t>
            </w:r>
          </w:p>
        </w:tc>
        <w:tc>
          <w:tcPr>
            <w:tcW w:w="1325" w:type="dxa"/>
            <w:vAlign w:val="bottom"/>
          </w:tcPr>
          <w:p w14:paraId="4E1FD209"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29,09</w:t>
            </w:r>
          </w:p>
        </w:tc>
      </w:tr>
      <w:tr w:rsidR="004F76FD" w:rsidRPr="00E15C2C" w14:paraId="59801876" w14:textId="77777777" w:rsidTr="0074151F">
        <w:trPr>
          <w:trHeight w:val="354"/>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0C7B5C3D" w14:textId="77777777" w:rsidR="004F76FD" w:rsidRPr="00E15C2C" w:rsidRDefault="004F76FD" w:rsidP="0074151F">
            <w:pPr>
              <w:pStyle w:val="Tabletext"/>
              <w:jc w:val="center"/>
              <w:rPr>
                <w:rFonts w:eastAsia="Aptos Narrow"/>
                <w:szCs w:val="22"/>
              </w:rPr>
            </w:pPr>
            <w:r w:rsidRPr="00E15C2C">
              <w:rPr>
                <w:szCs w:val="22"/>
              </w:rPr>
              <w:t>M</w:t>
            </w:r>
          </w:p>
        </w:tc>
        <w:tc>
          <w:tcPr>
            <w:tcW w:w="1457" w:type="dxa"/>
            <w:vAlign w:val="bottom"/>
          </w:tcPr>
          <w:p w14:paraId="738E3ADE"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102 742</w:t>
            </w:r>
          </w:p>
        </w:tc>
        <w:tc>
          <w:tcPr>
            <w:tcW w:w="1457" w:type="dxa"/>
            <w:vAlign w:val="bottom"/>
          </w:tcPr>
          <w:p w14:paraId="32754505"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121 622</w:t>
            </w:r>
          </w:p>
        </w:tc>
        <w:tc>
          <w:tcPr>
            <w:tcW w:w="1457" w:type="dxa"/>
            <w:vAlign w:val="bottom"/>
          </w:tcPr>
          <w:p w14:paraId="57E599B8"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103 466</w:t>
            </w:r>
          </w:p>
        </w:tc>
        <w:tc>
          <w:tcPr>
            <w:tcW w:w="1073" w:type="dxa"/>
            <w:vAlign w:val="bottom"/>
          </w:tcPr>
          <w:p w14:paraId="1E471DEF"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129 608</w:t>
            </w:r>
          </w:p>
        </w:tc>
        <w:tc>
          <w:tcPr>
            <w:tcW w:w="1505" w:type="dxa"/>
            <w:noWrap/>
            <w:vAlign w:val="bottom"/>
          </w:tcPr>
          <w:p w14:paraId="2954177E"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457 438</w:t>
            </w:r>
          </w:p>
        </w:tc>
        <w:tc>
          <w:tcPr>
            <w:tcW w:w="1325" w:type="dxa"/>
            <w:vAlign w:val="bottom"/>
          </w:tcPr>
          <w:p w14:paraId="1A16030F"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27,09</w:t>
            </w:r>
          </w:p>
        </w:tc>
      </w:tr>
      <w:tr w:rsidR="004F76FD" w:rsidRPr="00E15C2C" w14:paraId="5CBC1F41" w14:textId="77777777" w:rsidTr="0074151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23741AF" w14:textId="77777777" w:rsidR="004F76FD" w:rsidRPr="00E15C2C" w:rsidRDefault="004F76FD" w:rsidP="0074151F">
            <w:pPr>
              <w:pStyle w:val="Tabletext"/>
              <w:jc w:val="center"/>
              <w:rPr>
                <w:rFonts w:eastAsia="Aptos Narrow"/>
                <w:szCs w:val="22"/>
              </w:rPr>
            </w:pPr>
            <w:r w:rsidRPr="00E15C2C">
              <w:rPr>
                <w:szCs w:val="22"/>
              </w:rPr>
              <w:t>BT</w:t>
            </w:r>
          </w:p>
        </w:tc>
        <w:tc>
          <w:tcPr>
            <w:tcW w:w="1457" w:type="dxa"/>
            <w:vAlign w:val="bottom"/>
          </w:tcPr>
          <w:p w14:paraId="3CDF8FBF"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76 421</w:t>
            </w:r>
          </w:p>
        </w:tc>
        <w:tc>
          <w:tcPr>
            <w:tcW w:w="1457" w:type="dxa"/>
            <w:vAlign w:val="bottom"/>
          </w:tcPr>
          <w:p w14:paraId="679A5C90"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83 612</w:t>
            </w:r>
          </w:p>
        </w:tc>
        <w:tc>
          <w:tcPr>
            <w:tcW w:w="1457" w:type="dxa"/>
            <w:vAlign w:val="bottom"/>
          </w:tcPr>
          <w:p w14:paraId="27DDF9C6"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75 390</w:t>
            </w:r>
          </w:p>
        </w:tc>
        <w:tc>
          <w:tcPr>
            <w:tcW w:w="1073" w:type="dxa"/>
            <w:vAlign w:val="bottom"/>
          </w:tcPr>
          <w:p w14:paraId="09C3E545"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105 962</w:t>
            </w:r>
          </w:p>
        </w:tc>
        <w:tc>
          <w:tcPr>
            <w:tcW w:w="1505" w:type="dxa"/>
            <w:noWrap/>
            <w:vAlign w:val="bottom"/>
          </w:tcPr>
          <w:p w14:paraId="3B3F2E5B"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341 385</w:t>
            </w:r>
          </w:p>
        </w:tc>
        <w:tc>
          <w:tcPr>
            <w:tcW w:w="1325" w:type="dxa"/>
            <w:vAlign w:val="bottom"/>
          </w:tcPr>
          <w:p w14:paraId="01E22BEF"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20,22</w:t>
            </w:r>
          </w:p>
        </w:tc>
      </w:tr>
      <w:tr w:rsidR="004F76FD" w:rsidRPr="00E15C2C" w14:paraId="0D34E630" w14:textId="77777777" w:rsidTr="0074151F">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3807D9A2" w14:textId="77777777" w:rsidR="004F76FD" w:rsidRPr="00E15C2C" w:rsidRDefault="004F76FD" w:rsidP="0074151F">
            <w:pPr>
              <w:pStyle w:val="Tabletext"/>
              <w:jc w:val="center"/>
              <w:rPr>
                <w:rFonts w:eastAsia="Aptos Narrow"/>
                <w:szCs w:val="22"/>
              </w:rPr>
            </w:pPr>
            <w:r w:rsidRPr="00E15C2C">
              <w:rPr>
                <w:szCs w:val="22"/>
              </w:rPr>
              <w:t>BS</w:t>
            </w:r>
          </w:p>
        </w:tc>
        <w:tc>
          <w:tcPr>
            <w:tcW w:w="1457" w:type="dxa"/>
            <w:vAlign w:val="bottom"/>
          </w:tcPr>
          <w:p w14:paraId="2034DE3E"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30 002</w:t>
            </w:r>
          </w:p>
        </w:tc>
        <w:tc>
          <w:tcPr>
            <w:tcW w:w="1457" w:type="dxa"/>
            <w:vAlign w:val="bottom"/>
          </w:tcPr>
          <w:p w14:paraId="273EA174"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31 013</w:t>
            </w:r>
          </w:p>
        </w:tc>
        <w:tc>
          <w:tcPr>
            <w:tcW w:w="1457" w:type="dxa"/>
            <w:vAlign w:val="bottom"/>
          </w:tcPr>
          <w:p w14:paraId="28C4AA12"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25 730</w:t>
            </w:r>
          </w:p>
        </w:tc>
        <w:tc>
          <w:tcPr>
            <w:tcW w:w="1073" w:type="dxa"/>
            <w:vAlign w:val="bottom"/>
          </w:tcPr>
          <w:p w14:paraId="1BBD4098"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28 500</w:t>
            </w:r>
          </w:p>
        </w:tc>
        <w:tc>
          <w:tcPr>
            <w:tcW w:w="1505" w:type="dxa"/>
            <w:noWrap/>
            <w:vAlign w:val="bottom"/>
          </w:tcPr>
          <w:p w14:paraId="4663C8B5"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115 245</w:t>
            </w:r>
          </w:p>
        </w:tc>
        <w:tc>
          <w:tcPr>
            <w:tcW w:w="1325" w:type="dxa"/>
            <w:vAlign w:val="bottom"/>
          </w:tcPr>
          <w:p w14:paraId="7D179826"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6,83</w:t>
            </w:r>
          </w:p>
        </w:tc>
      </w:tr>
      <w:tr w:rsidR="004F76FD" w:rsidRPr="00E15C2C" w14:paraId="2694AF5D" w14:textId="77777777" w:rsidTr="0074151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16F86FF" w14:textId="77777777" w:rsidR="004F76FD" w:rsidRPr="00E15C2C" w:rsidRDefault="004F76FD" w:rsidP="0074151F">
            <w:pPr>
              <w:pStyle w:val="Tabletext"/>
              <w:jc w:val="center"/>
              <w:rPr>
                <w:rFonts w:eastAsia="Aptos Narrow"/>
                <w:szCs w:val="22"/>
              </w:rPr>
            </w:pPr>
            <w:r w:rsidRPr="00E15C2C">
              <w:rPr>
                <w:szCs w:val="22"/>
              </w:rPr>
              <w:t>P</w:t>
            </w:r>
          </w:p>
        </w:tc>
        <w:tc>
          <w:tcPr>
            <w:tcW w:w="1457" w:type="dxa"/>
            <w:vAlign w:val="bottom"/>
          </w:tcPr>
          <w:p w14:paraId="6E9AAA05"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15 647</w:t>
            </w:r>
          </w:p>
        </w:tc>
        <w:tc>
          <w:tcPr>
            <w:tcW w:w="1457" w:type="dxa"/>
            <w:vAlign w:val="bottom"/>
          </w:tcPr>
          <w:p w14:paraId="3E79634C"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15 536</w:t>
            </w:r>
          </w:p>
        </w:tc>
        <w:tc>
          <w:tcPr>
            <w:tcW w:w="1457" w:type="dxa"/>
            <w:vAlign w:val="bottom"/>
          </w:tcPr>
          <w:p w14:paraId="51E34096"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13 740</w:t>
            </w:r>
          </w:p>
        </w:tc>
        <w:tc>
          <w:tcPr>
            <w:tcW w:w="1073" w:type="dxa"/>
            <w:vAlign w:val="bottom"/>
          </w:tcPr>
          <w:p w14:paraId="16319C80"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18 476</w:t>
            </w:r>
          </w:p>
        </w:tc>
        <w:tc>
          <w:tcPr>
            <w:tcW w:w="1505" w:type="dxa"/>
            <w:noWrap/>
            <w:vAlign w:val="bottom"/>
          </w:tcPr>
          <w:p w14:paraId="084DA475"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63 399</w:t>
            </w:r>
          </w:p>
        </w:tc>
        <w:tc>
          <w:tcPr>
            <w:tcW w:w="1325" w:type="dxa"/>
            <w:vAlign w:val="bottom"/>
          </w:tcPr>
          <w:p w14:paraId="25AADAB2"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3,76</w:t>
            </w:r>
          </w:p>
        </w:tc>
      </w:tr>
      <w:tr w:rsidR="004F76FD" w:rsidRPr="00E15C2C" w14:paraId="54D60216" w14:textId="77777777" w:rsidTr="0074151F">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31184E50" w14:textId="77777777" w:rsidR="004F76FD" w:rsidRPr="00E15C2C" w:rsidRDefault="004F76FD" w:rsidP="0074151F">
            <w:pPr>
              <w:pStyle w:val="Tabletext"/>
              <w:jc w:val="center"/>
              <w:rPr>
                <w:rFonts w:eastAsia="Aptos Narrow"/>
                <w:szCs w:val="22"/>
              </w:rPr>
            </w:pPr>
            <w:r w:rsidRPr="00E15C2C">
              <w:rPr>
                <w:szCs w:val="22"/>
              </w:rPr>
              <w:t>BO</w:t>
            </w:r>
          </w:p>
        </w:tc>
        <w:tc>
          <w:tcPr>
            <w:tcW w:w="1457" w:type="dxa"/>
            <w:vAlign w:val="bottom"/>
          </w:tcPr>
          <w:p w14:paraId="0C813080"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16 721</w:t>
            </w:r>
          </w:p>
        </w:tc>
        <w:tc>
          <w:tcPr>
            <w:tcW w:w="1457" w:type="dxa"/>
            <w:vAlign w:val="bottom"/>
          </w:tcPr>
          <w:p w14:paraId="532E6562"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16 993</w:t>
            </w:r>
          </w:p>
        </w:tc>
        <w:tc>
          <w:tcPr>
            <w:tcW w:w="1457" w:type="dxa"/>
            <w:vAlign w:val="bottom"/>
          </w:tcPr>
          <w:p w14:paraId="35F433FF"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11 673</w:t>
            </w:r>
          </w:p>
        </w:tc>
        <w:tc>
          <w:tcPr>
            <w:tcW w:w="1073" w:type="dxa"/>
            <w:vAlign w:val="bottom"/>
          </w:tcPr>
          <w:p w14:paraId="747B9DD7" w14:textId="645F92D6"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9</w:t>
            </w:r>
            <w:r w:rsidR="0074151F" w:rsidRPr="00E15C2C">
              <w:rPr>
                <w:szCs w:val="22"/>
              </w:rPr>
              <w:t> </w:t>
            </w:r>
            <w:r w:rsidRPr="00E15C2C">
              <w:rPr>
                <w:szCs w:val="22"/>
              </w:rPr>
              <w:t>330</w:t>
            </w:r>
          </w:p>
        </w:tc>
        <w:tc>
          <w:tcPr>
            <w:tcW w:w="1505" w:type="dxa"/>
            <w:noWrap/>
            <w:vAlign w:val="bottom"/>
          </w:tcPr>
          <w:p w14:paraId="45634A00"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54 717</w:t>
            </w:r>
          </w:p>
        </w:tc>
        <w:tc>
          <w:tcPr>
            <w:tcW w:w="1325" w:type="dxa"/>
            <w:vAlign w:val="bottom"/>
          </w:tcPr>
          <w:p w14:paraId="0D1AB673"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3,24</w:t>
            </w:r>
          </w:p>
        </w:tc>
      </w:tr>
      <w:tr w:rsidR="004F76FD" w:rsidRPr="00E15C2C" w14:paraId="3702E9AB" w14:textId="77777777" w:rsidTr="0074151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311AFB8E" w14:textId="77777777" w:rsidR="004F76FD" w:rsidRPr="00E15C2C" w:rsidRDefault="004F76FD" w:rsidP="0074151F">
            <w:pPr>
              <w:pStyle w:val="Tabletext"/>
              <w:jc w:val="center"/>
              <w:rPr>
                <w:rFonts w:eastAsia="Aptos Narrow"/>
                <w:szCs w:val="22"/>
              </w:rPr>
            </w:pPr>
            <w:r w:rsidRPr="00E15C2C">
              <w:rPr>
                <w:szCs w:val="22"/>
              </w:rPr>
              <w:t>F</w:t>
            </w:r>
          </w:p>
        </w:tc>
        <w:tc>
          <w:tcPr>
            <w:tcW w:w="1457" w:type="dxa"/>
            <w:vAlign w:val="bottom"/>
          </w:tcPr>
          <w:p w14:paraId="73315033"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8 623</w:t>
            </w:r>
          </w:p>
        </w:tc>
        <w:tc>
          <w:tcPr>
            <w:tcW w:w="1457" w:type="dxa"/>
            <w:vAlign w:val="bottom"/>
          </w:tcPr>
          <w:p w14:paraId="45DE97A8"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9 397</w:t>
            </w:r>
          </w:p>
        </w:tc>
        <w:tc>
          <w:tcPr>
            <w:tcW w:w="1457" w:type="dxa"/>
            <w:vAlign w:val="bottom"/>
          </w:tcPr>
          <w:p w14:paraId="076CEDDD" w14:textId="4C8D7C5F"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9</w:t>
            </w:r>
            <w:r w:rsidR="0074151F" w:rsidRPr="00E15C2C">
              <w:rPr>
                <w:szCs w:val="22"/>
              </w:rPr>
              <w:t> </w:t>
            </w:r>
            <w:r w:rsidRPr="00E15C2C">
              <w:rPr>
                <w:szCs w:val="22"/>
              </w:rPr>
              <w:t>940</w:t>
            </w:r>
          </w:p>
        </w:tc>
        <w:tc>
          <w:tcPr>
            <w:tcW w:w="1073" w:type="dxa"/>
            <w:vAlign w:val="bottom"/>
          </w:tcPr>
          <w:p w14:paraId="78EDE4FD"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15 190</w:t>
            </w:r>
          </w:p>
        </w:tc>
        <w:tc>
          <w:tcPr>
            <w:tcW w:w="1505" w:type="dxa"/>
            <w:noWrap/>
            <w:vAlign w:val="bottom"/>
          </w:tcPr>
          <w:p w14:paraId="5976B678"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43 150</w:t>
            </w:r>
          </w:p>
        </w:tc>
        <w:tc>
          <w:tcPr>
            <w:tcW w:w="1325" w:type="dxa"/>
            <w:vAlign w:val="bottom"/>
          </w:tcPr>
          <w:p w14:paraId="3A42FD79"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2,56</w:t>
            </w:r>
          </w:p>
        </w:tc>
      </w:tr>
      <w:tr w:rsidR="004F76FD" w:rsidRPr="00E15C2C" w14:paraId="69DD99E0" w14:textId="77777777" w:rsidTr="0074151F">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05CB0F61" w14:textId="77777777" w:rsidR="004F76FD" w:rsidRPr="00E15C2C" w:rsidRDefault="004F76FD" w:rsidP="0074151F">
            <w:pPr>
              <w:pStyle w:val="Tabletext"/>
              <w:jc w:val="center"/>
              <w:rPr>
                <w:rFonts w:eastAsia="Aptos Narrow"/>
                <w:szCs w:val="22"/>
              </w:rPr>
            </w:pPr>
            <w:r w:rsidRPr="00E15C2C">
              <w:rPr>
                <w:szCs w:val="22"/>
              </w:rPr>
              <w:t>S</w:t>
            </w:r>
          </w:p>
        </w:tc>
        <w:tc>
          <w:tcPr>
            <w:tcW w:w="1457" w:type="dxa"/>
            <w:vAlign w:val="bottom"/>
          </w:tcPr>
          <w:p w14:paraId="5A19AFF0"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9 170</w:t>
            </w:r>
          </w:p>
        </w:tc>
        <w:tc>
          <w:tcPr>
            <w:tcW w:w="1457" w:type="dxa"/>
            <w:vAlign w:val="bottom"/>
          </w:tcPr>
          <w:p w14:paraId="267F70C4"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10 174</w:t>
            </w:r>
          </w:p>
        </w:tc>
        <w:tc>
          <w:tcPr>
            <w:tcW w:w="1457" w:type="dxa"/>
            <w:vAlign w:val="bottom"/>
          </w:tcPr>
          <w:p w14:paraId="0215DC3C" w14:textId="6AE93501"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8</w:t>
            </w:r>
            <w:r w:rsidR="0074151F" w:rsidRPr="00E15C2C">
              <w:rPr>
                <w:szCs w:val="22"/>
              </w:rPr>
              <w:t> </w:t>
            </w:r>
            <w:r w:rsidRPr="00E15C2C">
              <w:rPr>
                <w:szCs w:val="22"/>
              </w:rPr>
              <w:t>220</w:t>
            </w:r>
          </w:p>
        </w:tc>
        <w:tc>
          <w:tcPr>
            <w:tcW w:w="1073" w:type="dxa"/>
            <w:vAlign w:val="bottom"/>
          </w:tcPr>
          <w:p w14:paraId="1BAE92C9"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rFonts w:eastAsia="Aptos Narrow"/>
                <w:color w:val="000000" w:themeColor="text1"/>
                <w:szCs w:val="22"/>
              </w:rPr>
              <w:t>12 192</w:t>
            </w:r>
          </w:p>
        </w:tc>
        <w:tc>
          <w:tcPr>
            <w:tcW w:w="1505" w:type="dxa"/>
            <w:noWrap/>
            <w:vAlign w:val="bottom"/>
          </w:tcPr>
          <w:p w14:paraId="1341EA36"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39 756</w:t>
            </w:r>
          </w:p>
        </w:tc>
        <w:tc>
          <w:tcPr>
            <w:tcW w:w="1325" w:type="dxa"/>
            <w:vAlign w:val="bottom"/>
          </w:tcPr>
          <w:p w14:paraId="62C2E525"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2,35</w:t>
            </w:r>
          </w:p>
        </w:tc>
      </w:tr>
      <w:tr w:rsidR="004F76FD" w:rsidRPr="00E15C2C" w14:paraId="4A0C60E8" w14:textId="77777777" w:rsidTr="0074151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565139E" w14:textId="77777777" w:rsidR="004F76FD" w:rsidRPr="00E15C2C" w:rsidRDefault="004F76FD" w:rsidP="0074151F">
            <w:pPr>
              <w:pStyle w:val="Tabletext"/>
              <w:jc w:val="center"/>
              <w:rPr>
                <w:rFonts w:eastAsia="Aptos Narrow"/>
                <w:szCs w:val="22"/>
              </w:rPr>
            </w:pPr>
            <w:r w:rsidRPr="00E15C2C">
              <w:rPr>
                <w:szCs w:val="22"/>
              </w:rPr>
              <w:t>SA</w:t>
            </w:r>
          </w:p>
        </w:tc>
        <w:tc>
          <w:tcPr>
            <w:tcW w:w="1457" w:type="dxa"/>
            <w:vAlign w:val="bottom"/>
          </w:tcPr>
          <w:p w14:paraId="41AE8E28"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5 346</w:t>
            </w:r>
          </w:p>
        </w:tc>
        <w:tc>
          <w:tcPr>
            <w:tcW w:w="1457" w:type="dxa"/>
            <w:vAlign w:val="bottom"/>
          </w:tcPr>
          <w:p w14:paraId="609074D0"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6 856</w:t>
            </w:r>
          </w:p>
        </w:tc>
        <w:tc>
          <w:tcPr>
            <w:tcW w:w="1457" w:type="dxa"/>
            <w:vAlign w:val="bottom"/>
          </w:tcPr>
          <w:p w14:paraId="20DE3910" w14:textId="0FA3682B"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6</w:t>
            </w:r>
            <w:r w:rsidR="0074151F" w:rsidRPr="00E15C2C">
              <w:rPr>
                <w:szCs w:val="22"/>
              </w:rPr>
              <w:t> </w:t>
            </w:r>
            <w:r w:rsidRPr="00E15C2C">
              <w:rPr>
                <w:szCs w:val="22"/>
              </w:rPr>
              <w:t>584</w:t>
            </w:r>
          </w:p>
        </w:tc>
        <w:tc>
          <w:tcPr>
            <w:tcW w:w="1073" w:type="dxa"/>
            <w:vAlign w:val="bottom"/>
          </w:tcPr>
          <w:p w14:paraId="083FEB10" w14:textId="724F398C"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6</w:t>
            </w:r>
            <w:r w:rsidR="0074151F" w:rsidRPr="00E15C2C">
              <w:rPr>
                <w:szCs w:val="22"/>
              </w:rPr>
              <w:t> </w:t>
            </w:r>
            <w:r w:rsidRPr="00E15C2C">
              <w:rPr>
                <w:szCs w:val="22"/>
              </w:rPr>
              <w:t>832</w:t>
            </w:r>
          </w:p>
        </w:tc>
        <w:tc>
          <w:tcPr>
            <w:tcW w:w="1505" w:type="dxa"/>
            <w:noWrap/>
            <w:vAlign w:val="bottom"/>
          </w:tcPr>
          <w:p w14:paraId="17298CE5"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25 618</w:t>
            </w:r>
          </w:p>
        </w:tc>
        <w:tc>
          <w:tcPr>
            <w:tcW w:w="1325" w:type="dxa"/>
            <w:vAlign w:val="bottom"/>
          </w:tcPr>
          <w:p w14:paraId="300EFCFE"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1,52</w:t>
            </w:r>
          </w:p>
        </w:tc>
      </w:tr>
      <w:tr w:rsidR="004F76FD" w:rsidRPr="00E15C2C" w14:paraId="2E8D533F" w14:textId="77777777" w:rsidTr="0074151F">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7EE8CCE" w14:textId="77777777" w:rsidR="004F76FD" w:rsidRPr="00E15C2C" w:rsidRDefault="004F76FD" w:rsidP="0074151F">
            <w:pPr>
              <w:pStyle w:val="Tabletext"/>
              <w:jc w:val="center"/>
              <w:rPr>
                <w:rFonts w:eastAsia="Aptos Narrow"/>
                <w:szCs w:val="22"/>
              </w:rPr>
            </w:pPr>
            <w:r w:rsidRPr="00E15C2C">
              <w:rPr>
                <w:szCs w:val="22"/>
              </w:rPr>
              <w:t>RA</w:t>
            </w:r>
          </w:p>
        </w:tc>
        <w:tc>
          <w:tcPr>
            <w:tcW w:w="1457" w:type="dxa"/>
            <w:vAlign w:val="bottom"/>
          </w:tcPr>
          <w:p w14:paraId="759CA395"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4 840</w:t>
            </w:r>
          </w:p>
        </w:tc>
        <w:tc>
          <w:tcPr>
            <w:tcW w:w="1457" w:type="dxa"/>
            <w:vAlign w:val="bottom"/>
          </w:tcPr>
          <w:p w14:paraId="153C88C9"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6 463</w:t>
            </w:r>
          </w:p>
        </w:tc>
        <w:tc>
          <w:tcPr>
            <w:tcW w:w="1457" w:type="dxa"/>
            <w:vAlign w:val="bottom"/>
          </w:tcPr>
          <w:p w14:paraId="4E585206" w14:textId="0ADFF664"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6</w:t>
            </w:r>
            <w:r w:rsidR="0074151F" w:rsidRPr="00E15C2C">
              <w:rPr>
                <w:szCs w:val="22"/>
              </w:rPr>
              <w:t> </w:t>
            </w:r>
            <w:r w:rsidRPr="00E15C2C">
              <w:rPr>
                <w:szCs w:val="22"/>
              </w:rPr>
              <w:t>208</w:t>
            </w:r>
          </w:p>
        </w:tc>
        <w:tc>
          <w:tcPr>
            <w:tcW w:w="1073" w:type="dxa"/>
            <w:vAlign w:val="bottom"/>
          </w:tcPr>
          <w:p w14:paraId="2D4F8334" w14:textId="571240DD"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9</w:t>
            </w:r>
            <w:r w:rsidR="0074151F" w:rsidRPr="00E15C2C">
              <w:rPr>
                <w:szCs w:val="22"/>
              </w:rPr>
              <w:t> </w:t>
            </w:r>
            <w:r w:rsidRPr="00E15C2C">
              <w:rPr>
                <w:szCs w:val="22"/>
              </w:rPr>
              <w:t>272</w:t>
            </w:r>
          </w:p>
        </w:tc>
        <w:tc>
          <w:tcPr>
            <w:tcW w:w="1505" w:type="dxa"/>
            <w:noWrap/>
            <w:vAlign w:val="bottom"/>
          </w:tcPr>
          <w:p w14:paraId="5E691F41"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26 783</w:t>
            </w:r>
          </w:p>
        </w:tc>
        <w:tc>
          <w:tcPr>
            <w:tcW w:w="1325" w:type="dxa"/>
            <w:vAlign w:val="bottom"/>
          </w:tcPr>
          <w:p w14:paraId="01E0F7C1"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1,59</w:t>
            </w:r>
          </w:p>
        </w:tc>
      </w:tr>
      <w:tr w:rsidR="004F76FD" w:rsidRPr="00E15C2C" w14:paraId="06448C54" w14:textId="77777777" w:rsidTr="0074151F">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EBF7133" w14:textId="77777777" w:rsidR="004F76FD" w:rsidRPr="00E15C2C" w:rsidRDefault="004F76FD" w:rsidP="0074151F">
            <w:pPr>
              <w:pStyle w:val="Tabletext"/>
              <w:jc w:val="center"/>
              <w:rPr>
                <w:rFonts w:eastAsia="Aptos Narrow"/>
                <w:szCs w:val="22"/>
              </w:rPr>
            </w:pPr>
            <w:r w:rsidRPr="00E15C2C">
              <w:rPr>
                <w:szCs w:val="22"/>
              </w:rPr>
              <w:t>RS</w:t>
            </w:r>
          </w:p>
        </w:tc>
        <w:tc>
          <w:tcPr>
            <w:tcW w:w="1457" w:type="dxa"/>
            <w:vAlign w:val="bottom"/>
          </w:tcPr>
          <w:p w14:paraId="1166B627"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4 486</w:t>
            </w:r>
          </w:p>
        </w:tc>
        <w:tc>
          <w:tcPr>
            <w:tcW w:w="1457" w:type="dxa"/>
            <w:vAlign w:val="bottom"/>
          </w:tcPr>
          <w:p w14:paraId="2C66BD20"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6 236</w:t>
            </w:r>
          </w:p>
        </w:tc>
        <w:tc>
          <w:tcPr>
            <w:tcW w:w="1457" w:type="dxa"/>
            <w:vAlign w:val="bottom"/>
          </w:tcPr>
          <w:p w14:paraId="7C724EFC" w14:textId="4CFC19B8"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6</w:t>
            </w:r>
            <w:r w:rsidR="0074151F" w:rsidRPr="00E15C2C">
              <w:rPr>
                <w:szCs w:val="22"/>
              </w:rPr>
              <w:t> </w:t>
            </w:r>
            <w:r w:rsidRPr="00E15C2C">
              <w:rPr>
                <w:szCs w:val="22"/>
              </w:rPr>
              <w:t>745</w:t>
            </w:r>
          </w:p>
        </w:tc>
        <w:tc>
          <w:tcPr>
            <w:tcW w:w="1073" w:type="dxa"/>
            <w:vAlign w:val="bottom"/>
          </w:tcPr>
          <w:p w14:paraId="484D1BFF" w14:textId="2E5A3E3C"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7</w:t>
            </w:r>
            <w:r w:rsidR="0074151F" w:rsidRPr="00E15C2C">
              <w:rPr>
                <w:szCs w:val="22"/>
              </w:rPr>
              <w:t> </w:t>
            </w:r>
            <w:r w:rsidRPr="00E15C2C">
              <w:rPr>
                <w:szCs w:val="22"/>
              </w:rPr>
              <w:t>096</w:t>
            </w:r>
          </w:p>
        </w:tc>
        <w:tc>
          <w:tcPr>
            <w:tcW w:w="1505" w:type="dxa"/>
            <w:noWrap/>
            <w:vAlign w:val="bottom"/>
          </w:tcPr>
          <w:p w14:paraId="5137E89E"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24 563</w:t>
            </w:r>
          </w:p>
        </w:tc>
        <w:tc>
          <w:tcPr>
            <w:tcW w:w="1325" w:type="dxa"/>
            <w:vAlign w:val="bottom"/>
          </w:tcPr>
          <w:p w14:paraId="68E3CD36"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1,45</w:t>
            </w:r>
          </w:p>
        </w:tc>
      </w:tr>
      <w:tr w:rsidR="004F76FD" w:rsidRPr="00E15C2C" w14:paraId="3C29E6B8" w14:textId="77777777" w:rsidTr="0074151F">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0EC821B9" w14:textId="77777777" w:rsidR="004F76FD" w:rsidRPr="00E15C2C" w:rsidRDefault="004F76FD" w:rsidP="0074151F">
            <w:pPr>
              <w:pStyle w:val="Tabletext"/>
              <w:jc w:val="center"/>
              <w:rPr>
                <w:rFonts w:eastAsia="Aptos Narrow"/>
                <w:szCs w:val="22"/>
              </w:rPr>
            </w:pPr>
            <w:r w:rsidRPr="00E15C2C">
              <w:rPr>
                <w:szCs w:val="22"/>
              </w:rPr>
              <w:t>TF</w:t>
            </w:r>
          </w:p>
        </w:tc>
        <w:tc>
          <w:tcPr>
            <w:tcW w:w="1457" w:type="dxa"/>
            <w:vAlign w:val="bottom"/>
          </w:tcPr>
          <w:p w14:paraId="2EC27A51"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466</w:t>
            </w:r>
          </w:p>
        </w:tc>
        <w:tc>
          <w:tcPr>
            <w:tcW w:w="1457" w:type="dxa"/>
            <w:vAlign w:val="bottom"/>
          </w:tcPr>
          <w:p w14:paraId="75DB5388"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948</w:t>
            </w:r>
          </w:p>
        </w:tc>
        <w:tc>
          <w:tcPr>
            <w:tcW w:w="1457" w:type="dxa"/>
            <w:vAlign w:val="bottom"/>
          </w:tcPr>
          <w:p w14:paraId="7A208E00" w14:textId="7E7374F1"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1</w:t>
            </w:r>
            <w:r w:rsidR="0074151F" w:rsidRPr="00E15C2C">
              <w:rPr>
                <w:szCs w:val="22"/>
              </w:rPr>
              <w:t> </w:t>
            </w:r>
            <w:r w:rsidRPr="00E15C2C">
              <w:rPr>
                <w:szCs w:val="22"/>
              </w:rPr>
              <w:t>017</w:t>
            </w:r>
          </w:p>
        </w:tc>
        <w:tc>
          <w:tcPr>
            <w:tcW w:w="1073" w:type="dxa"/>
            <w:vAlign w:val="bottom"/>
          </w:tcPr>
          <w:p w14:paraId="4DF4911B"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960</w:t>
            </w:r>
          </w:p>
        </w:tc>
        <w:tc>
          <w:tcPr>
            <w:tcW w:w="1505" w:type="dxa"/>
            <w:noWrap/>
            <w:vAlign w:val="bottom"/>
          </w:tcPr>
          <w:p w14:paraId="3A6FA36F" w14:textId="419119FF"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b/>
                <w:bCs/>
                <w:color w:val="000000" w:themeColor="text1"/>
                <w:szCs w:val="22"/>
              </w:rPr>
            </w:pPr>
            <w:r w:rsidRPr="00E15C2C">
              <w:rPr>
                <w:b/>
                <w:bCs/>
                <w:szCs w:val="22"/>
              </w:rPr>
              <w:t>3</w:t>
            </w:r>
            <w:r w:rsidR="0074151F" w:rsidRPr="00E15C2C">
              <w:rPr>
                <w:b/>
                <w:bCs/>
                <w:szCs w:val="22"/>
              </w:rPr>
              <w:t> </w:t>
            </w:r>
            <w:r w:rsidRPr="00E15C2C">
              <w:rPr>
                <w:b/>
                <w:bCs/>
                <w:szCs w:val="22"/>
              </w:rPr>
              <w:t>391</w:t>
            </w:r>
          </w:p>
        </w:tc>
        <w:tc>
          <w:tcPr>
            <w:tcW w:w="1325" w:type="dxa"/>
            <w:vAlign w:val="bottom"/>
          </w:tcPr>
          <w:p w14:paraId="67DD9F01"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0,20</w:t>
            </w:r>
          </w:p>
        </w:tc>
      </w:tr>
      <w:tr w:rsidR="004F76FD" w:rsidRPr="00E15C2C" w14:paraId="4617E44C" w14:textId="77777777" w:rsidTr="0074151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E84F643" w14:textId="77777777" w:rsidR="004F76FD" w:rsidRPr="00E15C2C" w:rsidRDefault="004F76FD" w:rsidP="0074151F">
            <w:pPr>
              <w:pStyle w:val="Tabletext"/>
              <w:jc w:val="center"/>
              <w:rPr>
                <w:rFonts w:eastAsia="Aptos Narrow"/>
                <w:szCs w:val="22"/>
              </w:rPr>
            </w:pPr>
            <w:r w:rsidRPr="00E15C2C">
              <w:rPr>
                <w:szCs w:val="22"/>
              </w:rPr>
              <w:t>SF</w:t>
            </w:r>
          </w:p>
        </w:tc>
        <w:tc>
          <w:tcPr>
            <w:tcW w:w="1457" w:type="dxa"/>
            <w:vAlign w:val="bottom"/>
          </w:tcPr>
          <w:p w14:paraId="3DE844E0"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326</w:t>
            </w:r>
          </w:p>
        </w:tc>
        <w:tc>
          <w:tcPr>
            <w:tcW w:w="1457" w:type="dxa"/>
            <w:vAlign w:val="bottom"/>
          </w:tcPr>
          <w:p w14:paraId="12A72BBB"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345</w:t>
            </w:r>
          </w:p>
        </w:tc>
        <w:tc>
          <w:tcPr>
            <w:tcW w:w="1457" w:type="dxa"/>
            <w:vAlign w:val="bottom"/>
          </w:tcPr>
          <w:p w14:paraId="32455D0E"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269</w:t>
            </w:r>
          </w:p>
        </w:tc>
        <w:tc>
          <w:tcPr>
            <w:tcW w:w="1073" w:type="dxa"/>
            <w:vAlign w:val="bottom"/>
          </w:tcPr>
          <w:p w14:paraId="2A0FBDCD"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438</w:t>
            </w:r>
          </w:p>
        </w:tc>
        <w:tc>
          <w:tcPr>
            <w:tcW w:w="1505" w:type="dxa"/>
            <w:noWrap/>
            <w:vAlign w:val="bottom"/>
          </w:tcPr>
          <w:p w14:paraId="38F12189" w14:textId="769F27F2"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b/>
                <w:bCs/>
                <w:szCs w:val="22"/>
              </w:rPr>
              <w:t>1</w:t>
            </w:r>
            <w:r w:rsidR="0074151F" w:rsidRPr="00E15C2C">
              <w:rPr>
                <w:b/>
                <w:bCs/>
                <w:szCs w:val="22"/>
              </w:rPr>
              <w:t> </w:t>
            </w:r>
            <w:r w:rsidRPr="00E15C2C">
              <w:rPr>
                <w:b/>
                <w:bCs/>
                <w:szCs w:val="22"/>
              </w:rPr>
              <w:t>378</w:t>
            </w:r>
          </w:p>
        </w:tc>
        <w:tc>
          <w:tcPr>
            <w:tcW w:w="1325" w:type="dxa"/>
            <w:vAlign w:val="bottom"/>
          </w:tcPr>
          <w:p w14:paraId="15A06A3A"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color w:val="000000" w:themeColor="text1"/>
                <w:szCs w:val="22"/>
              </w:rPr>
            </w:pPr>
            <w:r w:rsidRPr="00E15C2C">
              <w:rPr>
                <w:szCs w:val="22"/>
              </w:rPr>
              <w:t>0,08</w:t>
            </w:r>
          </w:p>
        </w:tc>
      </w:tr>
      <w:tr w:rsidR="004F76FD" w:rsidRPr="00E15C2C" w14:paraId="6D61F489" w14:textId="77777777" w:rsidTr="0074151F">
        <w:trPr>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1D9E1E6A" w14:textId="77777777" w:rsidR="004F76FD" w:rsidRPr="00E15C2C" w:rsidRDefault="004F76FD" w:rsidP="0074151F">
            <w:pPr>
              <w:pStyle w:val="Tabletext"/>
              <w:jc w:val="center"/>
              <w:rPr>
                <w:rFonts w:eastAsia="Aptos Narrow"/>
                <w:szCs w:val="22"/>
              </w:rPr>
            </w:pPr>
            <w:r w:rsidRPr="00E15C2C">
              <w:rPr>
                <w:szCs w:val="22"/>
              </w:rPr>
              <w:t>BR</w:t>
            </w:r>
          </w:p>
        </w:tc>
        <w:tc>
          <w:tcPr>
            <w:tcW w:w="1457" w:type="dxa"/>
            <w:vAlign w:val="bottom"/>
          </w:tcPr>
          <w:p w14:paraId="56018413"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88</w:t>
            </w:r>
          </w:p>
        </w:tc>
        <w:tc>
          <w:tcPr>
            <w:tcW w:w="1457" w:type="dxa"/>
            <w:vAlign w:val="bottom"/>
          </w:tcPr>
          <w:p w14:paraId="1334B641"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97</w:t>
            </w:r>
          </w:p>
        </w:tc>
        <w:tc>
          <w:tcPr>
            <w:tcW w:w="1457" w:type="dxa"/>
            <w:vAlign w:val="bottom"/>
          </w:tcPr>
          <w:p w14:paraId="68409DEC"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65</w:t>
            </w:r>
          </w:p>
        </w:tc>
        <w:tc>
          <w:tcPr>
            <w:tcW w:w="1073" w:type="dxa"/>
            <w:vAlign w:val="bottom"/>
          </w:tcPr>
          <w:p w14:paraId="11F75D6D"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118</w:t>
            </w:r>
          </w:p>
        </w:tc>
        <w:tc>
          <w:tcPr>
            <w:tcW w:w="1505" w:type="dxa"/>
            <w:noWrap/>
            <w:vAlign w:val="bottom"/>
          </w:tcPr>
          <w:p w14:paraId="59C7C748"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b/>
                <w:bCs/>
                <w:color w:val="000000" w:themeColor="text1"/>
                <w:szCs w:val="22"/>
              </w:rPr>
            </w:pPr>
            <w:r w:rsidRPr="00E15C2C">
              <w:rPr>
                <w:b/>
                <w:bCs/>
                <w:szCs w:val="22"/>
              </w:rPr>
              <w:t>368</w:t>
            </w:r>
          </w:p>
        </w:tc>
        <w:tc>
          <w:tcPr>
            <w:tcW w:w="1325" w:type="dxa"/>
            <w:vAlign w:val="bottom"/>
          </w:tcPr>
          <w:p w14:paraId="60350732" w14:textId="77777777" w:rsidR="004F76FD" w:rsidRPr="00E15C2C" w:rsidRDefault="004F76FD" w:rsidP="0074151F">
            <w:pPr>
              <w:pStyle w:val="Tabletext"/>
              <w:jc w:val="center"/>
              <w:cnfStyle w:val="000000000000" w:firstRow="0" w:lastRow="0" w:firstColumn="0" w:lastColumn="0" w:oddVBand="0" w:evenVBand="0" w:oddHBand="0" w:evenHBand="0" w:firstRowFirstColumn="0" w:firstRowLastColumn="0" w:lastRowFirstColumn="0" w:lastRowLastColumn="0"/>
              <w:rPr>
                <w:rFonts w:eastAsia="Aptos Narrow"/>
                <w:color w:val="000000" w:themeColor="text1"/>
                <w:szCs w:val="22"/>
              </w:rPr>
            </w:pPr>
            <w:r w:rsidRPr="00E15C2C">
              <w:rPr>
                <w:szCs w:val="22"/>
              </w:rPr>
              <w:t>0,02</w:t>
            </w:r>
          </w:p>
        </w:tc>
      </w:tr>
      <w:tr w:rsidR="004F76FD" w:rsidRPr="00E15C2C" w14:paraId="1F666CBF" w14:textId="77777777" w:rsidTr="00CB1957">
        <w:trPr>
          <w:cnfStyle w:val="000000100000" w:firstRow="0" w:lastRow="0" w:firstColumn="0" w:lastColumn="0" w:oddVBand="0" w:evenVBand="0" w:oddHBand="1"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61EF10C5" w14:textId="77777777" w:rsidR="004F76FD" w:rsidRPr="00E15C2C" w:rsidRDefault="004F76FD" w:rsidP="0074151F">
            <w:pPr>
              <w:pStyle w:val="Tabletext"/>
              <w:jc w:val="center"/>
              <w:rPr>
                <w:rFonts w:eastAsia="Aptos Narrow"/>
                <w:szCs w:val="22"/>
              </w:rPr>
            </w:pPr>
            <w:r w:rsidRPr="00E15C2C">
              <w:rPr>
                <w:szCs w:val="22"/>
              </w:rPr>
              <w:t>Total</w:t>
            </w:r>
          </w:p>
        </w:tc>
        <w:tc>
          <w:tcPr>
            <w:tcW w:w="1457" w:type="dxa"/>
            <w:vAlign w:val="bottom"/>
          </w:tcPr>
          <w:p w14:paraId="2B635013"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380 758</w:t>
            </w:r>
          </w:p>
        </w:tc>
        <w:tc>
          <w:tcPr>
            <w:tcW w:w="1457" w:type="dxa"/>
            <w:vAlign w:val="bottom"/>
          </w:tcPr>
          <w:p w14:paraId="1C03C212"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425 574</w:t>
            </w:r>
          </w:p>
        </w:tc>
        <w:tc>
          <w:tcPr>
            <w:tcW w:w="1457" w:type="dxa"/>
            <w:vAlign w:val="bottom"/>
          </w:tcPr>
          <w:p w14:paraId="5738E5DC"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397 694</w:t>
            </w:r>
          </w:p>
        </w:tc>
        <w:tc>
          <w:tcPr>
            <w:tcW w:w="1073" w:type="dxa"/>
            <w:vAlign w:val="bottom"/>
          </w:tcPr>
          <w:p w14:paraId="3CD7010A"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484 264</w:t>
            </w:r>
          </w:p>
        </w:tc>
        <w:tc>
          <w:tcPr>
            <w:tcW w:w="1505" w:type="dxa"/>
            <w:noWrap/>
            <w:vAlign w:val="bottom"/>
          </w:tcPr>
          <w:p w14:paraId="1F4FA77D"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rFonts w:eastAsia="Aptos Narrow"/>
                <w:b/>
                <w:bCs/>
                <w:color w:val="000000" w:themeColor="text1"/>
                <w:szCs w:val="22"/>
              </w:rPr>
              <w:t>1 688 290</w:t>
            </w:r>
          </w:p>
        </w:tc>
        <w:tc>
          <w:tcPr>
            <w:tcW w:w="1325" w:type="dxa"/>
            <w:vAlign w:val="bottom"/>
          </w:tcPr>
          <w:p w14:paraId="4DD92B7E" w14:textId="77777777" w:rsidR="004F76FD" w:rsidRPr="00E15C2C" w:rsidRDefault="004F76FD" w:rsidP="0074151F">
            <w:pPr>
              <w:pStyle w:val="Tabletext"/>
              <w:jc w:val="center"/>
              <w:cnfStyle w:val="000000100000" w:firstRow="0" w:lastRow="0" w:firstColumn="0" w:lastColumn="0" w:oddVBand="0" w:evenVBand="0" w:oddHBand="1" w:evenHBand="0" w:firstRowFirstColumn="0" w:firstRowLastColumn="0" w:lastRowFirstColumn="0" w:lastRowLastColumn="0"/>
              <w:rPr>
                <w:rFonts w:eastAsia="Aptos Narrow"/>
                <w:b/>
                <w:bCs/>
                <w:color w:val="000000" w:themeColor="text1"/>
                <w:szCs w:val="22"/>
              </w:rPr>
            </w:pPr>
            <w:r w:rsidRPr="00E15C2C">
              <w:rPr>
                <w:b/>
                <w:bCs/>
                <w:szCs w:val="22"/>
              </w:rPr>
              <w:t>100,00</w:t>
            </w:r>
          </w:p>
        </w:tc>
      </w:tr>
    </w:tbl>
    <w:p w14:paraId="3766AB69" w14:textId="77777777" w:rsidR="004F76FD" w:rsidRPr="00E15C2C" w:rsidRDefault="004F76FD" w:rsidP="00CB1957">
      <w:pPr>
        <w:pStyle w:val="Heading4"/>
      </w:pPr>
      <w:r w:rsidRPr="00E15C2C">
        <w:lastRenderedPageBreak/>
        <w:t>8.1.4.4</w:t>
      </w:r>
      <w:r w:rsidRPr="00E15C2C">
        <w:tab/>
        <w:t>Manuels</w:t>
      </w:r>
    </w:p>
    <w:p w14:paraId="78CAB4AE" w14:textId="6721C95E" w:rsidR="004F76FD" w:rsidRPr="00E15C2C" w:rsidRDefault="004F76FD" w:rsidP="004F76FD">
      <w:r w:rsidRPr="00E15C2C">
        <w:t>Les Manuels de l'UIT-R peuvent également être téléchargés gratuitement depuis le site web de l'UIT. Près de cinq cent mille téléchargements ont été enregistrés entre 2022 et 2025. Le Tableau</w:t>
      </w:r>
      <w:r w:rsidR="00CB1957" w:rsidRPr="00E15C2C">
        <w:t> </w:t>
      </w:r>
      <w:r w:rsidRPr="00E15C2C">
        <w:t>8.1.4.4-1 illustre la répartition des ventes de Manuels de l'UIT-R de la série portant sur la gestion du spectre et d'autres Manuels.</w:t>
      </w:r>
    </w:p>
    <w:p w14:paraId="138279BD" w14:textId="77777777" w:rsidR="004F76FD" w:rsidRPr="00E15C2C" w:rsidRDefault="004F76FD" w:rsidP="004F76FD">
      <w:r w:rsidRPr="00E15C2C">
        <w:t>À ce jour, 48 Manuels de l'UIT-R sont publiés sur le site web de l'UIT.</w:t>
      </w:r>
    </w:p>
    <w:p w14:paraId="0F850B53" w14:textId="77777777" w:rsidR="004F76FD" w:rsidRPr="00E15C2C" w:rsidRDefault="004F76FD" w:rsidP="00695590">
      <w:pPr>
        <w:pStyle w:val="TableNoBR"/>
        <w:spacing w:before="480"/>
      </w:pPr>
      <w:r w:rsidRPr="00E15C2C">
        <w:t>Tableau 8.1.4.4-1</w:t>
      </w:r>
    </w:p>
    <w:p w14:paraId="7E102373" w14:textId="5A32881A" w:rsidR="004F76FD" w:rsidRPr="00E15C2C" w:rsidRDefault="004F76FD" w:rsidP="005E2152">
      <w:pPr>
        <w:pStyle w:val="TabletitleBR"/>
      </w:pPr>
      <w:r w:rsidRPr="00E15C2C">
        <w:t>Répartition des Manuels de l'UIT-R de la série sur</w:t>
      </w:r>
      <w:r w:rsidR="00CB1957" w:rsidRPr="00E15C2C">
        <w:br/>
      </w:r>
      <w:r w:rsidRPr="00E15C2C">
        <w:t>la gestion du spectre et des autres Manuels</w:t>
      </w:r>
    </w:p>
    <w:tbl>
      <w:tblPr>
        <w:tblW w:w="9307" w:type="dxa"/>
        <w:jc w:val="center"/>
        <w:tblBorders>
          <w:top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0" w:type="dxa"/>
          <w:right w:w="0" w:type="dxa"/>
        </w:tblCellMar>
        <w:tblLook w:val="04A0" w:firstRow="1" w:lastRow="0" w:firstColumn="1" w:lastColumn="0" w:noHBand="0" w:noVBand="1"/>
      </w:tblPr>
      <w:tblGrid>
        <w:gridCol w:w="3879"/>
        <w:gridCol w:w="1357"/>
        <w:gridCol w:w="1357"/>
        <w:gridCol w:w="1357"/>
        <w:gridCol w:w="1357"/>
      </w:tblGrid>
      <w:tr w:rsidR="004F76FD" w:rsidRPr="00E15C2C" w14:paraId="31B35330" w14:textId="77777777" w:rsidTr="0090764E">
        <w:trPr>
          <w:trHeight w:val="481"/>
          <w:jc w:val="center"/>
        </w:trPr>
        <w:tc>
          <w:tcPr>
            <w:tcW w:w="3879" w:type="dxa"/>
            <w:shd w:val="clear" w:color="auto" w:fill="4472C4"/>
            <w:tcMar>
              <w:top w:w="0" w:type="dxa"/>
              <w:left w:w="108" w:type="dxa"/>
              <w:bottom w:w="0" w:type="dxa"/>
              <w:right w:w="108" w:type="dxa"/>
            </w:tcMar>
            <w:vAlign w:val="center"/>
            <w:hideMark/>
          </w:tcPr>
          <w:p w14:paraId="4C2CEABD" w14:textId="77777777" w:rsidR="004F76FD" w:rsidRPr="00E15C2C" w:rsidRDefault="004F76FD" w:rsidP="003630EA">
            <w:pPr>
              <w:pStyle w:val="Tablehead"/>
              <w:rPr>
                <w:color w:val="FFFFFF" w:themeColor="background1"/>
                <w:szCs w:val="24"/>
              </w:rPr>
            </w:pPr>
            <w:r w:rsidRPr="00E15C2C">
              <w:rPr>
                <w:color w:val="FFFFFF" w:themeColor="background1"/>
              </w:rPr>
              <w:t>Manuel</w:t>
            </w:r>
          </w:p>
        </w:tc>
        <w:tc>
          <w:tcPr>
            <w:tcW w:w="1357" w:type="dxa"/>
            <w:shd w:val="clear" w:color="auto" w:fill="4472C4"/>
            <w:vAlign w:val="center"/>
          </w:tcPr>
          <w:p w14:paraId="72362727" w14:textId="77777777" w:rsidR="004F76FD" w:rsidRPr="00E15C2C" w:rsidRDefault="004F76FD" w:rsidP="003630EA">
            <w:pPr>
              <w:pStyle w:val="Tablehead"/>
              <w:rPr>
                <w:color w:val="FFFFFF" w:themeColor="background1"/>
                <w:szCs w:val="24"/>
              </w:rPr>
            </w:pPr>
            <w:r w:rsidRPr="00E15C2C">
              <w:rPr>
                <w:color w:val="FFFFFF" w:themeColor="background1"/>
              </w:rPr>
              <w:t>2022</w:t>
            </w:r>
          </w:p>
        </w:tc>
        <w:tc>
          <w:tcPr>
            <w:tcW w:w="1357" w:type="dxa"/>
            <w:shd w:val="clear" w:color="auto" w:fill="4472C4"/>
            <w:vAlign w:val="center"/>
          </w:tcPr>
          <w:p w14:paraId="228902D9" w14:textId="77777777" w:rsidR="004F76FD" w:rsidRPr="00E15C2C" w:rsidRDefault="004F76FD" w:rsidP="003630EA">
            <w:pPr>
              <w:pStyle w:val="Tablehead"/>
              <w:rPr>
                <w:color w:val="FFFFFF" w:themeColor="background1"/>
                <w:szCs w:val="24"/>
              </w:rPr>
            </w:pPr>
            <w:r w:rsidRPr="00E15C2C">
              <w:rPr>
                <w:color w:val="FFFFFF" w:themeColor="background1"/>
              </w:rPr>
              <w:t>2023</w:t>
            </w:r>
          </w:p>
        </w:tc>
        <w:tc>
          <w:tcPr>
            <w:tcW w:w="1357" w:type="dxa"/>
            <w:shd w:val="clear" w:color="auto" w:fill="4472C4"/>
            <w:vAlign w:val="center"/>
          </w:tcPr>
          <w:p w14:paraId="7D3F0616" w14:textId="77777777" w:rsidR="004F76FD" w:rsidRPr="00E15C2C" w:rsidRDefault="004F76FD" w:rsidP="003630EA">
            <w:pPr>
              <w:pStyle w:val="Tablehead"/>
              <w:rPr>
                <w:color w:val="FFFFFF" w:themeColor="background1"/>
                <w:szCs w:val="24"/>
              </w:rPr>
            </w:pPr>
            <w:r w:rsidRPr="00E15C2C">
              <w:rPr>
                <w:color w:val="FFFFFF" w:themeColor="background1"/>
              </w:rPr>
              <w:t>2024</w:t>
            </w:r>
          </w:p>
        </w:tc>
        <w:tc>
          <w:tcPr>
            <w:tcW w:w="1357" w:type="dxa"/>
            <w:shd w:val="clear" w:color="auto" w:fill="4472C4"/>
            <w:vAlign w:val="center"/>
          </w:tcPr>
          <w:p w14:paraId="75D9703A" w14:textId="3D6567E7" w:rsidR="004F76FD" w:rsidRPr="00E15C2C" w:rsidRDefault="004F76FD" w:rsidP="003630EA">
            <w:pPr>
              <w:pStyle w:val="Tablehead"/>
              <w:rPr>
                <w:color w:val="FFFFFF" w:themeColor="background1"/>
              </w:rPr>
            </w:pPr>
            <w:r w:rsidRPr="00E15C2C">
              <w:rPr>
                <w:color w:val="FFFFFF" w:themeColor="background1"/>
              </w:rPr>
              <w:t>2025</w:t>
            </w:r>
            <w:r w:rsidRPr="00E15C2C">
              <w:rPr>
                <w:rStyle w:val="FootnoteReference"/>
                <w:b w:val="0"/>
                <w:bCs/>
                <w:color w:val="FFFFFF" w:themeColor="background1"/>
              </w:rPr>
              <w:t>1</w:t>
            </w:r>
          </w:p>
        </w:tc>
      </w:tr>
      <w:tr w:rsidR="004F76FD" w:rsidRPr="00E15C2C" w14:paraId="7D3D84C1" w14:textId="77777777" w:rsidTr="0090764E">
        <w:trPr>
          <w:trHeight w:val="510"/>
          <w:jc w:val="center"/>
        </w:trPr>
        <w:tc>
          <w:tcPr>
            <w:tcW w:w="3879" w:type="dxa"/>
            <w:shd w:val="clear" w:color="auto" w:fill="4472C4"/>
            <w:tcMar>
              <w:top w:w="0" w:type="dxa"/>
              <w:left w:w="108" w:type="dxa"/>
              <w:bottom w:w="0" w:type="dxa"/>
              <w:right w:w="108" w:type="dxa"/>
            </w:tcMar>
            <w:vAlign w:val="center"/>
            <w:hideMark/>
          </w:tcPr>
          <w:p w14:paraId="478B247D" w14:textId="2C22F38A" w:rsidR="004F76FD" w:rsidRPr="00E15C2C" w:rsidRDefault="004F76FD" w:rsidP="003630EA">
            <w:pPr>
              <w:pStyle w:val="Tabletext"/>
              <w:jc w:val="center"/>
              <w:rPr>
                <w:b/>
                <w:bCs/>
                <w:color w:val="FFFFFF" w:themeColor="background1"/>
                <w:szCs w:val="24"/>
              </w:rPr>
            </w:pPr>
            <w:r w:rsidRPr="00E15C2C">
              <w:rPr>
                <w:b/>
                <w:bCs/>
                <w:color w:val="FFFFFF" w:themeColor="background1"/>
              </w:rPr>
              <w:t>Série sur la gestion du spectre</w:t>
            </w:r>
          </w:p>
          <w:p w14:paraId="4003B743" w14:textId="77777777" w:rsidR="004F76FD" w:rsidRPr="00E15C2C" w:rsidRDefault="004F76FD" w:rsidP="003630EA">
            <w:pPr>
              <w:pStyle w:val="Tabletext"/>
              <w:jc w:val="center"/>
              <w:rPr>
                <w:b/>
                <w:bCs/>
                <w:color w:val="FFFFFF" w:themeColor="background1"/>
                <w:szCs w:val="24"/>
              </w:rPr>
            </w:pPr>
            <w:r w:rsidRPr="00E15C2C">
              <w:rPr>
                <w:b/>
                <w:bCs/>
                <w:color w:val="FFFFFF" w:themeColor="background1"/>
              </w:rPr>
              <w:t>(exemplaires papier vendus)</w:t>
            </w:r>
          </w:p>
        </w:tc>
        <w:tc>
          <w:tcPr>
            <w:tcW w:w="1357" w:type="dxa"/>
            <w:shd w:val="clear" w:color="auto" w:fill="B4C6E7"/>
            <w:vAlign w:val="center"/>
          </w:tcPr>
          <w:p w14:paraId="699A55BC" w14:textId="77777777" w:rsidR="004F76FD" w:rsidRPr="00E15C2C" w:rsidRDefault="004F76FD" w:rsidP="003630EA">
            <w:pPr>
              <w:pStyle w:val="Tabletext"/>
              <w:jc w:val="center"/>
              <w:rPr>
                <w:color w:val="000000" w:themeColor="text1"/>
                <w:szCs w:val="24"/>
              </w:rPr>
            </w:pPr>
            <w:r w:rsidRPr="00E15C2C">
              <w:t>0</w:t>
            </w:r>
          </w:p>
        </w:tc>
        <w:tc>
          <w:tcPr>
            <w:tcW w:w="1357" w:type="dxa"/>
            <w:shd w:val="clear" w:color="auto" w:fill="B4C6E7"/>
            <w:vAlign w:val="center"/>
          </w:tcPr>
          <w:p w14:paraId="60D809AD" w14:textId="5E35956D" w:rsidR="004F76FD" w:rsidRPr="00E15C2C" w:rsidRDefault="003630EA" w:rsidP="003630EA">
            <w:pPr>
              <w:pStyle w:val="Tabletext"/>
              <w:jc w:val="center"/>
              <w:rPr>
                <w:color w:val="000000" w:themeColor="text1"/>
                <w:szCs w:val="24"/>
              </w:rPr>
            </w:pPr>
            <w:r w:rsidRPr="00E15C2C">
              <w:rPr>
                <w:sz w:val="20"/>
              </w:rPr>
              <w:t>–</w:t>
            </w:r>
          </w:p>
        </w:tc>
        <w:tc>
          <w:tcPr>
            <w:tcW w:w="1357" w:type="dxa"/>
            <w:shd w:val="clear" w:color="auto" w:fill="B4C6E7"/>
            <w:vAlign w:val="center"/>
          </w:tcPr>
          <w:p w14:paraId="5AF81FC4" w14:textId="77777777" w:rsidR="004F76FD" w:rsidRPr="00E15C2C" w:rsidRDefault="004F76FD" w:rsidP="003630EA">
            <w:pPr>
              <w:pStyle w:val="Tabletext"/>
              <w:jc w:val="center"/>
              <w:rPr>
                <w:color w:val="000000" w:themeColor="text1"/>
                <w:szCs w:val="24"/>
              </w:rPr>
            </w:pPr>
            <w:r w:rsidRPr="00E15C2C">
              <w:t>0</w:t>
            </w:r>
          </w:p>
        </w:tc>
        <w:tc>
          <w:tcPr>
            <w:tcW w:w="1357" w:type="dxa"/>
            <w:shd w:val="clear" w:color="auto" w:fill="B4C6E7"/>
            <w:vAlign w:val="center"/>
          </w:tcPr>
          <w:p w14:paraId="7BE78DF2" w14:textId="77777777" w:rsidR="004F76FD" w:rsidRPr="00E15C2C" w:rsidRDefault="004F76FD" w:rsidP="003630EA">
            <w:pPr>
              <w:pStyle w:val="Tabletext"/>
              <w:jc w:val="center"/>
              <w:rPr>
                <w:color w:val="000000" w:themeColor="text1"/>
                <w:szCs w:val="24"/>
              </w:rPr>
            </w:pPr>
            <w:r w:rsidRPr="00E15C2C">
              <w:t>0</w:t>
            </w:r>
          </w:p>
        </w:tc>
      </w:tr>
      <w:tr w:rsidR="004F76FD" w:rsidRPr="00E15C2C" w14:paraId="22519C17" w14:textId="77777777" w:rsidTr="0090764E">
        <w:trPr>
          <w:trHeight w:val="441"/>
          <w:jc w:val="center"/>
        </w:trPr>
        <w:tc>
          <w:tcPr>
            <w:tcW w:w="3879" w:type="dxa"/>
            <w:shd w:val="clear" w:color="auto" w:fill="4472C4"/>
            <w:tcMar>
              <w:top w:w="0" w:type="dxa"/>
              <w:left w:w="108" w:type="dxa"/>
              <w:bottom w:w="0" w:type="dxa"/>
              <w:right w:w="108" w:type="dxa"/>
            </w:tcMar>
            <w:vAlign w:val="center"/>
            <w:hideMark/>
          </w:tcPr>
          <w:p w14:paraId="3C1AEC74" w14:textId="53E5B618" w:rsidR="004F76FD" w:rsidRPr="00E15C2C" w:rsidRDefault="004F76FD" w:rsidP="003630EA">
            <w:pPr>
              <w:pStyle w:val="Tabletext"/>
              <w:jc w:val="center"/>
              <w:rPr>
                <w:b/>
                <w:bCs/>
                <w:color w:val="FFFFFF" w:themeColor="background1"/>
                <w:szCs w:val="24"/>
              </w:rPr>
            </w:pPr>
            <w:r w:rsidRPr="00E15C2C">
              <w:rPr>
                <w:b/>
                <w:bCs/>
                <w:color w:val="FFFFFF" w:themeColor="background1"/>
              </w:rPr>
              <w:t>Autres manuels</w:t>
            </w:r>
          </w:p>
          <w:p w14:paraId="6FEE0038" w14:textId="77777777" w:rsidR="004F76FD" w:rsidRPr="00E15C2C" w:rsidRDefault="004F76FD" w:rsidP="003630EA">
            <w:pPr>
              <w:pStyle w:val="Tabletext"/>
              <w:jc w:val="center"/>
              <w:rPr>
                <w:b/>
                <w:bCs/>
                <w:color w:val="FFFFFF" w:themeColor="background1"/>
                <w:szCs w:val="24"/>
              </w:rPr>
            </w:pPr>
            <w:r w:rsidRPr="00E15C2C">
              <w:rPr>
                <w:b/>
                <w:bCs/>
                <w:color w:val="FFFFFF" w:themeColor="background1"/>
              </w:rPr>
              <w:t>(exemplaires papier vendus)</w:t>
            </w:r>
          </w:p>
        </w:tc>
        <w:tc>
          <w:tcPr>
            <w:tcW w:w="1357" w:type="dxa"/>
            <w:shd w:val="clear" w:color="auto" w:fill="D9E2F3"/>
            <w:vAlign w:val="center"/>
          </w:tcPr>
          <w:p w14:paraId="188B5BA2" w14:textId="77777777" w:rsidR="004F76FD" w:rsidRPr="00E15C2C" w:rsidRDefault="004F76FD" w:rsidP="003630EA">
            <w:pPr>
              <w:pStyle w:val="Tabletext"/>
              <w:jc w:val="center"/>
              <w:rPr>
                <w:color w:val="000000" w:themeColor="text1"/>
                <w:szCs w:val="24"/>
              </w:rPr>
            </w:pPr>
            <w:r w:rsidRPr="00E15C2C">
              <w:t>4</w:t>
            </w:r>
          </w:p>
        </w:tc>
        <w:tc>
          <w:tcPr>
            <w:tcW w:w="1357" w:type="dxa"/>
            <w:shd w:val="clear" w:color="auto" w:fill="D9E2F3"/>
            <w:vAlign w:val="center"/>
          </w:tcPr>
          <w:p w14:paraId="35470FEC" w14:textId="7DBE9398" w:rsidR="004F76FD" w:rsidRPr="00E15C2C" w:rsidRDefault="003630EA" w:rsidP="003630EA">
            <w:pPr>
              <w:pStyle w:val="Tabletext"/>
              <w:jc w:val="center"/>
              <w:rPr>
                <w:color w:val="000000" w:themeColor="text1"/>
                <w:szCs w:val="24"/>
              </w:rPr>
            </w:pPr>
            <w:r w:rsidRPr="00E15C2C">
              <w:rPr>
                <w:sz w:val="20"/>
              </w:rPr>
              <w:t>–</w:t>
            </w:r>
          </w:p>
        </w:tc>
        <w:tc>
          <w:tcPr>
            <w:tcW w:w="1357" w:type="dxa"/>
            <w:shd w:val="clear" w:color="auto" w:fill="D9E2F3"/>
            <w:vAlign w:val="center"/>
          </w:tcPr>
          <w:p w14:paraId="023AA1D0" w14:textId="77777777" w:rsidR="004F76FD" w:rsidRPr="00E15C2C" w:rsidRDefault="004F76FD" w:rsidP="003630EA">
            <w:pPr>
              <w:pStyle w:val="Tabletext"/>
              <w:jc w:val="center"/>
              <w:rPr>
                <w:color w:val="000000" w:themeColor="text1"/>
                <w:szCs w:val="24"/>
              </w:rPr>
            </w:pPr>
            <w:r w:rsidRPr="00E15C2C">
              <w:t>0</w:t>
            </w:r>
          </w:p>
        </w:tc>
        <w:tc>
          <w:tcPr>
            <w:tcW w:w="1357" w:type="dxa"/>
            <w:shd w:val="clear" w:color="auto" w:fill="D9E2F3"/>
            <w:vAlign w:val="center"/>
          </w:tcPr>
          <w:p w14:paraId="1E5E4A35" w14:textId="77777777" w:rsidR="004F76FD" w:rsidRPr="00E15C2C" w:rsidRDefault="004F76FD" w:rsidP="003630EA">
            <w:pPr>
              <w:pStyle w:val="Tabletext"/>
              <w:jc w:val="center"/>
              <w:rPr>
                <w:color w:val="000000" w:themeColor="text1"/>
                <w:szCs w:val="24"/>
              </w:rPr>
            </w:pPr>
            <w:r w:rsidRPr="00E15C2C">
              <w:t>0</w:t>
            </w:r>
          </w:p>
        </w:tc>
      </w:tr>
      <w:tr w:rsidR="004F76FD" w:rsidRPr="00E15C2C" w14:paraId="1F2728AE" w14:textId="77777777" w:rsidTr="0090764E">
        <w:trPr>
          <w:trHeight w:val="248"/>
          <w:jc w:val="center"/>
        </w:trPr>
        <w:tc>
          <w:tcPr>
            <w:tcW w:w="3879" w:type="dxa"/>
            <w:shd w:val="clear" w:color="auto" w:fill="4472C4"/>
            <w:tcMar>
              <w:top w:w="0" w:type="dxa"/>
              <w:left w:w="108" w:type="dxa"/>
              <w:bottom w:w="0" w:type="dxa"/>
              <w:right w:w="108" w:type="dxa"/>
            </w:tcMar>
            <w:vAlign w:val="center"/>
            <w:hideMark/>
          </w:tcPr>
          <w:p w14:paraId="2FDDD7C0" w14:textId="77777777" w:rsidR="004F76FD" w:rsidRPr="00E15C2C" w:rsidRDefault="004F76FD" w:rsidP="003630EA">
            <w:pPr>
              <w:pStyle w:val="Tabletext"/>
              <w:jc w:val="center"/>
              <w:rPr>
                <w:b/>
                <w:bCs/>
                <w:color w:val="FFFFFF" w:themeColor="background1"/>
                <w:szCs w:val="24"/>
              </w:rPr>
            </w:pPr>
            <w:r w:rsidRPr="00E15C2C">
              <w:rPr>
                <w:b/>
                <w:bCs/>
                <w:color w:val="FFFFFF" w:themeColor="background1"/>
              </w:rPr>
              <w:t>Total</w:t>
            </w:r>
          </w:p>
        </w:tc>
        <w:tc>
          <w:tcPr>
            <w:tcW w:w="1357" w:type="dxa"/>
            <w:shd w:val="clear" w:color="auto" w:fill="B4C6E7"/>
            <w:vAlign w:val="center"/>
          </w:tcPr>
          <w:p w14:paraId="6CAABFD5" w14:textId="77777777" w:rsidR="004F76FD" w:rsidRPr="00E15C2C" w:rsidRDefault="004F76FD" w:rsidP="003630EA">
            <w:pPr>
              <w:pStyle w:val="Tabletext"/>
              <w:jc w:val="center"/>
              <w:rPr>
                <w:b/>
                <w:bCs/>
                <w:color w:val="000000" w:themeColor="text1"/>
                <w:szCs w:val="24"/>
              </w:rPr>
            </w:pPr>
            <w:r w:rsidRPr="00E15C2C">
              <w:rPr>
                <w:b/>
                <w:bCs/>
              </w:rPr>
              <w:t>4</w:t>
            </w:r>
          </w:p>
        </w:tc>
        <w:tc>
          <w:tcPr>
            <w:tcW w:w="1357" w:type="dxa"/>
            <w:shd w:val="clear" w:color="auto" w:fill="B4C6E7"/>
            <w:vAlign w:val="center"/>
          </w:tcPr>
          <w:p w14:paraId="6D8E3B79" w14:textId="6147718C" w:rsidR="004F76FD" w:rsidRPr="00E15C2C" w:rsidRDefault="003630EA" w:rsidP="003630EA">
            <w:pPr>
              <w:pStyle w:val="Tabletext"/>
              <w:jc w:val="center"/>
              <w:rPr>
                <w:b/>
                <w:bCs/>
                <w:color w:val="000000" w:themeColor="text1"/>
                <w:szCs w:val="24"/>
              </w:rPr>
            </w:pPr>
            <w:r w:rsidRPr="00E15C2C">
              <w:rPr>
                <w:b/>
                <w:bCs/>
                <w:sz w:val="20"/>
              </w:rPr>
              <w:t>–</w:t>
            </w:r>
          </w:p>
        </w:tc>
        <w:tc>
          <w:tcPr>
            <w:tcW w:w="1357" w:type="dxa"/>
            <w:shd w:val="clear" w:color="auto" w:fill="B4C6E7"/>
            <w:vAlign w:val="center"/>
          </w:tcPr>
          <w:p w14:paraId="048C7CC8" w14:textId="77777777" w:rsidR="004F76FD" w:rsidRPr="00E15C2C" w:rsidRDefault="004F76FD" w:rsidP="003630EA">
            <w:pPr>
              <w:pStyle w:val="Tabletext"/>
              <w:jc w:val="center"/>
              <w:rPr>
                <w:b/>
                <w:bCs/>
                <w:color w:val="000000" w:themeColor="text1"/>
                <w:szCs w:val="24"/>
              </w:rPr>
            </w:pPr>
            <w:r w:rsidRPr="00E15C2C">
              <w:rPr>
                <w:b/>
                <w:bCs/>
              </w:rPr>
              <w:t>0</w:t>
            </w:r>
          </w:p>
        </w:tc>
        <w:tc>
          <w:tcPr>
            <w:tcW w:w="1357" w:type="dxa"/>
            <w:shd w:val="clear" w:color="auto" w:fill="B4C6E7"/>
            <w:vAlign w:val="center"/>
          </w:tcPr>
          <w:p w14:paraId="1C9BC6D2" w14:textId="77777777" w:rsidR="004F76FD" w:rsidRPr="00E15C2C" w:rsidRDefault="004F76FD" w:rsidP="003630EA">
            <w:pPr>
              <w:pStyle w:val="Tabletext"/>
              <w:jc w:val="center"/>
              <w:rPr>
                <w:b/>
                <w:bCs/>
                <w:color w:val="000000" w:themeColor="text1"/>
                <w:szCs w:val="24"/>
              </w:rPr>
            </w:pPr>
            <w:r w:rsidRPr="00E15C2C">
              <w:rPr>
                <w:b/>
                <w:bCs/>
              </w:rPr>
              <w:t>0</w:t>
            </w:r>
          </w:p>
        </w:tc>
      </w:tr>
      <w:tr w:rsidR="004F76FD" w:rsidRPr="00E15C2C" w14:paraId="29D274F6" w14:textId="77777777" w:rsidTr="0090764E">
        <w:trPr>
          <w:trHeight w:val="248"/>
          <w:jc w:val="center"/>
        </w:trPr>
        <w:tc>
          <w:tcPr>
            <w:tcW w:w="3879" w:type="dxa"/>
            <w:shd w:val="clear" w:color="auto" w:fill="4472C4"/>
            <w:tcMar>
              <w:top w:w="0" w:type="dxa"/>
              <w:left w:w="108" w:type="dxa"/>
              <w:bottom w:w="0" w:type="dxa"/>
              <w:right w:w="108" w:type="dxa"/>
            </w:tcMar>
            <w:vAlign w:val="center"/>
          </w:tcPr>
          <w:p w14:paraId="3C504C24" w14:textId="7666C150" w:rsidR="004F76FD" w:rsidRPr="00E15C2C" w:rsidRDefault="004F76FD" w:rsidP="003630EA">
            <w:pPr>
              <w:pStyle w:val="Tabletext"/>
              <w:jc w:val="center"/>
              <w:rPr>
                <w:b/>
                <w:bCs/>
                <w:color w:val="FFFFFF" w:themeColor="background1"/>
                <w:szCs w:val="24"/>
              </w:rPr>
            </w:pPr>
            <w:r w:rsidRPr="00E15C2C">
              <w:rPr>
                <w:b/>
                <w:bCs/>
                <w:color w:val="FFFFFF" w:themeColor="background1"/>
              </w:rPr>
              <w:t xml:space="preserve">Téléchargements </w:t>
            </w:r>
            <w:r w:rsidR="00CB1957" w:rsidRPr="00E15C2C">
              <w:rPr>
                <w:b/>
                <w:bCs/>
                <w:color w:val="FFFFFF" w:themeColor="background1"/>
              </w:rPr>
              <w:t>GRATUITS</w:t>
            </w:r>
          </w:p>
        </w:tc>
        <w:tc>
          <w:tcPr>
            <w:tcW w:w="1357" w:type="dxa"/>
            <w:shd w:val="clear" w:color="auto" w:fill="B4C6E7"/>
            <w:vAlign w:val="center"/>
          </w:tcPr>
          <w:p w14:paraId="6F85CC01" w14:textId="77777777" w:rsidR="004F76FD" w:rsidRPr="00E15C2C" w:rsidRDefault="004F76FD" w:rsidP="003630EA">
            <w:pPr>
              <w:pStyle w:val="Tabletext"/>
              <w:jc w:val="center"/>
              <w:rPr>
                <w:b/>
                <w:bCs/>
                <w:szCs w:val="24"/>
              </w:rPr>
            </w:pPr>
            <w:r w:rsidRPr="00E15C2C">
              <w:rPr>
                <w:b/>
                <w:bCs/>
                <w:szCs w:val="24"/>
              </w:rPr>
              <w:t>134 159</w:t>
            </w:r>
          </w:p>
        </w:tc>
        <w:tc>
          <w:tcPr>
            <w:tcW w:w="1357" w:type="dxa"/>
            <w:shd w:val="clear" w:color="auto" w:fill="B4C6E7"/>
            <w:vAlign w:val="center"/>
          </w:tcPr>
          <w:p w14:paraId="7AF034C7" w14:textId="77777777" w:rsidR="004F76FD" w:rsidRPr="00E15C2C" w:rsidRDefault="004F76FD" w:rsidP="003630EA">
            <w:pPr>
              <w:pStyle w:val="Tabletext"/>
              <w:jc w:val="center"/>
              <w:rPr>
                <w:b/>
                <w:bCs/>
                <w:szCs w:val="24"/>
              </w:rPr>
            </w:pPr>
            <w:r w:rsidRPr="00E15C2C">
              <w:rPr>
                <w:b/>
                <w:bCs/>
                <w:szCs w:val="24"/>
              </w:rPr>
              <w:t>143 478</w:t>
            </w:r>
          </w:p>
        </w:tc>
        <w:tc>
          <w:tcPr>
            <w:tcW w:w="1357" w:type="dxa"/>
            <w:shd w:val="clear" w:color="auto" w:fill="B4C6E7"/>
            <w:vAlign w:val="center"/>
          </w:tcPr>
          <w:p w14:paraId="6C259E37" w14:textId="77777777" w:rsidR="004F76FD" w:rsidRPr="00E15C2C" w:rsidRDefault="004F76FD" w:rsidP="003630EA">
            <w:pPr>
              <w:pStyle w:val="Tabletext"/>
              <w:jc w:val="center"/>
              <w:rPr>
                <w:b/>
                <w:bCs/>
                <w:szCs w:val="24"/>
              </w:rPr>
            </w:pPr>
            <w:r w:rsidRPr="00E15C2C">
              <w:rPr>
                <w:b/>
                <w:bCs/>
                <w:szCs w:val="24"/>
              </w:rPr>
              <w:t>97 290</w:t>
            </w:r>
          </w:p>
        </w:tc>
        <w:tc>
          <w:tcPr>
            <w:tcW w:w="1357" w:type="dxa"/>
            <w:shd w:val="clear" w:color="auto" w:fill="B4C6E7"/>
          </w:tcPr>
          <w:p w14:paraId="7A33A1C8" w14:textId="77777777" w:rsidR="004F76FD" w:rsidRPr="00E15C2C" w:rsidRDefault="004F76FD" w:rsidP="003630EA">
            <w:pPr>
              <w:pStyle w:val="Tabletext"/>
              <w:jc w:val="center"/>
              <w:rPr>
                <w:b/>
                <w:bCs/>
              </w:rPr>
            </w:pPr>
            <w:r w:rsidRPr="00E15C2C">
              <w:rPr>
                <w:b/>
                <w:bCs/>
              </w:rPr>
              <w:t>98 944</w:t>
            </w:r>
          </w:p>
        </w:tc>
      </w:tr>
    </w:tbl>
    <w:p w14:paraId="09DDCC39" w14:textId="2A0F26B6" w:rsidR="004F76FD" w:rsidRPr="00E15C2C" w:rsidRDefault="004F76FD" w:rsidP="003630EA">
      <w:pPr>
        <w:pStyle w:val="Heading4"/>
      </w:pPr>
      <w:r w:rsidRPr="00E15C2C">
        <w:rPr>
          <w:bCs/>
        </w:rPr>
        <w:t>8.1.4.5</w:t>
      </w:r>
      <w:r w:rsidRPr="00E15C2C">
        <w:tab/>
        <w:t>Manuel maritime</w:t>
      </w:r>
    </w:p>
    <w:p w14:paraId="07D706FE" w14:textId="7F219616" w:rsidR="00695590" w:rsidRPr="00E15C2C" w:rsidRDefault="004F76FD" w:rsidP="00695590">
      <w:pPr>
        <w:keepNext/>
        <w:keepLines/>
      </w:pPr>
      <w:r w:rsidRPr="00E15C2C">
        <w:t>En ce qui concerne ces publications de service, on trouvera dans le Tableau 8.1.4.5-1 le nombre de livraisons des éditions de 2020 et de 2024 du Manuel maritime. L'édition de 2024 a été publiée en</w:t>
      </w:r>
      <w:r w:rsidR="00695590" w:rsidRPr="00E15C2C">
        <w:t> </w:t>
      </w:r>
      <w:r w:rsidRPr="00E15C2C">
        <w:t>décembre 2024 et est disponible à la vente en CD-ROM, en clé USB, au format numérique ou en version papier.</w:t>
      </w:r>
    </w:p>
    <w:p w14:paraId="4E64105B" w14:textId="77777777" w:rsidR="004F76FD" w:rsidRPr="00E15C2C" w:rsidRDefault="004F76FD" w:rsidP="00695590">
      <w:pPr>
        <w:pStyle w:val="TableNoBR"/>
        <w:spacing w:before="480"/>
      </w:pPr>
      <w:r w:rsidRPr="00E15C2C">
        <w:t>Tableau 8.1.4.5-1</w:t>
      </w:r>
    </w:p>
    <w:p w14:paraId="6FD44314" w14:textId="77777777" w:rsidR="004F76FD" w:rsidRPr="00E15C2C" w:rsidRDefault="004F76FD" w:rsidP="005E2152">
      <w:pPr>
        <w:pStyle w:val="TabletitleBR"/>
        <w:rPr>
          <w:bCs/>
        </w:rPr>
      </w:pPr>
      <w:r w:rsidRPr="00E15C2C">
        <w:t>Manuel maritime</w:t>
      </w:r>
    </w:p>
    <w:tbl>
      <w:tblPr>
        <w:tblStyle w:val="GridTable5Dark-Accent12"/>
        <w:tblW w:w="9617" w:type="dxa"/>
        <w:tblInd w:w="4" w:type="dxa"/>
        <w:tblLayout w:type="fixed"/>
        <w:tblLook w:val="04A0" w:firstRow="1" w:lastRow="0" w:firstColumn="1" w:lastColumn="0" w:noHBand="0" w:noVBand="1"/>
      </w:tblPr>
      <w:tblGrid>
        <w:gridCol w:w="1719"/>
        <w:gridCol w:w="1953"/>
        <w:gridCol w:w="1843"/>
        <w:gridCol w:w="2408"/>
        <w:gridCol w:w="1694"/>
      </w:tblGrid>
      <w:tr w:rsidR="004F76FD" w:rsidRPr="00E15C2C" w14:paraId="5C89EDD7" w14:textId="77777777" w:rsidTr="00695590">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719" w:type="dxa"/>
            <w:tcBorders>
              <w:top w:val="single" w:sz="8" w:space="0" w:color="FFFFFF"/>
              <w:left w:val="single" w:sz="8" w:space="0" w:color="FFFFFF"/>
              <w:bottom w:val="single" w:sz="8" w:space="0" w:color="FFFFFF"/>
            </w:tcBorders>
            <w:tcMar>
              <w:left w:w="108" w:type="dxa"/>
              <w:right w:w="108" w:type="dxa"/>
            </w:tcMar>
          </w:tcPr>
          <w:p w14:paraId="3D1E562B" w14:textId="77777777" w:rsidR="004F76FD" w:rsidRPr="00E15C2C" w:rsidRDefault="004F76FD" w:rsidP="003630EA">
            <w:pPr>
              <w:pStyle w:val="Tabletext"/>
              <w:rPr>
                <w:color w:val="FFFFFF" w:themeColor="background1"/>
                <w:szCs w:val="22"/>
              </w:rPr>
            </w:pPr>
          </w:p>
        </w:tc>
        <w:tc>
          <w:tcPr>
            <w:tcW w:w="1953" w:type="dxa"/>
            <w:tcBorders>
              <w:top w:val="single" w:sz="8" w:space="0" w:color="FFFFFF"/>
              <w:bottom w:val="single" w:sz="8" w:space="0" w:color="FFFFFF"/>
            </w:tcBorders>
            <w:tcMar>
              <w:left w:w="108" w:type="dxa"/>
              <w:right w:w="108" w:type="dxa"/>
            </w:tcMar>
          </w:tcPr>
          <w:p w14:paraId="4FDC8BDB" w14:textId="06CEC3D7" w:rsidR="004F76FD" w:rsidRPr="00E15C2C" w:rsidRDefault="004F76FD" w:rsidP="003630EA">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E15C2C">
              <w:rPr>
                <w:color w:val="FFFFFF" w:themeColor="background1"/>
                <w:szCs w:val="22"/>
              </w:rPr>
              <w:t>2022</w:t>
            </w:r>
            <w:r w:rsidR="00695590" w:rsidRPr="00E15C2C">
              <w:rPr>
                <w:color w:val="FFFFFF" w:themeColor="background1"/>
                <w:szCs w:val="22"/>
              </w:rPr>
              <w:br/>
            </w:r>
            <w:r w:rsidRPr="00E15C2C">
              <w:rPr>
                <w:color w:val="FFFFFF" w:themeColor="background1"/>
                <w:szCs w:val="22"/>
              </w:rPr>
              <w:t>Édition de 2020 du Manuel maritime</w:t>
            </w:r>
          </w:p>
        </w:tc>
        <w:tc>
          <w:tcPr>
            <w:tcW w:w="1843" w:type="dxa"/>
            <w:tcBorders>
              <w:top w:val="single" w:sz="8" w:space="0" w:color="FFFFFF"/>
              <w:bottom w:val="single" w:sz="8" w:space="0" w:color="FFFFFF"/>
            </w:tcBorders>
            <w:tcMar>
              <w:left w:w="108" w:type="dxa"/>
              <w:right w:w="108" w:type="dxa"/>
            </w:tcMar>
          </w:tcPr>
          <w:p w14:paraId="5AEE4166" w14:textId="7FEB8CEF" w:rsidR="004F76FD" w:rsidRPr="00E15C2C" w:rsidRDefault="004F76FD" w:rsidP="003630EA">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E15C2C">
              <w:rPr>
                <w:color w:val="FFFFFF" w:themeColor="background1"/>
                <w:szCs w:val="22"/>
              </w:rPr>
              <w:t>2023</w:t>
            </w:r>
            <w:r w:rsidR="00695590" w:rsidRPr="00E15C2C">
              <w:rPr>
                <w:color w:val="FFFFFF" w:themeColor="background1"/>
                <w:szCs w:val="22"/>
              </w:rPr>
              <w:br/>
            </w:r>
            <w:r w:rsidRPr="00E15C2C">
              <w:rPr>
                <w:color w:val="FFFFFF" w:themeColor="background1"/>
                <w:szCs w:val="22"/>
              </w:rPr>
              <w:t xml:space="preserve">Édition de 2020 du Manuel maritime </w:t>
            </w:r>
          </w:p>
        </w:tc>
        <w:tc>
          <w:tcPr>
            <w:tcW w:w="2408" w:type="dxa"/>
            <w:tcBorders>
              <w:top w:val="single" w:sz="8" w:space="0" w:color="FFFFFF"/>
              <w:bottom w:val="single" w:sz="8" w:space="0" w:color="FFFFFF"/>
              <w:right w:val="single" w:sz="8" w:space="0" w:color="FFFFFF"/>
            </w:tcBorders>
            <w:tcMar>
              <w:left w:w="108" w:type="dxa"/>
              <w:right w:w="108" w:type="dxa"/>
            </w:tcMar>
          </w:tcPr>
          <w:p w14:paraId="014FD507" w14:textId="6B38FD06" w:rsidR="004F76FD" w:rsidRPr="00E15C2C" w:rsidRDefault="004F76FD" w:rsidP="003630EA">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E15C2C">
              <w:rPr>
                <w:color w:val="FFFFFF" w:themeColor="background1"/>
                <w:szCs w:val="22"/>
              </w:rPr>
              <w:t>2024</w:t>
            </w:r>
            <w:r w:rsidR="00695590" w:rsidRPr="00E15C2C">
              <w:rPr>
                <w:color w:val="FFFFFF" w:themeColor="background1"/>
                <w:szCs w:val="22"/>
              </w:rPr>
              <w:br/>
            </w:r>
            <w:r w:rsidRPr="00E15C2C">
              <w:rPr>
                <w:color w:val="FFFFFF" w:themeColor="background1"/>
                <w:szCs w:val="22"/>
              </w:rPr>
              <w:t>Éditions</w:t>
            </w:r>
            <w:r w:rsidR="003630EA" w:rsidRPr="00E15C2C">
              <w:rPr>
                <w:color w:val="FFFFFF" w:themeColor="background1"/>
                <w:szCs w:val="22"/>
              </w:rPr>
              <w:t> </w:t>
            </w:r>
            <w:r w:rsidRPr="00E15C2C">
              <w:rPr>
                <w:color w:val="FFFFFF" w:themeColor="background1"/>
                <w:szCs w:val="22"/>
              </w:rPr>
              <w:t>de</w:t>
            </w:r>
            <w:r w:rsidR="003630EA" w:rsidRPr="00E15C2C">
              <w:rPr>
                <w:color w:val="FFFFFF" w:themeColor="background1"/>
                <w:szCs w:val="22"/>
              </w:rPr>
              <w:t> </w:t>
            </w:r>
            <w:r w:rsidRPr="00E15C2C">
              <w:rPr>
                <w:color w:val="FFFFFF" w:themeColor="background1"/>
                <w:szCs w:val="22"/>
              </w:rPr>
              <w:t>2020</w:t>
            </w:r>
            <w:r w:rsidR="003630EA" w:rsidRPr="00E15C2C">
              <w:rPr>
                <w:color w:val="FFFFFF" w:themeColor="background1"/>
                <w:szCs w:val="22"/>
              </w:rPr>
              <w:t> </w:t>
            </w:r>
            <w:r w:rsidRPr="00E15C2C">
              <w:rPr>
                <w:color w:val="FFFFFF" w:themeColor="background1"/>
                <w:szCs w:val="22"/>
              </w:rPr>
              <w:t>et</w:t>
            </w:r>
            <w:r w:rsidR="003630EA" w:rsidRPr="00E15C2C">
              <w:rPr>
                <w:color w:val="FFFFFF" w:themeColor="background1"/>
                <w:szCs w:val="22"/>
              </w:rPr>
              <w:t xml:space="preserve"> </w:t>
            </w:r>
            <w:r w:rsidRPr="00E15C2C">
              <w:rPr>
                <w:color w:val="FFFFFF" w:themeColor="background1"/>
                <w:szCs w:val="22"/>
              </w:rPr>
              <w:t>de 2024 du Manuel maritime</w:t>
            </w:r>
          </w:p>
        </w:tc>
        <w:tc>
          <w:tcPr>
            <w:tcW w:w="1694" w:type="dxa"/>
            <w:tcBorders>
              <w:top w:val="single" w:sz="8" w:space="0" w:color="FFFFFF"/>
              <w:bottom w:val="single" w:sz="8" w:space="0" w:color="FFFFFF"/>
              <w:right w:val="single" w:sz="8" w:space="0" w:color="FFFFFF"/>
            </w:tcBorders>
          </w:tcPr>
          <w:p w14:paraId="6EAC2164" w14:textId="699C350D" w:rsidR="004F76FD" w:rsidRPr="00E15C2C" w:rsidRDefault="004F76FD" w:rsidP="003630EA">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szCs w:val="22"/>
              </w:rPr>
            </w:pPr>
            <w:r w:rsidRPr="00E15C2C">
              <w:rPr>
                <w:color w:val="FFFFFF" w:themeColor="background1"/>
                <w:szCs w:val="22"/>
              </w:rPr>
              <w:t>2025</w:t>
            </w:r>
            <w:r w:rsidR="00695590" w:rsidRPr="00E15C2C">
              <w:rPr>
                <w:color w:val="FFFFFF" w:themeColor="background1"/>
                <w:szCs w:val="22"/>
              </w:rPr>
              <w:br/>
            </w:r>
            <w:r w:rsidRPr="00E15C2C">
              <w:rPr>
                <w:color w:val="FFFFFF" w:themeColor="background1"/>
                <w:szCs w:val="22"/>
              </w:rPr>
              <w:t>Édition</w:t>
            </w:r>
            <w:r w:rsidR="00695590" w:rsidRPr="00E15C2C">
              <w:rPr>
                <w:color w:val="FFFFFF" w:themeColor="background1"/>
                <w:szCs w:val="22"/>
              </w:rPr>
              <w:t xml:space="preserve"> </w:t>
            </w:r>
            <w:r w:rsidRPr="00E15C2C">
              <w:rPr>
                <w:color w:val="FFFFFF" w:themeColor="background1"/>
                <w:szCs w:val="22"/>
              </w:rPr>
              <w:t>de</w:t>
            </w:r>
            <w:r w:rsidR="00695590" w:rsidRPr="00E15C2C">
              <w:rPr>
                <w:color w:val="FFFFFF" w:themeColor="background1"/>
                <w:szCs w:val="22"/>
              </w:rPr>
              <w:t xml:space="preserve"> </w:t>
            </w:r>
            <w:r w:rsidRPr="00E15C2C">
              <w:rPr>
                <w:color w:val="FFFFFF" w:themeColor="background1"/>
                <w:szCs w:val="22"/>
              </w:rPr>
              <w:t>2024 du Manuel maritime</w:t>
            </w:r>
          </w:p>
        </w:tc>
      </w:tr>
      <w:tr w:rsidR="004F76FD" w:rsidRPr="00E15C2C" w14:paraId="6425F4F1" w14:textId="77777777" w:rsidTr="006955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27647DE" w14:textId="77777777" w:rsidR="004F76FD" w:rsidRPr="00E15C2C" w:rsidRDefault="004F76FD" w:rsidP="003630EA">
            <w:pPr>
              <w:pStyle w:val="Tabletext"/>
              <w:rPr>
                <w:szCs w:val="22"/>
              </w:rPr>
            </w:pPr>
            <w:r w:rsidRPr="00E15C2C">
              <w:rPr>
                <w:szCs w:val="22"/>
              </w:rPr>
              <w:t>Exemplaires papier vendus</w:t>
            </w:r>
          </w:p>
        </w:tc>
        <w:tc>
          <w:tcPr>
            <w:tcW w:w="195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7EAFE5AA"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189</w:t>
            </w:r>
          </w:p>
        </w:tc>
        <w:tc>
          <w:tcPr>
            <w:tcW w:w="184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D0A98AE"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73</w:t>
            </w:r>
          </w:p>
        </w:tc>
        <w:tc>
          <w:tcPr>
            <w:tcW w:w="240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5A9010AB"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Édition de 2020: 64</w:t>
            </w:r>
          </w:p>
          <w:p w14:paraId="63DC5892"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Édition de 2024: 148</w:t>
            </w:r>
          </w:p>
          <w:p w14:paraId="173EBAD3"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Total: 212</w:t>
            </w:r>
          </w:p>
        </w:tc>
        <w:tc>
          <w:tcPr>
            <w:tcW w:w="1694" w:type="dxa"/>
            <w:tcBorders>
              <w:top w:val="single" w:sz="8" w:space="0" w:color="FFFFFF"/>
              <w:left w:val="single" w:sz="8" w:space="0" w:color="FFFFFF"/>
              <w:bottom w:val="single" w:sz="8" w:space="0" w:color="FFFFFF"/>
              <w:right w:val="single" w:sz="8" w:space="0" w:color="FFFFFF"/>
            </w:tcBorders>
          </w:tcPr>
          <w:p w14:paraId="5C91E5B3"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519</w:t>
            </w:r>
          </w:p>
        </w:tc>
      </w:tr>
      <w:tr w:rsidR="004F76FD" w:rsidRPr="00E15C2C" w14:paraId="310116C6" w14:textId="77777777" w:rsidTr="00695590">
        <w:trPr>
          <w:trHeight w:val="315"/>
        </w:trPr>
        <w:tc>
          <w:tcPr>
            <w:cnfStyle w:val="001000000000" w:firstRow="0" w:lastRow="0" w:firstColumn="1" w:lastColumn="0" w:oddVBand="0" w:evenVBand="0" w:oddHBand="0" w:evenHBand="0" w:firstRowFirstColumn="0" w:firstRowLastColumn="0" w:lastRowFirstColumn="0" w:lastRowLastColumn="0"/>
            <w:tcW w:w="17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F32B77E" w14:textId="77777777" w:rsidR="004F76FD" w:rsidRPr="00E15C2C" w:rsidRDefault="004F76FD" w:rsidP="003630EA">
            <w:pPr>
              <w:pStyle w:val="Tabletext"/>
              <w:rPr>
                <w:szCs w:val="22"/>
              </w:rPr>
            </w:pPr>
            <w:r w:rsidRPr="00E15C2C">
              <w:rPr>
                <w:szCs w:val="22"/>
              </w:rPr>
              <w:t>CD-ROM vendus</w:t>
            </w:r>
          </w:p>
        </w:tc>
        <w:tc>
          <w:tcPr>
            <w:tcW w:w="195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77B60C80" w14:textId="777777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5 637</w:t>
            </w:r>
          </w:p>
        </w:tc>
        <w:tc>
          <w:tcPr>
            <w:tcW w:w="184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E0A7F64" w14:textId="777777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3 363</w:t>
            </w:r>
          </w:p>
        </w:tc>
        <w:tc>
          <w:tcPr>
            <w:tcW w:w="240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3C5E098" w14:textId="50E8476D"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2020:</w:t>
            </w:r>
            <w:r w:rsidR="003630EA" w:rsidRPr="00E15C2C">
              <w:rPr>
                <w:szCs w:val="22"/>
              </w:rPr>
              <w:t xml:space="preserve"> </w:t>
            </w:r>
            <w:r w:rsidRPr="00E15C2C">
              <w:rPr>
                <w:szCs w:val="22"/>
              </w:rPr>
              <w:t>2</w:t>
            </w:r>
            <w:r w:rsidR="003630EA" w:rsidRPr="00E15C2C">
              <w:rPr>
                <w:szCs w:val="22"/>
              </w:rPr>
              <w:t> </w:t>
            </w:r>
            <w:r w:rsidRPr="00E15C2C">
              <w:rPr>
                <w:szCs w:val="22"/>
              </w:rPr>
              <w:t>771</w:t>
            </w:r>
          </w:p>
          <w:p w14:paraId="2945E2B7" w14:textId="777777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Édition de 2024: 10 166</w:t>
            </w:r>
          </w:p>
          <w:p w14:paraId="7917427F" w14:textId="777777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Total: 12 937</w:t>
            </w:r>
          </w:p>
        </w:tc>
        <w:tc>
          <w:tcPr>
            <w:tcW w:w="1694" w:type="dxa"/>
            <w:tcBorders>
              <w:top w:val="single" w:sz="8" w:space="0" w:color="FFFFFF"/>
              <w:left w:val="single" w:sz="8" w:space="0" w:color="FFFFFF"/>
              <w:bottom w:val="single" w:sz="8" w:space="0" w:color="FFFFFF"/>
              <w:right w:val="single" w:sz="8" w:space="0" w:color="FFFFFF"/>
            </w:tcBorders>
          </w:tcPr>
          <w:p w14:paraId="0C5EEEF0" w14:textId="777777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18 132</w:t>
            </w:r>
          </w:p>
        </w:tc>
      </w:tr>
      <w:tr w:rsidR="004F76FD" w:rsidRPr="00E15C2C" w14:paraId="14834207" w14:textId="77777777" w:rsidTr="006955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1D37C81" w14:textId="77777777" w:rsidR="004F76FD" w:rsidRPr="00E15C2C" w:rsidRDefault="004F76FD" w:rsidP="003630EA">
            <w:pPr>
              <w:pStyle w:val="Tabletext"/>
              <w:rPr>
                <w:szCs w:val="22"/>
              </w:rPr>
            </w:pPr>
            <w:r w:rsidRPr="00E15C2C">
              <w:rPr>
                <w:szCs w:val="22"/>
              </w:rPr>
              <w:t>Clés USB vendues</w:t>
            </w:r>
          </w:p>
        </w:tc>
        <w:tc>
          <w:tcPr>
            <w:tcW w:w="195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795C1AC8" w14:textId="4C590E5A" w:rsidR="004F76FD" w:rsidRPr="00E15C2C" w:rsidRDefault="003630EA"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w:t>
            </w:r>
          </w:p>
        </w:tc>
        <w:tc>
          <w:tcPr>
            <w:tcW w:w="184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5D7C5427" w14:textId="02A9B390" w:rsidR="004F76FD" w:rsidRPr="00E15C2C" w:rsidRDefault="003630EA"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w:t>
            </w:r>
          </w:p>
        </w:tc>
        <w:tc>
          <w:tcPr>
            <w:tcW w:w="240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05B552C9" w14:textId="030113E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Édition de 2020:</w:t>
            </w:r>
            <w:r w:rsidR="003630EA" w:rsidRPr="00E15C2C">
              <w:rPr>
                <w:szCs w:val="22"/>
              </w:rPr>
              <w:t xml:space="preserve"> –</w:t>
            </w:r>
          </w:p>
          <w:p w14:paraId="18358ABD"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Édition de 2024: 440</w:t>
            </w:r>
          </w:p>
          <w:p w14:paraId="59184475"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Total: 440</w:t>
            </w:r>
          </w:p>
        </w:tc>
        <w:tc>
          <w:tcPr>
            <w:tcW w:w="1694" w:type="dxa"/>
            <w:tcBorders>
              <w:top w:val="single" w:sz="8" w:space="0" w:color="FFFFFF"/>
              <w:left w:val="single" w:sz="8" w:space="0" w:color="FFFFFF"/>
              <w:bottom w:val="single" w:sz="8" w:space="0" w:color="FFFFFF"/>
              <w:right w:val="single" w:sz="8" w:space="0" w:color="FFFFFF"/>
            </w:tcBorders>
          </w:tcPr>
          <w:p w14:paraId="13072781" w14:textId="77777777" w:rsidR="004F76FD" w:rsidRPr="00E15C2C" w:rsidRDefault="004F76FD" w:rsidP="003630EA">
            <w:pPr>
              <w:pStyle w:val="Tabletext"/>
              <w:cnfStyle w:val="000000100000" w:firstRow="0" w:lastRow="0" w:firstColumn="0" w:lastColumn="0" w:oddVBand="0" w:evenVBand="0" w:oddHBand="1" w:evenHBand="0" w:firstRowFirstColumn="0" w:firstRowLastColumn="0" w:lastRowFirstColumn="0" w:lastRowLastColumn="0"/>
              <w:rPr>
                <w:szCs w:val="22"/>
              </w:rPr>
            </w:pPr>
            <w:r w:rsidRPr="00E15C2C">
              <w:rPr>
                <w:szCs w:val="22"/>
              </w:rPr>
              <w:t>3 348</w:t>
            </w:r>
          </w:p>
        </w:tc>
      </w:tr>
      <w:tr w:rsidR="004F76FD" w:rsidRPr="00E15C2C" w14:paraId="6DCB3A4B" w14:textId="77777777" w:rsidTr="00695590">
        <w:trPr>
          <w:trHeight w:val="315"/>
        </w:trPr>
        <w:tc>
          <w:tcPr>
            <w:cnfStyle w:val="001000000000" w:firstRow="0" w:lastRow="0" w:firstColumn="1" w:lastColumn="0" w:oddVBand="0" w:evenVBand="0" w:oddHBand="0" w:evenHBand="0" w:firstRowFirstColumn="0" w:firstRowLastColumn="0" w:lastRowFirstColumn="0" w:lastRowLastColumn="0"/>
            <w:tcW w:w="17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0A88C8EF" w14:textId="77777777" w:rsidR="004F76FD" w:rsidRPr="00E15C2C" w:rsidRDefault="004F76FD" w:rsidP="003630EA">
            <w:pPr>
              <w:pStyle w:val="Tabletext"/>
              <w:rPr>
                <w:szCs w:val="22"/>
              </w:rPr>
            </w:pPr>
            <w:r w:rsidRPr="00E15C2C">
              <w:rPr>
                <w:szCs w:val="22"/>
              </w:rPr>
              <w:t>Format numérique</w:t>
            </w:r>
          </w:p>
        </w:tc>
        <w:tc>
          <w:tcPr>
            <w:tcW w:w="195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C9129C1" w14:textId="289C8B3A" w:rsidR="004F76FD" w:rsidRPr="00E15C2C" w:rsidRDefault="003630EA"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w:t>
            </w:r>
          </w:p>
        </w:tc>
        <w:tc>
          <w:tcPr>
            <w:tcW w:w="1843"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27FB9C0B" w14:textId="4D2F9686" w:rsidR="004F76FD" w:rsidRPr="00E15C2C" w:rsidRDefault="003630EA"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w:t>
            </w:r>
          </w:p>
        </w:tc>
        <w:tc>
          <w:tcPr>
            <w:tcW w:w="240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7A9E1E0C" w14:textId="5365610F"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Édition de 2020:</w:t>
            </w:r>
            <w:r w:rsidR="003630EA" w:rsidRPr="00E15C2C">
              <w:rPr>
                <w:szCs w:val="22"/>
              </w:rPr>
              <w:t xml:space="preserve"> –</w:t>
            </w:r>
          </w:p>
          <w:p w14:paraId="1EF39A36" w14:textId="777777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Édition de 2024: 277</w:t>
            </w:r>
          </w:p>
          <w:p w14:paraId="026FDA2B" w14:textId="777777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Total: 277</w:t>
            </w:r>
          </w:p>
        </w:tc>
        <w:tc>
          <w:tcPr>
            <w:tcW w:w="1694" w:type="dxa"/>
            <w:tcBorders>
              <w:top w:val="single" w:sz="8" w:space="0" w:color="FFFFFF"/>
              <w:left w:val="single" w:sz="8" w:space="0" w:color="FFFFFF"/>
              <w:bottom w:val="single" w:sz="8" w:space="0" w:color="FFFFFF"/>
              <w:right w:val="single" w:sz="8" w:space="0" w:color="FFFFFF"/>
            </w:tcBorders>
          </w:tcPr>
          <w:p w14:paraId="18116137" w14:textId="7A08F377" w:rsidR="004F76FD" w:rsidRPr="00E15C2C" w:rsidRDefault="004F76FD" w:rsidP="003630EA">
            <w:pPr>
              <w:pStyle w:val="Tabletext"/>
              <w:cnfStyle w:val="000000000000" w:firstRow="0" w:lastRow="0" w:firstColumn="0" w:lastColumn="0" w:oddVBand="0" w:evenVBand="0" w:oddHBand="0" w:evenHBand="0" w:firstRowFirstColumn="0" w:firstRowLastColumn="0" w:lastRowFirstColumn="0" w:lastRowLastColumn="0"/>
              <w:rPr>
                <w:szCs w:val="22"/>
              </w:rPr>
            </w:pPr>
            <w:r w:rsidRPr="00E15C2C">
              <w:rPr>
                <w:szCs w:val="22"/>
              </w:rPr>
              <w:t>4</w:t>
            </w:r>
            <w:r w:rsidR="003630EA" w:rsidRPr="00E15C2C">
              <w:rPr>
                <w:szCs w:val="22"/>
              </w:rPr>
              <w:t> </w:t>
            </w:r>
            <w:r w:rsidRPr="00E15C2C">
              <w:rPr>
                <w:szCs w:val="22"/>
              </w:rPr>
              <w:t>232</w:t>
            </w:r>
          </w:p>
        </w:tc>
      </w:tr>
    </w:tbl>
    <w:p w14:paraId="10DB3AD6" w14:textId="77777777" w:rsidR="004F76FD" w:rsidRPr="00E15C2C" w:rsidRDefault="004F76FD" w:rsidP="004F76FD">
      <w:pPr>
        <w:pStyle w:val="Heading2"/>
        <w:rPr>
          <w:i/>
        </w:rPr>
      </w:pPr>
      <w:bookmarkStart w:id="217" w:name="_Toc424047601"/>
      <w:bookmarkStart w:id="218" w:name="_Toc446060783"/>
      <w:bookmarkStart w:id="219" w:name="_Toc222308711"/>
      <w:bookmarkStart w:id="220" w:name="_Toc223425122"/>
      <w:bookmarkStart w:id="221" w:name="_Toc223425228"/>
      <w:bookmarkStart w:id="222" w:name="_Toc223427641"/>
      <w:bookmarkEnd w:id="215"/>
      <w:bookmarkEnd w:id="216"/>
      <w:r w:rsidRPr="00E15C2C">
        <w:rPr>
          <w:bCs/>
        </w:rPr>
        <w:lastRenderedPageBreak/>
        <w:t>8.2</w:t>
      </w:r>
      <w:r w:rsidRPr="00E15C2C">
        <w:tab/>
      </w:r>
      <w:r w:rsidRPr="00E15C2C">
        <w:rPr>
          <w:bCs/>
        </w:rPr>
        <w:t>Séminaires, ateliers et autres manifestations</w:t>
      </w:r>
      <w:bookmarkEnd w:id="217"/>
      <w:bookmarkEnd w:id="218"/>
      <w:bookmarkEnd w:id="219"/>
      <w:bookmarkEnd w:id="220"/>
      <w:bookmarkEnd w:id="221"/>
      <w:bookmarkEnd w:id="222"/>
    </w:p>
    <w:p w14:paraId="6464B2FD" w14:textId="0341A56E" w:rsidR="00B52B27" w:rsidRPr="00E15C2C" w:rsidRDefault="004F76FD" w:rsidP="00B52B27">
      <w:r w:rsidRPr="00E15C2C">
        <w:t>Une nouvelle série de séminaires WRS/RRS a été lancée au cours de la période intermédiaire entre deux CMR correspondant à la période 2024-2027. Ces séminaires visent à diffuser, à l'échelle mondiale, les mises à jour figurant dans l'édition de 2024 du Règlement des radiocommunications (et les décisions prises par la CMR-23), ainsi que les Règles de procédure associées et des informations actualisées sur les publications de l'UIT-R (Recommandations, Rapports, Manuels). Pour la période 2024-2027, il est prévu d'organiser deux séminaires WRS (un tous les deux ans), complétés par onze séminaires régionaux des radiocommunications (RRS).</w:t>
      </w:r>
    </w:p>
    <w:p w14:paraId="7E15D3A8" w14:textId="77777777" w:rsidR="004F76FD" w:rsidRPr="00E15C2C" w:rsidRDefault="004F76FD" w:rsidP="005E2152">
      <w:pPr>
        <w:pStyle w:val="TableNoBR"/>
        <w:keepLines/>
      </w:pPr>
      <w:r w:rsidRPr="00E15C2C">
        <w:t>TABLEAU 8.2-1</w:t>
      </w:r>
    </w:p>
    <w:p w14:paraId="2665C506" w14:textId="77777777" w:rsidR="004F76FD" w:rsidRPr="00E15C2C" w:rsidRDefault="004F76FD" w:rsidP="005E2152">
      <w:pPr>
        <w:pStyle w:val="TabletitleBR"/>
      </w:pPr>
      <w:r w:rsidRPr="00E15C2C">
        <w:t>Séminaires WRS/RRS pour la période 2024-2027</w:t>
      </w:r>
    </w:p>
    <w:tbl>
      <w:tblPr>
        <w:tblStyle w:val="TableGrid"/>
        <w:tblW w:w="5001" w:type="pct"/>
        <w:jc w:val="center"/>
        <w:tblLayout w:type="fixed"/>
        <w:tblLook w:val="04A0" w:firstRow="1" w:lastRow="0" w:firstColumn="1" w:lastColumn="0" w:noHBand="0" w:noVBand="1"/>
      </w:tblPr>
      <w:tblGrid>
        <w:gridCol w:w="1555"/>
        <w:gridCol w:w="1842"/>
        <w:gridCol w:w="1701"/>
        <w:gridCol w:w="1560"/>
        <w:gridCol w:w="1701"/>
        <w:gridCol w:w="1272"/>
      </w:tblGrid>
      <w:tr w:rsidR="004F76FD" w:rsidRPr="00E15C2C" w14:paraId="215DDAD0" w14:textId="77777777" w:rsidTr="00B52B27">
        <w:trPr>
          <w:trHeight w:val="300"/>
          <w:tblHeader/>
          <w:jc w:val="center"/>
        </w:trPr>
        <w:tc>
          <w:tcPr>
            <w:tcW w:w="1555" w:type="dxa"/>
            <w:shd w:val="clear" w:color="auto" w:fill="F2F2F2" w:themeFill="background1" w:themeFillShade="F2"/>
            <w:noWrap/>
            <w:hideMark/>
          </w:tcPr>
          <w:p w14:paraId="29444DB9" w14:textId="77777777" w:rsidR="004F76FD" w:rsidRPr="00E15C2C" w:rsidRDefault="004F76FD" w:rsidP="005E2152">
            <w:pPr>
              <w:pStyle w:val="Tablehead"/>
              <w:keepLines/>
              <w:rPr>
                <w:sz w:val="21"/>
                <w:szCs w:val="21"/>
              </w:rPr>
            </w:pPr>
          </w:p>
        </w:tc>
        <w:tc>
          <w:tcPr>
            <w:tcW w:w="1842" w:type="dxa"/>
            <w:shd w:val="clear" w:color="auto" w:fill="F2F2F2" w:themeFill="background1" w:themeFillShade="F2"/>
            <w:noWrap/>
            <w:hideMark/>
          </w:tcPr>
          <w:p w14:paraId="3C66842E" w14:textId="77777777" w:rsidR="004F76FD" w:rsidRPr="00E15C2C" w:rsidRDefault="004F76FD" w:rsidP="005E2152">
            <w:pPr>
              <w:pStyle w:val="Tablehead"/>
              <w:keepLines/>
              <w:rPr>
                <w:sz w:val="21"/>
                <w:szCs w:val="21"/>
              </w:rPr>
            </w:pPr>
            <w:r w:rsidRPr="00E15C2C">
              <w:rPr>
                <w:bCs/>
                <w:color w:val="000000"/>
              </w:rPr>
              <w:t>Langue</w:t>
            </w:r>
          </w:p>
        </w:tc>
        <w:tc>
          <w:tcPr>
            <w:tcW w:w="1701" w:type="dxa"/>
            <w:shd w:val="clear" w:color="auto" w:fill="F2F2F2" w:themeFill="background1" w:themeFillShade="F2"/>
            <w:noWrap/>
            <w:hideMark/>
          </w:tcPr>
          <w:p w14:paraId="43E9A79C" w14:textId="77777777" w:rsidR="004F76FD" w:rsidRPr="00E15C2C" w:rsidRDefault="004F76FD" w:rsidP="005E2152">
            <w:pPr>
              <w:pStyle w:val="Tablehead"/>
              <w:keepLines/>
              <w:rPr>
                <w:sz w:val="21"/>
                <w:szCs w:val="21"/>
              </w:rPr>
            </w:pPr>
            <w:r w:rsidRPr="00E15C2C">
              <w:rPr>
                <w:bCs/>
                <w:color w:val="000000"/>
              </w:rPr>
              <w:t>2024</w:t>
            </w:r>
          </w:p>
        </w:tc>
        <w:tc>
          <w:tcPr>
            <w:tcW w:w="1560" w:type="dxa"/>
            <w:shd w:val="clear" w:color="auto" w:fill="F2F2F2" w:themeFill="background1" w:themeFillShade="F2"/>
            <w:noWrap/>
            <w:hideMark/>
          </w:tcPr>
          <w:p w14:paraId="75CFEFC6" w14:textId="77777777" w:rsidR="004F76FD" w:rsidRPr="00E15C2C" w:rsidRDefault="004F76FD" w:rsidP="005E2152">
            <w:pPr>
              <w:pStyle w:val="Tablehead"/>
              <w:keepLines/>
              <w:rPr>
                <w:sz w:val="21"/>
                <w:szCs w:val="21"/>
              </w:rPr>
            </w:pPr>
            <w:r w:rsidRPr="00E15C2C">
              <w:rPr>
                <w:bCs/>
                <w:color w:val="000000"/>
              </w:rPr>
              <w:t>2025</w:t>
            </w:r>
          </w:p>
        </w:tc>
        <w:tc>
          <w:tcPr>
            <w:tcW w:w="1701" w:type="dxa"/>
            <w:shd w:val="clear" w:color="auto" w:fill="F2F2F2" w:themeFill="background1" w:themeFillShade="F2"/>
            <w:noWrap/>
            <w:hideMark/>
          </w:tcPr>
          <w:p w14:paraId="452E728B" w14:textId="77777777" w:rsidR="004F76FD" w:rsidRPr="00E15C2C" w:rsidRDefault="004F76FD" w:rsidP="005E2152">
            <w:pPr>
              <w:pStyle w:val="Tablehead"/>
              <w:keepLines/>
              <w:rPr>
                <w:sz w:val="21"/>
                <w:szCs w:val="21"/>
              </w:rPr>
            </w:pPr>
            <w:r w:rsidRPr="00E15C2C">
              <w:rPr>
                <w:bCs/>
                <w:color w:val="000000"/>
              </w:rPr>
              <w:t>2026</w:t>
            </w:r>
          </w:p>
        </w:tc>
        <w:tc>
          <w:tcPr>
            <w:tcW w:w="1272" w:type="dxa"/>
            <w:shd w:val="clear" w:color="auto" w:fill="F2F2F2" w:themeFill="background1" w:themeFillShade="F2"/>
            <w:noWrap/>
            <w:hideMark/>
          </w:tcPr>
          <w:p w14:paraId="21ED22D4" w14:textId="77777777" w:rsidR="004F76FD" w:rsidRPr="00E15C2C" w:rsidRDefault="004F76FD" w:rsidP="005E2152">
            <w:pPr>
              <w:pStyle w:val="Tablehead"/>
              <w:keepLines/>
              <w:rPr>
                <w:sz w:val="21"/>
                <w:szCs w:val="21"/>
              </w:rPr>
            </w:pPr>
            <w:r w:rsidRPr="00E15C2C">
              <w:rPr>
                <w:bCs/>
                <w:color w:val="000000"/>
              </w:rPr>
              <w:t>2027</w:t>
            </w:r>
          </w:p>
        </w:tc>
      </w:tr>
      <w:tr w:rsidR="004F76FD" w:rsidRPr="00E15C2C" w14:paraId="322094F9" w14:textId="77777777" w:rsidTr="00B52B27">
        <w:tblPrEx>
          <w:jc w:val="left"/>
        </w:tblPrEx>
        <w:trPr>
          <w:trHeight w:val="324"/>
        </w:trPr>
        <w:tc>
          <w:tcPr>
            <w:tcW w:w="1555" w:type="dxa"/>
            <w:shd w:val="clear" w:color="auto" w:fill="DAEEF3" w:themeFill="accent5" w:themeFillTint="33"/>
            <w:noWrap/>
            <w:hideMark/>
          </w:tcPr>
          <w:p w14:paraId="28A00F18" w14:textId="77777777" w:rsidR="004F76FD" w:rsidRPr="00E15C2C" w:rsidRDefault="004F76FD" w:rsidP="005E2152">
            <w:pPr>
              <w:pStyle w:val="Tabletext"/>
              <w:keepNext/>
              <w:keepLines/>
              <w:rPr>
                <w:b/>
                <w:bCs/>
                <w:sz w:val="21"/>
                <w:szCs w:val="21"/>
              </w:rPr>
            </w:pPr>
            <w:r w:rsidRPr="00E15C2C">
              <w:rPr>
                <w:b/>
                <w:bCs/>
              </w:rPr>
              <w:t>WRS (2)</w:t>
            </w:r>
          </w:p>
        </w:tc>
        <w:tc>
          <w:tcPr>
            <w:tcW w:w="1842" w:type="dxa"/>
            <w:noWrap/>
            <w:hideMark/>
          </w:tcPr>
          <w:p w14:paraId="1F6FC1AB" w14:textId="33157F70" w:rsidR="004F76FD" w:rsidRPr="00E15C2C" w:rsidRDefault="004F76FD" w:rsidP="00B52B27">
            <w:pPr>
              <w:pStyle w:val="Tabletext"/>
              <w:keepNext/>
              <w:keepLines/>
              <w:jc w:val="center"/>
              <w:rPr>
                <w:sz w:val="21"/>
                <w:szCs w:val="21"/>
              </w:rPr>
            </w:pPr>
            <w:r w:rsidRPr="00E15C2C">
              <w:rPr>
                <w:color w:val="000000"/>
              </w:rPr>
              <w:t>6 langues, séances plénières uniquement</w:t>
            </w:r>
          </w:p>
        </w:tc>
        <w:tc>
          <w:tcPr>
            <w:tcW w:w="1701" w:type="dxa"/>
            <w:noWrap/>
            <w:hideMark/>
          </w:tcPr>
          <w:p w14:paraId="1D658E92" w14:textId="77777777" w:rsidR="004F76FD" w:rsidRPr="00E15C2C" w:rsidRDefault="004F76FD" w:rsidP="00B52B27">
            <w:pPr>
              <w:pStyle w:val="Tabletext"/>
              <w:keepNext/>
              <w:keepLines/>
              <w:jc w:val="center"/>
              <w:rPr>
                <w:sz w:val="21"/>
                <w:szCs w:val="21"/>
              </w:rPr>
            </w:pPr>
            <w:r w:rsidRPr="00E15C2C">
              <w:rPr>
                <w:color w:val="000000"/>
              </w:rPr>
              <w:t>2-6 décembre</w:t>
            </w:r>
          </w:p>
          <w:p w14:paraId="5C1B3B86" w14:textId="3169635C" w:rsidR="004F76FD" w:rsidRPr="00E15C2C" w:rsidRDefault="004F76FD" w:rsidP="00B52B27">
            <w:pPr>
              <w:pStyle w:val="Tabletext"/>
              <w:keepNext/>
              <w:keepLines/>
              <w:jc w:val="center"/>
              <w:rPr>
                <w:sz w:val="21"/>
                <w:szCs w:val="21"/>
              </w:rPr>
            </w:pPr>
            <w:r w:rsidRPr="00E15C2C">
              <w:rPr>
                <w:color w:val="000000"/>
              </w:rPr>
              <w:t>Genève</w:t>
            </w:r>
          </w:p>
        </w:tc>
        <w:tc>
          <w:tcPr>
            <w:tcW w:w="1560" w:type="dxa"/>
            <w:noWrap/>
            <w:hideMark/>
          </w:tcPr>
          <w:p w14:paraId="1BC75E45" w14:textId="77777777" w:rsidR="004F76FD" w:rsidRPr="00E15C2C" w:rsidRDefault="004F76FD" w:rsidP="00B52B27">
            <w:pPr>
              <w:pStyle w:val="Tabletext"/>
              <w:keepNext/>
              <w:keepLines/>
              <w:jc w:val="center"/>
              <w:rPr>
                <w:sz w:val="21"/>
                <w:szCs w:val="21"/>
              </w:rPr>
            </w:pPr>
            <w:r w:rsidRPr="00E15C2C">
              <w:rPr>
                <w:color w:val="000000"/>
              </w:rPr>
              <w:t>−</w:t>
            </w:r>
          </w:p>
        </w:tc>
        <w:tc>
          <w:tcPr>
            <w:tcW w:w="1701" w:type="dxa"/>
            <w:noWrap/>
            <w:hideMark/>
          </w:tcPr>
          <w:p w14:paraId="4A7847B2" w14:textId="77777777" w:rsidR="004F76FD" w:rsidRPr="00E15C2C" w:rsidRDefault="004F76FD" w:rsidP="00B52B27">
            <w:pPr>
              <w:pStyle w:val="Tabletext"/>
              <w:keepNext/>
              <w:keepLines/>
              <w:jc w:val="center"/>
              <w:rPr>
                <w:sz w:val="21"/>
                <w:szCs w:val="21"/>
              </w:rPr>
            </w:pPr>
            <w:r w:rsidRPr="00E15C2C">
              <w:rPr>
                <w:color w:val="000000"/>
              </w:rPr>
              <w:t>7-11 décembre</w:t>
            </w:r>
          </w:p>
          <w:p w14:paraId="03634E36" w14:textId="77777777" w:rsidR="004F76FD" w:rsidRPr="00E15C2C" w:rsidRDefault="004F76FD" w:rsidP="00B52B27">
            <w:pPr>
              <w:pStyle w:val="Tabletext"/>
              <w:keepNext/>
              <w:keepLines/>
              <w:jc w:val="center"/>
              <w:rPr>
                <w:sz w:val="21"/>
                <w:szCs w:val="21"/>
              </w:rPr>
            </w:pPr>
            <w:r w:rsidRPr="00E15C2C">
              <w:rPr>
                <w:color w:val="000000"/>
              </w:rPr>
              <w:t>Genève</w:t>
            </w:r>
          </w:p>
        </w:tc>
        <w:tc>
          <w:tcPr>
            <w:tcW w:w="1272" w:type="dxa"/>
            <w:noWrap/>
            <w:hideMark/>
          </w:tcPr>
          <w:p w14:paraId="13BC193A" w14:textId="77777777" w:rsidR="004F76FD" w:rsidRPr="00E15C2C" w:rsidRDefault="004F76FD" w:rsidP="00B52B27">
            <w:pPr>
              <w:pStyle w:val="Tabletext"/>
              <w:keepNext/>
              <w:keepLines/>
              <w:jc w:val="center"/>
              <w:rPr>
                <w:sz w:val="21"/>
                <w:szCs w:val="21"/>
              </w:rPr>
            </w:pPr>
            <w:r w:rsidRPr="00E15C2C">
              <w:rPr>
                <w:color w:val="000000"/>
              </w:rPr>
              <w:t>−</w:t>
            </w:r>
          </w:p>
        </w:tc>
      </w:tr>
      <w:tr w:rsidR="004F76FD" w:rsidRPr="00E15C2C" w14:paraId="3F2FBBC7" w14:textId="77777777" w:rsidTr="00B52B27">
        <w:trPr>
          <w:trHeight w:val="324"/>
          <w:jc w:val="center"/>
        </w:trPr>
        <w:tc>
          <w:tcPr>
            <w:tcW w:w="9631" w:type="dxa"/>
            <w:gridSpan w:val="6"/>
            <w:shd w:val="clear" w:color="auto" w:fill="F2F2F2" w:themeFill="background1" w:themeFillShade="F2"/>
            <w:noWrap/>
            <w:hideMark/>
          </w:tcPr>
          <w:p w14:paraId="26FFD233" w14:textId="77777777" w:rsidR="004F76FD" w:rsidRPr="00E15C2C" w:rsidRDefault="004F76FD" w:rsidP="005E2152">
            <w:pPr>
              <w:pStyle w:val="Tabletext"/>
              <w:keepNext/>
              <w:keepLines/>
              <w:rPr>
                <w:b/>
                <w:sz w:val="21"/>
                <w:szCs w:val="21"/>
              </w:rPr>
            </w:pPr>
            <w:r w:rsidRPr="00E15C2C">
              <w:rPr>
                <w:b/>
                <w:color w:val="000000"/>
              </w:rPr>
              <w:t>RRS (11)</w:t>
            </w:r>
          </w:p>
        </w:tc>
      </w:tr>
      <w:tr w:rsidR="004F76FD" w:rsidRPr="00E15C2C" w14:paraId="2F32C70C" w14:textId="77777777" w:rsidTr="00B52B27">
        <w:trPr>
          <w:trHeight w:val="429"/>
          <w:jc w:val="center"/>
        </w:trPr>
        <w:tc>
          <w:tcPr>
            <w:tcW w:w="9631" w:type="dxa"/>
            <w:gridSpan w:val="6"/>
            <w:shd w:val="clear" w:color="auto" w:fill="F2F2F2" w:themeFill="background1" w:themeFillShade="F2"/>
            <w:hideMark/>
          </w:tcPr>
          <w:p w14:paraId="2543A58D" w14:textId="77777777" w:rsidR="004F76FD" w:rsidRPr="00E15C2C" w:rsidRDefault="004F76FD" w:rsidP="005E2152">
            <w:pPr>
              <w:pStyle w:val="Tabletext"/>
              <w:keepNext/>
              <w:keepLines/>
              <w:rPr>
                <w:b/>
                <w:i/>
                <w:sz w:val="21"/>
                <w:szCs w:val="21"/>
              </w:rPr>
            </w:pPr>
            <w:r w:rsidRPr="00E15C2C">
              <w:rPr>
                <w:b/>
                <w:color w:val="000000"/>
              </w:rPr>
              <w:t>Région Afrique: AFR (2)</w:t>
            </w:r>
          </w:p>
        </w:tc>
      </w:tr>
      <w:tr w:rsidR="004F76FD" w:rsidRPr="00E15C2C" w14:paraId="1DFD3499" w14:textId="77777777" w:rsidTr="00B52B27">
        <w:trPr>
          <w:trHeight w:val="383"/>
          <w:jc w:val="center"/>
        </w:trPr>
        <w:tc>
          <w:tcPr>
            <w:tcW w:w="1555" w:type="dxa"/>
            <w:noWrap/>
            <w:hideMark/>
          </w:tcPr>
          <w:p w14:paraId="4A0AF35F" w14:textId="77777777" w:rsidR="004F76FD" w:rsidRPr="00E15C2C" w:rsidRDefault="004F76FD" w:rsidP="004E3263">
            <w:pPr>
              <w:pStyle w:val="Tabletext"/>
              <w:rPr>
                <w:sz w:val="21"/>
                <w:szCs w:val="21"/>
              </w:rPr>
            </w:pPr>
            <w:r w:rsidRPr="00E15C2C">
              <w:rPr>
                <w:color w:val="000000"/>
              </w:rPr>
              <w:t>Afrique</w:t>
            </w:r>
          </w:p>
        </w:tc>
        <w:tc>
          <w:tcPr>
            <w:tcW w:w="1842" w:type="dxa"/>
            <w:noWrap/>
            <w:hideMark/>
          </w:tcPr>
          <w:p w14:paraId="21275F73" w14:textId="25307D52" w:rsidR="004F76FD" w:rsidRPr="00E15C2C" w:rsidRDefault="004F76FD" w:rsidP="00B52B27">
            <w:pPr>
              <w:pStyle w:val="Tabletext"/>
              <w:jc w:val="center"/>
              <w:rPr>
                <w:sz w:val="21"/>
                <w:szCs w:val="21"/>
              </w:rPr>
            </w:pPr>
            <w:r w:rsidRPr="00E15C2C">
              <w:rPr>
                <w:color w:val="000000"/>
              </w:rPr>
              <w:t>Anglais/arabe/</w:t>
            </w:r>
            <w:r w:rsidR="003630EA" w:rsidRPr="00E15C2C">
              <w:rPr>
                <w:color w:val="000000"/>
              </w:rPr>
              <w:br/>
            </w:r>
            <w:r w:rsidRPr="00E15C2C">
              <w:rPr>
                <w:color w:val="000000"/>
              </w:rPr>
              <w:t>français</w:t>
            </w:r>
          </w:p>
        </w:tc>
        <w:tc>
          <w:tcPr>
            <w:tcW w:w="1701" w:type="dxa"/>
            <w:noWrap/>
            <w:hideMark/>
          </w:tcPr>
          <w:p w14:paraId="7E8593BE" w14:textId="77777777" w:rsidR="004F76FD" w:rsidRPr="00E15C2C" w:rsidRDefault="004F76FD" w:rsidP="00B52B27">
            <w:pPr>
              <w:pStyle w:val="Tabletext"/>
              <w:jc w:val="center"/>
              <w:rPr>
                <w:sz w:val="21"/>
                <w:szCs w:val="21"/>
              </w:rPr>
            </w:pPr>
            <w:r w:rsidRPr="00E15C2C">
              <w:rPr>
                <w:color w:val="000000"/>
              </w:rPr>
              <w:t>−</w:t>
            </w:r>
          </w:p>
        </w:tc>
        <w:tc>
          <w:tcPr>
            <w:tcW w:w="1560" w:type="dxa"/>
            <w:hideMark/>
          </w:tcPr>
          <w:p w14:paraId="6581DF79" w14:textId="0DF28B4D" w:rsidR="004F76FD" w:rsidRPr="00E15C2C" w:rsidRDefault="004F76FD" w:rsidP="00B52B27">
            <w:pPr>
              <w:pStyle w:val="Tabletext"/>
              <w:tabs>
                <w:tab w:val="clear" w:pos="1134"/>
              </w:tabs>
              <w:ind w:left="-82" w:right="-81"/>
              <w:jc w:val="center"/>
              <w:rPr>
                <w:sz w:val="21"/>
                <w:szCs w:val="21"/>
              </w:rPr>
            </w:pPr>
            <w:r w:rsidRPr="00E15C2C">
              <w:rPr>
                <w:color w:val="000000"/>
              </w:rPr>
              <w:t>5-8 mai</w:t>
            </w:r>
            <w:r w:rsidR="00B52B27" w:rsidRPr="00E15C2C">
              <w:rPr>
                <w:color w:val="000000"/>
              </w:rPr>
              <w:br/>
            </w:r>
            <w:r w:rsidRPr="00E15C2C">
              <w:rPr>
                <w:color w:val="000000"/>
              </w:rPr>
              <w:t>Ville de Djibouti (Djibouti)</w:t>
            </w:r>
          </w:p>
        </w:tc>
        <w:tc>
          <w:tcPr>
            <w:tcW w:w="1701" w:type="dxa"/>
            <w:noWrap/>
            <w:hideMark/>
          </w:tcPr>
          <w:p w14:paraId="4267241C" w14:textId="77777777" w:rsidR="004F76FD" w:rsidRPr="00E15C2C" w:rsidRDefault="004F76FD" w:rsidP="00B52B27">
            <w:pPr>
              <w:pStyle w:val="Tabletext"/>
              <w:jc w:val="center"/>
              <w:rPr>
                <w:sz w:val="21"/>
                <w:szCs w:val="21"/>
              </w:rPr>
            </w:pPr>
            <w:r w:rsidRPr="00E15C2C">
              <w:rPr>
                <w:color w:val="000000"/>
              </w:rPr>
              <w:t>−</w:t>
            </w:r>
          </w:p>
        </w:tc>
        <w:tc>
          <w:tcPr>
            <w:tcW w:w="1272" w:type="dxa"/>
            <w:noWrap/>
            <w:hideMark/>
          </w:tcPr>
          <w:p w14:paraId="09E12961"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7B09A309" w14:textId="77777777" w:rsidTr="00B52B27">
        <w:trPr>
          <w:trHeight w:val="300"/>
          <w:jc w:val="center"/>
        </w:trPr>
        <w:tc>
          <w:tcPr>
            <w:tcW w:w="1555" w:type="dxa"/>
            <w:noWrap/>
            <w:hideMark/>
          </w:tcPr>
          <w:p w14:paraId="15D79A91" w14:textId="77777777" w:rsidR="004F76FD" w:rsidRPr="00E15C2C" w:rsidRDefault="004F76FD" w:rsidP="004E3263">
            <w:pPr>
              <w:pStyle w:val="Tabletext"/>
              <w:rPr>
                <w:sz w:val="21"/>
                <w:szCs w:val="21"/>
              </w:rPr>
            </w:pPr>
            <w:r w:rsidRPr="00E15C2C">
              <w:rPr>
                <w:color w:val="000000"/>
              </w:rPr>
              <w:t>Afrique</w:t>
            </w:r>
          </w:p>
        </w:tc>
        <w:tc>
          <w:tcPr>
            <w:tcW w:w="1842" w:type="dxa"/>
            <w:noWrap/>
            <w:hideMark/>
          </w:tcPr>
          <w:p w14:paraId="0B515D02" w14:textId="77777777" w:rsidR="004F76FD" w:rsidRPr="00E15C2C" w:rsidRDefault="004F76FD" w:rsidP="00B52B27">
            <w:pPr>
              <w:pStyle w:val="Tabletext"/>
              <w:jc w:val="center"/>
              <w:rPr>
                <w:sz w:val="21"/>
                <w:szCs w:val="21"/>
              </w:rPr>
            </w:pPr>
            <w:r w:rsidRPr="00E15C2C">
              <w:rPr>
                <w:color w:val="000000"/>
              </w:rPr>
              <w:t>Anglais/français</w:t>
            </w:r>
          </w:p>
        </w:tc>
        <w:tc>
          <w:tcPr>
            <w:tcW w:w="1701" w:type="dxa"/>
            <w:noWrap/>
            <w:hideMark/>
          </w:tcPr>
          <w:p w14:paraId="4B69CF45" w14:textId="77777777" w:rsidR="004F76FD" w:rsidRPr="00E15C2C" w:rsidRDefault="004F76FD" w:rsidP="00B52B27">
            <w:pPr>
              <w:pStyle w:val="Tabletext"/>
              <w:jc w:val="center"/>
              <w:rPr>
                <w:sz w:val="21"/>
                <w:szCs w:val="21"/>
              </w:rPr>
            </w:pPr>
            <w:r w:rsidRPr="00E15C2C">
              <w:rPr>
                <w:color w:val="000000"/>
              </w:rPr>
              <w:t>−</w:t>
            </w:r>
          </w:p>
        </w:tc>
        <w:tc>
          <w:tcPr>
            <w:tcW w:w="1560" w:type="dxa"/>
            <w:noWrap/>
            <w:hideMark/>
          </w:tcPr>
          <w:p w14:paraId="35417717" w14:textId="77777777" w:rsidR="004F76FD" w:rsidRPr="00E15C2C" w:rsidRDefault="004F76FD" w:rsidP="00B52B27">
            <w:pPr>
              <w:pStyle w:val="Tabletext"/>
              <w:jc w:val="center"/>
              <w:rPr>
                <w:sz w:val="21"/>
                <w:szCs w:val="21"/>
              </w:rPr>
            </w:pPr>
            <w:r w:rsidRPr="00E15C2C">
              <w:rPr>
                <w:color w:val="000000"/>
              </w:rPr>
              <w:t>−</w:t>
            </w:r>
          </w:p>
        </w:tc>
        <w:tc>
          <w:tcPr>
            <w:tcW w:w="1701" w:type="dxa"/>
            <w:noWrap/>
            <w:hideMark/>
          </w:tcPr>
          <w:p w14:paraId="2B826BD9" w14:textId="77777777" w:rsidR="004F76FD" w:rsidRPr="00E15C2C" w:rsidRDefault="004F76FD" w:rsidP="00B52B27">
            <w:pPr>
              <w:pStyle w:val="Tabletext"/>
              <w:jc w:val="center"/>
              <w:rPr>
                <w:sz w:val="21"/>
                <w:szCs w:val="21"/>
              </w:rPr>
            </w:pPr>
            <w:r w:rsidRPr="00E15C2C">
              <w:rPr>
                <w:color w:val="000000"/>
              </w:rPr>
              <w:t>−</w:t>
            </w:r>
          </w:p>
        </w:tc>
        <w:tc>
          <w:tcPr>
            <w:tcW w:w="1272" w:type="dxa"/>
            <w:hideMark/>
          </w:tcPr>
          <w:p w14:paraId="45702A0A" w14:textId="77777777" w:rsidR="004F76FD" w:rsidRPr="00E15C2C" w:rsidRDefault="004F76FD" w:rsidP="00B52B27">
            <w:pPr>
              <w:pStyle w:val="Tabletext"/>
              <w:jc w:val="center"/>
              <w:rPr>
                <w:sz w:val="21"/>
                <w:szCs w:val="21"/>
              </w:rPr>
            </w:pPr>
            <w:r w:rsidRPr="00E15C2C">
              <w:rPr>
                <w:color w:val="000000"/>
              </w:rPr>
              <w:t>2ème trimestre</w:t>
            </w:r>
          </w:p>
        </w:tc>
      </w:tr>
      <w:tr w:rsidR="004F76FD" w:rsidRPr="00E15C2C" w14:paraId="6636BAE8" w14:textId="77777777" w:rsidTr="00B52B27">
        <w:trPr>
          <w:trHeight w:val="300"/>
          <w:jc w:val="center"/>
        </w:trPr>
        <w:tc>
          <w:tcPr>
            <w:tcW w:w="9631" w:type="dxa"/>
            <w:gridSpan w:val="6"/>
            <w:shd w:val="clear" w:color="auto" w:fill="F2F2F2" w:themeFill="background1" w:themeFillShade="F2"/>
            <w:hideMark/>
          </w:tcPr>
          <w:p w14:paraId="3BC09591" w14:textId="77777777" w:rsidR="004F76FD" w:rsidRPr="00E15C2C" w:rsidRDefault="004F76FD" w:rsidP="004E3263">
            <w:pPr>
              <w:pStyle w:val="Tabletext"/>
              <w:rPr>
                <w:b/>
                <w:sz w:val="21"/>
                <w:szCs w:val="21"/>
              </w:rPr>
            </w:pPr>
            <w:r w:rsidRPr="00E15C2C">
              <w:rPr>
                <w:b/>
                <w:color w:val="000000"/>
              </w:rPr>
              <w:t>Région Amériques: AMS (3)</w:t>
            </w:r>
          </w:p>
        </w:tc>
      </w:tr>
      <w:tr w:rsidR="004F76FD" w:rsidRPr="00E15C2C" w14:paraId="28E2D2A9" w14:textId="77777777" w:rsidTr="00B52B27">
        <w:trPr>
          <w:trHeight w:val="576"/>
          <w:jc w:val="center"/>
        </w:trPr>
        <w:tc>
          <w:tcPr>
            <w:tcW w:w="1555" w:type="dxa"/>
            <w:noWrap/>
          </w:tcPr>
          <w:p w14:paraId="5CAD5150" w14:textId="77777777" w:rsidR="004F76FD" w:rsidRPr="00E15C2C" w:rsidRDefault="004F76FD" w:rsidP="004E3263">
            <w:pPr>
              <w:pStyle w:val="Tabletext"/>
              <w:rPr>
                <w:sz w:val="21"/>
                <w:szCs w:val="21"/>
              </w:rPr>
            </w:pPr>
            <w:r w:rsidRPr="00E15C2C">
              <w:rPr>
                <w:color w:val="000000"/>
              </w:rPr>
              <w:t>Caraïbes</w:t>
            </w:r>
          </w:p>
        </w:tc>
        <w:tc>
          <w:tcPr>
            <w:tcW w:w="1842" w:type="dxa"/>
            <w:noWrap/>
          </w:tcPr>
          <w:p w14:paraId="00154DA5" w14:textId="77777777" w:rsidR="004F76FD" w:rsidRPr="00E15C2C" w:rsidRDefault="004F76FD" w:rsidP="00B52B27">
            <w:pPr>
              <w:pStyle w:val="Tabletext"/>
              <w:jc w:val="center"/>
              <w:rPr>
                <w:sz w:val="21"/>
                <w:szCs w:val="21"/>
              </w:rPr>
            </w:pPr>
            <w:r w:rsidRPr="00E15C2C">
              <w:rPr>
                <w:color w:val="000000"/>
              </w:rPr>
              <w:t>Anglais</w:t>
            </w:r>
          </w:p>
        </w:tc>
        <w:tc>
          <w:tcPr>
            <w:tcW w:w="1701" w:type="dxa"/>
          </w:tcPr>
          <w:p w14:paraId="45C32E08" w14:textId="4171DEF9" w:rsidR="004F76FD" w:rsidRPr="00E15C2C" w:rsidRDefault="004F76FD" w:rsidP="00B52B27">
            <w:pPr>
              <w:pStyle w:val="Tabletext"/>
              <w:jc w:val="center"/>
              <w:rPr>
                <w:sz w:val="21"/>
                <w:szCs w:val="21"/>
              </w:rPr>
            </w:pPr>
            <w:r w:rsidRPr="00E15C2C">
              <w:rPr>
                <w:color w:val="000000"/>
              </w:rPr>
              <w:t>22-27 juillet</w:t>
            </w:r>
            <w:r w:rsidR="00B52B27" w:rsidRPr="00E15C2C">
              <w:rPr>
                <w:color w:val="000000"/>
              </w:rPr>
              <w:br/>
            </w:r>
            <w:r w:rsidRPr="00E15C2C">
              <w:rPr>
                <w:color w:val="000000"/>
              </w:rPr>
              <w:t>Saint-Georges (Grenade)</w:t>
            </w:r>
          </w:p>
        </w:tc>
        <w:tc>
          <w:tcPr>
            <w:tcW w:w="1560" w:type="dxa"/>
            <w:noWrap/>
          </w:tcPr>
          <w:p w14:paraId="6BC9CF1B" w14:textId="77777777" w:rsidR="004F76FD" w:rsidRPr="00E15C2C" w:rsidRDefault="004F76FD" w:rsidP="00B52B27">
            <w:pPr>
              <w:pStyle w:val="Tabletext"/>
              <w:jc w:val="center"/>
              <w:rPr>
                <w:sz w:val="21"/>
                <w:szCs w:val="21"/>
              </w:rPr>
            </w:pPr>
            <w:r w:rsidRPr="00E15C2C">
              <w:rPr>
                <w:color w:val="000000"/>
              </w:rPr>
              <w:t>−</w:t>
            </w:r>
          </w:p>
        </w:tc>
        <w:tc>
          <w:tcPr>
            <w:tcW w:w="1701" w:type="dxa"/>
            <w:noWrap/>
          </w:tcPr>
          <w:p w14:paraId="381B35B8" w14:textId="77777777" w:rsidR="004F76FD" w:rsidRPr="00E15C2C" w:rsidRDefault="004F76FD" w:rsidP="00B52B27">
            <w:pPr>
              <w:pStyle w:val="Tabletext"/>
              <w:jc w:val="center"/>
              <w:rPr>
                <w:sz w:val="21"/>
                <w:szCs w:val="21"/>
              </w:rPr>
            </w:pPr>
            <w:r w:rsidRPr="00E15C2C">
              <w:rPr>
                <w:color w:val="000000"/>
              </w:rPr>
              <w:t>−</w:t>
            </w:r>
          </w:p>
        </w:tc>
        <w:tc>
          <w:tcPr>
            <w:tcW w:w="1272" w:type="dxa"/>
            <w:noWrap/>
          </w:tcPr>
          <w:p w14:paraId="06E8B7E0"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7264ABDA" w14:textId="77777777" w:rsidTr="00B52B27">
        <w:trPr>
          <w:trHeight w:val="227"/>
          <w:jc w:val="center"/>
        </w:trPr>
        <w:tc>
          <w:tcPr>
            <w:tcW w:w="1555" w:type="dxa"/>
            <w:noWrap/>
            <w:hideMark/>
          </w:tcPr>
          <w:p w14:paraId="20B85F69" w14:textId="77777777" w:rsidR="004F76FD" w:rsidRPr="00E15C2C" w:rsidRDefault="004F76FD" w:rsidP="004E3263">
            <w:pPr>
              <w:pStyle w:val="Tabletext"/>
              <w:rPr>
                <w:sz w:val="21"/>
                <w:szCs w:val="21"/>
              </w:rPr>
            </w:pPr>
            <w:r w:rsidRPr="00E15C2C">
              <w:rPr>
                <w:color w:val="000000"/>
              </w:rPr>
              <w:t xml:space="preserve">Amérique du Sud </w:t>
            </w:r>
          </w:p>
        </w:tc>
        <w:tc>
          <w:tcPr>
            <w:tcW w:w="1842" w:type="dxa"/>
            <w:noWrap/>
            <w:hideMark/>
          </w:tcPr>
          <w:p w14:paraId="5C30F398" w14:textId="15330DA0" w:rsidR="004F76FD" w:rsidRPr="00E15C2C" w:rsidRDefault="004F76FD" w:rsidP="00B52B27">
            <w:pPr>
              <w:pStyle w:val="Tabletext"/>
              <w:jc w:val="center"/>
              <w:rPr>
                <w:sz w:val="21"/>
                <w:szCs w:val="21"/>
              </w:rPr>
            </w:pPr>
            <w:r w:rsidRPr="00E15C2C">
              <w:rPr>
                <w:color w:val="000000"/>
              </w:rPr>
              <w:t>Anglais/espagn</w:t>
            </w:r>
            <w:r w:rsidR="003630EA" w:rsidRPr="00E15C2C">
              <w:rPr>
                <w:color w:val="000000"/>
              </w:rPr>
              <w:t>o</w:t>
            </w:r>
            <w:r w:rsidRPr="00E15C2C">
              <w:rPr>
                <w:color w:val="000000"/>
              </w:rPr>
              <w:t>l</w:t>
            </w:r>
          </w:p>
        </w:tc>
        <w:tc>
          <w:tcPr>
            <w:tcW w:w="1701" w:type="dxa"/>
            <w:hideMark/>
          </w:tcPr>
          <w:p w14:paraId="5CFDEDC0" w14:textId="77777777" w:rsidR="004F76FD" w:rsidRPr="00E15C2C" w:rsidRDefault="004F76FD" w:rsidP="00B52B27">
            <w:pPr>
              <w:pStyle w:val="Tabletext"/>
              <w:jc w:val="center"/>
              <w:rPr>
                <w:sz w:val="21"/>
                <w:szCs w:val="21"/>
              </w:rPr>
            </w:pPr>
            <w:r w:rsidRPr="00E15C2C">
              <w:rPr>
                <w:color w:val="000000"/>
              </w:rPr>
              <w:t>−</w:t>
            </w:r>
          </w:p>
        </w:tc>
        <w:tc>
          <w:tcPr>
            <w:tcW w:w="1560" w:type="dxa"/>
            <w:noWrap/>
            <w:hideMark/>
          </w:tcPr>
          <w:p w14:paraId="1496CF4C" w14:textId="629E6E51" w:rsidR="004F76FD" w:rsidRPr="00E15C2C" w:rsidRDefault="004F76FD" w:rsidP="00B52B27">
            <w:pPr>
              <w:pStyle w:val="Tabletext"/>
              <w:jc w:val="center"/>
              <w:rPr>
                <w:sz w:val="21"/>
                <w:szCs w:val="21"/>
              </w:rPr>
            </w:pPr>
          </w:p>
        </w:tc>
        <w:tc>
          <w:tcPr>
            <w:tcW w:w="1701" w:type="dxa"/>
            <w:noWrap/>
            <w:hideMark/>
          </w:tcPr>
          <w:p w14:paraId="77734B4D" w14:textId="697DD0F4" w:rsidR="004F76FD" w:rsidRPr="00E15C2C" w:rsidRDefault="004F76FD" w:rsidP="00B52B27">
            <w:pPr>
              <w:pStyle w:val="Tabletext"/>
              <w:jc w:val="center"/>
              <w:rPr>
                <w:sz w:val="21"/>
                <w:szCs w:val="21"/>
              </w:rPr>
            </w:pPr>
            <w:r w:rsidRPr="00E15C2C">
              <w:rPr>
                <w:color w:val="000000"/>
              </w:rPr>
              <w:t>27-31 juillet</w:t>
            </w:r>
            <w:r w:rsidR="00B52B27" w:rsidRPr="00E15C2C">
              <w:rPr>
                <w:color w:val="000000"/>
              </w:rPr>
              <w:br/>
            </w:r>
            <w:r w:rsidRPr="00E15C2C">
              <w:rPr>
                <w:color w:val="000000"/>
              </w:rPr>
              <w:t>La Paz (Bolivie) (à confirmer)</w:t>
            </w:r>
          </w:p>
        </w:tc>
        <w:tc>
          <w:tcPr>
            <w:tcW w:w="1272" w:type="dxa"/>
            <w:noWrap/>
            <w:hideMark/>
          </w:tcPr>
          <w:p w14:paraId="1D1CBBFD"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0D1F1887" w14:textId="77777777" w:rsidTr="00B52B27">
        <w:trPr>
          <w:trHeight w:val="300"/>
          <w:jc w:val="center"/>
        </w:trPr>
        <w:tc>
          <w:tcPr>
            <w:tcW w:w="1555" w:type="dxa"/>
            <w:noWrap/>
            <w:hideMark/>
          </w:tcPr>
          <w:p w14:paraId="1B21CD53" w14:textId="77777777" w:rsidR="004F76FD" w:rsidRPr="00E15C2C" w:rsidRDefault="004F76FD" w:rsidP="004E3263">
            <w:pPr>
              <w:pStyle w:val="Tabletext"/>
              <w:rPr>
                <w:sz w:val="21"/>
                <w:szCs w:val="21"/>
              </w:rPr>
            </w:pPr>
            <w:r w:rsidRPr="00E15C2C">
              <w:rPr>
                <w:color w:val="000000"/>
              </w:rPr>
              <w:t xml:space="preserve">Mésoamérique </w:t>
            </w:r>
          </w:p>
        </w:tc>
        <w:tc>
          <w:tcPr>
            <w:tcW w:w="1842" w:type="dxa"/>
            <w:noWrap/>
            <w:hideMark/>
          </w:tcPr>
          <w:p w14:paraId="7ACE97D4" w14:textId="77777777" w:rsidR="004F76FD" w:rsidRPr="00E15C2C" w:rsidRDefault="004F76FD" w:rsidP="00B52B27">
            <w:pPr>
              <w:pStyle w:val="Tabletext"/>
              <w:jc w:val="center"/>
              <w:rPr>
                <w:sz w:val="21"/>
                <w:szCs w:val="21"/>
              </w:rPr>
            </w:pPr>
            <w:r w:rsidRPr="00E15C2C">
              <w:rPr>
                <w:color w:val="000000"/>
              </w:rPr>
              <w:t>Anglais/espagnol</w:t>
            </w:r>
          </w:p>
        </w:tc>
        <w:tc>
          <w:tcPr>
            <w:tcW w:w="1701" w:type="dxa"/>
            <w:noWrap/>
            <w:hideMark/>
          </w:tcPr>
          <w:p w14:paraId="62A3A66F" w14:textId="77777777" w:rsidR="004F76FD" w:rsidRPr="00E15C2C" w:rsidRDefault="004F76FD" w:rsidP="00B52B27">
            <w:pPr>
              <w:pStyle w:val="Tabletext"/>
              <w:jc w:val="center"/>
              <w:rPr>
                <w:sz w:val="21"/>
                <w:szCs w:val="21"/>
              </w:rPr>
            </w:pPr>
            <w:r w:rsidRPr="00E15C2C">
              <w:rPr>
                <w:color w:val="000000"/>
              </w:rPr>
              <w:t>−</w:t>
            </w:r>
          </w:p>
        </w:tc>
        <w:tc>
          <w:tcPr>
            <w:tcW w:w="1560" w:type="dxa"/>
            <w:noWrap/>
            <w:hideMark/>
          </w:tcPr>
          <w:p w14:paraId="3B34EB6F" w14:textId="3C152518" w:rsidR="004F76FD" w:rsidRPr="00E15C2C" w:rsidRDefault="004F76FD" w:rsidP="00B52B27">
            <w:pPr>
              <w:pStyle w:val="Tabletext"/>
              <w:jc w:val="center"/>
              <w:rPr>
                <w:sz w:val="21"/>
                <w:szCs w:val="21"/>
              </w:rPr>
            </w:pPr>
            <w:r w:rsidRPr="00E15C2C">
              <w:rPr>
                <w:color w:val="000000"/>
              </w:rPr>
              <w:t>16-20 juin</w:t>
            </w:r>
            <w:r w:rsidR="00B52B27" w:rsidRPr="00E15C2C">
              <w:rPr>
                <w:color w:val="000000"/>
              </w:rPr>
              <w:br/>
            </w:r>
            <w:r w:rsidRPr="00E15C2C">
              <w:rPr>
                <w:color w:val="000000"/>
              </w:rPr>
              <w:t>Tegucigalpa (Honduras)</w:t>
            </w:r>
          </w:p>
        </w:tc>
        <w:tc>
          <w:tcPr>
            <w:tcW w:w="1701" w:type="dxa"/>
            <w:noWrap/>
            <w:hideMark/>
          </w:tcPr>
          <w:p w14:paraId="7838C582" w14:textId="77777777" w:rsidR="004F76FD" w:rsidRPr="00E15C2C" w:rsidRDefault="004F76FD" w:rsidP="00B52B27">
            <w:pPr>
              <w:pStyle w:val="Tabletext"/>
              <w:jc w:val="center"/>
              <w:rPr>
                <w:sz w:val="21"/>
                <w:szCs w:val="21"/>
              </w:rPr>
            </w:pPr>
            <w:r w:rsidRPr="00E15C2C">
              <w:rPr>
                <w:color w:val="000000"/>
              </w:rPr>
              <w:t>−</w:t>
            </w:r>
          </w:p>
        </w:tc>
        <w:tc>
          <w:tcPr>
            <w:tcW w:w="1272" w:type="dxa"/>
            <w:hideMark/>
          </w:tcPr>
          <w:p w14:paraId="34FDF14E"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03E06A3E" w14:textId="77777777" w:rsidTr="00B52B27">
        <w:trPr>
          <w:trHeight w:val="300"/>
          <w:jc w:val="center"/>
        </w:trPr>
        <w:tc>
          <w:tcPr>
            <w:tcW w:w="9631" w:type="dxa"/>
            <w:gridSpan w:val="6"/>
            <w:shd w:val="clear" w:color="auto" w:fill="F2F2F2" w:themeFill="background1" w:themeFillShade="F2"/>
            <w:hideMark/>
          </w:tcPr>
          <w:p w14:paraId="7CFCA8B0" w14:textId="77777777" w:rsidR="004F76FD" w:rsidRPr="00E15C2C" w:rsidRDefault="004F76FD" w:rsidP="004E3263">
            <w:pPr>
              <w:pStyle w:val="Tabletext"/>
              <w:rPr>
                <w:b/>
                <w:sz w:val="21"/>
                <w:szCs w:val="21"/>
              </w:rPr>
            </w:pPr>
            <w:r w:rsidRPr="00E15C2C">
              <w:rPr>
                <w:b/>
                <w:color w:val="000000"/>
              </w:rPr>
              <w:t>Région Asie-Pacifique: APC (3)</w:t>
            </w:r>
          </w:p>
        </w:tc>
      </w:tr>
      <w:tr w:rsidR="004F76FD" w:rsidRPr="00E15C2C" w14:paraId="3BC77254" w14:textId="77777777" w:rsidTr="00B52B27">
        <w:trPr>
          <w:trHeight w:val="288"/>
          <w:jc w:val="center"/>
        </w:trPr>
        <w:tc>
          <w:tcPr>
            <w:tcW w:w="1555" w:type="dxa"/>
            <w:noWrap/>
          </w:tcPr>
          <w:p w14:paraId="53587B34" w14:textId="77777777" w:rsidR="004F76FD" w:rsidRPr="00E15C2C" w:rsidRDefault="004F76FD" w:rsidP="004E3263">
            <w:pPr>
              <w:pStyle w:val="Tabletext"/>
              <w:rPr>
                <w:sz w:val="21"/>
                <w:szCs w:val="21"/>
              </w:rPr>
            </w:pPr>
            <w:r w:rsidRPr="00E15C2C">
              <w:rPr>
                <w:color w:val="000000"/>
              </w:rPr>
              <w:t>États insulaires du Pacifique</w:t>
            </w:r>
          </w:p>
        </w:tc>
        <w:tc>
          <w:tcPr>
            <w:tcW w:w="1842" w:type="dxa"/>
            <w:noWrap/>
          </w:tcPr>
          <w:p w14:paraId="047B59F4" w14:textId="77777777" w:rsidR="004F76FD" w:rsidRPr="00E15C2C" w:rsidRDefault="004F76FD" w:rsidP="00B52B27">
            <w:pPr>
              <w:pStyle w:val="Tabletext"/>
              <w:jc w:val="center"/>
              <w:rPr>
                <w:sz w:val="21"/>
                <w:szCs w:val="21"/>
              </w:rPr>
            </w:pPr>
            <w:r w:rsidRPr="00E15C2C">
              <w:rPr>
                <w:color w:val="000000"/>
              </w:rPr>
              <w:t>Anglais</w:t>
            </w:r>
          </w:p>
        </w:tc>
        <w:tc>
          <w:tcPr>
            <w:tcW w:w="1701" w:type="dxa"/>
            <w:noWrap/>
            <w:hideMark/>
          </w:tcPr>
          <w:p w14:paraId="47D3AE9F" w14:textId="0100A622" w:rsidR="004F76FD" w:rsidRPr="00E15C2C" w:rsidRDefault="004F76FD" w:rsidP="00B52B27">
            <w:pPr>
              <w:pStyle w:val="Tabletext"/>
              <w:jc w:val="center"/>
              <w:rPr>
                <w:sz w:val="21"/>
                <w:szCs w:val="21"/>
              </w:rPr>
            </w:pPr>
            <w:r w:rsidRPr="00E15C2C">
              <w:rPr>
                <w:color w:val="000000"/>
              </w:rPr>
              <w:t>16-21 septembre</w:t>
            </w:r>
            <w:r w:rsidR="00B52B27" w:rsidRPr="00E15C2C">
              <w:rPr>
                <w:color w:val="000000"/>
              </w:rPr>
              <w:br/>
            </w:r>
            <w:r w:rsidRPr="00E15C2C">
              <w:rPr>
                <w:color w:val="000000"/>
              </w:rPr>
              <w:t>Apia (Samoa)</w:t>
            </w:r>
          </w:p>
        </w:tc>
        <w:tc>
          <w:tcPr>
            <w:tcW w:w="1560" w:type="dxa"/>
            <w:noWrap/>
            <w:hideMark/>
          </w:tcPr>
          <w:p w14:paraId="1EDEF716" w14:textId="77777777" w:rsidR="004F76FD" w:rsidRPr="00E15C2C" w:rsidRDefault="004F76FD" w:rsidP="00B52B27">
            <w:pPr>
              <w:pStyle w:val="Tabletext"/>
              <w:jc w:val="center"/>
              <w:rPr>
                <w:sz w:val="21"/>
                <w:szCs w:val="21"/>
              </w:rPr>
            </w:pPr>
            <w:r w:rsidRPr="00E15C2C">
              <w:rPr>
                <w:color w:val="000000"/>
              </w:rPr>
              <w:t>−</w:t>
            </w:r>
          </w:p>
        </w:tc>
        <w:tc>
          <w:tcPr>
            <w:tcW w:w="1701" w:type="dxa"/>
            <w:hideMark/>
          </w:tcPr>
          <w:p w14:paraId="6AB9BAFD" w14:textId="77777777" w:rsidR="004F76FD" w:rsidRPr="00E15C2C" w:rsidRDefault="004F76FD" w:rsidP="00B52B27">
            <w:pPr>
              <w:pStyle w:val="Tabletext"/>
              <w:jc w:val="center"/>
              <w:rPr>
                <w:sz w:val="21"/>
                <w:szCs w:val="21"/>
              </w:rPr>
            </w:pPr>
            <w:r w:rsidRPr="00E15C2C">
              <w:rPr>
                <w:color w:val="000000"/>
              </w:rPr>
              <w:t>−</w:t>
            </w:r>
          </w:p>
        </w:tc>
        <w:tc>
          <w:tcPr>
            <w:tcW w:w="1272" w:type="dxa"/>
            <w:noWrap/>
            <w:hideMark/>
          </w:tcPr>
          <w:p w14:paraId="72477E5C"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323E378A" w14:textId="77777777" w:rsidTr="00B52B27">
        <w:trPr>
          <w:trHeight w:val="409"/>
          <w:jc w:val="center"/>
        </w:trPr>
        <w:tc>
          <w:tcPr>
            <w:tcW w:w="1555" w:type="dxa"/>
            <w:noWrap/>
            <w:hideMark/>
          </w:tcPr>
          <w:p w14:paraId="6D79D15C" w14:textId="77777777" w:rsidR="004F76FD" w:rsidRPr="00E15C2C" w:rsidRDefault="004F76FD" w:rsidP="004E3263">
            <w:pPr>
              <w:pStyle w:val="Tabletext"/>
              <w:rPr>
                <w:sz w:val="21"/>
                <w:szCs w:val="21"/>
              </w:rPr>
            </w:pPr>
            <w:r w:rsidRPr="00E15C2C">
              <w:rPr>
                <w:color w:val="000000"/>
              </w:rPr>
              <w:t>Asie méridionale</w:t>
            </w:r>
          </w:p>
        </w:tc>
        <w:tc>
          <w:tcPr>
            <w:tcW w:w="1842" w:type="dxa"/>
            <w:noWrap/>
            <w:hideMark/>
          </w:tcPr>
          <w:p w14:paraId="7561B63F" w14:textId="77777777" w:rsidR="004F76FD" w:rsidRPr="00E15C2C" w:rsidRDefault="004F76FD" w:rsidP="00B52B27">
            <w:pPr>
              <w:pStyle w:val="Tabletext"/>
              <w:jc w:val="center"/>
              <w:rPr>
                <w:sz w:val="21"/>
                <w:szCs w:val="21"/>
              </w:rPr>
            </w:pPr>
            <w:r w:rsidRPr="00E15C2C">
              <w:rPr>
                <w:color w:val="000000"/>
              </w:rPr>
              <w:t>Anglais</w:t>
            </w:r>
          </w:p>
        </w:tc>
        <w:tc>
          <w:tcPr>
            <w:tcW w:w="1701" w:type="dxa"/>
            <w:hideMark/>
          </w:tcPr>
          <w:p w14:paraId="40998A98" w14:textId="77777777" w:rsidR="004F76FD" w:rsidRPr="00E15C2C" w:rsidRDefault="004F76FD" w:rsidP="00B52B27">
            <w:pPr>
              <w:pStyle w:val="Tabletext"/>
              <w:jc w:val="center"/>
              <w:rPr>
                <w:sz w:val="21"/>
                <w:szCs w:val="21"/>
              </w:rPr>
            </w:pPr>
            <w:r w:rsidRPr="00E15C2C">
              <w:rPr>
                <w:color w:val="000000"/>
              </w:rPr>
              <w:t>−</w:t>
            </w:r>
          </w:p>
        </w:tc>
        <w:tc>
          <w:tcPr>
            <w:tcW w:w="1560" w:type="dxa"/>
            <w:noWrap/>
          </w:tcPr>
          <w:p w14:paraId="5D66BEDC" w14:textId="34681996" w:rsidR="004F76FD" w:rsidRPr="00E15C2C" w:rsidRDefault="004F76FD" w:rsidP="00B52B27">
            <w:pPr>
              <w:pStyle w:val="Tabletext"/>
              <w:jc w:val="center"/>
              <w:rPr>
                <w:sz w:val="21"/>
                <w:szCs w:val="21"/>
              </w:rPr>
            </w:pPr>
            <w:r w:rsidRPr="00E15C2C">
              <w:rPr>
                <w:color w:val="000000"/>
              </w:rPr>
              <w:t>20-24 octobre</w:t>
            </w:r>
            <w:r w:rsidR="00B52B27" w:rsidRPr="00E15C2C">
              <w:rPr>
                <w:color w:val="000000"/>
              </w:rPr>
              <w:br/>
            </w:r>
            <w:r w:rsidRPr="00E15C2C">
              <w:rPr>
                <w:color w:val="000000"/>
              </w:rPr>
              <w:t>Chengdu (Chine)</w:t>
            </w:r>
          </w:p>
        </w:tc>
        <w:tc>
          <w:tcPr>
            <w:tcW w:w="1701" w:type="dxa"/>
            <w:noWrap/>
            <w:hideMark/>
          </w:tcPr>
          <w:p w14:paraId="49B4EF5D" w14:textId="77777777" w:rsidR="004F76FD" w:rsidRPr="00E15C2C" w:rsidRDefault="004F76FD" w:rsidP="00B52B27">
            <w:pPr>
              <w:pStyle w:val="Tabletext"/>
              <w:jc w:val="center"/>
              <w:rPr>
                <w:sz w:val="21"/>
                <w:szCs w:val="21"/>
              </w:rPr>
            </w:pPr>
            <w:r w:rsidRPr="00E15C2C">
              <w:rPr>
                <w:color w:val="000000"/>
              </w:rPr>
              <w:t>−</w:t>
            </w:r>
          </w:p>
        </w:tc>
        <w:tc>
          <w:tcPr>
            <w:tcW w:w="1272" w:type="dxa"/>
            <w:noWrap/>
            <w:hideMark/>
          </w:tcPr>
          <w:p w14:paraId="3D4F9CC6"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7D9467D3" w14:textId="77777777" w:rsidTr="00B52B27">
        <w:trPr>
          <w:trHeight w:val="415"/>
          <w:jc w:val="center"/>
        </w:trPr>
        <w:tc>
          <w:tcPr>
            <w:tcW w:w="1555" w:type="dxa"/>
            <w:noWrap/>
          </w:tcPr>
          <w:p w14:paraId="17E57A48" w14:textId="77777777" w:rsidR="004F76FD" w:rsidRPr="00E15C2C" w:rsidRDefault="004F76FD" w:rsidP="004E3263">
            <w:pPr>
              <w:pStyle w:val="Tabletext"/>
              <w:rPr>
                <w:sz w:val="21"/>
                <w:szCs w:val="21"/>
              </w:rPr>
            </w:pPr>
            <w:r w:rsidRPr="00E15C2C">
              <w:rPr>
                <w:color w:val="000000"/>
              </w:rPr>
              <w:t>Asie centrale</w:t>
            </w:r>
          </w:p>
        </w:tc>
        <w:tc>
          <w:tcPr>
            <w:tcW w:w="1842" w:type="dxa"/>
            <w:noWrap/>
          </w:tcPr>
          <w:p w14:paraId="5990EB21" w14:textId="77777777" w:rsidR="004F76FD" w:rsidRPr="00E15C2C" w:rsidRDefault="004F76FD" w:rsidP="00B52B27">
            <w:pPr>
              <w:pStyle w:val="Tabletext"/>
              <w:jc w:val="center"/>
              <w:rPr>
                <w:sz w:val="21"/>
                <w:szCs w:val="21"/>
              </w:rPr>
            </w:pPr>
            <w:r w:rsidRPr="00E15C2C">
              <w:rPr>
                <w:color w:val="000000"/>
              </w:rPr>
              <w:t>Anglais</w:t>
            </w:r>
          </w:p>
        </w:tc>
        <w:tc>
          <w:tcPr>
            <w:tcW w:w="1701" w:type="dxa"/>
            <w:noWrap/>
          </w:tcPr>
          <w:p w14:paraId="27993C10" w14:textId="77777777" w:rsidR="004F76FD" w:rsidRPr="00E15C2C" w:rsidRDefault="004F76FD" w:rsidP="00B52B27">
            <w:pPr>
              <w:pStyle w:val="Tabletext"/>
              <w:jc w:val="center"/>
              <w:rPr>
                <w:sz w:val="21"/>
                <w:szCs w:val="21"/>
              </w:rPr>
            </w:pPr>
            <w:r w:rsidRPr="00E15C2C">
              <w:rPr>
                <w:color w:val="000000"/>
              </w:rPr>
              <w:t>−</w:t>
            </w:r>
          </w:p>
        </w:tc>
        <w:tc>
          <w:tcPr>
            <w:tcW w:w="1560" w:type="dxa"/>
          </w:tcPr>
          <w:p w14:paraId="3CA1FAF1" w14:textId="77777777" w:rsidR="004F76FD" w:rsidRPr="00E15C2C" w:rsidRDefault="004F76FD" w:rsidP="00B52B27">
            <w:pPr>
              <w:pStyle w:val="Tabletext"/>
              <w:jc w:val="center"/>
              <w:rPr>
                <w:sz w:val="21"/>
                <w:szCs w:val="21"/>
              </w:rPr>
            </w:pPr>
            <w:r w:rsidRPr="00E15C2C">
              <w:rPr>
                <w:color w:val="000000"/>
              </w:rPr>
              <w:t>−</w:t>
            </w:r>
          </w:p>
        </w:tc>
        <w:tc>
          <w:tcPr>
            <w:tcW w:w="1701" w:type="dxa"/>
            <w:noWrap/>
          </w:tcPr>
          <w:p w14:paraId="78ECC060" w14:textId="58467546" w:rsidR="004F76FD" w:rsidRPr="00E15C2C" w:rsidRDefault="004F76FD" w:rsidP="00B52B27">
            <w:pPr>
              <w:pStyle w:val="Tabletext"/>
              <w:jc w:val="center"/>
              <w:rPr>
                <w:sz w:val="21"/>
                <w:szCs w:val="21"/>
              </w:rPr>
            </w:pPr>
            <w:r w:rsidRPr="00E15C2C">
              <w:rPr>
                <w:color w:val="000000"/>
              </w:rPr>
              <w:t>21-25 septembre</w:t>
            </w:r>
            <w:r w:rsidR="00B52B27" w:rsidRPr="00E15C2C">
              <w:rPr>
                <w:color w:val="000000"/>
              </w:rPr>
              <w:br/>
            </w:r>
            <w:r w:rsidRPr="00E15C2C">
              <w:rPr>
                <w:color w:val="000000"/>
              </w:rPr>
              <w:t>Oulan-Bator (Mongolie) (à</w:t>
            </w:r>
            <w:r w:rsidR="003630EA" w:rsidRPr="00E15C2C">
              <w:rPr>
                <w:color w:val="000000"/>
              </w:rPr>
              <w:t> </w:t>
            </w:r>
            <w:r w:rsidRPr="00E15C2C">
              <w:rPr>
                <w:color w:val="000000"/>
              </w:rPr>
              <w:t>confirmer)</w:t>
            </w:r>
          </w:p>
        </w:tc>
        <w:tc>
          <w:tcPr>
            <w:tcW w:w="1272" w:type="dxa"/>
            <w:noWrap/>
          </w:tcPr>
          <w:p w14:paraId="2D9D10A5"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33358EBC" w14:textId="77777777" w:rsidTr="00B52B27">
        <w:trPr>
          <w:trHeight w:val="300"/>
          <w:jc w:val="center"/>
        </w:trPr>
        <w:tc>
          <w:tcPr>
            <w:tcW w:w="1555" w:type="dxa"/>
            <w:shd w:val="clear" w:color="auto" w:fill="F2F2F2" w:themeFill="background1" w:themeFillShade="F2"/>
            <w:hideMark/>
          </w:tcPr>
          <w:p w14:paraId="415FFA58" w14:textId="77777777" w:rsidR="004F76FD" w:rsidRPr="00E15C2C" w:rsidRDefault="004F76FD" w:rsidP="004E3263">
            <w:pPr>
              <w:pStyle w:val="Tabletext"/>
              <w:rPr>
                <w:b/>
                <w:sz w:val="21"/>
                <w:szCs w:val="21"/>
              </w:rPr>
            </w:pPr>
            <w:r w:rsidRPr="00E15C2C">
              <w:rPr>
                <w:b/>
                <w:color w:val="000000"/>
              </w:rPr>
              <w:lastRenderedPageBreak/>
              <w:t>Région des États arabes: ARB (1)</w:t>
            </w:r>
          </w:p>
        </w:tc>
        <w:tc>
          <w:tcPr>
            <w:tcW w:w="1842" w:type="dxa"/>
            <w:hideMark/>
          </w:tcPr>
          <w:p w14:paraId="1A13E301" w14:textId="77777777" w:rsidR="004F76FD" w:rsidRPr="00E15C2C" w:rsidRDefault="004F76FD" w:rsidP="00B52B27">
            <w:pPr>
              <w:pStyle w:val="Tabletext"/>
              <w:jc w:val="center"/>
              <w:rPr>
                <w:sz w:val="21"/>
                <w:szCs w:val="21"/>
              </w:rPr>
            </w:pPr>
            <w:r w:rsidRPr="00E15C2C">
              <w:rPr>
                <w:color w:val="000000"/>
              </w:rPr>
              <w:t>Anglais/arabe</w:t>
            </w:r>
          </w:p>
        </w:tc>
        <w:tc>
          <w:tcPr>
            <w:tcW w:w="1701" w:type="dxa"/>
            <w:noWrap/>
          </w:tcPr>
          <w:p w14:paraId="07F85976" w14:textId="77777777" w:rsidR="004F76FD" w:rsidRPr="00E15C2C" w:rsidRDefault="004F76FD" w:rsidP="00B52B27">
            <w:pPr>
              <w:pStyle w:val="Tabletext"/>
              <w:jc w:val="center"/>
              <w:rPr>
                <w:sz w:val="21"/>
                <w:szCs w:val="21"/>
              </w:rPr>
            </w:pPr>
            <w:r w:rsidRPr="00E15C2C">
              <w:rPr>
                <w:color w:val="000000"/>
              </w:rPr>
              <w:t>−</w:t>
            </w:r>
          </w:p>
        </w:tc>
        <w:tc>
          <w:tcPr>
            <w:tcW w:w="1560" w:type="dxa"/>
            <w:noWrap/>
            <w:hideMark/>
          </w:tcPr>
          <w:p w14:paraId="5D8CAAE7" w14:textId="77777777" w:rsidR="004F76FD" w:rsidRPr="00E15C2C" w:rsidRDefault="004F76FD" w:rsidP="00B52B27">
            <w:pPr>
              <w:pStyle w:val="Tabletext"/>
              <w:jc w:val="center"/>
              <w:rPr>
                <w:sz w:val="21"/>
                <w:szCs w:val="21"/>
              </w:rPr>
            </w:pPr>
            <w:r w:rsidRPr="00E15C2C">
              <w:rPr>
                <w:color w:val="000000"/>
              </w:rPr>
              <w:t>−</w:t>
            </w:r>
          </w:p>
        </w:tc>
        <w:tc>
          <w:tcPr>
            <w:tcW w:w="1701" w:type="dxa"/>
            <w:noWrap/>
            <w:hideMark/>
          </w:tcPr>
          <w:p w14:paraId="7885521B" w14:textId="77777777" w:rsidR="004F76FD" w:rsidRPr="00E15C2C" w:rsidRDefault="004F76FD" w:rsidP="00B52B27">
            <w:pPr>
              <w:pStyle w:val="Tabletext"/>
              <w:jc w:val="center"/>
              <w:rPr>
                <w:sz w:val="21"/>
                <w:szCs w:val="21"/>
              </w:rPr>
            </w:pPr>
          </w:p>
        </w:tc>
        <w:tc>
          <w:tcPr>
            <w:tcW w:w="1272" w:type="dxa"/>
            <w:noWrap/>
            <w:hideMark/>
          </w:tcPr>
          <w:p w14:paraId="2DABCF1E" w14:textId="77777777" w:rsidR="004F76FD" w:rsidRPr="00E15C2C" w:rsidRDefault="004F76FD" w:rsidP="00B52B27">
            <w:pPr>
              <w:pStyle w:val="Tabletext"/>
              <w:jc w:val="center"/>
              <w:rPr>
                <w:sz w:val="21"/>
                <w:szCs w:val="21"/>
              </w:rPr>
            </w:pPr>
            <w:r w:rsidRPr="00E15C2C">
              <w:rPr>
                <w:color w:val="000000"/>
              </w:rPr>
              <w:t>1er trimestre</w:t>
            </w:r>
          </w:p>
        </w:tc>
      </w:tr>
      <w:tr w:rsidR="004F76FD" w:rsidRPr="00E15C2C" w14:paraId="16D80634" w14:textId="77777777" w:rsidTr="00B52B27">
        <w:trPr>
          <w:trHeight w:val="300"/>
          <w:jc w:val="center"/>
        </w:trPr>
        <w:tc>
          <w:tcPr>
            <w:tcW w:w="1555" w:type="dxa"/>
            <w:shd w:val="clear" w:color="auto" w:fill="F2F2F2" w:themeFill="background1" w:themeFillShade="F2"/>
            <w:hideMark/>
          </w:tcPr>
          <w:p w14:paraId="28B19E29" w14:textId="77777777" w:rsidR="004F76FD" w:rsidRPr="00E15C2C" w:rsidRDefault="004F76FD" w:rsidP="004E3263">
            <w:pPr>
              <w:pStyle w:val="Tabletext"/>
              <w:rPr>
                <w:b/>
                <w:sz w:val="21"/>
                <w:szCs w:val="21"/>
              </w:rPr>
            </w:pPr>
            <w:r w:rsidRPr="00E15C2C">
              <w:rPr>
                <w:b/>
                <w:color w:val="000000"/>
              </w:rPr>
              <w:t>CEI et Europe de l'Est (1)</w:t>
            </w:r>
          </w:p>
        </w:tc>
        <w:tc>
          <w:tcPr>
            <w:tcW w:w="1842" w:type="dxa"/>
            <w:hideMark/>
          </w:tcPr>
          <w:p w14:paraId="410D58E5" w14:textId="232D6887" w:rsidR="004F76FD" w:rsidRPr="00E15C2C" w:rsidRDefault="004F76FD" w:rsidP="00B52B27">
            <w:pPr>
              <w:pStyle w:val="Tabletext"/>
              <w:jc w:val="center"/>
              <w:rPr>
                <w:sz w:val="21"/>
                <w:szCs w:val="21"/>
              </w:rPr>
            </w:pPr>
            <w:r w:rsidRPr="00E15C2C">
              <w:rPr>
                <w:color w:val="000000"/>
              </w:rPr>
              <w:t>Russe</w:t>
            </w:r>
          </w:p>
        </w:tc>
        <w:tc>
          <w:tcPr>
            <w:tcW w:w="1701" w:type="dxa"/>
            <w:noWrap/>
            <w:hideMark/>
          </w:tcPr>
          <w:p w14:paraId="118615C3" w14:textId="0CBC3C56" w:rsidR="004F76FD" w:rsidRPr="00E15C2C" w:rsidRDefault="004F76FD" w:rsidP="00B52B27">
            <w:pPr>
              <w:pStyle w:val="Tabletext"/>
              <w:jc w:val="center"/>
              <w:rPr>
                <w:sz w:val="21"/>
                <w:szCs w:val="21"/>
              </w:rPr>
            </w:pPr>
            <w:r w:rsidRPr="00E15C2C">
              <w:rPr>
                <w:color w:val="000000"/>
              </w:rPr>
              <w:t>15-19 avril</w:t>
            </w:r>
            <w:r w:rsidR="00B52B27" w:rsidRPr="00E15C2C">
              <w:rPr>
                <w:color w:val="000000"/>
              </w:rPr>
              <w:br/>
            </w:r>
            <w:r w:rsidRPr="00E15C2C">
              <w:rPr>
                <w:color w:val="000000"/>
              </w:rPr>
              <w:t>Astana (Kazakhstan)</w:t>
            </w:r>
          </w:p>
        </w:tc>
        <w:tc>
          <w:tcPr>
            <w:tcW w:w="1560" w:type="dxa"/>
            <w:noWrap/>
            <w:hideMark/>
          </w:tcPr>
          <w:p w14:paraId="5FFD933C" w14:textId="77777777" w:rsidR="004F76FD" w:rsidRPr="00E15C2C" w:rsidRDefault="004F76FD" w:rsidP="00B52B27">
            <w:pPr>
              <w:pStyle w:val="Tabletext"/>
              <w:jc w:val="center"/>
              <w:rPr>
                <w:sz w:val="21"/>
                <w:szCs w:val="21"/>
              </w:rPr>
            </w:pPr>
            <w:r w:rsidRPr="00E15C2C">
              <w:rPr>
                <w:color w:val="000000"/>
              </w:rPr>
              <w:t>−</w:t>
            </w:r>
          </w:p>
        </w:tc>
        <w:tc>
          <w:tcPr>
            <w:tcW w:w="1701" w:type="dxa"/>
            <w:hideMark/>
          </w:tcPr>
          <w:p w14:paraId="1E0643E2" w14:textId="77777777" w:rsidR="004F76FD" w:rsidRPr="00E15C2C" w:rsidRDefault="004F76FD" w:rsidP="00B52B27">
            <w:pPr>
              <w:pStyle w:val="Tabletext"/>
              <w:jc w:val="center"/>
              <w:rPr>
                <w:sz w:val="21"/>
                <w:szCs w:val="21"/>
              </w:rPr>
            </w:pPr>
            <w:r w:rsidRPr="00E15C2C">
              <w:rPr>
                <w:color w:val="000000"/>
              </w:rPr>
              <w:t>−</w:t>
            </w:r>
          </w:p>
        </w:tc>
        <w:tc>
          <w:tcPr>
            <w:tcW w:w="1272" w:type="dxa"/>
            <w:noWrap/>
            <w:hideMark/>
          </w:tcPr>
          <w:p w14:paraId="7166FBD5" w14:textId="77777777" w:rsidR="004F76FD" w:rsidRPr="00E15C2C" w:rsidRDefault="004F76FD" w:rsidP="00B52B27">
            <w:pPr>
              <w:pStyle w:val="Tabletext"/>
              <w:jc w:val="center"/>
              <w:rPr>
                <w:sz w:val="21"/>
                <w:szCs w:val="21"/>
              </w:rPr>
            </w:pPr>
            <w:r w:rsidRPr="00E15C2C">
              <w:rPr>
                <w:color w:val="000000"/>
              </w:rPr>
              <w:t>−</w:t>
            </w:r>
          </w:p>
        </w:tc>
      </w:tr>
      <w:tr w:rsidR="004F76FD" w:rsidRPr="00E15C2C" w14:paraId="6AEEDE43" w14:textId="77777777" w:rsidTr="00B52B27">
        <w:trPr>
          <w:trHeight w:val="300"/>
          <w:jc w:val="center"/>
        </w:trPr>
        <w:tc>
          <w:tcPr>
            <w:tcW w:w="1555" w:type="dxa"/>
            <w:shd w:val="clear" w:color="auto" w:fill="F2F2F2" w:themeFill="background1" w:themeFillShade="F2"/>
            <w:hideMark/>
          </w:tcPr>
          <w:p w14:paraId="7872BB0D" w14:textId="77777777" w:rsidR="004F76FD" w:rsidRPr="00E15C2C" w:rsidRDefault="004F76FD" w:rsidP="004E3263">
            <w:pPr>
              <w:pStyle w:val="Tabletext"/>
              <w:rPr>
                <w:b/>
                <w:sz w:val="21"/>
                <w:szCs w:val="21"/>
              </w:rPr>
            </w:pPr>
            <w:r w:rsidRPr="00E15C2C">
              <w:rPr>
                <w:b/>
                <w:color w:val="000000"/>
              </w:rPr>
              <w:t>Région Europe (1)</w:t>
            </w:r>
          </w:p>
        </w:tc>
        <w:tc>
          <w:tcPr>
            <w:tcW w:w="1842" w:type="dxa"/>
            <w:hideMark/>
          </w:tcPr>
          <w:p w14:paraId="647ECA78" w14:textId="77777777" w:rsidR="004F76FD" w:rsidRPr="00E15C2C" w:rsidRDefault="004F76FD" w:rsidP="00B52B27">
            <w:pPr>
              <w:pStyle w:val="Tabletext"/>
              <w:jc w:val="center"/>
              <w:rPr>
                <w:sz w:val="21"/>
                <w:szCs w:val="21"/>
              </w:rPr>
            </w:pPr>
            <w:r w:rsidRPr="00E15C2C">
              <w:rPr>
                <w:color w:val="000000"/>
              </w:rPr>
              <w:t>Anglais</w:t>
            </w:r>
          </w:p>
        </w:tc>
        <w:tc>
          <w:tcPr>
            <w:tcW w:w="1701" w:type="dxa"/>
            <w:noWrap/>
            <w:hideMark/>
          </w:tcPr>
          <w:p w14:paraId="6F2A5B65" w14:textId="77777777" w:rsidR="004F76FD" w:rsidRPr="00E15C2C" w:rsidRDefault="004F76FD" w:rsidP="00B52B27">
            <w:pPr>
              <w:pStyle w:val="Tabletext"/>
              <w:jc w:val="center"/>
              <w:rPr>
                <w:sz w:val="21"/>
                <w:szCs w:val="21"/>
              </w:rPr>
            </w:pPr>
            <w:r w:rsidRPr="00E15C2C">
              <w:rPr>
                <w:color w:val="000000"/>
              </w:rPr>
              <w:t>−</w:t>
            </w:r>
          </w:p>
        </w:tc>
        <w:tc>
          <w:tcPr>
            <w:tcW w:w="1560" w:type="dxa"/>
            <w:noWrap/>
            <w:hideMark/>
          </w:tcPr>
          <w:p w14:paraId="470130EB" w14:textId="77777777" w:rsidR="004F76FD" w:rsidRPr="00E15C2C" w:rsidRDefault="004F76FD" w:rsidP="00B52B27">
            <w:pPr>
              <w:pStyle w:val="Tabletext"/>
              <w:jc w:val="center"/>
              <w:rPr>
                <w:sz w:val="21"/>
                <w:szCs w:val="21"/>
              </w:rPr>
            </w:pPr>
            <w:r w:rsidRPr="00E15C2C">
              <w:rPr>
                <w:color w:val="000000"/>
              </w:rPr>
              <w:t>−</w:t>
            </w:r>
          </w:p>
        </w:tc>
        <w:tc>
          <w:tcPr>
            <w:tcW w:w="1701" w:type="dxa"/>
            <w:noWrap/>
            <w:hideMark/>
          </w:tcPr>
          <w:p w14:paraId="10E829D7" w14:textId="7ECB9C1D" w:rsidR="004F76FD" w:rsidRPr="00E15C2C" w:rsidRDefault="004F76FD" w:rsidP="00B52B27">
            <w:pPr>
              <w:pStyle w:val="Tabletext"/>
              <w:jc w:val="center"/>
              <w:rPr>
                <w:sz w:val="21"/>
                <w:szCs w:val="21"/>
              </w:rPr>
            </w:pPr>
            <w:r w:rsidRPr="00E15C2C">
              <w:rPr>
                <w:color w:val="000000"/>
              </w:rPr>
              <w:t>16-20 février</w:t>
            </w:r>
            <w:r w:rsidR="00B52B27" w:rsidRPr="00E15C2C">
              <w:rPr>
                <w:color w:val="000000"/>
              </w:rPr>
              <w:br/>
            </w:r>
            <w:r w:rsidRPr="00E15C2C">
              <w:rPr>
                <w:color w:val="000000"/>
              </w:rPr>
              <w:t>Athènes (Grèce)</w:t>
            </w:r>
          </w:p>
        </w:tc>
        <w:tc>
          <w:tcPr>
            <w:tcW w:w="1272" w:type="dxa"/>
            <w:hideMark/>
          </w:tcPr>
          <w:p w14:paraId="3599DE38" w14:textId="77777777" w:rsidR="004F76FD" w:rsidRPr="00E15C2C" w:rsidRDefault="004F76FD" w:rsidP="00B52B27">
            <w:pPr>
              <w:pStyle w:val="Tabletext"/>
              <w:jc w:val="center"/>
              <w:rPr>
                <w:sz w:val="21"/>
                <w:szCs w:val="21"/>
              </w:rPr>
            </w:pPr>
          </w:p>
        </w:tc>
      </w:tr>
    </w:tbl>
    <w:p w14:paraId="4C32BB7D" w14:textId="77777777" w:rsidR="004F76FD" w:rsidRPr="00E15C2C" w:rsidRDefault="004F76FD" w:rsidP="00426172">
      <w:pPr>
        <w:pStyle w:val="Normalaftertitle0"/>
        <w:rPr>
          <w:lang w:val="fr-FR"/>
        </w:rPr>
      </w:pPr>
      <w:r w:rsidRPr="00E15C2C">
        <w:rPr>
          <w:lang w:val="fr-FR"/>
        </w:rPr>
        <w:t>Comme lors des périodes précédentes, afin d'optimiser les ressources nécessaires, le calendrier proposé ci-dessus est établi selon les principes suivants:</w:t>
      </w:r>
    </w:p>
    <w:p w14:paraId="514F885F" w14:textId="41E01F14" w:rsidR="004F76FD" w:rsidRPr="00E15C2C" w:rsidRDefault="004E3263" w:rsidP="004E3263">
      <w:pPr>
        <w:pStyle w:val="enumlev1"/>
      </w:pPr>
      <w:r w:rsidRPr="00E15C2C">
        <w:t>•</w:t>
      </w:r>
      <w:r w:rsidRPr="00E15C2C">
        <w:tab/>
      </w:r>
      <w:r w:rsidR="004F76FD" w:rsidRPr="00E15C2C">
        <w:t>Premier trimestre de 2024: aucun séminaire RRS/WRS, mise à jour du RR et des outils logiciels associés.</w:t>
      </w:r>
    </w:p>
    <w:p w14:paraId="732F75CE" w14:textId="118F244D" w:rsidR="004F76FD" w:rsidRPr="00E15C2C" w:rsidRDefault="004E3263" w:rsidP="004E3263">
      <w:pPr>
        <w:pStyle w:val="enumlev1"/>
      </w:pPr>
      <w:r w:rsidRPr="00E15C2C">
        <w:t>•</w:t>
      </w:r>
      <w:r w:rsidRPr="00E15C2C">
        <w:tab/>
      </w:r>
      <w:r w:rsidR="004F76FD" w:rsidRPr="00E15C2C">
        <w:t>Deuxième trimestre de 2027: aucun séminaire RRS/WRS et préparation de la CMR-27.</w:t>
      </w:r>
    </w:p>
    <w:p w14:paraId="7EC7631B" w14:textId="50E7CCB0" w:rsidR="004F76FD" w:rsidRPr="00E15C2C" w:rsidRDefault="004E3263" w:rsidP="004E3263">
      <w:pPr>
        <w:pStyle w:val="enumlev1"/>
      </w:pPr>
      <w:r w:rsidRPr="00E15C2C">
        <w:t>•</w:t>
      </w:r>
      <w:r w:rsidRPr="00E15C2C">
        <w:tab/>
      </w:r>
      <w:r w:rsidR="004F76FD" w:rsidRPr="00E15C2C">
        <w:t>Deux séminaires WRS seront organisés pendant la période (en décembre, un tous les deux</w:t>
      </w:r>
      <w:r w:rsidR="00426172" w:rsidRPr="00E15C2C">
        <w:t> </w:t>
      </w:r>
      <w:r w:rsidR="004F76FD" w:rsidRPr="00E15C2C">
        <w:t>ans): WRS-24 et WRS-26.</w:t>
      </w:r>
    </w:p>
    <w:p w14:paraId="42320C01" w14:textId="621EF5D9" w:rsidR="004F76FD" w:rsidRPr="00E15C2C" w:rsidRDefault="004E3263" w:rsidP="004E3263">
      <w:pPr>
        <w:pStyle w:val="enumlev1"/>
      </w:pPr>
      <w:r w:rsidRPr="00E15C2C">
        <w:t>•</w:t>
      </w:r>
      <w:r w:rsidRPr="00E15C2C">
        <w:tab/>
      </w:r>
      <w:r w:rsidR="004F76FD" w:rsidRPr="00E15C2C">
        <w:t>Le premier séminaire WRS suivant une CMR (WRS-24) comprendra une session spéciale au cours de laquelle les modifications apportées au RR par la CMR seront expliquées de manière détaillée.</w:t>
      </w:r>
    </w:p>
    <w:p w14:paraId="15034C52" w14:textId="50B62701" w:rsidR="004F76FD" w:rsidRPr="00E15C2C" w:rsidRDefault="004E3263" w:rsidP="004E3263">
      <w:pPr>
        <w:pStyle w:val="enumlev1"/>
      </w:pPr>
      <w:r w:rsidRPr="00E15C2C">
        <w:t>•</w:t>
      </w:r>
      <w:r w:rsidRPr="00E15C2C">
        <w:tab/>
      </w:r>
      <w:r w:rsidR="004F76FD" w:rsidRPr="00E15C2C">
        <w:t>Les deux séminaires RRS pour l'Afrique ne se tiennent pas la même année que le séminaire</w:t>
      </w:r>
      <w:r w:rsidR="00426172" w:rsidRPr="00E15C2C">
        <w:t> </w:t>
      </w:r>
      <w:r w:rsidR="004F76FD" w:rsidRPr="00E15C2C">
        <w:t>WRS, étant donné que la participation aux séminaires RRS pour l'Afrique est près de deux fois supérieure à celle des autres séminaires RRS, et afin de tenir compte de la nécessité d'assurer une répartition uniforme du budget alloué aux bourses.</w:t>
      </w:r>
    </w:p>
    <w:p w14:paraId="3A93A3FB" w14:textId="6A26543A" w:rsidR="004F76FD" w:rsidRPr="00E15C2C" w:rsidRDefault="004E3263" w:rsidP="004E3263">
      <w:pPr>
        <w:pStyle w:val="enumlev1"/>
      </w:pPr>
      <w:r w:rsidRPr="00E15C2C">
        <w:t>•</w:t>
      </w:r>
      <w:r w:rsidRPr="00E15C2C">
        <w:tab/>
      </w:r>
      <w:r w:rsidR="004F76FD" w:rsidRPr="00E15C2C">
        <w:t>Les séminaires RRS se déroulent dans la ou les langues principales de la région, ce qui permettra de réduire les coûts liés à l'interprétation et de faciliter l'échange d'informations pendant la manifestation.</w:t>
      </w:r>
    </w:p>
    <w:p w14:paraId="4D06A4E2" w14:textId="5B7A2802" w:rsidR="004F76FD" w:rsidRPr="00E15C2C" w:rsidRDefault="004E3263" w:rsidP="004E3263">
      <w:pPr>
        <w:pStyle w:val="enumlev1"/>
      </w:pPr>
      <w:r w:rsidRPr="00E15C2C">
        <w:t>•</w:t>
      </w:r>
      <w:r w:rsidRPr="00E15C2C">
        <w:tab/>
      </w:r>
      <w:r w:rsidR="004F76FD" w:rsidRPr="00E15C2C">
        <w:t>Les programmes des séminaires RRS sont adaptés aux besoins particuliers de la région concernée.</w:t>
      </w:r>
    </w:p>
    <w:p w14:paraId="12F03DA2" w14:textId="785DC6FD" w:rsidR="004F76FD" w:rsidRPr="00E15C2C" w:rsidRDefault="004E3263" w:rsidP="004E3263">
      <w:pPr>
        <w:pStyle w:val="enumlev1"/>
      </w:pPr>
      <w:r w:rsidRPr="00E15C2C">
        <w:t>•</w:t>
      </w:r>
      <w:r w:rsidRPr="00E15C2C">
        <w:tab/>
      </w:r>
      <w:r w:rsidR="004F76FD" w:rsidRPr="00E15C2C">
        <w:t>Chaque séminaire RRS comprend des séances de type «forum» (il faudra peut-être prévoir des services d'interprétation de/vers l'anglais pour ces séances).</w:t>
      </w:r>
    </w:p>
    <w:p w14:paraId="257926ED" w14:textId="77777777" w:rsidR="004F76FD" w:rsidRPr="00E15C2C" w:rsidRDefault="004F76FD" w:rsidP="004F76FD">
      <w:pPr>
        <w:rPr>
          <w:szCs w:val="24"/>
        </w:rPr>
      </w:pPr>
      <w:r w:rsidRPr="00E15C2C">
        <w:t>Le programme ci-dessus a été dûment coordonné en collaboration avec les Bureaux régionaux de l'UIT ainsi qu'avec les groupes régionaux compétents.</w:t>
      </w:r>
    </w:p>
    <w:p w14:paraId="33D718FB" w14:textId="1673872E" w:rsidR="004F76FD" w:rsidRPr="00E15C2C" w:rsidRDefault="004F76FD" w:rsidP="004F76FD">
      <w:pPr>
        <w:pStyle w:val="Heading3"/>
        <w:rPr>
          <w:b w:val="0"/>
          <w:szCs w:val="24"/>
        </w:rPr>
      </w:pPr>
      <w:bookmarkStart w:id="223" w:name="_Toc222308712"/>
      <w:bookmarkStart w:id="224" w:name="_Toc223425123"/>
      <w:bookmarkStart w:id="225" w:name="_Toc223425229"/>
      <w:bookmarkStart w:id="226" w:name="_Toc223427642"/>
      <w:r w:rsidRPr="00E15C2C">
        <w:rPr>
          <w:bCs/>
        </w:rPr>
        <w:t>8.2.1</w:t>
      </w:r>
      <w:r w:rsidRPr="00E15C2C">
        <w:tab/>
      </w:r>
      <w:r w:rsidRPr="00E15C2C">
        <w:rPr>
          <w:bCs/>
        </w:rPr>
        <w:t>Séminaire mondial des radiocommunications</w:t>
      </w:r>
      <w:bookmarkEnd w:id="223"/>
      <w:bookmarkEnd w:id="224"/>
      <w:bookmarkEnd w:id="225"/>
      <w:bookmarkEnd w:id="226"/>
    </w:p>
    <w:p w14:paraId="5DE62894" w14:textId="77777777" w:rsidR="004F76FD" w:rsidRPr="00E15C2C" w:rsidRDefault="004F76FD" w:rsidP="004F76FD">
      <w:r w:rsidRPr="00E15C2C">
        <w:t>Le dernier WRS, tenu du 2 au 6 décembre 2024 à Genève (Suisse), a accueilli 657 participants provenant de 114 pays. Le BR a accordé 50 bourses pour la participation à ce séminaire.</w:t>
      </w:r>
    </w:p>
    <w:p w14:paraId="61AF95F9" w14:textId="40A7D830" w:rsidR="004F76FD" w:rsidRPr="00E15C2C" w:rsidRDefault="004F76FD" w:rsidP="004F76FD">
      <w:r w:rsidRPr="00E15C2C">
        <w:t>Les séances plénières du WRS-24 se sont tenues sous la forme de manifestations physiques avec participation à distance. Elles étaient ouvertes à tous.</w:t>
      </w:r>
    </w:p>
    <w:p w14:paraId="281953FD" w14:textId="77777777" w:rsidR="004F76FD" w:rsidRPr="00E15C2C" w:rsidRDefault="004F76FD" w:rsidP="004F76FD">
      <w:r w:rsidRPr="00E15C2C">
        <w:t xml:space="preserve">Les ateliers sur les services de Terre et les services spatiaux du WRS-24 se sont déroulés en parallèle sur trois jours en présentiel uniquement, et étaient réservés à la participation des membres de l'UIT-R. À l'occasion de ces ateliers, les participants ont pu se familiariser directement avec les procédures de notification de l'UIT, ainsi qu'avec les logiciels, les bases de données et les publications électroniques que le Bureau des radiocommunications met à la disposition des membres de l'UIT. Des séances spécialement conçues pour les utilisateurs débutants et les </w:t>
      </w:r>
      <w:r w:rsidRPr="00E15C2C">
        <w:lastRenderedPageBreak/>
        <w:t>utilisateurs de niveau avancé des outils logiciels du BR ont été proposées. Le WRS-24 comprenait des séances traitant des aspects techniques et réglementaires des constellations de satellites de communication non OSG.</w:t>
      </w:r>
    </w:p>
    <w:p w14:paraId="1FE3C2DD" w14:textId="021D8215" w:rsidR="004F76FD" w:rsidRPr="00E15C2C" w:rsidRDefault="004F76FD" w:rsidP="004E3263">
      <w:r w:rsidRPr="00E15C2C">
        <w:t>Le prochain WRS, le WRS-26, se tiendra du 7 au 11 décembre 2026.</w:t>
      </w:r>
    </w:p>
    <w:p w14:paraId="7FB76BAD" w14:textId="6915B218" w:rsidR="004F76FD" w:rsidRPr="00E15C2C" w:rsidRDefault="004F76FD" w:rsidP="004F76FD">
      <w:pPr>
        <w:pStyle w:val="Heading3"/>
        <w:rPr>
          <w:b w:val="0"/>
          <w:szCs w:val="24"/>
        </w:rPr>
      </w:pPr>
      <w:bookmarkStart w:id="227" w:name="_Toc222308713"/>
      <w:bookmarkStart w:id="228" w:name="_Toc223425124"/>
      <w:bookmarkStart w:id="229" w:name="_Toc223425230"/>
      <w:bookmarkStart w:id="230" w:name="_Toc223427643"/>
      <w:r w:rsidRPr="00E15C2C">
        <w:rPr>
          <w:bCs/>
        </w:rPr>
        <w:t>8.2.2</w:t>
      </w:r>
      <w:r w:rsidRPr="00E15C2C">
        <w:tab/>
      </w:r>
      <w:r w:rsidRPr="00E15C2C">
        <w:rPr>
          <w:bCs/>
        </w:rPr>
        <w:t>Séminaires régionaux des radiocommunications</w:t>
      </w:r>
      <w:bookmarkEnd w:id="227"/>
      <w:bookmarkEnd w:id="228"/>
      <w:bookmarkEnd w:id="229"/>
      <w:bookmarkEnd w:id="230"/>
    </w:p>
    <w:p w14:paraId="3AAAD26B" w14:textId="77777777" w:rsidR="004F76FD" w:rsidRPr="00E15C2C" w:rsidRDefault="004F76FD" w:rsidP="004F76FD">
      <w:r w:rsidRPr="00E15C2C">
        <w:t>En complément des séminaires mondiaux des radiocommunications qui se tiennent tous les deux ans, le BR a continué d'organiser, dans le cadre d'une stratégie de sensibilisation sur le plan régional, des séminaires régionaux des radiocommunications (RRS) dans les différentes régions du monde, en vue de promouvoir le renforcement des capacités humaines en ce qui concerne l'utilisation du spectre des fréquences radioélectriques et des orbites de satellites et, en particulier, l'application des dispositions du Règlement des radiocommunications de l'UIT.</w:t>
      </w:r>
    </w:p>
    <w:p w14:paraId="46573567" w14:textId="41140E89" w:rsidR="004F76FD" w:rsidRPr="00E15C2C" w:rsidRDefault="004F76FD" w:rsidP="004F76FD">
      <w:r w:rsidRPr="00E15C2C">
        <w:t>Ces séminaires sont organisés conjointement avec l'autorité chargée de la gestion du spectre des pays hôtes, en coopération étroite avec les organisations régionales concernées et les bureaux régionaux ou bureaux de zone de l'UIT. Le programme de ces séminaires comporte un volet technique, d'une durée de deux jours, et des ateliers d'une durée d'un jour consacrés aux services de Terre et aux services spatiaux. Ces séminaires sont complétés par un forum portant sur des questions relatives au spectre qui présentent un intérêt particulier pour la région.</w:t>
      </w:r>
    </w:p>
    <w:p w14:paraId="1AA884CA" w14:textId="77777777" w:rsidR="004F76FD" w:rsidRPr="00E15C2C" w:rsidRDefault="004F76FD" w:rsidP="004F76FD">
      <w:r w:rsidRPr="00E15C2C">
        <w:t>On trouvera dans le Tableau 8.2.2-1 un résumé détaillé des RRS organisés en 2025.</w:t>
      </w:r>
    </w:p>
    <w:p w14:paraId="4DFB0117" w14:textId="77777777" w:rsidR="004F76FD" w:rsidRPr="00E15C2C" w:rsidRDefault="004F76FD" w:rsidP="004F76FD">
      <w:r w:rsidRPr="00E15C2C">
        <w:t>Voir le Tableau 8.2-1 pour consulter la liste des RRS prévus en 2026.</w:t>
      </w:r>
    </w:p>
    <w:p w14:paraId="3165A2AD" w14:textId="77777777" w:rsidR="004F76FD" w:rsidRPr="00E15C2C" w:rsidRDefault="004F76FD" w:rsidP="004F76FD">
      <w:pPr>
        <w:rPr>
          <w:szCs w:val="24"/>
        </w:rPr>
        <w:sectPr w:rsidR="004F76FD" w:rsidRPr="00E15C2C" w:rsidSect="004F76FD">
          <w:headerReference w:type="default" r:id="rId108"/>
          <w:pgSz w:w="11907" w:h="16834"/>
          <w:pgMar w:top="1418" w:right="1134" w:bottom="1622" w:left="1134" w:header="720" w:footer="720" w:gutter="0"/>
          <w:paperSrc w:first="7" w:other="7"/>
          <w:cols w:space="720"/>
          <w:titlePg/>
          <w:docGrid w:linePitch="326"/>
        </w:sectPr>
      </w:pPr>
    </w:p>
    <w:p w14:paraId="2A249ACE" w14:textId="34C2EC26" w:rsidR="00426172" w:rsidRPr="00E15C2C" w:rsidRDefault="004F76FD" w:rsidP="00426172">
      <w:pPr>
        <w:pStyle w:val="TableNoBR"/>
      </w:pPr>
      <w:r w:rsidRPr="00E15C2C">
        <w:lastRenderedPageBreak/>
        <w:t>Tableau 8.2.2-1</w:t>
      </w:r>
    </w:p>
    <w:p w14:paraId="68F052A4" w14:textId="77777777" w:rsidR="004F76FD" w:rsidRPr="00E15C2C" w:rsidRDefault="004F76FD" w:rsidP="005E2152">
      <w:pPr>
        <w:pStyle w:val="TabletitleBR"/>
      </w:pPr>
      <w:r w:rsidRPr="00E15C2C">
        <w:t>Séminaires régionaux des radiocommunications de l'UIT en 2025</w:t>
      </w:r>
    </w:p>
    <w:tbl>
      <w:tblPr>
        <w:tblStyle w:val="TableGrid"/>
        <w:tblW w:w="5055" w:type="pct"/>
        <w:jc w:val="center"/>
        <w:tblLayout w:type="fixed"/>
        <w:tblLook w:val="04A0" w:firstRow="1" w:lastRow="0" w:firstColumn="1" w:lastColumn="0" w:noHBand="0" w:noVBand="1"/>
      </w:tblPr>
      <w:tblGrid>
        <w:gridCol w:w="1128"/>
        <w:gridCol w:w="2270"/>
        <w:gridCol w:w="1275"/>
        <w:gridCol w:w="4366"/>
        <w:gridCol w:w="1764"/>
        <w:gridCol w:w="951"/>
        <w:gridCol w:w="1566"/>
        <w:gridCol w:w="1401"/>
      </w:tblGrid>
      <w:tr w:rsidR="00426172" w:rsidRPr="00E15C2C" w14:paraId="14107769" w14:textId="77777777" w:rsidTr="00426172">
        <w:trPr>
          <w:tblHeader/>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669F57EF" w14:textId="77777777" w:rsidR="004F76FD" w:rsidRPr="00E15C2C" w:rsidRDefault="004F76FD" w:rsidP="004E3263">
            <w:pPr>
              <w:pStyle w:val="Tablehead"/>
              <w:rPr>
                <w:sz w:val="20"/>
                <w:szCs w:val="18"/>
              </w:rPr>
            </w:pPr>
            <w:r w:rsidRPr="00E15C2C">
              <w:rPr>
                <w:sz w:val="20"/>
                <w:szCs w:val="18"/>
              </w:rPr>
              <w:t>Date</w:t>
            </w:r>
          </w:p>
        </w:tc>
        <w:tc>
          <w:tcPr>
            <w:tcW w:w="771" w:type="pct"/>
            <w:tcBorders>
              <w:top w:val="single" w:sz="4" w:space="0" w:color="auto"/>
              <w:left w:val="single" w:sz="4" w:space="0" w:color="auto"/>
              <w:bottom w:val="single" w:sz="4" w:space="0" w:color="auto"/>
              <w:right w:val="single" w:sz="4" w:space="0" w:color="auto"/>
            </w:tcBorders>
            <w:vAlign w:val="center"/>
            <w:hideMark/>
          </w:tcPr>
          <w:p w14:paraId="09FD5D6B" w14:textId="77777777" w:rsidR="004F76FD" w:rsidRPr="00E15C2C" w:rsidRDefault="004F76FD" w:rsidP="004E3263">
            <w:pPr>
              <w:pStyle w:val="Tablehead"/>
              <w:rPr>
                <w:sz w:val="20"/>
                <w:szCs w:val="18"/>
              </w:rPr>
            </w:pPr>
            <w:r w:rsidRPr="00E15C2C">
              <w:rPr>
                <w:sz w:val="20"/>
                <w:szCs w:val="18"/>
              </w:rPr>
              <w:t>RRS</w:t>
            </w:r>
          </w:p>
        </w:tc>
        <w:tc>
          <w:tcPr>
            <w:tcW w:w="433" w:type="pct"/>
            <w:tcBorders>
              <w:top w:val="single" w:sz="4" w:space="0" w:color="auto"/>
              <w:left w:val="single" w:sz="4" w:space="0" w:color="auto"/>
              <w:bottom w:val="single" w:sz="4" w:space="0" w:color="auto"/>
              <w:right w:val="single" w:sz="4" w:space="0" w:color="auto"/>
            </w:tcBorders>
            <w:vAlign w:val="center"/>
            <w:hideMark/>
          </w:tcPr>
          <w:p w14:paraId="57F5936F" w14:textId="77777777" w:rsidR="004F76FD" w:rsidRPr="00E15C2C" w:rsidRDefault="004F76FD" w:rsidP="004E3263">
            <w:pPr>
              <w:pStyle w:val="Tablehead"/>
              <w:rPr>
                <w:sz w:val="20"/>
                <w:szCs w:val="18"/>
              </w:rPr>
            </w:pPr>
            <w:r w:rsidRPr="00E15C2C">
              <w:rPr>
                <w:sz w:val="20"/>
                <w:szCs w:val="18"/>
              </w:rPr>
              <w:t>Lieu</w:t>
            </w:r>
          </w:p>
        </w:tc>
        <w:tc>
          <w:tcPr>
            <w:tcW w:w="1483" w:type="pct"/>
            <w:tcBorders>
              <w:top w:val="single" w:sz="4" w:space="0" w:color="auto"/>
              <w:left w:val="single" w:sz="4" w:space="0" w:color="auto"/>
              <w:bottom w:val="single" w:sz="4" w:space="0" w:color="auto"/>
              <w:right w:val="single" w:sz="4" w:space="0" w:color="auto"/>
            </w:tcBorders>
            <w:vAlign w:val="center"/>
            <w:hideMark/>
          </w:tcPr>
          <w:p w14:paraId="0325E0B2" w14:textId="77777777" w:rsidR="004F76FD" w:rsidRPr="00E15C2C" w:rsidRDefault="004F76FD" w:rsidP="004E3263">
            <w:pPr>
              <w:pStyle w:val="Tablehead"/>
              <w:rPr>
                <w:sz w:val="20"/>
                <w:szCs w:val="18"/>
              </w:rPr>
            </w:pPr>
            <w:r w:rsidRPr="00E15C2C">
              <w:rPr>
                <w:sz w:val="20"/>
                <w:szCs w:val="18"/>
              </w:rPr>
              <w:t>Collaborateurs</w:t>
            </w:r>
          </w:p>
        </w:tc>
        <w:tc>
          <w:tcPr>
            <w:tcW w:w="599" w:type="pct"/>
            <w:tcBorders>
              <w:top w:val="single" w:sz="4" w:space="0" w:color="auto"/>
              <w:left w:val="single" w:sz="4" w:space="0" w:color="auto"/>
              <w:bottom w:val="single" w:sz="4" w:space="0" w:color="auto"/>
              <w:right w:val="single" w:sz="4" w:space="0" w:color="auto"/>
            </w:tcBorders>
            <w:vAlign w:val="center"/>
            <w:hideMark/>
          </w:tcPr>
          <w:p w14:paraId="5F29B832" w14:textId="77777777" w:rsidR="004F76FD" w:rsidRPr="00E15C2C" w:rsidRDefault="004F76FD" w:rsidP="004E3263">
            <w:pPr>
              <w:pStyle w:val="Tablehead"/>
              <w:rPr>
                <w:sz w:val="20"/>
                <w:szCs w:val="18"/>
              </w:rPr>
            </w:pPr>
            <w:r w:rsidRPr="00E15C2C">
              <w:rPr>
                <w:sz w:val="20"/>
                <w:szCs w:val="18"/>
              </w:rPr>
              <w:t>Thèmes des forums</w:t>
            </w:r>
          </w:p>
        </w:tc>
        <w:tc>
          <w:tcPr>
            <w:tcW w:w="323" w:type="pct"/>
            <w:tcBorders>
              <w:top w:val="single" w:sz="4" w:space="0" w:color="auto"/>
              <w:left w:val="single" w:sz="4" w:space="0" w:color="auto"/>
              <w:bottom w:val="single" w:sz="4" w:space="0" w:color="auto"/>
              <w:right w:val="single" w:sz="4" w:space="0" w:color="auto"/>
            </w:tcBorders>
            <w:vAlign w:val="center"/>
            <w:hideMark/>
          </w:tcPr>
          <w:p w14:paraId="5E8C4476" w14:textId="77777777" w:rsidR="004F76FD" w:rsidRPr="00E15C2C" w:rsidRDefault="004F76FD" w:rsidP="004E3263">
            <w:pPr>
              <w:pStyle w:val="Tablehead"/>
              <w:rPr>
                <w:sz w:val="20"/>
                <w:szCs w:val="18"/>
              </w:rPr>
            </w:pPr>
            <w:r w:rsidRPr="00E15C2C">
              <w:rPr>
                <w:sz w:val="20"/>
                <w:szCs w:val="18"/>
              </w:rPr>
              <w:t>Langues</w:t>
            </w:r>
          </w:p>
        </w:tc>
        <w:tc>
          <w:tcPr>
            <w:tcW w:w="532" w:type="pct"/>
            <w:tcBorders>
              <w:top w:val="single" w:sz="4" w:space="0" w:color="auto"/>
              <w:left w:val="single" w:sz="4" w:space="0" w:color="auto"/>
              <w:bottom w:val="single" w:sz="4" w:space="0" w:color="auto"/>
              <w:right w:val="single" w:sz="4" w:space="0" w:color="auto"/>
            </w:tcBorders>
            <w:vAlign w:val="center"/>
            <w:hideMark/>
          </w:tcPr>
          <w:p w14:paraId="462B3BBB" w14:textId="56FDA4E4" w:rsidR="004F76FD" w:rsidRPr="00E15C2C" w:rsidRDefault="004F76FD" w:rsidP="004E3263">
            <w:pPr>
              <w:pStyle w:val="Tablehead"/>
              <w:rPr>
                <w:sz w:val="20"/>
                <w:szCs w:val="18"/>
              </w:rPr>
            </w:pPr>
            <w:r w:rsidRPr="00E15C2C">
              <w:rPr>
                <w:sz w:val="20"/>
                <w:szCs w:val="18"/>
              </w:rPr>
              <w:t>Participants/</w:t>
            </w:r>
            <w:r w:rsidR="004E3263" w:rsidRPr="00E15C2C">
              <w:rPr>
                <w:sz w:val="20"/>
                <w:szCs w:val="18"/>
              </w:rPr>
              <w:br/>
            </w:r>
            <w:r w:rsidRPr="00E15C2C">
              <w:rPr>
                <w:sz w:val="20"/>
                <w:szCs w:val="18"/>
              </w:rPr>
              <w:t>administrations</w:t>
            </w:r>
          </w:p>
        </w:tc>
        <w:tc>
          <w:tcPr>
            <w:tcW w:w="476" w:type="pct"/>
            <w:tcBorders>
              <w:top w:val="single" w:sz="4" w:space="0" w:color="auto"/>
              <w:left w:val="single" w:sz="4" w:space="0" w:color="auto"/>
              <w:bottom w:val="single" w:sz="4" w:space="0" w:color="auto"/>
              <w:right w:val="single" w:sz="4" w:space="0" w:color="auto"/>
            </w:tcBorders>
          </w:tcPr>
          <w:p w14:paraId="039F5F1C" w14:textId="77777777" w:rsidR="004F76FD" w:rsidRPr="00E15C2C" w:rsidRDefault="004F76FD" w:rsidP="004E3263">
            <w:pPr>
              <w:pStyle w:val="Tablehead"/>
              <w:rPr>
                <w:sz w:val="20"/>
                <w:szCs w:val="18"/>
              </w:rPr>
            </w:pPr>
            <w:r w:rsidRPr="00E15C2C">
              <w:rPr>
                <w:sz w:val="20"/>
                <w:szCs w:val="18"/>
              </w:rPr>
              <w:t>Bourses</w:t>
            </w:r>
          </w:p>
        </w:tc>
      </w:tr>
      <w:tr w:rsidR="00426172" w:rsidRPr="00E15C2C" w14:paraId="488C9FC9" w14:textId="77777777" w:rsidTr="00426172">
        <w:trPr>
          <w:jc w:val="center"/>
        </w:trPr>
        <w:tc>
          <w:tcPr>
            <w:tcW w:w="383" w:type="pct"/>
            <w:tcBorders>
              <w:top w:val="single" w:sz="4" w:space="0" w:color="auto"/>
              <w:left w:val="single" w:sz="4" w:space="0" w:color="auto"/>
              <w:bottom w:val="single" w:sz="4" w:space="0" w:color="auto"/>
              <w:right w:val="single" w:sz="4" w:space="0" w:color="auto"/>
            </w:tcBorders>
            <w:vAlign w:val="center"/>
          </w:tcPr>
          <w:p w14:paraId="56C1C080" w14:textId="77777777" w:rsidR="004F76FD" w:rsidRPr="00E15C2C" w:rsidRDefault="004F76FD" w:rsidP="004E3263">
            <w:pPr>
              <w:pStyle w:val="Tabletext"/>
              <w:jc w:val="center"/>
              <w:rPr>
                <w:sz w:val="20"/>
                <w:szCs w:val="18"/>
              </w:rPr>
            </w:pPr>
            <w:r w:rsidRPr="00E15C2C">
              <w:rPr>
                <w:sz w:val="20"/>
                <w:szCs w:val="18"/>
              </w:rPr>
              <w:t>5-8 mai 2025</w:t>
            </w:r>
          </w:p>
        </w:tc>
        <w:tc>
          <w:tcPr>
            <w:tcW w:w="771" w:type="pct"/>
            <w:tcBorders>
              <w:top w:val="single" w:sz="4" w:space="0" w:color="auto"/>
              <w:left w:val="single" w:sz="4" w:space="0" w:color="auto"/>
              <w:bottom w:val="single" w:sz="4" w:space="0" w:color="auto"/>
              <w:right w:val="single" w:sz="4" w:space="0" w:color="auto"/>
            </w:tcBorders>
            <w:vAlign w:val="center"/>
            <w:hideMark/>
          </w:tcPr>
          <w:p w14:paraId="6202C1AB" w14:textId="77777777" w:rsidR="004F76FD" w:rsidRPr="00E15C2C" w:rsidRDefault="004F76FD" w:rsidP="004E3263">
            <w:pPr>
              <w:pStyle w:val="Tabletext"/>
              <w:jc w:val="center"/>
              <w:rPr>
                <w:b/>
                <w:sz w:val="20"/>
                <w:szCs w:val="18"/>
              </w:rPr>
            </w:pPr>
            <w:r w:rsidRPr="00E15C2C">
              <w:rPr>
                <w:b/>
                <w:bCs/>
                <w:sz w:val="20"/>
                <w:szCs w:val="18"/>
              </w:rPr>
              <w:t>RRS-25-AFR</w:t>
            </w:r>
          </w:p>
        </w:tc>
        <w:tc>
          <w:tcPr>
            <w:tcW w:w="433" w:type="pct"/>
            <w:tcBorders>
              <w:top w:val="single" w:sz="4" w:space="0" w:color="auto"/>
              <w:left w:val="single" w:sz="4" w:space="0" w:color="auto"/>
              <w:bottom w:val="single" w:sz="4" w:space="0" w:color="auto"/>
              <w:right w:val="single" w:sz="4" w:space="0" w:color="auto"/>
            </w:tcBorders>
            <w:vAlign w:val="center"/>
            <w:hideMark/>
          </w:tcPr>
          <w:p w14:paraId="1ECCAECA" w14:textId="77777777" w:rsidR="004F76FD" w:rsidRPr="00E15C2C" w:rsidRDefault="004F76FD" w:rsidP="004E3263">
            <w:pPr>
              <w:pStyle w:val="Tabletext"/>
              <w:jc w:val="center"/>
              <w:rPr>
                <w:sz w:val="20"/>
                <w:szCs w:val="18"/>
              </w:rPr>
            </w:pPr>
            <w:r w:rsidRPr="00E15C2C">
              <w:rPr>
                <w:sz w:val="20"/>
                <w:szCs w:val="18"/>
              </w:rPr>
              <w:t>Ville de Djibouti (Djibouti)</w:t>
            </w:r>
          </w:p>
        </w:tc>
        <w:tc>
          <w:tcPr>
            <w:tcW w:w="1483" w:type="pct"/>
            <w:tcBorders>
              <w:top w:val="single" w:sz="4" w:space="0" w:color="auto"/>
              <w:left w:val="single" w:sz="4" w:space="0" w:color="auto"/>
              <w:bottom w:val="single" w:sz="4" w:space="0" w:color="auto"/>
              <w:right w:val="single" w:sz="4" w:space="0" w:color="auto"/>
            </w:tcBorders>
            <w:vAlign w:val="center"/>
            <w:hideMark/>
          </w:tcPr>
          <w:p w14:paraId="2D5A43EA" w14:textId="77777777" w:rsidR="004F76FD" w:rsidRPr="00E15C2C" w:rsidRDefault="004F76FD" w:rsidP="004E3263">
            <w:pPr>
              <w:pStyle w:val="Tabletext"/>
              <w:jc w:val="center"/>
              <w:rPr>
                <w:color w:val="000000" w:themeColor="text1"/>
                <w:sz w:val="20"/>
                <w:szCs w:val="18"/>
                <w:shd w:val="clear" w:color="auto" w:fill="FFFFFF"/>
              </w:rPr>
            </w:pPr>
            <w:r w:rsidRPr="00E15C2C">
              <w:rPr>
                <w:sz w:val="20"/>
                <w:szCs w:val="18"/>
              </w:rPr>
              <w:t>Ministère de la Communication, chargé des Postes et des Télécommunications (MCPT) de la République de Djibouti</w:t>
            </w:r>
          </w:p>
          <w:p w14:paraId="7AEC3B40" w14:textId="77777777" w:rsidR="004F76FD" w:rsidRPr="00E15C2C" w:rsidRDefault="000B33A9" w:rsidP="004E3263">
            <w:pPr>
              <w:pStyle w:val="Tabletext"/>
              <w:jc w:val="center"/>
              <w:rPr>
                <w:color w:val="000000" w:themeColor="text1"/>
                <w:sz w:val="20"/>
                <w:szCs w:val="18"/>
                <w:shd w:val="clear" w:color="auto" w:fill="FFFFFF"/>
              </w:rPr>
            </w:pPr>
            <w:hyperlink r:id="rId109" w:history="1">
              <w:r w:rsidR="004F76FD" w:rsidRPr="00E15C2C">
                <w:rPr>
                  <w:sz w:val="20"/>
                  <w:szCs w:val="18"/>
                </w:rPr>
                <w:t xml:space="preserve">Union africaine des télécommunications (UAT) </w:t>
              </w:r>
            </w:hyperlink>
          </w:p>
          <w:p w14:paraId="53A9FEE2" w14:textId="77777777" w:rsidR="004F76FD" w:rsidRPr="00E15C2C" w:rsidRDefault="004F76FD" w:rsidP="004E3263">
            <w:pPr>
              <w:pStyle w:val="Tabletext"/>
              <w:jc w:val="center"/>
              <w:rPr>
                <w:color w:val="000000" w:themeColor="text1"/>
                <w:sz w:val="20"/>
                <w:szCs w:val="18"/>
                <w:shd w:val="clear" w:color="auto" w:fill="FFFFFF"/>
              </w:rPr>
            </w:pPr>
            <w:r w:rsidRPr="00E15C2C">
              <w:rPr>
                <w:sz w:val="20"/>
                <w:szCs w:val="18"/>
              </w:rPr>
              <w:t>Groupe chargé de la gestion du spectre dans les États arabes (ASMG)</w:t>
            </w:r>
          </w:p>
          <w:p w14:paraId="3BA40F06" w14:textId="77777777" w:rsidR="004F76FD" w:rsidRPr="00E15C2C" w:rsidRDefault="004F76FD" w:rsidP="004E3263">
            <w:pPr>
              <w:pStyle w:val="Tabletext"/>
              <w:jc w:val="center"/>
              <w:rPr>
                <w:color w:val="000000" w:themeColor="text1"/>
                <w:sz w:val="20"/>
                <w:szCs w:val="18"/>
                <w:shd w:val="clear" w:color="auto" w:fill="FFFFFF"/>
              </w:rPr>
            </w:pPr>
            <w:r w:rsidRPr="00E15C2C">
              <w:rPr>
                <w:sz w:val="20"/>
                <w:szCs w:val="18"/>
              </w:rPr>
              <w:t>Bureau de l'UIT pour la région Afrique</w:t>
            </w:r>
          </w:p>
        </w:tc>
        <w:tc>
          <w:tcPr>
            <w:tcW w:w="599" w:type="pct"/>
            <w:tcBorders>
              <w:top w:val="single" w:sz="4" w:space="0" w:color="auto"/>
              <w:left w:val="single" w:sz="4" w:space="0" w:color="auto"/>
              <w:bottom w:val="single" w:sz="4" w:space="0" w:color="auto"/>
              <w:right w:val="single" w:sz="4" w:space="0" w:color="auto"/>
            </w:tcBorders>
            <w:vAlign w:val="center"/>
            <w:hideMark/>
          </w:tcPr>
          <w:p w14:paraId="1FE13ABD" w14:textId="77777777" w:rsidR="004F76FD" w:rsidRPr="00E15C2C" w:rsidRDefault="004F76FD" w:rsidP="00426172">
            <w:pPr>
              <w:pStyle w:val="Tabletext"/>
              <w:tabs>
                <w:tab w:val="clear" w:pos="1418"/>
              </w:tabs>
              <w:ind w:left="-70" w:right="-48"/>
              <w:jc w:val="center"/>
              <w:rPr>
                <w:sz w:val="20"/>
                <w:szCs w:val="18"/>
              </w:rPr>
            </w:pPr>
            <w:r w:rsidRPr="00E15C2C">
              <w:rPr>
                <w:sz w:val="20"/>
                <w:szCs w:val="18"/>
              </w:rPr>
              <w:t>Systèmes de radiocommunication modernes et tables rondes consacrées à l'ordre du jour de la CMR-27</w:t>
            </w:r>
          </w:p>
        </w:tc>
        <w:tc>
          <w:tcPr>
            <w:tcW w:w="323" w:type="pct"/>
            <w:tcBorders>
              <w:top w:val="single" w:sz="4" w:space="0" w:color="auto"/>
              <w:left w:val="single" w:sz="4" w:space="0" w:color="auto"/>
              <w:bottom w:val="single" w:sz="4" w:space="0" w:color="auto"/>
              <w:right w:val="single" w:sz="4" w:space="0" w:color="auto"/>
            </w:tcBorders>
            <w:vAlign w:val="center"/>
            <w:hideMark/>
          </w:tcPr>
          <w:p w14:paraId="1E972B2C" w14:textId="77777777" w:rsidR="004F76FD" w:rsidRPr="00E15C2C" w:rsidRDefault="004F76FD" w:rsidP="004E3263">
            <w:pPr>
              <w:pStyle w:val="Tabletext"/>
              <w:jc w:val="center"/>
              <w:rPr>
                <w:sz w:val="20"/>
                <w:szCs w:val="18"/>
              </w:rPr>
            </w:pPr>
            <w:r w:rsidRPr="00E15C2C">
              <w:rPr>
                <w:sz w:val="20"/>
                <w:szCs w:val="18"/>
              </w:rPr>
              <w:t>Anglais, arabe, français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285FE78A" w14:textId="77777777" w:rsidR="004F76FD" w:rsidRPr="00E15C2C" w:rsidRDefault="004F76FD" w:rsidP="004E3263">
            <w:pPr>
              <w:pStyle w:val="Tabletext"/>
              <w:jc w:val="center"/>
              <w:rPr>
                <w:sz w:val="20"/>
                <w:szCs w:val="18"/>
              </w:rPr>
            </w:pPr>
            <w:r w:rsidRPr="00E15C2C">
              <w:rPr>
                <w:sz w:val="20"/>
                <w:szCs w:val="18"/>
              </w:rPr>
              <w:t>210/47</w:t>
            </w:r>
          </w:p>
        </w:tc>
        <w:tc>
          <w:tcPr>
            <w:tcW w:w="476" w:type="pct"/>
            <w:tcBorders>
              <w:top w:val="single" w:sz="4" w:space="0" w:color="auto"/>
              <w:left w:val="single" w:sz="4" w:space="0" w:color="auto"/>
              <w:bottom w:val="single" w:sz="4" w:space="0" w:color="auto"/>
              <w:right w:val="single" w:sz="4" w:space="0" w:color="auto"/>
            </w:tcBorders>
            <w:vAlign w:val="center"/>
          </w:tcPr>
          <w:p w14:paraId="02426796" w14:textId="77777777" w:rsidR="004F76FD" w:rsidRPr="00E15C2C" w:rsidRDefault="004F76FD" w:rsidP="004E3263">
            <w:pPr>
              <w:pStyle w:val="Tabletext"/>
              <w:jc w:val="center"/>
              <w:rPr>
                <w:sz w:val="20"/>
                <w:szCs w:val="18"/>
              </w:rPr>
            </w:pPr>
            <w:r w:rsidRPr="00E15C2C">
              <w:rPr>
                <w:sz w:val="20"/>
                <w:szCs w:val="18"/>
              </w:rPr>
              <w:t>27</w:t>
            </w:r>
          </w:p>
        </w:tc>
      </w:tr>
      <w:tr w:rsidR="00426172" w:rsidRPr="00E15C2C" w14:paraId="5DCA83C3" w14:textId="77777777" w:rsidTr="00426172">
        <w:trPr>
          <w:jc w:val="center"/>
        </w:trPr>
        <w:tc>
          <w:tcPr>
            <w:tcW w:w="383" w:type="pct"/>
            <w:tcBorders>
              <w:top w:val="single" w:sz="4" w:space="0" w:color="auto"/>
              <w:left w:val="single" w:sz="4" w:space="0" w:color="auto"/>
              <w:bottom w:val="single" w:sz="4" w:space="0" w:color="auto"/>
              <w:right w:val="single" w:sz="4" w:space="0" w:color="auto"/>
            </w:tcBorders>
            <w:vAlign w:val="center"/>
          </w:tcPr>
          <w:p w14:paraId="55DAC800" w14:textId="77777777" w:rsidR="004F76FD" w:rsidRPr="00E15C2C" w:rsidRDefault="004F76FD" w:rsidP="004E3263">
            <w:pPr>
              <w:pStyle w:val="Tabletext"/>
              <w:jc w:val="center"/>
              <w:rPr>
                <w:sz w:val="20"/>
                <w:szCs w:val="18"/>
              </w:rPr>
            </w:pPr>
            <w:r w:rsidRPr="00E15C2C">
              <w:rPr>
                <w:sz w:val="20"/>
                <w:szCs w:val="18"/>
              </w:rPr>
              <w:t>16-20 juin 2025</w:t>
            </w:r>
          </w:p>
        </w:tc>
        <w:tc>
          <w:tcPr>
            <w:tcW w:w="771" w:type="pct"/>
            <w:tcBorders>
              <w:top w:val="single" w:sz="4" w:space="0" w:color="auto"/>
              <w:left w:val="single" w:sz="4" w:space="0" w:color="auto"/>
              <w:bottom w:val="single" w:sz="4" w:space="0" w:color="auto"/>
              <w:right w:val="single" w:sz="4" w:space="0" w:color="auto"/>
            </w:tcBorders>
            <w:vAlign w:val="center"/>
            <w:hideMark/>
          </w:tcPr>
          <w:p w14:paraId="45377AA5" w14:textId="77777777" w:rsidR="004F76FD" w:rsidRPr="00E15C2C" w:rsidRDefault="004F76FD" w:rsidP="004E3263">
            <w:pPr>
              <w:pStyle w:val="Tabletext"/>
              <w:jc w:val="center"/>
              <w:rPr>
                <w:b/>
                <w:sz w:val="20"/>
                <w:szCs w:val="18"/>
              </w:rPr>
            </w:pPr>
            <w:r w:rsidRPr="00E15C2C">
              <w:rPr>
                <w:b/>
                <w:bCs/>
                <w:sz w:val="20"/>
                <w:szCs w:val="18"/>
              </w:rPr>
              <w:t>RRS-25-Amériques</w:t>
            </w:r>
          </w:p>
        </w:tc>
        <w:tc>
          <w:tcPr>
            <w:tcW w:w="433" w:type="pct"/>
            <w:tcBorders>
              <w:top w:val="single" w:sz="4" w:space="0" w:color="auto"/>
              <w:left w:val="single" w:sz="4" w:space="0" w:color="auto"/>
              <w:bottom w:val="single" w:sz="4" w:space="0" w:color="auto"/>
              <w:right w:val="single" w:sz="4" w:space="0" w:color="auto"/>
            </w:tcBorders>
            <w:vAlign w:val="center"/>
            <w:hideMark/>
          </w:tcPr>
          <w:p w14:paraId="7C68F330" w14:textId="77777777" w:rsidR="004F76FD" w:rsidRPr="00E15C2C" w:rsidRDefault="004F76FD" w:rsidP="004E3263">
            <w:pPr>
              <w:pStyle w:val="Tabletext"/>
              <w:jc w:val="center"/>
              <w:rPr>
                <w:sz w:val="20"/>
                <w:szCs w:val="18"/>
              </w:rPr>
            </w:pPr>
            <w:r w:rsidRPr="00E15C2C">
              <w:rPr>
                <w:sz w:val="20"/>
                <w:szCs w:val="18"/>
              </w:rPr>
              <w:t>Tegucigalpa (Honduras)</w:t>
            </w:r>
          </w:p>
        </w:tc>
        <w:tc>
          <w:tcPr>
            <w:tcW w:w="1483" w:type="pct"/>
            <w:tcBorders>
              <w:top w:val="single" w:sz="4" w:space="0" w:color="auto"/>
              <w:left w:val="single" w:sz="4" w:space="0" w:color="auto"/>
              <w:bottom w:val="single" w:sz="4" w:space="0" w:color="auto"/>
              <w:right w:val="single" w:sz="4" w:space="0" w:color="auto"/>
            </w:tcBorders>
            <w:vAlign w:val="center"/>
            <w:hideMark/>
          </w:tcPr>
          <w:p w14:paraId="6146842D" w14:textId="77777777" w:rsidR="004F76FD" w:rsidRPr="00E15C2C" w:rsidRDefault="004F76FD" w:rsidP="004E3263">
            <w:pPr>
              <w:pStyle w:val="Tabletext"/>
              <w:jc w:val="center"/>
              <w:rPr>
                <w:color w:val="000000" w:themeColor="text1"/>
                <w:sz w:val="20"/>
                <w:szCs w:val="18"/>
                <w:shd w:val="clear" w:color="auto" w:fill="FFFFFF"/>
              </w:rPr>
            </w:pPr>
            <w:r w:rsidRPr="00E15C2C">
              <w:rPr>
                <w:sz w:val="20"/>
                <w:szCs w:val="18"/>
              </w:rPr>
              <w:t>Commission nationale des télécommunications (CONATEL) du Honduras</w:t>
            </w:r>
          </w:p>
          <w:p w14:paraId="6949A968" w14:textId="77777777" w:rsidR="004F76FD" w:rsidRPr="00E15C2C" w:rsidRDefault="004F76FD" w:rsidP="004E3263">
            <w:pPr>
              <w:pStyle w:val="Tabletext"/>
              <w:jc w:val="center"/>
              <w:rPr>
                <w:color w:val="000000" w:themeColor="text1"/>
                <w:sz w:val="20"/>
                <w:szCs w:val="18"/>
              </w:rPr>
            </w:pPr>
            <w:r w:rsidRPr="00E15C2C">
              <w:rPr>
                <w:sz w:val="20"/>
                <w:szCs w:val="18"/>
              </w:rPr>
              <w:t>Commission interaméricaine des télécommunications (CITEL)</w:t>
            </w:r>
          </w:p>
          <w:p w14:paraId="49F4ECAC" w14:textId="009C2AC3" w:rsidR="004F76FD" w:rsidRPr="00E15C2C" w:rsidRDefault="004F76FD" w:rsidP="004E3263">
            <w:pPr>
              <w:pStyle w:val="Tabletext"/>
              <w:jc w:val="center"/>
              <w:rPr>
                <w:color w:val="000000" w:themeColor="text1"/>
                <w:sz w:val="20"/>
                <w:szCs w:val="18"/>
              </w:rPr>
            </w:pPr>
            <w:r w:rsidRPr="00E15C2C">
              <w:rPr>
                <w:sz w:val="20"/>
                <w:szCs w:val="18"/>
              </w:rPr>
              <w:t>Commission technique régionale des télécommunications (COMTELCA) d'Amérique centrale</w:t>
            </w:r>
          </w:p>
          <w:p w14:paraId="54285FEB" w14:textId="77777777" w:rsidR="004F76FD" w:rsidRPr="00E15C2C" w:rsidRDefault="000B33A9" w:rsidP="004E3263">
            <w:pPr>
              <w:pStyle w:val="Tabletext"/>
              <w:jc w:val="center"/>
              <w:rPr>
                <w:color w:val="000000" w:themeColor="text1"/>
                <w:sz w:val="20"/>
                <w:szCs w:val="18"/>
              </w:rPr>
            </w:pPr>
            <w:hyperlink r:id="rId110" w:tgtFrame="_blank" w:history="1">
              <w:r w:rsidR="004F76FD" w:rsidRPr="00E15C2C">
                <w:rPr>
                  <w:sz w:val="20"/>
                  <w:szCs w:val="18"/>
                </w:rPr>
                <w:t>Union des télécommunications des Caraïbes (CTU)</w:t>
              </w:r>
            </w:hyperlink>
          </w:p>
          <w:p w14:paraId="2BF4A79E" w14:textId="77777777" w:rsidR="004F76FD" w:rsidRPr="00E15C2C" w:rsidRDefault="004F76FD" w:rsidP="004E3263">
            <w:pPr>
              <w:pStyle w:val="Tabletext"/>
              <w:jc w:val="center"/>
              <w:rPr>
                <w:color w:val="000000" w:themeColor="text1"/>
                <w:sz w:val="20"/>
                <w:szCs w:val="18"/>
                <w:shd w:val="clear" w:color="auto" w:fill="FFFFFF"/>
              </w:rPr>
            </w:pPr>
            <w:r w:rsidRPr="00E15C2C">
              <w:rPr>
                <w:sz w:val="20"/>
                <w:szCs w:val="18"/>
              </w:rPr>
              <w:t>Bureau de l'UIT pour la région Amériques</w:t>
            </w:r>
          </w:p>
        </w:tc>
        <w:tc>
          <w:tcPr>
            <w:tcW w:w="599" w:type="pct"/>
            <w:tcBorders>
              <w:top w:val="single" w:sz="4" w:space="0" w:color="auto"/>
              <w:left w:val="single" w:sz="4" w:space="0" w:color="auto"/>
              <w:bottom w:val="single" w:sz="4" w:space="0" w:color="auto"/>
              <w:right w:val="single" w:sz="4" w:space="0" w:color="auto"/>
            </w:tcBorders>
            <w:vAlign w:val="center"/>
            <w:hideMark/>
          </w:tcPr>
          <w:p w14:paraId="63CF2BCB" w14:textId="77777777" w:rsidR="004F76FD" w:rsidRPr="00E15C2C" w:rsidRDefault="004F76FD" w:rsidP="00426172">
            <w:pPr>
              <w:pStyle w:val="Tabletext"/>
              <w:tabs>
                <w:tab w:val="clear" w:pos="1418"/>
              </w:tabs>
              <w:ind w:left="-70" w:right="-48"/>
              <w:jc w:val="center"/>
              <w:rPr>
                <w:sz w:val="20"/>
                <w:szCs w:val="18"/>
              </w:rPr>
            </w:pPr>
            <w:r w:rsidRPr="00E15C2C">
              <w:rPr>
                <w:sz w:val="20"/>
                <w:szCs w:val="18"/>
              </w:rPr>
              <w:t>Systèmes de radiocommunication modernes et tables rondes consacrées à l'ordre du jour de la CMR-27</w:t>
            </w:r>
          </w:p>
        </w:tc>
        <w:tc>
          <w:tcPr>
            <w:tcW w:w="323" w:type="pct"/>
            <w:tcBorders>
              <w:top w:val="single" w:sz="4" w:space="0" w:color="auto"/>
              <w:left w:val="single" w:sz="4" w:space="0" w:color="auto"/>
              <w:bottom w:val="single" w:sz="4" w:space="0" w:color="auto"/>
              <w:right w:val="single" w:sz="4" w:space="0" w:color="auto"/>
            </w:tcBorders>
            <w:vAlign w:val="center"/>
            <w:hideMark/>
          </w:tcPr>
          <w:p w14:paraId="1DCFEAF5" w14:textId="77777777" w:rsidR="004F76FD" w:rsidRPr="00E15C2C" w:rsidRDefault="004F76FD" w:rsidP="004E3263">
            <w:pPr>
              <w:pStyle w:val="Tabletext"/>
              <w:jc w:val="center"/>
              <w:rPr>
                <w:sz w:val="20"/>
                <w:szCs w:val="18"/>
              </w:rPr>
            </w:pPr>
            <w:r w:rsidRPr="00E15C2C">
              <w:rPr>
                <w:sz w:val="20"/>
                <w:szCs w:val="18"/>
              </w:rPr>
              <w:t>Anglais, espagnol</w:t>
            </w:r>
          </w:p>
        </w:tc>
        <w:tc>
          <w:tcPr>
            <w:tcW w:w="532" w:type="pct"/>
            <w:tcBorders>
              <w:top w:val="single" w:sz="4" w:space="0" w:color="auto"/>
              <w:left w:val="single" w:sz="4" w:space="0" w:color="auto"/>
              <w:bottom w:val="single" w:sz="4" w:space="0" w:color="auto"/>
              <w:right w:val="single" w:sz="4" w:space="0" w:color="auto"/>
            </w:tcBorders>
            <w:vAlign w:val="center"/>
            <w:hideMark/>
          </w:tcPr>
          <w:p w14:paraId="4C75752C" w14:textId="77777777" w:rsidR="004F76FD" w:rsidRPr="00E15C2C" w:rsidRDefault="004F76FD" w:rsidP="004E3263">
            <w:pPr>
              <w:pStyle w:val="Tabletext"/>
              <w:jc w:val="center"/>
              <w:rPr>
                <w:sz w:val="20"/>
                <w:szCs w:val="18"/>
              </w:rPr>
            </w:pPr>
            <w:r w:rsidRPr="00E15C2C">
              <w:rPr>
                <w:sz w:val="20"/>
                <w:szCs w:val="18"/>
              </w:rPr>
              <w:t>90/25</w:t>
            </w:r>
          </w:p>
        </w:tc>
        <w:tc>
          <w:tcPr>
            <w:tcW w:w="476" w:type="pct"/>
            <w:tcBorders>
              <w:top w:val="single" w:sz="4" w:space="0" w:color="auto"/>
              <w:left w:val="single" w:sz="4" w:space="0" w:color="auto"/>
              <w:bottom w:val="single" w:sz="4" w:space="0" w:color="auto"/>
              <w:right w:val="single" w:sz="4" w:space="0" w:color="auto"/>
            </w:tcBorders>
            <w:vAlign w:val="center"/>
          </w:tcPr>
          <w:p w14:paraId="511CED5A" w14:textId="77777777" w:rsidR="004F76FD" w:rsidRPr="00E15C2C" w:rsidRDefault="004F76FD" w:rsidP="004E3263">
            <w:pPr>
              <w:pStyle w:val="Tabletext"/>
              <w:jc w:val="center"/>
              <w:rPr>
                <w:sz w:val="20"/>
                <w:szCs w:val="18"/>
              </w:rPr>
            </w:pPr>
            <w:r w:rsidRPr="00E15C2C">
              <w:rPr>
                <w:sz w:val="20"/>
                <w:szCs w:val="18"/>
              </w:rPr>
              <w:t>9</w:t>
            </w:r>
          </w:p>
        </w:tc>
      </w:tr>
      <w:tr w:rsidR="00426172" w:rsidRPr="00E15C2C" w14:paraId="01FCD0E5" w14:textId="77777777" w:rsidTr="00426172">
        <w:trPr>
          <w:jc w:val="center"/>
        </w:trPr>
        <w:tc>
          <w:tcPr>
            <w:tcW w:w="383" w:type="pct"/>
            <w:tcBorders>
              <w:top w:val="single" w:sz="4" w:space="0" w:color="auto"/>
              <w:left w:val="single" w:sz="4" w:space="0" w:color="auto"/>
              <w:bottom w:val="single" w:sz="4" w:space="0" w:color="auto"/>
              <w:right w:val="single" w:sz="4" w:space="0" w:color="auto"/>
            </w:tcBorders>
            <w:vAlign w:val="center"/>
          </w:tcPr>
          <w:p w14:paraId="3D2DC986" w14:textId="77777777" w:rsidR="004F76FD" w:rsidRPr="00E15C2C" w:rsidRDefault="004F76FD" w:rsidP="004E3263">
            <w:pPr>
              <w:pStyle w:val="Tabletext"/>
              <w:jc w:val="center"/>
              <w:rPr>
                <w:sz w:val="20"/>
                <w:szCs w:val="18"/>
              </w:rPr>
            </w:pPr>
            <w:r w:rsidRPr="00E15C2C">
              <w:rPr>
                <w:sz w:val="20"/>
                <w:szCs w:val="18"/>
              </w:rPr>
              <w:t>20-29 octobre 2025</w:t>
            </w:r>
          </w:p>
        </w:tc>
        <w:tc>
          <w:tcPr>
            <w:tcW w:w="771" w:type="pct"/>
            <w:tcBorders>
              <w:top w:val="single" w:sz="4" w:space="0" w:color="auto"/>
              <w:left w:val="single" w:sz="4" w:space="0" w:color="auto"/>
              <w:bottom w:val="single" w:sz="4" w:space="0" w:color="auto"/>
              <w:right w:val="single" w:sz="4" w:space="0" w:color="auto"/>
            </w:tcBorders>
            <w:vAlign w:val="center"/>
          </w:tcPr>
          <w:p w14:paraId="2098F2EC" w14:textId="73A24F23" w:rsidR="004F76FD" w:rsidRPr="00E15C2C" w:rsidRDefault="004F76FD" w:rsidP="004E3263">
            <w:pPr>
              <w:pStyle w:val="Tabletext"/>
              <w:jc w:val="center"/>
              <w:rPr>
                <w:sz w:val="20"/>
                <w:szCs w:val="18"/>
              </w:rPr>
            </w:pPr>
            <w:r w:rsidRPr="00E15C2C">
              <w:rPr>
                <w:b/>
                <w:bCs/>
                <w:sz w:val="20"/>
                <w:szCs w:val="18"/>
              </w:rPr>
              <w:t>RRS-25-Asie-Pacifique</w:t>
            </w:r>
            <w:r w:rsidRPr="00E15C2C">
              <w:rPr>
                <w:sz w:val="20"/>
                <w:szCs w:val="18"/>
              </w:rPr>
              <w:t xml:space="preserve"> suivi de l'</w:t>
            </w:r>
            <w:r w:rsidRPr="00E15C2C">
              <w:rPr>
                <w:b/>
                <w:bCs/>
                <w:sz w:val="20"/>
                <w:szCs w:val="18"/>
              </w:rPr>
              <w:t>Atelier de l'UIT sur la gestion moderne du spectre de</w:t>
            </w:r>
            <w:r w:rsidR="00426172" w:rsidRPr="00E15C2C">
              <w:rPr>
                <w:b/>
                <w:bCs/>
                <w:sz w:val="20"/>
                <w:szCs w:val="18"/>
              </w:rPr>
              <w:t> </w:t>
            </w:r>
            <w:r w:rsidRPr="00E15C2C">
              <w:rPr>
                <w:b/>
                <w:bCs/>
                <w:sz w:val="20"/>
                <w:szCs w:val="18"/>
              </w:rPr>
              <w:t>2025 pour la Région 3 (WS</w:t>
            </w:r>
            <w:r w:rsidR="00900A3C" w:rsidRPr="00E15C2C">
              <w:rPr>
                <w:b/>
                <w:bCs/>
                <w:sz w:val="20"/>
                <w:szCs w:val="18"/>
              </w:rPr>
              <w:noBreakHyphen/>
            </w:r>
            <w:r w:rsidRPr="00E15C2C">
              <w:rPr>
                <w:b/>
                <w:bCs/>
                <w:sz w:val="20"/>
                <w:szCs w:val="18"/>
              </w:rPr>
              <w:t>MSS-25-R3)</w:t>
            </w:r>
          </w:p>
        </w:tc>
        <w:tc>
          <w:tcPr>
            <w:tcW w:w="433" w:type="pct"/>
            <w:tcBorders>
              <w:top w:val="single" w:sz="4" w:space="0" w:color="auto"/>
              <w:left w:val="single" w:sz="4" w:space="0" w:color="auto"/>
              <w:bottom w:val="single" w:sz="4" w:space="0" w:color="auto"/>
              <w:right w:val="single" w:sz="4" w:space="0" w:color="auto"/>
            </w:tcBorders>
            <w:vAlign w:val="center"/>
          </w:tcPr>
          <w:p w14:paraId="26AC0806" w14:textId="77777777" w:rsidR="004F76FD" w:rsidRPr="00E15C2C" w:rsidRDefault="004F76FD" w:rsidP="004E3263">
            <w:pPr>
              <w:pStyle w:val="Tabletext"/>
              <w:jc w:val="center"/>
              <w:rPr>
                <w:sz w:val="20"/>
                <w:szCs w:val="18"/>
              </w:rPr>
            </w:pPr>
            <w:r w:rsidRPr="00E15C2C">
              <w:rPr>
                <w:sz w:val="20"/>
                <w:szCs w:val="18"/>
              </w:rPr>
              <w:t>Chengdu (Chine)</w:t>
            </w:r>
          </w:p>
        </w:tc>
        <w:tc>
          <w:tcPr>
            <w:tcW w:w="1483" w:type="pct"/>
            <w:tcBorders>
              <w:top w:val="single" w:sz="4" w:space="0" w:color="auto"/>
              <w:left w:val="single" w:sz="4" w:space="0" w:color="auto"/>
              <w:bottom w:val="single" w:sz="4" w:space="0" w:color="auto"/>
              <w:right w:val="single" w:sz="4" w:space="0" w:color="auto"/>
            </w:tcBorders>
            <w:vAlign w:val="center"/>
          </w:tcPr>
          <w:p w14:paraId="30BCA22D" w14:textId="77777777" w:rsidR="004F76FD" w:rsidRPr="00E15C2C" w:rsidRDefault="004F76FD" w:rsidP="004E3263">
            <w:pPr>
              <w:pStyle w:val="Tabletext"/>
              <w:jc w:val="center"/>
              <w:rPr>
                <w:color w:val="000000" w:themeColor="text1"/>
                <w:sz w:val="20"/>
                <w:szCs w:val="18"/>
                <w:shd w:val="clear" w:color="auto" w:fill="FFFFFF"/>
              </w:rPr>
            </w:pPr>
            <w:r w:rsidRPr="00E15C2C">
              <w:rPr>
                <w:sz w:val="20"/>
                <w:szCs w:val="18"/>
              </w:rPr>
              <w:t>Ministère de l'industrie et des technologies de l'information (MIIT) de Chine</w:t>
            </w:r>
          </w:p>
          <w:p w14:paraId="4FA66393" w14:textId="77777777" w:rsidR="004F76FD" w:rsidRPr="00E15C2C" w:rsidRDefault="000B33A9" w:rsidP="004E3263">
            <w:pPr>
              <w:pStyle w:val="Tabletext"/>
              <w:jc w:val="center"/>
              <w:rPr>
                <w:color w:val="000000" w:themeColor="text1"/>
                <w:sz w:val="20"/>
                <w:szCs w:val="18"/>
                <w:shd w:val="clear" w:color="auto" w:fill="FFFFFF"/>
              </w:rPr>
            </w:pPr>
            <w:hyperlink r:id="rId111" w:tgtFrame="_blank" w:history="1">
              <w:r w:rsidR="004F76FD" w:rsidRPr="00E15C2C">
                <w:rPr>
                  <w:sz w:val="20"/>
                  <w:szCs w:val="18"/>
                </w:rPr>
                <w:t>Télécommunauté Asie-Pacifique (APT)</w:t>
              </w:r>
            </w:hyperlink>
          </w:p>
          <w:p w14:paraId="3D46E654" w14:textId="77777777" w:rsidR="004F76FD" w:rsidRPr="00E15C2C" w:rsidRDefault="004F76FD" w:rsidP="004E3263">
            <w:pPr>
              <w:pStyle w:val="Tabletext"/>
              <w:jc w:val="center"/>
              <w:rPr>
                <w:color w:val="000000" w:themeColor="text1"/>
                <w:sz w:val="20"/>
                <w:szCs w:val="18"/>
                <w:shd w:val="clear" w:color="auto" w:fill="FFFFFF"/>
              </w:rPr>
            </w:pPr>
            <w:r w:rsidRPr="00E15C2C">
              <w:rPr>
                <w:sz w:val="20"/>
                <w:szCs w:val="18"/>
              </w:rPr>
              <w:t>Bureau de l'UIT pour la région Asie-Pacifique</w:t>
            </w:r>
          </w:p>
        </w:tc>
        <w:tc>
          <w:tcPr>
            <w:tcW w:w="599" w:type="pct"/>
            <w:tcBorders>
              <w:top w:val="single" w:sz="4" w:space="0" w:color="auto"/>
              <w:left w:val="single" w:sz="4" w:space="0" w:color="auto"/>
              <w:bottom w:val="single" w:sz="4" w:space="0" w:color="auto"/>
              <w:right w:val="single" w:sz="4" w:space="0" w:color="auto"/>
            </w:tcBorders>
            <w:vAlign w:val="center"/>
          </w:tcPr>
          <w:p w14:paraId="63FEFBE1" w14:textId="77777777" w:rsidR="004F76FD" w:rsidRPr="00E15C2C" w:rsidRDefault="004F76FD" w:rsidP="00426172">
            <w:pPr>
              <w:pStyle w:val="Tabletext"/>
              <w:tabs>
                <w:tab w:val="clear" w:pos="1418"/>
              </w:tabs>
              <w:ind w:left="-70" w:right="-48"/>
              <w:jc w:val="center"/>
              <w:rPr>
                <w:b/>
                <w:sz w:val="20"/>
                <w:szCs w:val="18"/>
              </w:rPr>
            </w:pPr>
            <w:r w:rsidRPr="00E15C2C">
              <w:rPr>
                <w:sz w:val="20"/>
                <w:szCs w:val="18"/>
              </w:rPr>
              <w:t>Systèmes de radiocommunication modernes et tables rondes consacrées à l'ordre du jour de la CMR-27</w:t>
            </w:r>
          </w:p>
        </w:tc>
        <w:tc>
          <w:tcPr>
            <w:tcW w:w="323" w:type="pct"/>
            <w:tcBorders>
              <w:top w:val="single" w:sz="4" w:space="0" w:color="auto"/>
              <w:left w:val="single" w:sz="4" w:space="0" w:color="auto"/>
              <w:bottom w:val="single" w:sz="4" w:space="0" w:color="auto"/>
              <w:right w:val="single" w:sz="4" w:space="0" w:color="auto"/>
            </w:tcBorders>
            <w:vAlign w:val="center"/>
          </w:tcPr>
          <w:p w14:paraId="4811DEFF" w14:textId="77777777" w:rsidR="004F76FD" w:rsidRPr="00E15C2C" w:rsidRDefault="004F76FD" w:rsidP="004E3263">
            <w:pPr>
              <w:pStyle w:val="Tabletext"/>
              <w:jc w:val="center"/>
              <w:rPr>
                <w:sz w:val="20"/>
                <w:szCs w:val="18"/>
              </w:rPr>
            </w:pPr>
            <w:r w:rsidRPr="00E15C2C">
              <w:rPr>
                <w:sz w:val="20"/>
                <w:szCs w:val="18"/>
              </w:rPr>
              <w:t>Anglais</w:t>
            </w:r>
          </w:p>
        </w:tc>
        <w:tc>
          <w:tcPr>
            <w:tcW w:w="532" w:type="pct"/>
            <w:tcBorders>
              <w:top w:val="single" w:sz="4" w:space="0" w:color="auto"/>
              <w:left w:val="single" w:sz="4" w:space="0" w:color="auto"/>
              <w:bottom w:val="single" w:sz="4" w:space="0" w:color="auto"/>
              <w:right w:val="single" w:sz="4" w:space="0" w:color="auto"/>
            </w:tcBorders>
            <w:vAlign w:val="center"/>
          </w:tcPr>
          <w:p w14:paraId="70A4CAEE" w14:textId="77777777" w:rsidR="004F76FD" w:rsidRPr="00E15C2C" w:rsidRDefault="004F76FD" w:rsidP="004E3263">
            <w:pPr>
              <w:pStyle w:val="Tabletext"/>
              <w:jc w:val="center"/>
              <w:rPr>
                <w:sz w:val="20"/>
                <w:szCs w:val="18"/>
              </w:rPr>
            </w:pPr>
            <w:r w:rsidRPr="00E15C2C">
              <w:rPr>
                <w:sz w:val="20"/>
                <w:szCs w:val="18"/>
              </w:rPr>
              <w:t>127/25</w:t>
            </w:r>
          </w:p>
        </w:tc>
        <w:tc>
          <w:tcPr>
            <w:tcW w:w="476" w:type="pct"/>
            <w:tcBorders>
              <w:top w:val="single" w:sz="4" w:space="0" w:color="auto"/>
              <w:left w:val="single" w:sz="4" w:space="0" w:color="auto"/>
              <w:bottom w:val="single" w:sz="4" w:space="0" w:color="auto"/>
              <w:right w:val="single" w:sz="4" w:space="0" w:color="auto"/>
            </w:tcBorders>
            <w:vAlign w:val="center"/>
          </w:tcPr>
          <w:p w14:paraId="7D09F4AF" w14:textId="19ABE38C" w:rsidR="004F76FD" w:rsidRPr="00E15C2C" w:rsidRDefault="004F76FD" w:rsidP="004E3263">
            <w:pPr>
              <w:pStyle w:val="Tabletext"/>
              <w:jc w:val="center"/>
              <w:rPr>
                <w:sz w:val="20"/>
                <w:szCs w:val="18"/>
              </w:rPr>
            </w:pPr>
            <w:r w:rsidRPr="00E15C2C">
              <w:rPr>
                <w:sz w:val="20"/>
                <w:szCs w:val="18"/>
              </w:rPr>
              <w:t>Manifestation financée par le MIIT de Chine, y compris 12</w:t>
            </w:r>
            <w:r w:rsidR="00426172" w:rsidRPr="00E15C2C">
              <w:rPr>
                <w:sz w:val="20"/>
                <w:szCs w:val="18"/>
              </w:rPr>
              <w:t> </w:t>
            </w:r>
            <w:r w:rsidRPr="00E15C2C">
              <w:rPr>
                <w:sz w:val="20"/>
                <w:szCs w:val="18"/>
              </w:rPr>
              <w:t>bourses complètes</w:t>
            </w:r>
          </w:p>
        </w:tc>
      </w:tr>
    </w:tbl>
    <w:p w14:paraId="5AE68348" w14:textId="1F46F790" w:rsidR="004F76FD" w:rsidRPr="00E15C2C" w:rsidRDefault="004F76FD" w:rsidP="00426172">
      <w:pPr>
        <w:pStyle w:val="Tablefin"/>
        <w:rPr>
          <w:lang w:val="fr-FR"/>
        </w:rPr>
      </w:pPr>
      <w:r w:rsidRPr="00E15C2C">
        <w:rPr>
          <w:lang w:val="fr-FR"/>
        </w:rPr>
        <w:t>Le BR, avec ses partenaires régionaux, a accordé 48 bourses pour la participation aux séminaires RRS (une bourse par pays remplissant les conditions requises).</w:t>
      </w:r>
    </w:p>
    <w:p w14:paraId="584753CC" w14:textId="77777777" w:rsidR="004F76FD" w:rsidRPr="00E15C2C" w:rsidRDefault="004F76FD" w:rsidP="004F76FD">
      <w:pPr>
        <w:rPr>
          <w:rFonts w:asciiTheme="majorBidi" w:hAnsiTheme="majorBidi" w:cstheme="majorBidi"/>
        </w:rPr>
        <w:sectPr w:rsidR="004F76FD" w:rsidRPr="00E15C2C" w:rsidSect="004F76FD">
          <w:headerReference w:type="even" r:id="rId112"/>
          <w:headerReference w:type="default" r:id="rId113"/>
          <w:headerReference w:type="first" r:id="rId114"/>
          <w:footerReference w:type="first" r:id="rId115"/>
          <w:pgSz w:w="16840" w:h="11907" w:orient="landscape" w:code="9"/>
          <w:pgMar w:top="1134" w:right="1418" w:bottom="1134" w:left="851" w:header="720" w:footer="720" w:gutter="0"/>
          <w:paperSrc w:first="15" w:other="15"/>
          <w:cols w:space="720"/>
          <w:docGrid w:linePitch="326"/>
        </w:sectPr>
      </w:pPr>
    </w:p>
    <w:p w14:paraId="4366A681" w14:textId="77777777" w:rsidR="004F76FD" w:rsidRPr="00E15C2C" w:rsidRDefault="004F76FD" w:rsidP="004F76FD">
      <w:pPr>
        <w:pStyle w:val="Heading3"/>
      </w:pPr>
      <w:bookmarkStart w:id="231" w:name="_Toc222308714"/>
      <w:bookmarkStart w:id="232" w:name="_Toc223425125"/>
      <w:bookmarkStart w:id="233" w:name="_Toc223425231"/>
      <w:bookmarkStart w:id="234" w:name="_Toc424047610"/>
      <w:bookmarkStart w:id="235" w:name="_Toc446060788"/>
      <w:bookmarkStart w:id="236" w:name="_Toc223427644"/>
      <w:r w:rsidRPr="00E15C2C">
        <w:rPr>
          <w:bCs/>
        </w:rPr>
        <w:lastRenderedPageBreak/>
        <w:t>8.2.3</w:t>
      </w:r>
      <w:r w:rsidRPr="00E15C2C">
        <w:tab/>
      </w:r>
      <w:r w:rsidRPr="00E15C2C">
        <w:rPr>
          <w:bCs/>
        </w:rPr>
        <w:t>Ateliers sur les tableaux nationaux d'attribution des bandes de fréquences</w:t>
      </w:r>
      <w:bookmarkEnd w:id="231"/>
      <w:bookmarkEnd w:id="232"/>
      <w:bookmarkEnd w:id="233"/>
      <w:bookmarkEnd w:id="236"/>
    </w:p>
    <w:p w14:paraId="540E8432" w14:textId="16951CAC" w:rsidR="004F76FD" w:rsidRPr="00E15C2C" w:rsidRDefault="004F76FD" w:rsidP="004F76FD">
      <w:pPr>
        <w:rPr>
          <w:rFonts w:eastAsia="Calibri"/>
        </w:rPr>
      </w:pPr>
      <w:r w:rsidRPr="00E15C2C">
        <w:t xml:space="preserve">Il a été jugé nécessaire de compléter les séminaires WRS/RRS par une formation consacrée aux tableaux nationaux d'attribution des bandes de fréquences (TNABF) et à des mises à jour connexes compte tenu du RR de l'UIT et des publications de l'UIT-R. En réponse, le BR a organisé des </w:t>
      </w:r>
      <w:hyperlink r:id="rId116" w:history="1">
        <w:r w:rsidRPr="00E15C2C">
          <w:rPr>
            <w:rStyle w:val="Hyperlink"/>
          </w:rPr>
          <w:t>ateliers consacrés aux TNABF</w:t>
        </w:r>
      </w:hyperlink>
      <w:r w:rsidRPr="00E15C2C">
        <w:t xml:space="preserve"> (un atelier par Région du RR) après la publication de la nouvelle version du Règlement des radiocommunications.</w:t>
      </w:r>
      <w:hyperlink r:id="rId117" w:history="1"/>
    </w:p>
    <w:p w14:paraId="4BF24A21" w14:textId="67A013A7" w:rsidR="004F76FD" w:rsidRPr="00E15C2C" w:rsidRDefault="004F76FD" w:rsidP="004F76FD">
      <w:pPr>
        <w:rPr>
          <w:rFonts w:eastAsiaTheme="minorEastAsia"/>
        </w:rPr>
      </w:pPr>
      <w:r w:rsidRPr="00E15C2C">
        <w:t>La prochaine série d'ateliers consacrés aux TNABF aura lieu pendant le deuxième trimestre de</w:t>
      </w:r>
      <w:r w:rsidR="00426172" w:rsidRPr="00E15C2C">
        <w:t> </w:t>
      </w:r>
      <w:r w:rsidRPr="00E15C2C">
        <w:t>2028, après la CMR-27 et la publication ultérieure de l'édition de 2028 du RR.</w:t>
      </w:r>
    </w:p>
    <w:p w14:paraId="2912B745" w14:textId="77777777" w:rsidR="004F76FD" w:rsidRPr="00E15C2C" w:rsidRDefault="004F76FD" w:rsidP="004F76FD">
      <w:pPr>
        <w:pStyle w:val="Heading2"/>
      </w:pPr>
      <w:bookmarkStart w:id="237" w:name="_Toc222308715"/>
      <w:bookmarkStart w:id="238" w:name="_Toc223425126"/>
      <w:bookmarkStart w:id="239" w:name="_Toc223425232"/>
      <w:bookmarkStart w:id="240" w:name="_Toc223427645"/>
      <w:r w:rsidRPr="00E15C2C">
        <w:rPr>
          <w:bCs/>
        </w:rPr>
        <w:t>8.3</w:t>
      </w:r>
      <w:r w:rsidRPr="00E15C2C">
        <w:tab/>
      </w:r>
      <w:r w:rsidRPr="00E15C2C">
        <w:rPr>
          <w:bCs/>
        </w:rPr>
        <w:t>Assistance fournie aux États Membres</w:t>
      </w:r>
      <w:bookmarkEnd w:id="234"/>
      <w:bookmarkEnd w:id="235"/>
      <w:bookmarkEnd w:id="237"/>
      <w:bookmarkEnd w:id="238"/>
      <w:bookmarkEnd w:id="239"/>
      <w:bookmarkEnd w:id="240"/>
    </w:p>
    <w:p w14:paraId="4E0D9F64" w14:textId="4401C78E" w:rsidR="004F76FD" w:rsidRPr="00E15C2C" w:rsidRDefault="004F76FD" w:rsidP="004F76FD">
      <w:r w:rsidRPr="00E15C2C">
        <w:t>Le Bureau continue de recevoir de nombreuses demandes d'assistance de la part des administrations, qu'il s'agisse de questions générales liées à la gestion du spectre, au processus des</w:t>
      </w:r>
      <w:r w:rsidR="00DF16DD" w:rsidRPr="00E15C2C">
        <w:t> </w:t>
      </w:r>
      <w:r w:rsidRPr="00E15C2C">
        <w:t>CMR et à la participation aux CE et aux GT de l'UIT-R, ou encore de l'inscription des assignations de fréquence à des stations de Terre, spatiales ou terriennes ou à des stations du service de radioastronomie.</w:t>
      </w:r>
    </w:p>
    <w:p w14:paraId="7BA8AA8C" w14:textId="77777777" w:rsidR="004F76FD" w:rsidRPr="00E15C2C" w:rsidRDefault="004F76FD" w:rsidP="004F76FD">
      <w:r w:rsidRPr="00E15C2C">
        <w:t>Le Bureau s'emploie à répondre à chaque demande dans les limites de ses ressources disponibles, compte tenu de la nécessité de répartir les ressources allouées au traitement des fiches de notification soumises et les ressources chargées de répondre aux demandes d'assistance. Il convient de noter que le Bureau n'est pas en position d'appliquer les dispositions du Règlement des radiocommunications à la place des administrations, mais peut seulement les conseiller sur les manières de mettre en œuvre lesdites dispositions.</w:t>
      </w:r>
    </w:p>
    <w:p w14:paraId="10A3BA4B" w14:textId="77777777" w:rsidR="004F76FD" w:rsidRPr="00E15C2C" w:rsidRDefault="004F76FD" w:rsidP="004F76FD">
      <w:pPr>
        <w:pStyle w:val="Heading3"/>
      </w:pPr>
      <w:bookmarkStart w:id="241" w:name="_Toc424047611"/>
      <w:bookmarkStart w:id="242" w:name="_Toc446060789"/>
      <w:bookmarkStart w:id="243" w:name="_Toc222308716"/>
      <w:bookmarkStart w:id="244" w:name="_Toc223425127"/>
      <w:bookmarkStart w:id="245" w:name="_Toc223425233"/>
      <w:bookmarkStart w:id="246" w:name="_Toc223427646"/>
      <w:r w:rsidRPr="00E15C2C">
        <w:rPr>
          <w:bCs/>
        </w:rPr>
        <w:t>8.3.1</w:t>
      </w:r>
      <w:r w:rsidRPr="00E15C2C">
        <w:tab/>
      </w:r>
      <w:r w:rsidRPr="00E15C2C">
        <w:rPr>
          <w:bCs/>
        </w:rPr>
        <w:t>Assistance fournie aux administrations des pays en développement</w:t>
      </w:r>
      <w:bookmarkEnd w:id="241"/>
      <w:bookmarkEnd w:id="242"/>
      <w:bookmarkEnd w:id="243"/>
      <w:bookmarkEnd w:id="244"/>
      <w:bookmarkEnd w:id="245"/>
      <w:bookmarkEnd w:id="246"/>
    </w:p>
    <w:p w14:paraId="742E856B" w14:textId="77777777" w:rsidR="004F76FD" w:rsidRPr="00E15C2C" w:rsidRDefault="004F76FD" w:rsidP="004F76FD">
      <w:r w:rsidRPr="00E15C2C">
        <w:t>Depuis la CMR-23, le Bureau a fourni une assistance aux administrations des pays en développement dans les domaines suivants:</w:t>
      </w:r>
    </w:p>
    <w:p w14:paraId="37C14039" w14:textId="751564CA" w:rsidR="004F76FD" w:rsidRPr="00E15C2C" w:rsidRDefault="00802C7B" w:rsidP="00802C7B">
      <w:pPr>
        <w:pStyle w:val="enumlev1"/>
      </w:pPr>
      <w:r w:rsidRPr="00E15C2C">
        <w:t>•</w:t>
      </w:r>
      <w:r w:rsidRPr="00E15C2C">
        <w:tab/>
      </w:r>
      <w:r w:rsidR="004F76FD" w:rsidRPr="00E15C2C">
        <w:t>participation à des séminaires de renforcement des capacités sur les communications par satellite;</w:t>
      </w:r>
    </w:p>
    <w:p w14:paraId="0BC9A958" w14:textId="35E1A176" w:rsidR="004F76FD" w:rsidRPr="00E15C2C" w:rsidRDefault="00802C7B" w:rsidP="00802C7B">
      <w:pPr>
        <w:pStyle w:val="enumlev1"/>
      </w:pPr>
      <w:r w:rsidRPr="00E15C2C">
        <w:t>•</w:t>
      </w:r>
      <w:r w:rsidRPr="00E15C2C">
        <w:tab/>
      </w:r>
      <w:r w:rsidR="004F76FD" w:rsidRPr="00E15C2C">
        <w:t>fourniture d'une assistance concernant les procédures de coordination au titre des numéros</w:t>
      </w:r>
      <w:r w:rsidR="00DF16DD" w:rsidRPr="00E15C2C">
        <w:t> </w:t>
      </w:r>
      <w:r w:rsidR="004F76FD" w:rsidRPr="00E15C2C">
        <w:rPr>
          <w:b/>
          <w:bCs/>
        </w:rPr>
        <w:t>9.18</w:t>
      </w:r>
      <w:r w:rsidR="004F76FD" w:rsidRPr="00E15C2C">
        <w:t xml:space="preserve">, </w:t>
      </w:r>
      <w:r w:rsidR="004F76FD" w:rsidRPr="00E15C2C">
        <w:rPr>
          <w:b/>
          <w:bCs/>
        </w:rPr>
        <w:t>9.19</w:t>
      </w:r>
      <w:r w:rsidR="004F76FD" w:rsidRPr="00E15C2C">
        <w:t xml:space="preserve"> et </w:t>
      </w:r>
      <w:r w:rsidR="004F76FD" w:rsidRPr="00E15C2C">
        <w:rPr>
          <w:b/>
          <w:bCs/>
        </w:rPr>
        <w:t>9.21</w:t>
      </w:r>
      <w:r w:rsidR="004F76FD" w:rsidRPr="00E15C2C">
        <w:t xml:space="preserve"> du RR;</w:t>
      </w:r>
    </w:p>
    <w:p w14:paraId="52725841" w14:textId="3D328432" w:rsidR="004F76FD" w:rsidRPr="00E15C2C" w:rsidRDefault="00802C7B" w:rsidP="00802C7B">
      <w:pPr>
        <w:pStyle w:val="enumlev1"/>
      </w:pPr>
      <w:r w:rsidRPr="00E15C2C">
        <w:t>•</w:t>
      </w:r>
      <w:r w:rsidRPr="00E15C2C">
        <w:tab/>
      </w:r>
      <w:r w:rsidR="004F76FD" w:rsidRPr="00E15C2C">
        <w:t>fourniture d'une assistance concernant les procédures de modification du Plan exposées dans les accords régionaux;</w:t>
      </w:r>
    </w:p>
    <w:p w14:paraId="07B093CD" w14:textId="7B7CE491" w:rsidR="004F76FD" w:rsidRPr="00E15C2C" w:rsidRDefault="00802C7B" w:rsidP="00802C7B">
      <w:pPr>
        <w:pStyle w:val="enumlev1"/>
      </w:pPr>
      <w:r w:rsidRPr="00E15C2C">
        <w:t>•</w:t>
      </w:r>
      <w:r w:rsidRPr="00E15C2C">
        <w:tab/>
      </w:r>
      <w:r w:rsidR="004F76FD" w:rsidRPr="00E15C2C">
        <w:t>fourniture d'une assistance concernant l'assignation des indicatifs d'appel et des identités</w:t>
      </w:r>
      <w:r w:rsidR="00DF16DD" w:rsidRPr="00E15C2C">
        <w:t> </w:t>
      </w:r>
      <w:r w:rsidR="004F76FD" w:rsidRPr="00E15C2C">
        <w:t>MMSI;</w:t>
      </w:r>
    </w:p>
    <w:p w14:paraId="1C22DF50" w14:textId="1C284999" w:rsidR="004F76FD" w:rsidRPr="00E15C2C" w:rsidRDefault="00802C7B" w:rsidP="00802C7B">
      <w:pPr>
        <w:pStyle w:val="enumlev1"/>
      </w:pPr>
      <w:r w:rsidRPr="00E15C2C">
        <w:t>•</w:t>
      </w:r>
      <w:r w:rsidRPr="00E15C2C">
        <w:tab/>
      </w:r>
      <w:r w:rsidR="004F76FD" w:rsidRPr="00E15C2C">
        <w:t xml:space="preserve">fourniture d'une assistance concernant les procédures de notification au titre de l'Article </w:t>
      </w:r>
      <w:r w:rsidR="004F76FD" w:rsidRPr="00E15C2C">
        <w:rPr>
          <w:b/>
          <w:bCs/>
        </w:rPr>
        <w:t>11</w:t>
      </w:r>
      <w:r w:rsidR="004F76FD" w:rsidRPr="00E15C2C">
        <w:t xml:space="preserve"> du RR;</w:t>
      </w:r>
    </w:p>
    <w:p w14:paraId="00DDD09D" w14:textId="509C40CE" w:rsidR="004F76FD" w:rsidRPr="00E15C2C" w:rsidRDefault="00802C7B" w:rsidP="00802C7B">
      <w:pPr>
        <w:pStyle w:val="enumlev1"/>
      </w:pPr>
      <w:r w:rsidRPr="00E15C2C">
        <w:t>•</w:t>
      </w:r>
      <w:r w:rsidRPr="00E15C2C">
        <w:tab/>
      </w:r>
      <w:r w:rsidR="004F76FD" w:rsidRPr="00E15C2C">
        <w:t>fourniture d'une assistance concernant les procédures applicables aux systèmes spatiaux;</w:t>
      </w:r>
    </w:p>
    <w:p w14:paraId="5898D4A0" w14:textId="25D8B036" w:rsidR="004F76FD" w:rsidRPr="00E15C2C" w:rsidRDefault="00802C7B" w:rsidP="00802C7B">
      <w:pPr>
        <w:pStyle w:val="enumlev1"/>
      </w:pPr>
      <w:r w:rsidRPr="00E15C2C">
        <w:t>•</w:t>
      </w:r>
      <w:r w:rsidRPr="00E15C2C">
        <w:tab/>
      </w:r>
      <w:r w:rsidR="004F76FD" w:rsidRPr="00E15C2C">
        <w:t xml:space="preserve">fourniture d'une assistance accrue concernant la mise en œuvre de la Résolution </w:t>
      </w:r>
      <w:r w:rsidR="004F76FD" w:rsidRPr="00E15C2C">
        <w:rPr>
          <w:b/>
          <w:bCs/>
        </w:rPr>
        <w:t>170 (Rév.CMR-23)</w:t>
      </w:r>
      <w:r w:rsidR="004F76FD" w:rsidRPr="00E15C2C">
        <w:t>.</w:t>
      </w:r>
    </w:p>
    <w:p w14:paraId="7A21E3CD" w14:textId="77777777" w:rsidR="004F76FD" w:rsidRPr="00E15C2C" w:rsidRDefault="004F76FD" w:rsidP="004F76FD">
      <w:pPr>
        <w:pStyle w:val="Heading3"/>
      </w:pPr>
      <w:bookmarkStart w:id="247" w:name="_Toc424047612"/>
      <w:bookmarkStart w:id="248" w:name="_Toc446060790"/>
      <w:bookmarkStart w:id="249" w:name="_Toc222308717"/>
      <w:bookmarkStart w:id="250" w:name="_Toc223425128"/>
      <w:bookmarkStart w:id="251" w:name="_Toc223425234"/>
      <w:bookmarkStart w:id="252" w:name="_Toc223427647"/>
      <w:r w:rsidRPr="00E15C2C">
        <w:rPr>
          <w:bCs/>
        </w:rPr>
        <w:t>8.3.2</w:t>
      </w:r>
      <w:r w:rsidRPr="00E15C2C">
        <w:tab/>
      </w:r>
      <w:r w:rsidRPr="00E15C2C">
        <w:rPr>
          <w:bCs/>
        </w:rPr>
        <w:t>Assistance aux Groupes régionaux</w:t>
      </w:r>
      <w:bookmarkEnd w:id="247"/>
      <w:bookmarkEnd w:id="248"/>
      <w:bookmarkEnd w:id="249"/>
      <w:bookmarkEnd w:id="250"/>
      <w:bookmarkEnd w:id="251"/>
      <w:bookmarkEnd w:id="252"/>
    </w:p>
    <w:p w14:paraId="012D2770" w14:textId="77777777" w:rsidR="004F76FD" w:rsidRPr="00E15C2C" w:rsidRDefault="004F76FD" w:rsidP="004F76FD">
      <w:pPr>
        <w:pStyle w:val="Heading4"/>
      </w:pPr>
      <w:bookmarkStart w:id="253" w:name="_Toc424047613"/>
      <w:r w:rsidRPr="00E15C2C">
        <w:rPr>
          <w:bCs/>
        </w:rPr>
        <w:t>8.3.2.1</w:t>
      </w:r>
      <w:r w:rsidRPr="00E15C2C">
        <w:tab/>
      </w:r>
      <w:r w:rsidRPr="00E15C2C">
        <w:rPr>
          <w:bCs/>
        </w:rPr>
        <w:t>Assistance à la Communauté de développement de l'Afrique australe</w:t>
      </w:r>
    </w:p>
    <w:p w14:paraId="3C4E9FD2" w14:textId="015975DB" w:rsidR="004F76FD" w:rsidRPr="00E15C2C" w:rsidRDefault="004F76FD" w:rsidP="004F76FD">
      <w:pPr>
        <w:rPr>
          <w:rFonts w:eastAsia="Calibri"/>
          <w:szCs w:val="24"/>
        </w:rPr>
      </w:pPr>
      <w:r w:rsidRPr="00E15C2C">
        <w:t>Le 3 septembre 2025, le Bureau a reçu huit soumissions concernant l'application de la Résolution</w:t>
      </w:r>
      <w:r w:rsidR="00900A3C" w:rsidRPr="00E15C2C">
        <w:t> </w:t>
      </w:r>
      <w:r w:rsidRPr="00E15C2C">
        <w:rPr>
          <w:b/>
          <w:bCs/>
        </w:rPr>
        <w:t>170 (Rév.CMR-23)</w:t>
      </w:r>
      <w:r w:rsidRPr="00E15C2C">
        <w:t xml:space="preserve"> de l'Administration de la République d'Angola, agissant en tant qu'administration notificatrice pour le compte de l'organisation intergouvernementale de télécommunications par satellite Southern Africa Community Satellite (AGL/SCS).</w:t>
      </w:r>
    </w:p>
    <w:p w14:paraId="2F56149B" w14:textId="77777777" w:rsidR="004F76FD" w:rsidRPr="00E15C2C" w:rsidRDefault="004F76FD" w:rsidP="004F76FD">
      <w:pPr>
        <w:rPr>
          <w:rFonts w:eastAsia="Calibri"/>
          <w:szCs w:val="24"/>
        </w:rPr>
      </w:pPr>
      <w:r w:rsidRPr="00E15C2C">
        <w:lastRenderedPageBreak/>
        <w:t xml:space="preserve">Aux fins du traitement de ces soumissions, le Bureau a créé une nouvelle Section spéciale (RES170/A6A), qui contient les renseignements soumis dans le cadre de la procédure spéciale décrite dans la Pièce jointe 1 à la Résolution </w:t>
      </w:r>
      <w:r w:rsidRPr="00E15C2C">
        <w:rPr>
          <w:b/>
          <w:bCs/>
        </w:rPr>
        <w:t>170 (Rév.CMR-23)</w:t>
      </w:r>
      <w:r w:rsidRPr="00E15C2C">
        <w:t>. Cette Section spéciale est utilisée depuis le 3 février 2026, comme indiqué dans la Préface de la Circulaire internationale d'information sur les fréquences du BR (BR IFIC) (services spatiaux).</w:t>
      </w:r>
    </w:p>
    <w:p w14:paraId="746E67C2" w14:textId="44B59FA0" w:rsidR="004F76FD" w:rsidRPr="00E15C2C" w:rsidRDefault="004F76FD" w:rsidP="005E2152">
      <w:pPr>
        <w:rPr>
          <w:szCs w:val="24"/>
        </w:rPr>
      </w:pPr>
      <w:r w:rsidRPr="00E15C2C">
        <w:t xml:space="preserve">Huit Sections spéciales assujetties à la Résolution </w:t>
      </w:r>
      <w:r w:rsidRPr="00E15C2C">
        <w:rPr>
          <w:b/>
          <w:bCs/>
        </w:rPr>
        <w:t>170 (Rév.CMR-23)</w:t>
      </w:r>
      <w:r w:rsidRPr="00E15C2C">
        <w:t xml:space="preserve"> ont été publiées dans la</w:t>
      </w:r>
      <w:r w:rsidR="00DF16DD" w:rsidRPr="00E15C2C">
        <w:t> </w:t>
      </w:r>
      <w:r w:rsidRPr="00E15C2C">
        <w:t>BR</w:t>
      </w:r>
      <w:r w:rsidR="00900A3C" w:rsidRPr="00E15C2C">
        <w:t> </w:t>
      </w:r>
      <w:r w:rsidRPr="00E15C2C">
        <w:t>IFIC 3064 du 3 février 2026.</w:t>
      </w:r>
    </w:p>
    <w:p w14:paraId="4A8F8519" w14:textId="77777777" w:rsidR="004F76FD" w:rsidRPr="00E15C2C" w:rsidRDefault="004F76FD" w:rsidP="004F76FD">
      <w:pPr>
        <w:pStyle w:val="Heading2"/>
      </w:pPr>
      <w:bookmarkStart w:id="254" w:name="_Toc418163382"/>
      <w:bookmarkStart w:id="255" w:name="_Toc418232300"/>
      <w:bookmarkStart w:id="256" w:name="_Toc424047620"/>
      <w:bookmarkStart w:id="257" w:name="_Toc446060792"/>
      <w:bookmarkStart w:id="258" w:name="_Toc222308718"/>
      <w:bookmarkStart w:id="259" w:name="_Toc223425129"/>
      <w:bookmarkStart w:id="260" w:name="_Toc223425235"/>
      <w:bookmarkStart w:id="261" w:name="_Toc223427648"/>
      <w:bookmarkEnd w:id="253"/>
      <w:r w:rsidRPr="00E15C2C">
        <w:rPr>
          <w:bCs/>
        </w:rPr>
        <w:t>8.4</w:t>
      </w:r>
      <w:r w:rsidRPr="00E15C2C">
        <w:tab/>
      </w:r>
      <w:r w:rsidRPr="00E15C2C">
        <w:rPr>
          <w:bCs/>
        </w:rPr>
        <w:t>Partenariats stratégiques et coopération intersectorielle</w:t>
      </w:r>
      <w:bookmarkEnd w:id="254"/>
      <w:bookmarkEnd w:id="255"/>
      <w:bookmarkEnd w:id="256"/>
      <w:bookmarkEnd w:id="257"/>
      <w:bookmarkEnd w:id="258"/>
      <w:bookmarkEnd w:id="259"/>
      <w:bookmarkEnd w:id="260"/>
      <w:bookmarkEnd w:id="261"/>
    </w:p>
    <w:p w14:paraId="7EF1E13A" w14:textId="77777777" w:rsidR="004F76FD" w:rsidRPr="00E15C2C" w:rsidRDefault="004F76FD" w:rsidP="004F76FD">
      <w:pPr>
        <w:pStyle w:val="Heading3"/>
      </w:pPr>
      <w:bookmarkStart w:id="262" w:name="_Toc424047621"/>
      <w:bookmarkStart w:id="263" w:name="_Toc446060793"/>
      <w:bookmarkStart w:id="264" w:name="_Toc222308719"/>
      <w:bookmarkStart w:id="265" w:name="_Toc223425130"/>
      <w:bookmarkStart w:id="266" w:name="_Toc223425236"/>
      <w:bookmarkStart w:id="267" w:name="_Toc223427649"/>
      <w:r w:rsidRPr="00E15C2C">
        <w:rPr>
          <w:bCs/>
        </w:rPr>
        <w:t>8.4.1</w:t>
      </w:r>
      <w:r w:rsidRPr="00E15C2C">
        <w:tab/>
      </w:r>
      <w:r w:rsidRPr="00E15C2C">
        <w:rPr>
          <w:bCs/>
        </w:rPr>
        <w:t>Coopération avec l'UIT-D</w:t>
      </w:r>
      <w:bookmarkStart w:id="268" w:name="_Toc424047622"/>
      <w:bookmarkEnd w:id="262"/>
      <w:bookmarkEnd w:id="263"/>
      <w:bookmarkEnd w:id="264"/>
      <w:bookmarkEnd w:id="265"/>
      <w:bookmarkEnd w:id="266"/>
      <w:bookmarkEnd w:id="267"/>
    </w:p>
    <w:p w14:paraId="205A6369" w14:textId="77777777" w:rsidR="004F76FD" w:rsidRPr="00E15C2C" w:rsidRDefault="004F76FD" w:rsidP="004F76FD">
      <w:pPr>
        <w:rPr>
          <w:b/>
          <w:bCs/>
        </w:rPr>
      </w:pPr>
      <w:r w:rsidRPr="00E15C2C">
        <w:t>Le BR a entretenu une collaboration étroite avec le Bureau du développement des télécommunications (BDT) sur les questions présentant un intérêt mutuel pour l'UIT-R et le Secteur du développement des télécommunications de l'UIT (UIT-D). Le BR a participé activement aux réunions des CE de l'UIT-D, en vue de présenter les résultats les plus récents des activités menées par les CE de l'UIT-R, de fournir des orientations et d'établir des mises en correspondance concernant les Recommandations, les Rapports et les Manuels élaborés par l'UIT-R qui présentent un intérêt particulier pour les pays en développement et les études menées par les CE 1 et 2 de l'UIT-D. Les CE de l'UIT-R ou leurs GT ont également répondu à plusieurs notes de liaison émanant de ces dernières concernant l'élaboration de projets de Rapport de l'UIT-D à la Conférence mondiale de développement des télécommunications de 2025 (CMDT-25), en réponse aux Questions de l'UIT-D approuvées à la CMDT-22. Des représentants du BR ont également suivi de près la CMDT-25 et y ont participé.</w:t>
      </w:r>
    </w:p>
    <w:p w14:paraId="46A47801" w14:textId="196B4D33" w:rsidR="004F76FD" w:rsidRPr="00E15C2C" w:rsidRDefault="004F76FD" w:rsidP="004F76FD">
      <w:pPr>
        <w:rPr>
          <w:rFonts w:eastAsia="Calibri"/>
        </w:rPr>
      </w:pPr>
      <w:r w:rsidRPr="00E15C2C">
        <w:t xml:space="preserve">Afin de faciliter la collaboration en utilisant les mécanismes existants, le Département des commissions d'études du BR fournit des résumés des réalisations récentes de ses CE ou de ses GT aux CE de l'UIT-D concernées en tenant à jour tous les produits récemment approuvés. Ces renseignements sont publiés régulièrement sur le </w:t>
      </w:r>
      <w:hyperlink r:id="rId118" w:history="1">
        <w:r w:rsidRPr="00E15C2C">
          <w:rPr>
            <w:rStyle w:val="Hyperlink"/>
          </w:rPr>
          <w:t>site web des CE de l'UIT-R</w:t>
        </w:r>
      </w:hyperlink>
      <w:r w:rsidRPr="00E15C2C">
        <w:t>. Le fichier correspondant contient une liste des textes approuvés récemment, par ordre chronologique pour la période d'études 2023-2027, ainsi qu'une brève description du contenu de chaque document. Le Département des commissions d'études du BR a établi une correspondance avec les questions confiées aux CE de l'UIT-D et/ou du Secteur de la normalisation des télécommunications de l'UIT (UIT-T) pour lesquelles chaque document de l'UIT-R pourrait présenter un intérêt. Cela permet également d'éviter les chevauchements d'activités et d'utiliser les résultats des travaux effectués par les CE de l'UIT-R. Ces renseignements sont également disponibles pour la période d'études</w:t>
      </w:r>
      <w:r w:rsidR="00DF16DD" w:rsidRPr="00E15C2C">
        <w:t> </w:t>
      </w:r>
      <w:r w:rsidRPr="00E15C2C">
        <w:t>2019</w:t>
      </w:r>
      <w:r w:rsidR="00900A3C" w:rsidRPr="00E15C2C">
        <w:noBreakHyphen/>
      </w:r>
      <w:r w:rsidRPr="00E15C2C">
        <w:t>2023.</w:t>
      </w:r>
      <w:hyperlink r:id="rId119" w:history="1"/>
    </w:p>
    <w:p w14:paraId="2E9C956E" w14:textId="77777777" w:rsidR="004F76FD" w:rsidRPr="00E15C2C" w:rsidRDefault="004F76FD" w:rsidP="004F76FD">
      <w:r w:rsidRPr="00E15C2C">
        <w:t>En réponse à des demandes du BDT, des experts de l'UIT-R et du BR ont participé à des séminaires et ateliers de l'UIT organisés par l'UIT-D.</w:t>
      </w:r>
    </w:p>
    <w:p w14:paraId="481D7959" w14:textId="77777777" w:rsidR="004F76FD" w:rsidRPr="00E15C2C" w:rsidRDefault="004F76FD" w:rsidP="004F76FD">
      <w:pPr>
        <w:pStyle w:val="Heading4"/>
        <w:rPr>
          <w:i/>
        </w:rPr>
      </w:pPr>
      <w:r w:rsidRPr="00E15C2C">
        <w:rPr>
          <w:bCs/>
        </w:rPr>
        <w:t>8.4.1.1</w:t>
      </w:r>
      <w:r w:rsidRPr="00E15C2C">
        <w:tab/>
      </w:r>
      <w:r w:rsidRPr="00E15C2C">
        <w:rPr>
          <w:bCs/>
        </w:rPr>
        <w:t>Colloque mondial des régulateurs</w:t>
      </w:r>
    </w:p>
    <w:p w14:paraId="2DC523C0" w14:textId="77777777" w:rsidR="004F76FD" w:rsidRPr="00E15C2C" w:rsidRDefault="004F76FD" w:rsidP="004F76FD">
      <w:bookmarkStart w:id="269" w:name="_Toc424047623"/>
      <w:bookmarkEnd w:id="268"/>
      <w:r w:rsidRPr="00E15C2C">
        <w:t>Conscient de l'importance de la fourniture d'une assistance spécialisée aux États Membres, le BR continue de mettre à la disposition du BDT des compétences techniques sur les aspects relatifs à la gestion du spectre, à la radiodiffusion numérique et au dividende numérique.</w:t>
      </w:r>
    </w:p>
    <w:p w14:paraId="7EF93D1C" w14:textId="447D4A8F" w:rsidR="004F76FD" w:rsidRPr="00E15C2C" w:rsidRDefault="004F76FD" w:rsidP="004F76FD">
      <w:pPr>
        <w:pStyle w:val="Heading4"/>
      </w:pPr>
      <w:bookmarkStart w:id="270" w:name="_Toc424047624"/>
      <w:bookmarkEnd w:id="269"/>
      <w:r w:rsidRPr="00E15C2C">
        <w:rPr>
          <w:bCs/>
        </w:rPr>
        <w:t>8.4.1.2</w:t>
      </w:r>
      <w:r w:rsidRPr="00E15C2C">
        <w:tab/>
      </w:r>
      <w:r w:rsidRPr="00E15C2C">
        <w:rPr>
          <w:bCs/>
        </w:rPr>
        <w:t>Programme de formation sur la gestion du spectre</w:t>
      </w:r>
      <w:bookmarkEnd w:id="270"/>
    </w:p>
    <w:p w14:paraId="3AAA5C80" w14:textId="3C52CBCF" w:rsidR="004F76FD" w:rsidRPr="00E15C2C" w:rsidRDefault="004F76FD" w:rsidP="004F76FD">
      <w:r w:rsidRPr="00E15C2C">
        <w:t>Le BR participe activement, depuis 2013, à un projet commun avec le BDT visant à créer un programme de formation à la gestion du spectre (SMPT), tout au long des différentes phases de ce projet (conception, élaboration de ressources didactiques et examen par les pairs et essai pilote). Plusieurs mises à jour ont été apportées au fil des ans et le BR, sur demande du BDT, a effectué régulièrement un examen des ressources qui composent la version actuelle du Programme SMTP.</w:t>
      </w:r>
      <w:bookmarkStart w:id="271" w:name="_Toc446060796"/>
    </w:p>
    <w:p w14:paraId="34AB61C2" w14:textId="77777777" w:rsidR="004F76FD" w:rsidRPr="00E15C2C" w:rsidRDefault="004F76FD" w:rsidP="004F76FD">
      <w:pPr>
        <w:pStyle w:val="Heading3"/>
      </w:pPr>
      <w:bookmarkStart w:id="272" w:name="_Toc222308720"/>
      <w:bookmarkStart w:id="273" w:name="_Toc223425131"/>
      <w:bookmarkStart w:id="274" w:name="_Toc223425237"/>
      <w:bookmarkStart w:id="275" w:name="_Toc223427650"/>
      <w:r w:rsidRPr="00E15C2C">
        <w:rPr>
          <w:bCs/>
        </w:rPr>
        <w:lastRenderedPageBreak/>
        <w:t>8.4.2</w:t>
      </w:r>
      <w:r w:rsidRPr="00E15C2C">
        <w:tab/>
      </w:r>
      <w:r w:rsidRPr="00E15C2C">
        <w:rPr>
          <w:bCs/>
        </w:rPr>
        <w:t>Coopération avec l'UIT-T</w:t>
      </w:r>
      <w:bookmarkEnd w:id="272"/>
      <w:bookmarkEnd w:id="273"/>
      <w:bookmarkEnd w:id="274"/>
      <w:bookmarkEnd w:id="275"/>
    </w:p>
    <w:p w14:paraId="2DD21F5A" w14:textId="77777777" w:rsidR="004F76FD" w:rsidRPr="00E15C2C" w:rsidRDefault="004F76FD" w:rsidP="004F76FD">
      <w:r w:rsidRPr="00E15C2C">
        <w:t>Outre les changements climatiques et les communications d'urgence, diverses questions présentent un intérêt mutuel pour l'UIT-R et l'UIT-T, à savoir les IMT, les effets de l'exposition des personnes aux fréquences radioélectriques, les systèmes de transmission par courants porteurs en ligne, les réseaux électriques intelligents, les villes intelligentes, la compatibilité électromagnétique/les brouillages électromagnétiques, les systèmes de transport intelligents, l'IA, l'accessibilité des supports audiovisuels ainsi que la politique commune en matière de brevets et les droits de propriété intellectuelle.</w:t>
      </w:r>
    </w:p>
    <w:p w14:paraId="71098B4C" w14:textId="77777777" w:rsidR="004F76FD" w:rsidRPr="00E15C2C" w:rsidRDefault="004F76FD" w:rsidP="004F76FD">
      <w:pPr>
        <w:pStyle w:val="Heading3"/>
      </w:pPr>
      <w:bookmarkStart w:id="276" w:name="_Toc222308721"/>
      <w:bookmarkStart w:id="277" w:name="_Toc223425132"/>
      <w:bookmarkStart w:id="278" w:name="_Toc223425238"/>
      <w:bookmarkStart w:id="279" w:name="_Toc223427651"/>
      <w:r w:rsidRPr="00E15C2C">
        <w:rPr>
          <w:bCs/>
        </w:rPr>
        <w:t>8.4.3</w:t>
      </w:r>
      <w:r w:rsidRPr="00E15C2C">
        <w:tab/>
      </w:r>
      <w:r w:rsidRPr="00E15C2C">
        <w:rPr>
          <w:bCs/>
        </w:rPr>
        <w:t>Autres activités intersectorielles</w:t>
      </w:r>
      <w:bookmarkEnd w:id="276"/>
      <w:bookmarkEnd w:id="277"/>
      <w:bookmarkEnd w:id="278"/>
      <w:bookmarkEnd w:id="279"/>
    </w:p>
    <w:p w14:paraId="1631C704" w14:textId="77777777" w:rsidR="004F76FD" w:rsidRPr="00E15C2C" w:rsidRDefault="004F76FD" w:rsidP="004F76FD">
      <w:r w:rsidRPr="00E15C2C">
        <w:t>Le BR a activement participé à d'autres activités intersectorielles intéressant les travaux des CE de l'UIT-R, comme indiqué ci-dessous:</w:t>
      </w:r>
    </w:p>
    <w:p w14:paraId="0EACA738" w14:textId="15A23029" w:rsidR="004F76FD" w:rsidRPr="00E15C2C" w:rsidRDefault="004F76FD" w:rsidP="005E2152">
      <w:pPr>
        <w:pStyle w:val="enumlev1"/>
      </w:pPr>
      <w:r w:rsidRPr="00E15C2C">
        <w:rPr>
          <w:i/>
          <w:iCs/>
        </w:rPr>
        <w:t>–</w:t>
      </w:r>
      <w:r w:rsidRPr="00E15C2C">
        <w:tab/>
        <w:t>Changements climatiques et communications d'urgence</w:t>
      </w:r>
      <w:r w:rsidR="00DF16DD" w:rsidRPr="00E15C2C">
        <w:t>.</w:t>
      </w:r>
    </w:p>
    <w:p w14:paraId="1097BCC1" w14:textId="0A1E5111" w:rsidR="004F76FD" w:rsidRPr="00E15C2C" w:rsidRDefault="004F76FD" w:rsidP="005E2152">
      <w:pPr>
        <w:pStyle w:val="enumlev1"/>
      </w:pPr>
      <w:r w:rsidRPr="00E15C2C">
        <w:rPr>
          <w:i/>
          <w:iCs/>
        </w:rPr>
        <w:t>–</w:t>
      </w:r>
      <w:r w:rsidRPr="00E15C2C">
        <w:tab/>
        <w:t>Accessibilité et participation aux travaux de l'Activité conjointe de coordination sur l'accessibilité et les facteurs humains (JCA-AHF) de l'UIT-T</w:t>
      </w:r>
      <w:r w:rsidR="00DF16DD" w:rsidRPr="00E15C2C">
        <w:t>.</w:t>
      </w:r>
    </w:p>
    <w:p w14:paraId="2830EE70" w14:textId="4818A72E" w:rsidR="004F76FD" w:rsidRPr="00E15C2C" w:rsidRDefault="004F76FD" w:rsidP="005E2152">
      <w:pPr>
        <w:pStyle w:val="enumlev1"/>
      </w:pPr>
      <w:r w:rsidRPr="00E15C2C">
        <w:rPr>
          <w:i/>
          <w:iCs/>
        </w:rPr>
        <w:t>–</w:t>
      </w:r>
      <w:r w:rsidRPr="00E15C2C">
        <w:tab/>
        <w:t>Sommet mondial sur la société de l'information (SMSI) et Groupe de travail du Conseil sur le SMSI et les Objectifs de développement durable (ODD) (GTC-SMSI/ODD)</w:t>
      </w:r>
      <w:r w:rsidR="00DF16DD" w:rsidRPr="00E15C2C">
        <w:t>.</w:t>
      </w:r>
    </w:p>
    <w:p w14:paraId="78380C9C" w14:textId="74D27DC7" w:rsidR="004F76FD" w:rsidRPr="00E15C2C" w:rsidRDefault="004F76FD" w:rsidP="005E2152">
      <w:pPr>
        <w:pStyle w:val="enumlev1"/>
      </w:pPr>
      <w:r w:rsidRPr="00E15C2C">
        <w:rPr>
          <w:i/>
          <w:iCs/>
        </w:rPr>
        <w:t>–</w:t>
      </w:r>
      <w:r w:rsidRPr="00E15C2C">
        <w:tab/>
        <w:t>Fourniture d'un appui à la Conférence de plénipotentiaires, au Conseil de l'UIT, à</w:t>
      </w:r>
      <w:r w:rsidR="005E2152" w:rsidRPr="00E15C2C">
        <w:t> </w:t>
      </w:r>
      <w:r w:rsidRPr="00E15C2C">
        <w:t>l'Assemblée mondiale de normalisation des télécommunications (AMNT) et la CMDT</w:t>
      </w:r>
      <w:r w:rsidR="00DF16DD" w:rsidRPr="00E15C2C">
        <w:t>.</w:t>
      </w:r>
    </w:p>
    <w:p w14:paraId="1948B948" w14:textId="5152B8A2" w:rsidR="004F76FD" w:rsidRPr="00E15C2C" w:rsidRDefault="004F76FD" w:rsidP="004F76FD">
      <w:r w:rsidRPr="00E15C2C">
        <w:t xml:space="preserve">Conformément à la Résolution </w:t>
      </w:r>
      <w:hyperlink r:id="rId120" w:history="1">
        <w:r w:rsidRPr="00E15C2C">
          <w:rPr>
            <w:rStyle w:val="Hyperlink"/>
          </w:rPr>
          <w:t>UIT-R 75</w:t>
        </w:r>
      </w:hyperlink>
      <w:r w:rsidRPr="00E15C2C">
        <w:t>, intitulée «</w:t>
      </w:r>
      <w:r w:rsidRPr="00E15C2C">
        <w:rPr>
          <w:i/>
          <w:iCs/>
        </w:rPr>
        <w:t>Renforcement de la coordination et de la coopération entre les trois Secteurs de l'UIT sur des questions d'intérêt mutuel</w:t>
      </w:r>
      <w:r w:rsidRPr="00E15C2C">
        <w:t>», le BR continuera de coopérer avec l'UIT-D et l'UIT-T, selon qu'il conviendra.</w:t>
      </w:r>
      <w:hyperlink r:id="rId121" w:history="1"/>
    </w:p>
    <w:p w14:paraId="15F8B555" w14:textId="6D81F1CB" w:rsidR="004F76FD" w:rsidRPr="00E15C2C" w:rsidRDefault="004F76FD" w:rsidP="004F76FD">
      <w:r w:rsidRPr="00E15C2C">
        <w:t>Il s'agit là d'exemples probants de coopération entre les Secteurs de l'UIT, conformément à la Résolution 191 (Rév. Bucarest, 2022) de la Conférence de plénipotentiaires, intitulée «</w:t>
      </w:r>
      <w:r w:rsidRPr="00E15C2C">
        <w:rPr>
          <w:i/>
          <w:iCs/>
        </w:rPr>
        <w:t>Stratégie de coordination des efforts entre les trois Secteurs de l'Union</w:t>
      </w:r>
      <w:r w:rsidRPr="00E15C2C">
        <w:t>».</w:t>
      </w:r>
    </w:p>
    <w:p w14:paraId="01513DDF" w14:textId="77777777" w:rsidR="004F76FD" w:rsidRPr="00E15C2C" w:rsidRDefault="004F76FD" w:rsidP="004F76FD">
      <w:pPr>
        <w:pStyle w:val="Heading3"/>
      </w:pPr>
      <w:bookmarkStart w:id="280" w:name="_Toc222308722"/>
      <w:bookmarkStart w:id="281" w:name="_Toc223425133"/>
      <w:bookmarkStart w:id="282" w:name="_Toc223425239"/>
      <w:bookmarkStart w:id="283" w:name="_Toc223427652"/>
      <w:r w:rsidRPr="00E15C2C">
        <w:rPr>
          <w:bCs/>
        </w:rPr>
        <w:t>8.4.4</w:t>
      </w:r>
      <w:r w:rsidRPr="00E15C2C">
        <w:tab/>
      </w:r>
      <w:r w:rsidRPr="00E15C2C">
        <w:rPr>
          <w:bCs/>
        </w:rPr>
        <w:t>Coopération avec d'autres organisations</w:t>
      </w:r>
      <w:bookmarkEnd w:id="280"/>
      <w:bookmarkEnd w:id="281"/>
      <w:bookmarkEnd w:id="282"/>
      <w:bookmarkEnd w:id="283"/>
    </w:p>
    <w:p w14:paraId="24BF4C23" w14:textId="11C5FF4E" w:rsidR="004F76FD" w:rsidRPr="00E15C2C" w:rsidRDefault="004F76FD" w:rsidP="004F76FD">
      <w:r w:rsidRPr="00E15C2C">
        <w:t xml:space="preserve">Des relations de collaboration se sont poursuivies entre les CE de l'UIT-R et d'autres organisations, compte dûment tenu de la Résolution </w:t>
      </w:r>
      <w:hyperlink r:id="rId122" w:history="1">
        <w:r w:rsidRPr="00E15C2C">
          <w:rPr>
            <w:rStyle w:val="Hyperlink"/>
          </w:rPr>
          <w:t>UIT-R 9</w:t>
        </w:r>
      </w:hyperlink>
      <w:r w:rsidRPr="00E15C2C">
        <w:t xml:space="preserve">, le cas échéant. Des informations sur la déclaration de détention de brevet et d'octroi de licences de l'UIT-R sont disponibles </w:t>
      </w:r>
      <w:hyperlink r:id="rId123" w:history="1">
        <w:r w:rsidRPr="00E15C2C">
          <w:rPr>
            <w:rStyle w:val="Hyperlink"/>
          </w:rPr>
          <w:t>en ligne</w:t>
        </w:r>
      </w:hyperlink>
      <w:r w:rsidRPr="00E15C2C">
        <w:t>.</w:t>
      </w:r>
      <w:hyperlink r:id="rId124" w:history="1"/>
      <w:hyperlink r:id="rId125" w:history="1"/>
    </w:p>
    <w:p w14:paraId="59D89010" w14:textId="77777777" w:rsidR="004F76FD" w:rsidRPr="00E15C2C" w:rsidRDefault="004F76FD" w:rsidP="004F76FD">
      <w:r w:rsidRPr="00E15C2C">
        <w:t>Le Bureau a continué d'assurer une coopération étroite avec plusieurs organisations, avec les objectifs suivants:</w:t>
      </w:r>
    </w:p>
    <w:p w14:paraId="641BA7BD" w14:textId="08ED71B9" w:rsidR="004F76FD" w:rsidRPr="00E15C2C" w:rsidRDefault="005E2152" w:rsidP="005E2152">
      <w:pPr>
        <w:pStyle w:val="enumlev1"/>
      </w:pPr>
      <w:r w:rsidRPr="00E15C2C">
        <w:t>1)</w:t>
      </w:r>
      <w:r w:rsidRPr="00E15C2C">
        <w:tab/>
      </w:r>
      <w:r w:rsidR="004F76FD" w:rsidRPr="00E15C2C">
        <w:t>encourager le dialogue entre organismes ayant des intérêts communs;</w:t>
      </w:r>
    </w:p>
    <w:p w14:paraId="13FEF1CD" w14:textId="15714EFE" w:rsidR="004F76FD" w:rsidRPr="00E15C2C" w:rsidRDefault="005E2152" w:rsidP="005E2152">
      <w:pPr>
        <w:pStyle w:val="enumlev1"/>
      </w:pPr>
      <w:r w:rsidRPr="00E15C2C">
        <w:t>2)</w:t>
      </w:r>
      <w:r w:rsidRPr="00E15C2C">
        <w:tab/>
      </w:r>
      <w:r w:rsidR="004F76FD" w:rsidRPr="00E15C2C">
        <w:t>améliorer la coordination afin de mieux préparer des manifestations comme les CMR; et</w:t>
      </w:r>
    </w:p>
    <w:p w14:paraId="368F0DC8" w14:textId="35719CE7" w:rsidR="004F76FD" w:rsidRPr="00E15C2C" w:rsidRDefault="005E2152" w:rsidP="005E2152">
      <w:pPr>
        <w:pStyle w:val="enumlev1"/>
      </w:pPr>
      <w:r w:rsidRPr="00E15C2C">
        <w:t>3)</w:t>
      </w:r>
      <w:r w:rsidRPr="00E15C2C">
        <w:tab/>
      </w:r>
      <w:r w:rsidR="004F76FD" w:rsidRPr="00E15C2C">
        <w:t>tenir l'UIT-R informé des activités pertinentes menées par d'autres organisations, afin de conférer un caractère plus stratégique à la planification des programmes de travail.</w:t>
      </w:r>
    </w:p>
    <w:p w14:paraId="29107000" w14:textId="77777777" w:rsidR="004F76FD" w:rsidRPr="00E15C2C" w:rsidRDefault="004F76FD" w:rsidP="004F76FD">
      <w:r w:rsidRPr="00E15C2C">
        <w:t>Le Bureau continue de travailler en collaboration étroite avec les organisations internationales ou régionales concernées, notamment, mais non exclusivement:</w:t>
      </w:r>
    </w:p>
    <w:p w14:paraId="76A56845" w14:textId="77777777" w:rsidR="004F76FD" w:rsidRPr="00E15C2C" w:rsidRDefault="004F76FD" w:rsidP="005E2152">
      <w:pPr>
        <w:pStyle w:val="enumlev1"/>
      </w:pPr>
      <w:r w:rsidRPr="00E15C2C">
        <w:t>−</w:t>
      </w:r>
      <w:r w:rsidRPr="00E15C2C">
        <w:tab/>
        <w:t>l'APT, l'ASMG, l'UAT, la CEPT, la CITEL et la RCC pour la coordination régionale;</w:t>
      </w:r>
    </w:p>
    <w:p w14:paraId="429E08B7" w14:textId="77777777" w:rsidR="004F76FD" w:rsidRPr="00E15C2C" w:rsidRDefault="004F76FD" w:rsidP="005E2152">
      <w:pPr>
        <w:pStyle w:val="enumlev1"/>
      </w:pPr>
      <w:r w:rsidRPr="00E15C2C">
        <w:t>−</w:t>
      </w:r>
      <w:r w:rsidRPr="00E15C2C">
        <w:tab/>
        <w:t>l'Union de radiodiffusion pour l'Asie et le Pacifique (ABU), l'Union de radiodiffusion des États arabes (ASBU), l'Union européenne de radiodiffusion (UER), le SMPT, l'Institut européen des normes de télécommunication (ETSI) et la Conférence sur la coordination des fréquences dans les bandes d'ondes décamétriques (HFCC) pour les questions de diffusion;</w:t>
      </w:r>
    </w:p>
    <w:p w14:paraId="43C132D1" w14:textId="77777777" w:rsidR="004F76FD" w:rsidRPr="00E15C2C" w:rsidRDefault="004F76FD" w:rsidP="00E33E75">
      <w:pPr>
        <w:pStyle w:val="enumlev1"/>
        <w:keepLines/>
      </w:pPr>
      <w:r w:rsidRPr="00E15C2C">
        <w:lastRenderedPageBreak/>
        <w:t>−</w:t>
      </w:r>
      <w:r w:rsidRPr="00E15C2C">
        <w:tab/>
        <w:t>l'Organisation internationale de télécommunications par satellite (ITSO), l'Association pour l'Europe, le Moyen-Orient et l'Afrique des opérateurs de satellites (ESOA), le Global VSAT Forum (GVF) et l'Association du système mondial de communications mobiles (GSMA) pour l'utilisation de certains systèmes et services de radiocommunication;</w:t>
      </w:r>
    </w:p>
    <w:p w14:paraId="65C749B3" w14:textId="77777777" w:rsidR="004F76FD" w:rsidRPr="00E15C2C" w:rsidRDefault="004F76FD" w:rsidP="005E2152">
      <w:pPr>
        <w:pStyle w:val="enumlev1"/>
      </w:pPr>
      <w:r w:rsidRPr="00E15C2C">
        <w:t>−</w:t>
      </w:r>
      <w:r w:rsidRPr="00E15C2C">
        <w:tab/>
        <w:t>le Partenariat 3GPP, l'Institut des ingénieurs en électricité et en électronique (IEEE) ainsi que plusieurs organisations régionales de normalisation pour les activités du Groupe de collaboration pour la normalisation mondiale (GSC);</w:t>
      </w:r>
    </w:p>
    <w:p w14:paraId="296346B3" w14:textId="77777777" w:rsidR="004F76FD" w:rsidRPr="00E15C2C" w:rsidRDefault="004F76FD" w:rsidP="005E2152">
      <w:pPr>
        <w:pStyle w:val="enumlev1"/>
      </w:pPr>
      <w:r w:rsidRPr="00E15C2C">
        <w:t>−</w:t>
      </w:r>
      <w:r w:rsidRPr="00E15C2C">
        <w:tab/>
        <w:t>l'Organisation météorologique mondiale (OMM), l'OMS, l'Organisation internationale de normalisation (ISO) et la Communauté des états indépendants (CEI) (y compris le Comité international spécial des perturbations radioélectriques (CISPR)), le Groupe de coordination des fréquences spatiales, l'Union radio-scientifique internationale (URSI) et plusieurs autres organisations, en fonction des besoins, pour assurer l'échange utile d'informations en ce qui concerne les activités des commissions d'études;</w:t>
      </w:r>
    </w:p>
    <w:p w14:paraId="609BFF5E" w14:textId="77777777" w:rsidR="004F76FD" w:rsidRPr="00E15C2C" w:rsidRDefault="004F76FD" w:rsidP="005E2152">
      <w:pPr>
        <w:pStyle w:val="enumlev1"/>
      </w:pPr>
      <w:r w:rsidRPr="00E15C2C">
        <w:t>−</w:t>
      </w:r>
      <w:r w:rsidRPr="00E15C2C">
        <w:tab/>
        <w:t>le Comité des utilisations pacifiques de l'espace extra atmosphérique des Nations Unies (UN-COPUOS), la Commission économique des Nations Unies pour l'Europe (CEE), l'OMI, l'Organisation internationale des télécommunications mobiles par satellite (IMSO), le Bureau International des Poids et Mesures (BIPM), l'ITSO, COSPAS-SARSAT, le Comité international de la Croix Rouge (CICR) et l'OACI en ce qui concerne l'application des textes de l'UIT ayant valeur de traité.</w:t>
      </w:r>
    </w:p>
    <w:p w14:paraId="5BA097C8" w14:textId="77777777" w:rsidR="004F76FD" w:rsidRPr="00E15C2C" w:rsidRDefault="004F76FD" w:rsidP="004F76FD">
      <w:pPr>
        <w:pStyle w:val="Heading2"/>
      </w:pPr>
      <w:bookmarkStart w:id="284" w:name="_Toc222308723"/>
      <w:bookmarkStart w:id="285" w:name="_Toc223425134"/>
      <w:bookmarkStart w:id="286" w:name="_Toc223425240"/>
      <w:bookmarkStart w:id="287" w:name="_Toc223427653"/>
      <w:r w:rsidRPr="00E15C2C">
        <w:rPr>
          <w:bCs/>
        </w:rPr>
        <w:t>8.5</w:t>
      </w:r>
      <w:r w:rsidRPr="00E15C2C">
        <w:tab/>
      </w:r>
      <w:r w:rsidRPr="00E15C2C">
        <w:rPr>
          <w:bCs/>
        </w:rPr>
        <w:t>Membres</w:t>
      </w:r>
      <w:bookmarkEnd w:id="271"/>
      <w:bookmarkEnd w:id="284"/>
      <w:bookmarkEnd w:id="285"/>
      <w:bookmarkEnd w:id="286"/>
      <w:bookmarkEnd w:id="287"/>
    </w:p>
    <w:p w14:paraId="3AEBBD4E" w14:textId="77777777" w:rsidR="004F76FD" w:rsidRPr="00E15C2C" w:rsidRDefault="004F76FD" w:rsidP="004F76FD">
      <w:pPr>
        <w:pStyle w:val="Heading3"/>
      </w:pPr>
      <w:bookmarkStart w:id="288" w:name="_Toc222308724"/>
      <w:bookmarkStart w:id="289" w:name="_Toc223425135"/>
      <w:bookmarkStart w:id="290" w:name="_Toc223425241"/>
      <w:bookmarkStart w:id="291" w:name="_Toc223427654"/>
      <w:r w:rsidRPr="00E15C2C">
        <w:rPr>
          <w:bCs/>
        </w:rPr>
        <w:t>8.5.1</w:t>
      </w:r>
      <w:r w:rsidRPr="00E15C2C">
        <w:tab/>
      </w:r>
      <w:r w:rsidRPr="00E15C2C">
        <w:rPr>
          <w:bCs/>
        </w:rPr>
        <w:t>Membres de l'UIT</w:t>
      </w:r>
      <w:bookmarkEnd w:id="288"/>
      <w:bookmarkEnd w:id="289"/>
      <w:bookmarkEnd w:id="290"/>
      <w:bookmarkEnd w:id="291"/>
    </w:p>
    <w:p w14:paraId="00CA3786" w14:textId="77777777" w:rsidR="004F76FD" w:rsidRPr="00E15C2C" w:rsidRDefault="004F76FD" w:rsidP="004F76FD">
      <w:r w:rsidRPr="00E15C2C">
        <w:t>Le Tableau 8.5.1-1 indique la répartition des membres de l'UIT, par Secteur et par Région, en 2025.</w:t>
      </w:r>
    </w:p>
    <w:p w14:paraId="68C0CF84" w14:textId="77777777" w:rsidR="004F76FD" w:rsidRPr="00E15C2C" w:rsidRDefault="004F76FD" w:rsidP="005E2152">
      <w:pPr>
        <w:pStyle w:val="TableNoBR"/>
      </w:pPr>
      <w:r w:rsidRPr="00E15C2C">
        <w:t>Tableau 8.5.1-1</w:t>
      </w:r>
    </w:p>
    <w:p w14:paraId="47E5F1DE" w14:textId="77777777" w:rsidR="004F76FD" w:rsidRPr="00E15C2C" w:rsidRDefault="004F76FD" w:rsidP="003C6666">
      <w:pPr>
        <w:pStyle w:val="TabletitleBR"/>
      </w:pPr>
      <w:r w:rsidRPr="00E15C2C">
        <w:t>Membres de l'UIT, par Secteur et par Région, en 2025</w:t>
      </w:r>
    </w:p>
    <w:p w14:paraId="5B7C9AB4" w14:textId="77777777" w:rsidR="004F76FD" w:rsidRPr="00E15C2C" w:rsidRDefault="004F76FD" w:rsidP="00DF16DD">
      <w:pPr>
        <w:pStyle w:val="Figure"/>
        <w:spacing w:after="240"/>
      </w:pPr>
      <w:r w:rsidRPr="00E15C2C">
        <w:drawing>
          <wp:inline distT="0" distB="0" distL="0" distR="0" wp14:anchorId="18C1DFCC" wp14:editId="60B35DB7">
            <wp:extent cx="6120765" cy="1906905"/>
            <wp:effectExtent l="0" t="0" r="0" b="0"/>
            <wp:docPr id="180627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76787" name=""/>
                    <pic:cNvPicPr/>
                  </pic:nvPicPr>
                  <pic:blipFill>
                    <a:blip r:embed="rId126"/>
                    <a:stretch>
                      <a:fillRect/>
                    </a:stretch>
                  </pic:blipFill>
                  <pic:spPr>
                    <a:xfrm>
                      <a:off x="0" y="0"/>
                      <a:ext cx="6120765" cy="1906905"/>
                    </a:xfrm>
                    <a:prstGeom prst="rect">
                      <a:avLst/>
                    </a:prstGeom>
                  </pic:spPr>
                </pic:pic>
              </a:graphicData>
            </a:graphic>
          </wp:inline>
        </w:drawing>
      </w:r>
    </w:p>
    <w:p w14:paraId="137F2819" w14:textId="77777777" w:rsidR="004F76FD" w:rsidRPr="00E15C2C" w:rsidRDefault="004F76FD" w:rsidP="004F76FD">
      <w:pPr>
        <w:pStyle w:val="Heading3"/>
      </w:pPr>
      <w:bookmarkStart w:id="292" w:name="_Toc222308725"/>
      <w:bookmarkStart w:id="293" w:name="_Toc223425136"/>
      <w:bookmarkStart w:id="294" w:name="_Toc223425242"/>
      <w:bookmarkStart w:id="295" w:name="_Toc223427655"/>
      <w:r w:rsidRPr="00E15C2C">
        <w:rPr>
          <w:bCs/>
        </w:rPr>
        <w:t>8.5.2</w:t>
      </w:r>
      <w:r w:rsidRPr="00E15C2C">
        <w:tab/>
      </w:r>
      <w:r w:rsidRPr="00E15C2C">
        <w:rPr>
          <w:bCs/>
        </w:rPr>
        <w:t>Membres de l'UIT</w:t>
      </w:r>
      <w:bookmarkEnd w:id="292"/>
      <w:bookmarkEnd w:id="293"/>
      <w:bookmarkEnd w:id="294"/>
      <w:bookmarkEnd w:id="295"/>
    </w:p>
    <w:p w14:paraId="1031F8B0" w14:textId="77777777" w:rsidR="004F76FD" w:rsidRPr="00E15C2C" w:rsidRDefault="004F76FD" w:rsidP="004F76FD">
      <w:r w:rsidRPr="00E15C2C">
        <w:t>Le Tableau 8.5.2-1 indique l'évolution du nombre de Membres du Secteur de l'UIT-R, d'Associés et d'établissements universitaires ayant participé aux travaux de ce Secteur au cours de la période allant de 2020 à 2025.</w:t>
      </w:r>
    </w:p>
    <w:p w14:paraId="5E8AAA81" w14:textId="2EB2C40F" w:rsidR="00DF16DD" w:rsidRPr="00E15C2C" w:rsidRDefault="004F76FD" w:rsidP="00DF16DD">
      <w:pPr>
        <w:pStyle w:val="TableNoBR"/>
      </w:pPr>
      <w:r w:rsidRPr="00E15C2C">
        <w:lastRenderedPageBreak/>
        <w:t>Tableau 8.5.2-1</w:t>
      </w:r>
    </w:p>
    <w:p w14:paraId="69DE82E2" w14:textId="77777777" w:rsidR="004F76FD" w:rsidRPr="00E15C2C" w:rsidRDefault="004F76FD" w:rsidP="003C6666">
      <w:pPr>
        <w:pStyle w:val="TabletitleBR"/>
      </w:pPr>
      <w:r w:rsidRPr="00E15C2C">
        <w:t>Évolution de la composition de l'UIT-R sur la période 2020-2025</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850"/>
        <w:gridCol w:w="709"/>
        <w:gridCol w:w="709"/>
        <w:gridCol w:w="709"/>
        <w:gridCol w:w="850"/>
        <w:gridCol w:w="1276"/>
        <w:gridCol w:w="1949"/>
      </w:tblGrid>
      <w:tr w:rsidR="004F76FD" w:rsidRPr="00E15C2C" w14:paraId="11080539" w14:textId="77777777" w:rsidTr="00B46174">
        <w:trPr>
          <w:trHeight w:val="300"/>
          <w:jc w:val="center"/>
        </w:trPr>
        <w:tc>
          <w:tcPr>
            <w:tcW w:w="1696" w:type="dxa"/>
            <w:vAlign w:val="center"/>
          </w:tcPr>
          <w:p w14:paraId="18500354" w14:textId="77777777" w:rsidR="004F76FD" w:rsidRPr="00E15C2C" w:rsidRDefault="004F76FD" w:rsidP="00B46174">
            <w:pPr>
              <w:pStyle w:val="Tabletext"/>
              <w:ind w:left="-106"/>
              <w:jc w:val="center"/>
            </w:pPr>
          </w:p>
        </w:tc>
        <w:tc>
          <w:tcPr>
            <w:tcW w:w="851" w:type="dxa"/>
            <w:vAlign w:val="center"/>
          </w:tcPr>
          <w:p w14:paraId="509C5E38" w14:textId="77777777" w:rsidR="004F76FD" w:rsidRPr="00E15C2C" w:rsidRDefault="004F76FD" w:rsidP="00B46174">
            <w:pPr>
              <w:pStyle w:val="Tabletext"/>
              <w:jc w:val="center"/>
              <w:rPr>
                <w:b/>
                <w:bCs/>
                <w:color w:val="000000" w:themeColor="text1"/>
              </w:rPr>
            </w:pPr>
            <w:r w:rsidRPr="00E15C2C">
              <w:rPr>
                <w:b/>
                <w:bCs/>
                <w:color w:val="000000"/>
              </w:rPr>
              <w:t>2020</w:t>
            </w:r>
          </w:p>
        </w:tc>
        <w:tc>
          <w:tcPr>
            <w:tcW w:w="850" w:type="dxa"/>
            <w:vAlign w:val="center"/>
          </w:tcPr>
          <w:p w14:paraId="19D766BC" w14:textId="77777777" w:rsidR="004F76FD" w:rsidRPr="00E15C2C" w:rsidRDefault="004F76FD" w:rsidP="00B46174">
            <w:pPr>
              <w:pStyle w:val="Tabletext"/>
              <w:jc w:val="center"/>
              <w:rPr>
                <w:b/>
                <w:bCs/>
                <w:color w:val="000000" w:themeColor="text1"/>
              </w:rPr>
            </w:pPr>
            <w:r w:rsidRPr="00E15C2C">
              <w:rPr>
                <w:b/>
                <w:bCs/>
                <w:color w:val="000000"/>
              </w:rPr>
              <w:t>2021</w:t>
            </w:r>
          </w:p>
        </w:tc>
        <w:tc>
          <w:tcPr>
            <w:tcW w:w="709" w:type="dxa"/>
            <w:vAlign w:val="center"/>
          </w:tcPr>
          <w:p w14:paraId="778CEC59" w14:textId="77777777" w:rsidR="004F76FD" w:rsidRPr="00E15C2C" w:rsidRDefault="004F76FD" w:rsidP="00B46174">
            <w:pPr>
              <w:pStyle w:val="Tabletext"/>
              <w:jc w:val="center"/>
              <w:rPr>
                <w:b/>
                <w:bCs/>
                <w:color w:val="000000" w:themeColor="text1"/>
              </w:rPr>
            </w:pPr>
            <w:r w:rsidRPr="00E15C2C">
              <w:rPr>
                <w:b/>
                <w:bCs/>
                <w:color w:val="000000"/>
              </w:rPr>
              <w:t>2022</w:t>
            </w:r>
          </w:p>
        </w:tc>
        <w:tc>
          <w:tcPr>
            <w:tcW w:w="709" w:type="dxa"/>
            <w:vAlign w:val="center"/>
          </w:tcPr>
          <w:p w14:paraId="7453F90E" w14:textId="77777777" w:rsidR="004F76FD" w:rsidRPr="00E15C2C" w:rsidRDefault="004F76FD" w:rsidP="00B46174">
            <w:pPr>
              <w:pStyle w:val="Tabletext"/>
              <w:jc w:val="center"/>
              <w:rPr>
                <w:b/>
                <w:bCs/>
                <w:color w:val="000000" w:themeColor="text1"/>
              </w:rPr>
            </w:pPr>
            <w:r w:rsidRPr="00E15C2C">
              <w:rPr>
                <w:b/>
                <w:bCs/>
                <w:color w:val="000000"/>
              </w:rPr>
              <w:t>2023</w:t>
            </w:r>
          </w:p>
        </w:tc>
        <w:tc>
          <w:tcPr>
            <w:tcW w:w="709" w:type="dxa"/>
            <w:vAlign w:val="center"/>
          </w:tcPr>
          <w:p w14:paraId="54868F7C" w14:textId="77777777" w:rsidR="004F76FD" w:rsidRPr="00E15C2C" w:rsidRDefault="004F76FD" w:rsidP="00B46174">
            <w:pPr>
              <w:pStyle w:val="Tabletext"/>
              <w:jc w:val="center"/>
              <w:rPr>
                <w:b/>
                <w:bCs/>
                <w:color w:val="000000" w:themeColor="text1"/>
              </w:rPr>
            </w:pPr>
            <w:r w:rsidRPr="00E15C2C">
              <w:rPr>
                <w:b/>
                <w:bCs/>
                <w:color w:val="000000"/>
              </w:rPr>
              <w:t>2024</w:t>
            </w:r>
          </w:p>
        </w:tc>
        <w:tc>
          <w:tcPr>
            <w:tcW w:w="850" w:type="dxa"/>
            <w:vAlign w:val="center"/>
          </w:tcPr>
          <w:p w14:paraId="493B7C8F" w14:textId="77777777" w:rsidR="004F76FD" w:rsidRPr="00E15C2C" w:rsidRDefault="004F76FD" w:rsidP="00B46174">
            <w:pPr>
              <w:pStyle w:val="Tabletext"/>
              <w:jc w:val="center"/>
              <w:rPr>
                <w:b/>
                <w:bCs/>
                <w:color w:val="000000" w:themeColor="text1"/>
              </w:rPr>
            </w:pPr>
            <w:r w:rsidRPr="00E15C2C">
              <w:rPr>
                <w:b/>
                <w:bCs/>
                <w:color w:val="000000"/>
              </w:rPr>
              <w:t>2025</w:t>
            </w:r>
          </w:p>
        </w:tc>
        <w:tc>
          <w:tcPr>
            <w:tcW w:w="1276" w:type="dxa"/>
            <w:shd w:val="clear" w:color="auto" w:fill="E4EBF4"/>
            <w:vAlign w:val="center"/>
          </w:tcPr>
          <w:p w14:paraId="0A26651A" w14:textId="77777777" w:rsidR="004F76FD" w:rsidRPr="00E15C2C" w:rsidRDefault="004F76FD" w:rsidP="00B46174">
            <w:pPr>
              <w:pStyle w:val="Tabletext"/>
              <w:jc w:val="center"/>
              <w:rPr>
                <w:b/>
                <w:bCs/>
                <w:color w:val="000000" w:themeColor="text1"/>
              </w:rPr>
            </w:pPr>
            <w:r w:rsidRPr="00E15C2C">
              <w:rPr>
                <w:b/>
                <w:bCs/>
                <w:color w:val="000000"/>
              </w:rPr>
              <w:t>Évolution entre 2020 et 2025</w:t>
            </w:r>
          </w:p>
        </w:tc>
        <w:tc>
          <w:tcPr>
            <w:tcW w:w="1949" w:type="dxa"/>
            <w:shd w:val="clear" w:color="auto" w:fill="E4EBF4"/>
            <w:vAlign w:val="center"/>
          </w:tcPr>
          <w:p w14:paraId="7E01402D" w14:textId="77777777" w:rsidR="004F76FD" w:rsidRPr="00E15C2C" w:rsidRDefault="004F76FD" w:rsidP="00B46174">
            <w:pPr>
              <w:pStyle w:val="Tabletext"/>
              <w:jc w:val="center"/>
              <w:rPr>
                <w:b/>
                <w:bCs/>
                <w:color w:val="000000" w:themeColor="text1"/>
              </w:rPr>
            </w:pPr>
            <w:r w:rsidRPr="00E15C2C">
              <w:rPr>
                <w:b/>
                <w:bCs/>
                <w:color w:val="000000"/>
              </w:rPr>
              <w:t>% d'augmentation entre 2020 et 2025</w:t>
            </w:r>
          </w:p>
        </w:tc>
      </w:tr>
      <w:tr w:rsidR="004F76FD" w:rsidRPr="00E15C2C" w14:paraId="26085AE0" w14:textId="77777777" w:rsidTr="00B46174">
        <w:trPr>
          <w:trHeight w:val="300"/>
          <w:jc w:val="center"/>
        </w:trPr>
        <w:tc>
          <w:tcPr>
            <w:tcW w:w="1696" w:type="dxa"/>
            <w:vAlign w:val="center"/>
          </w:tcPr>
          <w:p w14:paraId="7BBD0D62" w14:textId="77777777" w:rsidR="004F76FD" w:rsidRPr="00E15C2C" w:rsidRDefault="004F76FD" w:rsidP="00B46174">
            <w:pPr>
              <w:pStyle w:val="Tabletext"/>
              <w:ind w:left="-106"/>
              <w:jc w:val="center"/>
              <w:rPr>
                <w:b/>
                <w:bCs/>
              </w:rPr>
            </w:pPr>
            <w:r w:rsidRPr="00E15C2C">
              <w:rPr>
                <w:b/>
                <w:bCs/>
                <w:color w:val="000000"/>
              </w:rPr>
              <w:t>Membres de Secteur</w:t>
            </w:r>
          </w:p>
        </w:tc>
        <w:tc>
          <w:tcPr>
            <w:tcW w:w="851" w:type="dxa"/>
            <w:vAlign w:val="center"/>
          </w:tcPr>
          <w:p w14:paraId="1EB752DA" w14:textId="77777777" w:rsidR="004F76FD" w:rsidRPr="00E15C2C" w:rsidRDefault="004F76FD" w:rsidP="00B46174">
            <w:pPr>
              <w:pStyle w:val="Tabletext"/>
              <w:jc w:val="center"/>
              <w:rPr>
                <w:color w:val="000000" w:themeColor="text1"/>
              </w:rPr>
            </w:pPr>
            <w:r w:rsidRPr="00E15C2C">
              <w:rPr>
                <w:color w:val="000000"/>
              </w:rPr>
              <w:t>275</w:t>
            </w:r>
          </w:p>
        </w:tc>
        <w:tc>
          <w:tcPr>
            <w:tcW w:w="850" w:type="dxa"/>
            <w:vAlign w:val="center"/>
          </w:tcPr>
          <w:p w14:paraId="79F23E8C" w14:textId="77777777" w:rsidR="004F76FD" w:rsidRPr="00E15C2C" w:rsidRDefault="004F76FD" w:rsidP="00B46174">
            <w:pPr>
              <w:pStyle w:val="Tabletext"/>
              <w:jc w:val="center"/>
              <w:rPr>
                <w:color w:val="000000" w:themeColor="text1"/>
              </w:rPr>
            </w:pPr>
            <w:r w:rsidRPr="00E15C2C">
              <w:rPr>
                <w:color w:val="000000"/>
              </w:rPr>
              <w:t>278</w:t>
            </w:r>
          </w:p>
        </w:tc>
        <w:tc>
          <w:tcPr>
            <w:tcW w:w="709" w:type="dxa"/>
            <w:vAlign w:val="center"/>
          </w:tcPr>
          <w:p w14:paraId="5D567A64" w14:textId="77777777" w:rsidR="004F76FD" w:rsidRPr="00E15C2C" w:rsidRDefault="004F76FD" w:rsidP="00B46174">
            <w:pPr>
              <w:pStyle w:val="Tabletext"/>
              <w:jc w:val="center"/>
              <w:rPr>
                <w:color w:val="000000" w:themeColor="text1"/>
              </w:rPr>
            </w:pPr>
            <w:r w:rsidRPr="00E15C2C">
              <w:rPr>
                <w:color w:val="000000"/>
              </w:rPr>
              <w:t>278</w:t>
            </w:r>
          </w:p>
        </w:tc>
        <w:tc>
          <w:tcPr>
            <w:tcW w:w="709" w:type="dxa"/>
            <w:vAlign w:val="center"/>
          </w:tcPr>
          <w:p w14:paraId="59A24025" w14:textId="77777777" w:rsidR="004F76FD" w:rsidRPr="00E15C2C" w:rsidRDefault="004F76FD" w:rsidP="00B46174">
            <w:pPr>
              <w:pStyle w:val="Tabletext"/>
              <w:jc w:val="center"/>
              <w:rPr>
                <w:color w:val="000000" w:themeColor="text1"/>
              </w:rPr>
            </w:pPr>
            <w:r w:rsidRPr="00E15C2C">
              <w:rPr>
                <w:color w:val="000000"/>
              </w:rPr>
              <w:t>283</w:t>
            </w:r>
          </w:p>
        </w:tc>
        <w:tc>
          <w:tcPr>
            <w:tcW w:w="709" w:type="dxa"/>
            <w:vAlign w:val="center"/>
          </w:tcPr>
          <w:p w14:paraId="4083A1E9" w14:textId="77777777" w:rsidR="004F76FD" w:rsidRPr="00E15C2C" w:rsidRDefault="004F76FD" w:rsidP="00B46174">
            <w:pPr>
              <w:pStyle w:val="Tabletext"/>
              <w:jc w:val="center"/>
              <w:rPr>
                <w:color w:val="000000" w:themeColor="text1"/>
              </w:rPr>
            </w:pPr>
            <w:r w:rsidRPr="00E15C2C">
              <w:rPr>
                <w:color w:val="000000"/>
              </w:rPr>
              <w:t>285</w:t>
            </w:r>
          </w:p>
        </w:tc>
        <w:tc>
          <w:tcPr>
            <w:tcW w:w="850" w:type="dxa"/>
            <w:vAlign w:val="center"/>
          </w:tcPr>
          <w:p w14:paraId="14E732A7" w14:textId="77777777" w:rsidR="004F76FD" w:rsidRPr="00E15C2C" w:rsidRDefault="004F76FD" w:rsidP="00B46174">
            <w:pPr>
              <w:pStyle w:val="Tabletext"/>
              <w:jc w:val="center"/>
              <w:rPr>
                <w:color w:val="000000" w:themeColor="text1"/>
              </w:rPr>
            </w:pPr>
            <w:r w:rsidRPr="00E15C2C">
              <w:rPr>
                <w:color w:val="000000"/>
              </w:rPr>
              <w:t>280</w:t>
            </w:r>
          </w:p>
        </w:tc>
        <w:tc>
          <w:tcPr>
            <w:tcW w:w="1276" w:type="dxa"/>
            <w:shd w:val="clear" w:color="auto" w:fill="E4EBF4"/>
            <w:vAlign w:val="center"/>
          </w:tcPr>
          <w:p w14:paraId="048EDD54" w14:textId="2F4788E6" w:rsidR="004F76FD" w:rsidRPr="00E15C2C" w:rsidRDefault="004F76FD" w:rsidP="00B46174">
            <w:pPr>
              <w:pStyle w:val="Tabletext"/>
              <w:jc w:val="center"/>
              <w:rPr>
                <w:color w:val="000000" w:themeColor="text1"/>
              </w:rPr>
            </w:pPr>
            <w:r w:rsidRPr="00E15C2C">
              <w:rPr>
                <w:color w:val="000000"/>
              </w:rPr>
              <w:t>5</w:t>
            </w:r>
          </w:p>
        </w:tc>
        <w:tc>
          <w:tcPr>
            <w:tcW w:w="1949" w:type="dxa"/>
            <w:shd w:val="clear" w:color="auto" w:fill="E4EBF4"/>
            <w:vAlign w:val="center"/>
          </w:tcPr>
          <w:p w14:paraId="77CD9CE1" w14:textId="00A892C3" w:rsidR="004F76FD" w:rsidRPr="00E15C2C" w:rsidRDefault="004F76FD" w:rsidP="00B46174">
            <w:pPr>
              <w:pStyle w:val="Tabletext"/>
              <w:jc w:val="center"/>
            </w:pPr>
            <w:r w:rsidRPr="00E15C2C">
              <w:rPr>
                <w:color w:val="000000"/>
              </w:rPr>
              <w:t>1,82%</w:t>
            </w:r>
          </w:p>
        </w:tc>
      </w:tr>
      <w:tr w:rsidR="004F76FD" w:rsidRPr="00E15C2C" w14:paraId="05BEAA22" w14:textId="77777777" w:rsidTr="00B46174">
        <w:trPr>
          <w:trHeight w:val="300"/>
          <w:jc w:val="center"/>
        </w:trPr>
        <w:tc>
          <w:tcPr>
            <w:tcW w:w="1696" w:type="dxa"/>
            <w:vAlign w:val="center"/>
          </w:tcPr>
          <w:p w14:paraId="29931606" w14:textId="77777777" w:rsidR="004F76FD" w:rsidRPr="00E15C2C" w:rsidRDefault="004F76FD" w:rsidP="00B46174">
            <w:pPr>
              <w:pStyle w:val="Tabletext"/>
              <w:ind w:left="-106"/>
              <w:jc w:val="center"/>
              <w:rPr>
                <w:b/>
                <w:bCs/>
              </w:rPr>
            </w:pPr>
            <w:r w:rsidRPr="00E15C2C">
              <w:rPr>
                <w:b/>
                <w:bCs/>
                <w:color w:val="000000"/>
              </w:rPr>
              <w:t>Associés</w:t>
            </w:r>
          </w:p>
        </w:tc>
        <w:tc>
          <w:tcPr>
            <w:tcW w:w="851" w:type="dxa"/>
            <w:vAlign w:val="center"/>
          </w:tcPr>
          <w:p w14:paraId="0AC0A512" w14:textId="77777777" w:rsidR="004F76FD" w:rsidRPr="00E15C2C" w:rsidRDefault="004F76FD" w:rsidP="00B46174">
            <w:pPr>
              <w:pStyle w:val="Tabletext"/>
              <w:jc w:val="center"/>
              <w:rPr>
                <w:color w:val="000000" w:themeColor="text1"/>
              </w:rPr>
            </w:pPr>
            <w:r w:rsidRPr="00E15C2C">
              <w:rPr>
                <w:color w:val="000000"/>
              </w:rPr>
              <w:t>22</w:t>
            </w:r>
          </w:p>
        </w:tc>
        <w:tc>
          <w:tcPr>
            <w:tcW w:w="850" w:type="dxa"/>
            <w:vAlign w:val="center"/>
          </w:tcPr>
          <w:p w14:paraId="1B89628E" w14:textId="77777777" w:rsidR="004F76FD" w:rsidRPr="00E15C2C" w:rsidRDefault="004F76FD" w:rsidP="00B46174">
            <w:pPr>
              <w:pStyle w:val="Tabletext"/>
              <w:jc w:val="center"/>
              <w:rPr>
                <w:color w:val="000000" w:themeColor="text1"/>
              </w:rPr>
            </w:pPr>
            <w:r w:rsidRPr="00E15C2C">
              <w:rPr>
                <w:color w:val="000000"/>
              </w:rPr>
              <w:t>28</w:t>
            </w:r>
          </w:p>
        </w:tc>
        <w:tc>
          <w:tcPr>
            <w:tcW w:w="709" w:type="dxa"/>
            <w:vAlign w:val="center"/>
          </w:tcPr>
          <w:p w14:paraId="0096B237" w14:textId="77777777" w:rsidR="004F76FD" w:rsidRPr="00E15C2C" w:rsidRDefault="004F76FD" w:rsidP="00B46174">
            <w:pPr>
              <w:pStyle w:val="Tabletext"/>
              <w:jc w:val="center"/>
              <w:rPr>
                <w:color w:val="000000" w:themeColor="text1"/>
              </w:rPr>
            </w:pPr>
            <w:r w:rsidRPr="00E15C2C">
              <w:rPr>
                <w:color w:val="000000"/>
              </w:rPr>
              <w:t>38</w:t>
            </w:r>
          </w:p>
        </w:tc>
        <w:tc>
          <w:tcPr>
            <w:tcW w:w="709" w:type="dxa"/>
            <w:vAlign w:val="center"/>
          </w:tcPr>
          <w:p w14:paraId="303F862E" w14:textId="77777777" w:rsidR="004F76FD" w:rsidRPr="00E15C2C" w:rsidRDefault="004F76FD" w:rsidP="00B46174">
            <w:pPr>
              <w:pStyle w:val="Tabletext"/>
              <w:jc w:val="center"/>
              <w:rPr>
                <w:color w:val="000000" w:themeColor="text1"/>
              </w:rPr>
            </w:pPr>
            <w:r w:rsidRPr="00E15C2C">
              <w:rPr>
                <w:color w:val="000000"/>
              </w:rPr>
              <w:t>44</w:t>
            </w:r>
          </w:p>
        </w:tc>
        <w:tc>
          <w:tcPr>
            <w:tcW w:w="709" w:type="dxa"/>
            <w:vAlign w:val="center"/>
          </w:tcPr>
          <w:p w14:paraId="100B4DE9" w14:textId="77777777" w:rsidR="004F76FD" w:rsidRPr="00E15C2C" w:rsidRDefault="004F76FD" w:rsidP="00B46174">
            <w:pPr>
              <w:pStyle w:val="Tabletext"/>
              <w:jc w:val="center"/>
              <w:rPr>
                <w:color w:val="000000" w:themeColor="text1"/>
              </w:rPr>
            </w:pPr>
            <w:r w:rsidRPr="00E15C2C">
              <w:rPr>
                <w:color w:val="000000"/>
              </w:rPr>
              <w:t>43</w:t>
            </w:r>
          </w:p>
        </w:tc>
        <w:tc>
          <w:tcPr>
            <w:tcW w:w="850" w:type="dxa"/>
            <w:vAlign w:val="center"/>
          </w:tcPr>
          <w:p w14:paraId="1CB88F4B" w14:textId="77777777" w:rsidR="004F76FD" w:rsidRPr="00E15C2C" w:rsidRDefault="004F76FD" w:rsidP="00B46174">
            <w:pPr>
              <w:pStyle w:val="Tabletext"/>
              <w:jc w:val="center"/>
              <w:rPr>
                <w:color w:val="000000" w:themeColor="text1"/>
              </w:rPr>
            </w:pPr>
            <w:r w:rsidRPr="00E15C2C">
              <w:rPr>
                <w:color w:val="000000"/>
              </w:rPr>
              <w:t>57</w:t>
            </w:r>
          </w:p>
        </w:tc>
        <w:tc>
          <w:tcPr>
            <w:tcW w:w="1276" w:type="dxa"/>
            <w:shd w:val="clear" w:color="auto" w:fill="E4EBF4"/>
            <w:vAlign w:val="center"/>
          </w:tcPr>
          <w:p w14:paraId="6F5DEF72" w14:textId="35038512" w:rsidR="004F76FD" w:rsidRPr="00E15C2C" w:rsidRDefault="004F76FD" w:rsidP="00B46174">
            <w:pPr>
              <w:pStyle w:val="Tabletext"/>
              <w:jc w:val="center"/>
              <w:rPr>
                <w:color w:val="000000" w:themeColor="text1"/>
              </w:rPr>
            </w:pPr>
            <w:r w:rsidRPr="00E15C2C">
              <w:rPr>
                <w:color w:val="000000"/>
              </w:rPr>
              <w:t>35</w:t>
            </w:r>
          </w:p>
        </w:tc>
        <w:tc>
          <w:tcPr>
            <w:tcW w:w="1949" w:type="dxa"/>
            <w:shd w:val="clear" w:color="auto" w:fill="E4EBF4"/>
            <w:vAlign w:val="center"/>
          </w:tcPr>
          <w:p w14:paraId="01B7DDA5" w14:textId="5E13054D" w:rsidR="004F76FD" w:rsidRPr="00E15C2C" w:rsidRDefault="004F76FD" w:rsidP="00B46174">
            <w:pPr>
              <w:pStyle w:val="Tabletext"/>
              <w:jc w:val="center"/>
            </w:pPr>
            <w:r w:rsidRPr="00E15C2C">
              <w:rPr>
                <w:color w:val="000000"/>
              </w:rPr>
              <w:t>159,1%</w:t>
            </w:r>
          </w:p>
        </w:tc>
      </w:tr>
      <w:tr w:rsidR="004F76FD" w:rsidRPr="00E15C2C" w14:paraId="2CFC18ED" w14:textId="77777777" w:rsidTr="00B46174">
        <w:trPr>
          <w:trHeight w:val="300"/>
          <w:jc w:val="center"/>
        </w:trPr>
        <w:tc>
          <w:tcPr>
            <w:tcW w:w="1696" w:type="dxa"/>
            <w:vAlign w:val="center"/>
          </w:tcPr>
          <w:p w14:paraId="7E918DC0" w14:textId="77777777" w:rsidR="004F76FD" w:rsidRPr="00E15C2C" w:rsidRDefault="004F76FD" w:rsidP="00B46174">
            <w:pPr>
              <w:pStyle w:val="Tabletext"/>
              <w:ind w:left="-106"/>
              <w:jc w:val="center"/>
              <w:rPr>
                <w:b/>
                <w:bCs/>
              </w:rPr>
            </w:pPr>
            <w:r w:rsidRPr="00E15C2C">
              <w:rPr>
                <w:b/>
                <w:bCs/>
                <w:color w:val="000000"/>
              </w:rPr>
              <w:t>Établissements universitaires</w:t>
            </w:r>
            <w:r w:rsidRPr="00E15C2C">
              <w:rPr>
                <w:color w:val="000000"/>
                <w:sz w:val="18"/>
                <w:szCs w:val="18"/>
              </w:rPr>
              <w:t>*</w:t>
            </w:r>
          </w:p>
        </w:tc>
        <w:tc>
          <w:tcPr>
            <w:tcW w:w="851" w:type="dxa"/>
            <w:vAlign w:val="center"/>
          </w:tcPr>
          <w:p w14:paraId="30F806D0" w14:textId="77777777" w:rsidR="004F76FD" w:rsidRPr="00E15C2C" w:rsidRDefault="004F76FD" w:rsidP="00B46174">
            <w:pPr>
              <w:pStyle w:val="Tabletext"/>
              <w:jc w:val="center"/>
              <w:rPr>
                <w:color w:val="000000" w:themeColor="text1"/>
              </w:rPr>
            </w:pPr>
            <w:r w:rsidRPr="00E15C2C">
              <w:rPr>
                <w:color w:val="000000"/>
              </w:rPr>
              <w:t>161</w:t>
            </w:r>
          </w:p>
        </w:tc>
        <w:tc>
          <w:tcPr>
            <w:tcW w:w="850" w:type="dxa"/>
            <w:vAlign w:val="center"/>
          </w:tcPr>
          <w:p w14:paraId="362A1EDF" w14:textId="77777777" w:rsidR="004F76FD" w:rsidRPr="00E15C2C" w:rsidRDefault="004F76FD" w:rsidP="00B46174">
            <w:pPr>
              <w:pStyle w:val="Tabletext"/>
              <w:jc w:val="center"/>
            </w:pPr>
            <w:r w:rsidRPr="00E15C2C">
              <w:rPr>
                <w:color w:val="000000"/>
              </w:rPr>
              <w:t>161</w:t>
            </w:r>
          </w:p>
        </w:tc>
        <w:tc>
          <w:tcPr>
            <w:tcW w:w="709" w:type="dxa"/>
            <w:vAlign w:val="center"/>
          </w:tcPr>
          <w:p w14:paraId="08EF2B87" w14:textId="77777777" w:rsidR="004F76FD" w:rsidRPr="00E15C2C" w:rsidRDefault="004F76FD" w:rsidP="00B46174">
            <w:pPr>
              <w:pStyle w:val="Tabletext"/>
              <w:jc w:val="center"/>
              <w:rPr>
                <w:color w:val="000000" w:themeColor="text1"/>
              </w:rPr>
            </w:pPr>
            <w:r w:rsidRPr="00E15C2C">
              <w:rPr>
                <w:color w:val="000000"/>
              </w:rPr>
              <w:t>171</w:t>
            </w:r>
          </w:p>
        </w:tc>
        <w:tc>
          <w:tcPr>
            <w:tcW w:w="709" w:type="dxa"/>
            <w:vAlign w:val="center"/>
          </w:tcPr>
          <w:p w14:paraId="5A659DB4" w14:textId="77777777" w:rsidR="004F76FD" w:rsidRPr="00E15C2C" w:rsidRDefault="004F76FD" w:rsidP="00B46174">
            <w:pPr>
              <w:pStyle w:val="Tabletext"/>
              <w:jc w:val="center"/>
              <w:rPr>
                <w:color w:val="000000" w:themeColor="text1"/>
              </w:rPr>
            </w:pPr>
            <w:r w:rsidRPr="00E15C2C">
              <w:rPr>
                <w:color w:val="000000"/>
              </w:rPr>
              <w:t>169</w:t>
            </w:r>
          </w:p>
        </w:tc>
        <w:tc>
          <w:tcPr>
            <w:tcW w:w="709" w:type="dxa"/>
            <w:vAlign w:val="center"/>
          </w:tcPr>
          <w:p w14:paraId="075FDD0F" w14:textId="77777777" w:rsidR="004F76FD" w:rsidRPr="00E15C2C" w:rsidRDefault="004F76FD" w:rsidP="00B46174">
            <w:pPr>
              <w:pStyle w:val="Tabletext"/>
              <w:jc w:val="center"/>
              <w:rPr>
                <w:color w:val="000000" w:themeColor="text1"/>
              </w:rPr>
            </w:pPr>
            <w:r w:rsidRPr="00E15C2C">
              <w:rPr>
                <w:color w:val="000000"/>
              </w:rPr>
              <w:t>170</w:t>
            </w:r>
          </w:p>
        </w:tc>
        <w:tc>
          <w:tcPr>
            <w:tcW w:w="850" w:type="dxa"/>
            <w:vAlign w:val="center"/>
          </w:tcPr>
          <w:p w14:paraId="03B033B0" w14:textId="77777777" w:rsidR="004F76FD" w:rsidRPr="00E15C2C" w:rsidRDefault="004F76FD" w:rsidP="00B46174">
            <w:pPr>
              <w:pStyle w:val="Tabletext"/>
              <w:jc w:val="center"/>
              <w:rPr>
                <w:color w:val="000000" w:themeColor="text1"/>
              </w:rPr>
            </w:pPr>
            <w:r w:rsidRPr="00E15C2C">
              <w:rPr>
                <w:color w:val="000000"/>
              </w:rPr>
              <w:t>181</w:t>
            </w:r>
          </w:p>
        </w:tc>
        <w:tc>
          <w:tcPr>
            <w:tcW w:w="1276" w:type="dxa"/>
            <w:shd w:val="clear" w:color="auto" w:fill="E4EBF4"/>
            <w:vAlign w:val="center"/>
          </w:tcPr>
          <w:p w14:paraId="19BB92FF" w14:textId="6314C7F2" w:rsidR="004F76FD" w:rsidRPr="00E15C2C" w:rsidRDefault="004F76FD" w:rsidP="00B46174">
            <w:pPr>
              <w:pStyle w:val="Tabletext"/>
              <w:jc w:val="center"/>
              <w:rPr>
                <w:color w:val="000000" w:themeColor="text1"/>
              </w:rPr>
            </w:pPr>
            <w:r w:rsidRPr="00E15C2C">
              <w:rPr>
                <w:color w:val="000000"/>
              </w:rPr>
              <w:t>20</w:t>
            </w:r>
          </w:p>
        </w:tc>
        <w:tc>
          <w:tcPr>
            <w:tcW w:w="1949" w:type="dxa"/>
            <w:shd w:val="clear" w:color="auto" w:fill="E4EBF4"/>
            <w:vAlign w:val="center"/>
          </w:tcPr>
          <w:p w14:paraId="4C0312FC" w14:textId="1ABF393C" w:rsidR="004F76FD" w:rsidRPr="00E15C2C" w:rsidRDefault="004F76FD" w:rsidP="00B46174">
            <w:pPr>
              <w:pStyle w:val="Tabletext"/>
              <w:jc w:val="center"/>
            </w:pPr>
            <w:r w:rsidRPr="00E15C2C">
              <w:rPr>
                <w:color w:val="000000"/>
              </w:rPr>
              <w:t>12,42%</w:t>
            </w:r>
          </w:p>
        </w:tc>
      </w:tr>
    </w:tbl>
    <w:p w14:paraId="5E550B98" w14:textId="27D9ABB1" w:rsidR="004F76FD" w:rsidRPr="00E15C2C" w:rsidRDefault="004F76FD" w:rsidP="003C6666">
      <w:pPr>
        <w:pStyle w:val="Tablelegend"/>
        <w:rPr>
          <w:sz w:val="18"/>
          <w:szCs w:val="18"/>
        </w:rPr>
      </w:pPr>
      <w:r w:rsidRPr="00E15C2C">
        <w:rPr>
          <w:sz w:val="18"/>
          <w:szCs w:val="18"/>
        </w:rPr>
        <w:t>*</w:t>
      </w:r>
      <w:r w:rsidR="00DF16DD" w:rsidRPr="00E15C2C">
        <w:rPr>
          <w:sz w:val="18"/>
          <w:szCs w:val="18"/>
        </w:rPr>
        <w:tab/>
      </w:r>
      <w:r w:rsidRPr="00E15C2C">
        <w:rPr>
          <w:i/>
          <w:iCs/>
          <w:sz w:val="18"/>
          <w:szCs w:val="18"/>
        </w:rPr>
        <w:t>En vertu d'une décision de la PP-14, les établissements universitaires participent aux travaux des trois Secteurs de l'UIT.</w:t>
      </w:r>
    </w:p>
    <w:p w14:paraId="53EFE166" w14:textId="77777777" w:rsidR="004F76FD" w:rsidRPr="00E15C2C" w:rsidRDefault="004F76FD" w:rsidP="004F76FD">
      <w:pPr>
        <w:pStyle w:val="Heading2"/>
      </w:pPr>
      <w:bookmarkStart w:id="296" w:name="_Toc424047607"/>
      <w:bookmarkStart w:id="297" w:name="_Toc446060797"/>
      <w:bookmarkStart w:id="298" w:name="_Toc222308726"/>
      <w:bookmarkStart w:id="299" w:name="_Toc223425137"/>
      <w:bookmarkStart w:id="300" w:name="_Toc223425243"/>
      <w:bookmarkStart w:id="301" w:name="_Toc223427656"/>
      <w:r w:rsidRPr="00E15C2C">
        <w:rPr>
          <w:bCs/>
        </w:rPr>
        <w:t>8.6</w:t>
      </w:r>
      <w:r w:rsidRPr="00E15C2C">
        <w:tab/>
      </w:r>
      <w:r w:rsidRPr="00E15C2C">
        <w:rPr>
          <w:bCs/>
        </w:rPr>
        <w:t>Communication et promotion</w:t>
      </w:r>
      <w:bookmarkEnd w:id="296"/>
      <w:bookmarkEnd w:id="297"/>
      <w:bookmarkEnd w:id="298"/>
      <w:bookmarkEnd w:id="299"/>
      <w:bookmarkEnd w:id="300"/>
      <w:bookmarkEnd w:id="301"/>
    </w:p>
    <w:p w14:paraId="34A6ED62" w14:textId="77777777" w:rsidR="004F76FD" w:rsidRPr="00E15C2C" w:rsidRDefault="004F76FD" w:rsidP="004F76FD">
      <w:pPr>
        <w:pStyle w:val="Heading3"/>
        <w:rPr>
          <w:i/>
        </w:rPr>
      </w:pPr>
      <w:bookmarkStart w:id="302" w:name="_Toc222308727"/>
      <w:bookmarkStart w:id="303" w:name="_Toc223425138"/>
      <w:bookmarkStart w:id="304" w:name="_Toc223425244"/>
      <w:bookmarkStart w:id="305" w:name="_Toc223427657"/>
      <w:r w:rsidRPr="00E15C2C">
        <w:rPr>
          <w:bCs/>
        </w:rPr>
        <w:t>8.6.1</w:t>
      </w:r>
      <w:r w:rsidRPr="00E15C2C">
        <w:tab/>
      </w:r>
      <w:r w:rsidRPr="00E15C2C">
        <w:rPr>
          <w:bCs/>
        </w:rPr>
        <w:t>Sites web et bases de données</w:t>
      </w:r>
      <w:bookmarkEnd w:id="302"/>
      <w:bookmarkEnd w:id="303"/>
      <w:bookmarkEnd w:id="304"/>
      <w:bookmarkEnd w:id="305"/>
    </w:p>
    <w:p w14:paraId="02ED8E97" w14:textId="77777777" w:rsidR="004F76FD" w:rsidRPr="00E15C2C" w:rsidRDefault="004F76FD" w:rsidP="004F76FD">
      <w:r w:rsidRPr="00E15C2C">
        <w:t>L'entretien des sites web de l'UIT-R, y compris les bases de données connexes et d'autres systèmes de gestion de l'information, est assuré par l'équipe BRWeb (</w:t>
      </w:r>
      <w:hyperlink r:id="rId127" w:history="1">
        <w:r w:rsidRPr="00E15C2C">
          <w:rPr>
            <w:rStyle w:val="Hyperlink"/>
          </w:rPr>
          <w:t>brweb@itu.int</w:t>
        </w:r>
      </w:hyperlink>
      <w:r w:rsidRPr="00E15C2C">
        <w:t>).</w:t>
      </w:r>
      <w:hyperlink r:id="rId128"/>
    </w:p>
    <w:p w14:paraId="6E83DCFE" w14:textId="0A058DE7" w:rsidR="004F76FD" w:rsidRPr="00E15C2C" w:rsidRDefault="004F76FD" w:rsidP="004F76FD">
      <w:pPr>
        <w:rPr>
          <w:rFonts w:eastAsia="SimSun"/>
        </w:rPr>
      </w:pPr>
      <w:r w:rsidRPr="00E15C2C">
        <w:t>Le nouveau système de gestion de contenu (CMS), WordPress, et l'état d'avancement de la traduction des pages web de l'UIT-R sont présentés dans l'Addendum 2 au présent document.</w:t>
      </w:r>
    </w:p>
    <w:p w14:paraId="53C1E792" w14:textId="77777777" w:rsidR="004F76FD" w:rsidRPr="00E15C2C" w:rsidRDefault="004F76FD" w:rsidP="00B46174">
      <w:pPr>
        <w:pStyle w:val="Heading3"/>
        <w:rPr>
          <w:i/>
        </w:rPr>
      </w:pPr>
      <w:bookmarkStart w:id="306" w:name="_Toc222308728"/>
      <w:bookmarkStart w:id="307" w:name="_Toc223425139"/>
      <w:bookmarkStart w:id="308" w:name="_Toc223425245"/>
      <w:bookmarkStart w:id="309" w:name="_Toc223427658"/>
      <w:r w:rsidRPr="00E15C2C">
        <w:t>8.6.2</w:t>
      </w:r>
      <w:r w:rsidRPr="00E15C2C">
        <w:tab/>
        <w:t>Promotion et relations avec les médias</w:t>
      </w:r>
      <w:bookmarkEnd w:id="306"/>
      <w:bookmarkEnd w:id="307"/>
      <w:bookmarkEnd w:id="308"/>
      <w:bookmarkEnd w:id="309"/>
    </w:p>
    <w:p w14:paraId="50DDC127" w14:textId="77777777" w:rsidR="004F76FD" w:rsidRPr="00E15C2C" w:rsidRDefault="004F76FD" w:rsidP="004F76FD">
      <w:pPr>
        <w:rPr>
          <w:rFonts w:eastAsia="SimSun"/>
        </w:rPr>
      </w:pPr>
      <w:r w:rsidRPr="00E15C2C">
        <w:t>Le BR a mis en place un nouveau système de gestion du flux de documents de relations publiques (PMS) afin d'assurer la coordination de la production de matériel promotionnel avec les équipes du Secrétariat général chargées de l'image de marque et de l'audiovisuel.</w:t>
      </w:r>
    </w:p>
    <w:p w14:paraId="6647CB55" w14:textId="560B23D5" w:rsidR="004F76FD" w:rsidRPr="00E15C2C" w:rsidRDefault="004F76FD" w:rsidP="00B46174">
      <w:pPr>
        <w:pStyle w:val="Heading4"/>
      </w:pPr>
      <w:r w:rsidRPr="00E15C2C">
        <w:t>8.6.2.1</w:t>
      </w:r>
      <w:r w:rsidRPr="00E15C2C">
        <w:tab/>
        <w:t>Rubrique de questions les plus fréquemment posées (FAQ) et documents d'information à l'intention des médias, revue «Nouvelles de l'UIT», billets de blogs et articles</w:t>
      </w:r>
    </w:p>
    <w:p w14:paraId="6B5077BC" w14:textId="12219377" w:rsidR="004F76FD" w:rsidRPr="00E15C2C" w:rsidRDefault="004F76FD" w:rsidP="004F76FD">
      <w:r w:rsidRPr="00E15C2C">
        <w:t>En 2025, le Bureau, en collaboration avec le Département de la communication institutionnelle a publié régulièrement, sur le site web du BR et par le biais de la plate-forme ITU Hub, des documents d'information à l'intention des médias, des articles et des billets de blog, rédigés par le Directeur du BR ainsi que par d'autres responsables du BR.</w:t>
      </w:r>
    </w:p>
    <w:p w14:paraId="090E4ACE" w14:textId="7D547584" w:rsidR="004F76FD" w:rsidRPr="00E15C2C" w:rsidRDefault="004F76FD" w:rsidP="004F76FD">
      <w:r w:rsidRPr="00E15C2C">
        <w:t xml:space="preserve">Les articles et billets de blog en question sont disponibles à l'adresse suivante: </w:t>
      </w:r>
      <w:hyperlink r:id="rId129" w:anchor="/fr" w:history="1">
        <w:r w:rsidRPr="00E15C2C">
          <w:rPr>
            <w:rStyle w:val="Hyperlink"/>
          </w:rPr>
          <w:t>https://www.itu.int/hub/?s=Maniewicz&amp;by_time=last_year</w:t>
        </w:r>
      </w:hyperlink>
      <w:r w:rsidR="00B46174" w:rsidRPr="00E15C2C">
        <w:rPr>
          <w:rStyle w:val="Hyperlink"/>
          <w:color w:val="auto"/>
          <w:u w:val="none"/>
        </w:rPr>
        <w:t>.</w:t>
      </w:r>
      <w:hyperlink r:id="rId130" w:history="1"/>
    </w:p>
    <w:p w14:paraId="04587CB5" w14:textId="08A10C48" w:rsidR="004F76FD" w:rsidRPr="00E15C2C" w:rsidRDefault="004F76FD" w:rsidP="004F76FD">
      <w:r w:rsidRPr="00E15C2C">
        <w:t xml:space="preserve">Les questions les plus fréquemment posées (FAQ) sur les activités du BR sont mises à jour lorsque cela est nécessaire. Les plus récentes sont disponibles à l'adresse suivante: </w:t>
      </w:r>
      <w:hyperlink r:id="rId131" w:history="1">
        <w:r w:rsidRPr="00E15C2C">
          <w:rPr>
            <w:rStyle w:val="Hyperlink"/>
          </w:rPr>
          <w:t>https://www.itu.int/en/ITU-D/Pages/default.aspx</w:t>
        </w:r>
      </w:hyperlink>
      <w:r w:rsidR="00B46174" w:rsidRPr="00E15C2C">
        <w:rPr>
          <w:rStyle w:val="Hyperlink"/>
          <w:color w:val="auto"/>
          <w:u w:val="none"/>
        </w:rPr>
        <w:t>.</w:t>
      </w:r>
      <w:hyperlink r:id="rId132" w:history="1"/>
    </w:p>
    <w:p w14:paraId="51B4E440" w14:textId="5BD44686" w:rsidR="004F76FD" w:rsidRPr="00E15C2C" w:rsidRDefault="004F76FD" w:rsidP="003C6666">
      <w:r w:rsidRPr="00E15C2C">
        <w:t xml:space="preserve">Plusieurs </w:t>
      </w:r>
      <w:hyperlink r:id="rId133" w:anchor="/fr" w:history="1">
        <w:r w:rsidRPr="00E15C2C">
          <w:rPr>
            <w:rStyle w:val="Hyperlink"/>
          </w:rPr>
          <w:t>documents d'information à l'intention des médias</w:t>
        </w:r>
      </w:hyperlink>
      <w:r w:rsidRPr="00E15C2C">
        <w:t xml:space="preserve"> sont disponibles sur le site web de l'UIT.</w:t>
      </w:r>
      <w:hyperlink r:id="rId134" w:history="1"/>
    </w:p>
    <w:p w14:paraId="23A54371" w14:textId="77777777" w:rsidR="004F76FD" w:rsidRPr="00E15C2C" w:rsidRDefault="004F76FD" w:rsidP="004F76FD">
      <w:r w:rsidRPr="00E15C2C">
        <w:t>En 2025, le Bureau des radiocommunications a répondu à 55 demandes émanant de revues techniques spécialisées et de médias s'intéressant à ses travaux. Il a répondu sans tarder à chaque demande en fournissant les informations sollicitées, afin d'entretenir des relations constructives avec les médias. Les questions des médias relatives aux activités de l'UIT-R portaient principalement sur les fiches de notification de réseaux à satellite, les brouillages préjudiciables et les brouillages causés aux systèmes GPS, le Comité du Règlement des radiocommunications (RRB), la CMR-23 ainsi que la 5G et la 6G.</w:t>
      </w:r>
    </w:p>
    <w:p w14:paraId="161917E0" w14:textId="77777777" w:rsidR="004F76FD" w:rsidRPr="00E15C2C" w:rsidRDefault="004F76FD" w:rsidP="00B46174">
      <w:pPr>
        <w:keepNext/>
        <w:keepLines/>
      </w:pPr>
      <w:r w:rsidRPr="00E15C2C">
        <w:lastRenderedPageBreak/>
        <w:t>En 2025, le Bureau a produit deux documents à l'intention de la presse:</w:t>
      </w:r>
    </w:p>
    <w:p w14:paraId="5BB5AD56" w14:textId="088094B5" w:rsidR="004F76FD" w:rsidRPr="00E15C2C" w:rsidRDefault="003C6666" w:rsidP="003C6666">
      <w:pPr>
        <w:pStyle w:val="enumlev1"/>
      </w:pPr>
      <w:r w:rsidRPr="00E15C2C">
        <w:t>•</w:t>
      </w:r>
      <w:r w:rsidRPr="00E15C2C">
        <w:tab/>
      </w:r>
      <w:r w:rsidR="004F76FD" w:rsidRPr="00E15C2C">
        <w:t>déclaration commune de l'UIT, de l'OACI et de l'OMI sur la protection du service de navigation par satellite contre les brouillages préjudiciables;</w:t>
      </w:r>
    </w:p>
    <w:p w14:paraId="63C7A896" w14:textId="0C648CF7" w:rsidR="004F76FD" w:rsidRPr="00E15C2C" w:rsidRDefault="003C6666" w:rsidP="003C6666">
      <w:pPr>
        <w:pStyle w:val="enumlev1"/>
      </w:pPr>
      <w:r w:rsidRPr="00E15C2C">
        <w:t>•</w:t>
      </w:r>
      <w:r w:rsidRPr="00E15C2C">
        <w:tab/>
      </w:r>
      <w:r w:rsidR="004F76FD" w:rsidRPr="00E15C2C">
        <w:t>tenue de la CMR-27 à Shanghai (Chine).</w:t>
      </w:r>
    </w:p>
    <w:p w14:paraId="7D9B755B" w14:textId="77777777" w:rsidR="004F76FD" w:rsidRPr="00E15C2C" w:rsidRDefault="004F76FD" w:rsidP="004F76FD">
      <w:pPr>
        <w:rPr>
          <w:sz w:val="22"/>
          <w:szCs w:val="22"/>
        </w:rPr>
      </w:pPr>
      <w:r w:rsidRPr="00E15C2C">
        <w:t>Les activités de communication ont compris, entre autres, l'utilisation de communiqués de presse, de communiqués à l'intention des membres, de billets sur le blog «Nouvelles de l'UIT», de vidéos, de la promotion événementielle et de publications sur les réseaux sociaux.</w:t>
      </w:r>
    </w:p>
    <w:p w14:paraId="4FF20F5B" w14:textId="5EE4F6FD" w:rsidR="004F76FD" w:rsidRPr="00E15C2C" w:rsidRDefault="004F76FD" w:rsidP="004F76FD">
      <w:r w:rsidRPr="00E15C2C">
        <w:t>Le Bureau a participé activement à plusieurs journées internationales organisées par les Nations</w:t>
      </w:r>
      <w:r w:rsidR="00B46174" w:rsidRPr="00E15C2C">
        <w:t> </w:t>
      </w:r>
      <w:r w:rsidRPr="00E15C2C">
        <w:t>Unies et liées avec ses travaux, notamment aux manifestations suivantes, en 2025:</w:t>
      </w:r>
    </w:p>
    <w:p w14:paraId="1443F419" w14:textId="42CB04B7" w:rsidR="004F76FD" w:rsidRPr="00E15C2C" w:rsidRDefault="003C6666" w:rsidP="003C6666">
      <w:pPr>
        <w:pStyle w:val="enumlev1"/>
      </w:pPr>
      <w:r w:rsidRPr="00E15C2C">
        <w:t>•</w:t>
      </w:r>
      <w:r w:rsidRPr="00E15C2C">
        <w:tab/>
      </w:r>
      <w:r w:rsidR="004F76FD" w:rsidRPr="00E15C2C">
        <w:t>Journée mondiale de la radio (13 février)</w:t>
      </w:r>
    </w:p>
    <w:p w14:paraId="0DF814FD" w14:textId="0180A711" w:rsidR="004F76FD" w:rsidRPr="00E15C2C" w:rsidRDefault="003C6666" w:rsidP="003C6666">
      <w:pPr>
        <w:pStyle w:val="enumlev1"/>
      </w:pPr>
      <w:r w:rsidRPr="00E15C2C">
        <w:t>•</w:t>
      </w:r>
      <w:r w:rsidRPr="00E15C2C">
        <w:tab/>
      </w:r>
      <w:r w:rsidR="004F76FD" w:rsidRPr="00E15C2C">
        <w:t>Journée météorologique mondiale (24 mars)</w:t>
      </w:r>
    </w:p>
    <w:p w14:paraId="0149E057" w14:textId="3F95EEB3" w:rsidR="004F76FD" w:rsidRPr="00E15C2C" w:rsidRDefault="003C6666" w:rsidP="003C6666">
      <w:pPr>
        <w:pStyle w:val="enumlev1"/>
      </w:pPr>
      <w:r w:rsidRPr="00E15C2C">
        <w:t>•</w:t>
      </w:r>
      <w:r w:rsidRPr="00E15C2C">
        <w:tab/>
      </w:r>
      <w:r w:rsidR="004F76FD" w:rsidRPr="00E15C2C">
        <w:t>Journée mondiale des radio-amateurs (18 avril)</w:t>
      </w:r>
    </w:p>
    <w:p w14:paraId="0A302673" w14:textId="75F3135B" w:rsidR="004F76FD" w:rsidRPr="00E15C2C" w:rsidRDefault="003C6666" w:rsidP="003C6666">
      <w:pPr>
        <w:pStyle w:val="enumlev1"/>
      </w:pPr>
      <w:r w:rsidRPr="00E15C2C">
        <w:t>•</w:t>
      </w:r>
      <w:r w:rsidRPr="00E15C2C">
        <w:tab/>
      </w:r>
      <w:r w:rsidR="004F76FD" w:rsidRPr="00E15C2C">
        <w:t>Journée internationale de la Lune (20 juillet)</w:t>
      </w:r>
    </w:p>
    <w:p w14:paraId="743FD022" w14:textId="093A768F" w:rsidR="004F76FD" w:rsidRPr="00E15C2C" w:rsidRDefault="003C6666" w:rsidP="003C6666">
      <w:pPr>
        <w:pStyle w:val="enumlev1"/>
      </w:pPr>
      <w:r w:rsidRPr="00E15C2C">
        <w:t>•</w:t>
      </w:r>
      <w:r w:rsidRPr="00E15C2C">
        <w:tab/>
      </w:r>
      <w:r w:rsidR="004F76FD" w:rsidRPr="00E15C2C">
        <w:t>Journée mondiale de la télévision (21 novembre)</w:t>
      </w:r>
    </w:p>
    <w:p w14:paraId="4F20A332" w14:textId="3830643E" w:rsidR="004F76FD" w:rsidRPr="00E15C2C" w:rsidRDefault="004F76FD" w:rsidP="004F76FD">
      <w:pPr>
        <w:rPr>
          <w:rFonts w:eastAsia="Calibri"/>
        </w:rPr>
      </w:pPr>
      <w:r w:rsidRPr="00E15C2C">
        <w:t xml:space="preserve">Le Directeur du Bureau des radiocommunications a régulièrement contribué aux articles, billets de blog et podcasts de la revue «Nouvelles de l'UIT» publiés dans le </w:t>
      </w:r>
      <w:hyperlink r:id="rId135" w:history="1">
        <w:r w:rsidRPr="00E15C2C">
          <w:rPr>
            <w:rStyle w:val="Hyperlink"/>
          </w:rPr>
          <w:t>coin du Directeur du BR</w:t>
        </w:r>
      </w:hyperlink>
      <w:r w:rsidRPr="00E15C2C">
        <w:t>.</w:t>
      </w:r>
      <w:hyperlink r:id="rId136" w:history="1"/>
    </w:p>
    <w:p w14:paraId="32219A8B" w14:textId="77777777" w:rsidR="004F76FD" w:rsidRPr="00E15C2C" w:rsidRDefault="004F76FD" w:rsidP="004F76FD">
      <w:pPr>
        <w:pStyle w:val="Heading4"/>
      </w:pPr>
      <w:r w:rsidRPr="00E15C2C">
        <w:rPr>
          <w:bCs/>
        </w:rPr>
        <w:t>8.6.2.2</w:t>
      </w:r>
      <w:r w:rsidRPr="00E15C2C">
        <w:tab/>
      </w:r>
      <w:r w:rsidRPr="00E15C2C">
        <w:rPr>
          <w:bCs/>
        </w:rPr>
        <w:t>Communications promotionnelles, ventes et marketing</w:t>
      </w:r>
    </w:p>
    <w:p w14:paraId="4E32971E" w14:textId="61C736B6" w:rsidR="004F76FD" w:rsidRPr="00E15C2C" w:rsidRDefault="004F76FD" w:rsidP="004F76FD">
      <w:r w:rsidRPr="00E15C2C">
        <w:t xml:space="preserve">Les efforts consacrés à la promotion et à la communication se sont concentrés sur l'utilisation de la nouvelle </w:t>
      </w:r>
      <w:hyperlink r:id="rId137" w:anchor="/fr" w:history="1">
        <w:r w:rsidRPr="00E15C2C">
          <w:rPr>
            <w:rStyle w:val="Hyperlink"/>
          </w:rPr>
          <w:t>plate-forme des «Nouvelles de l'UIT»</w:t>
        </w:r>
      </w:hyperlink>
      <w:r w:rsidRPr="00E15C2C">
        <w:t>, en collaboration avec la Division des ventes et du marketing de l'UIT, afin de promouvoir en ligne certaines publications et bases de données ainsi que certains logiciels de l'UIT-R arborant des identités visuelles spécialement pensées pour les supports de communication de l'UIT.</w:t>
      </w:r>
      <w:hyperlink r:id="rId138" w:history="1"/>
    </w:p>
    <w:p w14:paraId="6E490DD8" w14:textId="5028C36A" w:rsidR="004F76FD" w:rsidRPr="00E15C2C" w:rsidRDefault="004F76FD" w:rsidP="00090C7A">
      <w:pPr>
        <w:pStyle w:val="Heading2"/>
        <w:keepNext w:val="0"/>
        <w:keepLines w:val="0"/>
      </w:pPr>
      <w:bookmarkStart w:id="310" w:name="_Toc222308729"/>
      <w:bookmarkStart w:id="311" w:name="_Toc223425140"/>
      <w:bookmarkStart w:id="312" w:name="_Toc223425246"/>
      <w:bookmarkStart w:id="313" w:name="_Toc223427659"/>
      <w:r w:rsidRPr="00E15C2C">
        <w:rPr>
          <w:bCs/>
        </w:rPr>
        <w:t>8.7</w:t>
      </w:r>
      <w:r w:rsidRPr="00E15C2C">
        <w:tab/>
      </w:r>
      <w:r w:rsidRPr="00E15C2C">
        <w:rPr>
          <w:bCs/>
        </w:rPr>
        <w:t>Équité hommes-femmes</w:t>
      </w:r>
      <w:bookmarkEnd w:id="310"/>
      <w:bookmarkEnd w:id="311"/>
      <w:bookmarkEnd w:id="312"/>
      <w:bookmarkEnd w:id="313"/>
    </w:p>
    <w:p w14:paraId="03A50458" w14:textId="328ABD0F" w:rsidR="004F76FD" w:rsidRPr="00E15C2C" w:rsidRDefault="004F76FD" w:rsidP="00090C7A">
      <w:r w:rsidRPr="00E15C2C">
        <w:t>Le Tableau 8.7-1 illustre l'augmentation du taux de participation des femmes aux manifestations de l'UIT-R depuis 2019</w:t>
      </w:r>
      <w:r w:rsidRPr="00E15C2C">
        <w:rPr>
          <w:rStyle w:val="FootnoteReference"/>
        </w:rPr>
        <w:footnoteReference w:id="2"/>
      </w:r>
      <w:r w:rsidRPr="00E15C2C">
        <w:t>.</w:t>
      </w:r>
    </w:p>
    <w:p w14:paraId="6CA45498" w14:textId="77777777" w:rsidR="004F76FD" w:rsidRPr="00E15C2C" w:rsidRDefault="004F76FD" w:rsidP="00090C7A">
      <w:pPr>
        <w:pStyle w:val="TableNoBR"/>
        <w:keepNext w:val="0"/>
      </w:pPr>
      <w:r w:rsidRPr="00E15C2C">
        <w:t>Tableau 8.7-1</w:t>
      </w:r>
    </w:p>
    <w:p w14:paraId="774E46FF" w14:textId="107EAF85" w:rsidR="004F76FD" w:rsidRPr="00E15C2C" w:rsidRDefault="004F76FD" w:rsidP="00090C7A">
      <w:pPr>
        <w:pStyle w:val="TabletitleBR"/>
        <w:keepNext w:val="0"/>
        <w:keepLines w:val="0"/>
      </w:pPr>
      <w:r w:rsidRPr="00E15C2C">
        <w:t>Évolution du taux de participation des femmes aux</w:t>
      </w:r>
      <w:r w:rsidR="00090C7A" w:rsidRPr="00E15C2C">
        <w:br/>
      </w:r>
      <w:r w:rsidRPr="00E15C2C">
        <w:t>manifestations de l'UIT-R depuis 2019</w:t>
      </w:r>
    </w:p>
    <w:p w14:paraId="1106A78A" w14:textId="77777777" w:rsidR="004F76FD" w:rsidRPr="00E15C2C" w:rsidRDefault="004F76FD" w:rsidP="00090C7A">
      <w:pPr>
        <w:pStyle w:val="Figure"/>
        <w:keepNext w:val="0"/>
        <w:keepLines w:val="0"/>
        <w:spacing w:before="0" w:after="0"/>
      </w:pPr>
      <w:r w:rsidRPr="00E15C2C">
        <w:drawing>
          <wp:inline distT="0" distB="0" distL="0" distR="0" wp14:anchorId="5C1F0FB1" wp14:editId="252874EE">
            <wp:extent cx="4466464" cy="1649286"/>
            <wp:effectExtent l="0" t="0" r="0" b="8255"/>
            <wp:docPr id="170959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590584" name=""/>
                    <pic:cNvPicPr/>
                  </pic:nvPicPr>
                  <pic:blipFill rotWithShape="1">
                    <a:blip r:embed="rId139"/>
                    <a:srcRect t="4109" b="2958"/>
                    <a:stretch/>
                  </pic:blipFill>
                  <pic:spPr bwMode="auto">
                    <a:xfrm>
                      <a:off x="0" y="0"/>
                      <a:ext cx="4534705" cy="1674485"/>
                    </a:xfrm>
                    <a:prstGeom prst="rect">
                      <a:avLst/>
                    </a:prstGeom>
                    <a:ln>
                      <a:noFill/>
                    </a:ln>
                    <a:extLst>
                      <a:ext uri="{53640926-AAD7-44D8-BBD7-CCE9431645EC}">
                        <a14:shadowObscured xmlns:a14="http://schemas.microsoft.com/office/drawing/2010/main"/>
                      </a:ext>
                    </a:extLst>
                  </pic:spPr>
                </pic:pic>
              </a:graphicData>
            </a:graphic>
          </wp:inline>
        </w:drawing>
      </w:r>
    </w:p>
    <w:p w14:paraId="4D11789E" w14:textId="1E221479" w:rsidR="004F76FD" w:rsidRPr="00E15C2C" w:rsidRDefault="004F76FD" w:rsidP="004F76FD">
      <w:pPr>
        <w:pStyle w:val="Heading3"/>
        <w:rPr>
          <w:rFonts w:eastAsia="Calibri"/>
        </w:rPr>
      </w:pPr>
      <w:bookmarkStart w:id="314" w:name="_Toc223425141"/>
      <w:bookmarkStart w:id="315" w:name="_Toc223425247"/>
      <w:bookmarkStart w:id="316" w:name="_Toc222308730"/>
      <w:bookmarkStart w:id="317" w:name="_Toc223427660"/>
      <w:r w:rsidRPr="00E15C2C">
        <w:rPr>
          <w:bCs/>
        </w:rPr>
        <w:lastRenderedPageBreak/>
        <w:t>8.7.1</w:t>
      </w:r>
      <w:r w:rsidRPr="00E15C2C">
        <w:tab/>
      </w:r>
      <w:r w:rsidRPr="00E15C2C">
        <w:rPr>
          <w:bCs/>
        </w:rPr>
        <w:t>Résolution de l'AR-23 sur l'égalité hommes-femmes</w:t>
      </w:r>
      <w:bookmarkEnd w:id="314"/>
      <w:bookmarkEnd w:id="315"/>
      <w:bookmarkEnd w:id="317"/>
      <w:bookmarkEnd w:id="316"/>
    </w:p>
    <w:p w14:paraId="324D1CFE" w14:textId="4AEE0817" w:rsidR="004F76FD" w:rsidRPr="00E15C2C" w:rsidRDefault="004F76FD" w:rsidP="004F76FD">
      <w:r w:rsidRPr="00E15C2C">
        <w:t xml:space="preserve">L'AR-23 a adopté une nouvelle </w:t>
      </w:r>
      <w:hyperlink r:id="rId140" w:history="1">
        <w:r w:rsidRPr="00E15C2C">
          <w:rPr>
            <w:rStyle w:val="Hyperlink"/>
            <w:i/>
            <w:iCs/>
          </w:rPr>
          <w:t>Résolution sur l'égalité hommes-femmes</w:t>
        </w:r>
      </w:hyperlink>
      <w:r w:rsidRPr="00E15C2C">
        <w:t xml:space="preserve"> (Résolution UIT-R 72), qui vise à renforcer, accélérer et intensifier la participation active des femmes aux travaux et aux activités de l'UIT-R.</w:t>
      </w:r>
      <w:hyperlink r:id="rId141" w:history="1"/>
    </w:p>
    <w:p w14:paraId="535DFCB6" w14:textId="77777777" w:rsidR="004F76FD" w:rsidRPr="00E15C2C" w:rsidRDefault="004F76FD" w:rsidP="004F76FD">
      <w:r w:rsidRPr="00E15C2C">
        <w:t>La Résolution UIT-R 72 continue d'être appliquée dans l'ensemble des travaux du Bureau.</w:t>
      </w:r>
    </w:p>
    <w:p w14:paraId="57B4B40C" w14:textId="06EE345F" w:rsidR="004F76FD" w:rsidRPr="00E15C2C" w:rsidRDefault="004F76FD" w:rsidP="004F76FD">
      <w:pPr>
        <w:pStyle w:val="Heading3"/>
        <w:rPr>
          <w:rFonts w:eastAsia="Calibri"/>
          <w:b w:val="0"/>
        </w:rPr>
      </w:pPr>
      <w:bookmarkStart w:id="318" w:name="_Toc222308731"/>
      <w:bookmarkStart w:id="319" w:name="_Toc223425142"/>
      <w:bookmarkStart w:id="320" w:name="_Toc223425248"/>
      <w:bookmarkStart w:id="321" w:name="_Toc223427661"/>
      <w:r w:rsidRPr="00E15C2C">
        <w:rPr>
          <w:bCs/>
        </w:rPr>
        <w:t>8.7.2</w:t>
      </w:r>
      <w:r w:rsidRPr="00E15C2C">
        <w:tab/>
      </w:r>
      <w:r w:rsidRPr="00E15C2C">
        <w:rPr>
          <w:bCs/>
        </w:rPr>
        <w:t>Réseau de femmes pour la CMR-27</w:t>
      </w:r>
      <w:bookmarkEnd w:id="318"/>
      <w:bookmarkEnd w:id="319"/>
      <w:bookmarkEnd w:id="320"/>
      <w:bookmarkEnd w:id="321"/>
    </w:p>
    <w:p w14:paraId="4A6C19B5" w14:textId="6EA0541E" w:rsidR="004F76FD" w:rsidRPr="00E15C2C" w:rsidRDefault="004F76FD" w:rsidP="004F76FD">
      <w:pPr>
        <w:rPr>
          <w:rFonts w:eastAsia="Aptos"/>
        </w:rPr>
      </w:pPr>
      <w:r w:rsidRPr="00E15C2C">
        <w:t xml:space="preserve">Le </w:t>
      </w:r>
      <w:hyperlink r:id="rId142" w:anchor="/fr" w:history="1">
        <w:r w:rsidRPr="00E15C2C">
          <w:rPr>
            <w:rStyle w:val="Hyperlink"/>
          </w:rPr>
          <w:t>Réseau de femmes pour la CMR-27 (NOW4WRC27)</w:t>
        </w:r>
      </w:hyperlink>
      <w:r w:rsidRPr="00E15C2C">
        <w:t xml:space="preserve"> a été officiellement créé durant la CMR</w:t>
      </w:r>
      <w:r w:rsidR="00900A3C" w:rsidRPr="00E15C2C">
        <w:noBreakHyphen/>
      </w:r>
      <w:r w:rsidRPr="00E15C2C">
        <w:t>23 dans le but de promouvoir l'égalité, l'équité et la parité hommes-femmes et d'encourager et d'aider davantage de femmes et de jeunes filles dans le domaine des radiocommunications, ainsi que de favoriser l'inclusion des femmes et leur nomination à des fonctions de direction dans le cadre des activités de l'UIT-R.</w:t>
      </w:r>
      <w:hyperlink r:id="rId143" w:history="1"/>
    </w:p>
    <w:p w14:paraId="30231D6E" w14:textId="0B427535" w:rsidR="004F76FD" w:rsidRPr="00E15C2C" w:rsidRDefault="004F76FD" w:rsidP="004F76FD">
      <w:pPr>
        <w:rPr>
          <w:rFonts w:eastAsia="Aptos"/>
        </w:rPr>
      </w:pPr>
      <w:r w:rsidRPr="00E15C2C">
        <w:t>Fort du succès du programme NOW4WRC23, ce réseau continue d'encourager la participation active des femmes tout au long de la période d'études précédant la CMR-27.</w:t>
      </w:r>
    </w:p>
    <w:p w14:paraId="23AA759D" w14:textId="77777777" w:rsidR="003C6666" w:rsidRPr="00E15C2C" w:rsidRDefault="004F76FD" w:rsidP="004F76FD">
      <w:r w:rsidRPr="00E15C2C">
        <w:t>Les initiatives de l'UIT-R complètent les activités régionales menées par les coprésidentes au niveau régional du programme NOW4WRC27.</w:t>
      </w:r>
    </w:p>
    <w:p w14:paraId="28FF2092" w14:textId="391AFB98" w:rsidR="004F76FD" w:rsidRPr="00E15C2C" w:rsidRDefault="004F76FD" w:rsidP="004F76FD">
      <w:pPr>
        <w:rPr>
          <w:rFonts w:eastAsia="Aptos"/>
        </w:rPr>
      </w:pPr>
      <w:r w:rsidRPr="00E15C2C">
        <w:t xml:space="preserve">Le </w:t>
      </w:r>
      <w:hyperlink r:id="rId144" w:anchor="/fr" w:history="1">
        <w:r w:rsidRPr="00E15C2C">
          <w:rPr>
            <w:rStyle w:val="Hyperlink"/>
          </w:rPr>
          <w:t>programme de mentorat NOW4WRC27</w:t>
        </w:r>
      </w:hyperlink>
      <w:r w:rsidRPr="00E15C2C">
        <w:t xml:space="preserve"> a été créé en février 2025. Il vise à autonomiser les déléguées en leur permettant de mieux comprendre les méthodes de travail de l'UIT-R, le Règlement des radiocommunications et les processus internationaux de la CMR-27.</w:t>
      </w:r>
      <w:hyperlink r:id="rId145" w:history="1"/>
    </w:p>
    <w:p w14:paraId="5E914CB7" w14:textId="744C34F7" w:rsidR="004F76FD" w:rsidRPr="00E15C2C" w:rsidRDefault="004F76FD" w:rsidP="004F76FD">
      <w:r w:rsidRPr="00E15C2C">
        <w:t xml:space="preserve">Le programme de mentorat est essentiel pour aider les bénéficiaires du programme, en particulier les personnes prenant part pour la première fois à la CMR, à comprendre les processus, les points de l'ordre du jour et les défis des CMR. Dans le cadre de ces activités de renforcement des capacités et de constitution de réseaux, une pause-café spécialement consacrée à la constitution de réseaux a été organisée dans le cadre du </w:t>
      </w:r>
      <w:hyperlink r:id="rId146" w:anchor="/fr" w:history="1">
        <w:r w:rsidRPr="00E15C2C">
          <w:rPr>
            <w:rStyle w:val="Hyperlink"/>
          </w:rPr>
          <w:t>programme de mentorat NOW4WRC27</w:t>
        </w:r>
      </w:hyperlink>
      <w:r w:rsidRPr="00E15C2C">
        <w:t xml:space="preserve"> lors de la première IRIS sur les travaux préparatoires en vue de la CMR-27, le 3 décembre 2025. Cette session a rassemblé des déléguées, des mentors, des coprésidentes régionales et des responsables de l'UIT dans un espace informel mais propice à l'établissement de liens, à l'échange de données d'expérience et à la promotion d'une participation plus forte des femmes aux travaux préparatoires de l'UIT-R. Les participants ont pu rencontrer les principaux coordonnateurs et mentors, et les discussions ont porté sur le renforcement du rôle directeur des femmes, la promotion de la collaboration entre les régions et l'encouragement des déléguées à jouer un rôle actif en vue de la CMR-27.</w:t>
      </w:r>
      <w:hyperlink r:id="rId147" w:history="1"/>
    </w:p>
    <w:p w14:paraId="0738F3DB" w14:textId="4629CC5C" w:rsidR="004F76FD" w:rsidRPr="00E15C2C" w:rsidRDefault="004F76FD" w:rsidP="004F76FD">
      <w:r w:rsidRPr="00E15C2C">
        <w:t>Bien qu'il s'adresse principalement aux femmes, le programme accueille également des hommes en qualité de mentors, favorisant ainsi la collaboration et l'inclusion au sein de la communauté de l'UIT-R. À ce jour, le programme compte 51 mentors et 136 bénéficiaires issus de 71 pays de trois</w:t>
      </w:r>
      <w:r w:rsidR="00090C7A" w:rsidRPr="00E15C2C">
        <w:t> </w:t>
      </w:r>
      <w:r w:rsidRPr="00E15C2C">
        <w:t>régions.</w:t>
      </w:r>
    </w:p>
    <w:p w14:paraId="2EEFD733" w14:textId="77777777" w:rsidR="004F76FD" w:rsidRPr="00E15C2C" w:rsidRDefault="004F76FD" w:rsidP="004F76FD">
      <w:pPr>
        <w:jc w:val="center"/>
      </w:pPr>
      <w:r w:rsidRPr="00E15C2C">
        <w:t>______________</w:t>
      </w:r>
    </w:p>
    <w:sectPr w:rsidR="004F76FD" w:rsidRPr="00E15C2C">
      <w:headerReference w:type="even" r:id="rId148"/>
      <w:headerReference w:type="default" r:id="rId149"/>
      <w:footerReference w:type="even" r:id="rId150"/>
      <w:footerReference w:type="default" r:id="rId151"/>
      <w:footerReference w:type="first" r:id="rId15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9015" w14:textId="77777777" w:rsidR="00494B5D" w:rsidRDefault="00494B5D">
      <w:r>
        <w:separator/>
      </w:r>
    </w:p>
  </w:endnote>
  <w:endnote w:type="continuationSeparator" w:id="0">
    <w:p w14:paraId="5590654F" w14:textId="77777777" w:rsidR="00494B5D" w:rsidRDefault="0049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004F76FD" w14:paraId="19A11AE3" w14:textId="77777777">
      <w:trPr>
        <w:trHeight w:val="300"/>
      </w:trPr>
      <w:tc>
        <w:tcPr>
          <w:tcW w:w="4855" w:type="dxa"/>
        </w:tcPr>
        <w:p w14:paraId="04A92F39" w14:textId="77777777" w:rsidR="004F76FD" w:rsidRDefault="004F76FD">
          <w:pPr>
            <w:ind w:left="-115"/>
          </w:pPr>
        </w:p>
      </w:tc>
      <w:tc>
        <w:tcPr>
          <w:tcW w:w="4855" w:type="dxa"/>
        </w:tcPr>
        <w:p w14:paraId="69854C4F" w14:textId="77777777" w:rsidR="004F76FD" w:rsidRDefault="004F76FD">
          <w:pPr>
            <w:jc w:val="center"/>
          </w:pPr>
        </w:p>
      </w:tc>
      <w:tc>
        <w:tcPr>
          <w:tcW w:w="4855" w:type="dxa"/>
        </w:tcPr>
        <w:p w14:paraId="39CD7227" w14:textId="77777777" w:rsidR="004F76FD" w:rsidRDefault="004F76FD">
          <w:pPr>
            <w:ind w:right="-115"/>
            <w:jc w:val="right"/>
          </w:pPr>
        </w:p>
      </w:tc>
    </w:tr>
  </w:tbl>
  <w:p w14:paraId="54912C56" w14:textId="77777777" w:rsidR="004F76FD" w:rsidRDefault="004F7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FCC7" w14:textId="08EED503"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494B5D">
      <w:rPr>
        <w:lang w:val="en-US"/>
      </w:rPr>
      <w:t>Document4</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D65006">
      <w:t>03.03.26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494B5D">
      <w:t>11.10.99</w:t>
    </w:r>
    <w:r w:rsidR="00847AA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3BD1" w14:textId="08BA73E3" w:rsidR="00847AAC" w:rsidRPr="005E2152" w:rsidRDefault="00847AAC" w:rsidP="005E2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F980" w14:textId="11AABF9B" w:rsidR="00847AAC" w:rsidRDefault="00847AAC" w:rsidP="007711E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5706" w14:textId="77777777" w:rsidR="00494B5D" w:rsidRDefault="00494B5D">
      <w:r>
        <w:t>____________________</w:t>
      </w:r>
    </w:p>
  </w:footnote>
  <w:footnote w:type="continuationSeparator" w:id="0">
    <w:p w14:paraId="6ADD88B1" w14:textId="77777777" w:rsidR="00494B5D" w:rsidRDefault="00494B5D">
      <w:r>
        <w:continuationSeparator/>
      </w:r>
    </w:p>
  </w:footnote>
  <w:footnote w:id="1">
    <w:p w14:paraId="6FD42937" w14:textId="2F53E319" w:rsidR="004F76FD" w:rsidRPr="0074151F" w:rsidRDefault="004F76FD" w:rsidP="003630EA">
      <w:pPr>
        <w:pStyle w:val="FootnoteText"/>
        <w:tabs>
          <w:tab w:val="left" w:pos="1418"/>
        </w:tabs>
        <w:rPr>
          <w:sz w:val="22"/>
          <w:szCs w:val="22"/>
        </w:rPr>
      </w:pPr>
      <w:r>
        <w:rPr>
          <w:rStyle w:val="FootnoteReference"/>
        </w:rPr>
        <w:footnoteRef/>
      </w:r>
      <w:r w:rsidR="003630EA">
        <w:tab/>
      </w:r>
      <w:r>
        <w:t>Les chiffres donnés pour l'année 2025 correspondent aux données recueillies entre janvier et</w:t>
      </w:r>
      <w:r w:rsidR="00CB1957">
        <w:t> </w:t>
      </w:r>
      <w:r>
        <w:t>juin</w:t>
      </w:r>
      <w:r w:rsidR="00CB1957">
        <w:t> </w:t>
      </w:r>
      <w:r>
        <w:t>2025 et ont été extrapolées pour fournir une estimation pour l'ensemble de l'année. Cet ajustement était nécessaire en raison des incidences de l'activité des bots d'IA observée au second semestre 2025. Des travaux sont en cours pour filtrer les données des bots pour le prochain cycle du GCR.</w:t>
      </w:r>
    </w:p>
  </w:footnote>
  <w:footnote w:id="2">
    <w:p w14:paraId="393E037D" w14:textId="4B15D1E8" w:rsidR="004F76FD" w:rsidRPr="007B233B" w:rsidRDefault="004F76FD" w:rsidP="003C6666">
      <w:pPr>
        <w:pStyle w:val="FootnoteText"/>
        <w:rPr>
          <w:sz w:val="22"/>
          <w:szCs w:val="22"/>
        </w:rPr>
      </w:pPr>
      <w:r w:rsidRPr="00090C7A">
        <w:rPr>
          <w:rStyle w:val="FootnoteReference"/>
        </w:rPr>
        <w:footnoteRef/>
      </w:r>
      <w:r w:rsidR="008D4E1C">
        <w:tab/>
      </w:r>
      <w:r w:rsidRPr="003C6666">
        <w:t>Source</w:t>
      </w:r>
      <w:r>
        <w:t xml:space="preserve">: </w:t>
      </w:r>
      <w:hyperlink r:id="rId1" w:anchor="/fr" w:history="1">
        <w:r w:rsidRPr="00820681">
          <w:rPr>
            <w:rStyle w:val="Hyperlink"/>
          </w:rPr>
          <w:t>https://www.itu.int/initiatives/gender-equality/gender-dashboard</w:t>
        </w:r>
      </w:hyperlink>
      <w:hyperlink r:id="rId2"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622358"/>
      <w:docPartObj>
        <w:docPartGallery w:val="Page Numbers (Top of Page)"/>
        <w:docPartUnique/>
      </w:docPartObj>
    </w:sdtPr>
    <w:sdtEndPr>
      <w:rPr>
        <w:noProof/>
      </w:rPr>
    </w:sdtEndPr>
    <w:sdtContent>
      <w:sdt>
        <w:sdtPr>
          <w:id w:val="-534198450"/>
          <w:docPartObj>
            <w:docPartGallery w:val="Page Numbers (Top of Page)"/>
            <w:docPartUnique/>
          </w:docPartObj>
        </w:sdtPr>
        <w:sdtEndPr>
          <w:rPr>
            <w:noProof/>
          </w:rPr>
        </w:sdtEndPr>
        <w:sdtContent>
          <w:p w14:paraId="1B18AA74" w14:textId="77777777" w:rsidR="004F76FD" w:rsidRDefault="004F76FD">
            <w:pPr>
              <w:pStyle w:val="Header"/>
            </w:pPr>
            <w:r>
              <w:fldChar w:fldCharType="begin"/>
            </w:r>
            <w:r>
              <w:instrText xml:space="preserve"> PAGE   \* MERGEFORMAT </w:instrText>
            </w:r>
            <w:r>
              <w:fldChar w:fldCharType="separate"/>
            </w:r>
            <w:r>
              <w:t>40</w:t>
            </w:r>
            <w:r>
              <w:rPr>
                <w:noProof/>
              </w:rPr>
              <w:fldChar w:fldCharType="end"/>
            </w:r>
          </w:p>
          <w:p w14:paraId="40851DC0" w14:textId="57B80A96" w:rsidR="004F76FD" w:rsidRDefault="004F76FD" w:rsidP="00D65006">
            <w:pPr>
              <w:pStyle w:val="Header"/>
              <w:rPr>
                <w:noProof/>
              </w:rPr>
            </w:pPr>
            <w:r>
              <w:t>RAG/58-F</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58F1" w14:textId="77777777" w:rsidR="004F76FD" w:rsidRDefault="004F7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563536"/>
      <w:docPartObj>
        <w:docPartGallery w:val="Page Numbers (Top of Page)"/>
        <w:docPartUnique/>
      </w:docPartObj>
    </w:sdtPr>
    <w:sdtEndPr>
      <w:rPr>
        <w:noProof/>
      </w:rPr>
    </w:sdtEndPr>
    <w:sdtContent>
      <w:sdt>
        <w:sdtPr>
          <w:id w:val="952059597"/>
          <w:docPartObj>
            <w:docPartGallery w:val="Page Numbers (Top of Page)"/>
            <w:docPartUnique/>
          </w:docPartObj>
        </w:sdtPr>
        <w:sdtEndPr>
          <w:rPr>
            <w:noProof/>
          </w:rPr>
        </w:sdtEndPr>
        <w:sdtContent>
          <w:p w14:paraId="57F327AB" w14:textId="77777777" w:rsidR="004F76FD" w:rsidRDefault="004F76FD">
            <w:pPr>
              <w:pStyle w:val="Header"/>
            </w:pPr>
            <w:r>
              <w:fldChar w:fldCharType="begin"/>
            </w:r>
            <w:r>
              <w:instrText xml:space="preserve"> PAGE   \* MERGEFORMAT </w:instrText>
            </w:r>
            <w:r>
              <w:fldChar w:fldCharType="separate"/>
            </w:r>
            <w:r>
              <w:t>40</w:t>
            </w:r>
            <w:r>
              <w:rPr>
                <w:noProof/>
              </w:rPr>
              <w:fldChar w:fldCharType="end"/>
            </w:r>
          </w:p>
          <w:p w14:paraId="59745BED" w14:textId="032C7841" w:rsidR="004F76FD" w:rsidRDefault="004F76FD">
            <w:pPr>
              <w:pStyle w:val="Header"/>
              <w:rPr>
                <w:noProof/>
              </w:rPr>
            </w:pPr>
            <w:r>
              <w:t>RAG/58-F</w:t>
            </w:r>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780088"/>
      <w:docPartObj>
        <w:docPartGallery w:val="Page Numbers (Top of Page)"/>
        <w:docPartUnique/>
      </w:docPartObj>
    </w:sdtPr>
    <w:sdtEndPr>
      <w:rPr>
        <w:noProof/>
      </w:rPr>
    </w:sdtEndPr>
    <w:sdtContent>
      <w:p w14:paraId="33E3D829" w14:textId="77777777" w:rsidR="00802C7B" w:rsidRDefault="00802C7B" w:rsidP="00802C7B">
        <w:pPr>
          <w:pStyle w:val="Header"/>
        </w:pPr>
        <w:r>
          <w:fldChar w:fldCharType="begin"/>
        </w:r>
        <w:r>
          <w:instrText xml:space="preserve"> PAGE   \* MERGEFORMAT </w:instrText>
        </w:r>
        <w:r>
          <w:fldChar w:fldCharType="separate"/>
        </w:r>
        <w:r>
          <w:t>30</w:t>
        </w:r>
        <w:r>
          <w:rPr>
            <w:noProof/>
          </w:rPr>
          <w:fldChar w:fldCharType="end"/>
        </w:r>
      </w:p>
      <w:p w14:paraId="7CEFA639" w14:textId="6890CF09" w:rsidR="004F76FD" w:rsidRDefault="00802C7B" w:rsidP="00802C7B">
        <w:pPr>
          <w:pStyle w:val="Header"/>
          <w:rPr>
            <w:noProof/>
          </w:rPr>
        </w:pPr>
        <w:r>
          <w:t>RAG/58-F</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5109"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953838"/>
      <w:docPartObj>
        <w:docPartGallery w:val="Page Numbers (Top of Page)"/>
        <w:docPartUnique/>
      </w:docPartObj>
    </w:sdtPr>
    <w:sdtEndPr>
      <w:rPr>
        <w:noProof/>
      </w:rPr>
    </w:sdtEndPr>
    <w:sdtContent>
      <w:p w14:paraId="12A6D495" w14:textId="77777777" w:rsidR="00802C7B" w:rsidRDefault="00802C7B" w:rsidP="00802C7B">
        <w:pPr>
          <w:pStyle w:val="Header"/>
        </w:pPr>
        <w:r>
          <w:fldChar w:fldCharType="begin"/>
        </w:r>
        <w:r>
          <w:instrText xml:space="preserve"> PAGE   \* MERGEFORMAT </w:instrText>
        </w:r>
        <w:r>
          <w:fldChar w:fldCharType="separate"/>
        </w:r>
        <w:r>
          <w:t>30</w:t>
        </w:r>
        <w:r>
          <w:rPr>
            <w:noProof/>
          </w:rPr>
          <w:fldChar w:fldCharType="end"/>
        </w:r>
      </w:p>
      <w:p w14:paraId="36CA04F1" w14:textId="04320BCF" w:rsidR="00847AAC" w:rsidRPr="00802C7B" w:rsidRDefault="00802C7B" w:rsidP="00802C7B">
        <w:pPr>
          <w:pStyle w:val="Header"/>
          <w:rPr>
            <w:noProof/>
          </w:rPr>
        </w:pPr>
        <w:r>
          <w:t>RAG/58-F</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5B02"/>
    <w:multiLevelType w:val="hybridMultilevel"/>
    <w:tmpl w:val="EDE296C8"/>
    <w:lvl w:ilvl="0" w:tplc="B8EE20CE">
      <w:numFmt w:val="bullet"/>
      <w:lvlText w:val="-"/>
      <w:lvlJc w:val="left"/>
      <w:pPr>
        <w:ind w:left="720" w:hanging="360"/>
      </w:pPr>
      <w:rPr>
        <w:rFonts w:ascii="Aptos" w:eastAsia="Calibr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0E5E"/>
    <w:multiLevelType w:val="hybridMultilevel"/>
    <w:tmpl w:val="A53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291F"/>
    <w:multiLevelType w:val="hybridMultilevel"/>
    <w:tmpl w:val="02E0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D90"/>
    <w:multiLevelType w:val="hybridMultilevel"/>
    <w:tmpl w:val="09BA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3C46FEE"/>
    <w:multiLevelType w:val="hybridMultilevel"/>
    <w:tmpl w:val="2312BB4A"/>
    <w:lvl w:ilvl="0" w:tplc="47E0E836">
      <w:numFmt w:val="bullet"/>
      <w:lvlText w:val="•"/>
      <w:lvlJc w:val="left"/>
      <w:pPr>
        <w:ind w:left="1150" w:hanging="7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B5885"/>
    <w:multiLevelType w:val="multilevel"/>
    <w:tmpl w:val="66B4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02F1"/>
    <w:multiLevelType w:val="hybridMultilevel"/>
    <w:tmpl w:val="F17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00DF6"/>
    <w:multiLevelType w:val="hybridMultilevel"/>
    <w:tmpl w:val="39A8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95AFB"/>
    <w:multiLevelType w:val="hybridMultilevel"/>
    <w:tmpl w:val="7A1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274AB"/>
    <w:multiLevelType w:val="hybridMultilevel"/>
    <w:tmpl w:val="40F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40D21"/>
    <w:multiLevelType w:val="hybridMultilevel"/>
    <w:tmpl w:val="D6D41F56"/>
    <w:lvl w:ilvl="0" w:tplc="180A77C0">
      <w:start w:val="1"/>
      <w:numFmt w:val="bullet"/>
      <w:lvlText w:val="-"/>
      <w:lvlJc w:val="left"/>
      <w:pPr>
        <w:ind w:left="1150" w:hanging="79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8C6177"/>
    <w:multiLevelType w:val="hybridMultilevel"/>
    <w:tmpl w:val="E2EE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07400"/>
    <w:multiLevelType w:val="hybridMultilevel"/>
    <w:tmpl w:val="2A9C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1751"/>
    <w:multiLevelType w:val="hybridMultilevel"/>
    <w:tmpl w:val="9D0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A22B7"/>
    <w:multiLevelType w:val="hybridMultilevel"/>
    <w:tmpl w:val="B054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D46C30"/>
    <w:multiLevelType w:val="hybridMultilevel"/>
    <w:tmpl w:val="305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B4832"/>
    <w:multiLevelType w:val="hybridMultilevel"/>
    <w:tmpl w:val="F86A8BE4"/>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394FDE"/>
    <w:multiLevelType w:val="hybridMultilevel"/>
    <w:tmpl w:val="6B10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47903"/>
    <w:multiLevelType w:val="hybridMultilevel"/>
    <w:tmpl w:val="88D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DC027D"/>
    <w:multiLevelType w:val="hybridMultilevel"/>
    <w:tmpl w:val="D7C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17FED"/>
    <w:multiLevelType w:val="hybridMultilevel"/>
    <w:tmpl w:val="F33277F8"/>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2" w15:restartNumberingAfterBreak="0">
    <w:nsid w:val="733C075B"/>
    <w:multiLevelType w:val="hybridMultilevel"/>
    <w:tmpl w:val="1DDE434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412196A"/>
    <w:multiLevelType w:val="hybridMultilevel"/>
    <w:tmpl w:val="8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A2216C"/>
    <w:multiLevelType w:val="hybridMultilevel"/>
    <w:tmpl w:val="D85C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C53C9"/>
    <w:multiLevelType w:val="hybridMultilevel"/>
    <w:tmpl w:val="4FD651F2"/>
    <w:lvl w:ilvl="0" w:tplc="5EFAF3E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B25AA4"/>
    <w:multiLevelType w:val="hybridMultilevel"/>
    <w:tmpl w:val="AFD8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6721">
    <w:abstractNumId w:val="25"/>
  </w:num>
  <w:num w:numId="2" w16cid:durableId="1070614147">
    <w:abstractNumId w:val="16"/>
  </w:num>
  <w:num w:numId="3" w16cid:durableId="1878201484">
    <w:abstractNumId w:val="22"/>
  </w:num>
  <w:num w:numId="4" w16cid:durableId="1337420306">
    <w:abstractNumId w:val="1"/>
  </w:num>
  <w:num w:numId="5" w16cid:durableId="1350449023">
    <w:abstractNumId w:val="12"/>
  </w:num>
  <w:num w:numId="6" w16cid:durableId="1019307795">
    <w:abstractNumId w:val="3"/>
  </w:num>
  <w:num w:numId="7" w16cid:durableId="1473327767">
    <w:abstractNumId w:val="2"/>
  </w:num>
  <w:num w:numId="8" w16cid:durableId="1669364468">
    <w:abstractNumId w:val="13"/>
  </w:num>
  <w:num w:numId="9" w16cid:durableId="1437674534">
    <w:abstractNumId w:val="20"/>
  </w:num>
  <w:num w:numId="10" w16cid:durableId="689066924">
    <w:abstractNumId w:val="14"/>
  </w:num>
  <w:num w:numId="11" w16cid:durableId="1626423145">
    <w:abstractNumId w:val="15"/>
  </w:num>
  <w:num w:numId="12" w16cid:durableId="1057049939">
    <w:abstractNumId w:val="8"/>
  </w:num>
  <w:num w:numId="13" w16cid:durableId="1095057846">
    <w:abstractNumId w:val="7"/>
  </w:num>
  <w:num w:numId="14" w16cid:durableId="215048851">
    <w:abstractNumId w:val="23"/>
  </w:num>
  <w:num w:numId="15" w16cid:durableId="850949390">
    <w:abstractNumId w:val="19"/>
  </w:num>
  <w:num w:numId="16" w16cid:durableId="330447505">
    <w:abstractNumId w:val="9"/>
  </w:num>
  <w:num w:numId="17" w16cid:durableId="1456406893">
    <w:abstractNumId w:val="18"/>
  </w:num>
  <w:num w:numId="18" w16cid:durableId="538595450">
    <w:abstractNumId w:val="10"/>
  </w:num>
  <w:num w:numId="19" w16cid:durableId="47532446">
    <w:abstractNumId w:val="21"/>
  </w:num>
  <w:num w:numId="20" w16cid:durableId="1232696537">
    <w:abstractNumId w:val="26"/>
  </w:num>
  <w:num w:numId="21" w16cid:durableId="1453282337">
    <w:abstractNumId w:val="4"/>
  </w:num>
  <w:num w:numId="22" w16cid:durableId="1618639051">
    <w:abstractNumId w:val="17"/>
  </w:num>
  <w:num w:numId="23" w16cid:durableId="1625231418">
    <w:abstractNumId w:val="5"/>
  </w:num>
  <w:num w:numId="24" w16cid:durableId="308217629">
    <w:abstractNumId w:val="6"/>
  </w:num>
  <w:num w:numId="25" w16cid:durableId="1061634465">
    <w:abstractNumId w:val="24"/>
  </w:num>
  <w:num w:numId="26" w16cid:durableId="792942006">
    <w:abstractNumId w:val="0"/>
  </w:num>
  <w:num w:numId="27" w16cid:durableId="16354830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5D"/>
    <w:rsid w:val="0000559B"/>
    <w:rsid w:val="00022773"/>
    <w:rsid w:val="00090C7A"/>
    <w:rsid w:val="000B33A9"/>
    <w:rsid w:val="000C06D8"/>
    <w:rsid w:val="000F7759"/>
    <w:rsid w:val="00140AE6"/>
    <w:rsid w:val="001E48CD"/>
    <w:rsid w:val="00212622"/>
    <w:rsid w:val="00222A1C"/>
    <w:rsid w:val="002863FB"/>
    <w:rsid w:val="002B3624"/>
    <w:rsid w:val="002D238A"/>
    <w:rsid w:val="002D2BD0"/>
    <w:rsid w:val="002D6192"/>
    <w:rsid w:val="00334D6A"/>
    <w:rsid w:val="003630EA"/>
    <w:rsid w:val="003846DF"/>
    <w:rsid w:val="003978A0"/>
    <w:rsid w:val="003A4BFE"/>
    <w:rsid w:val="003A6CEE"/>
    <w:rsid w:val="003C6666"/>
    <w:rsid w:val="003D01C0"/>
    <w:rsid w:val="00405FBE"/>
    <w:rsid w:val="00426172"/>
    <w:rsid w:val="00443261"/>
    <w:rsid w:val="00494B5D"/>
    <w:rsid w:val="004B59E7"/>
    <w:rsid w:val="004E1CCF"/>
    <w:rsid w:val="004E3263"/>
    <w:rsid w:val="004E76DF"/>
    <w:rsid w:val="004F76FD"/>
    <w:rsid w:val="005031C8"/>
    <w:rsid w:val="005207F5"/>
    <w:rsid w:val="005430E4"/>
    <w:rsid w:val="00570CB5"/>
    <w:rsid w:val="005903C8"/>
    <w:rsid w:val="00594EF6"/>
    <w:rsid w:val="005E2152"/>
    <w:rsid w:val="0067019B"/>
    <w:rsid w:val="00677EE5"/>
    <w:rsid w:val="00694DEF"/>
    <w:rsid w:val="00695590"/>
    <w:rsid w:val="006D2E9F"/>
    <w:rsid w:val="0074151F"/>
    <w:rsid w:val="007711EA"/>
    <w:rsid w:val="00773E5E"/>
    <w:rsid w:val="007C6128"/>
    <w:rsid w:val="007F4335"/>
    <w:rsid w:val="00800AB1"/>
    <w:rsid w:val="00802C7B"/>
    <w:rsid w:val="008069E9"/>
    <w:rsid w:val="00847AAC"/>
    <w:rsid w:val="008B79D4"/>
    <w:rsid w:val="008D4E1C"/>
    <w:rsid w:val="008E5B10"/>
    <w:rsid w:val="008F1804"/>
    <w:rsid w:val="00900A3C"/>
    <w:rsid w:val="00902253"/>
    <w:rsid w:val="00925627"/>
    <w:rsid w:val="0093101F"/>
    <w:rsid w:val="0097156E"/>
    <w:rsid w:val="00986D30"/>
    <w:rsid w:val="00A60948"/>
    <w:rsid w:val="00A769FD"/>
    <w:rsid w:val="00A9055C"/>
    <w:rsid w:val="00AB7F92"/>
    <w:rsid w:val="00AC39EE"/>
    <w:rsid w:val="00AF2EDC"/>
    <w:rsid w:val="00B41D84"/>
    <w:rsid w:val="00B46174"/>
    <w:rsid w:val="00B52B27"/>
    <w:rsid w:val="00B84718"/>
    <w:rsid w:val="00BA0C7B"/>
    <w:rsid w:val="00BC4591"/>
    <w:rsid w:val="00C33FF8"/>
    <w:rsid w:val="00C40594"/>
    <w:rsid w:val="00C72A86"/>
    <w:rsid w:val="00C75839"/>
    <w:rsid w:val="00C76052"/>
    <w:rsid w:val="00CB1957"/>
    <w:rsid w:val="00CC5B9E"/>
    <w:rsid w:val="00CC7208"/>
    <w:rsid w:val="00CE2EBD"/>
    <w:rsid w:val="00CE6184"/>
    <w:rsid w:val="00D228F7"/>
    <w:rsid w:val="00D34E1C"/>
    <w:rsid w:val="00D65006"/>
    <w:rsid w:val="00D67929"/>
    <w:rsid w:val="00D84263"/>
    <w:rsid w:val="00D87525"/>
    <w:rsid w:val="00D95965"/>
    <w:rsid w:val="00DC7ED3"/>
    <w:rsid w:val="00DD1D7D"/>
    <w:rsid w:val="00DD55EB"/>
    <w:rsid w:val="00DF16DD"/>
    <w:rsid w:val="00E15C2C"/>
    <w:rsid w:val="00E2659D"/>
    <w:rsid w:val="00E33E75"/>
    <w:rsid w:val="00EC0F12"/>
    <w:rsid w:val="00ED59FA"/>
    <w:rsid w:val="00F05197"/>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FC81F"/>
  <w15:docId w15:val="{FF12573F-4D55-46F5-BDE1-C02CB206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link w:val="Heading2Char"/>
    <w:qFormat/>
    <w:pPr>
      <w:spacing w:before="240"/>
      <w:outlineLvl w:val="1"/>
    </w:pPr>
  </w:style>
  <w:style w:type="paragraph" w:styleId="Heading3">
    <w:name w:val="heading 3"/>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qFormat/>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uiPriority w:val="99"/>
    <w:rPr>
      <w:vertAlign w:val="superscript"/>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uiPriority w:val="99"/>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uiPriority w:val="99"/>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
    <w:basedOn w:val="Note"/>
    <w:link w:val="FootnoteTextChar"/>
    <w:uiPriority w:val="99"/>
    <w:pPr>
      <w:keepLines/>
      <w:tabs>
        <w:tab w:val="left" w:pos="255"/>
      </w:tabs>
      <w:ind w:left="255" w:hanging="255"/>
    </w:pPr>
  </w:style>
  <w:style w:type="paragraph" w:customStyle="1" w:styleId="Note">
    <w:name w:val="Note"/>
    <w:basedOn w:val="Normal"/>
    <w:pPr>
      <w:spacing w:before="80"/>
    </w:pPr>
  </w:style>
  <w:style w:type="paragraph" w:styleId="Header">
    <w:name w:val="header"/>
    <w:aliases w:val="encabezado,he"/>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link w:val="RestitleChar"/>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link w:val="SourceChar"/>
    <w:qFormat/>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qFormat/>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39"/>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Title1Char">
    <w:name w:val="Title 1 Char"/>
    <w:link w:val="Title1"/>
    <w:qFormat/>
    <w:locked/>
    <w:rsid w:val="004F76FD"/>
    <w:rPr>
      <w:rFonts w:ascii="Times New Roman" w:hAnsi="Times New Roman"/>
      <w:caps/>
      <w:sz w:val="28"/>
      <w:lang w:val="fr-FR" w:eastAsia="en-US"/>
    </w:rPr>
  </w:style>
  <w:style w:type="character" w:customStyle="1" w:styleId="FooterChar">
    <w:name w:val="Footer Char"/>
    <w:basedOn w:val="DefaultParagraphFont"/>
    <w:link w:val="Footer"/>
    <w:rsid w:val="004F76FD"/>
    <w:rPr>
      <w:rFonts w:ascii="Times New Roman" w:hAnsi="Times New Roman"/>
      <w:caps/>
      <w:noProof/>
      <w:sz w:val="16"/>
      <w:lang w:val="fr-FR"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
    <w:basedOn w:val="DefaultParagraphFont"/>
    <w:link w:val="FootnoteText"/>
    <w:uiPriority w:val="99"/>
    <w:rsid w:val="004F76FD"/>
    <w:rPr>
      <w:rFonts w:ascii="Times New Roman" w:hAnsi="Times New Roman"/>
      <w:sz w:val="24"/>
      <w:lang w:val="fr-FR" w:eastAsia="en-US"/>
    </w:rPr>
  </w:style>
  <w:style w:type="paragraph" w:customStyle="1" w:styleId="Formal">
    <w:name w:val="Formal"/>
    <w:basedOn w:val="Normal"/>
    <w:rsid w:val="004F76F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erChar">
    <w:name w:val="Header Char"/>
    <w:aliases w:val="encabezado Char,he Char"/>
    <w:basedOn w:val="DefaultParagraphFont"/>
    <w:link w:val="Header"/>
    <w:uiPriority w:val="99"/>
    <w:rsid w:val="004F76FD"/>
    <w:rPr>
      <w:rFonts w:ascii="Times New Roman" w:hAnsi="Times New Roman"/>
      <w:sz w:val="18"/>
      <w:lang w:val="fr-FR" w:eastAsia="en-US"/>
    </w:rPr>
  </w:style>
  <w:style w:type="paragraph" w:customStyle="1" w:styleId="Docnumber">
    <w:name w:val="Docnumber"/>
    <w:basedOn w:val="Normal"/>
    <w:link w:val="DocnumberChar"/>
    <w:qFormat/>
    <w:rsid w:val="004F76FD"/>
    <w:pPr>
      <w:jc w:val="right"/>
    </w:pPr>
    <w:rPr>
      <w:rFonts w:eastAsia="SimSun"/>
      <w:b/>
      <w:sz w:val="32"/>
      <w:lang w:val="en-GB"/>
    </w:rPr>
  </w:style>
  <w:style w:type="character" w:customStyle="1" w:styleId="DocnumberChar">
    <w:name w:val="Docnumber Char"/>
    <w:link w:val="Docnumber"/>
    <w:rsid w:val="004F76FD"/>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4F76FD"/>
    <w:rPr>
      <w:color w:val="0000FF"/>
      <w:u w:val="single"/>
    </w:rPr>
  </w:style>
  <w:style w:type="paragraph" w:customStyle="1" w:styleId="LSDeadline">
    <w:name w:val="LSDeadline"/>
    <w:basedOn w:val="Normal"/>
    <w:next w:val="Normal"/>
    <w:rsid w:val="004F76FD"/>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paragraph" w:customStyle="1" w:styleId="LSForAction">
    <w:name w:val="LSForAction"/>
    <w:basedOn w:val="Normal"/>
    <w:next w:val="Normal"/>
    <w:rsid w:val="004F76FD"/>
    <w:rPr>
      <w:lang w:val="en-GB"/>
    </w:rPr>
  </w:style>
  <w:style w:type="paragraph" w:customStyle="1" w:styleId="LSForInfo">
    <w:name w:val="LSForInfo"/>
    <w:basedOn w:val="Normal"/>
    <w:next w:val="Normal"/>
    <w:rsid w:val="004F76FD"/>
    <w:pPr>
      <w:tabs>
        <w:tab w:val="clear" w:pos="794"/>
        <w:tab w:val="clear" w:pos="1191"/>
        <w:tab w:val="clear" w:pos="1588"/>
        <w:tab w:val="clear" w:pos="1985"/>
      </w:tabs>
      <w:overflowPunct/>
      <w:autoSpaceDE/>
      <w:autoSpaceDN/>
      <w:adjustRightInd/>
      <w:textAlignment w:val="auto"/>
    </w:pPr>
    <w:rPr>
      <w:rFonts w:eastAsiaTheme="minorHAnsi"/>
      <w:bCs/>
      <w:szCs w:val="24"/>
      <w:lang w:val="en-GB" w:eastAsia="ja-JP"/>
    </w:rPr>
  </w:style>
  <w:style w:type="paragraph" w:customStyle="1" w:styleId="VenueDate">
    <w:name w:val="VenueDate"/>
    <w:basedOn w:val="Normal"/>
    <w:qFormat/>
    <w:rsid w:val="004F76FD"/>
    <w:pPr>
      <w:tabs>
        <w:tab w:val="clear" w:pos="794"/>
        <w:tab w:val="clear" w:pos="1191"/>
        <w:tab w:val="clear" w:pos="1588"/>
        <w:tab w:val="clear" w:pos="1985"/>
      </w:tabs>
      <w:jc w:val="right"/>
    </w:pPr>
    <w:rPr>
      <w:lang w:val="en-GB"/>
    </w:rPr>
  </w:style>
  <w:style w:type="paragraph" w:customStyle="1" w:styleId="TSBHeaderQuestion">
    <w:name w:val="TSBHeaderQuestion"/>
    <w:basedOn w:val="Normal"/>
    <w:qFormat/>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ource">
    <w:name w:val="TSBHeaderSource"/>
    <w:basedOn w:val="Normal"/>
    <w:qFormat/>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Title">
    <w:name w:val="TSBHeaderTitle"/>
    <w:basedOn w:val="Normal"/>
    <w:qFormat/>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ummary">
    <w:name w:val="TSBHeaderSummary"/>
    <w:basedOn w:val="Normal"/>
    <w:rsid w:val="004F76FD"/>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LSApproval">
    <w:name w:val="LSApproval"/>
    <w:basedOn w:val="Normal"/>
    <w:rsid w:val="004F76FD"/>
    <w:pPr>
      <w:tabs>
        <w:tab w:val="clear" w:pos="794"/>
        <w:tab w:val="clear" w:pos="1191"/>
        <w:tab w:val="clear" w:pos="1588"/>
        <w:tab w:val="clear" w:pos="1985"/>
      </w:tabs>
      <w:overflowPunct/>
      <w:autoSpaceDE/>
      <w:autoSpaceDN/>
      <w:adjustRightInd/>
      <w:textAlignment w:val="auto"/>
    </w:pPr>
    <w:rPr>
      <w:rFonts w:eastAsiaTheme="minorEastAsia"/>
      <w:b/>
      <w:bCs/>
      <w:szCs w:val="24"/>
      <w:lang w:val="en-GB" w:eastAsia="ja-JP"/>
    </w:rPr>
  </w:style>
  <w:style w:type="paragraph" w:customStyle="1" w:styleId="TSBHeaderRight14">
    <w:name w:val="TSBHeaderRight14"/>
    <w:basedOn w:val="Normal"/>
    <w:qFormat/>
    <w:rsid w:val="004F76FD"/>
    <w:pPr>
      <w:jc w:val="right"/>
    </w:pPr>
    <w:rPr>
      <w:b/>
      <w:bCs/>
      <w:sz w:val="28"/>
      <w:szCs w:val="28"/>
      <w:lang w:val="en-GB"/>
    </w:rPr>
  </w:style>
  <w:style w:type="table" w:styleId="TableGrid">
    <w:name w:val="Table Grid"/>
    <w:basedOn w:val="TableNormal"/>
    <w:uiPriority w:val="59"/>
    <w:rsid w:val="004F76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4F76FD"/>
    <w:rPr>
      <w:rFonts w:ascii="Times New Roman" w:hAnsi="Times New Roman"/>
      <w:b/>
      <w:sz w:val="28"/>
      <w:lang w:val="fr-FR" w:eastAsia="en-US"/>
    </w:rPr>
  </w:style>
  <w:style w:type="paragraph" w:styleId="ListParagraph">
    <w:name w:val="List Paragraph"/>
    <w:aliases w:val="Recommendation,List Paragraph11,O5,Para_sk,Resume Title,- Bullets,List Paragraph1,Citation List,List Paragraph Char Char,Bullets,list1,b1,Number_1,Normal Sentence,Colorful List - Accent 11,ListPar1,new,SGLText List Paragraph"/>
    <w:basedOn w:val="Normal"/>
    <w:link w:val="ListParagraphChar"/>
    <w:uiPriority w:val="34"/>
    <w:qFormat/>
    <w:rsid w:val="004F76FD"/>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List Paragraph1 Char,Citation List Char,List Paragraph Char Char Char,Bullets Char,list1 Char,b1 Char,Number_1 Char,Normal Sentence Char"/>
    <w:basedOn w:val="DefaultParagraphFont"/>
    <w:link w:val="ListParagraph"/>
    <w:uiPriority w:val="34"/>
    <w:locked/>
    <w:rsid w:val="004F76FD"/>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4F76FD"/>
    <w:rPr>
      <w:color w:val="808080"/>
    </w:rPr>
  </w:style>
  <w:style w:type="character" w:customStyle="1" w:styleId="Heading1Char">
    <w:name w:val="Heading 1 Char"/>
    <w:basedOn w:val="DefaultParagraphFont"/>
    <w:link w:val="Heading1"/>
    <w:rsid w:val="004F76FD"/>
    <w:rPr>
      <w:rFonts w:ascii="Times New Roman" w:hAnsi="Times New Roman"/>
      <w:b/>
      <w:sz w:val="24"/>
      <w:lang w:val="fr-FR" w:eastAsia="en-US"/>
    </w:rPr>
  </w:style>
  <w:style w:type="character" w:customStyle="1" w:styleId="Heading2Char">
    <w:name w:val="Heading 2 Char"/>
    <w:basedOn w:val="DefaultParagraphFont"/>
    <w:link w:val="Heading2"/>
    <w:rsid w:val="004F76FD"/>
    <w:rPr>
      <w:rFonts w:ascii="Times New Roman" w:hAnsi="Times New Roman"/>
      <w:b/>
      <w:sz w:val="24"/>
      <w:lang w:val="fr-FR" w:eastAsia="en-US"/>
    </w:rPr>
  </w:style>
  <w:style w:type="character" w:customStyle="1" w:styleId="Heading3Char">
    <w:name w:val="Heading 3 Char"/>
    <w:basedOn w:val="DefaultParagraphFont"/>
    <w:link w:val="Heading3"/>
    <w:rsid w:val="004F76FD"/>
    <w:rPr>
      <w:rFonts w:ascii="Times New Roman" w:hAnsi="Times New Roman"/>
      <w:b/>
      <w:sz w:val="24"/>
      <w:lang w:val="fr-FR" w:eastAsia="en-US"/>
    </w:rPr>
  </w:style>
  <w:style w:type="character" w:customStyle="1" w:styleId="Heading4Char">
    <w:name w:val="Heading 4 Char"/>
    <w:basedOn w:val="DefaultParagraphFont"/>
    <w:link w:val="Heading4"/>
    <w:rsid w:val="004F76FD"/>
    <w:rPr>
      <w:rFonts w:ascii="Times New Roman" w:hAnsi="Times New Roman"/>
      <w:b/>
      <w:sz w:val="24"/>
      <w:lang w:val="fr-FR" w:eastAsia="en-US"/>
    </w:rPr>
  </w:style>
  <w:style w:type="character" w:customStyle="1" w:styleId="Heading5Char">
    <w:name w:val="Heading 5 Char"/>
    <w:basedOn w:val="DefaultParagraphFont"/>
    <w:link w:val="Heading5"/>
    <w:rsid w:val="004F76FD"/>
    <w:rPr>
      <w:rFonts w:ascii="Times New Roman" w:hAnsi="Times New Roman"/>
      <w:b/>
      <w:sz w:val="24"/>
      <w:lang w:val="fr-FR" w:eastAsia="en-US"/>
    </w:rPr>
  </w:style>
  <w:style w:type="character" w:customStyle="1" w:styleId="Heading6Char">
    <w:name w:val="Heading 6 Char"/>
    <w:basedOn w:val="DefaultParagraphFont"/>
    <w:link w:val="Heading6"/>
    <w:rsid w:val="004F76FD"/>
    <w:rPr>
      <w:rFonts w:ascii="Times New Roman" w:hAnsi="Times New Roman"/>
      <w:b/>
      <w:sz w:val="24"/>
      <w:lang w:val="fr-FR" w:eastAsia="en-US"/>
    </w:rPr>
  </w:style>
  <w:style w:type="character" w:customStyle="1" w:styleId="Heading7Char">
    <w:name w:val="Heading 7 Char"/>
    <w:basedOn w:val="DefaultParagraphFont"/>
    <w:link w:val="Heading7"/>
    <w:rsid w:val="004F76FD"/>
    <w:rPr>
      <w:rFonts w:ascii="Times New Roman" w:hAnsi="Times New Roman"/>
      <w:b/>
      <w:sz w:val="24"/>
      <w:lang w:val="fr-FR" w:eastAsia="en-US"/>
    </w:rPr>
  </w:style>
  <w:style w:type="character" w:customStyle="1" w:styleId="Heading8Char">
    <w:name w:val="Heading 8 Char"/>
    <w:basedOn w:val="DefaultParagraphFont"/>
    <w:link w:val="Heading8"/>
    <w:rsid w:val="004F76FD"/>
    <w:rPr>
      <w:rFonts w:ascii="Times New Roman" w:hAnsi="Times New Roman"/>
      <w:b/>
      <w:sz w:val="24"/>
      <w:lang w:val="fr-FR" w:eastAsia="en-US"/>
    </w:rPr>
  </w:style>
  <w:style w:type="character" w:customStyle="1" w:styleId="Heading9Char">
    <w:name w:val="Heading 9 Char"/>
    <w:basedOn w:val="DefaultParagraphFont"/>
    <w:link w:val="Heading9"/>
    <w:rsid w:val="004F76FD"/>
    <w:rPr>
      <w:rFonts w:ascii="Times New Roman" w:hAnsi="Times New Roman"/>
      <w:b/>
      <w:sz w:val="24"/>
      <w:lang w:val="fr-FR" w:eastAsia="en-US"/>
    </w:rPr>
  </w:style>
  <w:style w:type="paragraph" w:customStyle="1" w:styleId="Reasons">
    <w:name w:val="Reasons"/>
    <w:basedOn w:val="Normal"/>
    <w:qFormat/>
    <w:rsid w:val="004F76FD"/>
    <w:pPr>
      <w:tabs>
        <w:tab w:val="clear" w:pos="794"/>
        <w:tab w:val="clear" w:pos="1191"/>
        <w:tab w:val="left" w:pos="1134"/>
      </w:tabs>
    </w:pPr>
    <w:rPr>
      <w:lang w:val="en-GB"/>
    </w:rPr>
  </w:style>
  <w:style w:type="paragraph" w:customStyle="1" w:styleId="ASN1">
    <w:name w:val="ASN.1"/>
    <w:basedOn w:val="Normal"/>
    <w:rsid w:val="004F76FD"/>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lang w:val="en-GB"/>
    </w:rPr>
  </w:style>
  <w:style w:type="paragraph" w:customStyle="1" w:styleId="FooterQP">
    <w:name w:val="Footer_QP"/>
    <w:basedOn w:val="Normal"/>
    <w:rsid w:val="004F76FD"/>
    <w:pPr>
      <w:tabs>
        <w:tab w:val="clear" w:pos="794"/>
        <w:tab w:val="clear" w:pos="1191"/>
        <w:tab w:val="clear" w:pos="1588"/>
        <w:tab w:val="clear" w:pos="1985"/>
        <w:tab w:val="left" w:pos="907"/>
        <w:tab w:val="right" w:pos="8789"/>
        <w:tab w:val="right" w:pos="9639"/>
      </w:tabs>
      <w:spacing w:before="0"/>
    </w:pPr>
    <w:rPr>
      <w:b/>
      <w:sz w:val="22"/>
      <w:lang w:val="en-GB"/>
    </w:rPr>
  </w:style>
  <w:style w:type="paragraph" w:styleId="BalloonText">
    <w:name w:val="Balloon Text"/>
    <w:basedOn w:val="Normal"/>
    <w:link w:val="BalloonTextChar"/>
    <w:rsid w:val="004F76FD"/>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4F76FD"/>
    <w:rPr>
      <w:rFonts w:ascii="Tahoma" w:hAnsi="Tahoma" w:cs="Tahoma"/>
      <w:sz w:val="16"/>
      <w:szCs w:val="16"/>
      <w:lang w:val="en-GB" w:eastAsia="en-US"/>
    </w:rPr>
  </w:style>
  <w:style w:type="paragraph" w:customStyle="1" w:styleId="Normalaftertitle0">
    <w:name w:val="Normal after title"/>
    <w:basedOn w:val="Normal"/>
    <w:next w:val="Normal"/>
    <w:rsid w:val="004F76FD"/>
    <w:pPr>
      <w:tabs>
        <w:tab w:val="clear" w:pos="794"/>
        <w:tab w:val="clear" w:pos="1191"/>
        <w:tab w:val="clear" w:pos="1588"/>
        <w:tab w:val="clear" w:pos="1985"/>
        <w:tab w:val="left" w:pos="1134"/>
        <w:tab w:val="left" w:pos="1871"/>
        <w:tab w:val="left" w:pos="2268"/>
      </w:tabs>
      <w:spacing w:before="280"/>
      <w:textAlignment w:val="auto"/>
    </w:pPr>
    <w:rPr>
      <w:lang w:val="en-GB"/>
    </w:rPr>
  </w:style>
  <w:style w:type="paragraph" w:customStyle="1" w:styleId="headingb0">
    <w:name w:val="heading_b"/>
    <w:basedOn w:val="Heading3"/>
    <w:next w:val="Normal"/>
    <w:rsid w:val="004F76FD"/>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lang w:val="en-GB"/>
    </w:rPr>
  </w:style>
  <w:style w:type="paragraph" w:styleId="PlainText">
    <w:name w:val="Plain Text"/>
    <w:basedOn w:val="Normal"/>
    <w:link w:val="PlainTextChar"/>
    <w:uiPriority w:val="99"/>
    <w:unhideWhenUsed/>
    <w:rsid w:val="004F76FD"/>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4F76FD"/>
    <w:rPr>
      <w:rFonts w:ascii="Consolas" w:eastAsiaTheme="minorEastAsia" w:hAnsi="Consolas" w:cstheme="minorBidi"/>
      <w:sz w:val="21"/>
      <w:szCs w:val="21"/>
    </w:rPr>
  </w:style>
  <w:style w:type="paragraph" w:styleId="NoSpacing">
    <w:name w:val="No Spacing"/>
    <w:uiPriority w:val="1"/>
    <w:qFormat/>
    <w:rsid w:val="004F76FD"/>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4F76FD"/>
    <w:rPr>
      <w:rFonts w:ascii="Times New Roman" w:hAnsi="Times New Roman"/>
      <w:sz w:val="22"/>
      <w:lang w:val="fr-FR" w:eastAsia="en-US"/>
    </w:rPr>
  </w:style>
  <w:style w:type="character" w:customStyle="1" w:styleId="enumlev1Char">
    <w:name w:val="enumlev1 Char"/>
    <w:basedOn w:val="DefaultParagraphFont"/>
    <w:link w:val="enumlev1"/>
    <w:locked/>
    <w:rsid w:val="004F76FD"/>
    <w:rPr>
      <w:rFonts w:ascii="Times New Roman" w:hAnsi="Times New Roman"/>
      <w:sz w:val="24"/>
      <w:lang w:val="fr-FR" w:eastAsia="en-US"/>
    </w:rPr>
  </w:style>
  <w:style w:type="character" w:customStyle="1" w:styleId="apple-converted-space">
    <w:name w:val="apple-converted-space"/>
    <w:basedOn w:val="DefaultParagraphFont"/>
    <w:rsid w:val="004F76FD"/>
  </w:style>
  <w:style w:type="table" w:customStyle="1" w:styleId="TableGrid1">
    <w:name w:val="Table Grid1"/>
    <w:basedOn w:val="TableNormal"/>
    <w:next w:val="TableGrid"/>
    <w:rsid w:val="004F76FD"/>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F76FD"/>
    <w:rPr>
      <w:b/>
      <w:bCs/>
    </w:rPr>
  </w:style>
  <w:style w:type="paragraph" w:customStyle="1" w:styleId="Annextitle">
    <w:name w:val="Annex_title"/>
    <w:basedOn w:val="Normal"/>
    <w:next w:val="Normal"/>
    <w:rsid w:val="004F76F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nnexNo">
    <w:name w:val="Annex_No"/>
    <w:basedOn w:val="Normal"/>
    <w:next w:val="Normal"/>
    <w:rsid w:val="004F76FD"/>
    <w:pPr>
      <w:keepNext/>
      <w:keepLines/>
      <w:tabs>
        <w:tab w:val="clear" w:pos="794"/>
        <w:tab w:val="clear" w:pos="1191"/>
        <w:tab w:val="clear" w:pos="1588"/>
        <w:tab w:val="clear" w:pos="1985"/>
        <w:tab w:val="left" w:pos="1134"/>
        <w:tab w:val="left" w:pos="1871"/>
        <w:tab w:val="left" w:pos="2268"/>
      </w:tabs>
      <w:spacing w:before="480" w:after="80"/>
      <w:jc w:val="center"/>
    </w:pPr>
    <w:rPr>
      <w:sz w:val="28"/>
      <w:lang w:val="en-GB"/>
    </w:rPr>
  </w:style>
  <w:style w:type="character" w:customStyle="1" w:styleId="CallChar">
    <w:name w:val="Call Char"/>
    <w:basedOn w:val="DefaultParagraphFont"/>
    <w:link w:val="Call"/>
    <w:locked/>
    <w:rsid w:val="004F76FD"/>
    <w:rPr>
      <w:rFonts w:ascii="Times New Roman" w:hAnsi="Times New Roman"/>
      <w:i/>
      <w:sz w:val="24"/>
      <w:lang w:val="fr-FR" w:eastAsia="en-US"/>
    </w:rPr>
  </w:style>
  <w:style w:type="character" w:customStyle="1" w:styleId="HeadingbChar">
    <w:name w:val="Heading_b Char"/>
    <w:link w:val="Headingb"/>
    <w:locked/>
    <w:rsid w:val="004F76FD"/>
    <w:rPr>
      <w:rFonts w:ascii="Times New Roman" w:hAnsi="Times New Roman"/>
      <w:b/>
      <w:sz w:val="24"/>
      <w:lang w:val="fr-FR" w:eastAsia="en-US"/>
    </w:rPr>
  </w:style>
  <w:style w:type="character" w:customStyle="1" w:styleId="RestitleChar">
    <w:name w:val="Res_title Char"/>
    <w:basedOn w:val="DefaultParagraphFont"/>
    <w:link w:val="Restitle"/>
    <w:locked/>
    <w:rsid w:val="004F76FD"/>
    <w:rPr>
      <w:rFonts w:ascii="Times New Roman" w:hAnsi="Times New Roman"/>
      <w:b/>
      <w:sz w:val="28"/>
      <w:lang w:val="fr-FR" w:eastAsia="en-US"/>
    </w:rPr>
  </w:style>
  <w:style w:type="character" w:styleId="FollowedHyperlink">
    <w:name w:val="FollowedHyperlink"/>
    <w:basedOn w:val="DefaultParagraphFont"/>
    <w:unhideWhenUsed/>
    <w:rsid w:val="004F76FD"/>
    <w:rPr>
      <w:color w:val="606420"/>
      <w:u w:val="single"/>
    </w:rPr>
  </w:style>
  <w:style w:type="paragraph" w:styleId="NormalWeb">
    <w:name w:val="Normal (Web)"/>
    <w:basedOn w:val="Normal"/>
    <w:uiPriority w:val="99"/>
    <w:unhideWhenUsed/>
    <w:rsid w:val="004F76F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4F76FD"/>
    <w:pPr>
      <w:spacing w:before="0"/>
      <w:textAlignment w:val="auto"/>
    </w:pPr>
    <w:rPr>
      <w:sz w:val="20"/>
      <w:lang w:val="en-GB"/>
    </w:rPr>
  </w:style>
  <w:style w:type="character" w:customStyle="1" w:styleId="EndnoteTextChar">
    <w:name w:val="Endnote Text Char"/>
    <w:basedOn w:val="DefaultParagraphFont"/>
    <w:link w:val="EndnoteText"/>
    <w:uiPriority w:val="99"/>
    <w:rsid w:val="004F76FD"/>
    <w:rPr>
      <w:rFonts w:ascii="Times New Roman" w:hAnsi="Times New Roman"/>
      <w:lang w:val="en-GB" w:eastAsia="en-US"/>
    </w:rPr>
  </w:style>
  <w:style w:type="paragraph" w:styleId="Title">
    <w:name w:val="Title"/>
    <w:basedOn w:val="Normal"/>
    <w:next w:val="Normal"/>
    <w:link w:val="TitleChar"/>
    <w:qFormat/>
    <w:rsid w:val="004F76FD"/>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4F76FD"/>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4F76FD"/>
    <w:pPr>
      <w:textAlignment w:val="auto"/>
    </w:pPr>
    <w:rPr>
      <w:b/>
      <w:bCs/>
      <w:i/>
      <w:iCs/>
      <w:szCs w:val="24"/>
      <w:lang w:val="en-GB"/>
    </w:rPr>
  </w:style>
  <w:style w:type="character" w:customStyle="1" w:styleId="BodyTextChar">
    <w:name w:val="Body Text Char"/>
    <w:basedOn w:val="DefaultParagraphFont"/>
    <w:link w:val="BodyText"/>
    <w:rsid w:val="004F76FD"/>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4F76FD"/>
    <w:pPr>
      <w:spacing w:after="120"/>
      <w:ind w:left="360"/>
      <w:textAlignment w:val="auto"/>
    </w:pPr>
    <w:rPr>
      <w:lang w:val="en-GB"/>
    </w:rPr>
  </w:style>
  <w:style w:type="character" w:customStyle="1" w:styleId="BodyTextIndentChar">
    <w:name w:val="Body Text Indent Char"/>
    <w:basedOn w:val="DefaultParagraphFont"/>
    <w:link w:val="BodyTextIndent"/>
    <w:rsid w:val="004F76FD"/>
    <w:rPr>
      <w:rFonts w:ascii="Times New Roman" w:hAnsi="Times New Roman"/>
      <w:sz w:val="24"/>
      <w:lang w:val="en-GB" w:eastAsia="en-US"/>
    </w:rPr>
  </w:style>
  <w:style w:type="paragraph" w:styleId="Subtitle">
    <w:name w:val="Subtitle"/>
    <w:basedOn w:val="Normal"/>
    <w:next w:val="Normal"/>
    <w:link w:val="SubtitleChar"/>
    <w:uiPriority w:val="11"/>
    <w:qFormat/>
    <w:rsid w:val="004F76FD"/>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4F76FD"/>
    <w:rPr>
      <w:rFonts w:ascii="Cambria" w:eastAsia="SimSun" w:hAnsi="Cambria"/>
      <w:i/>
      <w:iCs/>
      <w:color w:val="4F81BD"/>
      <w:spacing w:val="15"/>
      <w:sz w:val="24"/>
      <w:szCs w:val="24"/>
    </w:rPr>
  </w:style>
  <w:style w:type="paragraph" w:styleId="BodyText2">
    <w:name w:val="Body Text 2"/>
    <w:basedOn w:val="Normal"/>
    <w:link w:val="BodyText2Char"/>
    <w:unhideWhenUsed/>
    <w:rsid w:val="004F76FD"/>
    <w:pPr>
      <w:spacing w:after="120" w:line="480" w:lineRule="auto"/>
      <w:textAlignment w:val="auto"/>
    </w:pPr>
    <w:rPr>
      <w:lang w:val="en-GB"/>
    </w:rPr>
  </w:style>
  <w:style w:type="character" w:customStyle="1" w:styleId="BodyText2Char">
    <w:name w:val="Body Text 2 Char"/>
    <w:basedOn w:val="DefaultParagraphFont"/>
    <w:link w:val="BodyText2"/>
    <w:rsid w:val="004F76FD"/>
    <w:rPr>
      <w:rFonts w:ascii="Times New Roman" w:hAnsi="Times New Roman"/>
      <w:sz w:val="24"/>
      <w:lang w:val="en-GB" w:eastAsia="en-US"/>
    </w:rPr>
  </w:style>
  <w:style w:type="paragraph" w:styleId="Revision">
    <w:name w:val="Revision"/>
    <w:uiPriority w:val="99"/>
    <w:semiHidden/>
    <w:rsid w:val="004F76FD"/>
    <w:rPr>
      <w:rFonts w:ascii="Times New Roman" w:hAnsi="Times New Roman"/>
      <w:sz w:val="24"/>
      <w:lang w:val="en-GB" w:eastAsia="en-US"/>
    </w:rPr>
  </w:style>
  <w:style w:type="character" w:styleId="CommentReference">
    <w:name w:val="annotation reference"/>
    <w:basedOn w:val="DefaultParagraphFont"/>
    <w:semiHidden/>
    <w:unhideWhenUsed/>
    <w:rsid w:val="004F76FD"/>
    <w:rPr>
      <w:sz w:val="16"/>
      <w:szCs w:val="16"/>
    </w:rPr>
  </w:style>
  <w:style w:type="paragraph" w:styleId="CommentText">
    <w:name w:val="annotation text"/>
    <w:basedOn w:val="Normal"/>
    <w:link w:val="CommentTextChar"/>
    <w:unhideWhenUsed/>
    <w:rsid w:val="004F76FD"/>
    <w:rPr>
      <w:sz w:val="20"/>
      <w:lang w:val="en-GB"/>
    </w:rPr>
  </w:style>
  <w:style w:type="character" w:customStyle="1" w:styleId="CommentTextChar">
    <w:name w:val="Comment Text Char"/>
    <w:basedOn w:val="DefaultParagraphFont"/>
    <w:link w:val="CommentText"/>
    <w:rsid w:val="004F76FD"/>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F76FD"/>
    <w:rPr>
      <w:b/>
      <w:bCs/>
    </w:rPr>
  </w:style>
  <w:style w:type="character" w:customStyle="1" w:styleId="CommentSubjectChar">
    <w:name w:val="Comment Subject Char"/>
    <w:basedOn w:val="CommentTextChar"/>
    <w:link w:val="CommentSubject"/>
    <w:semiHidden/>
    <w:rsid w:val="004F76FD"/>
    <w:rPr>
      <w:rFonts w:ascii="Times New Roman" w:hAnsi="Times New Roman"/>
      <w:b/>
      <w:bCs/>
      <w:lang w:val="en-GB" w:eastAsia="en-US"/>
    </w:rPr>
  </w:style>
  <w:style w:type="table" w:customStyle="1" w:styleId="GridTable1Light-Accent512">
    <w:name w:val="Grid Table 1 Light - Accent 512"/>
    <w:basedOn w:val="TableNormal"/>
    <w:uiPriority w:val="46"/>
    <w:rsid w:val="004F76FD"/>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4F76F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4F76FD"/>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4F76FD"/>
    <w:rPr>
      <w:rFonts w:ascii="Times New Roman" w:hAnsi="Times New Roman"/>
      <w:b/>
      <w:sz w:val="22"/>
      <w:lang w:val="fr-FR" w:eastAsia="en-US"/>
    </w:rPr>
  </w:style>
  <w:style w:type="paragraph" w:customStyle="1" w:styleId="TableNo">
    <w:name w:val="Table_No"/>
    <w:basedOn w:val="Normal"/>
    <w:next w:val="Normal"/>
    <w:uiPriority w:val="99"/>
    <w:rsid w:val="004F76FD"/>
    <w:pPr>
      <w:keepNext/>
      <w:tabs>
        <w:tab w:val="clear" w:pos="794"/>
        <w:tab w:val="clear" w:pos="1191"/>
        <w:tab w:val="clear" w:pos="1588"/>
        <w:tab w:val="clear" w:pos="1985"/>
        <w:tab w:val="left" w:pos="1134"/>
        <w:tab w:val="left" w:pos="1871"/>
        <w:tab w:val="left" w:pos="2268"/>
      </w:tabs>
      <w:spacing w:before="560" w:after="120"/>
      <w:jc w:val="center"/>
    </w:pPr>
    <w:rPr>
      <w:lang w:val="en-GB"/>
    </w:rPr>
  </w:style>
  <w:style w:type="paragraph" w:customStyle="1" w:styleId="Tabletitle">
    <w:name w:val="Table_title"/>
    <w:basedOn w:val="Normal"/>
    <w:next w:val="Tabletext"/>
    <w:rsid w:val="004F76FD"/>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paragraph" w:styleId="Index4">
    <w:name w:val="index 4"/>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4F76FD"/>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4F76FD"/>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4F76FD"/>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4F76FD"/>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F76FD"/>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table" w:styleId="ListTable1Light-Accent1">
    <w:name w:val="List Table 1 Light Accent 1"/>
    <w:basedOn w:val="TableNormal"/>
    <w:uiPriority w:val="46"/>
    <w:rsid w:val="004F76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4F76F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4F76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4F76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4F76FD"/>
    <w:rPr>
      <w:lang w:val="en-GB"/>
    </w:rPr>
  </w:style>
  <w:style w:type="character" w:customStyle="1" w:styleId="DateChar">
    <w:name w:val="Date Char"/>
    <w:basedOn w:val="DefaultParagraphFont"/>
    <w:link w:val="Date"/>
    <w:rsid w:val="004F76FD"/>
    <w:rPr>
      <w:rFonts w:ascii="Times New Roman" w:hAnsi="Times New Roman"/>
      <w:sz w:val="24"/>
      <w:lang w:val="en-GB" w:eastAsia="en-US"/>
    </w:rPr>
  </w:style>
  <w:style w:type="paragraph" w:customStyle="1" w:styleId="Tablefin">
    <w:name w:val="Table_fin"/>
    <w:basedOn w:val="Tabletext"/>
    <w:rsid w:val="004F76FD"/>
    <w:rPr>
      <w:sz w:val="20"/>
      <w:lang w:val="en-GB"/>
    </w:rPr>
  </w:style>
  <w:style w:type="table" w:customStyle="1" w:styleId="ListTable1Light-Accent11">
    <w:name w:val="List Table 1 Light - Accent 11"/>
    <w:basedOn w:val="TableNormal"/>
    <w:next w:val="ListTable1Light-Accent1"/>
    <w:uiPriority w:val="46"/>
    <w:rsid w:val="004F76F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4F76FD"/>
    <w:rPr>
      <w:color w:val="605E5C"/>
      <w:shd w:val="clear" w:color="auto" w:fill="E1DFDD"/>
    </w:rPr>
  </w:style>
  <w:style w:type="paragraph" w:customStyle="1" w:styleId="paragraph">
    <w:name w:val="paragraph"/>
    <w:basedOn w:val="Normal"/>
    <w:rsid w:val="004F76F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4F76FD"/>
  </w:style>
  <w:style w:type="character" w:customStyle="1" w:styleId="eop">
    <w:name w:val="eop"/>
    <w:basedOn w:val="DefaultParagraphFont"/>
    <w:rsid w:val="004F76FD"/>
  </w:style>
  <w:style w:type="character" w:customStyle="1" w:styleId="scxw8478885">
    <w:name w:val="scxw8478885"/>
    <w:basedOn w:val="DefaultParagraphFont"/>
    <w:rsid w:val="004F76FD"/>
  </w:style>
  <w:style w:type="character" w:customStyle="1" w:styleId="ms-rtethemebackcolor-1-0">
    <w:name w:val="ms-rtethemebackcolor-1-0"/>
    <w:basedOn w:val="DefaultParagraphFont"/>
    <w:rsid w:val="004F76FD"/>
  </w:style>
  <w:style w:type="table" w:customStyle="1" w:styleId="GridTable5Dark-Accent11">
    <w:name w:val="Grid Table 5 Dark - Accent 11"/>
    <w:basedOn w:val="TableNormal"/>
    <w:next w:val="GridTable5Dark-Accent1"/>
    <w:uiPriority w:val="50"/>
    <w:rsid w:val="004F76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next w:val="GridTable5Dark-Accent1"/>
    <w:uiPriority w:val="50"/>
    <w:rsid w:val="004F76F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styleId="Mention">
    <w:name w:val="Mention"/>
    <w:basedOn w:val="DefaultParagraphFont"/>
    <w:uiPriority w:val="99"/>
    <w:unhideWhenUsed/>
    <w:rsid w:val="004F76FD"/>
    <w:rPr>
      <w:color w:val="2B579A"/>
      <w:shd w:val="clear" w:color="auto" w:fill="E1DFDD"/>
    </w:rPr>
  </w:style>
  <w:style w:type="paragraph" w:customStyle="1" w:styleId="Tablet">
    <w:name w:val="Table t"/>
    <w:basedOn w:val="Normal"/>
    <w:rsid w:val="00DC7ED3"/>
    <w:pPr>
      <w:keepNext/>
      <w:keepLines/>
      <w:jc w:val="center"/>
    </w:pPr>
    <w:rPr>
      <w:b/>
      <w:bCs/>
    </w:rPr>
  </w:style>
  <w:style w:type="paragraph" w:customStyle="1" w:styleId="Table">
    <w:name w:val="Table"/>
    <w:basedOn w:val="Figure"/>
    <w:rsid w:val="008D4E1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R/seminars/ntfa/Pages/default.aspx" TargetMode="External"/><Relationship Id="rId21" Type="http://schemas.openxmlformats.org/officeDocument/2006/relationships/image" Target="media/image4.emf"/><Relationship Id="rId42" Type="http://schemas.openxmlformats.org/officeDocument/2006/relationships/hyperlink" Target="http://www.itu.int/md/S26-SG-CIR-0006/en" TargetMode="External"/><Relationship Id="rId63" Type="http://schemas.openxmlformats.org/officeDocument/2006/relationships/hyperlink" Target="http://www.itu.int/go/rcpm-wrc-27-studies" TargetMode="External"/><Relationship Id="rId84" Type="http://schemas.openxmlformats.org/officeDocument/2006/relationships/hyperlink" Target="https://www.itu.int/md/S25-CL-C-0115/en" TargetMode="External"/><Relationship Id="rId138" Type="http://schemas.openxmlformats.org/officeDocument/2006/relationships/hyperlink" Target="https://www.itu.int/hub/pubs/itu-news-magazine/" TargetMode="External"/><Relationship Id="rId107" Type="http://schemas.openxmlformats.org/officeDocument/2006/relationships/hyperlink" Target="https://www.itu.int/en/publications/ITU-R/pages/publications.aspx?parent=R-REG-RR-2024&amp;media=electronic" TargetMode="External"/><Relationship Id="rId11" Type="http://schemas.openxmlformats.org/officeDocument/2006/relationships/hyperlink" Target="https://council.itu.int/2025/en/" TargetMode="External"/><Relationship Id="rId32" Type="http://schemas.openxmlformats.org/officeDocument/2006/relationships/hyperlink" Target="https://www.itu.int/en/general-secretariat/ICT-Services/remoteparticipation/Pages/default.aspx" TargetMode="External"/><Relationship Id="rId53" Type="http://schemas.openxmlformats.org/officeDocument/2006/relationships/hyperlink" Target="https://www.itu.int/md/S24-CL-C-0125/fr" TargetMode="External"/><Relationship Id="rId74" Type="http://schemas.openxmlformats.org/officeDocument/2006/relationships/hyperlink" Target="https://www.itu.int/iris-wrc-27/" TargetMode="External"/><Relationship Id="rId128" Type="http://schemas.openxmlformats.org/officeDocument/2006/relationships/hyperlink" Target="mailto:brweb@itu.int" TargetMode="External"/><Relationship Id="rId149" Type="http://schemas.openxmlformats.org/officeDocument/2006/relationships/header" Target="header6.xml"/><Relationship Id="rId5" Type="http://schemas.openxmlformats.org/officeDocument/2006/relationships/webSettings" Target="webSettings.xml"/><Relationship Id="rId95" Type="http://schemas.openxmlformats.org/officeDocument/2006/relationships/hyperlink" Target="https://www.itu.int/space-argus/" TargetMode="External"/><Relationship Id="rId22" Type="http://schemas.openxmlformats.org/officeDocument/2006/relationships/hyperlink" Target="https://www.itu.int/md/S26-CWGFHR22-C-0021/fr" TargetMode="External"/><Relationship Id="rId27" Type="http://schemas.openxmlformats.org/officeDocument/2006/relationships/hyperlink" Target="https://www.itu.int/md/S26-RCLCWGLANG17-C-0009/fr" TargetMode="External"/><Relationship Id="rId43" Type="http://schemas.openxmlformats.org/officeDocument/2006/relationships/hyperlink" Target="https://www.itu.int/md/S26-CWGFHR22-C-0013/fr" TargetMode="External"/><Relationship Id="rId48" Type="http://schemas.openxmlformats.org/officeDocument/2006/relationships/hyperlink" Target="https://www.itu.int/md/S24-CL-C-0134/fr" TargetMode="External"/><Relationship Id="rId64" Type="http://schemas.openxmlformats.org/officeDocument/2006/relationships/hyperlink" Target="http://www.itu.int/en/ITU-R/study-groups/rcpm/Pages/wrc-31-preliminary-studies.aspx" TargetMode="External"/><Relationship Id="rId69" Type="http://schemas.openxmlformats.org/officeDocument/2006/relationships/hyperlink" Target="http://www.itu.int/en/ITU-R/conferences/wrc/2027/Pages/reg-prep.aspx" TargetMode="External"/><Relationship Id="rId113" Type="http://schemas.openxmlformats.org/officeDocument/2006/relationships/header" Target="header3.xml"/><Relationship Id="rId118" Type="http://schemas.openxmlformats.org/officeDocument/2006/relationships/hyperlink" Target="https://www.itu.int/dms_pub/itu-r/oth/0a/0e/R0A0E0000EC0001PDFE.pdf" TargetMode="External"/><Relationship Id="rId134" Type="http://schemas.openxmlformats.org/officeDocument/2006/relationships/hyperlink" Target="https://www.itu.int/en/mediacentre/backgrounders/Pages/default.aspx" TargetMode="External"/><Relationship Id="rId139" Type="http://schemas.openxmlformats.org/officeDocument/2006/relationships/image" Target="media/image8.png"/><Relationship Id="rId80" Type="http://schemas.openxmlformats.org/officeDocument/2006/relationships/hyperlink" Target="https://www.itu.int/en/ITU-R/study-groups/rcpm/Pages/cpm-27.aspx" TargetMode="External"/><Relationship Id="rId85" Type="http://schemas.openxmlformats.org/officeDocument/2006/relationships/hyperlink" Target="https://www.itu.int/md/R23-RAG-C-0062/fr" TargetMode="External"/><Relationship Id="rId150" Type="http://schemas.openxmlformats.org/officeDocument/2006/relationships/footer" Target="footer2.xml"/><Relationship Id="rId12" Type="http://schemas.openxmlformats.org/officeDocument/2006/relationships/hyperlink" Target="https://council.itu.int/2025/en/" TargetMode="External"/><Relationship Id="rId17" Type="http://schemas.openxmlformats.org/officeDocument/2006/relationships/hyperlink" Target="https://www.itu.int/md/S23-CL-C-0115/fr" TargetMode="External"/><Relationship Id="rId33" Type="http://schemas.openxmlformats.org/officeDocument/2006/relationships/hyperlink" Target="https://www.itu.int/md/S24-CL-C-0139/fr" TargetMode="External"/><Relationship Id="rId38" Type="http://schemas.openxmlformats.org/officeDocument/2006/relationships/hyperlink" Target="https://www.itu.int/md/S26-CWGSFP4-C-0006/en" TargetMode="External"/><Relationship Id="rId59" Type="http://schemas.openxmlformats.org/officeDocument/2006/relationships/hyperlink" Target="https://www.itu.int/wrc-27/" TargetMode="External"/><Relationship Id="rId103" Type="http://schemas.openxmlformats.org/officeDocument/2006/relationships/hyperlink" Target="https://www.itu.int/ITU-R/BR-GeoCatalogue/?.language=en" TargetMode="External"/><Relationship Id="rId108" Type="http://schemas.openxmlformats.org/officeDocument/2006/relationships/header" Target="header1.xml"/><Relationship Id="rId124" Type="http://schemas.openxmlformats.org/officeDocument/2006/relationships/hyperlink" Target="https://www.itu.int/pub/R-RES-R.9" TargetMode="External"/><Relationship Id="rId129" Type="http://schemas.openxmlformats.org/officeDocument/2006/relationships/hyperlink" Target="https://www.itu.int/hub/?s=Maniewicz&amp;by_time=last_year" TargetMode="External"/><Relationship Id="rId54" Type="http://schemas.openxmlformats.org/officeDocument/2006/relationships/hyperlink" Target="https://www.itu.int/md/S24-SG-CIR-0038/fr" TargetMode="External"/><Relationship Id="rId70" Type="http://schemas.openxmlformats.org/officeDocument/2006/relationships/hyperlink" Target="http://www.itu.int/en/ITU-R/conferences/wrc/2027/Pages/reg-prep.aspx" TargetMode="External"/><Relationship Id="rId75" Type="http://schemas.openxmlformats.org/officeDocument/2006/relationships/hyperlink" Target="https://www.itu.int/iris-wrc-27/2025/" TargetMode="External"/><Relationship Id="rId91" Type="http://schemas.openxmlformats.org/officeDocument/2006/relationships/hyperlink" Target="https://www.itu.int/ITU-R/terrasys/docs" TargetMode="External"/><Relationship Id="rId96" Type="http://schemas.openxmlformats.org/officeDocument/2006/relationships/hyperlink" Target="https://www.itu.int/md/R23-WP4A-C-0343/fr" TargetMode="External"/><Relationship Id="rId140" Type="http://schemas.openxmlformats.org/officeDocument/2006/relationships/hyperlink" Target="https://www.itu.int/pub/R-RES-R.72/fr" TargetMode="External"/><Relationship Id="rId145" Type="http://schemas.openxmlformats.org/officeDocument/2006/relationships/hyperlink" Target="https://www.itu.int/now4wrc27/mentoring-programm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S26-CWGFHR22-C-0021/en" TargetMode="External"/><Relationship Id="rId28" Type="http://schemas.openxmlformats.org/officeDocument/2006/relationships/hyperlink" Target="https://www.itu.int/md/S25-CL-C-0012/en" TargetMode="External"/><Relationship Id="rId49" Type="http://schemas.openxmlformats.org/officeDocument/2006/relationships/hyperlink" Target="https://www.itu.int/md/S24-CL-C-0134/en" TargetMode="External"/><Relationship Id="rId114" Type="http://schemas.openxmlformats.org/officeDocument/2006/relationships/header" Target="header4.xml"/><Relationship Id="rId119" Type="http://schemas.openxmlformats.org/officeDocument/2006/relationships/hyperlink" Target="https://www.itu.int/dms_pub/itu-r/oth/0a/0e/R0A0E0000EC0001PDFE.pdf" TargetMode="External"/><Relationship Id="rId44" Type="http://schemas.openxmlformats.org/officeDocument/2006/relationships/hyperlink" Target="https://www.itu.int/md/S26-CWGFHR22-C-0013/en" TargetMode="External"/><Relationship Id="rId60" Type="http://schemas.openxmlformats.org/officeDocument/2006/relationships/hyperlink" Target="http://www.itu.int/wrc-27/" TargetMode="External"/><Relationship Id="rId65" Type="http://schemas.openxmlformats.org/officeDocument/2006/relationships/hyperlink" Target="https://www.itu.int/md/R23-WP4A-C-0840/fr" TargetMode="External"/><Relationship Id="rId81" Type="http://schemas.openxmlformats.org/officeDocument/2006/relationships/hyperlink" Target="https://www.itu.int/md/S25-CL-C-0028/fr" TargetMode="External"/><Relationship Id="rId86" Type="http://schemas.openxmlformats.org/officeDocument/2006/relationships/hyperlink" Target="https://www.itu.int/md/R23-RAG-C-0062/en" TargetMode="External"/><Relationship Id="rId130" Type="http://schemas.openxmlformats.org/officeDocument/2006/relationships/hyperlink" Target="https://www.itu.int/hub/?s=Maniewicz&amp;by_time=last_year" TargetMode="External"/><Relationship Id="rId135" Type="http://schemas.openxmlformats.org/officeDocument/2006/relationships/hyperlink" Target="https://www.itu.int/fr/ITU-R/Director/Pages/default.aspx" TargetMode="External"/><Relationship Id="rId151" Type="http://schemas.openxmlformats.org/officeDocument/2006/relationships/footer" Target="footer3.xml"/><Relationship Id="rId13" Type="http://schemas.openxmlformats.org/officeDocument/2006/relationships/hyperlink" Target="https://www.itu.int/md/S25-CL-C-0016/fr" TargetMode="External"/><Relationship Id="rId18" Type="http://schemas.openxmlformats.org/officeDocument/2006/relationships/hyperlink" Target="https://www.itu.int/md/S23-CL-C-0115/en" TargetMode="External"/><Relationship Id="rId39" Type="http://schemas.openxmlformats.org/officeDocument/2006/relationships/hyperlink" Target="https://www.itu.int/md/R23-RAG-C-0055/fr" TargetMode="External"/><Relationship Id="rId109" Type="http://schemas.openxmlformats.org/officeDocument/2006/relationships/hyperlink" Target="https://atuuat.africa/" TargetMode="External"/><Relationship Id="rId34" Type="http://schemas.openxmlformats.org/officeDocument/2006/relationships/hyperlink" Target="https://www.itu.int/md/S24-CL-C-0139/en" TargetMode="External"/><Relationship Id="rId50" Type="http://schemas.openxmlformats.org/officeDocument/2006/relationships/hyperlink" Target="https://www.itu.int/md/S24-CL-C-0109/fr" TargetMode="External"/><Relationship Id="rId55" Type="http://schemas.openxmlformats.org/officeDocument/2006/relationships/hyperlink" Target="https://www.itu.int/md/S24-SG-CIR-0049/fr" TargetMode="External"/><Relationship Id="rId76" Type="http://schemas.openxmlformats.org/officeDocument/2006/relationships/hyperlink" Target="https://www.itu.int/iris-wrc-27/2025/" TargetMode="External"/><Relationship Id="rId97" Type="http://schemas.openxmlformats.org/officeDocument/2006/relationships/hyperlink" Target="https://www.itu.int/md/R23-WP4A-C-0830/fr" TargetMode="External"/><Relationship Id="rId104" Type="http://schemas.openxmlformats.org/officeDocument/2006/relationships/hyperlink" Target="https://www.itu.int/pub/R-REG-RR-2020/fr" TargetMode="External"/><Relationship Id="rId120" Type="http://schemas.openxmlformats.org/officeDocument/2006/relationships/hyperlink" Target="https://www.itu.int/pub/R-RES-R.75/fr" TargetMode="External"/><Relationship Id="rId125" Type="http://schemas.openxmlformats.org/officeDocument/2006/relationships/hyperlink" Target="https://www.itu.int/en/ITU-R/study-groups/Pages/itu-r-patent-information.aspx" TargetMode="External"/><Relationship Id="rId141" Type="http://schemas.openxmlformats.org/officeDocument/2006/relationships/hyperlink" Target="https://www.itu.int/pub/R-RES-R.72" TargetMode="External"/><Relationship Id="rId146" Type="http://schemas.openxmlformats.org/officeDocument/2006/relationships/hyperlink" Target="https://www.itu.int/now4wrc27/mentoring-programme/" TargetMode="External"/><Relationship Id="rId7" Type="http://schemas.openxmlformats.org/officeDocument/2006/relationships/endnotes" Target="endnotes.xml"/><Relationship Id="rId71" Type="http://schemas.openxmlformats.org/officeDocument/2006/relationships/hyperlink" Target="https://www.itu.int/iris-wrc-27/2025/" TargetMode="External"/><Relationship Id="rId92" Type="http://schemas.openxmlformats.org/officeDocument/2006/relationships/hyperlink" Target="https://www.itu.int/md/R00-CR-CIR-0516/en" TargetMode="External"/><Relationship Id="rId2" Type="http://schemas.openxmlformats.org/officeDocument/2006/relationships/numbering" Target="numbering.xml"/><Relationship Id="rId29" Type="http://schemas.openxmlformats.org/officeDocument/2006/relationships/hyperlink" Target="https://www.itu.int/md/S25-CL-INF-0007/en" TargetMode="External"/><Relationship Id="rId24" Type="http://schemas.openxmlformats.org/officeDocument/2006/relationships/image" Target="media/image5.png"/><Relationship Id="rId40" Type="http://schemas.openxmlformats.org/officeDocument/2006/relationships/hyperlink" Target="https://www.itu.int/md/R23-RAG-C-0055/en" TargetMode="External"/><Relationship Id="rId45" Type="http://schemas.openxmlformats.org/officeDocument/2006/relationships/hyperlink" Target="https://www.itu.int/md/S24-CL-C-0063/fr" TargetMode="External"/><Relationship Id="rId66" Type="http://schemas.openxmlformats.org/officeDocument/2006/relationships/hyperlink" Target="https://www.itu.int/net4/proposals/CPI/WRC27" TargetMode="External"/><Relationship Id="rId87" Type="http://schemas.openxmlformats.org/officeDocument/2006/relationships/hyperlink" Target="https://www.itu.int/ITU-R/terrasys" TargetMode="External"/><Relationship Id="rId110" Type="http://schemas.openxmlformats.org/officeDocument/2006/relationships/hyperlink" Target="https://ctu.int/" TargetMode="External"/><Relationship Id="rId115" Type="http://schemas.openxmlformats.org/officeDocument/2006/relationships/footer" Target="footer1.xml"/><Relationship Id="rId131" Type="http://schemas.openxmlformats.org/officeDocument/2006/relationships/hyperlink" Target="https://www.itu.int/fr/ITU-D/Pages/default.aspx" TargetMode="External"/><Relationship Id="rId136" Type="http://schemas.openxmlformats.org/officeDocument/2006/relationships/hyperlink" Target="https://www.itu.int/en/ITU-R/Director/Pages/default.aspx" TargetMode="External"/><Relationship Id="rId61" Type="http://schemas.openxmlformats.org/officeDocument/2006/relationships/hyperlink" Target="http://www.itu.int/go/rcpm-wrc-27-studies" TargetMode="External"/><Relationship Id="rId82" Type="http://schemas.openxmlformats.org/officeDocument/2006/relationships/hyperlink" Target="https://www.itu.int/md/S25-CL-C-0115/fr" TargetMode="External"/><Relationship Id="rId152" Type="http://schemas.openxmlformats.org/officeDocument/2006/relationships/footer" Target="footer4.xml"/><Relationship Id="rId19" Type="http://schemas.openxmlformats.org/officeDocument/2006/relationships/image" Target="media/image2.emf"/><Relationship Id="rId14" Type="http://schemas.openxmlformats.org/officeDocument/2006/relationships/hyperlink" Target="https://www.itu.int/md/S25-CL-C-0016/en" TargetMode="External"/><Relationship Id="rId30" Type="http://schemas.openxmlformats.org/officeDocument/2006/relationships/hyperlink" Target="https://www.itu.int/md/S26-RCLCWGLANG17-C-0009/en" TargetMode="External"/><Relationship Id="rId35" Type="http://schemas.openxmlformats.org/officeDocument/2006/relationships/hyperlink" Target="https://www.itu.int/md/R23-RAG-C-0051/fr" TargetMode="External"/><Relationship Id="rId56" Type="http://schemas.openxmlformats.org/officeDocument/2006/relationships/hyperlink" Target="https://www.itu.int/md/S24-CL-C-0125/en" TargetMode="External"/><Relationship Id="rId77" Type="http://schemas.openxmlformats.org/officeDocument/2006/relationships/hyperlink" Target="http://www.itu.int/iris-wrc-27/2025/" TargetMode="External"/><Relationship Id="rId100" Type="http://schemas.openxmlformats.org/officeDocument/2006/relationships/hyperlink" Target="https://www.itu.int/md/R00-CR-CIR-0511/fr" TargetMode="External"/><Relationship Id="rId105" Type="http://schemas.openxmlformats.org/officeDocument/2006/relationships/hyperlink" Target="https://www.itu.int/fr/publications/ITU-R/Pages/publications.aspx?parent=R-REG-RR-2024&amp;media=electronic" TargetMode="External"/><Relationship Id="rId126" Type="http://schemas.openxmlformats.org/officeDocument/2006/relationships/image" Target="media/image7.png"/><Relationship Id="rId147" Type="http://schemas.openxmlformats.org/officeDocument/2006/relationships/hyperlink" Target="https://www.itu.int/now4wrc27/mentoring-programme" TargetMode="External"/><Relationship Id="rId8" Type="http://schemas.openxmlformats.org/officeDocument/2006/relationships/image" Target="media/image1.jpeg"/><Relationship Id="rId51" Type="http://schemas.openxmlformats.org/officeDocument/2006/relationships/hyperlink" Target="https://www.itu.int/md/S24-CL-C-0109/en" TargetMode="External"/><Relationship Id="rId72" Type="http://schemas.openxmlformats.org/officeDocument/2006/relationships/hyperlink" Target="https://www.itu.int/iris-wrc-27/2025/" TargetMode="External"/><Relationship Id="rId93" Type="http://schemas.openxmlformats.org/officeDocument/2006/relationships/hyperlink" Target="https://www.itu.int/md/R00-CR-CIR-0526/fr" TargetMode="External"/><Relationship Id="rId98" Type="http://schemas.openxmlformats.org/officeDocument/2006/relationships/hyperlink" Target="https://www.itu.int/md/R23-WP4A-C-0343/en" TargetMode="External"/><Relationship Id="rId121" Type="http://schemas.openxmlformats.org/officeDocument/2006/relationships/hyperlink" Target="https://www.itu.int/pub/R-RES-R.75" TargetMode="External"/><Relationship Id="rId142" Type="http://schemas.openxmlformats.org/officeDocument/2006/relationships/hyperlink" Target="https://www.itu.int/now4wrc27/" TargetMode="External"/><Relationship Id="rId3" Type="http://schemas.openxmlformats.org/officeDocument/2006/relationships/styles" Target="styles.xml"/><Relationship Id="rId25" Type="http://schemas.openxmlformats.org/officeDocument/2006/relationships/hyperlink" Target="https://www.itu.int/md/S25-CL-C-0012/fr" TargetMode="External"/><Relationship Id="rId46" Type="http://schemas.openxmlformats.org/officeDocument/2006/relationships/hyperlink" Target="https://www.itu.int/md/S24-CL-C-0063/en" TargetMode="External"/><Relationship Id="rId67" Type="http://schemas.openxmlformats.org/officeDocument/2006/relationships/hyperlink" Target="https://www.itu.int/md/R23-WP4A-C-0840/en" TargetMode="External"/><Relationship Id="rId116" Type="http://schemas.openxmlformats.org/officeDocument/2006/relationships/hyperlink" Target="https://www.itu.int/en/ITU-R/seminars/ntfa/Pages/default.aspx" TargetMode="External"/><Relationship Id="rId137" Type="http://schemas.openxmlformats.org/officeDocument/2006/relationships/hyperlink" Target="https://www.itu.int/hub/pubs/itu-news-magazine/" TargetMode="External"/><Relationship Id="rId20" Type="http://schemas.openxmlformats.org/officeDocument/2006/relationships/image" Target="media/image3.png"/><Relationship Id="rId41" Type="http://schemas.openxmlformats.org/officeDocument/2006/relationships/hyperlink" Target="https://www.itu.int/md/S26-SG-CIR-0006/fr" TargetMode="External"/><Relationship Id="rId62" Type="http://schemas.openxmlformats.org/officeDocument/2006/relationships/hyperlink" Target="https://www.itu.int/en/ITU-R/study-groups/rcpm/Pages/wrc-31-preliminary-studies.aspx" TargetMode="External"/><Relationship Id="rId83" Type="http://schemas.openxmlformats.org/officeDocument/2006/relationships/hyperlink" Target="https://www.itu.int/md/S25-CL-C-0028/en" TargetMode="External"/><Relationship Id="rId88" Type="http://schemas.openxmlformats.org/officeDocument/2006/relationships/hyperlink" Target="https://www.itu.int/ITU-R/terrasys" TargetMode="External"/><Relationship Id="rId111" Type="http://schemas.openxmlformats.org/officeDocument/2006/relationships/hyperlink" Target="https://www.apt.int/" TargetMode="External"/><Relationship Id="rId132" Type="http://schemas.openxmlformats.org/officeDocument/2006/relationships/hyperlink" Target="https://www.itu.int/en/ITU-R/Pages/default.aspx" TargetMode="External"/><Relationship Id="rId153" Type="http://schemas.openxmlformats.org/officeDocument/2006/relationships/fontTable" Target="fontTable.xml"/><Relationship Id="rId15" Type="http://schemas.openxmlformats.org/officeDocument/2006/relationships/hyperlink" Target="https://www.itu.int/md/S26-CWGFHR22-C-0036/fr" TargetMode="External"/><Relationship Id="rId36" Type="http://schemas.openxmlformats.org/officeDocument/2006/relationships/hyperlink" Target="https://www.itu.int/md/R23-RAG-C-0051/en" TargetMode="External"/><Relationship Id="rId57" Type="http://schemas.openxmlformats.org/officeDocument/2006/relationships/hyperlink" Target="https://www.itu.int/md/S24-SG-CIR-0038/en" TargetMode="External"/><Relationship Id="rId106" Type="http://schemas.openxmlformats.org/officeDocument/2006/relationships/hyperlink" Target="https://www.itu.int/pub/R-REG-RR-2020" TargetMode="External"/><Relationship Id="rId127" Type="http://schemas.openxmlformats.org/officeDocument/2006/relationships/hyperlink" Target="mailto:brweb@itu.int" TargetMode="External"/><Relationship Id="rId10" Type="http://schemas.openxmlformats.org/officeDocument/2006/relationships/hyperlink" Target="https://www.itu.int/md/R00-CA-CIR-0280/en" TargetMode="External"/><Relationship Id="rId31" Type="http://schemas.openxmlformats.org/officeDocument/2006/relationships/hyperlink" Target="https://www.itu.int/en/general-secretariat/ICT-Services/remoteparticipation/Pages/default.aspx" TargetMode="External"/><Relationship Id="rId52" Type="http://schemas.openxmlformats.org/officeDocument/2006/relationships/hyperlink" Target="https://www.itu.int/md/S25-CL-C-0118/fr" TargetMode="External"/><Relationship Id="rId73" Type="http://schemas.openxmlformats.org/officeDocument/2006/relationships/hyperlink" Target="https://www.itu.int/iris-wrc-27/2025/" TargetMode="External"/><Relationship Id="rId78" Type="http://schemas.openxmlformats.org/officeDocument/2006/relationships/hyperlink" Target="http://www.itu.int/iris-wrc-27/" TargetMode="External"/><Relationship Id="rId94" Type="http://schemas.openxmlformats.org/officeDocument/2006/relationships/hyperlink" Target="https://www.itu.int/md/R00-CR-CIR-0526" TargetMode="External"/><Relationship Id="rId99" Type="http://schemas.openxmlformats.org/officeDocument/2006/relationships/hyperlink" Target="https://www.itu.int/md/R23-WP4A-C-0830/en" TargetMode="External"/><Relationship Id="rId101" Type="http://schemas.openxmlformats.org/officeDocument/2006/relationships/hyperlink" Target="https://www.itu.int/md/R00-CR-CIR-0511/en" TargetMode="External"/><Relationship Id="rId122" Type="http://schemas.openxmlformats.org/officeDocument/2006/relationships/hyperlink" Target="https://www.itu.int/pub/R-RES-R.9/fr" TargetMode="External"/><Relationship Id="rId143" Type="http://schemas.openxmlformats.org/officeDocument/2006/relationships/hyperlink" Target="https://www.itu.int/now4wrc27" TargetMode="External"/><Relationship Id="rId148"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itu.int/md/R00-CA-CIR-0280/fr" TargetMode="External"/><Relationship Id="rId26" Type="http://schemas.openxmlformats.org/officeDocument/2006/relationships/hyperlink" Target="https://www.itu.int/md/S25-CL-INF-0007/fr" TargetMode="External"/><Relationship Id="rId47" Type="http://schemas.openxmlformats.org/officeDocument/2006/relationships/image" Target="media/image6.emf"/><Relationship Id="rId68" Type="http://schemas.openxmlformats.org/officeDocument/2006/relationships/hyperlink" Target="https://www.itu.int/net4/proposals/CPI/WRC27" TargetMode="External"/><Relationship Id="rId89" Type="http://schemas.openxmlformats.org/officeDocument/2006/relationships/hyperlink" Target="https://www.itu.int/ITU-R/terrasys/docs/" TargetMode="External"/><Relationship Id="rId112" Type="http://schemas.openxmlformats.org/officeDocument/2006/relationships/header" Target="header2.xml"/><Relationship Id="rId133" Type="http://schemas.openxmlformats.org/officeDocument/2006/relationships/hyperlink" Target="https://www.itu.int/en/mediacentre/backgrounders/Pages/default.aspx" TargetMode="External"/><Relationship Id="rId154" Type="http://schemas.openxmlformats.org/officeDocument/2006/relationships/theme" Target="theme/theme1.xml"/><Relationship Id="rId16" Type="http://schemas.openxmlformats.org/officeDocument/2006/relationships/hyperlink" Target="https://www.itu.int/md/S26-CWGFHR22-C-0036/en" TargetMode="External"/><Relationship Id="rId37" Type="http://schemas.openxmlformats.org/officeDocument/2006/relationships/hyperlink" Target="https://www.itu.int/md/S26-CWGSFP4-C-0006/fr" TargetMode="External"/><Relationship Id="rId58" Type="http://schemas.openxmlformats.org/officeDocument/2006/relationships/hyperlink" Target="https://www.itu.int/md/S24-SG-CIR-0049/en" TargetMode="External"/><Relationship Id="rId79" Type="http://schemas.openxmlformats.org/officeDocument/2006/relationships/hyperlink" Target="https://www.itu.int/en/ITU-R/study-groups/rcpm/Pages/cpm-27.aspx" TargetMode="External"/><Relationship Id="rId102" Type="http://schemas.openxmlformats.org/officeDocument/2006/relationships/hyperlink" Target="https://www.itu.int/ITU-R/BR-GeoCatalogue/?.language=fr" TargetMode="External"/><Relationship Id="rId123" Type="http://schemas.openxmlformats.org/officeDocument/2006/relationships/hyperlink" Target="https://www.itu.int/en/ITU-R/study-groups/Pages/itu-r-patent-information.aspx" TargetMode="External"/><Relationship Id="rId144" Type="http://schemas.openxmlformats.org/officeDocument/2006/relationships/hyperlink" Target="https://www.itu.int/now4wrc27/mentoring-programme/" TargetMode="External"/><Relationship Id="rId90" Type="http://schemas.openxmlformats.org/officeDocument/2006/relationships/hyperlink" Target="https://www.itu.int/md/R00-CR-CIR-0516/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nitiatives/gender-equality/gender-dashboard/" TargetMode="External"/><Relationship Id="rId1" Type="http://schemas.openxmlformats.org/officeDocument/2006/relationships/hyperlink" Target="https://www.itu.int/initiatives/gender-equality/gender-dash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45D1-83DB-46A6-9CE4-662FD306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PF_RAG.dotm</Template>
  <TotalTime>521</TotalTime>
  <Pages>38</Pages>
  <Words>15111</Words>
  <Characters>81950</Characters>
  <Application>Microsoft Office Word</Application>
  <DocSecurity>0</DocSecurity>
  <Lines>1886</Lines>
  <Paragraphs>974</Paragraphs>
  <ScaleCrop>false</ScaleCrop>
  <HeadingPairs>
    <vt:vector size="2" baseType="variant">
      <vt:variant>
        <vt:lpstr>Title</vt:lpstr>
      </vt:variant>
      <vt:variant>
        <vt:i4>1</vt:i4>
      </vt:variant>
    </vt:vector>
  </HeadingPairs>
  <TitlesOfParts>
    <vt:vector size="1" baseType="lpstr">
      <vt:lpstr>RAPPORT À LA TRENTE-TROISIÈME RÉUNION DU GROUPE CONSULTATIF DES RADIOCOMMUNICATIONS</vt:lpstr>
    </vt:vector>
  </TitlesOfParts>
  <Manager>General Secretariat - Pool</Manager>
  <Company>International Telecommunication Union (ITU)</Company>
  <LinksUpToDate>false</LinksUpToDate>
  <CharactersWithSpaces>96232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GROUPE CONSULTATIF DES RADIOCOMMUNICATIONS</dc:subject>
  <dc:creator/>
  <cp:keywords>RAG03-1</cp:keywords>
  <dc:description>2600373F.docx  For: _x000d_Document date: _x000d_Saved by ITU51014351 at 15:26:19 on 03/03/2026</dc:description>
  <cp:lastModifiedBy>French</cp:lastModifiedBy>
  <cp:revision>22</cp:revision>
  <cp:lastPrinted>1999-10-11T14:58:00Z</cp:lastPrinted>
  <dcterms:created xsi:type="dcterms:W3CDTF">2026-03-02T13:32:00Z</dcterms:created>
  <dcterms:modified xsi:type="dcterms:W3CDTF">2026-03-03T14:26:00Z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2600373F.docx</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