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3CA1859F" w14:textId="77777777" w:rsidTr="00553F66">
        <w:trPr>
          <w:cantSplit/>
          <w:trHeight w:val="20"/>
        </w:trPr>
        <w:tc>
          <w:tcPr>
            <w:tcW w:w="6619" w:type="dxa"/>
          </w:tcPr>
          <w:p w14:paraId="4A41B144"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553A6780"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097BE0C9" wp14:editId="706B39D6">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70E1E5C6" w14:textId="77777777" w:rsidTr="00553F66">
        <w:trPr>
          <w:cantSplit/>
          <w:trHeight w:val="20"/>
        </w:trPr>
        <w:tc>
          <w:tcPr>
            <w:tcW w:w="6619" w:type="dxa"/>
            <w:tcBorders>
              <w:bottom w:val="single" w:sz="12" w:space="0" w:color="auto"/>
            </w:tcBorders>
          </w:tcPr>
          <w:p w14:paraId="1B9002B9"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7EC54480" w14:textId="77777777" w:rsidR="00280E04" w:rsidRPr="00A9645C" w:rsidRDefault="00280E04" w:rsidP="002F3031">
            <w:pPr>
              <w:spacing w:before="0" w:line="120" w:lineRule="auto"/>
              <w:rPr>
                <w:lang w:bidi="ar-EG"/>
              </w:rPr>
            </w:pPr>
          </w:p>
        </w:tc>
      </w:tr>
      <w:tr w:rsidR="00280E04" w14:paraId="554B014D" w14:textId="77777777" w:rsidTr="00553F66">
        <w:trPr>
          <w:cantSplit/>
          <w:trHeight w:val="20"/>
        </w:trPr>
        <w:tc>
          <w:tcPr>
            <w:tcW w:w="6619" w:type="dxa"/>
            <w:tcBorders>
              <w:top w:val="single" w:sz="12" w:space="0" w:color="auto"/>
            </w:tcBorders>
          </w:tcPr>
          <w:p w14:paraId="2538BFC3"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0D2165CC" w14:textId="77777777" w:rsidR="00280E04" w:rsidRPr="00BD6EF3" w:rsidRDefault="00280E04" w:rsidP="00D44350">
            <w:pPr>
              <w:pStyle w:val="Adress"/>
              <w:framePr w:hSpace="0" w:wrap="auto" w:xAlign="left" w:yAlign="inline"/>
            </w:pPr>
          </w:p>
        </w:tc>
      </w:tr>
      <w:tr w:rsidR="0030601A" w14:paraId="2E8C0987" w14:textId="77777777" w:rsidTr="00553F66">
        <w:trPr>
          <w:cantSplit/>
        </w:trPr>
        <w:tc>
          <w:tcPr>
            <w:tcW w:w="6619" w:type="dxa"/>
            <w:vMerge w:val="restart"/>
          </w:tcPr>
          <w:p w14:paraId="397DB7AC"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6FC0D04" w14:textId="1804E842"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FC64A8">
              <w:t>58</w:t>
            </w:r>
            <w:r w:rsidRPr="0012545F">
              <w:t>-A</w:t>
            </w:r>
          </w:p>
        </w:tc>
      </w:tr>
      <w:tr w:rsidR="0030601A" w14:paraId="4D0452FB" w14:textId="77777777" w:rsidTr="00553F66">
        <w:trPr>
          <w:cantSplit/>
        </w:trPr>
        <w:tc>
          <w:tcPr>
            <w:tcW w:w="6619" w:type="dxa"/>
            <w:vMerge/>
          </w:tcPr>
          <w:p w14:paraId="4D5646E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01EBC57F" w14:textId="34BE7374" w:rsidR="0030601A" w:rsidRPr="0012545F" w:rsidRDefault="00FC64A8" w:rsidP="0030601A">
            <w:pPr>
              <w:pStyle w:val="Adress"/>
              <w:framePr w:hSpace="0" w:wrap="auto" w:xAlign="left" w:yAlign="inline"/>
              <w:spacing w:before="20" w:after="20"/>
              <w:rPr>
                <w:rtl/>
              </w:rPr>
            </w:pPr>
            <w:r>
              <w:t>19</w:t>
            </w:r>
            <w:r w:rsidR="0030601A" w:rsidRPr="0012545F">
              <w:rPr>
                <w:rFonts w:hint="cs"/>
                <w:rtl/>
              </w:rPr>
              <w:t xml:space="preserve"> </w:t>
            </w:r>
            <w:r>
              <w:rPr>
                <w:rFonts w:hint="cs"/>
                <w:rtl/>
              </w:rPr>
              <w:t>فبراير</w:t>
            </w:r>
            <w:r w:rsidR="0030601A" w:rsidRPr="0012545F">
              <w:rPr>
                <w:rFonts w:hint="cs"/>
                <w:rtl/>
              </w:rPr>
              <w:t xml:space="preserve"> </w:t>
            </w:r>
            <w:r>
              <w:t>2026</w:t>
            </w:r>
          </w:p>
        </w:tc>
      </w:tr>
      <w:tr w:rsidR="0030601A" w14:paraId="504D7C33" w14:textId="77777777" w:rsidTr="00553F66">
        <w:trPr>
          <w:cantSplit/>
        </w:trPr>
        <w:tc>
          <w:tcPr>
            <w:tcW w:w="6619" w:type="dxa"/>
            <w:vMerge/>
          </w:tcPr>
          <w:p w14:paraId="39F049B8"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5248DCDA"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40C893A6" w14:textId="77777777" w:rsidTr="00553F66">
        <w:trPr>
          <w:cantSplit/>
        </w:trPr>
        <w:tc>
          <w:tcPr>
            <w:tcW w:w="9672" w:type="dxa"/>
            <w:gridSpan w:val="2"/>
          </w:tcPr>
          <w:p w14:paraId="47A284AC" w14:textId="032FB29E" w:rsidR="00764079" w:rsidRPr="00B43AC8" w:rsidRDefault="00B43AC8" w:rsidP="00B43AC8">
            <w:pPr>
              <w:pStyle w:val="Source"/>
              <w:rPr>
                <w:rtl/>
              </w:rPr>
            </w:pPr>
            <w:r w:rsidRPr="00B43AC8">
              <w:rPr>
                <w:rtl/>
              </w:rPr>
              <w:t>مدير مكتب الاتصالات الراديوية</w:t>
            </w:r>
          </w:p>
        </w:tc>
      </w:tr>
      <w:tr w:rsidR="00764079" w14:paraId="31459007" w14:textId="77777777" w:rsidTr="00553F66">
        <w:trPr>
          <w:cantSplit/>
        </w:trPr>
        <w:tc>
          <w:tcPr>
            <w:tcW w:w="9672" w:type="dxa"/>
            <w:gridSpan w:val="2"/>
          </w:tcPr>
          <w:p w14:paraId="69D526FC" w14:textId="75F3D8F5" w:rsidR="00764079" w:rsidRPr="00B43AC8" w:rsidRDefault="00B43AC8" w:rsidP="00B43AC8">
            <w:pPr>
              <w:pStyle w:val="Title1"/>
              <w:rPr>
                <w:rtl/>
              </w:rPr>
            </w:pPr>
            <w:r w:rsidRPr="00B43AC8">
              <w:rPr>
                <w:rtl/>
              </w:rPr>
              <w:t>تقرير إلى الاجتماع الثالث والثلاثين للفريق الاستشاري للاتصالات الراديوية</w:t>
            </w:r>
          </w:p>
        </w:tc>
      </w:tr>
      <w:tr w:rsidR="0012545F" w14:paraId="77FB3923" w14:textId="77777777" w:rsidTr="00553F66">
        <w:trPr>
          <w:cantSplit/>
        </w:trPr>
        <w:tc>
          <w:tcPr>
            <w:tcW w:w="9672" w:type="dxa"/>
            <w:gridSpan w:val="2"/>
          </w:tcPr>
          <w:p w14:paraId="54B32765" w14:textId="77777777" w:rsidR="0012545F" w:rsidRDefault="0012545F" w:rsidP="0012545F">
            <w:pPr>
              <w:rPr>
                <w:rtl/>
              </w:rPr>
            </w:pPr>
          </w:p>
        </w:tc>
      </w:tr>
    </w:tbl>
    <w:p w14:paraId="611FC0DA" w14:textId="77777777" w:rsidR="0012545F" w:rsidRDefault="0012545F" w:rsidP="00754431">
      <w:r>
        <w:rPr>
          <w:rtl/>
        </w:rPr>
        <w:br w:type="page"/>
      </w:r>
    </w:p>
    <w:p w14:paraId="1A364A35" w14:textId="146BDA77" w:rsidR="0012545F" w:rsidRPr="00086C68" w:rsidRDefault="00AD0C7A" w:rsidP="00AD0C7A">
      <w:pPr>
        <w:jc w:val="center"/>
        <w:rPr>
          <w:b/>
          <w:bCs/>
          <w:sz w:val="24"/>
          <w:szCs w:val="24"/>
          <w:rtl/>
          <w:lang w:bidi="ar-EG"/>
        </w:rPr>
      </w:pPr>
      <w:r w:rsidRPr="00086C68">
        <w:rPr>
          <w:rFonts w:hint="cs"/>
          <w:b/>
          <w:bCs/>
          <w:sz w:val="24"/>
          <w:szCs w:val="24"/>
          <w:rtl/>
          <w:lang w:bidi="ar-EG"/>
        </w:rPr>
        <w:lastRenderedPageBreak/>
        <w:t>جدول المحتويات</w:t>
      </w:r>
    </w:p>
    <w:p w14:paraId="4D2656E1" w14:textId="082F510B" w:rsidR="00AD0C7A" w:rsidRPr="00AD0C7A" w:rsidRDefault="00AD0C7A" w:rsidP="00086C68">
      <w:pPr>
        <w:ind w:right="-170"/>
        <w:jc w:val="right"/>
        <w:rPr>
          <w:b/>
          <w:bCs/>
          <w:rtl/>
          <w:lang w:bidi="ar-EG"/>
        </w:rPr>
      </w:pPr>
      <w:r w:rsidRPr="00AD0C7A">
        <w:rPr>
          <w:rFonts w:hint="cs"/>
          <w:b/>
          <w:bCs/>
          <w:rtl/>
          <w:lang w:bidi="ar-EG"/>
        </w:rPr>
        <w:t>الصفحة</w:t>
      </w:r>
    </w:p>
    <w:p w14:paraId="18711387" w14:textId="1FB4F7C2" w:rsidR="000B27D4" w:rsidRDefault="000A15A4">
      <w:pPr>
        <w:pStyle w:val="TOC1"/>
        <w:rPr>
          <w:rFonts w:asciiTheme="minorHAnsi" w:eastAsiaTheme="minorEastAsia" w:hAnsiTheme="minorHAnsi" w:cstheme="minorBidi"/>
          <w:noProof/>
          <w:kern w:val="2"/>
          <w:sz w:val="24"/>
          <w:szCs w:val="24"/>
          <w:rtl/>
          <w14:ligatures w14:val="standardContextual"/>
        </w:rPr>
      </w:pPr>
      <w:r>
        <w:rPr>
          <w:rtl/>
        </w:rPr>
        <w:fldChar w:fldCharType="begin"/>
      </w:r>
      <w:r>
        <w:rPr>
          <w:rtl/>
        </w:rPr>
        <w:instrText xml:space="preserve"> </w:instrText>
      </w:r>
      <w:r>
        <w:instrText>TOC</w:instrText>
      </w:r>
      <w:r>
        <w:rPr>
          <w:rtl/>
        </w:rPr>
        <w:instrText xml:space="preserve"> \</w:instrText>
      </w:r>
      <w:r>
        <w:instrText>h \z \t "Heading 1,1,Heading 2,2,Heading 3,3</w:instrText>
      </w:r>
      <w:r>
        <w:rPr>
          <w:rtl/>
        </w:rPr>
        <w:instrText xml:space="preserve">" </w:instrText>
      </w:r>
      <w:r>
        <w:rPr>
          <w:rtl/>
        </w:rPr>
        <w:fldChar w:fldCharType="separate"/>
      </w:r>
      <w:hyperlink w:anchor="_Toc223961952" w:history="1">
        <w:r w:rsidR="000B27D4" w:rsidRPr="007F356D">
          <w:rPr>
            <w:rStyle w:val="Hyperlink"/>
            <w:noProof/>
            <w:lang w:bidi="ar-EG"/>
          </w:rPr>
          <w:t>1</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مقدمة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4</w:t>
        </w:r>
        <w:r w:rsidR="000B27D4">
          <w:rPr>
            <w:noProof/>
            <w:webHidden/>
            <w:rtl/>
          </w:rPr>
          <w:fldChar w:fldCharType="end"/>
        </w:r>
      </w:hyperlink>
    </w:p>
    <w:p w14:paraId="4506D5D2" w14:textId="7662F2EB"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53" w:history="1">
        <w:r w:rsidR="000B27D4" w:rsidRPr="007F356D">
          <w:rPr>
            <w:rStyle w:val="Hyperlink"/>
            <w:noProof/>
            <w:lang w:bidi="ar-EG"/>
          </w:rPr>
          <w:t>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مسائل</w:t>
        </w:r>
        <w:r w:rsidR="000B27D4" w:rsidRPr="007F356D">
          <w:rPr>
            <w:rStyle w:val="Hyperlink"/>
            <w:noProof/>
            <w:rtl/>
            <w:lang w:bidi="ar-EG"/>
          </w:rPr>
          <w:t xml:space="preserve"> </w:t>
        </w:r>
        <w:r w:rsidR="000B27D4" w:rsidRPr="007F356D">
          <w:rPr>
            <w:rStyle w:val="Hyperlink"/>
            <w:rFonts w:hint="eastAsia"/>
            <w:noProof/>
            <w:rtl/>
            <w:lang w:bidi="ar-EG"/>
          </w:rPr>
          <w:t>المجلس</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4</w:t>
        </w:r>
        <w:r w:rsidR="000B27D4">
          <w:rPr>
            <w:noProof/>
            <w:webHidden/>
            <w:rtl/>
          </w:rPr>
          <w:fldChar w:fldCharType="end"/>
        </w:r>
      </w:hyperlink>
    </w:p>
    <w:p w14:paraId="3245A079" w14:textId="335B8871"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54" w:history="1">
        <w:r w:rsidR="000B27D4" w:rsidRPr="007F356D">
          <w:rPr>
            <w:rStyle w:val="Hyperlink"/>
            <w:noProof/>
            <w:lang w:bidi="ar-EG"/>
          </w:rPr>
          <w:t>1.2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استرداد</w:t>
        </w:r>
        <w:r w:rsidR="000B27D4" w:rsidRPr="007F356D">
          <w:rPr>
            <w:rStyle w:val="Hyperlink"/>
            <w:noProof/>
            <w:rtl/>
            <w:lang w:bidi="ar-EG"/>
          </w:rPr>
          <w:t xml:space="preserve"> </w:t>
        </w:r>
        <w:r w:rsidR="000B27D4" w:rsidRPr="007F356D">
          <w:rPr>
            <w:rStyle w:val="Hyperlink"/>
            <w:rFonts w:hint="eastAsia"/>
            <w:noProof/>
            <w:rtl/>
            <w:lang w:bidi="ar-EG"/>
          </w:rPr>
          <w:t>تكاليف</w:t>
        </w:r>
        <w:r w:rsidR="000B27D4" w:rsidRPr="007F356D">
          <w:rPr>
            <w:rStyle w:val="Hyperlink"/>
            <w:noProof/>
            <w:rtl/>
            <w:lang w:bidi="ar-EG"/>
          </w:rPr>
          <w:t xml:space="preserve"> </w:t>
        </w:r>
        <w:r w:rsidR="000B27D4" w:rsidRPr="007F356D">
          <w:rPr>
            <w:rStyle w:val="Hyperlink"/>
            <w:rFonts w:hint="eastAsia"/>
            <w:noProof/>
            <w:rtl/>
            <w:lang w:bidi="ar-EG"/>
          </w:rPr>
          <w:t>معالجة</w:t>
        </w:r>
        <w:r w:rsidR="000B27D4" w:rsidRPr="007F356D">
          <w:rPr>
            <w:rStyle w:val="Hyperlink"/>
            <w:noProof/>
            <w:rtl/>
            <w:lang w:bidi="ar-EG"/>
          </w:rPr>
          <w:t xml:space="preserve"> </w:t>
        </w:r>
        <w:r w:rsidR="000B27D4" w:rsidRPr="007F356D">
          <w:rPr>
            <w:rStyle w:val="Hyperlink"/>
            <w:rFonts w:hint="eastAsia"/>
            <w:noProof/>
            <w:rtl/>
            <w:lang w:bidi="ar-EG"/>
          </w:rPr>
          <w:t>بطاقات</w:t>
        </w:r>
        <w:r w:rsidR="000B27D4" w:rsidRPr="007F356D">
          <w:rPr>
            <w:rStyle w:val="Hyperlink"/>
            <w:noProof/>
            <w:rtl/>
            <w:lang w:bidi="ar-EG"/>
          </w:rPr>
          <w:t xml:space="preserve"> </w:t>
        </w:r>
        <w:r w:rsidR="000B27D4" w:rsidRPr="007F356D">
          <w:rPr>
            <w:rStyle w:val="Hyperlink"/>
            <w:rFonts w:hint="eastAsia"/>
            <w:noProof/>
            <w:rtl/>
            <w:lang w:bidi="ar-EG"/>
          </w:rPr>
          <w:t>التبليغ</w:t>
        </w:r>
        <w:r w:rsidR="000B27D4" w:rsidRPr="007F356D">
          <w:rPr>
            <w:rStyle w:val="Hyperlink"/>
            <w:noProof/>
            <w:rtl/>
            <w:lang w:bidi="ar-EG"/>
          </w:rPr>
          <w:t xml:space="preserve"> </w:t>
        </w:r>
        <w:r w:rsidR="000B27D4" w:rsidRPr="007F356D">
          <w:rPr>
            <w:rStyle w:val="Hyperlink"/>
            <w:rFonts w:hint="eastAsia"/>
            <w:noProof/>
            <w:rtl/>
            <w:lang w:bidi="ar-EG"/>
          </w:rPr>
          <w:t>عن</w:t>
        </w:r>
        <w:r w:rsidR="000B27D4" w:rsidRPr="007F356D">
          <w:rPr>
            <w:rStyle w:val="Hyperlink"/>
            <w:noProof/>
            <w:rtl/>
            <w:lang w:bidi="ar-EG"/>
          </w:rPr>
          <w:t xml:space="preserve"> </w:t>
        </w:r>
        <w:r w:rsidR="000B27D4" w:rsidRPr="007F356D">
          <w:rPr>
            <w:rStyle w:val="Hyperlink"/>
            <w:rFonts w:hint="eastAsia"/>
            <w:noProof/>
            <w:rtl/>
            <w:lang w:bidi="ar-EG"/>
          </w:rPr>
          <w:t>الشبكات</w:t>
        </w:r>
        <w:r w:rsidR="000B27D4" w:rsidRPr="007F356D">
          <w:rPr>
            <w:rStyle w:val="Hyperlink"/>
            <w:noProof/>
            <w:rtl/>
            <w:lang w:bidi="ar-EG"/>
          </w:rPr>
          <w:t xml:space="preserve"> </w:t>
        </w:r>
        <w:r w:rsidR="000B27D4" w:rsidRPr="007F356D">
          <w:rPr>
            <w:rStyle w:val="Hyperlink"/>
            <w:rFonts w:hint="eastAsia"/>
            <w:noProof/>
            <w:rtl/>
            <w:lang w:bidi="ar-EG"/>
          </w:rPr>
          <w:t>الساتلية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4</w:t>
        </w:r>
        <w:r w:rsidR="000B27D4">
          <w:rPr>
            <w:noProof/>
            <w:webHidden/>
            <w:rtl/>
          </w:rPr>
          <w:fldChar w:fldCharType="end"/>
        </w:r>
      </w:hyperlink>
    </w:p>
    <w:p w14:paraId="342A0ADD" w14:textId="3DB75ADB"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55" w:history="1">
        <w:r w:rsidR="000B27D4" w:rsidRPr="007F356D">
          <w:rPr>
            <w:rStyle w:val="Hyperlink"/>
            <w:noProof/>
            <w:lang w:bidi="ar-EG"/>
          </w:rPr>
          <w:t>1.1.2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المقرر</w:t>
        </w:r>
        <w:r w:rsidR="000B27D4" w:rsidRPr="007F356D">
          <w:rPr>
            <w:rStyle w:val="Hyperlink"/>
            <w:noProof/>
            <w:rtl/>
            <w:lang w:bidi="ar-EG"/>
          </w:rPr>
          <w:t xml:space="preserve"> 482</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4</w:t>
        </w:r>
        <w:r w:rsidR="000B27D4">
          <w:rPr>
            <w:noProof/>
            <w:webHidden/>
            <w:rtl/>
          </w:rPr>
          <w:fldChar w:fldCharType="end"/>
        </w:r>
      </w:hyperlink>
    </w:p>
    <w:p w14:paraId="4BEF9002" w14:textId="39FB898C"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56" w:history="1">
        <w:r w:rsidR="000B27D4" w:rsidRPr="007F356D">
          <w:rPr>
            <w:rStyle w:val="Hyperlink"/>
            <w:noProof/>
            <w:lang w:bidi="ar-EG"/>
          </w:rPr>
          <w:t>2.1.2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الإيرادات</w:t>
        </w:r>
        <w:r w:rsidR="000B27D4" w:rsidRPr="007F356D">
          <w:rPr>
            <w:rStyle w:val="Hyperlink"/>
            <w:noProof/>
            <w:rtl/>
            <w:lang w:bidi="ar-EG"/>
          </w:rPr>
          <w:t xml:space="preserve"> </w:t>
        </w:r>
        <w:r w:rsidR="000B27D4" w:rsidRPr="007F356D">
          <w:rPr>
            <w:rStyle w:val="Hyperlink"/>
            <w:rFonts w:hint="eastAsia"/>
            <w:noProof/>
            <w:rtl/>
            <w:lang w:bidi="ar-EG"/>
          </w:rPr>
          <w:t>المؤجلة</w:t>
        </w:r>
        <w:r w:rsidR="000B27D4" w:rsidRPr="007F356D">
          <w:rPr>
            <w:rStyle w:val="Hyperlink"/>
            <w:noProof/>
            <w:rtl/>
            <w:lang w:bidi="ar-EG"/>
          </w:rPr>
          <w:t xml:space="preserve"> </w:t>
        </w:r>
        <w:r w:rsidR="000B27D4" w:rsidRPr="007F356D">
          <w:rPr>
            <w:rStyle w:val="Hyperlink"/>
            <w:rFonts w:hint="eastAsia"/>
            <w:noProof/>
            <w:rtl/>
            <w:lang w:bidi="ar-EG"/>
          </w:rPr>
          <w:t>بسبب</w:t>
        </w:r>
        <w:r w:rsidR="000B27D4" w:rsidRPr="007F356D">
          <w:rPr>
            <w:rStyle w:val="Hyperlink"/>
            <w:noProof/>
            <w:rtl/>
            <w:lang w:bidi="ar-EG"/>
          </w:rPr>
          <w:t xml:space="preserve"> </w:t>
        </w:r>
        <w:r w:rsidR="000B27D4" w:rsidRPr="007F356D">
          <w:rPr>
            <w:rStyle w:val="Hyperlink"/>
            <w:rFonts w:hint="eastAsia"/>
            <w:noProof/>
            <w:rtl/>
            <w:lang w:bidi="ar-EG"/>
          </w:rPr>
          <w:t>نقص</w:t>
        </w:r>
        <w:r w:rsidR="000B27D4" w:rsidRPr="007F356D">
          <w:rPr>
            <w:rStyle w:val="Hyperlink"/>
            <w:noProof/>
            <w:rtl/>
            <w:lang w:bidi="ar-EG"/>
          </w:rPr>
          <w:t xml:space="preserve"> </w:t>
        </w:r>
        <w:r w:rsidR="000B27D4" w:rsidRPr="007F356D">
          <w:rPr>
            <w:rStyle w:val="Hyperlink"/>
            <w:rFonts w:hint="eastAsia"/>
            <w:noProof/>
            <w:rtl/>
            <w:lang w:bidi="ar-EG"/>
          </w:rPr>
          <w:t>موارد</w:t>
        </w:r>
        <w:r w:rsidR="000B27D4" w:rsidRPr="007F356D">
          <w:rPr>
            <w:rStyle w:val="Hyperlink"/>
            <w:noProof/>
            <w:rtl/>
            <w:lang w:bidi="ar-EG"/>
          </w:rPr>
          <w:t xml:space="preserve"> </w:t>
        </w:r>
        <w:r w:rsidR="000B27D4" w:rsidRPr="007F356D">
          <w:rPr>
            <w:rStyle w:val="Hyperlink"/>
            <w:rFonts w:hint="eastAsia"/>
            <w:noProof/>
            <w:rtl/>
            <w:lang w:bidi="ar-EG"/>
          </w:rPr>
          <w:t>المعالجة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5</w:t>
        </w:r>
        <w:r w:rsidR="000B27D4">
          <w:rPr>
            <w:noProof/>
            <w:webHidden/>
            <w:rtl/>
          </w:rPr>
          <w:fldChar w:fldCharType="end"/>
        </w:r>
      </w:hyperlink>
    </w:p>
    <w:p w14:paraId="407480C2" w14:textId="6C87A577"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57" w:history="1">
        <w:r w:rsidR="000B27D4" w:rsidRPr="007F356D">
          <w:rPr>
            <w:rStyle w:val="Hyperlink"/>
            <w:noProof/>
            <w:lang w:bidi="ar-EG"/>
          </w:rPr>
          <w:t>2.2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ميزانية</w:t>
        </w:r>
        <w:r w:rsidR="000B27D4" w:rsidRPr="007F356D">
          <w:rPr>
            <w:rStyle w:val="Hyperlink"/>
            <w:noProof/>
            <w:rtl/>
            <w:lang w:bidi="ar-EG"/>
          </w:rPr>
          <w:t xml:space="preserve"> </w:t>
        </w:r>
        <w:r w:rsidR="000B27D4" w:rsidRPr="007F356D">
          <w:rPr>
            <w:rStyle w:val="Hyperlink"/>
            <w:rFonts w:hint="eastAsia"/>
            <w:noProof/>
            <w:rtl/>
            <w:lang w:bidi="ar-EG"/>
          </w:rPr>
          <w:t>الفترة</w:t>
        </w:r>
        <w:r w:rsidR="000B27D4" w:rsidRPr="007F356D">
          <w:rPr>
            <w:rStyle w:val="Hyperlink"/>
            <w:noProof/>
            <w:rtl/>
            <w:lang w:bidi="ar-EG"/>
          </w:rPr>
          <w:t xml:space="preserve"> </w:t>
        </w:r>
        <w:r w:rsidR="000B27D4" w:rsidRPr="007F356D">
          <w:rPr>
            <w:rStyle w:val="Hyperlink"/>
            <w:noProof/>
            <w:lang w:bidi="ar-EG"/>
          </w:rPr>
          <w:t>2025-2024</w:t>
        </w:r>
        <w:r w:rsidR="000B27D4" w:rsidRPr="007F356D">
          <w:rPr>
            <w:rStyle w:val="Hyperlink"/>
            <w:noProof/>
            <w:rtl/>
            <w:lang w:bidi="ar-EG"/>
          </w:rPr>
          <w:t xml:space="preserve"> </w:t>
        </w:r>
        <w:r w:rsidR="000B27D4" w:rsidRPr="007F356D">
          <w:rPr>
            <w:rStyle w:val="Hyperlink"/>
            <w:rFonts w:hint="eastAsia"/>
            <w:noProof/>
            <w:rtl/>
            <w:lang w:bidi="ar-EG"/>
          </w:rPr>
          <w:t>وميزانية</w:t>
        </w:r>
        <w:r w:rsidR="000B27D4" w:rsidRPr="007F356D">
          <w:rPr>
            <w:rStyle w:val="Hyperlink"/>
            <w:noProof/>
            <w:rtl/>
            <w:lang w:bidi="ar-EG"/>
          </w:rPr>
          <w:t xml:space="preserve"> </w:t>
        </w:r>
        <w:r w:rsidR="000B27D4" w:rsidRPr="007F356D">
          <w:rPr>
            <w:rStyle w:val="Hyperlink"/>
            <w:rFonts w:hint="eastAsia"/>
            <w:noProof/>
            <w:rtl/>
            <w:lang w:bidi="ar-EG"/>
          </w:rPr>
          <w:t>الفترة</w:t>
        </w:r>
        <w:r w:rsidR="000B27D4" w:rsidRPr="007F356D">
          <w:rPr>
            <w:rStyle w:val="Hyperlink"/>
            <w:noProof/>
            <w:rtl/>
            <w:lang w:bidi="ar-EG"/>
          </w:rPr>
          <w:t xml:space="preserve"> 2026-2027</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5</w:t>
        </w:r>
        <w:r w:rsidR="000B27D4">
          <w:rPr>
            <w:noProof/>
            <w:webHidden/>
            <w:rtl/>
          </w:rPr>
          <w:fldChar w:fldCharType="end"/>
        </w:r>
      </w:hyperlink>
    </w:p>
    <w:p w14:paraId="507C58C2" w14:textId="7DE4A8B8"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58" w:history="1">
        <w:r w:rsidR="000B27D4" w:rsidRPr="007F356D">
          <w:rPr>
            <w:rStyle w:val="Hyperlink"/>
            <w:noProof/>
            <w:lang w:bidi="ar-EG"/>
          </w:rPr>
          <w:t>3.2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استعمال</w:t>
        </w:r>
        <w:r w:rsidR="000B27D4" w:rsidRPr="007F356D">
          <w:rPr>
            <w:rStyle w:val="Hyperlink"/>
            <w:noProof/>
            <w:rtl/>
            <w:lang w:bidi="ar-EG"/>
          </w:rPr>
          <w:t xml:space="preserve"> </w:t>
        </w:r>
        <w:r w:rsidR="000B27D4" w:rsidRPr="007F356D">
          <w:rPr>
            <w:rStyle w:val="Hyperlink"/>
            <w:rFonts w:hint="eastAsia"/>
            <w:noProof/>
            <w:rtl/>
            <w:lang w:bidi="ar-EG"/>
          </w:rPr>
          <w:t>اللغات</w:t>
        </w:r>
        <w:r w:rsidR="000B27D4" w:rsidRPr="007F356D">
          <w:rPr>
            <w:rStyle w:val="Hyperlink"/>
            <w:noProof/>
            <w:rtl/>
            <w:lang w:bidi="ar-EG"/>
          </w:rPr>
          <w:t xml:space="preserve"> </w:t>
        </w:r>
        <w:r w:rsidR="000B27D4" w:rsidRPr="007F356D">
          <w:rPr>
            <w:rStyle w:val="Hyperlink"/>
            <w:rFonts w:hint="eastAsia"/>
            <w:noProof/>
            <w:rtl/>
            <w:lang w:bidi="ar-EG"/>
          </w:rPr>
          <w:t>الرسمية</w:t>
        </w:r>
        <w:r w:rsidR="000B27D4" w:rsidRPr="007F356D">
          <w:rPr>
            <w:rStyle w:val="Hyperlink"/>
            <w:noProof/>
            <w:rtl/>
            <w:lang w:bidi="ar-EG"/>
          </w:rPr>
          <w:t xml:space="preserve"> </w:t>
        </w:r>
        <w:r w:rsidR="000B27D4" w:rsidRPr="007F356D">
          <w:rPr>
            <w:rStyle w:val="Hyperlink"/>
            <w:rFonts w:hint="eastAsia"/>
            <w:noProof/>
            <w:rtl/>
            <w:lang w:bidi="ar-EG"/>
          </w:rPr>
          <w:t>الست</w:t>
        </w:r>
        <w:r w:rsidR="000B27D4" w:rsidRPr="007F356D">
          <w:rPr>
            <w:rStyle w:val="Hyperlink"/>
            <w:noProof/>
            <w:rtl/>
            <w:lang w:bidi="ar-EG"/>
          </w:rPr>
          <w:t xml:space="preserve"> </w:t>
        </w:r>
        <w:r w:rsidR="000B27D4" w:rsidRPr="007F356D">
          <w:rPr>
            <w:rStyle w:val="Hyperlink"/>
            <w:rFonts w:hint="eastAsia"/>
            <w:noProof/>
            <w:rtl/>
            <w:lang w:bidi="ar-EG"/>
          </w:rPr>
          <w:t>في</w:t>
        </w:r>
        <w:r w:rsidR="000B27D4" w:rsidRPr="007F356D">
          <w:rPr>
            <w:rStyle w:val="Hyperlink"/>
            <w:noProof/>
            <w:rtl/>
            <w:lang w:bidi="ar-EG"/>
          </w:rPr>
          <w:t xml:space="preserve"> </w:t>
        </w:r>
        <w:r w:rsidR="000B27D4" w:rsidRPr="007F356D">
          <w:rPr>
            <w:rStyle w:val="Hyperlink"/>
            <w:rFonts w:hint="eastAsia"/>
            <w:noProof/>
            <w:rtl/>
            <w:lang w:bidi="ar-EG"/>
          </w:rPr>
          <w:t>الاتحاد</w:t>
        </w:r>
        <w:r w:rsidR="000B27D4" w:rsidRPr="007F356D">
          <w:rPr>
            <w:rStyle w:val="Hyperlink"/>
            <w:noProof/>
            <w:rtl/>
            <w:lang w:bidi="ar-EG"/>
          </w:rPr>
          <w:t xml:space="preserve"> </w:t>
        </w:r>
        <w:r w:rsidR="000B27D4" w:rsidRPr="007F356D">
          <w:rPr>
            <w:rStyle w:val="Hyperlink"/>
            <w:rFonts w:hint="eastAsia"/>
            <w:noProof/>
            <w:rtl/>
            <w:lang w:bidi="ar-EG"/>
          </w:rPr>
          <w:t>على</w:t>
        </w:r>
        <w:r w:rsidR="000B27D4" w:rsidRPr="007F356D">
          <w:rPr>
            <w:rStyle w:val="Hyperlink"/>
            <w:noProof/>
            <w:rtl/>
            <w:lang w:bidi="ar-EG"/>
          </w:rPr>
          <w:t xml:space="preserve"> </w:t>
        </w:r>
        <w:r w:rsidR="000B27D4" w:rsidRPr="007F356D">
          <w:rPr>
            <w:rStyle w:val="Hyperlink"/>
            <w:rFonts w:hint="eastAsia"/>
            <w:noProof/>
            <w:rtl/>
            <w:lang w:bidi="ar-EG"/>
          </w:rPr>
          <w:t>قدم</w:t>
        </w:r>
        <w:r w:rsidR="000B27D4" w:rsidRPr="007F356D">
          <w:rPr>
            <w:rStyle w:val="Hyperlink"/>
            <w:noProof/>
            <w:rtl/>
            <w:lang w:bidi="ar-EG"/>
          </w:rPr>
          <w:t xml:space="preserve"> </w:t>
        </w:r>
        <w:r w:rsidR="000B27D4" w:rsidRPr="007F356D">
          <w:rPr>
            <w:rStyle w:val="Hyperlink"/>
            <w:rFonts w:hint="eastAsia"/>
            <w:noProof/>
            <w:rtl/>
            <w:lang w:bidi="ar-EG"/>
          </w:rPr>
          <w:t>المساواة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7</w:t>
        </w:r>
        <w:r w:rsidR="000B27D4">
          <w:rPr>
            <w:noProof/>
            <w:webHidden/>
            <w:rtl/>
          </w:rPr>
          <w:fldChar w:fldCharType="end"/>
        </w:r>
      </w:hyperlink>
    </w:p>
    <w:p w14:paraId="4D65F2DA" w14:textId="7EC9518E"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59" w:history="1">
        <w:r w:rsidR="000B27D4" w:rsidRPr="007F356D">
          <w:rPr>
            <w:rStyle w:val="Hyperlink"/>
            <w:noProof/>
            <w:lang w:bidi="ar-EG"/>
          </w:rPr>
          <w:t>4.2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المشاركة</w:t>
        </w:r>
        <w:r w:rsidR="000B27D4" w:rsidRPr="007F356D">
          <w:rPr>
            <w:rStyle w:val="Hyperlink"/>
            <w:noProof/>
            <w:rtl/>
            <w:lang w:bidi="ar-EG"/>
          </w:rPr>
          <w:t xml:space="preserve"> </w:t>
        </w:r>
        <w:r w:rsidR="000B27D4" w:rsidRPr="007F356D">
          <w:rPr>
            <w:rStyle w:val="Hyperlink"/>
            <w:rFonts w:hint="eastAsia"/>
            <w:noProof/>
            <w:rtl/>
            <w:lang w:bidi="ar-EG"/>
          </w:rPr>
          <w:t>عن</w:t>
        </w:r>
        <w:r w:rsidR="000B27D4" w:rsidRPr="007F356D">
          <w:rPr>
            <w:rStyle w:val="Hyperlink"/>
            <w:noProof/>
            <w:rtl/>
            <w:lang w:bidi="ar-EG"/>
          </w:rPr>
          <w:t xml:space="preserve"> </w:t>
        </w:r>
        <w:r w:rsidR="000B27D4" w:rsidRPr="007F356D">
          <w:rPr>
            <w:rStyle w:val="Hyperlink"/>
            <w:rFonts w:hint="eastAsia"/>
            <w:noProof/>
            <w:rtl/>
            <w:lang w:bidi="ar-EG"/>
          </w:rPr>
          <w:t>بُعد</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Toc223961959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7</w:t>
        </w:r>
        <w:r w:rsidR="000B27D4">
          <w:rPr>
            <w:noProof/>
            <w:webHidden/>
            <w:rtl/>
          </w:rPr>
          <w:fldChar w:fldCharType="end"/>
        </w:r>
      </w:hyperlink>
    </w:p>
    <w:p w14:paraId="5B227002" w14:textId="2793ABE4"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60" w:history="1">
        <w:r w:rsidR="000B27D4" w:rsidRPr="007F356D">
          <w:rPr>
            <w:rStyle w:val="Hyperlink"/>
            <w:noProof/>
            <w:lang w:bidi="ar-EG"/>
          </w:rPr>
          <w:t>5.2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الخطتان</w:t>
        </w:r>
        <w:r w:rsidR="000B27D4" w:rsidRPr="007F356D">
          <w:rPr>
            <w:rStyle w:val="Hyperlink"/>
            <w:noProof/>
            <w:rtl/>
            <w:lang w:bidi="ar-EG"/>
          </w:rPr>
          <w:t xml:space="preserve"> </w:t>
        </w:r>
        <w:r w:rsidR="000B27D4" w:rsidRPr="007F356D">
          <w:rPr>
            <w:rStyle w:val="Hyperlink"/>
            <w:rFonts w:hint="eastAsia"/>
            <w:noProof/>
            <w:rtl/>
            <w:lang w:bidi="ar-EG"/>
          </w:rPr>
          <w:t>الاستراتيجية</w:t>
        </w:r>
        <w:r w:rsidR="000B27D4" w:rsidRPr="007F356D">
          <w:rPr>
            <w:rStyle w:val="Hyperlink"/>
            <w:noProof/>
            <w:rtl/>
            <w:lang w:bidi="ar-EG"/>
          </w:rPr>
          <w:t xml:space="preserve"> </w:t>
        </w:r>
        <w:r w:rsidR="000B27D4" w:rsidRPr="007F356D">
          <w:rPr>
            <w:rStyle w:val="Hyperlink"/>
            <w:rFonts w:hint="eastAsia"/>
            <w:noProof/>
            <w:rtl/>
            <w:lang w:bidi="ar-EG"/>
          </w:rPr>
          <w:t>والمالية</w:t>
        </w:r>
        <w:r w:rsidR="000B27D4" w:rsidRPr="007F356D">
          <w:rPr>
            <w:rStyle w:val="Hyperlink"/>
            <w:noProof/>
            <w:rtl/>
            <w:lang w:bidi="ar-EG"/>
          </w:rPr>
          <w:t xml:space="preserve"> </w:t>
        </w:r>
        <w:r w:rsidR="000B27D4" w:rsidRPr="007F356D">
          <w:rPr>
            <w:rStyle w:val="Hyperlink"/>
            <w:rFonts w:hint="eastAsia"/>
            <w:noProof/>
            <w:rtl/>
            <w:lang w:bidi="ar-EG"/>
          </w:rPr>
          <w:t>للفترة</w:t>
        </w:r>
        <w:r w:rsidR="000B27D4" w:rsidRPr="007F356D">
          <w:rPr>
            <w:rStyle w:val="Hyperlink"/>
            <w:noProof/>
            <w:rtl/>
            <w:lang w:bidi="ar-EG"/>
          </w:rPr>
          <w:t xml:space="preserve"> 2028-2031</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Toc223961960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7</w:t>
        </w:r>
        <w:r w:rsidR="000B27D4">
          <w:rPr>
            <w:noProof/>
            <w:webHidden/>
            <w:rtl/>
          </w:rPr>
          <w:fldChar w:fldCharType="end"/>
        </w:r>
      </w:hyperlink>
    </w:p>
    <w:p w14:paraId="532FDC42" w14:textId="1E76FD2C"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61" w:history="1">
        <w:r w:rsidR="000B27D4" w:rsidRPr="007F356D">
          <w:rPr>
            <w:rStyle w:val="Hyperlink"/>
            <w:noProof/>
            <w:lang w:bidi="ar-EG"/>
          </w:rPr>
          <w:t>6.2</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استمرارية</w:t>
        </w:r>
        <w:r w:rsidR="000B27D4" w:rsidRPr="007F356D">
          <w:rPr>
            <w:rStyle w:val="Hyperlink"/>
            <w:noProof/>
            <w:rtl/>
            <w:lang w:bidi="ar-EG"/>
          </w:rPr>
          <w:t xml:space="preserve"> </w:t>
        </w:r>
        <w:r w:rsidR="000B27D4" w:rsidRPr="007F356D">
          <w:rPr>
            <w:rStyle w:val="Hyperlink"/>
            <w:rFonts w:hint="eastAsia"/>
            <w:noProof/>
            <w:rtl/>
            <w:lang w:bidi="ar-EG"/>
          </w:rPr>
          <w:t>الأعمال</w:t>
        </w:r>
        <w:r w:rsidR="000B27D4" w:rsidRPr="007F356D">
          <w:rPr>
            <w:rStyle w:val="Hyperlink"/>
            <w:noProof/>
            <w:rtl/>
            <w:lang w:bidi="ar-EG"/>
          </w:rPr>
          <w:t xml:space="preserve"> (</w:t>
        </w:r>
        <w:r w:rsidR="000B27D4" w:rsidRPr="007F356D">
          <w:rPr>
            <w:rStyle w:val="Hyperlink"/>
            <w:noProof/>
            <w:lang w:bidi="ar-EG"/>
          </w:rPr>
          <w:t>Business Continuity</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Toc223961961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8</w:t>
        </w:r>
        <w:r w:rsidR="000B27D4">
          <w:rPr>
            <w:noProof/>
            <w:webHidden/>
            <w:rtl/>
          </w:rPr>
          <w:fldChar w:fldCharType="end"/>
        </w:r>
      </w:hyperlink>
    </w:p>
    <w:p w14:paraId="6E21C084" w14:textId="584FA3D2"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62" w:history="1">
        <w:r w:rsidR="000B27D4" w:rsidRPr="007F356D">
          <w:rPr>
            <w:rStyle w:val="Hyperlink"/>
            <w:noProof/>
            <w:rtl/>
            <w:lang w:bidi="ar-EG"/>
          </w:rPr>
          <w:t>3</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تنفيذ</w:t>
        </w:r>
        <w:r w:rsidR="000B27D4" w:rsidRPr="007F356D">
          <w:rPr>
            <w:rStyle w:val="Hyperlink"/>
            <w:noProof/>
            <w:rtl/>
            <w:lang w:bidi="ar-EG"/>
          </w:rPr>
          <w:t xml:space="preserve"> </w:t>
        </w:r>
        <w:r w:rsidR="000B27D4" w:rsidRPr="007F356D">
          <w:rPr>
            <w:rStyle w:val="Hyperlink"/>
            <w:rFonts w:hint="eastAsia"/>
            <w:noProof/>
            <w:rtl/>
            <w:lang w:bidi="ar-EG"/>
          </w:rPr>
          <w:t>قرارات</w:t>
        </w:r>
        <w:r w:rsidR="000B27D4" w:rsidRPr="007F356D">
          <w:rPr>
            <w:rStyle w:val="Hyperlink"/>
            <w:noProof/>
            <w:rtl/>
            <w:lang w:bidi="ar-EG"/>
          </w:rPr>
          <w:t xml:space="preserve"> </w:t>
        </w:r>
        <w:r w:rsidR="000B27D4" w:rsidRPr="007F356D">
          <w:rPr>
            <w:rStyle w:val="Hyperlink"/>
            <w:rFonts w:hint="eastAsia"/>
            <w:noProof/>
            <w:rtl/>
            <w:lang w:bidi="ar-EG"/>
          </w:rPr>
          <w:t>المؤتمر</w:t>
        </w:r>
        <w:r w:rsidR="000B27D4" w:rsidRPr="007F356D">
          <w:rPr>
            <w:rStyle w:val="Hyperlink"/>
            <w:noProof/>
            <w:rtl/>
            <w:lang w:bidi="ar-EG"/>
          </w:rPr>
          <w:t xml:space="preserve"> </w:t>
        </w:r>
        <w:r w:rsidR="000B27D4" w:rsidRPr="007F356D">
          <w:rPr>
            <w:rStyle w:val="Hyperlink"/>
            <w:rFonts w:hint="eastAsia"/>
            <w:noProof/>
            <w:rtl/>
            <w:lang w:bidi="ar-EG"/>
          </w:rPr>
          <w:t>العالمي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2023</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8</w:t>
        </w:r>
        <w:r w:rsidR="000B27D4">
          <w:rPr>
            <w:noProof/>
            <w:webHidden/>
            <w:rtl/>
          </w:rPr>
          <w:fldChar w:fldCharType="end"/>
        </w:r>
      </w:hyperlink>
    </w:p>
    <w:p w14:paraId="1FE3816A" w14:textId="4C1EB534"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63" w:history="1">
        <w:r w:rsidR="000B27D4" w:rsidRPr="007F356D">
          <w:rPr>
            <w:rStyle w:val="Hyperlink"/>
            <w:noProof/>
            <w:lang w:bidi="ar-EG"/>
          </w:rPr>
          <w:t>1.3</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تنفيذ</w:t>
        </w:r>
        <w:r w:rsidR="000B27D4" w:rsidRPr="007F356D">
          <w:rPr>
            <w:rStyle w:val="Hyperlink"/>
            <w:noProof/>
            <w:rtl/>
            <w:lang w:bidi="ar-EG"/>
          </w:rPr>
          <w:t xml:space="preserve"> </w:t>
        </w:r>
        <w:r w:rsidR="000B27D4" w:rsidRPr="007F356D">
          <w:rPr>
            <w:rStyle w:val="Hyperlink"/>
            <w:rFonts w:hint="eastAsia"/>
            <w:noProof/>
            <w:rtl/>
            <w:lang w:bidi="ar-EG"/>
          </w:rPr>
          <w:t>قرارات</w:t>
        </w:r>
        <w:r w:rsidR="000B27D4" w:rsidRPr="007F356D">
          <w:rPr>
            <w:rStyle w:val="Hyperlink"/>
            <w:noProof/>
            <w:rtl/>
            <w:lang w:bidi="ar-EG"/>
          </w:rPr>
          <w:t xml:space="preserve"> </w:t>
        </w:r>
        <w:r w:rsidR="000B27D4" w:rsidRPr="007F356D">
          <w:rPr>
            <w:rStyle w:val="Hyperlink"/>
            <w:rFonts w:hint="eastAsia"/>
            <w:noProof/>
            <w:rtl/>
            <w:lang w:bidi="ar-EG"/>
          </w:rPr>
          <w:t>المؤتمر</w:t>
        </w:r>
        <w:r w:rsidR="000B27D4" w:rsidRPr="007F356D">
          <w:rPr>
            <w:rStyle w:val="Hyperlink"/>
            <w:noProof/>
            <w:rtl/>
            <w:lang w:bidi="ar-EG"/>
          </w:rPr>
          <w:t xml:space="preserve"> </w:t>
        </w:r>
        <w:r w:rsidR="000B27D4" w:rsidRPr="007F356D">
          <w:rPr>
            <w:rStyle w:val="Hyperlink"/>
            <w:rFonts w:hint="eastAsia"/>
            <w:noProof/>
            <w:rtl/>
            <w:lang w:bidi="ar-EG"/>
          </w:rPr>
          <w:t>العالمي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2023</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8</w:t>
        </w:r>
        <w:r w:rsidR="000B27D4">
          <w:rPr>
            <w:noProof/>
            <w:webHidden/>
            <w:rtl/>
          </w:rPr>
          <w:fldChar w:fldCharType="end"/>
        </w:r>
      </w:hyperlink>
    </w:p>
    <w:p w14:paraId="75E883EA" w14:textId="7F166493"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64" w:history="1">
        <w:r w:rsidR="000B27D4" w:rsidRPr="007F356D">
          <w:rPr>
            <w:rStyle w:val="Hyperlink"/>
            <w:noProof/>
            <w:lang w:bidi="ar-EG"/>
          </w:rPr>
          <w:t>4</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الأعمال</w:t>
        </w:r>
        <w:r w:rsidR="000B27D4" w:rsidRPr="007F356D">
          <w:rPr>
            <w:rStyle w:val="Hyperlink"/>
            <w:noProof/>
            <w:rtl/>
            <w:lang w:bidi="ar-EG"/>
          </w:rPr>
          <w:t xml:space="preserve"> </w:t>
        </w:r>
        <w:r w:rsidR="000B27D4" w:rsidRPr="007F356D">
          <w:rPr>
            <w:rStyle w:val="Hyperlink"/>
            <w:rFonts w:hint="eastAsia"/>
            <w:noProof/>
            <w:rtl/>
            <w:lang w:bidi="ar-EG"/>
          </w:rPr>
          <w:t>التحضيرية</w:t>
        </w:r>
        <w:r w:rsidR="000B27D4" w:rsidRPr="007F356D">
          <w:rPr>
            <w:rStyle w:val="Hyperlink"/>
            <w:noProof/>
            <w:rtl/>
            <w:lang w:bidi="ar-EG"/>
          </w:rPr>
          <w:t xml:space="preserve"> </w:t>
        </w:r>
        <w:r w:rsidR="000B27D4" w:rsidRPr="007F356D">
          <w:rPr>
            <w:rStyle w:val="Hyperlink"/>
            <w:rFonts w:hint="eastAsia"/>
            <w:noProof/>
            <w:rtl/>
            <w:lang w:bidi="ar-EG"/>
          </w:rPr>
          <w:t>للمؤتمر</w:t>
        </w:r>
        <w:r w:rsidR="000B27D4" w:rsidRPr="007F356D">
          <w:rPr>
            <w:rStyle w:val="Hyperlink"/>
            <w:noProof/>
            <w:rtl/>
            <w:lang w:bidi="ar-EG"/>
          </w:rPr>
          <w:t xml:space="preserve"> </w:t>
        </w:r>
        <w:r w:rsidR="000B27D4" w:rsidRPr="007F356D">
          <w:rPr>
            <w:rStyle w:val="Hyperlink"/>
            <w:rFonts w:hint="eastAsia"/>
            <w:noProof/>
            <w:rtl/>
            <w:lang w:bidi="ar-EG"/>
          </w:rPr>
          <w:t>العالمي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2027</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9</w:t>
        </w:r>
        <w:r w:rsidR="000B27D4">
          <w:rPr>
            <w:noProof/>
            <w:webHidden/>
            <w:rtl/>
          </w:rPr>
          <w:fldChar w:fldCharType="end"/>
        </w:r>
      </w:hyperlink>
    </w:p>
    <w:p w14:paraId="7419A1FD" w14:textId="180AC724"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65" w:history="1">
        <w:r w:rsidR="000B27D4" w:rsidRPr="007F356D">
          <w:rPr>
            <w:rStyle w:val="Hyperlink"/>
            <w:noProof/>
            <w:lang w:bidi="ar-EG"/>
          </w:rPr>
          <w:t>1.4</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الأعمال</w:t>
        </w:r>
        <w:r w:rsidR="000B27D4" w:rsidRPr="007F356D">
          <w:rPr>
            <w:rStyle w:val="Hyperlink"/>
            <w:noProof/>
            <w:rtl/>
            <w:lang w:bidi="ar-EG"/>
          </w:rPr>
          <w:t xml:space="preserve"> </w:t>
        </w:r>
        <w:r w:rsidR="000B27D4" w:rsidRPr="007F356D">
          <w:rPr>
            <w:rStyle w:val="Hyperlink"/>
            <w:rFonts w:hint="eastAsia"/>
            <w:noProof/>
            <w:rtl/>
            <w:lang w:bidi="ar-EG"/>
          </w:rPr>
          <w:t>التحضيرية</w:t>
        </w:r>
        <w:r w:rsidR="000B27D4" w:rsidRPr="007F356D">
          <w:rPr>
            <w:rStyle w:val="Hyperlink"/>
            <w:noProof/>
            <w:rtl/>
            <w:lang w:bidi="ar-EG"/>
          </w:rPr>
          <w:t xml:space="preserve"> </w:t>
        </w:r>
        <w:r w:rsidR="000B27D4" w:rsidRPr="007F356D">
          <w:rPr>
            <w:rStyle w:val="Hyperlink"/>
            <w:rFonts w:hint="eastAsia"/>
            <w:noProof/>
            <w:rtl/>
            <w:lang w:bidi="ar-EG"/>
          </w:rPr>
          <w:t>للمؤتمر</w:t>
        </w:r>
        <w:r w:rsidR="000B27D4" w:rsidRPr="007F356D">
          <w:rPr>
            <w:rStyle w:val="Hyperlink"/>
            <w:noProof/>
            <w:rtl/>
            <w:lang w:bidi="ar-EG"/>
          </w:rPr>
          <w:t xml:space="preserve"> </w:t>
        </w:r>
        <w:r w:rsidR="000B27D4" w:rsidRPr="007F356D">
          <w:rPr>
            <w:rStyle w:val="Hyperlink"/>
            <w:rFonts w:hint="eastAsia"/>
            <w:noProof/>
            <w:rtl/>
            <w:lang w:bidi="ar-EG"/>
          </w:rPr>
          <w:t>العالمي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2027</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9</w:t>
        </w:r>
        <w:r w:rsidR="000B27D4">
          <w:rPr>
            <w:noProof/>
            <w:webHidden/>
            <w:rtl/>
          </w:rPr>
          <w:fldChar w:fldCharType="end"/>
        </w:r>
      </w:hyperlink>
    </w:p>
    <w:p w14:paraId="16685C07" w14:textId="7240C6BE"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66" w:history="1">
        <w:r w:rsidR="000B27D4" w:rsidRPr="007F356D">
          <w:rPr>
            <w:rStyle w:val="Hyperlink"/>
            <w:noProof/>
            <w:lang w:bidi="ar-EG"/>
          </w:rPr>
          <w:t>2.4</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الأعمال</w:t>
        </w:r>
        <w:r w:rsidR="000B27D4" w:rsidRPr="007F356D">
          <w:rPr>
            <w:rStyle w:val="Hyperlink"/>
            <w:noProof/>
            <w:rtl/>
            <w:lang w:bidi="ar-EG"/>
          </w:rPr>
          <w:t xml:space="preserve"> </w:t>
        </w:r>
        <w:r w:rsidR="000B27D4" w:rsidRPr="007F356D">
          <w:rPr>
            <w:rStyle w:val="Hyperlink"/>
            <w:rFonts w:hint="eastAsia"/>
            <w:noProof/>
            <w:rtl/>
            <w:lang w:bidi="ar-EG"/>
          </w:rPr>
          <w:t>التحضيرية</w:t>
        </w:r>
        <w:r w:rsidR="000B27D4" w:rsidRPr="007F356D">
          <w:rPr>
            <w:rStyle w:val="Hyperlink"/>
            <w:noProof/>
            <w:rtl/>
            <w:lang w:bidi="ar-EG"/>
          </w:rPr>
          <w:t xml:space="preserve"> </w:t>
        </w:r>
        <w:r w:rsidR="000B27D4" w:rsidRPr="007F356D">
          <w:rPr>
            <w:rStyle w:val="Hyperlink"/>
            <w:rFonts w:hint="eastAsia"/>
            <w:noProof/>
            <w:rtl/>
            <w:lang w:bidi="ar-EG"/>
          </w:rPr>
          <w:t>الأخرى</w:t>
        </w:r>
        <w:r w:rsidR="000B27D4" w:rsidRPr="007F356D">
          <w:rPr>
            <w:rStyle w:val="Hyperlink"/>
            <w:noProof/>
            <w:rtl/>
            <w:lang w:bidi="ar-EG"/>
          </w:rPr>
          <w:t xml:space="preserve"> </w:t>
        </w:r>
        <w:r w:rsidR="000B27D4" w:rsidRPr="007F356D">
          <w:rPr>
            <w:rStyle w:val="Hyperlink"/>
            <w:rFonts w:hint="eastAsia"/>
            <w:noProof/>
            <w:rtl/>
            <w:lang w:bidi="ar-EG"/>
          </w:rPr>
          <w:t>ذات</w:t>
        </w:r>
        <w:r w:rsidR="000B27D4" w:rsidRPr="007F356D">
          <w:rPr>
            <w:rStyle w:val="Hyperlink"/>
            <w:noProof/>
            <w:rtl/>
            <w:lang w:bidi="ar-EG"/>
          </w:rPr>
          <w:t xml:space="preserve"> </w:t>
        </w:r>
        <w:r w:rsidR="000B27D4" w:rsidRPr="007F356D">
          <w:rPr>
            <w:rStyle w:val="Hyperlink"/>
            <w:rFonts w:hint="eastAsia"/>
            <w:noProof/>
            <w:rtl/>
            <w:lang w:bidi="ar-EG"/>
          </w:rPr>
          <w:t>الصلة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10</w:t>
        </w:r>
        <w:r w:rsidR="000B27D4">
          <w:rPr>
            <w:noProof/>
            <w:webHidden/>
            <w:rtl/>
          </w:rPr>
          <w:fldChar w:fldCharType="end"/>
        </w:r>
      </w:hyperlink>
    </w:p>
    <w:p w14:paraId="3C9F286C" w14:textId="5F518E68"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67" w:history="1">
        <w:r w:rsidR="000B27D4" w:rsidRPr="007F356D">
          <w:rPr>
            <w:rStyle w:val="Hyperlink"/>
            <w:noProof/>
            <w:lang w:bidi="ar-EG"/>
          </w:rPr>
          <w:t>5</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أنشطة</w:t>
        </w:r>
        <w:r w:rsidR="000B27D4" w:rsidRPr="007F356D">
          <w:rPr>
            <w:rStyle w:val="Hyperlink"/>
            <w:noProof/>
            <w:rtl/>
            <w:lang w:bidi="ar-EG"/>
          </w:rPr>
          <w:t xml:space="preserve"> </w:t>
        </w:r>
        <w:r w:rsidR="000B27D4" w:rsidRPr="007F356D">
          <w:rPr>
            <w:rStyle w:val="Hyperlink"/>
            <w:rFonts w:hint="eastAsia"/>
            <w:noProof/>
            <w:rtl/>
            <w:lang w:bidi="ar-EG"/>
          </w:rPr>
          <w:t>لجان</w:t>
        </w:r>
        <w:r w:rsidR="000B27D4" w:rsidRPr="007F356D">
          <w:rPr>
            <w:rStyle w:val="Hyperlink"/>
            <w:noProof/>
            <w:rtl/>
            <w:lang w:bidi="ar-EG"/>
          </w:rPr>
          <w:t xml:space="preserve"> </w:t>
        </w:r>
        <w:r w:rsidR="000B27D4" w:rsidRPr="007F356D">
          <w:rPr>
            <w:rStyle w:val="Hyperlink"/>
            <w:rFonts w:hint="eastAsia"/>
            <w:noProof/>
            <w:rtl/>
            <w:lang w:bidi="ar-EG"/>
          </w:rPr>
          <w:t>الدراسات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40DE93B2" w14:textId="2D330687"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68" w:history="1">
        <w:r w:rsidR="000B27D4" w:rsidRPr="007F356D">
          <w:rPr>
            <w:rStyle w:val="Hyperlink"/>
            <w:noProof/>
            <w:lang w:bidi="ar-EG"/>
          </w:rPr>
          <w:t>6</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التخطيط</w:t>
        </w:r>
        <w:r w:rsidR="000B27D4" w:rsidRPr="007F356D">
          <w:rPr>
            <w:rStyle w:val="Hyperlink"/>
            <w:noProof/>
            <w:rtl/>
            <w:lang w:bidi="ar-EG"/>
          </w:rPr>
          <w:t xml:space="preserve"> </w:t>
        </w:r>
        <w:r w:rsidR="000B27D4" w:rsidRPr="007F356D">
          <w:rPr>
            <w:rStyle w:val="Hyperlink"/>
            <w:rFonts w:hint="eastAsia"/>
            <w:noProof/>
            <w:rtl/>
            <w:lang w:bidi="ar-EG"/>
          </w:rPr>
          <w:t>التشغيلي</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35D4F30C" w14:textId="005E18A6"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69" w:history="1">
        <w:r w:rsidR="000B27D4" w:rsidRPr="007F356D">
          <w:rPr>
            <w:rStyle w:val="Hyperlink"/>
            <w:noProof/>
            <w:rtl/>
            <w:lang w:bidi="ar-EG"/>
          </w:rPr>
          <w:t>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نظام</w:t>
        </w:r>
        <w:r w:rsidR="000B27D4" w:rsidRPr="007F356D">
          <w:rPr>
            <w:rStyle w:val="Hyperlink"/>
            <w:noProof/>
            <w:rtl/>
            <w:lang w:bidi="ar-EG"/>
          </w:rPr>
          <w:t xml:space="preserve"> </w:t>
        </w:r>
        <w:r w:rsidR="000B27D4" w:rsidRPr="007F356D">
          <w:rPr>
            <w:rStyle w:val="Hyperlink"/>
            <w:rFonts w:hint="eastAsia"/>
            <w:noProof/>
            <w:rtl/>
            <w:lang w:bidi="ar-EG"/>
          </w:rPr>
          <w:t>معلومات</w:t>
        </w:r>
        <w:r w:rsidR="000B27D4" w:rsidRPr="007F356D">
          <w:rPr>
            <w:rStyle w:val="Hyperlink"/>
            <w:noProof/>
            <w:rtl/>
            <w:lang w:bidi="ar-EG"/>
          </w:rPr>
          <w:t xml:space="preserve"> </w:t>
        </w:r>
        <w:r w:rsidR="000B27D4" w:rsidRPr="007F356D">
          <w:rPr>
            <w:rStyle w:val="Hyperlink"/>
            <w:rFonts w:hint="eastAsia"/>
            <w:noProof/>
            <w:rtl/>
            <w:lang w:bidi="ar-EG"/>
          </w:rPr>
          <w:t>مكتب</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Toc223961969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457CF5F7" w14:textId="373312B3"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70" w:history="1">
        <w:r w:rsidR="000B27D4" w:rsidRPr="007F356D">
          <w:rPr>
            <w:rStyle w:val="Hyperlink"/>
            <w:noProof/>
            <w:lang w:bidi="ar-EG"/>
          </w:rPr>
          <w:t>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البرمجيات</w:t>
        </w:r>
        <w:r w:rsidR="000B27D4" w:rsidRPr="007F356D">
          <w:rPr>
            <w:rStyle w:val="Hyperlink"/>
            <w:noProof/>
            <w:rtl/>
            <w:lang w:bidi="ar-EG"/>
          </w:rPr>
          <w:t xml:space="preserve"> </w:t>
        </w:r>
        <w:r w:rsidR="000B27D4" w:rsidRPr="007F356D">
          <w:rPr>
            <w:rStyle w:val="Hyperlink"/>
            <w:rFonts w:hint="eastAsia"/>
            <w:noProof/>
            <w:rtl/>
            <w:lang w:bidi="ar-EG"/>
          </w:rPr>
          <w:t>والأدوات</w:t>
        </w:r>
        <w:r w:rsidR="000B27D4" w:rsidRPr="007F356D">
          <w:rPr>
            <w:rStyle w:val="Hyperlink"/>
            <w:noProof/>
            <w:rtl/>
            <w:lang w:bidi="ar-EG"/>
          </w:rPr>
          <w:t xml:space="preserve"> </w:t>
        </w:r>
        <w:r w:rsidR="000B27D4" w:rsidRPr="007F356D">
          <w:rPr>
            <w:rStyle w:val="Hyperlink"/>
            <w:rFonts w:hint="eastAsia"/>
            <w:noProof/>
            <w:rtl/>
            <w:lang w:bidi="ar-EG"/>
          </w:rPr>
          <w:t>الخاصة</w:t>
        </w:r>
        <w:r w:rsidR="000B27D4" w:rsidRPr="007F356D">
          <w:rPr>
            <w:rStyle w:val="Hyperlink"/>
            <w:noProof/>
            <w:rtl/>
            <w:lang w:bidi="ar-EG"/>
          </w:rPr>
          <w:t xml:space="preserve"> </w:t>
        </w:r>
        <w:r w:rsidR="000B27D4" w:rsidRPr="007F356D">
          <w:rPr>
            <w:rStyle w:val="Hyperlink"/>
            <w:rFonts w:hint="eastAsia"/>
            <w:noProof/>
            <w:rtl/>
            <w:lang w:bidi="ar-EG"/>
          </w:rPr>
          <w:t>بخدمات</w:t>
        </w:r>
        <w:r w:rsidR="000B27D4" w:rsidRPr="007F356D">
          <w:rPr>
            <w:rStyle w:val="Hyperlink"/>
            <w:noProof/>
            <w:rtl/>
            <w:lang w:bidi="ar-EG"/>
          </w:rPr>
          <w:t xml:space="preserve"> </w:t>
        </w:r>
        <w:r w:rsidR="000B27D4" w:rsidRPr="007F356D">
          <w:rPr>
            <w:rStyle w:val="Hyperlink"/>
            <w:rFonts w:hint="eastAsia"/>
            <w:noProof/>
            <w:rtl/>
            <w:lang w:bidi="ar-EG"/>
          </w:rPr>
          <w:t>الأرض</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Toc223961970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65F4E011" w14:textId="5301B129"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1" w:history="1">
        <w:r w:rsidR="000B27D4" w:rsidRPr="007F356D">
          <w:rPr>
            <w:rStyle w:val="Hyperlink"/>
            <w:noProof/>
            <w:lang w:bidi="ar-EG"/>
          </w:rPr>
          <w:t>1.1.7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تنفيذ</w:t>
        </w:r>
        <w:r w:rsidR="000B27D4" w:rsidRPr="007F356D">
          <w:rPr>
            <w:rStyle w:val="Hyperlink"/>
            <w:noProof/>
            <w:rtl/>
            <w:lang w:bidi="ar-EG"/>
          </w:rPr>
          <w:t xml:space="preserve"> </w:t>
        </w:r>
        <w:r w:rsidR="000B27D4" w:rsidRPr="007F356D">
          <w:rPr>
            <w:rStyle w:val="Hyperlink"/>
            <w:rFonts w:hint="eastAsia"/>
            <w:noProof/>
            <w:rtl/>
            <w:lang w:bidi="ar-EG"/>
          </w:rPr>
          <w:t>قرارات</w:t>
        </w:r>
        <w:r w:rsidR="000B27D4" w:rsidRPr="007F356D">
          <w:rPr>
            <w:rStyle w:val="Hyperlink"/>
            <w:noProof/>
            <w:rtl/>
            <w:lang w:bidi="ar-EG"/>
          </w:rPr>
          <w:t xml:space="preserve"> </w:t>
        </w:r>
        <w:r w:rsidR="000B27D4" w:rsidRPr="007F356D">
          <w:rPr>
            <w:rStyle w:val="Hyperlink"/>
            <w:rFonts w:hint="eastAsia"/>
            <w:noProof/>
            <w:rtl/>
            <w:lang w:bidi="ar-EG"/>
          </w:rPr>
          <w:t>المؤتمر</w:t>
        </w:r>
        <w:r w:rsidR="000B27D4" w:rsidRPr="007F356D">
          <w:rPr>
            <w:rStyle w:val="Hyperlink"/>
            <w:noProof/>
            <w:rtl/>
            <w:lang w:bidi="ar-EG"/>
          </w:rPr>
          <w:t xml:space="preserve"> </w:t>
        </w:r>
        <w:r w:rsidR="000B27D4" w:rsidRPr="007F356D">
          <w:rPr>
            <w:rStyle w:val="Hyperlink"/>
            <w:rFonts w:hint="eastAsia"/>
            <w:noProof/>
            <w:rtl/>
            <w:lang w:bidi="ar-EG"/>
          </w:rPr>
          <w:t>العالمي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2023 </w:t>
        </w:r>
        <w:r w:rsidR="000B27D4" w:rsidRPr="007F356D">
          <w:rPr>
            <w:rStyle w:val="Hyperlink"/>
            <w:rFonts w:hint="eastAsia"/>
            <w:noProof/>
            <w:rtl/>
            <w:lang w:bidi="ar-EG"/>
          </w:rPr>
          <w:t>المتعلقة</w:t>
        </w:r>
        <w:r w:rsidR="000B27D4" w:rsidRPr="007F356D">
          <w:rPr>
            <w:rStyle w:val="Hyperlink"/>
            <w:noProof/>
            <w:rtl/>
            <w:lang w:bidi="ar-EG"/>
          </w:rPr>
          <w:t xml:space="preserve"> </w:t>
        </w:r>
        <w:r w:rsidR="000B27D4" w:rsidRPr="007F356D">
          <w:rPr>
            <w:rStyle w:val="Hyperlink"/>
            <w:rFonts w:hint="eastAsia"/>
            <w:noProof/>
            <w:rtl/>
            <w:lang w:bidi="ar-EG"/>
          </w:rPr>
          <w:t>بخدمات</w:t>
        </w:r>
        <w:r w:rsidR="000B27D4" w:rsidRPr="007F356D">
          <w:rPr>
            <w:rStyle w:val="Hyperlink"/>
            <w:noProof/>
            <w:rtl/>
            <w:lang w:bidi="ar-EG"/>
          </w:rPr>
          <w:t xml:space="preserve"> </w:t>
        </w:r>
        <w:r w:rsidR="000B27D4" w:rsidRPr="007F356D">
          <w:rPr>
            <w:rStyle w:val="Hyperlink"/>
            <w:rFonts w:hint="eastAsia"/>
            <w:noProof/>
            <w:rtl/>
            <w:lang w:bidi="ar-EG"/>
          </w:rPr>
          <w:t>الأرض</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Toc223961971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7E44D61F" w14:textId="3D70E0B8"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2" w:history="1">
        <w:r w:rsidR="000B27D4" w:rsidRPr="007F356D">
          <w:rPr>
            <w:rStyle w:val="Hyperlink"/>
            <w:noProof/>
            <w:lang w:bidi="ar-EG"/>
          </w:rPr>
          <w:t>2.1.7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معالجة</w:t>
        </w:r>
        <w:r w:rsidR="000B27D4" w:rsidRPr="007F356D">
          <w:rPr>
            <w:rStyle w:val="Hyperlink"/>
            <w:noProof/>
            <w:rtl/>
            <w:lang w:bidi="ar-EG"/>
          </w:rPr>
          <w:t xml:space="preserve"> </w:t>
        </w:r>
        <w:r w:rsidR="000B27D4" w:rsidRPr="007F356D">
          <w:rPr>
            <w:rStyle w:val="Hyperlink"/>
            <w:rFonts w:hint="eastAsia"/>
            <w:noProof/>
            <w:rtl/>
            <w:lang w:bidi="ar-EG"/>
          </w:rPr>
          <w:t>طلبات</w:t>
        </w:r>
        <w:r w:rsidR="000B27D4" w:rsidRPr="007F356D">
          <w:rPr>
            <w:rStyle w:val="Hyperlink"/>
            <w:noProof/>
            <w:rtl/>
            <w:lang w:bidi="ar-EG"/>
          </w:rPr>
          <w:t xml:space="preserve"> </w:t>
        </w:r>
        <w:r w:rsidR="000B27D4" w:rsidRPr="007F356D">
          <w:rPr>
            <w:rStyle w:val="Hyperlink"/>
            <w:rFonts w:hint="eastAsia"/>
            <w:noProof/>
            <w:rtl/>
            <w:lang w:bidi="ar-EG"/>
          </w:rPr>
          <w:t>التنسيق</w:t>
        </w:r>
        <w:r w:rsidR="000B27D4" w:rsidRPr="007F356D">
          <w:rPr>
            <w:rStyle w:val="Hyperlink"/>
            <w:noProof/>
            <w:rtl/>
            <w:lang w:bidi="ar-EG"/>
          </w:rPr>
          <w:t xml:space="preserve"> </w:t>
        </w:r>
        <w:r w:rsidR="000B27D4" w:rsidRPr="007F356D">
          <w:rPr>
            <w:rStyle w:val="Hyperlink"/>
            <w:rFonts w:hint="eastAsia"/>
            <w:noProof/>
            <w:rtl/>
            <w:lang w:bidi="ar-EG"/>
          </w:rPr>
          <w:t>بموجب</w:t>
        </w:r>
        <w:r w:rsidR="000B27D4" w:rsidRPr="007F356D">
          <w:rPr>
            <w:rStyle w:val="Hyperlink"/>
            <w:noProof/>
            <w:rtl/>
            <w:lang w:bidi="ar-EG"/>
          </w:rPr>
          <w:t xml:space="preserve"> </w:t>
        </w:r>
        <w:r w:rsidR="000B27D4" w:rsidRPr="007F356D">
          <w:rPr>
            <w:rStyle w:val="Hyperlink"/>
            <w:rFonts w:hint="eastAsia"/>
            <w:noProof/>
            <w:rtl/>
            <w:lang w:bidi="ar-EG"/>
          </w:rPr>
          <w:t>الرقم</w:t>
        </w:r>
        <w:r w:rsidR="000B27D4" w:rsidRPr="007F356D">
          <w:rPr>
            <w:rStyle w:val="Hyperlink"/>
            <w:noProof/>
            <w:rtl/>
            <w:lang w:bidi="ar-EG"/>
          </w:rPr>
          <w:t xml:space="preserve"> 21.9 </w:t>
        </w:r>
        <w:r w:rsidR="000B27D4" w:rsidRPr="007F356D">
          <w:rPr>
            <w:rStyle w:val="Hyperlink"/>
            <w:rFonts w:hint="eastAsia"/>
            <w:noProof/>
            <w:rtl/>
            <w:lang w:bidi="ar-EG"/>
          </w:rPr>
          <w:t>من</w:t>
        </w:r>
        <w:r w:rsidR="000B27D4" w:rsidRPr="007F356D">
          <w:rPr>
            <w:rStyle w:val="Hyperlink"/>
            <w:noProof/>
            <w:rtl/>
            <w:lang w:bidi="ar-EG"/>
          </w:rPr>
          <w:t xml:space="preserve"> </w:t>
        </w:r>
        <w:r w:rsidR="000B27D4" w:rsidRPr="007F356D">
          <w:rPr>
            <w:rStyle w:val="Hyperlink"/>
            <w:rFonts w:hint="eastAsia"/>
            <w:noProof/>
            <w:rtl/>
            <w:lang w:bidi="ar-EG"/>
          </w:rPr>
          <w:t>لوائح</w:t>
        </w:r>
        <w:r w:rsidR="000B27D4" w:rsidRPr="007F356D">
          <w:rPr>
            <w:rStyle w:val="Hyperlink"/>
            <w:noProof/>
            <w:rtl/>
            <w:lang w:bidi="ar-EG"/>
          </w:rPr>
          <w:t xml:space="preserve"> </w:t>
        </w:r>
        <w:r w:rsidR="000B27D4" w:rsidRPr="007F356D">
          <w:rPr>
            <w:rStyle w:val="Hyperlink"/>
            <w:rFonts w:hint="eastAsia"/>
            <w:noProof/>
            <w:rtl/>
            <w:lang w:bidi="ar-EG"/>
          </w:rPr>
          <w:t>الراديو</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31D75D52" w14:textId="2C769765"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3" w:history="1">
        <w:r w:rsidR="000B27D4" w:rsidRPr="007F356D">
          <w:rPr>
            <w:rStyle w:val="Hyperlink"/>
            <w:noProof/>
            <w:lang w:bidi="ar-EG"/>
          </w:rPr>
          <w:t>3.1.7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معالجة</w:t>
        </w:r>
        <w:r w:rsidR="000B27D4" w:rsidRPr="007F356D">
          <w:rPr>
            <w:rStyle w:val="Hyperlink"/>
            <w:noProof/>
            <w:rtl/>
            <w:lang w:bidi="ar-EG"/>
          </w:rPr>
          <w:t xml:space="preserve"> </w:t>
        </w:r>
        <w:r w:rsidR="000B27D4" w:rsidRPr="007F356D">
          <w:rPr>
            <w:rStyle w:val="Hyperlink"/>
            <w:rFonts w:hint="eastAsia"/>
            <w:noProof/>
            <w:rtl/>
            <w:lang w:bidi="ar-EG"/>
          </w:rPr>
          <w:t>بطاقات</w:t>
        </w:r>
        <w:r w:rsidR="000B27D4" w:rsidRPr="007F356D">
          <w:rPr>
            <w:rStyle w:val="Hyperlink"/>
            <w:noProof/>
            <w:rtl/>
            <w:lang w:bidi="ar-EG"/>
          </w:rPr>
          <w:t xml:space="preserve"> </w:t>
        </w:r>
        <w:r w:rsidR="000B27D4" w:rsidRPr="007F356D">
          <w:rPr>
            <w:rStyle w:val="Hyperlink"/>
            <w:rFonts w:hint="eastAsia"/>
            <w:noProof/>
            <w:rtl/>
            <w:lang w:bidi="ar-EG"/>
          </w:rPr>
          <w:t>التبليغ</w:t>
        </w:r>
        <w:r w:rsidR="000B27D4" w:rsidRPr="007F356D">
          <w:rPr>
            <w:rStyle w:val="Hyperlink"/>
            <w:noProof/>
            <w:rtl/>
            <w:lang w:bidi="ar-EG"/>
          </w:rPr>
          <w:t xml:space="preserve"> </w:t>
        </w:r>
        <w:r w:rsidR="000B27D4" w:rsidRPr="007F356D">
          <w:rPr>
            <w:rStyle w:val="Hyperlink"/>
            <w:rFonts w:hint="eastAsia"/>
            <w:noProof/>
            <w:rtl/>
            <w:lang w:bidi="ar-EG"/>
          </w:rPr>
          <w:t>عن</w:t>
        </w:r>
        <w:r w:rsidR="000B27D4" w:rsidRPr="007F356D">
          <w:rPr>
            <w:rStyle w:val="Hyperlink"/>
            <w:noProof/>
            <w:rtl/>
            <w:lang w:bidi="ar-EG"/>
          </w:rPr>
          <w:t xml:space="preserve"> </w:t>
        </w:r>
        <w:r w:rsidR="000B27D4" w:rsidRPr="007F356D">
          <w:rPr>
            <w:rStyle w:val="Hyperlink"/>
            <w:rFonts w:hint="eastAsia"/>
            <w:noProof/>
            <w:rtl/>
            <w:lang w:bidi="ar-EG"/>
          </w:rPr>
          <w:t>محطات</w:t>
        </w:r>
        <w:r w:rsidR="000B27D4" w:rsidRPr="007F356D">
          <w:rPr>
            <w:rStyle w:val="Hyperlink"/>
            <w:noProof/>
            <w:rtl/>
            <w:lang w:bidi="ar-EG"/>
          </w:rPr>
          <w:t xml:space="preserve"> </w:t>
        </w:r>
        <w:r w:rsidR="000B27D4" w:rsidRPr="007F356D">
          <w:rPr>
            <w:rStyle w:val="Hyperlink"/>
            <w:rFonts w:hint="eastAsia"/>
            <w:noProof/>
            <w:rtl/>
            <w:lang w:bidi="ar-EG"/>
          </w:rPr>
          <w:t>المنصات</w:t>
        </w:r>
        <w:r w:rsidR="000B27D4" w:rsidRPr="007F356D">
          <w:rPr>
            <w:rStyle w:val="Hyperlink"/>
            <w:noProof/>
            <w:rtl/>
            <w:lang w:bidi="ar-EG"/>
          </w:rPr>
          <w:t xml:space="preserve"> </w:t>
        </w:r>
        <w:r w:rsidR="000B27D4" w:rsidRPr="007F356D">
          <w:rPr>
            <w:rStyle w:val="Hyperlink"/>
            <w:rFonts w:hint="eastAsia"/>
            <w:noProof/>
            <w:rtl/>
            <w:lang w:bidi="ar-EG"/>
          </w:rPr>
          <w:t>عالية</w:t>
        </w:r>
        <w:r w:rsidR="000B27D4" w:rsidRPr="007F356D">
          <w:rPr>
            <w:rStyle w:val="Hyperlink"/>
            <w:noProof/>
            <w:rtl/>
            <w:lang w:bidi="ar-EG"/>
          </w:rPr>
          <w:t xml:space="preserve"> </w:t>
        </w:r>
        <w:r w:rsidR="000B27D4" w:rsidRPr="007F356D">
          <w:rPr>
            <w:rStyle w:val="Hyperlink"/>
            <w:rFonts w:hint="eastAsia"/>
            <w:noProof/>
            <w:rtl/>
            <w:lang w:bidi="ar-EG"/>
          </w:rPr>
          <w:t>الارتفاع</w:t>
        </w:r>
        <w:r w:rsidR="000B27D4" w:rsidRPr="007F356D">
          <w:rPr>
            <w:rStyle w:val="Hyperlink"/>
            <w:noProof/>
            <w:rtl/>
            <w:lang w:bidi="ar-EG"/>
          </w:rPr>
          <w:t xml:space="preserve"> (</w:t>
        </w:r>
        <w:r w:rsidR="000B27D4" w:rsidRPr="007F356D">
          <w:rPr>
            <w:rStyle w:val="Hyperlink"/>
            <w:noProof/>
            <w:lang w:bidi="ar-EG"/>
          </w:rPr>
          <w:t>HAPS</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2E23E895" w14:textId="3BA18A33"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4" w:history="1">
        <w:r w:rsidR="000B27D4" w:rsidRPr="007F356D">
          <w:rPr>
            <w:rStyle w:val="Hyperlink"/>
            <w:noProof/>
            <w:lang w:bidi="ar-EG"/>
          </w:rPr>
          <w:t>4.1.7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إعادة</w:t>
        </w:r>
        <w:r w:rsidR="000B27D4" w:rsidRPr="007F356D">
          <w:rPr>
            <w:rStyle w:val="Hyperlink"/>
            <w:noProof/>
            <w:rtl/>
            <w:lang w:bidi="ar-EG"/>
          </w:rPr>
          <w:t xml:space="preserve"> </w:t>
        </w:r>
        <w:r w:rsidR="000B27D4" w:rsidRPr="007F356D">
          <w:rPr>
            <w:rStyle w:val="Hyperlink"/>
            <w:rFonts w:hint="eastAsia"/>
            <w:noProof/>
            <w:rtl/>
            <w:lang w:bidi="ar-EG"/>
          </w:rPr>
          <w:t>هندسة</w:t>
        </w:r>
        <w:r w:rsidR="000B27D4" w:rsidRPr="007F356D">
          <w:rPr>
            <w:rStyle w:val="Hyperlink"/>
            <w:noProof/>
            <w:rtl/>
            <w:lang w:bidi="ar-EG"/>
          </w:rPr>
          <w:t xml:space="preserve"> </w:t>
        </w:r>
        <w:r w:rsidR="000B27D4" w:rsidRPr="007F356D">
          <w:rPr>
            <w:rStyle w:val="Hyperlink"/>
            <w:rFonts w:hint="eastAsia"/>
            <w:noProof/>
            <w:rtl/>
            <w:lang w:bidi="ar-EG"/>
          </w:rPr>
          <w:t>برمجيات</w:t>
        </w:r>
        <w:r w:rsidR="000B27D4" w:rsidRPr="007F356D">
          <w:rPr>
            <w:rStyle w:val="Hyperlink"/>
            <w:noProof/>
            <w:rtl/>
            <w:lang w:bidi="ar-EG"/>
          </w:rPr>
          <w:t xml:space="preserve"> </w:t>
        </w:r>
        <w:r w:rsidR="000B27D4" w:rsidRPr="007F356D">
          <w:rPr>
            <w:rStyle w:val="Hyperlink"/>
            <w:rFonts w:hint="eastAsia"/>
            <w:noProof/>
            <w:rtl/>
            <w:lang w:bidi="ar-EG"/>
          </w:rPr>
          <w:t>الإذاعة</w:t>
        </w:r>
        <w:r w:rsidR="000B27D4" w:rsidRPr="007F356D">
          <w:rPr>
            <w:rStyle w:val="Hyperlink"/>
            <w:noProof/>
            <w:rtl/>
            <w:lang w:bidi="ar-EG"/>
          </w:rPr>
          <w:t xml:space="preserve"> </w:t>
        </w:r>
        <w:r w:rsidR="000B27D4" w:rsidRPr="007F356D">
          <w:rPr>
            <w:rStyle w:val="Hyperlink"/>
            <w:rFonts w:hint="eastAsia"/>
            <w:noProof/>
            <w:rtl/>
            <w:lang w:bidi="ar-EG"/>
          </w:rPr>
          <w:t>على</w:t>
        </w:r>
        <w:r w:rsidR="000B27D4" w:rsidRPr="007F356D">
          <w:rPr>
            <w:rStyle w:val="Hyperlink"/>
            <w:noProof/>
            <w:rtl/>
            <w:lang w:bidi="ar-EG"/>
          </w:rPr>
          <w:t xml:space="preserve"> </w:t>
        </w:r>
        <w:r w:rsidR="000B27D4" w:rsidRPr="007F356D">
          <w:rPr>
            <w:rStyle w:val="Hyperlink"/>
            <w:rFonts w:hint="eastAsia"/>
            <w:noProof/>
            <w:rtl/>
            <w:lang w:bidi="ar-EG"/>
          </w:rPr>
          <w:t>الموجات</w:t>
        </w:r>
        <w:r w:rsidR="000B27D4" w:rsidRPr="007F356D">
          <w:rPr>
            <w:rStyle w:val="Hyperlink"/>
            <w:noProof/>
            <w:rtl/>
            <w:lang w:bidi="ar-EG"/>
          </w:rPr>
          <w:t xml:space="preserve"> </w:t>
        </w:r>
        <w:r w:rsidR="000B27D4" w:rsidRPr="007F356D">
          <w:rPr>
            <w:rStyle w:val="Hyperlink"/>
            <w:rFonts w:hint="eastAsia"/>
            <w:noProof/>
            <w:rtl/>
            <w:lang w:bidi="ar-EG"/>
          </w:rPr>
          <w:t>الديكامترية</w:t>
        </w:r>
        <w:r w:rsidR="000B27D4" w:rsidRPr="007F356D">
          <w:rPr>
            <w:rStyle w:val="Hyperlink"/>
            <w:noProof/>
            <w:rtl/>
            <w:lang w:bidi="ar-EG"/>
          </w:rPr>
          <w:t xml:space="preserve"> (</w:t>
        </w:r>
        <w:r w:rsidR="000B27D4" w:rsidRPr="007F356D">
          <w:rPr>
            <w:rStyle w:val="Hyperlink"/>
            <w:noProof/>
            <w:lang w:bidi="ar-EG"/>
          </w:rPr>
          <w:t>HFBC</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11</w:t>
        </w:r>
        <w:r w:rsidR="000B27D4">
          <w:rPr>
            <w:noProof/>
            <w:webHidden/>
            <w:rtl/>
          </w:rPr>
          <w:fldChar w:fldCharType="end"/>
        </w:r>
      </w:hyperlink>
    </w:p>
    <w:p w14:paraId="329E7525" w14:textId="059F1758"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5" w:history="1">
        <w:r w:rsidR="000B27D4" w:rsidRPr="007F356D">
          <w:rPr>
            <w:rStyle w:val="Hyperlink"/>
            <w:noProof/>
            <w:lang w:bidi="ar-EG"/>
          </w:rPr>
          <w:t>5.1.7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الانتقال</w:t>
        </w:r>
        <w:r w:rsidR="000B27D4" w:rsidRPr="007F356D">
          <w:rPr>
            <w:rStyle w:val="Hyperlink"/>
            <w:noProof/>
            <w:rtl/>
            <w:lang w:bidi="ar-EG"/>
          </w:rPr>
          <w:t xml:space="preserve"> </w:t>
        </w:r>
        <w:r w:rsidR="000B27D4" w:rsidRPr="007F356D">
          <w:rPr>
            <w:rStyle w:val="Hyperlink"/>
            <w:rFonts w:hint="eastAsia"/>
            <w:noProof/>
            <w:rtl/>
            <w:lang w:bidi="ar-EG"/>
          </w:rPr>
          <w:t>من</w:t>
        </w:r>
        <w:r w:rsidR="000B27D4" w:rsidRPr="007F356D">
          <w:rPr>
            <w:rStyle w:val="Hyperlink"/>
            <w:noProof/>
            <w:rtl/>
            <w:lang w:bidi="ar-EG"/>
          </w:rPr>
          <w:t xml:space="preserve"> </w:t>
        </w:r>
        <w:r w:rsidR="000B27D4" w:rsidRPr="007F356D">
          <w:rPr>
            <w:rStyle w:val="Hyperlink"/>
            <w:rFonts w:hint="eastAsia"/>
            <w:noProof/>
            <w:rtl/>
            <w:lang w:bidi="ar-EG"/>
          </w:rPr>
          <w:t>قاعدة</w:t>
        </w:r>
        <w:r w:rsidR="000B27D4" w:rsidRPr="007F356D">
          <w:rPr>
            <w:rStyle w:val="Hyperlink"/>
            <w:noProof/>
            <w:rtl/>
            <w:lang w:bidi="ar-EG"/>
          </w:rPr>
          <w:t xml:space="preserve"> </w:t>
        </w:r>
        <w:r w:rsidR="000B27D4" w:rsidRPr="007F356D">
          <w:rPr>
            <w:rStyle w:val="Hyperlink"/>
            <w:rFonts w:hint="eastAsia"/>
            <w:noProof/>
            <w:rtl/>
            <w:lang w:bidi="ar-EG"/>
          </w:rPr>
          <w:t>بيانات</w:t>
        </w:r>
        <w:r w:rsidR="000B27D4" w:rsidRPr="007F356D">
          <w:rPr>
            <w:rStyle w:val="Hyperlink"/>
            <w:noProof/>
            <w:rtl/>
            <w:lang w:bidi="ar-EG"/>
          </w:rPr>
          <w:t xml:space="preserve"> </w:t>
        </w:r>
        <w:r w:rsidR="000B27D4" w:rsidRPr="007F356D">
          <w:rPr>
            <w:rStyle w:val="Hyperlink"/>
            <w:noProof/>
            <w:lang w:bidi="ar-EG"/>
          </w:rPr>
          <w:t>Ingres</w:t>
        </w:r>
        <w:r w:rsidR="000B27D4" w:rsidRPr="007F356D">
          <w:rPr>
            <w:rStyle w:val="Hyperlink"/>
            <w:noProof/>
            <w:rtl/>
            <w:lang w:bidi="ar-EG"/>
          </w:rPr>
          <w:t xml:space="preserve"> </w:t>
        </w:r>
        <w:r w:rsidR="000B27D4" w:rsidRPr="007F356D">
          <w:rPr>
            <w:rStyle w:val="Hyperlink"/>
            <w:rFonts w:hint="eastAsia"/>
            <w:noProof/>
            <w:rtl/>
            <w:lang w:bidi="ar-EG"/>
          </w:rPr>
          <w:t>إلى</w:t>
        </w:r>
        <w:r w:rsidR="000B27D4" w:rsidRPr="007F356D">
          <w:rPr>
            <w:rStyle w:val="Hyperlink"/>
            <w:noProof/>
            <w:rtl/>
            <w:lang w:bidi="ar-EG"/>
          </w:rPr>
          <w:t xml:space="preserve"> </w:t>
        </w:r>
        <w:r w:rsidR="000B27D4" w:rsidRPr="007F356D">
          <w:rPr>
            <w:rStyle w:val="Hyperlink"/>
            <w:rFonts w:hint="eastAsia"/>
            <w:noProof/>
            <w:rtl/>
            <w:lang w:bidi="ar-EG"/>
          </w:rPr>
          <w:t>مخدِّم</w:t>
        </w:r>
        <w:r w:rsidR="000B27D4" w:rsidRPr="007F356D">
          <w:rPr>
            <w:rStyle w:val="Hyperlink"/>
            <w:noProof/>
            <w:rtl/>
            <w:lang w:bidi="ar-EG"/>
          </w:rPr>
          <w:t xml:space="preserve"> </w:t>
        </w:r>
        <w:r w:rsidR="000B27D4" w:rsidRPr="007F356D">
          <w:rPr>
            <w:rStyle w:val="Hyperlink"/>
            <w:noProof/>
            <w:lang w:bidi="ar-EG"/>
          </w:rPr>
          <w:t>SQL</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12</w:t>
        </w:r>
        <w:r w:rsidR="000B27D4">
          <w:rPr>
            <w:noProof/>
            <w:webHidden/>
            <w:rtl/>
          </w:rPr>
          <w:fldChar w:fldCharType="end"/>
        </w:r>
      </w:hyperlink>
    </w:p>
    <w:p w14:paraId="0400DE31" w14:textId="5169351A"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6" w:history="1">
        <w:r w:rsidR="000B27D4" w:rsidRPr="007F356D">
          <w:rPr>
            <w:rStyle w:val="Hyperlink"/>
            <w:noProof/>
            <w:rtl/>
            <w:lang w:bidi="ar-EG"/>
          </w:rPr>
          <w:t>6.1.7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مشروع</w:t>
        </w:r>
        <w:r w:rsidR="000B27D4" w:rsidRPr="007F356D">
          <w:rPr>
            <w:rStyle w:val="Hyperlink"/>
            <w:noProof/>
            <w:rtl/>
            <w:lang w:bidi="ar-EG"/>
          </w:rPr>
          <w:t xml:space="preserve"> </w:t>
        </w:r>
        <w:r w:rsidR="000B27D4" w:rsidRPr="007F356D">
          <w:rPr>
            <w:rStyle w:val="Hyperlink"/>
            <w:rFonts w:hint="eastAsia"/>
            <w:noProof/>
            <w:rtl/>
            <w:lang w:bidi="ar-EG"/>
          </w:rPr>
          <w:t>منشورات</w:t>
        </w:r>
        <w:r w:rsidR="000B27D4" w:rsidRPr="007F356D">
          <w:rPr>
            <w:rStyle w:val="Hyperlink"/>
            <w:noProof/>
            <w:rtl/>
            <w:lang w:bidi="ar-EG"/>
          </w:rPr>
          <w:t xml:space="preserve"> </w:t>
        </w:r>
        <w:r w:rsidR="000B27D4" w:rsidRPr="007F356D">
          <w:rPr>
            <w:rStyle w:val="Hyperlink"/>
            <w:rFonts w:hint="eastAsia"/>
            <w:noProof/>
            <w:rtl/>
            <w:lang w:bidi="ar-EG"/>
          </w:rPr>
          <w:t>الخدمة</w:t>
        </w:r>
        <w:r w:rsidR="000B27D4" w:rsidRPr="007F356D">
          <w:rPr>
            <w:rStyle w:val="Hyperlink"/>
            <w:noProof/>
            <w:rtl/>
            <w:lang w:bidi="ar-EG"/>
          </w:rPr>
          <w:t xml:space="preserve"> </w:t>
        </w:r>
        <w:r w:rsidR="000B27D4" w:rsidRPr="007F356D">
          <w:rPr>
            <w:rStyle w:val="Hyperlink"/>
            <w:rFonts w:hint="eastAsia"/>
            <w:noProof/>
            <w:rtl/>
            <w:lang w:bidi="ar-EG"/>
          </w:rPr>
          <w:t>البحرية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12</w:t>
        </w:r>
        <w:r w:rsidR="000B27D4">
          <w:rPr>
            <w:noProof/>
            <w:webHidden/>
            <w:rtl/>
          </w:rPr>
          <w:fldChar w:fldCharType="end"/>
        </w:r>
      </w:hyperlink>
    </w:p>
    <w:p w14:paraId="3058B7CC" w14:textId="12FD1742"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7" w:history="1">
        <w:r w:rsidR="000B27D4" w:rsidRPr="007F356D">
          <w:rPr>
            <w:rStyle w:val="Hyperlink"/>
            <w:noProof/>
            <w:rtl/>
            <w:lang w:bidi="ar-EG"/>
          </w:rPr>
          <w:t>7.1.7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التداخل</w:t>
        </w:r>
        <w:r w:rsidR="000B27D4" w:rsidRPr="007F356D">
          <w:rPr>
            <w:rStyle w:val="Hyperlink"/>
            <w:noProof/>
            <w:rtl/>
            <w:lang w:bidi="ar-EG"/>
          </w:rPr>
          <w:t xml:space="preserve"> </w:t>
        </w:r>
        <w:r w:rsidR="000B27D4" w:rsidRPr="007F356D">
          <w:rPr>
            <w:rStyle w:val="Hyperlink"/>
            <w:rFonts w:hint="eastAsia"/>
            <w:noProof/>
            <w:rtl/>
            <w:lang w:bidi="ar-EG"/>
          </w:rPr>
          <w:t>الضار</w:t>
        </w:r>
        <w:r w:rsidR="000B27D4" w:rsidRPr="007F356D">
          <w:rPr>
            <w:rStyle w:val="Hyperlink"/>
            <w:noProof/>
            <w:rtl/>
            <w:lang w:bidi="ar-EG"/>
          </w:rPr>
          <w:t xml:space="preserve"> </w:t>
        </w:r>
        <w:r w:rsidR="000B27D4" w:rsidRPr="007F356D">
          <w:rPr>
            <w:rStyle w:val="Hyperlink"/>
            <w:rFonts w:hint="eastAsia"/>
            <w:noProof/>
            <w:rtl/>
            <w:lang w:bidi="ar-EG"/>
          </w:rPr>
          <w:t>على</w:t>
        </w:r>
        <w:r w:rsidR="000B27D4" w:rsidRPr="007F356D">
          <w:rPr>
            <w:rStyle w:val="Hyperlink"/>
            <w:noProof/>
            <w:rtl/>
            <w:lang w:bidi="ar-EG"/>
          </w:rPr>
          <w:t xml:space="preserve"> </w:t>
        </w:r>
        <w:r w:rsidR="000B27D4" w:rsidRPr="007F356D">
          <w:rPr>
            <w:rStyle w:val="Hyperlink"/>
            <w:rFonts w:hint="eastAsia"/>
            <w:noProof/>
            <w:rtl/>
            <w:lang w:bidi="ar-EG"/>
          </w:rPr>
          <w:t>خدمات</w:t>
        </w:r>
        <w:r w:rsidR="000B27D4" w:rsidRPr="007F356D">
          <w:rPr>
            <w:rStyle w:val="Hyperlink"/>
            <w:noProof/>
            <w:rtl/>
            <w:lang w:bidi="ar-EG"/>
          </w:rPr>
          <w:t xml:space="preserve"> </w:t>
        </w:r>
        <w:r w:rsidR="000B27D4" w:rsidRPr="007F356D">
          <w:rPr>
            <w:rStyle w:val="Hyperlink"/>
            <w:rFonts w:hint="eastAsia"/>
            <w:noProof/>
            <w:rtl/>
            <w:lang w:bidi="ar-EG"/>
          </w:rPr>
          <w:t>الأرض</w:t>
        </w:r>
        <w:r w:rsidR="000B27D4" w:rsidRPr="007F356D">
          <w:rPr>
            <w:rStyle w:val="Hyperlink"/>
            <w:noProof/>
            <w:rtl/>
            <w:lang w:bidi="ar-EG"/>
          </w:rPr>
          <w:t xml:space="preserve"> (</w:t>
        </w:r>
        <w:r w:rsidR="000B27D4" w:rsidRPr="007F356D">
          <w:rPr>
            <w:rStyle w:val="Hyperlink"/>
            <w:noProof/>
            <w:lang w:bidi="ar-EG"/>
          </w:rPr>
          <w:t>HITS</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12</w:t>
        </w:r>
        <w:r w:rsidR="000B27D4">
          <w:rPr>
            <w:noProof/>
            <w:webHidden/>
            <w:rtl/>
          </w:rPr>
          <w:fldChar w:fldCharType="end"/>
        </w:r>
      </w:hyperlink>
    </w:p>
    <w:p w14:paraId="568FD736" w14:textId="3A4C4858"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78" w:history="1">
        <w:r w:rsidR="000B27D4" w:rsidRPr="007F356D">
          <w:rPr>
            <w:rStyle w:val="Hyperlink"/>
            <w:noProof/>
            <w:lang w:bidi="ar-EG"/>
          </w:rPr>
          <w:t>8.1.7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مواصلة</w:t>
        </w:r>
        <w:r w:rsidR="000B27D4" w:rsidRPr="007F356D">
          <w:rPr>
            <w:rStyle w:val="Hyperlink"/>
            <w:noProof/>
            <w:rtl/>
            <w:lang w:bidi="ar-EG"/>
          </w:rPr>
          <w:t xml:space="preserve"> </w:t>
        </w:r>
        <w:r w:rsidR="000B27D4" w:rsidRPr="007F356D">
          <w:rPr>
            <w:rStyle w:val="Hyperlink"/>
            <w:rFonts w:hint="eastAsia"/>
            <w:noProof/>
            <w:rtl/>
            <w:lang w:bidi="ar-EG"/>
          </w:rPr>
          <w:t>تحسين</w:t>
        </w:r>
        <w:r w:rsidR="000B27D4" w:rsidRPr="007F356D">
          <w:rPr>
            <w:rStyle w:val="Hyperlink"/>
            <w:noProof/>
            <w:rtl/>
            <w:lang w:bidi="ar-EG"/>
          </w:rPr>
          <w:t xml:space="preserve"> </w:t>
        </w:r>
        <w:r w:rsidR="000B27D4" w:rsidRPr="007F356D">
          <w:rPr>
            <w:rStyle w:val="Hyperlink"/>
            <w:rFonts w:hint="eastAsia"/>
            <w:noProof/>
            <w:rtl/>
            <w:lang w:bidi="ar-EG"/>
          </w:rPr>
          <w:t>أدوات</w:t>
        </w:r>
        <w:r w:rsidR="000B27D4" w:rsidRPr="007F356D">
          <w:rPr>
            <w:rStyle w:val="Hyperlink"/>
            <w:noProof/>
            <w:rtl/>
            <w:lang w:bidi="ar-EG"/>
          </w:rPr>
          <w:t xml:space="preserve"> </w:t>
        </w:r>
        <w:r w:rsidR="000B27D4" w:rsidRPr="007F356D">
          <w:rPr>
            <w:rStyle w:val="Hyperlink"/>
            <w:rFonts w:hint="eastAsia"/>
            <w:noProof/>
            <w:rtl/>
            <w:lang w:bidi="ar-EG"/>
          </w:rPr>
          <w:t>الويب</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12</w:t>
        </w:r>
        <w:r w:rsidR="000B27D4">
          <w:rPr>
            <w:noProof/>
            <w:webHidden/>
            <w:rtl/>
          </w:rPr>
          <w:fldChar w:fldCharType="end"/>
        </w:r>
      </w:hyperlink>
    </w:p>
    <w:p w14:paraId="6740251B" w14:textId="20E99987"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79" w:history="1">
        <w:r w:rsidR="000B27D4" w:rsidRPr="007F356D">
          <w:rPr>
            <w:rStyle w:val="Hyperlink"/>
            <w:noProof/>
            <w:rtl/>
            <w:lang w:bidi="ar-EG"/>
          </w:rPr>
          <w:t>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البرمجيات</w:t>
        </w:r>
        <w:r w:rsidR="000B27D4" w:rsidRPr="007F356D">
          <w:rPr>
            <w:rStyle w:val="Hyperlink"/>
            <w:noProof/>
            <w:rtl/>
            <w:lang w:bidi="ar-EG"/>
          </w:rPr>
          <w:t xml:space="preserve"> </w:t>
        </w:r>
        <w:r w:rsidR="000B27D4" w:rsidRPr="007F356D">
          <w:rPr>
            <w:rStyle w:val="Hyperlink"/>
            <w:rFonts w:hint="eastAsia"/>
            <w:noProof/>
            <w:rtl/>
            <w:lang w:bidi="ar-EG"/>
          </w:rPr>
          <w:t>والأدوات</w:t>
        </w:r>
        <w:r w:rsidR="000B27D4" w:rsidRPr="007F356D">
          <w:rPr>
            <w:rStyle w:val="Hyperlink"/>
            <w:noProof/>
            <w:rtl/>
            <w:lang w:bidi="ar-EG"/>
          </w:rPr>
          <w:t xml:space="preserve"> </w:t>
        </w:r>
        <w:r w:rsidR="000B27D4" w:rsidRPr="007F356D">
          <w:rPr>
            <w:rStyle w:val="Hyperlink"/>
            <w:rFonts w:hint="eastAsia"/>
            <w:noProof/>
            <w:rtl/>
            <w:lang w:bidi="ar-EG"/>
          </w:rPr>
          <w:t>الفضائية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Toc223961979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13</w:t>
        </w:r>
        <w:r w:rsidR="000B27D4">
          <w:rPr>
            <w:noProof/>
            <w:webHidden/>
            <w:rtl/>
          </w:rPr>
          <w:fldChar w:fldCharType="end"/>
        </w:r>
      </w:hyperlink>
    </w:p>
    <w:p w14:paraId="22DC6BA1" w14:textId="500DFCDD"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0" w:history="1">
        <w:r w:rsidR="000B27D4" w:rsidRPr="007F356D">
          <w:rPr>
            <w:rStyle w:val="Hyperlink"/>
            <w:noProof/>
            <w:lang w:bidi="ar-EG"/>
          </w:rPr>
          <w:t>1.2.7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rPr>
          <w:t>تنفيذ</w:t>
        </w:r>
        <w:r w:rsidR="000B27D4" w:rsidRPr="007F356D">
          <w:rPr>
            <w:rStyle w:val="Hyperlink"/>
            <w:noProof/>
            <w:rtl/>
          </w:rPr>
          <w:t xml:space="preserve"> </w:t>
        </w:r>
        <w:r w:rsidR="000B27D4" w:rsidRPr="007F356D">
          <w:rPr>
            <w:rStyle w:val="Hyperlink"/>
            <w:rFonts w:hint="eastAsia"/>
            <w:noProof/>
            <w:rtl/>
          </w:rPr>
          <w:t>قرارات</w:t>
        </w:r>
        <w:r w:rsidR="000B27D4" w:rsidRPr="007F356D">
          <w:rPr>
            <w:rStyle w:val="Hyperlink"/>
            <w:noProof/>
            <w:rtl/>
          </w:rPr>
          <w:t xml:space="preserve"> </w:t>
        </w:r>
        <w:r w:rsidR="000B27D4" w:rsidRPr="007F356D">
          <w:rPr>
            <w:rStyle w:val="Hyperlink"/>
            <w:rFonts w:hint="eastAsia"/>
            <w:noProof/>
            <w:rtl/>
          </w:rPr>
          <w:t>المؤتمر</w:t>
        </w:r>
        <w:r w:rsidR="000B27D4" w:rsidRPr="007F356D">
          <w:rPr>
            <w:rStyle w:val="Hyperlink"/>
            <w:noProof/>
            <w:rtl/>
          </w:rPr>
          <w:t xml:space="preserve"> </w:t>
        </w:r>
        <w:r w:rsidR="000B27D4" w:rsidRPr="007F356D">
          <w:rPr>
            <w:rStyle w:val="Hyperlink"/>
            <w:noProof/>
            <w:lang w:bidi="ar-EG"/>
          </w:rPr>
          <w:t>WRC-23</w:t>
        </w:r>
        <w:r w:rsidR="000B27D4" w:rsidRPr="007F356D">
          <w:rPr>
            <w:rStyle w:val="Hyperlink"/>
            <w:noProof/>
            <w:rtl/>
          </w:rPr>
          <w:t xml:space="preserve"> </w:t>
        </w:r>
        <w:r w:rsidR="000B27D4" w:rsidRPr="007F356D">
          <w:rPr>
            <w:rStyle w:val="Hyperlink"/>
            <w:rFonts w:hint="eastAsia"/>
            <w:noProof/>
            <w:rtl/>
          </w:rPr>
          <w:t>المتعلقة</w:t>
        </w:r>
        <w:r w:rsidR="000B27D4" w:rsidRPr="007F356D">
          <w:rPr>
            <w:rStyle w:val="Hyperlink"/>
            <w:noProof/>
            <w:rtl/>
          </w:rPr>
          <w:t xml:space="preserve"> </w:t>
        </w:r>
        <w:r w:rsidR="000B27D4" w:rsidRPr="007F356D">
          <w:rPr>
            <w:rStyle w:val="Hyperlink"/>
            <w:rFonts w:hint="eastAsia"/>
            <w:noProof/>
            <w:rtl/>
          </w:rPr>
          <w:t>بالخدمات</w:t>
        </w:r>
        <w:r w:rsidR="000B27D4" w:rsidRPr="007F356D">
          <w:rPr>
            <w:rStyle w:val="Hyperlink"/>
            <w:noProof/>
            <w:rtl/>
          </w:rPr>
          <w:t xml:space="preserve"> </w:t>
        </w:r>
        <w:r w:rsidR="000B27D4" w:rsidRPr="007F356D">
          <w:rPr>
            <w:rStyle w:val="Hyperlink"/>
            <w:rFonts w:hint="eastAsia"/>
            <w:noProof/>
            <w:rtl/>
          </w:rPr>
          <w:t>الفضائية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Toc223961980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13</w:t>
        </w:r>
        <w:r w:rsidR="000B27D4">
          <w:rPr>
            <w:noProof/>
            <w:webHidden/>
            <w:rtl/>
          </w:rPr>
          <w:fldChar w:fldCharType="end"/>
        </w:r>
      </w:hyperlink>
    </w:p>
    <w:p w14:paraId="7D19CBC3" w14:textId="0144FE29"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1" w:history="1">
        <w:r w:rsidR="000B27D4" w:rsidRPr="007F356D">
          <w:rPr>
            <w:rStyle w:val="Hyperlink"/>
            <w:noProof/>
            <w:spacing w:val="-4"/>
            <w:lang w:bidi="ar-EG"/>
          </w:rPr>
          <w:t>2.2.7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spacing w:val="-4"/>
            <w:rtl/>
            <w:lang w:bidi="ar-EG"/>
          </w:rPr>
          <w:t>التقدم</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المحرز</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في</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تنفيذ</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خارطة</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طريق</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أنظمة</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المعلومات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الفضائية</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لدى</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مكتب</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الاتصالات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الراديوية</w:t>
        </w:r>
        <w:r w:rsidR="000B27D4" w:rsidRPr="007F356D">
          <w:rPr>
            <w:rStyle w:val="Hyperlink"/>
            <w:noProof/>
            <w:spacing w:val="-4"/>
            <w:rtl/>
            <w:lang w:bidi="ar-EG"/>
          </w:rPr>
          <w:t xml:space="preserve"> (</w:t>
        </w:r>
        <w:r w:rsidR="000B27D4" w:rsidRPr="007F356D">
          <w:rPr>
            <w:rStyle w:val="Hyperlink"/>
            <w:noProof/>
            <w:spacing w:val="-4"/>
            <w:lang w:bidi="ar-EG"/>
          </w:rPr>
          <w:t>RAG-19</w:t>
        </w:r>
        <w:r w:rsidR="000B27D4" w:rsidRPr="007F356D">
          <w:rPr>
            <w:rStyle w:val="Hyperlink"/>
            <w:rFonts w:hint="eastAsia"/>
            <w:noProof/>
            <w:spacing w:val="-4"/>
            <w:rtl/>
            <w:lang w:bidi="ar-EG"/>
          </w:rPr>
          <w:t>،</w:t>
        </w:r>
        <w:r w:rsidR="000B27D4" w:rsidRPr="007F356D">
          <w:rPr>
            <w:rStyle w:val="Hyperlink"/>
            <w:noProof/>
            <w:spacing w:val="-4"/>
            <w:rtl/>
            <w:lang w:bidi="ar-EG"/>
          </w:rPr>
          <w:t xml:space="preserve"> 2012)</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Toc223961981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14</w:t>
        </w:r>
        <w:r w:rsidR="000B27D4">
          <w:rPr>
            <w:noProof/>
            <w:webHidden/>
            <w:rtl/>
          </w:rPr>
          <w:fldChar w:fldCharType="end"/>
        </w:r>
      </w:hyperlink>
    </w:p>
    <w:p w14:paraId="61AAF498" w14:textId="2E392E3D"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2" w:history="1">
        <w:r w:rsidR="000B27D4" w:rsidRPr="007F356D">
          <w:rPr>
            <w:rStyle w:val="Hyperlink"/>
            <w:noProof/>
            <w:lang w:bidi="ar-EG"/>
          </w:rPr>
          <w:t>3.2.7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التقدم</w:t>
        </w:r>
        <w:r w:rsidR="000B27D4" w:rsidRPr="007F356D">
          <w:rPr>
            <w:rStyle w:val="Hyperlink"/>
            <w:noProof/>
            <w:rtl/>
            <w:lang w:bidi="ar-EG"/>
          </w:rPr>
          <w:t xml:space="preserve"> </w:t>
        </w:r>
        <w:r w:rsidR="000B27D4" w:rsidRPr="007F356D">
          <w:rPr>
            <w:rStyle w:val="Hyperlink"/>
            <w:rFonts w:hint="eastAsia"/>
            <w:noProof/>
            <w:rtl/>
            <w:lang w:bidi="ar-EG"/>
          </w:rPr>
          <w:t>المحرز</w:t>
        </w:r>
        <w:r w:rsidR="000B27D4" w:rsidRPr="007F356D">
          <w:rPr>
            <w:rStyle w:val="Hyperlink"/>
            <w:noProof/>
            <w:rtl/>
            <w:lang w:bidi="ar-EG"/>
          </w:rPr>
          <w:t xml:space="preserve"> </w:t>
        </w:r>
        <w:r w:rsidR="000B27D4" w:rsidRPr="007F356D">
          <w:rPr>
            <w:rStyle w:val="Hyperlink"/>
            <w:rFonts w:hint="eastAsia"/>
            <w:noProof/>
            <w:rtl/>
            <w:lang w:bidi="ar-EG"/>
          </w:rPr>
          <w:t>نحو</w:t>
        </w:r>
        <w:r w:rsidR="000B27D4" w:rsidRPr="007F356D">
          <w:rPr>
            <w:rStyle w:val="Hyperlink"/>
            <w:noProof/>
            <w:rtl/>
            <w:lang w:bidi="ar-EG"/>
          </w:rPr>
          <w:t xml:space="preserve"> </w:t>
        </w:r>
        <w:r w:rsidR="000B27D4" w:rsidRPr="007F356D">
          <w:rPr>
            <w:rStyle w:val="Hyperlink"/>
            <w:rFonts w:hint="eastAsia"/>
            <w:noProof/>
            <w:rtl/>
            <w:lang w:bidi="ar-EG"/>
          </w:rPr>
          <w:t>تحقيق</w:t>
        </w:r>
        <w:r w:rsidR="000B27D4" w:rsidRPr="007F356D">
          <w:rPr>
            <w:rStyle w:val="Hyperlink"/>
            <w:noProof/>
            <w:rtl/>
            <w:lang w:bidi="ar-EG"/>
          </w:rPr>
          <w:t xml:space="preserve"> </w:t>
        </w:r>
        <w:r w:rsidR="000B27D4" w:rsidRPr="007F356D">
          <w:rPr>
            <w:rStyle w:val="Hyperlink"/>
            <w:rFonts w:hint="eastAsia"/>
            <w:noProof/>
            <w:rtl/>
            <w:lang w:bidi="ar-EG"/>
          </w:rPr>
          <w:t>أهداف</w:t>
        </w:r>
        <w:r w:rsidR="000B27D4" w:rsidRPr="007F356D">
          <w:rPr>
            <w:rStyle w:val="Hyperlink"/>
            <w:noProof/>
            <w:rtl/>
            <w:lang w:bidi="ar-EG"/>
          </w:rPr>
          <w:t xml:space="preserve"> </w:t>
        </w:r>
        <w:r w:rsidR="000B27D4" w:rsidRPr="007F356D">
          <w:rPr>
            <w:rStyle w:val="Hyperlink"/>
            <w:rFonts w:hint="eastAsia"/>
            <w:noProof/>
            <w:rtl/>
            <w:lang w:bidi="ar-EG"/>
          </w:rPr>
          <w:t>المرحلة</w:t>
        </w:r>
        <w:r w:rsidR="000B27D4" w:rsidRPr="007F356D">
          <w:rPr>
            <w:rStyle w:val="Hyperlink"/>
            <w:noProof/>
            <w:rtl/>
            <w:lang w:bidi="ar-EG"/>
          </w:rPr>
          <w:t xml:space="preserve"> 2 </w:t>
        </w:r>
        <w:r w:rsidR="000B27D4" w:rsidRPr="007F356D">
          <w:rPr>
            <w:rStyle w:val="Hyperlink"/>
            <w:rFonts w:hint="eastAsia"/>
            <w:noProof/>
            <w:rtl/>
            <w:lang w:bidi="ar-EG"/>
          </w:rPr>
          <w:t>من</w:t>
        </w:r>
        <w:r w:rsidR="000B27D4" w:rsidRPr="007F356D">
          <w:rPr>
            <w:rStyle w:val="Hyperlink"/>
            <w:noProof/>
            <w:rtl/>
            <w:lang w:bidi="ar-EG"/>
          </w:rPr>
          <w:t xml:space="preserve"> </w:t>
        </w:r>
        <w:r w:rsidR="000B27D4" w:rsidRPr="007F356D">
          <w:rPr>
            <w:rStyle w:val="Hyperlink"/>
            <w:rFonts w:hint="eastAsia"/>
            <w:noProof/>
            <w:rtl/>
            <w:lang w:bidi="ar-EG"/>
          </w:rPr>
          <w:t>خارطة</w:t>
        </w:r>
        <w:r w:rsidR="000B27D4" w:rsidRPr="007F356D">
          <w:rPr>
            <w:rStyle w:val="Hyperlink"/>
            <w:noProof/>
            <w:rtl/>
            <w:lang w:bidi="ar-EG"/>
          </w:rPr>
          <w:t xml:space="preserve"> </w:t>
        </w:r>
        <w:r w:rsidR="000B27D4" w:rsidRPr="007F356D">
          <w:rPr>
            <w:rStyle w:val="Hyperlink"/>
            <w:rFonts w:hint="eastAsia"/>
            <w:noProof/>
            <w:rtl/>
            <w:lang w:bidi="ar-EG"/>
          </w:rPr>
          <w:t>الطريق</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14</w:t>
        </w:r>
        <w:r w:rsidR="000B27D4">
          <w:rPr>
            <w:noProof/>
            <w:webHidden/>
            <w:rtl/>
          </w:rPr>
          <w:fldChar w:fldCharType="end"/>
        </w:r>
      </w:hyperlink>
    </w:p>
    <w:p w14:paraId="767655B0" w14:textId="05D64100"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3" w:history="1">
        <w:r w:rsidR="000B27D4" w:rsidRPr="007F356D">
          <w:rPr>
            <w:rStyle w:val="Hyperlink"/>
            <w:noProof/>
            <w:lang w:bidi="ar-EG"/>
          </w:rPr>
          <w:t>4.2.7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التقدم</w:t>
        </w:r>
        <w:r w:rsidR="000B27D4" w:rsidRPr="007F356D">
          <w:rPr>
            <w:rStyle w:val="Hyperlink"/>
            <w:noProof/>
            <w:rtl/>
            <w:lang w:bidi="ar-EG"/>
          </w:rPr>
          <w:t xml:space="preserve"> </w:t>
        </w:r>
        <w:r w:rsidR="000B27D4" w:rsidRPr="007F356D">
          <w:rPr>
            <w:rStyle w:val="Hyperlink"/>
            <w:rFonts w:hint="eastAsia"/>
            <w:noProof/>
            <w:rtl/>
            <w:lang w:bidi="ar-EG"/>
          </w:rPr>
          <w:t>المحرز</w:t>
        </w:r>
        <w:r w:rsidR="000B27D4" w:rsidRPr="007F356D">
          <w:rPr>
            <w:rStyle w:val="Hyperlink"/>
            <w:noProof/>
            <w:rtl/>
            <w:lang w:bidi="ar-EG"/>
          </w:rPr>
          <w:t xml:space="preserve"> </w:t>
        </w:r>
        <w:r w:rsidR="000B27D4" w:rsidRPr="007F356D">
          <w:rPr>
            <w:rStyle w:val="Hyperlink"/>
            <w:rFonts w:hint="eastAsia"/>
            <w:noProof/>
            <w:rtl/>
            <w:lang w:bidi="ar-EG"/>
          </w:rPr>
          <w:t>نحو</w:t>
        </w:r>
        <w:r w:rsidR="000B27D4" w:rsidRPr="007F356D">
          <w:rPr>
            <w:rStyle w:val="Hyperlink"/>
            <w:noProof/>
            <w:rtl/>
            <w:lang w:bidi="ar-EG"/>
          </w:rPr>
          <w:t xml:space="preserve"> </w:t>
        </w:r>
        <w:r w:rsidR="000B27D4" w:rsidRPr="007F356D">
          <w:rPr>
            <w:rStyle w:val="Hyperlink"/>
            <w:rFonts w:hint="eastAsia"/>
            <w:noProof/>
            <w:rtl/>
            <w:lang w:bidi="ar-EG"/>
          </w:rPr>
          <w:t>تحقيق</w:t>
        </w:r>
        <w:r w:rsidR="000B27D4" w:rsidRPr="007F356D">
          <w:rPr>
            <w:rStyle w:val="Hyperlink"/>
            <w:noProof/>
            <w:rtl/>
            <w:lang w:bidi="ar-EG"/>
          </w:rPr>
          <w:t xml:space="preserve"> </w:t>
        </w:r>
        <w:r w:rsidR="000B27D4" w:rsidRPr="007F356D">
          <w:rPr>
            <w:rStyle w:val="Hyperlink"/>
            <w:rFonts w:hint="eastAsia"/>
            <w:noProof/>
            <w:rtl/>
            <w:lang w:bidi="ar-EG"/>
          </w:rPr>
          <w:t>أهداف</w:t>
        </w:r>
        <w:r w:rsidR="000B27D4" w:rsidRPr="007F356D">
          <w:rPr>
            <w:rStyle w:val="Hyperlink"/>
            <w:noProof/>
            <w:rtl/>
            <w:lang w:bidi="ar-EG"/>
          </w:rPr>
          <w:t xml:space="preserve"> </w:t>
        </w:r>
        <w:r w:rsidR="000B27D4" w:rsidRPr="007F356D">
          <w:rPr>
            <w:rStyle w:val="Hyperlink"/>
            <w:rFonts w:hint="eastAsia"/>
            <w:noProof/>
            <w:rtl/>
            <w:lang w:bidi="ar-EG"/>
          </w:rPr>
          <w:t>المرحلة</w:t>
        </w:r>
        <w:r w:rsidR="000B27D4" w:rsidRPr="007F356D">
          <w:rPr>
            <w:rStyle w:val="Hyperlink"/>
            <w:noProof/>
            <w:rtl/>
            <w:lang w:bidi="ar-EG"/>
          </w:rPr>
          <w:t xml:space="preserve"> 3 </w:t>
        </w:r>
        <w:r w:rsidR="000B27D4" w:rsidRPr="007F356D">
          <w:rPr>
            <w:rStyle w:val="Hyperlink"/>
            <w:rFonts w:hint="eastAsia"/>
            <w:noProof/>
            <w:rtl/>
            <w:lang w:bidi="ar-EG"/>
          </w:rPr>
          <w:t>من</w:t>
        </w:r>
        <w:r w:rsidR="000B27D4" w:rsidRPr="007F356D">
          <w:rPr>
            <w:rStyle w:val="Hyperlink"/>
            <w:noProof/>
            <w:rtl/>
            <w:lang w:bidi="ar-EG"/>
          </w:rPr>
          <w:t xml:space="preserve"> </w:t>
        </w:r>
        <w:r w:rsidR="000B27D4" w:rsidRPr="007F356D">
          <w:rPr>
            <w:rStyle w:val="Hyperlink"/>
            <w:rFonts w:hint="eastAsia"/>
            <w:noProof/>
            <w:rtl/>
            <w:lang w:bidi="ar-EG"/>
          </w:rPr>
          <w:t>خارطة</w:t>
        </w:r>
        <w:r w:rsidR="000B27D4" w:rsidRPr="007F356D">
          <w:rPr>
            <w:rStyle w:val="Hyperlink"/>
            <w:noProof/>
            <w:rtl/>
            <w:lang w:bidi="ar-EG"/>
          </w:rPr>
          <w:t xml:space="preserve"> </w:t>
        </w:r>
        <w:r w:rsidR="000B27D4" w:rsidRPr="007F356D">
          <w:rPr>
            <w:rStyle w:val="Hyperlink"/>
            <w:rFonts w:hint="eastAsia"/>
            <w:noProof/>
            <w:rtl/>
            <w:lang w:bidi="ar-EG"/>
          </w:rPr>
          <w:t>الطريق</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14</w:t>
        </w:r>
        <w:r w:rsidR="000B27D4">
          <w:rPr>
            <w:noProof/>
            <w:webHidden/>
            <w:rtl/>
          </w:rPr>
          <w:fldChar w:fldCharType="end"/>
        </w:r>
      </w:hyperlink>
    </w:p>
    <w:p w14:paraId="34C24569" w14:textId="135ECBAD"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4" w:history="1">
        <w:r w:rsidR="000B27D4" w:rsidRPr="007F356D">
          <w:rPr>
            <w:rStyle w:val="Hyperlink"/>
            <w:noProof/>
            <w:lang w:bidi="ar-EG"/>
          </w:rPr>
          <w:t>5.2.7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أدوات</w:t>
        </w:r>
        <w:r w:rsidR="000B27D4" w:rsidRPr="007F356D">
          <w:rPr>
            <w:rStyle w:val="Hyperlink"/>
            <w:noProof/>
            <w:rtl/>
            <w:lang w:bidi="ar-EG"/>
          </w:rPr>
          <w:t xml:space="preserve"> </w:t>
        </w:r>
        <w:r w:rsidR="000B27D4" w:rsidRPr="007F356D">
          <w:rPr>
            <w:rStyle w:val="Hyperlink"/>
            <w:rFonts w:hint="eastAsia"/>
            <w:noProof/>
            <w:rtl/>
            <w:lang w:bidi="ar-EG"/>
          </w:rPr>
          <w:t>الاستعلام</w:t>
        </w:r>
        <w:r w:rsidR="000B27D4" w:rsidRPr="007F356D">
          <w:rPr>
            <w:rStyle w:val="Hyperlink"/>
            <w:noProof/>
            <w:rtl/>
            <w:lang w:bidi="ar-EG"/>
          </w:rPr>
          <w:t xml:space="preserve"> </w:t>
        </w:r>
        <w:r w:rsidR="000B27D4" w:rsidRPr="007F356D">
          <w:rPr>
            <w:rStyle w:val="Hyperlink"/>
            <w:rFonts w:hint="eastAsia"/>
            <w:noProof/>
            <w:rtl/>
            <w:lang w:bidi="ar-EG"/>
          </w:rPr>
          <w:t>المتعلقة</w:t>
        </w:r>
        <w:r w:rsidR="000B27D4" w:rsidRPr="007F356D">
          <w:rPr>
            <w:rStyle w:val="Hyperlink"/>
            <w:noProof/>
            <w:rtl/>
            <w:lang w:bidi="ar-EG"/>
          </w:rPr>
          <w:t xml:space="preserve"> </w:t>
        </w:r>
        <w:r w:rsidR="000B27D4" w:rsidRPr="007F356D">
          <w:rPr>
            <w:rStyle w:val="Hyperlink"/>
            <w:rFonts w:hint="eastAsia"/>
            <w:noProof/>
            <w:rtl/>
            <w:lang w:bidi="ar-EG"/>
          </w:rPr>
          <w:t>بالخدمات</w:t>
        </w:r>
        <w:r w:rsidR="000B27D4" w:rsidRPr="007F356D">
          <w:rPr>
            <w:rStyle w:val="Hyperlink"/>
            <w:noProof/>
            <w:rtl/>
            <w:lang w:bidi="ar-EG"/>
          </w:rPr>
          <w:t xml:space="preserve"> </w:t>
        </w:r>
        <w:r w:rsidR="000B27D4" w:rsidRPr="007F356D">
          <w:rPr>
            <w:rStyle w:val="Hyperlink"/>
            <w:rFonts w:hint="eastAsia"/>
            <w:noProof/>
            <w:rtl/>
            <w:lang w:bidi="ar-EG"/>
          </w:rPr>
          <w:t>الفضائية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15</w:t>
        </w:r>
        <w:r w:rsidR="000B27D4">
          <w:rPr>
            <w:noProof/>
            <w:webHidden/>
            <w:rtl/>
          </w:rPr>
          <w:fldChar w:fldCharType="end"/>
        </w:r>
      </w:hyperlink>
    </w:p>
    <w:p w14:paraId="1BEDAC62" w14:textId="5C640B58"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5" w:history="1">
        <w:r w:rsidR="000B27D4" w:rsidRPr="007F356D">
          <w:rPr>
            <w:rStyle w:val="Hyperlink"/>
            <w:noProof/>
            <w:spacing w:val="-4"/>
            <w:lang w:bidi="ar-EG"/>
          </w:rPr>
          <w:t>6.2.7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spacing w:val="-4"/>
            <w:rtl/>
            <w:lang w:bidi="ar-EG"/>
          </w:rPr>
          <w:t>تنفيذ</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القرار</w:t>
        </w:r>
        <w:r w:rsidR="000B27D4" w:rsidRPr="007F356D">
          <w:rPr>
            <w:rStyle w:val="Hyperlink"/>
            <w:noProof/>
            <w:spacing w:val="-4"/>
            <w:rtl/>
            <w:lang w:bidi="ar-EG"/>
          </w:rPr>
          <w:t xml:space="preserve"> </w:t>
        </w:r>
        <w:r w:rsidR="000B27D4" w:rsidRPr="007F356D">
          <w:rPr>
            <w:rStyle w:val="Hyperlink"/>
            <w:noProof/>
            <w:spacing w:val="-4"/>
            <w:lang w:bidi="ar-EG"/>
          </w:rPr>
          <w:t>55 (Rev.WRC-23)</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تقديم</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بطاقات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التبليغ</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إلكترونياً</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وما</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يرتبط</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بها</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من</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اتصالات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بخصوص</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الشبكات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الساتلية</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والمحطات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الأرضية</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ومحطات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الفلك</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الراديوي</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والتقارير</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عن</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التداخل</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الضار</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الذي</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يؤثر</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على</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الخدمات</w:t>
        </w:r>
        <w:r w:rsidR="000B27D4" w:rsidRPr="007F356D">
          <w:rPr>
            <w:rStyle w:val="Hyperlink"/>
            <w:noProof/>
            <w:spacing w:val="-4"/>
            <w:rtl/>
            <w:lang w:bidi="ar-EG"/>
          </w:rPr>
          <w:t xml:space="preserve"> </w:t>
        </w:r>
        <w:r w:rsidR="000B27D4" w:rsidRPr="007F356D">
          <w:rPr>
            <w:rStyle w:val="Hyperlink"/>
            <w:rFonts w:hint="eastAsia"/>
            <w:noProof/>
            <w:spacing w:val="-4"/>
            <w:rtl/>
            <w:lang w:bidi="ar-EG"/>
          </w:rPr>
          <w:t>الفضائية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15</w:t>
        </w:r>
        <w:r w:rsidR="000B27D4">
          <w:rPr>
            <w:noProof/>
            <w:webHidden/>
            <w:rtl/>
          </w:rPr>
          <w:fldChar w:fldCharType="end"/>
        </w:r>
      </w:hyperlink>
    </w:p>
    <w:p w14:paraId="07FAD9E9" w14:textId="7162A82A"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86" w:history="1">
        <w:r w:rsidR="000B27D4" w:rsidRPr="007F356D">
          <w:rPr>
            <w:rStyle w:val="Hyperlink"/>
            <w:noProof/>
            <w:rtl/>
            <w:lang w:bidi="ar-EG"/>
          </w:rPr>
          <w:t>3.7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البرمجيات</w:t>
        </w:r>
        <w:r w:rsidR="000B27D4" w:rsidRPr="007F356D">
          <w:rPr>
            <w:rStyle w:val="Hyperlink"/>
            <w:noProof/>
            <w:rtl/>
            <w:lang w:bidi="ar-EG"/>
          </w:rPr>
          <w:t xml:space="preserve"> </w:t>
        </w:r>
        <w:r w:rsidR="000B27D4" w:rsidRPr="007F356D">
          <w:rPr>
            <w:rStyle w:val="Hyperlink"/>
            <w:rFonts w:hint="eastAsia"/>
            <w:noProof/>
            <w:rtl/>
            <w:lang w:bidi="ar-EG"/>
          </w:rPr>
          <w:t>والأدوات</w:t>
        </w:r>
        <w:r w:rsidR="000B27D4" w:rsidRPr="007F356D">
          <w:rPr>
            <w:rStyle w:val="Hyperlink"/>
            <w:noProof/>
            <w:rtl/>
            <w:lang w:bidi="ar-EG"/>
          </w:rPr>
          <w:t xml:space="preserve"> </w:t>
        </w:r>
        <w:r w:rsidR="000B27D4" w:rsidRPr="007F356D">
          <w:rPr>
            <w:rStyle w:val="Hyperlink"/>
            <w:rFonts w:hint="eastAsia"/>
            <w:noProof/>
            <w:rtl/>
            <w:lang w:bidi="ar-EG"/>
          </w:rPr>
          <w:t>الأخرى</w:t>
        </w:r>
        <w:r w:rsidR="000B27D4" w:rsidRPr="007F356D">
          <w:rPr>
            <w:rStyle w:val="Hyperlink"/>
            <w:noProof/>
            <w:rtl/>
            <w:lang w:bidi="ar-EG"/>
          </w:rPr>
          <w:t xml:space="preserve"> </w:t>
        </w:r>
        <w:r w:rsidR="000B27D4" w:rsidRPr="007F356D">
          <w:rPr>
            <w:rStyle w:val="Hyperlink"/>
            <w:rFonts w:hint="eastAsia"/>
            <w:noProof/>
            <w:rtl/>
            <w:lang w:bidi="ar-EG"/>
          </w:rPr>
          <w:t>لمكتب</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16</w:t>
        </w:r>
        <w:r w:rsidR="000B27D4">
          <w:rPr>
            <w:noProof/>
            <w:webHidden/>
            <w:rtl/>
          </w:rPr>
          <w:fldChar w:fldCharType="end"/>
        </w:r>
      </w:hyperlink>
    </w:p>
    <w:p w14:paraId="3D867CDD" w14:textId="0028A56B"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7" w:history="1">
        <w:r w:rsidR="000B27D4" w:rsidRPr="007F356D">
          <w:rPr>
            <w:rStyle w:val="Hyperlink"/>
            <w:noProof/>
            <w:rtl/>
            <w:lang w:bidi="ar-EG"/>
          </w:rPr>
          <w:t>1.3.7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أدوات</w:t>
        </w:r>
        <w:r w:rsidR="000B27D4" w:rsidRPr="007F356D">
          <w:rPr>
            <w:rStyle w:val="Hyperlink"/>
            <w:noProof/>
            <w:rtl/>
            <w:lang w:bidi="ar-EG"/>
          </w:rPr>
          <w:t xml:space="preserve"> </w:t>
        </w:r>
        <w:r w:rsidR="000B27D4" w:rsidRPr="007F356D">
          <w:rPr>
            <w:rStyle w:val="Hyperlink"/>
            <w:rFonts w:hint="eastAsia"/>
            <w:noProof/>
            <w:rtl/>
            <w:lang w:bidi="ar-EG"/>
          </w:rPr>
          <w:t>لوائح</w:t>
        </w:r>
        <w:r w:rsidR="000B27D4" w:rsidRPr="007F356D">
          <w:rPr>
            <w:rStyle w:val="Hyperlink"/>
            <w:noProof/>
            <w:rtl/>
            <w:lang w:bidi="ar-EG"/>
          </w:rPr>
          <w:t xml:space="preserve"> </w:t>
        </w:r>
        <w:r w:rsidR="000B27D4" w:rsidRPr="007F356D">
          <w:rPr>
            <w:rStyle w:val="Hyperlink"/>
            <w:rFonts w:hint="eastAsia"/>
            <w:noProof/>
            <w:rtl/>
            <w:lang w:bidi="ar-EG"/>
          </w:rPr>
          <w:t>الراديو</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16</w:t>
        </w:r>
        <w:r w:rsidR="000B27D4">
          <w:rPr>
            <w:noProof/>
            <w:webHidden/>
            <w:rtl/>
          </w:rPr>
          <w:fldChar w:fldCharType="end"/>
        </w:r>
      </w:hyperlink>
    </w:p>
    <w:p w14:paraId="6B70ED1E" w14:textId="740D8DEF"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8" w:history="1">
        <w:r w:rsidR="000B27D4" w:rsidRPr="007F356D">
          <w:rPr>
            <w:rStyle w:val="Hyperlink"/>
            <w:noProof/>
            <w:rtl/>
            <w:lang w:bidi="ar-EG"/>
          </w:rPr>
          <w:t>2.3.7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أنظمة</w:t>
        </w:r>
        <w:r w:rsidR="000B27D4" w:rsidRPr="007F356D">
          <w:rPr>
            <w:rStyle w:val="Hyperlink"/>
            <w:noProof/>
            <w:rtl/>
            <w:lang w:bidi="ar-EG"/>
          </w:rPr>
          <w:t xml:space="preserve"> </w:t>
        </w:r>
        <w:r w:rsidR="000B27D4" w:rsidRPr="007F356D">
          <w:rPr>
            <w:rStyle w:val="Hyperlink"/>
            <w:rFonts w:hint="eastAsia"/>
            <w:noProof/>
            <w:rtl/>
            <w:lang w:bidi="ar-EG"/>
          </w:rPr>
          <w:t>المعلومات</w:t>
        </w:r>
        <w:r w:rsidR="000B27D4" w:rsidRPr="007F356D">
          <w:rPr>
            <w:rStyle w:val="Hyperlink"/>
            <w:noProof/>
            <w:rtl/>
            <w:lang w:bidi="ar-EG"/>
          </w:rPr>
          <w:t xml:space="preserve"> </w:t>
        </w:r>
        <w:r w:rsidR="000B27D4" w:rsidRPr="007F356D">
          <w:rPr>
            <w:rStyle w:val="Hyperlink"/>
            <w:rFonts w:hint="eastAsia"/>
            <w:noProof/>
            <w:rtl/>
            <w:lang w:bidi="ar-EG"/>
          </w:rPr>
          <w:t>الجغرافية</w:t>
        </w:r>
        <w:r w:rsidR="000B27D4" w:rsidRPr="007F356D">
          <w:rPr>
            <w:rStyle w:val="Hyperlink"/>
            <w:noProof/>
            <w:rtl/>
            <w:lang w:bidi="ar-EG"/>
          </w:rPr>
          <w:t xml:space="preserve"> </w:t>
        </w:r>
        <w:r w:rsidR="000B27D4" w:rsidRPr="007F356D">
          <w:rPr>
            <w:rStyle w:val="Hyperlink"/>
            <w:rFonts w:hint="eastAsia"/>
            <w:noProof/>
            <w:rtl/>
            <w:lang w:bidi="ar-EG"/>
          </w:rPr>
          <w:t>لدى</w:t>
        </w:r>
        <w:r w:rsidR="000B27D4" w:rsidRPr="007F356D">
          <w:rPr>
            <w:rStyle w:val="Hyperlink"/>
            <w:noProof/>
            <w:rtl/>
            <w:lang w:bidi="ar-EG"/>
          </w:rPr>
          <w:t xml:space="preserve"> </w:t>
        </w:r>
        <w:r w:rsidR="000B27D4" w:rsidRPr="007F356D">
          <w:rPr>
            <w:rStyle w:val="Hyperlink"/>
            <w:rFonts w:hint="eastAsia"/>
            <w:noProof/>
            <w:rtl/>
            <w:lang w:bidi="ar-EG"/>
          </w:rPr>
          <w:t>مكتب</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noProof/>
            <w:lang w:bidi="ar-EG"/>
          </w:rPr>
          <w:t>GIS</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16</w:t>
        </w:r>
        <w:r w:rsidR="000B27D4">
          <w:rPr>
            <w:noProof/>
            <w:webHidden/>
            <w:rtl/>
          </w:rPr>
          <w:fldChar w:fldCharType="end"/>
        </w:r>
      </w:hyperlink>
    </w:p>
    <w:p w14:paraId="664598FF" w14:textId="0E27B94F"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89" w:history="1">
        <w:r w:rsidR="000B27D4" w:rsidRPr="007F356D">
          <w:rPr>
            <w:rStyle w:val="Hyperlink"/>
            <w:noProof/>
            <w:rtl/>
            <w:lang w:bidi="ar-EG"/>
          </w:rPr>
          <w:t>3.3.7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أنشطة</w:t>
        </w:r>
        <w:r w:rsidR="000B27D4" w:rsidRPr="007F356D">
          <w:rPr>
            <w:rStyle w:val="Hyperlink"/>
            <w:noProof/>
            <w:rtl/>
            <w:lang w:bidi="ar-EG"/>
          </w:rPr>
          <w:t xml:space="preserve"> </w:t>
        </w:r>
        <w:r w:rsidR="000B27D4" w:rsidRPr="007F356D">
          <w:rPr>
            <w:rStyle w:val="Hyperlink"/>
            <w:rFonts w:hint="eastAsia"/>
            <w:noProof/>
            <w:rtl/>
            <w:lang w:bidi="ar-EG"/>
          </w:rPr>
          <w:t>مكتب</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بشأن</w:t>
        </w:r>
        <w:r w:rsidR="000B27D4" w:rsidRPr="007F356D">
          <w:rPr>
            <w:rStyle w:val="Hyperlink"/>
            <w:noProof/>
            <w:rtl/>
            <w:lang w:bidi="ar-EG"/>
          </w:rPr>
          <w:t xml:space="preserve"> </w:t>
        </w:r>
        <w:r w:rsidR="000B27D4" w:rsidRPr="007F356D">
          <w:rPr>
            <w:rStyle w:val="Hyperlink"/>
            <w:rFonts w:hint="eastAsia"/>
            <w:noProof/>
            <w:rtl/>
            <w:lang w:bidi="ar-EG"/>
          </w:rPr>
          <w:t>الذكاء</w:t>
        </w:r>
        <w:r w:rsidR="000B27D4" w:rsidRPr="007F356D">
          <w:rPr>
            <w:rStyle w:val="Hyperlink"/>
            <w:noProof/>
            <w:rtl/>
            <w:lang w:bidi="ar-EG"/>
          </w:rPr>
          <w:t xml:space="preserve"> </w:t>
        </w:r>
        <w:r w:rsidR="000B27D4" w:rsidRPr="007F356D">
          <w:rPr>
            <w:rStyle w:val="Hyperlink"/>
            <w:rFonts w:hint="eastAsia"/>
            <w:noProof/>
            <w:rtl/>
            <w:lang w:bidi="ar-EG"/>
          </w:rPr>
          <w:t>الاصطناعي</w:t>
        </w:r>
        <w:r w:rsidR="000B27D4" w:rsidRPr="007F356D">
          <w:rPr>
            <w:rStyle w:val="Hyperlink"/>
            <w:noProof/>
            <w:rtl/>
            <w:lang w:bidi="ar-EG"/>
          </w:rPr>
          <w:t xml:space="preserve"> </w:t>
        </w:r>
        <w:r w:rsidR="000B27D4" w:rsidRPr="007F356D">
          <w:rPr>
            <w:rStyle w:val="Hyperlink"/>
            <w:rFonts w:hint="eastAsia"/>
            <w:noProof/>
            <w:rtl/>
            <w:lang w:bidi="ar-EG"/>
          </w:rPr>
          <w:t>الجغرافي</w:t>
        </w:r>
        <w:r w:rsidR="000B27D4" w:rsidRPr="007F356D">
          <w:rPr>
            <w:rStyle w:val="Hyperlink"/>
            <w:noProof/>
            <w:rtl/>
            <w:lang w:bidi="ar-EG"/>
          </w:rPr>
          <w:t xml:space="preserve"> </w:t>
        </w:r>
        <w:r w:rsidR="000B27D4" w:rsidRPr="007F356D">
          <w:rPr>
            <w:rStyle w:val="Hyperlink"/>
            <w:rFonts w:hint="eastAsia"/>
            <w:noProof/>
            <w:rtl/>
            <w:lang w:bidi="ar-EG"/>
          </w:rPr>
          <w:t>المكاني</w:t>
        </w:r>
        <w:r w:rsidR="000B27D4" w:rsidRPr="007F356D">
          <w:rPr>
            <w:rStyle w:val="Hyperlink"/>
            <w:noProof/>
            <w:rtl/>
            <w:lang w:bidi="ar-EG"/>
          </w:rPr>
          <w:t xml:space="preserve"> (</w:t>
        </w:r>
        <w:r w:rsidR="000B27D4" w:rsidRPr="007F356D">
          <w:rPr>
            <w:rStyle w:val="Hyperlink"/>
            <w:noProof/>
            <w:lang w:bidi="ar-EG"/>
          </w:rPr>
          <w:t>GeoAI</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Toc223961989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16</w:t>
        </w:r>
        <w:r w:rsidR="000B27D4">
          <w:rPr>
            <w:noProof/>
            <w:webHidden/>
            <w:rtl/>
          </w:rPr>
          <w:fldChar w:fldCharType="end"/>
        </w:r>
      </w:hyperlink>
    </w:p>
    <w:p w14:paraId="170B6DA5" w14:textId="115E3A95"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90" w:history="1">
        <w:r w:rsidR="000B27D4" w:rsidRPr="007F356D">
          <w:rPr>
            <w:rStyle w:val="Hyperlink"/>
            <w:noProof/>
            <w:lang w:bidi="ar-EG"/>
          </w:rPr>
          <w:t>4.7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استمرارية</w:t>
        </w:r>
        <w:r w:rsidR="000B27D4" w:rsidRPr="007F356D">
          <w:rPr>
            <w:rStyle w:val="Hyperlink"/>
            <w:noProof/>
            <w:rtl/>
            <w:lang w:bidi="ar-EG"/>
          </w:rPr>
          <w:t xml:space="preserve"> </w:t>
        </w:r>
        <w:r w:rsidR="000B27D4" w:rsidRPr="007F356D">
          <w:rPr>
            <w:rStyle w:val="Hyperlink"/>
            <w:rFonts w:hint="eastAsia"/>
            <w:noProof/>
            <w:rtl/>
            <w:lang w:bidi="ar-EG"/>
          </w:rPr>
          <w:t>الأعمال</w:t>
        </w:r>
        <w:r w:rsidR="000B27D4" w:rsidRPr="007F356D">
          <w:rPr>
            <w:rStyle w:val="Hyperlink"/>
            <w:noProof/>
            <w:rtl/>
            <w:lang w:bidi="ar-EG"/>
          </w:rPr>
          <w:t xml:space="preserve"> </w:t>
        </w:r>
        <w:r w:rsidR="000B27D4" w:rsidRPr="007F356D">
          <w:rPr>
            <w:rStyle w:val="Hyperlink"/>
            <w:rFonts w:hint="eastAsia"/>
            <w:noProof/>
            <w:rtl/>
            <w:lang w:bidi="ar-EG"/>
          </w:rPr>
          <w:t>والتعافي</w:t>
        </w:r>
        <w:r w:rsidR="000B27D4" w:rsidRPr="007F356D">
          <w:rPr>
            <w:rStyle w:val="Hyperlink"/>
            <w:noProof/>
            <w:rtl/>
            <w:lang w:bidi="ar-EG"/>
          </w:rPr>
          <w:t xml:space="preserve"> </w:t>
        </w:r>
        <w:r w:rsidR="000B27D4" w:rsidRPr="007F356D">
          <w:rPr>
            <w:rStyle w:val="Hyperlink"/>
            <w:rFonts w:hint="eastAsia"/>
            <w:noProof/>
            <w:rtl/>
            <w:lang w:bidi="ar-EG"/>
          </w:rPr>
          <w:t>من</w:t>
        </w:r>
        <w:r w:rsidR="000B27D4" w:rsidRPr="007F356D">
          <w:rPr>
            <w:rStyle w:val="Hyperlink"/>
            <w:noProof/>
            <w:rtl/>
            <w:lang w:bidi="ar-EG"/>
          </w:rPr>
          <w:t xml:space="preserve"> </w:t>
        </w:r>
        <w:r w:rsidR="000B27D4" w:rsidRPr="007F356D">
          <w:rPr>
            <w:rStyle w:val="Hyperlink"/>
            <w:rFonts w:hint="eastAsia"/>
            <w:noProof/>
            <w:rtl/>
            <w:lang w:bidi="ar-EG"/>
          </w:rPr>
          <w:t>الكوارث</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Toc223961990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16</w:t>
        </w:r>
        <w:r w:rsidR="000B27D4">
          <w:rPr>
            <w:noProof/>
            <w:webHidden/>
            <w:rtl/>
          </w:rPr>
          <w:fldChar w:fldCharType="end"/>
        </w:r>
      </w:hyperlink>
    </w:p>
    <w:p w14:paraId="2C7A01D9" w14:textId="21E655CE"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91" w:history="1">
        <w:r w:rsidR="000B27D4" w:rsidRPr="007F356D">
          <w:rPr>
            <w:rStyle w:val="Hyperlink"/>
            <w:noProof/>
            <w:lang w:bidi="ar-EG"/>
          </w:rPr>
          <w:t>5.7</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الحوسبة</w:t>
        </w:r>
        <w:r w:rsidR="000B27D4" w:rsidRPr="007F356D">
          <w:rPr>
            <w:rStyle w:val="Hyperlink"/>
            <w:noProof/>
            <w:rtl/>
            <w:lang w:bidi="ar-EG"/>
          </w:rPr>
          <w:t xml:space="preserve"> </w:t>
        </w:r>
        <w:r w:rsidR="000B27D4" w:rsidRPr="007F356D">
          <w:rPr>
            <w:rStyle w:val="Hyperlink"/>
            <w:rFonts w:hint="eastAsia"/>
            <w:noProof/>
            <w:rtl/>
            <w:lang w:bidi="ar-EG"/>
          </w:rPr>
          <w:t>السحابية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Toc223961991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17</w:t>
        </w:r>
        <w:r w:rsidR="000B27D4">
          <w:rPr>
            <w:noProof/>
            <w:webHidden/>
            <w:rtl/>
          </w:rPr>
          <w:fldChar w:fldCharType="end"/>
        </w:r>
      </w:hyperlink>
    </w:p>
    <w:p w14:paraId="5FA5B06E" w14:textId="08D362FC" w:rsidR="000B27D4" w:rsidRDefault="00A05578">
      <w:pPr>
        <w:pStyle w:val="TOC1"/>
        <w:rPr>
          <w:rFonts w:asciiTheme="minorHAnsi" w:eastAsiaTheme="minorEastAsia" w:hAnsiTheme="minorHAnsi" w:cstheme="minorBidi"/>
          <w:noProof/>
          <w:kern w:val="2"/>
          <w:sz w:val="24"/>
          <w:szCs w:val="24"/>
          <w:rtl/>
          <w14:ligatures w14:val="standardContextual"/>
        </w:rPr>
      </w:pPr>
      <w:hyperlink w:anchor="_Toc223961992" w:history="1">
        <w:r w:rsidR="000B27D4" w:rsidRPr="007F356D">
          <w:rPr>
            <w:rStyle w:val="Hyperlink"/>
            <w:noProof/>
            <w:rtl/>
            <w:lang w:bidi="ar-EG"/>
          </w:rPr>
          <w:t>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التوعية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17</w:t>
        </w:r>
        <w:r w:rsidR="000B27D4">
          <w:rPr>
            <w:noProof/>
            <w:webHidden/>
            <w:rtl/>
          </w:rPr>
          <w:fldChar w:fldCharType="end"/>
        </w:r>
      </w:hyperlink>
    </w:p>
    <w:p w14:paraId="726E5A8D" w14:textId="17BD6991"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93" w:history="1">
        <w:r w:rsidR="000B27D4" w:rsidRPr="007F356D">
          <w:rPr>
            <w:rStyle w:val="Hyperlink"/>
            <w:noProof/>
            <w:lang w:bidi="ar-EG"/>
          </w:rPr>
          <w:t>1.8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المنشورات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17</w:t>
        </w:r>
        <w:r w:rsidR="000B27D4">
          <w:rPr>
            <w:noProof/>
            <w:webHidden/>
            <w:rtl/>
          </w:rPr>
          <w:fldChar w:fldCharType="end"/>
        </w:r>
      </w:hyperlink>
    </w:p>
    <w:p w14:paraId="0E94D753" w14:textId="65FF5B80"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94" w:history="1">
        <w:r w:rsidR="000B27D4" w:rsidRPr="007F356D">
          <w:rPr>
            <w:rStyle w:val="Hyperlink"/>
            <w:noProof/>
            <w:lang w:bidi="ar-EG"/>
          </w:rPr>
          <w:t>1.1.8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المنشورات</w:t>
        </w:r>
        <w:r w:rsidR="000B27D4" w:rsidRPr="007F356D">
          <w:rPr>
            <w:rStyle w:val="Hyperlink"/>
            <w:noProof/>
            <w:rtl/>
            <w:lang w:bidi="ar-EG"/>
          </w:rPr>
          <w:t xml:space="preserve"> </w:t>
        </w:r>
        <w:r w:rsidR="000B27D4" w:rsidRPr="007F356D">
          <w:rPr>
            <w:rStyle w:val="Hyperlink"/>
            <w:rFonts w:hint="eastAsia"/>
            <w:noProof/>
            <w:rtl/>
            <w:lang w:bidi="ar-EG"/>
          </w:rPr>
          <w:t>التنظيمية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17</w:t>
        </w:r>
        <w:r w:rsidR="000B27D4">
          <w:rPr>
            <w:noProof/>
            <w:webHidden/>
            <w:rtl/>
          </w:rPr>
          <w:fldChar w:fldCharType="end"/>
        </w:r>
      </w:hyperlink>
    </w:p>
    <w:p w14:paraId="7F15479E" w14:textId="391E44D2"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95" w:history="1">
        <w:r w:rsidR="000B27D4" w:rsidRPr="007F356D">
          <w:rPr>
            <w:rStyle w:val="Hyperlink"/>
            <w:noProof/>
            <w:lang w:bidi="ar-EG"/>
          </w:rPr>
          <w:t>2.1.8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منشورات</w:t>
        </w:r>
        <w:r w:rsidR="000B27D4" w:rsidRPr="007F356D">
          <w:rPr>
            <w:rStyle w:val="Hyperlink"/>
            <w:noProof/>
            <w:rtl/>
            <w:lang w:bidi="ar-EG"/>
          </w:rPr>
          <w:t xml:space="preserve"> </w:t>
        </w:r>
        <w:r w:rsidR="000B27D4" w:rsidRPr="007F356D">
          <w:rPr>
            <w:rStyle w:val="Hyperlink"/>
            <w:rFonts w:hint="eastAsia"/>
            <w:noProof/>
            <w:rtl/>
            <w:lang w:bidi="ar-EG"/>
          </w:rPr>
          <w:t>الخدمة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17</w:t>
        </w:r>
        <w:r w:rsidR="000B27D4">
          <w:rPr>
            <w:noProof/>
            <w:webHidden/>
            <w:rtl/>
          </w:rPr>
          <w:fldChar w:fldCharType="end"/>
        </w:r>
      </w:hyperlink>
    </w:p>
    <w:p w14:paraId="6E6968A3" w14:textId="785AF3AB"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96" w:history="1">
        <w:r w:rsidR="000B27D4" w:rsidRPr="007F356D">
          <w:rPr>
            <w:rStyle w:val="Hyperlink"/>
            <w:noProof/>
            <w:lang w:bidi="ar-EG"/>
          </w:rPr>
          <w:t>3.1.8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منشورات</w:t>
        </w:r>
        <w:r w:rsidR="000B27D4" w:rsidRPr="007F356D">
          <w:rPr>
            <w:rStyle w:val="Hyperlink"/>
            <w:noProof/>
            <w:rtl/>
            <w:lang w:bidi="ar-EG"/>
          </w:rPr>
          <w:t xml:space="preserve"> </w:t>
        </w:r>
        <w:r w:rsidR="000B27D4" w:rsidRPr="007F356D">
          <w:rPr>
            <w:rStyle w:val="Hyperlink"/>
            <w:rFonts w:hint="eastAsia"/>
            <w:noProof/>
            <w:rtl/>
            <w:lang w:bidi="ar-EG"/>
          </w:rPr>
          <w:t>لجان</w:t>
        </w:r>
        <w:r w:rsidR="000B27D4" w:rsidRPr="007F356D">
          <w:rPr>
            <w:rStyle w:val="Hyperlink"/>
            <w:noProof/>
            <w:rtl/>
            <w:lang w:bidi="ar-EG"/>
          </w:rPr>
          <w:t xml:space="preserve"> </w:t>
        </w:r>
        <w:r w:rsidR="000B27D4" w:rsidRPr="007F356D">
          <w:rPr>
            <w:rStyle w:val="Hyperlink"/>
            <w:rFonts w:hint="eastAsia"/>
            <w:noProof/>
            <w:rtl/>
            <w:lang w:bidi="ar-EG"/>
          </w:rPr>
          <w:t>الدراسات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18</w:t>
        </w:r>
        <w:r w:rsidR="000B27D4">
          <w:rPr>
            <w:noProof/>
            <w:webHidden/>
            <w:rtl/>
          </w:rPr>
          <w:fldChar w:fldCharType="end"/>
        </w:r>
      </w:hyperlink>
    </w:p>
    <w:p w14:paraId="5CE03950" w14:textId="2712BD12"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97" w:history="1">
        <w:r w:rsidR="000B27D4" w:rsidRPr="007F356D">
          <w:rPr>
            <w:rStyle w:val="Hyperlink"/>
            <w:noProof/>
            <w:lang w:bidi="ar-EG"/>
          </w:rPr>
          <w:t>4.1.8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تنزيل</w:t>
        </w:r>
        <w:r w:rsidR="000B27D4" w:rsidRPr="007F356D">
          <w:rPr>
            <w:rStyle w:val="Hyperlink"/>
            <w:noProof/>
            <w:rtl/>
            <w:lang w:bidi="ar-EG"/>
          </w:rPr>
          <w:t xml:space="preserve"> </w:t>
        </w:r>
        <w:r w:rsidR="000B27D4" w:rsidRPr="007F356D">
          <w:rPr>
            <w:rStyle w:val="Hyperlink"/>
            <w:rFonts w:hint="eastAsia"/>
            <w:noProof/>
            <w:rtl/>
            <w:lang w:bidi="ar-EG"/>
          </w:rPr>
          <w:t>منشورات</w:t>
        </w:r>
        <w:r w:rsidR="000B27D4" w:rsidRPr="007F356D">
          <w:rPr>
            <w:rStyle w:val="Hyperlink"/>
            <w:noProof/>
            <w:rtl/>
            <w:lang w:bidi="ar-EG"/>
          </w:rPr>
          <w:t xml:space="preserve"> </w:t>
        </w:r>
        <w:r w:rsidR="000B27D4" w:rsidRPr="007F356D">
          <w:rPr>
            <w:rStyle w:val="Hyperlink"/>
            <w:rFonts w:hint="eastAsia"/>
            <w:noProof/>
            <w:rtl/>
            <w:lang w:bidi="ar-EG"/>
          </w:rPr>
          <w:t>قطاع</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وتسليمها</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19</w:t>
        </w:r>
        <w:r w:rsidR="000B27D4">
          <w:rPr>
            <w:noProof/>
            <w:webHidden/>
            <w:rtl/>
          </w:rPr>
          <w:fldChar w:fldCharType="end"/>
        </w:r>
      </w:hyperlink>
    </w:p>
    <w:p w14:paraId="210394E5" w14:textId="3FD4F4F1"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1998" w:history="1">
        <w:r w:rsidR="000B27D4" w:rsidRPr="007F356D">
          <w:rPr>
            <w:rStyle w:val="Hyperlink"/>
            <w:noProof/>
            <w:lang w:bidi="ar-EG"/>
          </w:rPr>
          <w:t>2.8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الحلقات</w:t>
        </w:r>
        <w:r w:rsidR="000B27D4" w:rsidRPr="007F356D">
          <w:rPr>
            <w:rStyle w:val="Hyperlink"/>
            <w:noProof/>
            <w:rtl/>
            <w:lang w:bidi="ar-EG"/>
          </w:rPr>
          <w:t xml:space="preserve"> </w:t>
        </w:r>
        <w:r w:rsidR="000B27D4" w:rsidRPr="007F356D">
          <w:rPr>
            <w:rStyle w:val="Hyperlink"/>
            <w:rFonts w:hint="eastAsia"/>
            <w:noProof/>
            <w:rtl/>
            <w:lang w:bidi="ar-EG"/>
          </w:rPr>
          <w:t>الدراسية</w:t>
        </w:r>
        <w:r w:rsidR="000B27D4" w:rsidRPr="007F356D">
          <w:rPr>
            <w:rStyle w:val="Hyperlink"/>
            <w:noProof/>
            <w:rtl/>
            <w:lang w:bidi="ar-EG"/>
          </w:rPr>
          <w:t xml:space="preserve"> </w:t>
        </w:r>
        <w:r w:rsidR="000B27D4" w:rsidRPr="007F356D">
          <w:rPr>
            <w:rStyle w:val="Hyperlink"/>
            <w:rFonts w:hint="eastAsia"/>
            <w:noProof/>
            <w:rtl/>
            <w:lang w:bidi="ar-EG"/>
          </w:rPr>
          <w:t>وورش</w:t>
        </w:r>
        <w:r w:rsidR="000B27D4" w:rsidRPr="007F356D">
          <w:rPr>
            <w:rStyle w:val="Hyperlink"/>
            <w:noProof/>
            <w:rtl/>
            <w:lang w:bidi="ar-EG"/>
          </w:rPr>
          <w:t xml:space="preserve"> </w:t>
        </w:r>
        <w:r w:rsidR="000B27D4" w:rsidRPr="007F356D">
          <w:rPr>
            <w:rStyle w:val="Hyperlink"/>
            <w:rFonts w:hint="eastAsia"/>
            <w:noProof/>
            <w:rtl/>
            <w:lang w:bidi="ar-EG"/>
          </w:rPr>
          <w:t>العمل</w:t>
        </w:r>
        <w:r w:rsidR="000B27D4" w:rsidRPr="007F356D">
          <w:rPr>
            <w:rStyle w:val="Hyperlink"/>
            <w:noProof/>
            <w:rtl/>
            <w:lang w:bidi="ar-EG"/>
          </w:rPr>
          <w:t xml:space="preserve"> </w:t>
        </w:r>
        <w:r w:rsidR="000B27D4" w:rsidRPr="007F356D">
          <w:rPr>
            <w:rStyle w:val="Hyperlink"/>
            <w:rFonts w:hint="eastAsia"/>
            <w:noProof/>
            <w:rtl/>
            <w:lang w:bidi="ar-EG"/>
          </w:rPr>
          <w:t>والأحداث</w:t>
        </w:r>
        <w:r w:rsidR="000B27D4" w:rsidRPr="007F356D">
          <w:rPr>
            <w:rStyle w:val="Hyperlink"/>
            <w:noProof/>
            <w:rtl/>
            <w:lang w:bidi="ar-EG"/>
          </w:rPr>
          <w:t xml:space="preserve"> </w:t>
        </w:r>
        <w:r w:rsidR="000B27D4" w:rsidRPr="007F356D">
          <w:rPr>
            <w:rStyle w:val="Hyperlink"/>
            <w:rFonts w:hint="eastAsia"/>
            <w:noProof/>
            <w:rtl/>
            <w:lang w:bidi="ar-EG"/>
          </w:rPr>
          <w:t>الأخرى</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22</w:t>
        </w:r>
        <w:r w:rsidR="000B27D4">
          <w:rPr>
            <w:noProof/>
            <w:webHidden/>
            <w:rtl/>
          </w:rPr>
          <w:fldChar w:fldCharType="end"/>
        </w:r>
      </w:hyperlink>
    </w:p>
    <w:p w14:paraId="2173DF13" w14:textId="24FAE514"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1999" w:history="1">
        <w:r w:rsidR="000B27D4" w:rsidRPr="007F356D">
          <w:rPr>
            <w:rStyle w:val="Hyperlink"/>
            <w:noProof/>
            <w:lang w:bidi="ar-EG"/>
          </w:rPr>
          <w:t>1.2.8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الحلقات</w:t>
        </w:r>
        <w:r w:rsidR="000B27D4" w:rsidRPr="007F356D">
          <w:rPr>
            <w:rStyle w:val="Hyperlink"/>
            <w:noProof/>
            <w:rtl/>
            <w:lang w:bidi="ar-EG"/>
          </w:rPr>
          <w:t xml:space="preserve"> </w:t>
        </w:r>
        <w:r w:rsidR="000B27D4" w:rsidRPr="007F356D">
          <w:rPr>
            <w:rStyle w:val="Hyperlink"/>
            <w:rFonts w:hint="eastAsia"/>
            <w:noProof/>
            <w:rtl/>
            <w:lang w:bidi="ar-EG"/>
          </w:rPr>
          <w:t>الدراسية</w:t>
        </w:r>
        <w:r w:rsidR="000B27D4" w:rsidRPr="007F356D">
          <w:rPr>
            <w:rStyle w:val="Hyperlink"/>
            <w:noProof/>
            <w:rtl/>
            <w:lang w:bidi="ar-EG"/>
          </w:rPr>
          <w:t xml:space="preserve"> </w:t>
        </w:r>
        <w:r w:rsidR="000B27D4" w:rsidRPr="007F356D">
          <w:rPr>
            <w:rStyle w:val="Hyperlink"/>
            <w:rFonts w:hint="eastAsia"/>
            <w:noProof/>
            <w:rtl/>
            <w:lang w:bidi="ar-EG"/>
          </w:rPr>
          <w:t>العالمية</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noProof/>
            <w:lang w:bidi="ar-EG"/>
          </w:rPr>
          <w:t>WRS</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Toc223961999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23</w:t>
        </w:r>
        <w:r w:rsidR="000B27D4">
          <w:rPr>
            <w:noProof/>
            <w:webHidden/>
            <w:rtl/>
          </w:rPr>
          <w:fldChar w:fldCharType="end"/>
        </w:r>
      </w:hyperlink>
    </w:p>
    <w:p w14:paraId="7541931F" w14:textId="64015A10"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0" w:history="1">
        <w:r w:rsidR="000B27D4" w:rsidRPr="007F356D">
          <w:rPr>
            <w:rStyle w:val="Hyperlink"/>
            <w:noProof/>
            <w:lang w:bidi="ar-EG"/>
          </w:rPr>
          <w:t>2.2.8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الحلقات</w:t>
        </w:r>
        <w:r w:rsidR="000B27D4" w:rsidRPr="007F356D">
          <w:rPr>
            <w:rStyle w:val="Hyperlink"/>
            <w:noProof/>
            <w:rtl/>
            <w:lang w:bidi="ar-EG"/>
          </w:rPr>
          <w:t xml:space="preserve"> </w:t>
        </w:r>
        <w:r w:rsidR="000B27D4" w:rsidRPr="007F356D">
          <w:rPr>
            <w:rStyle w:val="Hyperlink"/>
            <w:rFonts w:hint="eastAsia"/>
            <w:noProof/>
            <w:rtl/>
            <w:lang w:bidi="ar-EG"/>
          </w:rPr>
          <w:t>الدراسية</w:t>
        </w:r>
        <w:r w:rsidR="000B27D4" w:rsidRPr="007F356D">
          <w:rPr>
            <w:rStyle w:val="Hyperlink"/>
            <w:noProof/>
            <w:rtl/>
            <w:lang w:bidi="ar-EG"/>
          </w:rPr>
          <w:t xml:space="preserve"> </w:t>
        </w:r>
        <w:r w:rsidR="000B27D4" w:rsidRPr="007F356D">
          <w:rPr>
            <w:rStyle w:val="Hyperlink"/>
            <w:rFonts w:hint="eastAsia"/>
            <w:noProof/>
            <w:rtl/>
            <w:lang w:bidi="ar-EG"/>
          </w:rPr>
          <w:t>الإقليمية</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noProof/>
            <w:lang w:bidi="ar-EG"/>
          </w:rPr>
          <w:t>RRS</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Toc223962000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24</w:t>
        </w:r>
        <w:r w:rsidR="000B27D4">
          <w:rPr>
            <w:noProof/>
            <w:webHidden/>
            <w:rtl/>
          </w:rPr>
          <w:fldChar w:fldCharType="end"/>
        </w:r>
      </w:hyperlink>
    </w:p>
    <w:p w14:paraId="6FB60771" w14:textId="61489A46"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1" w:history="1">
        <w:r w:rsidR="000B27D4" w:rsidRPr="007F356D">
          <w:rPr>
            <w:rStyle w:val="Hyperlink"/>
            <w:noProof/>
            <w:lang w:bidi="ar-EG"/>
          </w:rPr>
          <w:t>3.2.8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ورش</w:t>
        </w:r>
        <w:r w:rsidR="000B27D4" w:rsidRPr="007F356D">
          <w:rPr>
            <w:rStyle w:val="Hyperlink"/>
            <w:noProof/>
            <w:rtl/>
            <w:lang w:bidi="ar-EG"/>
          </w:rPr>
          <w:t xml:space="preserve"> </w:t>
        </w:r>
        <w:r w:rsidR="000B27D4" w:rsidRPr="007F356D">
          <w:rPr>
            <w:rStyle w:val="Hyperlink"/>
            <w:rFonts w:hint="eastAsia"/>
            <w:noProof/>
            <w:rtl/>
            <w:lang w:bidi="ar-EG"/>
          </w:rPr>
          <w:t>عمل</w:t>
        </w:r>
        <w:r w:rsidR="000B27D4" w:rsidRPr="007F356D">
          <w:rPr>
            <w:rStyle w:val="Hyperlink"/>
            <w:noProof/>
            <w:rtl/>
            <w:lang w:bidi="ar-EG"/>
          </w:rPr>
          <w:t xml:space="preserve"> </w:t>
        </w:r>
        <w:r w:rsidR="000B27D4" w:rsidRPr="007F356D">
          <w:rPr>
            <w:rStyle w:val="Hyperlink"/>
            <w:rFonts w:hint="eastAsia"/>
            <w:noProof/>
            <w:rtl/>
            <w:lang w:bidi="ar-EG"/>
          </w:rPr>
          <w:t>بشأن</w:t>
        </w:r>
        <w:r w:rsidR="000B27D4" w:rsidRPr="007F356D">
          <w:rPr>
            <w:rStyle w:val="Hyperlink"/>
            <w:noProof/>
            <w:rtl/>
            <w:lang w:bidi="ar-EG"/>
          </w:rPr>
          <w:t xml:space="preserve"> </w:t>
        </w:r>
        <w:r w:rsidR="000B27D4" w:rsidRPr="007F356D">
          <w:rPr>
            <w:rStyle w:val="Hyperlink"/>
            <w:rFonts w:hint="eastAsia"/>
            <w:noProof/>
            <w:rtl/>
            <w:lang w:bidi="ar-EG"/>
          </w:rPr>
          <w:t>الجداول</w:t>
        </w:r>
        <w:r w:rsidR="000B27D4" w:rsidRPr="007F356D">
          <w:rPr>
            <w:rStyle w:val="Hyperlink"/>
            <w:noProof/>
            <w:rtl/>
            <w:lang w:bidi="ar-EG"/>
          </w:rPr>
          <w:t xml:space="preserve"> </w:t>
        </w:r>
        <w:r w:rsidR="000B27D4" w:rsidRPr="007F356D">
          <w:rPr>
            <w:rStyle w:val="Hyperlink"/>
            <w:rFonts w:hint="eastAsia"/>
            <w:noProof/>
            <w:rtl/>
            <w:lang w:bidi="ar-EG"/>
          </w:rPr>
          <w:t>الوطنية</w:t>
        </w:r>
        <w:r w:rsidR="000B27D4" w:rsidRPr="007F356D">
          <w:rPr>
            <w:rStyle w:val="Hyperlink"/>
            <w:noProof/>
            <w:rtl/>
            <w:lang w:bidi="ar-EG"/>
          </w:rPr>
          <w:t xml:space="preserve"> </w:t>
        </w:r>
        <w:r w:rsidR="000B27D4" w:rsidRPr="007F356D">
          <w:rPr>
            <w:rStyle w:val="Hyperlink"/>
            <w:rFonts w:hint="eastAsia"/>
            <w:noProof/>
            <w:rtl/>
            <w:lang w:bidi="ar-EG"/>
          </w:rPr>
          <w:t>لتوزيع</w:t>
        </w:r>
        <w:r w:rsidR="000B27D4" w:rsidRPr="007F356D">
          <w:rPr>
            <w:rStyle w:val="Hyperlink"/>
            <w:noProof/>
            <w:rtl/>
            <w:lang w:bidi="ar-EG"/>
          </w:rPr>
          <w:t xml:space="preserve"> </w:t>
        </w:r>
        <w:r w:rsidR="000B27D4" w:rsidRPr="007F356D">
          <w:rPr>
            <w:rStyle w:val="Hyperlink"/>
            <w:rFonts w:hint="eastAsia"/>
            <w:noProof/>
            <w:rtl/>
            <w:lang w:bidi="ar-EG"/>
          </w:rPr>
          <w:t>نطاقات</w:t>
        </w:r>
        <w:r w:rsidR="000B27D4" w:rsidRPr="007F356D">
          <w:rPr>
            <w:rStyle w:val="Hyperlink"/>
            <w:noProof/>
            <w:rtl/>
            <w:lang w:bidi="ar-EG"/>
          </w:rPr>
          <w:t xml:space="preserve"> </w:t>
        </w:r>
        <w:r w:rsidR="000B27D4" w:rsidRPr="007F356D">
          <w:rPr>
            <w:rStyle w:val="Hyperlink"/>
            <w:rFonts w:hint="eastAsia"/>
            <w:noProof/>
            <w:rtl/>
            <w:lang w:bidi="ar-EG"/>
          </w:rPr>
          <w:t>الترددات</w:t>
        </w:r>
        <w:r w:rsidR="000B27D4" w:rsidRPr="007F356D">
          <w:rPr>
            <w:rStyle w:val="Hyperlink"/>
            <w:noProof/>
            <w:rtl/>
            <w:lang w:bidi="ar-EG"/>
          </w:rPr>
          <w:t xml:space="preserve"> (</w:t>
        </w:r>
        <w:r w:rsidR="000B27D4" w:rsidRPr="007F356D">
          <w:rPr>
            <w:rStyle w:val="Hyperlink"/>
            <w:noProof/>
            <w:lang w:bidi="ar-EG"/>
          </w:rPr>
          <w:t>NTFA</w:t>
        </w:r>
        <w:r w:rsidR="000B27D4" w:rsidRPr="007F356D">
          <w:rPr>
            <w:rStyle w:val="Hyperlink"/>
            <w:noProof/>
            <w:rtl/>
            <w:lang w:bidi="ar-EG"/>
          </w:rPr>
          <w:t>)</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Toc223962001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26</w:t>
        </w:r>
        <w:r w:rsidR="000B27D4">
          <w:rPr>
            <w:noProof/>
            <w:webHidden/>
            <w:rtl/>
          </w:rPr>
          <w:fldChar w:fldCharType="end"/>
        </w:r>
      </w:hyperlink>
    </w:p>
    <w:p w14:paraId="35486B91" w14:textId="4C6DBF62"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2002" w:history="1">
        <w:r w:rsidR="000B27D4" w:rsidRPr="007F356D">
          <w:rPr>
            <w:rStyle w:val="Hyperlink"/>
            <w:noProof/>
            <w:lang w:bidi="ar-EG"/>
          </w:rPr>
          <w:t>3.8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مساعدة</w:t>
        </w:r>
        <w:r w:rsidR="000B27D4" w:rsidRPr="007F356D">
          <w:rPr>
            <w:rStyle w:val="Hyperlink"/>
            <w:noProof/>
            <w:rtl/>
            <w:lang w:bidi="ar-EG"/>
          </w:rPr>
          <w:t xml:space="preserve"> </w:t>
        </w:r>
        <w:r w:rsidR="000B27D4" w:rsidRPr="007F356D">
          <w:rPr>
            <w:rStyle w:val="Hyperlink"/>
            <w:rFonts w:hint="eastAsia"/>
            <w:noProof/>
            <w:rtl/>
            <w:lang w:bidi="ar-EG"/>
          </w:rPr>
          <w:t>الدول</w:t>
        </w:r>
        <w:r w:rsidR="000B27D4" w:rsidRPr="007F356D">
          <w:rPr>
            <w:rStyle w:val="Hyperlink"/>
            <w:noProof/>
            <w:rtl/>
            <w:lang w:bidi="ar-EG"/>
          </w:rPr>
          <w:t xml:space="preserve"> </w:t>
        </w:r>
        <w:r w:rsidR="000B27D4" w:rsidRPr="007F356D">
          <w:rPr>
            <w:rStyle w:val="Hyperlink"/>
            <w:rFonts w:hint="eastAsia"/>
            <w:noProof/>
            <w:rtl/>
            <w:lang w:bidi="ar-EG"/>
          </w:rPr>
          <w:t>الأعضاء</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26</w:t>
        </w:r>
        <w:r w:rsidR="000B27D4">
          <w:rPr>
            <w:noProof/>
            <w:webHidden/>
            <w:rtl/>
          </w:rPr>
          <w:fldChar w:fldCharType="end"/>
        </w:r>
      </w:hyperlink>
    </w:p>
    <w:p w14:paraId="36537AB5" w14:textId="14015875"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3" w:history="1">
        <w:r w:rsidR="000B27D4" w:rsidRPr="007F356D">
          <w:rPr>
            <w:rStyle w:val="Hyperlink"/>
            <w:noProof/>
            <w:lang w:bidi="ar-EG"/>
          </w:rPr>
          <w:t>1.3.8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مساعدة</w:t>
        </w:r>
        <w:r w:rsidR="000B27D4" w:rsidRPr="007F356D">
          <w:rPr>
            <w:rStyle w:val="Hyperlink"/>
            <w:noProof/>
            <w:rtl/>
            <w:lang w:bidi="ar-EG"/>
          </w:rPr>
          <w:t xml:space="preserve"> </w:t>
        </w:r>
        <w:r w:rsidR="000B27D4" w:rsidRPr="007F356D">
          <w:rPr>
            <w:rStyle w:val="Hyperlink"/>
            <w:rFonts w:hint="eastAsia"/>
            <w:noProof/>
            <w:rtl/>
            <w:lang w:bidi="ar-EG"/>
          </w:rPr>
          <w:t>إدارات</w:t>
        </w:r>
        <w:r w:rsidR="000B27D4" w:rsidRPr="007F356D">
          <w:rPr>
            <w:rStyle w:val="Hyperlink"/>
            <w:noProof/>
            <w:rtl/>
            <w:lang w:bidi="ar-EG"/>
          </w:rPr>
          <w:t xml:space="preserve"> </w:t>
        </w:r>
        <w:r w:rsidR="000B27D4" w:rsidRPr="007F356D">
          <w:rPr>
            <w:rStyle w:val="Hyperlink"/>
            <w:rFonts w:hint="eastAsia"/>
            <w:noProof/>
            <w:rtl/>
            <w:lang w:bidi="ar-EG"/>
          </w:rPr>
          <w:t>البلدان</w:t>
        </w:r>
        <w:r w:rsidR="000B27D4" w:rsidRPr="007F356D">
          <w:rPr>
            <w:rStyle w:val="Hyperlink"/>
            <w:noProof/>
            <w:rtl/>
            <w:lang w:bidi="ar-EG"/>
          </w:rPr>
          <w:t xml:space="preserve"> </w:t>
        </w:r>
        <w:r w:rsidR="000B27D4" w:rsidRPr="007F356D">
          <w:rPr>
            <w:rStyle w:val="Hyperlink"/>
            <w:rFonts w:hint="eastAsia"/>
            <w:noProof/>
            <w:rtl/>
            <w:lang w:bidi="ar-EG"/>
          </w:rPr>
          <w:t>النامية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26</w:t>
        </w:r>
        <w:r w:rsidR="000B27D4">
          <w:rPr>
            <w:noProof/>
            <w:webHidden/>
            <w:rtl/>
          </w:rPr>
          <w:fldChar w:fldCharType="end"/>
        </w:r>
      </w:hyperlink>
    </w:p>
    <w:p w14:paraId="3B975436" w14:textId="4F82787F"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4" w:history="1">
        <w:r w:rsidR="000B27D4" w:rsidRPr="007F356D">
          <w:rPr>
            <w:rStyle w:val="Hyperlink"/>
            <w:noProof/>
            <w:lang w:bidi="ar-EG"/>
          </w:rPr>
          <w:t>2.3.8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مساعدة</w:t>
        </w:r>
        <w:r w:rsidR="000B27D4" w:rsidRPr="007F356D">
          <w:rPr>
            <w:rStyle w:val="Hyperlink"/>
            <w:noProof/>
            <w:rtl/>
            <w:lang w:bidi="ar-EG"/>
          </w:rPr>
          <w:t xml:space="preserve"> </w:t>
        </w:r>
        <w:r w:rsidR="000B27D4" w:rsidRPr="007F356D">
          <w:rPr>
            <w:rStyle w:val="Hyperlink"/>
            <w:rFonts w:hint="eastAsia"/>
            <w:noProof/>
            <w:rtl/>
            <w:lang w:bidi="ar-EG"/>
          </w:rPr>
          <w:t>الأفرقة</w:t>
        </w:r>
        <w:r w:rsidR="000B27D4" w:rsidRPr="007F356D">
          <w:rPr>
            <w:rStyle w:val="Hyperlink"/>
            <w:noProof/>
            <w:rtl/>
            <w:lang w:bidi="ar-EG"/>
          </w:rPr>
          <w:t xml:space="preserve"> </w:t>
        </w:r>
        <w:r w:rsidR="000B27D4" w:rsidRPr="007F356D">
          <w:rPr>
            <w:rStyle w:val="Hyperlink"/>
            <w:rFonts w:hint="eastAsia"/>
            <w:noProof/>
            <w:rtl/>
            <w:lang w:bidi="ar-EG"/>
          </w:rPr>
          <w:t>الإقليمية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26</w:t>
        </w:r>
        <w:r w:rsidR="000B27D4">
          <w:rPr>
            <w:noProof/>
            <w:webHidden/>
            <w:rtl/>
          </w:rPr>
          <w:fldChar w:fldCharType="end"/>
        </w:r>
      </w:hyperlink>
    </w:p>
    <w:p w14:paraId="37866905" w14:textId="7CAD7587"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2005" w:history="1">
        <w:r w:rsidR="000B27D4" w:rsidRPr="007F356D">
          <w:rPr>
            <w:rStyle w:val="Hyperlink"/>
            <w:noProof/>
            <w:lang w:bidi="ar-EG"/>
          </w:rPr>
          <w:t>4.8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الشراكات</w:t>
        </w:r>
        <w:r w:rsidR="000B27D4" w:rsidRPr="007F356D">
          <w:rPr>
            <w:rStyle w:val="Hyperlink"/>
            <w:noProof/>
            <w:rtl/>
            <w:lang w:bidi="ar-EG"/>
          </w:rPr>
          <w:t xml:space="preserve"> </w:t>
        </w:r>
        <w:r w:rsidR="000B27D4" w:rsidRPr="007F356D">
          <w:rPr>
            <w:rStyle w:val="Hyperlink"/>
            <w:rFonts w:hint="eastAsia"/>
            <w:noProof/>
            <w:rtl/>
            <w:lang w:bidi="ar-EG"/>
          </w:rPr>
          <w:t>الاستراتيجية</w:t>
        </w:r>
        <w:r w:rsidR="000B27D4" w:rsidRPr="007F356D">
          <w:rPr>
            <w:rStyle w:val="Hyperlink"/>
            <w:noProof/>
            <w:rtl/>
            <w:lang w:bidi="ar-EG"/>
          </w:rPr>
          <w:t xml:space="preserve"> </w:t>
        </w:r>
        <w:r w:rsidR="000B27D4" w:rsidRPr="007F356D">
          <w:rPr>
            <w:rStyle w:val="Hyperlink"/>
            <w:rFonts w:hint="eastAsia"/>
            <w:noProof/>
            <w:rtl/>
            <w:lang w:bidi="ar-EG"/>
          </w:rPr>
          <w:t>والتعاون</w:t>
        </w:r>
        <w:r w:rsidR="000B27D4" w:rsidRPr="007F356D">
          <w:rPr>
            <w:rStyle w:val="Hyperlink"/>
            <w:noProof/>
            <w:rtl/>
            <w:lang w:bidi="ar-EG"/>
          </w:rPr>
          <w:t xml:space="preserve"> </w:t>
        </w:r>
        <w:r w:rsidR="000B27D4" w:rsidRPr="007F356D">
          <w:rPr>
            <w:rStyle w:val="Hyperlink"/>
            <w:rFonts w:hint="eastAsia"/>
            <w:noProof/>
            <w:rtl/>
            <w:lang w:bidi="ar-EG"/>
          </w:rPr>
          <w:t>بين</w:t>
        </w:r>
        <w:r w:rsidR="000B27D4" w:rsidRPr="007F356D">
          <w:rPr>
            <w:rStyle w:val="Hyperlink"/>
            <w:noProof/>
            <w:rtl/>
            <w:lang w:bidi="ar-EG"/>
          </w:rPr>
          <w:t xml:space="preserve"> </w:t>
        </w:r>
        <w:r w:rsidR="000B27D4" w:rsidRPr="007F356D">
          <w:rPr>
            <w:rStyle w:val="Hyperlink"/>
            <w:rFonts w:hint="eastAsia"/>
            <w:noProof/>
            <w:rtl/>
            <w:lang w:bidi="ar-EG"/>
          </w:rPr>
          <w:t>القطاعات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26</w:t>
        </w:r>
        <w:r w:rsidR="000B27D4">
          <w:rPr>
            <w:noProof/>
            <w:webHidden/>
            <w:rtl/>
          </w:rPr>
          <w:fldChar w:fldCharType="end"/>
        </w:r>
      </w:hyperlink>
    </w:p>
    <w:p w14:paraId="3A77B0A5" w14:textId="224EBC4A"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6" w:history="1">
        <w:r w:rsidR="000B27D4" w:rsidRPr="007F356D">
          <w:rPr>
            <w:rStyle w:val="Hyperlink"/>
            <w:noProof/>
            <w:lang w:bidi="ar-EG"/>
          </w:rPr>
          <w:t>1.4.8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التعاون</w:t>
        </w:r>
        <w:r w:rsidR="000B27D4" w:rsidRPr="007F356D">
          <w:rPr>
            <w:rStyle w:val="Hyperlink"/>
            <w:noProof/>
            <w:rtl/>
            <w:lang w:bidi="ar-EG"/>
          </w:rPr>
          <w:t xml:space="preserve"> </w:t>
        </w:r>
        <w:r w:rsidR="000B27D4" w:rsidRPr="007F356D">
          <w:rPr>
            <w:rStyle w:val="Hyperlink"/>
            <w:rFonts w:hint="eastAsia"/>
            <w:noProof/>
            <w:rtl/>
            <w:lang w:bidi="ar-EG"/>
          </w:rPr>
          <w:t>مع</w:t>
        </w:r>
        <w:r w:rsidR="000B27D4" w:rsidRPr="007F356D">
          <w:rPr>
            <w:rStyle w:val="Hyperlink"/>
            <w:noProof/>
            <w:rtl/>
            <w:lang w:bidi="ar-EG"/>
          </w:rPr>
          <w:t xml:space="preserve"> </w:t>
        </w:r>
        <w:r w:rsidR="000B27D4" w:rsidRPr="007F356D">
          <w:rPr>
            <w:rStyle w:val="Hyperlink"/>
            <w:rFonts w:hint="eastAsia"/>
            <w:noProof/>
            <w:rtl/>
            <w:lang w:bidi="ar-EG"/>
          </w:rPr>
          <w:t>قطاع</w:t>
        </w:r>
        <w:r w:rsidR="000B27D4" w:rsidRPr="007F356D">
          <w:rPr>
            <w:rStyle w:val="Hyperlink"/>
            <w:noProof/>
            <w:rtl/>
            <w:lang w:bidi="ar-EG"/>
          </w:rPr>
          <w:t xml:space="preserve"> </w:t>
        </w:r>
        <w:r w:rsidR="000B27D4" w:rsidRPr="007F356D">
          <w:rPr>
            <w:rStyle w:val="Hyperlink"/>
            <w:rFonts w:hint="eastAsia"/>
            <w:noProof/>
            <w:rtl/>
            <w:lang w:bidi="ar-EG"/>
          </w:rPr>
          <w:t>تنمية</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26</w:t>
        </w:r>
        <w:r w:rsidR="000B27D4">
          <w:rPr>
            <w:noProof/>
            <w:webHidden/>
            <w:rtl/>
          </w:rPr>
          <w:fldChar w:fldCharType="end"/>
        </w:r>
      </w:hyperlink>
    </w:p>
    <w:p w14:paraId="1CC07CE4" w14:textId="52F90F52"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7" w:history="1">
        <w:r w:rsidR="000B27D4" w:rsidRPr="007F356D">
          <w:rPr>
            <w:rStyle w:val="Hyperlink"/>
            <w:noProof/>
            <w:lang w:bidi="ar-EG"/>
          </w:rPr>
          <w:t>2.4.8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التعاون</w:t>
        </w:r>
        <w:r w:rsidR="000B27D4" w:rsidRPr="007F356D">
          <w:rPr>
            <w:rStyle w:val="Hyperlink"/>
            <w:noProof/>
            <w:rtl/>
            <w:lang w:bidi="ar-EG"/>
          </w:rPr>
          <w:t xml:space="preserve"> </w:t>
        </w:r>
        <w:r w:rsidR="000B27D4" w:rsidRPr="007F356D">
          <w:rPr>
            <w:rStyle w:val="Hyperlink"/>
            <w:rFonts w:hint="eastAsia"/>
            <w:noProof/>
            <w:rtl/>
            <w:lang w:bidi="ar-EG"/>
          </w:rPr>
          <w:t>مع</w:t>
        </w:r>
        <w:r w:rsidR="000B27D4" w:rsidRPr="007F356D">
          <w:rPr>
            <w:rStyle w:val="Hyperlink"/>
            <w:noProof/>
            <w:rtl/>
            <w:lang w:bidi="ar-EG"/>
          </w:rPr>
          <w:t xml:space="preserve"> </w:t>
        </w:r>
        <w:r w:rsidR="000B27D4" w:rsidRPr="007F356D">
          <w:rPr>
            <w:rStyle w:val="Hyperlink"/>
            <w:rFonts w:hint="eastAsia"/>
            <w:noProof/>
            <w:rtl/>
            <w:lang w:bidi="ar-EG"/>
          </w:rPr>
          <w:t>قطاع</w:t>
        </w:r>
        <w:r w:rsidR="000B27D4" w:rsidRPr="007F356D">
          <w:rPr>
            <w:rStyle w:val="Hyperlink"/>
            <w:noProof/>
            <w:rtl/>
            <w:lang w:bidi="ar-EG"/>
          </w:rPr>
          <w:t xml:space="preserve"> </w:t>
        </w:r>
        <w:r w:rsidR="000B27D4" w:rsidRPr="007F356D">
          <w:rPr>
            <w:rStyle w:val="Hyperlink"/>
            <w:rFonts w:hint="eastAsia"/>
            <w:noProof/>
            <w:rtl/>
            <w:lang w:bidi="ar-EG"/>
          </w:rPr>
          <w:t>تقييس</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27</w:t>
        </w:r>
        <w:r w:rsidR="000B27D4">
          <w:rPr>
            <w:noProof/>
            <w:webHidden/>
            <w:rtl/>
          </w:rPr>
          <w:fldChar w:fldCharType="end"/>
        </w:r>
      </w:hyperlink>
    </w:p>
    <w:p w14:paraId="1F83ED3A" w14:textId="66C4BCE3"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8" w:history="1">
        <w:r w:rsidR="000B27D4" w:rsidRPr="007F356D">
          <w:rPr>
            <w:rStyle w:val="Hyperlink"/>
            <w:noProof/>
            <w:lang w:bidi="ar-EG"/>
          </w:rPr>
          <w:t>3.4.8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الأنشطة</w:t>
        </w:r>
        <w:r w:rsidR="000B27D4" w:rsidRPr="007F356D">
          <w:rPr>
            <w:rStyle w:val="Hyperlink"/>
            <w:noProof/>
            <w:rtl/>
            <w:lang w:bidi="ar-EG"/>
          </w:rPr>
          <w:t xml:space="preserve"> </w:t>
        </w:r>
        <w:r w:rsidR="000B27D4" w:rsidRPr="007F356D">
          <w:rPr>
            <w:rStyle w:val="Hyperlink"/>
            <w:rFonts w:hint="eastAsia"/>
            <w:noProof/>
            <w:rtl/>
            <w:lang w:bidi="ar-EG"/>
          </w:rPr>
          <w:t>الأخرى</w:t>
        </w:r>
        <w:r w:rsidR="000B27D4" w:rsidRPr="007F356D">
          <w:rPr>
            <w:rStyle w:val="Hyperlink"/>
            <w:noProof/>
            <w:rtl/>
            <w:lang w:bidi="ar-EG"/>
          </w:rPr>
          <w:t xml:space="preserve"> </w:t>
        </w:r>
        <w:r w:rsidR="000B27D4" w:rsidRPr="007F356D">
          <w:rPr>
            <w:rStyle w:val="Hyperlink"/>
            <w:rFonts w:hint="eastAsia"/>
            <w:noProof/>
            <w:rtl/>
            <w:lang w:bidi="ar-EG"/>
          </w:rPr>
          <w:t>المشتركة</w:t>
        </w:r>
        <w:r w:rsidR="000B27D4" w:rsidRPr="007F356D">
          <w:rPr>
            <w:rStyle w:val="Hyperlink"/>
            <w:noProof/>
            <w:rtl/>
            <w:lang w:bidi="ar-EG"/>
          </w:rPr>
          <w:t xml:space="preserve"> </w:t>
        </w:r>
        <w:r w:rsidR="000B27D4" w:rsidRPr="007F356D">
          <w:rPr>
            <w:rStyle w:val="Hyperlink"/>
            <w:rFonts w:hint="eastAsia"/>
            <w:noProof/>
            <w:rtl/>
            <w:lang w:bidi="ar-EG"/>
          </w:rPr>
          <w:t>بين</w:t>
        </w:r>
        <w:r w:rsidR="000B27D4" w:rsidRPr="007F356D">
          <w:rPr>
            <w:rStyle w:val="Hyperlink"/>
            <w:noProof/>
            <w:rtl/>
            <w:lang w:bidi="ar-EG"/>
          </w:rPr>
          <w:t xml:space="preserve"> </w:t>
        </w:r>
        <w:r w:rsidR="000B27D4" w:rsidRPr="007F356D">
          <w:rPr>
            <w:rStyle w:val="Hyperlink"/>
            <w:rFonts w:hint="eastAsia"/>
            <w:noProof/>
            <w:rtl/>
            <w:lang w:bidi="ar-EG"/>
          </w:rPr>
          <w:t>القطاعات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27</w:t>
        </w:r>
        <w:r w:rsidR="000B27D4">
          <w:rPr>
            <w:noProof/>
            <w:webHidden/>
            <w:rtl/>
          </w:rPr>
          <w:fldChar w:fldCharType="end"/>
        </w:r>
      </w:hyperlink>
    </w:p>
    <w:p w14:paraId="23309EF7" w14:textId="28FCA2F5"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09" w:history="1">
        <w:r w:rsidR="000B27D4" w:rsidRPr="007F356D">
          <w:rPr>
            <w:rStyle w:val="Hyperlink"/>
            <w:noProof/>
            <w:lang w:bidi="ar-EG"/>
          </w:rPr>
          <w:t>4.4.8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التعاون</w:t>
        </w:r>
        <w:r w:rsidR="000B27D4" w:rsidRPr="007F356D">
          <w:rPr>
            <w:rStyle w:val="Hyperlink"/>
            <w:noProof/>
            <w:rtl/>
            <w:lang w:bidi="ar-EG"/>
          </w:rPr>
          <w:t xml:space="preserve"> </w:t>
        </w:r>
        <w:r w:rsidR="000B27D4" w:rsidRPr="007F356D">
          <w:rPr>
            <w:rStyle w:val="Hyperlink"/>
            <w:rFonts w:hint="eastAsia"/>
            <w:noProof/>
            <w:rtl/>
            <w:lang w:bidi="ar-EG"/>
          </w:rPr>
          <w:t>مع</w:t>
        </w:r>
        <w:r w:rsidR="000B27D4" w:rsidRPr="007F356D">
          <w:rPr>
            <w:rStyle w:val="Hyperlink"/>
            <w:noProof/>
            <w:rtl/>
            <w:lang w:bidi="ar-EG"/>
          </w:rPr>
          <w:t xml:space="preserve"> </w:t>
        </w:r>
        <w:r w:rsidR="000B27D4" w:rsidRPr="007F356D">
          <w:rPr>
            <w:rStyle w:val="Hyperlink"/>
            <w:rFonts w:hint="eastAsia"/>
            <w:noProof/>
            <w:rtl/>
            <w:lang w:bidi="ar-EG"/>
          </w:rPr>
          <w:t>المنظمات</w:t>
        </w:r>
        <w:r w:rsidR="000B27D4" w:rsidRPr="007F356D">
          <w:rPr>
            <w:rStyle w:val="Hyperlink"/>
            <w:noProof/>
            <w:rtl/>
            <w:lang w:bidi="ar-EG"/>
          </w:rPr>
          <w:t xml:space="preserve"> </w:t>
        </w:r>
        <w:r w:rsidR="000B27D4" w:rsidRPr="007F356D">
          <w:rPr>
            <w:rStyle w:val="Hyperlink"/>
            <w:rFonts w:hint="eastAsia"/>
            <w:noProof/>
            <w:rtl/>
            <w:lang w:bidi="ar-EG"/>
          </w:rPr>
          <w:t>الأخرى</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Toc223962009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28</w:t>
        </w:r>
        <w:r w:rsidR="000B27D4">
          <w:rPr>
            <w:noProof/>
            <w:webHidden/>
            <w:rtl/>
          </w:rPr>
          <w:fldChar w:fldCharType="end"/>
        </w:r>
      </w:hyperlink>
    </w:p>
    <w:p w14:paraId="1B4F3BDB" w14:textId="6741951D"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2010" w:history="1">
        <w:r w:rsidR="000B27D4" w:rsidRPr="007F356D">
          <w:rPr>
            <w:rStyle w:val="Hyperlink"/>
            <w:noProof/>
            <w:lang w:bidi="ar-EG"/>
          </w:rPr>
          <w:t>5.8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الأعضاء</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Toc223962010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28</w:t>
        </w:r>
        <w:r w:rsidR="000B27D4">
          <w:rPr>
            <w:noProof/>
            <w:webHidden/>
            <w:rtl/>
          </w:rPr>
          <w:fldChar w:fldCharType="end"/>
        </w:r>
      </w:hyperlink>
    </w:p>
    <w:p w14:paraId="49B7F708" w14:textId="28EBBD07"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1" w:history="1">
        <w:r w:rsidR="000B27D4" w:rsidRPr="007F356D">
          <w:rPr>
            <w:rStyle w:val="Hyperlink"/>
            <w:noProof/>
            <w:lang w:bidi="ar-EG"/>
          </w:rPr>
          <w:t>1.5.8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أعضاء</w:t>
        </w:r>
        <w:r w:rsidR="000B27D4" w:rsidRPr="007F356D">
          <w:rPr>
            <w:rStyle w:val="Hyperlink"/>
            <w:noProof/>
            <w:rtl/>
            <w:lang w:bidi="ar-EG"/>
          </w:rPr>
          <w:t xml:space="preserve"> </w:t>
        </w:r>
        <w:r w:rsidR="000B27D4" w:rsidRPr="007F356D">
          <w:rPr>
            <w:rStyle w:val="Hyperlink"/>
            <w:rFonts w:hint="eastAsia"/>
            <w:noProof/>
            <w:rtl/>
            <w:lang w:bidi="ar-EG"/>
          </w:rPr>
          <w:t>الاتحاد</w:t>
        </w:r>
        <w:r w:rsidR="000B27D4" w:rsidRPr="007F356D">
          <w:rPr>
            <w:rStyle w:val="Hyperlink"/>
            <w:noProof/>
            <w:rtl/>
            <w:lang w:bidi="ar-EG"/>
          </w:rPr>
          <w:t xml:space="preserve"> </w:t>
        </w:r>
        <w:r w:rsidR="000B27D4" w:rsidRPr="007F356D">
          <w:rPr>
            <w:rStyle w:val="Hyperlink"/>
            <w:rFonts w:hint="eastAsia"/>
            <w:noProof/>
            <w:rtl/>
            <w:lang w:bidi="ar-EG"/>
          </w:rPr>
          <w:t>الدولي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Toc223962011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28</w:t>
        </w:r>
        <w:r w:rsidR="000B27D4">
          <w:rPr>
            <w:noProof/>
            <w:webHidden/>
            <w:rtl/>
          </w:rPr>
          <w:fldChar w:fldCharType="end"/>
        </w:r>
      </w:hyperlink>
    </w:p>
    <w:p w14:paraId="318CC9C5" w14:textId="2BD5CC54"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2" w:history="1">
        <w:r w:rsidR="000B27D4" w:rsidRPr="007F356D">
          <w:rPr>
            <w:rStyle w:val="Hyperlink"/>
            <w:noProof/>
            <w:lang w:bidi="ar-EG"/>
          </w:rPr>
          <w:t>2.5.8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أعضاء</w:t>
        </w:r>
        <w:r w:rsidR="000B27D4" w:rsidRPr="007F356D">
          <w:rPr>
            <w:rStyle w:val="Hyperlink"/>
            <w:noProof/>
            <w:rtl/>
            <w:lang w:bidi="ar-EG"/>
          </w:rPr>
          <w:t xml:space="preserve"> </w:t>
        </w:r>
        <w:r w:rsidR="000B27D4" w:rsidRPr="007F356D">
          <w:rPr>
            <w:rStyle w:val="Hyperlink"/>
            <w:rFonts w:hint="eastAsia"/>
            <w:noProof/>
            <w:rtl/>
            <w:lang w:bidi="ar-EG"/>
          </w:rPr>
          <w:t>قطاع</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في</w:t>
        </w:r>
        <w:r w:rsidR="000B27D4" w:rsidRPr="007F356D">
          <w:rPr>
            <w:rStyle w:val="Hyperlink"/>
            <w:noProof/>
            <w:rtl/>
            <w:lang w:bidi="ar-EG"/>
          </w:rPr>
          <w:t xml:space="preserve"> </w:t>
        </w:r>
        <w:r w:rsidR="000B27D4" w:rsidRPr="007F356D">
          <w:rPr>
            <w:rStyle w:val="Hyperlink"/>
            <w:rFonts w:hint="eastAsia"/>
            <w:noProof/>
            <w:rtl/>
            <w:lang w:bidi="ar-EG"/>
          </w:rPr>
          <w:t>الاتحاد</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Toc223962012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29</w:t>
        </w:r>
        <w:r w:rsidR="000B27D4">
          <w:rPr>
            <w:noProof/>
            <w:webHidden/>
            <w:rtl/>
          </w:rPr>
          <w:fldChar w:fldCharType="end"/>
        </w:r>
      </w:hyperlink>
    </w:p>
    <w:p w14:paraId="01255892" w14:textId="304352CD"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3" w:history="1">
        <w:r w:rsidR="000B27D4" w:rsidRPr="007F356D">
          <w:rPr>
            <w:rStyle w:val="Hyperlink"/>
            <w:noProof/>
            <w:lang w:bidi="ar-EG"/>
          </w:rPr>
          <w:t>6.8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التواصل</w:t>
        </w:r>
        <w:r w:rsidR="000B27D4" w:rsidRPr="007F356D">
          <w:rPr>
            <w:rStyle w:val="Hyperlink"/>
            <w:noProof/>
            <w:rtl/>
            <w:lang w:bidi="ar-EG"/>
          </w:rPr>
          <w:t xml:space="preserve"> </w:t>
        </w:r>
        <w:r w:rsidR="000B27D4" w:rsidRPr="007F356D">
          <w:rPr>
            <w:rStyle w:val="Hyperlink"/>
            <w:rFonts w:hint="eastAsia"/>
            <w:noProof/>
            <w:rtl/>
            <w:lang w:bidi="ar-EG"/>
          </w:rPr>
          <w:t>والترويج</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Toc223962013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29</w:t>
        </w:r>
        <w:r w:rsidR="000B27D4">
          <w:rPr>
            <w:noProof/>
            <w:webHidden/>
            <w:rtl/>
          </w:rPr>
          <w:fldChar w:fldCharType="end"/>
        </w:r>
      </w:hyperlink>
    </w:p>
    <w:p w14:paraId="10C38FE4" w14:textId="364F0E22"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4" w:history="1">
        <w:r w:rsidR="000B27D4" w:rsidRPr="007F356D">
          <w:rPr>
            <w:rStyle w:val="Hyperlink"/>
            <w:noProof/>
            <w:lang w:bidi="ar-EG"/>
          </w:rPr>
          <w:t>1.6.8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المواقع</w:t>
        </w:r>
        <w:r w:rsidR="000B27D4" w:rsidRPr="007F356D">
          <w:rPr>
            <w:rStyle w:val="Hyperlink"/>
            <w:noProof/>
            <w:rtl/>
            <w:lang w:bidi="ar-EG"/>
          </w:rPr>
          <w:t xml:space="preserve"> </w:t>
        </w:r>
        <w:r w:rsidR="000B27D4" w:rsidRPr="007F356D">
          <w:rPr>
            <w:rStyle w:val="Hyperlink"/>
            <w:rFonts w:hint="eastAsia"/>
            <w:noProof/>
            <w:rtl/>
            <w:lang w:bidi="ar-EG"/>
          </w:rPr>
          <w:t>الإلكترونية</w:t>
        </w:r>
        <w:r w:rsidR="000B27D4" w:rsidRPr="007F356D">
          <w:rPr>
            <w:rStyle w:val="Hyperlink"/>
            <w:noProof/>
            <w:rtl/>
            <w:lang w:bidi="ar-EG"/>
          </w:rPr>
          <w:t xml:space="preserve"> </w:t>
        </w:r>
        <w:r w:rsidR="000B27D4" w:rsidRPr="007F356D">
          <w:rPr>
            <w:rStyle w:val="Hyperlink"/>
            <w:rFonts w:hint="eastAsia"/>
            <w:noProof/>
            <w:rtl/>
            <w:lang w:bidi="ar-EG"/>
          </w:rPr>
          <w:t>وقواعد</w:t>
        </w:r>
        <w:r w:rsidR="000B27D4" w:rsidRPr="007F356D">
          <w:rPr>
            <w:rStyle w:val="Hyperlink"/>
            <w:noProof/>
            <w:rtl/>
            <w:lang w:bidi="ar-EG"/>
          </w:rPr>
          <w:t xml:space="preserve"> </w:t>
        </w:r>
        <w:r w:rsidR="000B27D4" w:rsidRPr="007F356D">
          <w:rPr>
            <w:rStyle w:val="Hyperlink"/>
            <w:rFonts w:hint="eastAsia"/>
            <w:noProof/>
            <w:rtl/>
            <w:lang w:bidi="ar-EG"/>
          </w:rPr>
          <w:t>البيانات</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Toc223962014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29</w:t>
        </w:r>
        <w:r w:rsidR="000B27D4">
          <w:rPr>
            <w:noProof/>
            <w:webHidden/>
            <w:rtl/>
          </w:rPr>
          <w:fldChar w:fldCharType="end"/>
        </w:r>
      </w:hyperlink>
    </w:p>
    <w:p w14:paraId="3973CFCF" w14:textId="0E828AC0"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5" w:history="1">
        <w:r w:rsidR="000B27D4" w:rsidRPr="007F356D">
          <w:rPr>
            <w:rStyle w:val="Hyperlink"/>
            <w:noProof/>
            <w:lang w:bidi="ar-EG"/>
          </w:rPr>
          <w:t>2.6.8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الترويج</w:t>
        </w:r>
        <w:r w:rsidR="000B27D4" w:rsidRPr="007F356D">
          <w:rPr>
            <w:rStyle w:val="Hyperlink"/>
            <w:noProof/>
            <w:rtl/>
            <w:lang w:bidi="ar-EG"/>
          </w:rPr>
          <w:t xml:space="preserve"> </w:t>
        </w:r>
        <w:r w:rsidR="000B27D4" w:rsidRPr="007F356D">
          <w:rPr>
            <w:rStyle w:val="Hyperlink"/>
            <w:rFonts w:hint="eastAsia"/>
            <w:noProof/>
            <w:rtl/>
            <w:lang w:bidi="ar-EG"/>
          </w:rPr>
          <w:t>والعلاقات</w:t>
        </w:r>
        <w:r w:rsidR="000B27D4" w:rsidRPr="007F356D">
          <w:rPr>
            <w:rStyle w:val="Hyperlink"/>
            <w:noProof/>
            <w:rtl/>
            <w:lang w:bidi="ar-EG"/>
          </w:rPr>
          <w:t xml:space="preserve"> </w:t>
        </w:r>
        <w:r w:rsidR="000B27D4" w:rsidRPr="007F356D">
          <w:rPr>
            <w:rStyle w:val="Hyperlink"/>
            <w:rFonts w:hint="eastAsia"/>
            <w:noProof/>
            <w:rtl/>
            <w:lang w:bidi="ar-EG"/>
          </w:rPr>
          <w:t>الإعلامية</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Toc223962015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29</w:t>
        </w:r>
        <w:r w:rsidR="000B27D4">
          <w:rPr>
            <w:noProof/>
            <w:webHidden/>
            <w:rtl/>
          </w:rPr>
          <w:fldChar w:fldCharType="end"/>
        </w:r>
      </w:hyperlink>
    </w:p>
    <w:p w14:paraId="2AF7FD19" w14:textId="5DCCF719" w:rsidR="000B27D4" w:rsidRDefault="00A05578">
      <w:pPr>
        <w:pStyle w:val="TOC2"/>
        <w:rPr>
          <w:rFonts w:asciiTheme="minorHAnsi" w:eastAsiaTheme="minorEastAsia" w:hAnsiTheme="minorHAnsi" w:cstheme="minorBidi"/>
          <w:noProof/>
          <w:kern w:val="2"/>
          <w:sz w:val="24"/>
          <w:szCs w:val="24"/>
          <w:rtl/>
          <w14:ligatures w14:val="standardContextual"/>
        </w:rPr>
      </w:pPr>
      <w:hyperlink w:anchor="_Toc223962016" w:history="1">
        <w:r w:rsidR="000B27D4" w:rsidRPr="007F356D">
          <w:rPr>
            <w:rStyle w:val="Hyperlink"/>
            <w:noProof/>
            <w:lang w:bidi="ar-EG"/>
          </w:rPr>
          <w:t>7.8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الإنصاف</w:t>
        </w:r>
        <w:r w:rsidR="000B27D4" w:rsidRPr="007F356D">
          <w:rPr>
            <w:rStyle w:val="Hyperlink"/>
            <w:noProof/>
            <w:rtl/>
            <w:lang w:bidi="ar-EG"/>
          </w:rPr>
          <w:t xml:space="preserve"> </w:t>
        </w:r>
        <w:r w:rsidR="000B27D4" w:rsidRPr="007F356D">
          <w:rPr>
            <w:rStyle w:val="Hyperlink"/>
            <w:rFonts w:hint="eastAsia"/>
            <w:noProof/>
            <w:rtl/>
            <w:lang w:bidi="ar-EG"/>
          </w:rPr>
          <w:t>بين</w:t>
        </w:r>
        <w:r w:rsidR="000B27D4" w:rsidRPr="007F356D">
          <w:rPr>
            <w:rStyle w:val="Hyperlink"/>
            <w:noProof/>
            <w:rtl/>
            <w:lang w:bidi="ar-EG"/>
          </w:rPr>
          <w:t xml:space="preserve"> </w:t>
        </w:r>
        <w:r w:rsidR="000B27D4" w:rsidRPr="007F356D">
          <w:rPr>
            <w:rStyle w:val="Hyperlink"/>
            <w:rFonts w:hint="eastAsia"/>
            <w:noProof/>
            <w:rtl/>
            <w:lang w:bidi="ar-EG"/>
          </w:rPr>
          <w:t>الجنسين</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Toc223962016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30</w:t>
        </w:r>
        <w:r w:rsidR="000B27D4">
          <w:rPr>
            <w:noProof/>
            <w:webHidden/>
            <w:rtl/>
          </w:rPr>
          <w:fldChar w:fldCharType="end"/>
        </w:r>
      </w:hyperlink>
    </w:p>
    <w:p w14:paraId="06B56F6B" w14:textId="2D011D81"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7" w:history="1">
        <w:r w:rsidR="000B27D4" w:rsidRPr="007F356D">
          <w:rPr>
            <w:rStyle w:val="Hyperlink"/>
            <w:noProof/>
            <w:lang w:bidi="ar-EG"/>
          </w:rPr>
          <w:t>1.7.8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قرار</w:t>
        </w:r>
        <w:r w:rsidR="000B27D4" w:rsidRPr="007F356D">
          <w:rPr>
            <w:rStyle w:val="Hyperlink"/>
            <w:noProof/>
            <w:rtl/>
            <w:lang w:bidi="ar-EG"/>
          </w:rPr>
          <w:t xml:space="preserve"> </w:t>
        </w:r>
        <w:r w:rsidR="000B27D4" w:rsidRPr="007F356D">
          <w:rPr>
            <w:rStyle w:val="Hyperlink"/>
            <w:rFonts w:hint="eastAsia"/>
            <w:noProof/>
            <w:rtl/>
            <w:lang w:bidi="ar-EG"/>
          </w:rPr>
          <w:t>جمعية</w:t>
        </w:r>
        <w:r w:rsidR="000B27D4" w:rsidRPr="007F356D">
          <w:rPr>
            <w:rStyle w:val="Hyperlink"/>
            <w:noProof/>
            <w:rtl/>
            <w:lang w:bidi="ar-EG"/>
          </w:rPr>
          <w:t xml:space="preserve"> </w:t>
        </w:r>
        <w:r w:rsidR="000B27D4" w:rsidRPr="007F356D">
          <w:rPr>
            <w:rStyle w:val="Hyperlink"/>
            <w:rFonts w:hint="eastAsia"/>
            <w:noProof/>
            <w:rtl/>
            <w:lang w:bidi="ar-EG"/>
          </w:rPr>
          <w:t>الاتصالات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2023 </w:t>
        </w:r>
        <w:r w:rsidR="000B27D4" w:rsidRPr="007F356D">
          <w:rPr>
            <w:rStyle w:val="Hyperlink"/>
            <w:rFonts w:hint="eastAsia"/>
            <w:noProof/>
            <w:rtl/>
            <w:lang w:bidi="ar-EG"/>
          </w:rPr>
          <w:t>بشأن</w:t>
        </w:r>
        <w:r w:rsidR="000B27D4" w:rsidRPr="007F356D">
          <w:rPr>
            <w:rStyle w:val="Hyperlink"/>
            <w:noProof/>
            <w:rtl/>
            <w:lang w:bidi="ar-EG"/>
          </w:rPr>
          <w:t xml:space="preserve"> </w:t>
        </w:r>
        <w:r w:rsidR="000B27D4" w:rsidRPr="007F356D">
          <w:rPr>
            <w:rStyle w:val="Hyperlink"/>
            <w:rFonts w:hint="eastAsia"/>
            <w:noProof/>
            <w:rtl/>
            <w:lang w:bidi="ar-EG"/>
          </w:rPr>
          <w:t>المساواة</w:t>
        </w:r>
        <w:r w:rsidR="000B27D4" w:rsidRPr="007F356D">
          <w:rPr>
            <w:rStyle w:val="Hyperlink"/>
            <w:noProof/>
            <w:rtl/>
            <w:lang w:bidi="ar-EG"/>
          </w:rPr>
          <w:t xml:space="preserve"> </w:t>
        </w:r>
        <w:r w:rsidR="000B27D4" w:rsidRPr="007F356D">
          <w:rPr>
            <w:rStyle w:val="Hyperlink"/>
            <w:rFonts w:hint="eastAsia"/>
            <w:noProof/>
            <w:rtl/>
            <w:lang w:bidi="ar-EG"/>
          </w:rPr>
          <w:t>بين</w:t>
        </w:r>
        <w:r w:rsidR="000B27D4" w:rsidRPr="007F356D">
          <w:rPr>
            <w:rStyle w:val="Hyperlink"/>
            <w:noProof/>
            <w:rtl/>
            <w:lang w:bidi="ar-EG"/>
          </w:rPr>
          <w:t xml:space="preserve"> </w:t>
        </w:r>
        <w:r w:rsidR="000B27D4" w:rsidRPr="007F356D">
          <w:rPr>
            <w:rStyle w:val="Hyperlink"/>
            <w:rFonts w:hint="eastAsia"/>
            <w:noProof/>
            <w:rtl/>
            <w:lang w:bidi="ar-EG"/>
          </w:rPr>
          <w:t>الجنسين</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Toc223962017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31</w:t>
        </w:r>
        <w:r w:rsidR="000B27D4">
          <w:rPr>
            <w:noProof/>
            <w:webHidden/>
            <w:rtl/>
          </w:rPr>
          <w:fldChar w:fldCharType="end"/>
        </w:r>
      </w:hyperlink>
    </w:p>
    <w:p w14:paraId="79800C59" w14:textId="065D186E" w:rsidR="000B27D4" w:rsidRDefault="00A05578">
      <w:pPr>
        <w:pStyle w:val="TOC3"/>
        <w:rPr>
          <w:rFonts w:asciiTheme="minorHAnsi" w:eastAsiaTheme="minorEastAsia" w:hAnsiTheme="minorHAnsi" w:cstheme="minorBidi"/>
          <w:noProof/>
          <w:kern w:val="2"/>
          <w:sz w:val="24"/>
          <w:szCs w:val="24"/>
          <w:rtl/>
          <w14:ligatures w14:val="standardContextual"/>
        </w:rPr>
      </w:pPr>
      <w:hyperlink w:anchor="_Toc223962018" w:history="1">
        <w:r w:rsidR="000B27D4" w:rsidRPr="007F356D">
          <w:rPr>
            <w:rStyle w:val="Hyperlink"/>
            <w:noProof/>
            <w:lang w:bidi="ar-EG"/>
          </w:rPr>
          <w:t>2.7.8</w:t>
        </w:r>
        <w:r w:rsidR="000B27D4">
          <w:rPr>
            <w:rFonts w:asciiTheme="minorHAnsi" w:eastAsiaTheme="minorEastAsia" w:hAnsiTheme="minorHAnsi" w:cstheme="minorBidi"/>
            <w:noProof/>
            <w:kern w:val="2"/>
            <w:sz w:val="24"/>
            <w:szCs w:val="24"/>
            <w:rtl/>
            <w14:ligatures w14:val="standardContextual"/>
          </w:rPr>
          <w:tab/>
        </w:r>
        <w:r w:rsidR="000B27D4" w:rsidRPr="007F356D">
          <w:rPr>
            <w:rStyle w:val="Hyperlink"/>
            <w:rFonts w:hint="eastAsia"/>
            <w:noProof/>
            <w:rtl/>
            <w:lang w:bidi="ar-EG"/>
          </w:rPr>
          <w:t>شبكة</w:t>
        </w:r>
        <w:r w:rsidR="000B27D4" w:rsidRPr="007F356D">
          <w:rPr>
            <w:rStyle w:val="Hyperlink"/>
            <w:noProof/>
            <w:rtl/>
            <w:lang w:bidi="ar-EG"/>
          </w:rPr>
          <w:t xml:space="preserve"> </w:t>
        </w:r>
        <w:r w:rsidR="000B27D4" w:rsidRPr="007F356D">
          <w:rPr>
            <w:rStyle w:val="Hyperlink"/>
            <w:rFonts w:hint="eastAsia"/>
            <w:noProof/>
            <w:rtl/>
            <w:lang w:bidi="ar-EG"/>
          </w:rPr>
          <w:t>المرأة</w:t>
        </w:r>
        <w:r w:rsidR="000B27D4" w:rsidRPr="007F356D">
          <w:rPr>
            <w:rStyle w:val="Hyperlink"/>
            <w:noProof/>
            <w:rtl/>
            <w:lang w:bidi="ar-EG"/>
          </w:rPr>
          <w:t xml:space="preserve"> </w:t>
        </w:r>
        <w:r w:rsidR="000B27D4" w:rsidRPr="007F356D">
          <w:rPr>
            <w:rStyle w:val="Hyperlink"/>
            <w:rFonts w:hint="eastAsia"/>
            <w:noProof/>
            <w:rtl/>
            <w:lang w:bidi="ar-EG"/>
          </w:rPr>
          <w:t>من</w:t>
        </w:r>
        <w:r w:rsidR="000B27D4" w:rsidRPr="007F356D">
          <w:rPr>
            <w:rStyle w:val="Hyperlink"/>
            <w:noProof/>
            <w:rtl/>
            <w:lang w:bidi="ar-EG"/>
          </w:rPr>
          <w:t xml:space="preserve"> </w:t>
        </w:r>
        <w:r w:rsidR="000B27D4" w:rsidRPr="007F356D">
          <w:rPr>
            <w:rStyle w:val="Hyperlink"/>
            <w:rFonts w:hint="eastAsia"/>
            <w:noProof/>
            <w:rtl/>
            <w:lang w:bidi="ar-EG"/>
          </w:rPr>
          <w:t>أجل</w:t>
        </w:r>
        <w:r w:rsidR="000B27D4" w:rsidRPr="007F356D">
          <w:rPr>
            <w:rStyle w:val="Hyperlink"/>
            <w:noProof/>
            <w:rtl/>
            <w:lang w:bidi="ar-EG"/>
          </w:rPr>
          <w:t xml:space="preserve"> </w:t>
        </w:r>
        <w:r w:rsidR="000B27D4" w:rsidRPr="007F356D">
          <w:rPr>
            <w:rStyle w:val="Hyperlink"/>
            <w:rFonts w:hint="eastAsia"/>
            <w:noProof/>
            <w:rtl/>
            <w:lang w:bidi="ar-EG"/>
          </w:rPr>
          <w:t>المؤتمر</w:t>
        </w:r>
        <w:r w:rsidR="000B27D4" w:rsidRPr="007F356D">
          <w:rPr>
            <w:rStyle w:val="Hyperlink"/>
            <w:noProof/>
            <w:rtl/>
            <w:lang w:bidi="ar-EG"/>
          </w:rPr>
          <w:t xml:space="preserve"> </w:t>
        </w:r>
        <w:r w:rsidR="000B27D4" w:rsidRPr="007F356D">
          <w:rPr>
            <w:rStyle w:val="Hyperlink"/>
            <w:rFonts w:hint="eastAsia"/>
            <w:noProof/>
            <w:rtl/>
            <w:lang w:bidi="ar-EG"/>
          </w:rPr>
          <w:t>العالمي</w:t>
        </w:r>
        <w:r w:rsidR="000B27D4" w:rsidRPr="007F356D">
          <w:rPr>
            <w:rStyle w:val="Hyperlink"/>
            <w:noProof/>
            <w:rtl/>
            <w:lang w:bidi="ar-EG"/>
          </w:rPr>
          <w:t xml:space="preserve"> </w:t>
        </w:r>
        <w:r w:rsidR="000B27D4" w:rsidRPr="007F356D">
          <w:rPr>
            <w:rStyle w:val="Hyperlink"/>
            <w:rFonts w:hint="eastAsia"/>
            <w:noProof/>
            <w:rtl/>
            <w:lang w:bidi="ar-EG"/>
          </w:rPr>
          <w:t>للاتصالات</w:t>
        </w:r>
        <w:r w:rsidR="000B27D4" w:rsidRPr="007F356D">
          <w:rPr>
            <w:rStyle w:val="Hyperlink"/>
            <w:noProof/>
            <w:rtl/>
            <w:lang w:bidi="ar-EG"/>
          </w:rPr>
          <w:t xml:space="preserve"> </w:t>
        </w:r>
        <w:r w:rsidR="000B27D4" w:rsidRPr="007F356D">
          <w:rPr>
            <w:rStyle w:val="Hyperlink"/>
            <w:rFonts w:hint="eastAsia"/>
            <w:noProof/>
            <w:rtl/>
            <w:lang w:bidi="ar-EG"/>
          </w:rPr>
          <w:t>الراديوية</w:t>
        </w:r>
        <w:r w:rsidR="000B27D4" w:rsidRPr="007F356D">
          <w:rPr>
            <w:rStyle w:val="Hyperlink"/>
            <w:noProof/>
            <w:rtl/>
            <w:lang w:bidi="ar-EG"/>
          </w:rPr>
          <w:t xml:space="preserve"> </w:t>
        </w:r>
        <w:r w:rsidR="000B27D4" w:rsidRPr="007F356D">
          <w:rPr>
            <w:rStyle w:val="Hyperlink"/>
            <w:rFonts w:hint="eastAsia"/>
            <w:noProof/>
            <w:rtl/>
            <w:lang w:bidi="ar-EG"/>
          </w:rPr>
          <w:t>لعام</w:t>
        </w:r>
        <w:r w:rsidR="000B27D4" w:rsidRPr="007F356D">
          <w:rPr>
            <w:rStyle w:val="Hyperlink"/>
            <w:noProof/>
            <w:rtl/>
            <w:lang w:bidi="ar-EG"/>
          </w:rPr>
          <w:t xml:space="preserve"> 2027</w:t>
        </w:r>
        <w:r w:rsidR="000B27D4">
          <w:rPr>
            <w:noProof/>
            <w:webHidden/>
            <w:rtl/>
          </w:rPr>
          <w:tab/>
        </w:r>
        <w:r w:rsidR="000B27D4">
          <w:rPr>
            <w:noProof/>
            <w:webHidden/>
          </w:rPr>
          <w:tab/>
        </w:r>
        <w:r w:rsidR="000B27D4">
          <w:rPr>
            <w:noProof/>
            <w:webHidden/>
            <w:rtl/>
          </w:rPr>
          <w:fldChar w:fldCharType="begin"/>
        </w:r>
        <w:r w:rsidR="000B27D4">
          <w:rPr>
            <w:noProof/>
            <w:webHidden/>
            <w:rtl/>
          </w:rPr>
          <w:instrText xml:space="preserve"> </w:instrText>
        </w:r>
        <w:r w:rsidR="000B27D4">
          <w:rPr>
            <w:noProof/>
            <w:webHidden/>
          </w:rPr>
          <w:instrText>PAGEREF</w:instrText>
        </w:r>
        <w:r w:rsidR="000B27D4">
          <w:rPr>
            <w:noProof/>
            <w:webHidden/>
            <w:rtl/>
          </w:rPr>
          <w:instrText xml:space="preserve"> _</w:instrText>
        </w:r>
        <w:r w:rsidR="000B27D4">
          <w:rPr>
            <w:noProof/>
            <w:webHidden/>
          </w:rPr>
          <w:instrText>Toc223962018 \h</w:instrText>
        </w:r>
        <w:r w:rsidR="000B27D4">
          <w:rPr>
            <w:noProof/>
            <w:webHidden/>
            <w:rtl/>
          </w:rPr>
          <w:instrText xml:space="preserve"> </w:instrText>
        </w:r>
        <w:r w:rsidR="000B27D4">
          <w:rPr>
            <w:noProof/>
            <w:webHidden/>
            <w:rtl/>
          </w:rPr>
        </w:r>
        <w:r w:rsidR="000B27D4">
          <w:rPr>
            <w:noProof/>
            <w:webHidden/>
            <w:rtl/>
          </w:rPr>
          <w:fldChar w:fldCharType="separate"/>
        </w:r>
        <w:r w:rsidR="00372A01">
          <w:rPr>
            <w:noProof/>
            <w:webHidden/>
            <w:rtl/>
          </w:rPr>
          <w:t>31</w:t>
        </w:r>
        <w:r w:rsidR="000B27D4">
          <w:rPr>
            <w:noProof/>
            <w:webHidden/>
            <w:rtl/>
          </w:rPr>
          <w:fldChar w:fldCharType="end"/>
        </w:r>
      </w:hyperlink>
    </w:p>
    <w:p w14:paraId="6319F065" w14:textId="137EED43" w:rsidR="00A03F63" w:rsidRDefault="000A15A4" w:rsidP="000B27D4">
      <w:pPr>
        <w:spacing w:before="60" w:after="60"/>
        <w:rPr>
          <w:rtl/>
        </w:rPr>
      </w:pPr>
      <w:r>
        <w:rPr>
          <w:rtl/>
        </w:rPr>
        <w:fldChar w:fldCharType="end"/>
      </w:r>
      <w:r w:rsidR="00A03F63">
        <w:rPr>
          <w:rtl/>
        </w:rPr>
        <w:br w:type="page"/>
      </w:r>
    </w:p>
    <w:p w14:paraId="637F16E9" w14:textId="4C01E41E" w:rsidR="00674A3A" w:rsidRDefault="00674A3A" w:rsidP="00674A3A">
      <w:pPr>
        <w:pStyle w:val="Heading1"/>
        <w:rPr>
          <w:rtl/>
        </w:rPr>
      </w:pPr>
      <w:bookmarkStart w:id="1" w:name="_Toc223961952"/>
      <w:r>
        <w:lastRenderedPageBreak/>
        <w:t>1</w:t>
      </w:r>
      <w:r>
        <w:tab/>
      </w:r>
      <w:r>
        <w:rPr>
          <w:rtl/>
        </w:rPr>
        <w:t>مقدمة</w:t>
      </w:r>
      <w:bookmarkEnd w:id="1"/>
    </w:p>
    <w:p w14:paraId="1D9EE58D" w14:textId="6BCD1952" w:rsidR="00674A3A" w:rsidRDefault="00674A3A" w:rsidP="00674A3A">
      <w:pPr>
        <w:rPr>
          <w:rtl/>
        </w:rPr>
      </w:pPr>
      <w:r>
        <w:rPr>
          <w:rtl/>
        </w:rPr>
        <w:t xml:space="preserve">تقدم هذه الوثيقة تقارير حالة ومعلومات عن القضايا التي تظهر في مشروع جدول أعمال الاجتماع الثالث والثلاثين للفريق الاستشاري للاتصالات الراديوية (انظر </w:t>
      </w:r>
      <w:hyperlink r:id="rId13" w:history="1">
        <w:r w:rsidRPr="00674A3A">
          <w:rPr>
            <w:rStyle w:val="Hyperlink"/>
            <w:rtl/>
          </w:rPr>
          <w:t xml:space="preserve">الوثيقة </w:t>
        </w:r>
        <w:r w:rsidRPr="00674A3A">
          <w:rPr>
            <w:rStyle w:val="Hyperlink"/>
          </w:rPr>
          <w:t>CA/280</w:t>
        </w:r>
      </w:hyperlink>
      <w:r>
        <w:rPr>
          <w:rtl/>
        </w:rPr>
        <w:t>). وتهدف هذه الوثيقة إلى مساعدة الاجتماع في النظر في البنود ذات الصلة من جدول الأعمال.</w:t>
      </w:r>
    </w:p>
    <w:p w14:paraId="73D92431" w14:textId="77777777" w:rsidR="00674A3A" w:rsidRDefault="00674A3A" w:rsidP="00674A3A">
      <w:pPr>
        <w:rPr>
          <w:rtl/>
        </w:rPr>
      </w:pPr>
      <w:r>
        <w:rPr>
          <w:rtl/>
        </w:rPr>
        <w:t>وستُقَدَّم تقارير منفصلة بشأن بعض بنود جدول الأعمال.</w:t>
      </w:r>
    </w:p>
    <w:p w14:paraId="15EE86FF" w14:textId="79BE3B0B" w:rsidR="00674A3A" w:rsidRDefault="00674A3A" w:rsidP="00674A3A">
      <w:pPr>
        <w:pStyle w:val="Heading1"/>
        <w:rPr>
          <w:rtl/>
        </w:rPr>
      </w:pPr>
      <w:bookmarkStart w:id="2" w:name="_Toc223961953"/>
      <w:r>
        <w:t>2</w:t>
      </w:r>
      <w:r>
        <w:tab/>
      </w:r>
      <w:r>
        <w:rPr>
          <w:rtl/>
        </w:rPr>
        <w:t>مسائل المجلس</w:t>
      </w:r>
      <w:bookmarkEnd w:id="2"/>
    </w:p>
    <w:p w14:paraId="4EC15E22" w14:textId="77777777" w:rsidR="00816C27" w:rsidRDefault="00674A3A" w:rsidP="00674A3A">
      <w:pPr>
        <w:rPr>
          <w:rtl/>
        </w:rPr>
      </w:pPr>
      <w:r>
        <w:rPr>
          <w:rtl/>
        </w:rPr>
        <w:t xml:space="preserve">‏يغطي هذا القسم المسائل التي تناولتها دورة المجلس لعام </w:t>
      </w:r>
      <w:r>
        <w:rPr>
          <w:cs/>
        </w:rPr>
        <w:t>‎</w:t>
      </w:r>
      <w:r>
        <w:t>2025</w:t>
      </w:r>
      <w:r>
        <w:rPr>
          <w:rtl/>
        </w:rPr>
        <w:t xml:space="preserve"> ‏المعقودة في الفترة من 17 إلى 24 ‏يونيو 2025 (‏انظر الرابط: </w:t>
      </w:r>
      <w:hyperlink r:id="rId14" w:anchor="/ar" w:history="1">
        <w:r w:rsidRPr="00717EF7">
          <w:rPr>
            <w:rStyle w:val="Hyperlink"/>
          </w:rPr>
          <w:t>https://council.itu.int/2025/en/</w:t>
        </w:r>
      </w:hyperlink>
      <w:r>
        <w:rPr>
          <w:rtl/>
        </w:rPr>
        <w:t>‏)، والاجتماعات اللاحقة لفريق العمل وفريق الخبراء التابعين للمجلس.</w:t>
      </w:r>
    </w:p>
    <w:p w14:paraId="55ACABC7" w14:textId="4DC30C72" w:rsidR="00674A3A" w:rsidRDefault="00674A3A" w:rsidP="00674A3A">
      <w:pPr>
        <w:pStyle w:val="Heading2"/>
        <w:rPr>
          <w:rtl/>
        </w:rPr>
      </w:pPr>
      <w:bookmarkStart w:id="3" w:name="_Toc223961954"/>
      <w:r>
        <w:t>1.2</w:t>
      </w:r>
      <w:r>
        <w:tab/>
      </w:r>
      <w:r>
        <w:rPr>
          <w:rtl/>
        </w:rPr>
        <w:t>استرداد تكاليف معالجة بطاقات التبليغ عن الشبكات الساتلية</w:t>
      </w:r>
      <w:bookmarkEnd w:id="3"/>
    </w:p>
    <w:p w14:paraId="5C46C8BC" w14:textId="32D5D7B0" w:rsidR="00674A3A" w:rsidRDefault="00674A3A" w:rsidP="00674A3A">
      <w:pPr>
        <w:pStyle w:val="Heading3"/>
        <w:rPr>
          <w:rtl/>
        </w:rPr>
      </w:pPr>
      <w:bookmarkStart w:id="4" w:name="_Toc223961955"/>
      <w:r>
        <w:t>1.1.2</w:t>
      </w:r>
      <w:r>
        <w:tab/>
      </w:r>
      <w:r>
        <w:rPr>
          <w:rtl/>
        </w:rPr>
        <w:t>المقرر 482</w:t>
      </w:r>
      <w:bookmarkEnd w:id="4"/>
    </w:p>
    <w:p w14:paraId="57F6DC5B" w14:textId="77777777" w:rsidR="00816C27" w:rsidRDefault="00674A3A" w:rsidP="00674A3A">
      <w:pPr>
        <w:rPr>
          <w:rtl/>
        </w:rPr>
      </w:pPr>
      <w:r>
        <w:rPr>
          <w:rtl/>
        </w:rPr>
        <w:t xml:space="preserve">أخذ المجلس علماً في دورته لعام 2025 بالتقرير السنوي بشأن تنفيذ المقرر 482 (الصادر في دورة المجلس لعام 2001، والمعدّل آخر مرة في دورة المجلس لعام 2024) (انظر </w:t>
      </w:r>
      <w:hyperlink r:id="rId15" w:history="1">
        <w:r w:rsidRPr="00674A3A">
          <w:rPr>
            <w:rStyle w:val="Hyperlink"/>
            <w:rtl/>
          </w:rPr>
          <w:t xml:space="preserve">الوثيقة </w:t>
        </w:r>
        <w:r w:rsidRPr="00674A3A">
          <w:rPr>
            <w:rStyle w:val="Hyperlink"/>
          </w:rPr>
          <w:t>C25/16</w:t>
        </w:r>
      </w:hyperlink>
      <w:r>
        <w:rPr>
          <w:rtl/>
        </w:rPr>
        <w:t>).</w:t>
      </w:r>
    </w:p>
    <w:p w14:paraId="5860C69F" w14:textId="77777777" w:rsidR="00816C27" w:rsidRDefault="00674A3A" w:rsidP="00674A3A">
      <w:pPr>
        <w:rPr>
          <w:rtl/>
        </w:rPr>
      </w:pPr>
      <w:r>
        <w:rPr>
          <w:rtl/>
        </w:rPr>
        <w:t>ووافق المجلس أيضاً على جميع المقترحات التي قدمها فريق الخبراء المعني بالمقرر 482 لمراجعة هذا المقرر. ونظراً إلى العدد الكبير من التغييرات، قرر المجلس أن يدخل المقرر المراجَع حيز النفاذ في 1 يناير 2026. وتتمثل التغييرات الرئيسية التي أدخلت على المقرر 482 (الصادر في دورة المجلس لعام 2001، والمعدَّل آخر مرة في دورته لعام 2024) فيما يلي:</w:t>
      </w:r>
    </w:p>
    <w:p w14:paraId="0DBDBCC7" w14:textId="34706F0B" w:rsidR="00674A3A" w:rsidRDefault="00674A3A" w:rsidP="00674A3A">
      <w:pPr>
        <w:pStyle w:val="enumlev1"/>
        <w:rPr>
          <w:rtl/>
        </w:rPr>
      </w:pPr>
      <w:r>
        <w:rPr>
          <w:rtl/>
        </w:rPr>
        <w:t>‒</w:t>
      </w:r>
      <w:r>
        <w:rPr>
          <w:rtl/>
        </w:rPr>
        <w:tab/>
        <w:t>الاستعاضة عن الرسم الموحد لمعلومات النشر المسبق والتبليغات التي لا تخضع للتنسيق برسم ابتدائي يضاف إليه رسم خطي لكل وحدة،</w:t>
      </w:r>
    </w:p>
    <w:p w14:paraId="42FFE7A6" w14:textId="64638298" w:rsidR="00674A3A" w:rsidRDefault="00674A3A" w:rsidP="00674A3A">
      <w:pPr>
        <w:pStyle w:val="enumlev1"/>
        <w:rPr>
          <w:rtl/>
        </w:rPr>
      </w:pPr>
      <w:r>
        <w:rPr>
          <w:rtl/>
        </w:rPr>
        <w:t>‒</w:t>
      </w:r>
      <w:r>
        <w:rPr>
          <w:rtl/>
        </w:rPr>
        <w:tab/>
        <w:t>وضع رسوم محددة لعمليات تفحص كثافة تدفق القدرة المكافئة،</w:t>
      </w:r>
    </w:p>
    <w:p w14:paraId="6E669E79" w14:textId="344D094B" w:rsidR="00674A3A" w:rsidRDefault="00674A3A" w:rsidP="00674A3A">
      <w:pPr>
        <w:pStyle w:val="enumlev1"/>
        <w:rPr>
          <w:rtl/>
        </w:rPr>
      </w:pPr>
      <w:r>
        <w:rPr>
          <w:rtl/>
        </w:rPr>
        <w:t>‒</w:t>
      </w:r>
      <w:r>
        <w:rPr>
          <w:rtl/>
        </w:rPr>
        <w:tab/>
        <w:t>تحديد رسوم إضافية لبطاقات التبليغ الكبيرة أو المكلفة غير المستقرة بالنسبة إلى الأرض،</w:t>
      </w:r>
    </w:p>
    <w:p w14:paraId="71DA799F" w14:textId="61FBFDF3" w:rsidR="00674A3A" w:rsidRDefault="00674A3A" w:rsidP="00674A3A">
      <w:pPr>
        <w:pStyle w:val="enumlev1"/>
        <w:rPr>
          <w:rtl/>
        </w:rPr>
      </w:pPr>
      <w:r>
        <w:rPr>
          <w:rtl/>
        </w:rPr>
        <w:t>‒</w:t>
      </w:r>
      <w:r>
        <w:rPr>
          <w:rtl/>
        </w:rPr>
        <w:tab/>
        <w:t>استبعاد بطاقات التبليغ هذه من إمكانية الاستفادة من الاستحقاق المجاني السنوي</w:t>
      </w:r>
      <w:r w:rsidR="001A6EE7">
        <w:rPr>
          <w:rFonts w:hint="cs"/>
          <w:rtl/>
        </w:rPr>
        <w:t>.</w:t>
      </w:r>
    </w:p>
    <w:p w14:paraId="6578B7BB" w14:textId="578FC074" w:rsidR="00674A3A" w:rsidRDefault="00674A3A" w:rsidP="00674A3A">
      <w:pPr>
        <w:rPr>
          <w:rtl/>
        </w:rPr>
      </w:pPr>
      <w:r>
        <w:rPr>
          <w:rtl/>
        </w:rPr>
        <w:t>وقد حدّث المكتب برمجياته لتمكين الإدارات من حساب تكاليفها مقدماً. وأُتيحت نسخة تجريبية من البرمجية في نوفمبر 2025 حتى تتمكن الإدارات من فهم عواقب التغييرات المدخلة على المقرر 482 فيما يخص بطاقات التبليغ التي تعتزم تقديمها في</w:t>
      </w:r>
      <w:r w:rsidR="0046790B">
        <w:rPr>
          <w:rFonts w:hint="cs"/>
          <w:rtl/>
        </w:rPr>
        <w:t> </w:t>
      </w:r>
      <w:r>
        <w:rPr>
          <w:rtl/>
        </w:rPr>
        <w:t>عام</w:t>
      </w:r>
      <w:r w:rsidR="0046790B">
        <w:rPr>
          <w:rFonts w:hint="cs"/>
          <w:rtl/>
        </w:rPr>
        <w:t> </w:t>
      </w:r>
      <w:r>
        <w:rPr>
          <w:rtl/>
        </w:rPr>
        <w:t>2026 فصاعداً.</w:t>
      </w:r>
    </w:p>
    <w:p w14:paraId="632D5B38" w14:textId="55911492" w:rsidR="00674A3A" w:rsidRDefault="00674A3A" w:rsidP="00674A3A">
      <w:pPr>
        <w:rPr>
          <w:rtl/>
        </w:rPr>
      </w:pPr>
      <w:r>
        <w:rPr>
          <w:rtl/>
        </w:rPr>
        <w:t>وعلاوةً على ذلك، فيما يتعلق باسترداد التكاليف غير المباشرة، وافق المجلس على زيادة جميع الرسوم المنصوص عليها في</w:t>
      </w:r>
      <w:r w:rsidR="00097CE7">
        <w:rPr>
          <w:rFonts w:hint="cs"/>
          <w:rtl/>
        </w:rPr>
        <w:t> </w:t>
      </w:r>
      <w:r>
        <w:rPr>
          <w:rtl/>
        </w:rPr>
        <w:t>المقرر 482 (الصادر في دورة المجلس لعام 2001، والمعدَّل آخر مرة في دورته لعام 2025) بحوالي 10 في المائة، وذلك في</w:t>
      </w:r>
      <w:r w:rsidR="0046790B">
        <w:rPr>
          <w:rFonts w:hint="eastAsia"/>
          <w:rtl/>
        </w:rPr>
        <w:t> </w:t>
      </w:r>
      <w:r>
        <w:rPr>
          <w:rtl/>
        </w:rPr>
        <w:t xml:space="preserve">عامي 2026 و2027. وقد كُلف أيضاً فريق العمل التابع للمجلس والمعني بالموارد المالية والبشرية </w:t>
      </w:r>
      <w:r>
        <w:t>(CWG-FHR)</w:t>
      </w:r>
      <w:r>
        <w:rPr>
          <w:rtl/>
        </w:rPr>
        <w:t xml:space="preserve"> باستعراض التكاليف غير المباشرة المرتبطة بمعالجة بطاقات التبليغ عن الشبكات الساتلية واقتراح منهجية لاستردادها</w:t>
      </w:r>
      <w:r w:rsidR="00097CE7">
        <w:rPr>
          <w:rFonts w:hint="cs"/>
          <w:rtl/>
        </w:rPr>
        <w:t>.</w:t>
      </w:r>
    </w:p>
    <w:p w14:paraId="5E116ED3" w14:textId="7184C51A" w:rsidR="00674A3A" w:rsidRDefault="00674A3A" w:rsidP="00674A3A">
      <w:pPr>
        <w:rPr>
          <w:rtl/>
        </w:rPr>
      </w:pPr>
      <w:r>
        <w:rPr>
          <w:rtl/>
        </w:rPr>
        <w:t>واجتمع فريق العمل هذا في الفترة من 10 إلى 12 سبتمبر 2025 ونظر في مساهمة مقدمة من الولايات المتحدة الأمريكية تهدف إلى تقديم معلومات وأسئلة إضافية لتنظر فيها أمانة الاتحاد عند تقييم التكاليف غير المباشرة المرتبطة بمعالجة بطاقات التبليغ عن الشبكات الساتلية</w:t>
      </w:r>
      <w:r w:rsidR="00097CE7">
        <w:rPr>
          <w:rFonts w:hint="cs"/>
          <w:rtl/>
        </w:rPr>
        <w:t>.</w:t>
      </w:r>
    </w:p>
    <w:p w14:paraId="5DD57BAD" w14:textId="39CF0BD7" w:rsidR="00674A3A" w:rsidRDefault="00674A3A" w:rsidP="00674A3A">
      <w:pPr>
        <w:rPr>
          <w:rtl/>
        </w:rPr>
      </w:pPr>
      <w:r>
        <w:rPr>
          <w:rtl/>
        </w:rPr>
        <w:t>واجتمع فريق العمل أيضاً في الفترة من 14 إلى 16 يناير 2026 لمواصلة مناقشة نموذج استرداد تكاليف معالجة بطاقات التبليغ عن الشبكات الساتلية بناء</w:t>
      </w:r>
      <w:r w:rsidR="0046790B">
        <w:rPr>
          <w:rFonts w:hint="cs"/>
          <w:rtl/>
        </w:rPr>
        <w:t>ً</w:t>
      </w:r>
      <w:r>
        <w:rPr>
          <w:rtl/>
        </w:rPr>
        <w:t xml:space="preserve"> على مقترح من أمانة الاتحاد والعديد من المساهمات المقدمة من الأعضاء. وأقر رئيس فريق العمل التابع للمجلس بأن فريق العمل </w:t>
      </w:r>
      <w:r>
        <w:t>CWG-FHR</w:t>
      </w:r>
      <w:r>
        <w:rPr>
          <w:rtl/>
        </w:rPr>
        <w:t xml:space="preserve"> لم يتمكن من تلبية طلبات المجلس لعام 2025 على الرغم من الجهود الشجاعة. وبدون الاتفاق على القرار 91، أعرب الرئيس عن أنه من الصعب المضي قدماً في وضع منهجية. وعرض الرئيس رسماً بيانياً يلخص الأسئلة الرئيسية المفتوحة التي سيتعين على المجلس مراجعتها ومعالجتها في دورته لعام 2026 (انظر الصفحات من</w:t>
      </w:r>
      <w:r w:rsidR="00097CE7">
        <w:rPr>
          <w:rFonts w:hint="cs"/>
          <w:rtl/>
        </w:rPr>
        <w:t> </w:t>
      </w:r>
      <w:r>
        <w:rPr>
          <w:rtl/>
        </w:rPr>
        <w:t xml:space="preserve">17 إلى 19 من </w:t>
      </w:r>
      <w:hyperlink r:id="rId16" w:history="1">
        <w:r w:rsidRPr="00097CE7">
          <w:rPr>
            <w:rStyle w:val="Hyperlink"/>
            <w:rtl/>
          </w:rPr>
          <w:t xml:space="preserve">الوثيقة </w:t>
        </w:r>
        <w:r w:rsidRPr="00097CE7">
          <w:rPr>
            <w:rStyle w:val="Hyperlink"/>
          </w:rPr>
          <w:t>CWG-FHR-22/36</w:t>
        </w:r>
      </w:hyperlink>
      <w:r>
        <w:rPr>
          <w:rtl/>
        </w:rPr>
        <w:t>).</w:t>
      </w:r>
    </w:p>
    <w:p w14:paraId="61F692AF" w14:textId="480FAA28" w:rsidR="00674A3A" w:rsidRDefault="00097CE7" w:rsidP="00097CE7">
      <w:pPr>
        <w:pStyle w:val="Heading3"/>
        <w:rPr>
          <w:rtl/>
        </w:rPr>
      </w:pPr>
      <w:bookmarkStart w:id="5" w:name="_Toc223961956"/>
      <w:r>
        <w:lastRenderedPageBreak/>
        <w:t>2.1.2</w:t>
      </w:r>
      <w:r w:rsidR="00674A3A">
        <w:rPr>
          <w:rtl/>
        </w:rPr>
        <w:tab/>
        <w:t>الإيرادات المؤجلة بسبب نقص موارد المعالجة</w:t>
      </w:r>
      <w:bookmarkEnd w:id="5"/>
    </w:p>
    <w:p w14:paraId="4B66208F" w14:textId="656E21A1" w:rsidR="00674A3A" w:rsidRDefault="00674A3A" w:rsidP="00097CE7">
      <w:pPr>
        <w:keepLines/>
        <w:rPr>
          <w:rtl/>
        </w:rPr>
      </w:pPr>
      <w:r>
        <w:rPr>
          <w:rtl/>
        </w:rPr>
        <w:t xml:space="preserve">بالنظر إلى القواعد الحالية لمراجعة الحسابات، لا تُراعى مدفوعات الفواتير المتصلة باسترداد تكاليف السواتل في الإيرادات المحسوبة إلا بعد نشر الأقسام الخاصة المقابلة. وفي نهاية عام 2025، بلغت الإيرادات المؤجلة </w:t>
      </w:r>
      <w:r w:rsidR="00097CE7">
        <w:t>4 237 520</w:t>
      </w:r>
      <w:r>
        <w:rPr>
          <w:rtl/>
        </w:rPr>
        <w:t xml:space="preserve"> فرنكاً سويسرياً (أي الحالات التي أُصدرت فيها فواتير للجهة المقدمة بطاقة التبليغ، ولكن القسم الخاص المقابل لم يُنشر بَعد). وتنبغي الإشارة إلى</w:t>
      </w:r>
      <w:r w:rsidR="00097CE7">
        <w:rPr>
          <w:rFonts w:hint="cs"/>
          <w:rtl/>
        </w:rPr>
        <w:t> </w:t>
      </w:r>
      <w:r>
        <w:rPr>
          <w:rtl/>
        </w:rPr>
        <w:t xml:space="preserve">أن </w:t>
      </w:r>
      <w:r w:rsidR="00097CE7">
        <w:t>%95</w:t>
      </w:r>
      <w:r>
        <w:rPr>
          <w:rtl/>
        </w:rPr>
        <w:t xml:space="preserve"> من هذا المبلغ يتعلق بالفواتير المرتبطة بطلبات التبليغ الخاضعة للتنسيق وطلبات التنسيق، والتاريخان الأحدثان لنشر بطاقة التبليغ هما 21 ديسمبر 2024 و5 نوفمبر 2024 على التوالي.</w:t>
      </w:r>
      <w:r w:rsidR="00D53FD1">
        <w:rPr>
          <w:rtl/>
        </w:rPr>
        <w:t xml:space="preserve"> </w:t>
      </w:r>
      <w:r>
        <w:rPr>
          <w:rtl/>
        </w:rPr>
        <w:t xml:space="preserve">وعلاوةً على ذلك، من المهم الإشارة إلى أن أكثر من 190 طلبَ تنسيقٍ، تُقدر قيمتها بحوالي </w:t>
      </w:r>
      <w:r w:rsidR="00097CE7">
        <w:t>3 800 000</w:t>
      </w:r>
      <w:r>
        <w:rPr>
          <w:rtl/>
        </w:rPr>
        <w:t xml:space="preserve"> فرنك سويسري (بناء</w:t>
      </w:r>
      <w:r w:rsidR="00097CE7">
        <w:rPr>
          <w:rFonts w:hint="cs"/>
          <w:rtl/>
        </w:rPr>
        <w:t>ً</w:t>
      </w:r>
      <w:r>
        <w:rPr>
          <w:rtl/>
        </w:rPr>
        <w:t xml:space="preserve"> على قيمة </w:t>
      </w:r>
      <w:r w:rsidR="00097CE7">
        <w:t>20 000</w:t>
      </w:r>
      <w:r>
        <w:rPr>
          <w:rtl/>
        </w:rPr>
        <w:t xml:space="preserve"> فرنك سويسري لكل طلب تنسيق)، وردت في عام 2025، ولا تزال تنتظر الفوترة.</w:t>
      </w:r>
    </w:p>
    <w:p w14:paraId="27FBF7C0" w14:textId="7A23B02F" w:rsidR="00674A3A" w:rsidRDefault="00674A3A" w:rsidP="00674A3A">
      <w:pPr>
        <w:rPr>
          <w:rtl/>
        </w:rPr>
      </w:pPr>
      <w:r>
        <w:rPr>
          <w:rtl/>
        </w:rPr>
        <w:t>وتقع أوقات معالجة جميع الأقسام الخاصة، باستثناء طلبات التنسيق، ضمن الفترات المحددة إما في لوائح الراديو أو في الخطة التشغيلية لقطاع الاتصالات الراديوية في الحالات التي تغيب فيها فترة تنظيمية. وفيما يتعلق بطلبات التنسيق، يشهد عدد الشبكات قيد المعالجة تراجعاً منذ مايو 2025، مما يدل على جهود مكتب الاتصالات الراديوية الرامية إلى معالجة العمل المتأخر (يبلغ وقت المعالجة الحالي 14 شهراً مقارنة بالمتطلبات التنظيمية البالغة 4 أشهر). بيد أن هذه الجهود تعرقلها القيود الحالية المفروضة على ميزانية الاتحاد، مما أدى إلى تجميد فعلي في التعيينات، وإبقاء الكثير من الوظائف الشاغرة في المكتب شاغرة. وفي ظل عدم كفاية عدد الموظفين الحالية لمعالجة طلبات التنسيق، لا يملك المكتب الموارد اللازمة بغية إنهاء الأعمال المتأخرة وبالتالي خفض مبلغ الإيرادات المؤجلة. وبالإضافة إلى ذلك، التأخير في معالجة طلبات التنسيق سيزيد من عدم اليقين التنظيمي ويضعف قدرة الإدارات ومشغلي السواتل على إحراز تقدم في خططهم الخاصة بنشر الشبكات الساتلية، والتي يتعين وضعها في</w:t>
      </w:r>
      <w:r w:rsidR="00097CE7">
        <w:rPr>
          <w:rFonts w:hint="eastAsia"/>
          <w:rtl/>
        </w:rPr>
        <w:t> </w:t>
      </w:r>
      <w:r>
        <w:rPr>
          <w:rtl/>
        </w:rPr>
        <w:t>الخدمة في غضون سبع سنوات من التبليغ.</w:t>
      </w:r>
    </w:p>
    <w:p w14:paraId="5709C730" w14:textId="063BD868" w:rsidR="00674A3A" w:rsidRDefault="00182143" w:rsidP="00182143">
      <w:pPr>
        <w:pStyle w:val="Heading2"/>
        <w:rPr>
          <w:rtl/>
        </w:rPr>
      </w:pPr>
      <w:bookmarkStart w:id="6" w:name="_Toc223961957"/>
      <w:r>
        <w:t>2.2</w:t>
      </w:r>
      <w:r w:rsidR="00674A3A">
        <w:rPr>
          <w:rtl/>
        </w:rPr>
        <w:tab/>
        <w:t xml:space="preserve">ميزانية الفترة </w:t>
      </w:r>
      <w:r w:rsidR="002A1232" w:rsidRPr="002A1232">
        <w:t>2025-2024</w:t>
      </w:r>
      <w:r w:rsidR="00674A3A">
        <w:rPr>
          <w:rtl/>
        </w:rPr>
        <w:t xml:space="preserve"> وميزانية الفترة 2026-2027</w:t>
      </w:r>
      <w:bookmarkEnd w:id="6"/>
    </w:p>
    <w:p w14:paraId="2D2B4DBC" w14:textId="64BE7A98" w:rsidR="00674A3A" w:rsidRPr="00182143" w:rsidRDefault="00674A3A" w:rsidP="00674A3A">
      <w:pPr>
        <w:rPr>
          <w:spacing w:val="-6"/>
          <w:rtl/>
        </w:rPr>
      </w:pPr>
      <w:r w:rsidRPr="00182143">
        <w:rPr>
          <w:spacing w:val="-6"/>
          <w:rtl/>
        </w:rPr>
        <w:t xml:space="preserve">اعتمد المجلس في دورته لعام 2023 الميزانية التالية لقطاع الاتصالات الراديوية في الإطار الزمني </w:t>
      </w:r>
      <w:r w:rsidR="002A1232" w:rsidRPr="002A1232">
        <w:rPr>
          <w:spacing w:val="-6"/>
        </w:rPr>
        <w:t>2025-2024</w:t>
      </w:r>
      <w:r w:rsidRPr="00182143">
        <w:rPr>
          <w:spacing w:val="-6"/>
          <w:rtl/>
        </w:rPr>
        <w:t xml:space="preserve"> (انظر </w:t>
      </w:r>
      <w:hyperlink r:id="rId17" w:history="1">
        <w:r w:rsidRPr="00182143">
          <w:rPr>
            <w:rStyle w:val="Hyperlink"/>
            <w:spacing w:val="-6"/>
            <w:rtl/>
          </w:rPr>
          <w:t>قرار المجلس 1417</w:t>
        </w:r>
      </w:hyperlink>
      <w:r w:rsidRPr="00182143">
        <w:rPr>
          <w:spacing w:val="-6"/>
          <w:rtl/>
        </w:rPr>
        <w:t>).</w:t>
      </w:r>
    </w:p>
    <w:p w14:paraId="722B8E15" w14:textId="0091D79C" w:rsidR="00674A3A" w:rsidRDefault="00674A3A" w:rsidP="00D9291D">
      <w:pPr>
        <w:pStyle w:val="Tabletitle"/>
        <w:spacing w:before="240"/>
        <w:rPr>
          <w:rtl/>
        </w:rPr>
      </w:pPr>
      <w:r>
        <w:rPr>
          <w:rtl/>
        </w:rPr>
        <w:t xml:space="preserve">الجدول </w:t>
      </w:r>
      <w:r w:rsidR="00182143">
        <w:t>1-2.2</w:t>
      </w:r>
      <w:r w:rsidR="002A1232">
        <w:rPr>
          <w:rFonts w:hint="cs"/>
          <w:rtl/>
        </w:rPr>
        <w:t>.</w:t>
      </w:r>
      <w:r>
        <w:rPr>
          <w:rtl/>
        </w:rPr>
        <w:t xml:space="preserve"> ميزانية الفترة </w:t>
      </w:r>
      <w:r w:rsidR="002A1232" w:rsidRPr="002A1232">
        <w:t>2025-2024</w:t>
      </w:r>
    </w:p>
    <w:p w14:paraId="112F478C" w14:textId="3975C933" w:rsidR="00674A3A" w:rsidRDefault="00182143" w:rsidP="00D9291D">
      <w:pPr>
        <w:pStyle w:val="Figure"/>
        <w:rPr>
          <w:rtl/>
        </w:rPr>
      </w:pPr>
      <w:r w:rsidRPr="00717EF7">
        <w:drawing>
          <wp:inline distT="0" distB="0" distL="0" distR="0" wp14:anchorId="76B47C05" wp14:editId="4402F23A">
            <wp:extent cx="5940000" cy="3074400"/>
            <wp:effectExtent l="0" t="0" r="3810" b="0"/>
            <wp:docPr id="1794614690" name="Picture 179461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614690"/>
                    <pic:cNvPicPr/>
                  </pic:nvPicPr>
                  <pic:blipFill>
                    <a:blip r:embed="rId18">
                      <a:extLst>
                        <a:ext uri="{28A0092B-C50C-407E-A947-70E740481C1C}">
                          <a14:useLocalDpi xmlns:a14="http://schemas.microsoft.com/office/drawing/2010/main" val="0"/>
                        </a:ext>
                      </a:extLst>
                    </a:blip>
                    <a:stretch>
                      <a:fillRect/>
                    </a:stretch>
                  </pic:blipFill>
                  <pic:spPr>
                    <a:xfrm>
                      <a:off x="0" y="0"/>
                      <a:ext cx="5940000" cy="3074400"/>
                    </a:xfrm>
                    <a:prstGeom prst="rect">
                      <a:avLst/>
                    </a:prstGeom>
                  </pic:spPr>
                </pic:pic>
              </a:graphicData>
            </a:graphic>
          </wp:inline>
        </w:drawing>
      </w:r>
    </w:p>
    <w:p w14:paraId="7A56A8B7" w14:textId="77777777" w:rsidR="00816C27" w:rsidRDefault="00674A3A" w:rsidP="00D9291D">
      <w:pPr>
        <w:rPr>
          <w:rtl/>
        </w:rPr>
      </w:pPr>
      <w:r>
        <w:rPr>
          <w:rtl/>
        </w:rPr>
        <w:t xml:space="preserve">يبين الجدولان </w:t>
      </w:r>
      <w:r w:rsidR="00182143">
        <w:t>2-2.2</w:t>
      </w:r>
      <w:r>
        <w:rPr>
          <w:rtl/>
        </w:rPr>
        <w:t xml:space="preserve"> و</w:t>
      </w:r>
      <w:r w:rsidR="00182143">
        <w:t>3-2.2</w:t>
      </w:r>
      <w:r>
        <w:rPr>
          <w:rtl/>
        </w:rPr>
        <w:t xml:space="preserve"> ميزانية الاتحاد لفترة السنتين </w:t>
      </w:r>
      <w:r w:rsidR="00182143" w:rsidRPr="00182143">
        <w:t>2027-2026</w:t>
      </w:r>
      <w:r>
        <w:rPr>
          <w:rtl/>
        </w:rPr>
        <w:t xml:space="preserve"> وتوزيع ميزانية الاتحاد لفترة السنتين </w:t>
      </w:r>
      <w:r w:rsidR="00182143" w:rsidRPr="00182143">
        <w:t>2027-2026</w:t>
      </w:r>
      <w:r>
        <w:rPr>
          <w:rtl/>
        </w:rPr>
        <w:t xml:space="preserve"> لقطاع الاتصالات الراديوية حسب الأبواب (انظر القرار 1435)، على النحو الذي اعتمده المجلس في دورته لعام 2025.</w:t>
      </w:r>
    </w:p>
    <w:p w14:paraId="14464A6A" w14:textId="13B0A27F" w:rsidR="00674A3A" w:rsidRPr="00182143" w:rsidRDefault="00674A3A" w:rsidP="00674A3A">
      <w:pPr>
        <w:rPr>
          <w:spacing w:val="-2"/>
          <w:rtl/>
        </w:rPr>
      </w:pPr>
      <w:r w:rsidRPr="00182143">
        <w:rPr>
          <w:spacing w:val="-2"/>
          <w:rtl/>
        </w:rPr>
        <w:t xml:space="preserve">وتتضمن ميزانية الاتحاد لفترة السنتين </w:t>
      </w:r>
      <w:r w:rsidR="00182143" w:rsidRPr="00182143">
        <w:rPr>
          <w:spacing w:val="-2"/>
        </w:rPr>
        <w:t>2027-2026</w:t>
      </w:r>
      <w:r w:rsidRPr="00182143">
        <w:rPr>
          <w:spacing w:val="-2"/>
          <w:rtl/>
        </w:rPr>
        <w:t xml:space="preserve"> تخفيضاً إجمالياً يبلغ </w:t>
      </w:r>
      <w:r w:rsidR="00182143" w:rsidRPr="00182143">
        <w:rPr>
          <w:spacing w:val="-2"/>
        </w:rPr>
        <w:t>6,008</w:t>
      </w:r>
      <w:r w:rsidRPr="00182143">
        <w:rPr>
          <w:spacing w:val="-2"/>
          <w:rtl/>
        </w:rPr>
        <w:t xml:space="preserve"> ملايين فرنك سويسري. ولتحقيق ميزانية متوازنة، التمس المجلس في دورته لعام 2025 من الأمانة المضي قدماً في تحقيق خفض شامل من خلال جهود تحديد الأولويات التي من شأنها تمكين القطاعات الثلاثة جميعها من تنفيذ مهامها بفعالية، وتقديم تقرير عن الإجراءات المتخذة إلى فريق العمل</w:t>
      </w:r>
      <w:r w:rsidR="00182143" w:rsidRPr="00182143">
        <w:rPr>
          <w:rFonts w:hint="eastAsia"/>
          <w:spacing w:val="-2"/>
          <w:rtl/>
        </w:rPr>
        <w:t> </w:t>
      </w:r>
      <w:r w:rsidRPr="00182143">
        <w:rPr>
          <w:spacing w:val="-2"/>
        </w:rPr>
        <w:t>CWG-FHR</w:t>
      </w:r>
      <w:r w:rsidRPr="00182143">
        <w:rPr>
          <w:spacing w:val="-2"/>
          <w:rtl/>
        </w:rPr>
        <w:t>. وبالإضافة إلى ذلك، تم تحديد ميزانية مكتب الاتصالات الراديوية على أساس تطبيق معدل شغور على</w:t>
      </w:r>
      <w:r w:rsidR="00182143" w:rsidRPr="00182143">
        <w:rPr>
          <w:rFonts w:hint="cs"/>
          <w:spacing w:val="-2"/>
          <w:rtl/>
        </w:rPr>
        <w:t> </w:t>
      </w:r>
      <w:r w:rsidRPr="00182143">
        <w:rPr>
          <w:spacing w:val="-2"/>
          <w:rtl/>
        </w:rPr>
        <w:t>وظائف مكتب الاتصالات الراديوية.</w:t>
      </w:r>
    </w:p>
    <w:p w14:paraId="3AFD33C5" w14:textId="640B9703" w:rsidR="00674A3A" w:rsidRDefault="00674A3A" w:rsidP="00D9291D">
      <w:pPr>
        <w:pStyle w:val="Tabletitle"/>
        <w:spacing w:before="240"/>
        <w:rPr>
          <w:rtl/>
        </w:rPr>
      </w:pPr>
      <w:r>
        <w:rPr>
          <w:rtl/>
        </w:rPr>
        <w:lastRenderedPageBreak/>
        <w:t xml:space="preserve">الجدول </w:t>
      </w:r>
      <w:r w:rsidR="0046790B">
        <w:t>2-2.2</w:t>
      </w:r>
      <w:r w:rsidR="002A1232">
        <w:rPr>
          <w:rFonts w:hint="cs"/>
          <w:rtl/>
        </w:rPr>
        <w:t xml:space="preserve">. </w:t>
      </w:r>
      <w:r>
        <w:rPr>
          <w:rtl/>
        </w:rPr>
        <w:t xml:space="preserve">ميزانية الاتحاد لفترة السنتين </w:t>
      </w:r>
      <w:r w:rsidR="00182143" w:rsidRPr="00182143">
        <w:t>2027-2026</w:t>
      </w:r>
    </w:p>
    <w:p w14:paraId="1EB7CDAE" w14:textId="206E3D26" w:rsidR="00674A3A" w:rsidRDefault="002A1232" w:rsidP="002A1232">
      <w:pPr>
        <w:pStyle w:val="Figure"/>
        <w:rPr>
          <w:rtl/>
        </w:rPr>
      </w:pPr>
      <w:r w:rsidRPr="00717EF7">
        <w:drawing>
          <wp:inline distT="0" distB="0" distL="0" distR="0" wp14:anchorId="402CA429" wp14:editId="1DAAB1B0">
            <wp:extent cx="4600575" cy="1789171"/>
            <wp:effectExtent l="0" t="0" r="0" b="1905"/>
            <wp:docPr id="771317382" name="Picture 1" descr="A blue and red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7382" name="Picture 1" descr="A blue and red card with white text&#10;&#10;AI-generated content may be incorrect."/>
                    <pic:cNvPicPr/>
                  </pic:nvPicPr>
                  <pic:blipFill rotWithShape="1">
                    <a:blip r:embed="rId19" cstate="print">
                      <a:extLst>
                        <a:ext uri="{28A0092B-C50C-407E-A947-70E740481C1C}">
                          <a14:useLocalDpi xmlns:a14="http://schemas.microsoft.com/office/drawing/2010/main" val="0"/>
                        </a:ext>
                      </a:extLst>
                    </a:blip>
                    <a:srcRect l="531"/>
                    <a:stretch/>
                  </pic:blipFill>
                  <pic:spPr bwMode="auto">
                    <a:xfrm>
                      <a:off x="0" y="0"/>
                      <a:ext cx="4623033" cy="1797905"/>
                    </a:xfrm>
                    <a:prstGeom prst="rect">
                      <a:avLst/>
                    </a:prstGeom>
                    <a:ln>
                      <a:noFill/>
                    </a:ln>
                    <a:extLst>
                      <a:ext uri="{53640926-AAD7-44D8-BBD7-CCE9431645EC}">
                        <a14:shadowObscured xmlns:a14="http://schemas.microsoft.com/office/drawing/2010/main"/>
                      </a:ext>
                    </a:extLst>
                  </pic:spPr>
                </pic:pic>
              </a:graphicData>
            </a:graphic>
          </wp:inline>
        </w:drawing>
      </w:r>
    </w:p>
    <w:p w14:paraId="74BC46DA" w14:textId="4A4ECBA5" w:rsidR="00674A3A" w:rsidRDefault="00674A3A" w:rsidP="002A1232">
      <w:pPr>
        <w:pStyle w:val="Tabletitle"/>
        <w:rPr>
          <w:rtl/>
        </w:rPr>
      </w:pPr>
      <w:r>
        <w:rPr>
          <w:rtl/>
        </w:rPr>
        <w:t xml:space="preserve">الجدول </w:t>
      </w:r>
      <w:r w:rsidR="002A1232">
        <w:t>3-2.2</w:t>
      </w:r>
      <w:r w:rsidR="002A1232">
        <w:rPr>
          <w:rFonts w:hint="cs"/>
          <w:rtl/>
        </w:rPr>
        <w:t>.</w:t>
      </w:r>
      <w:r>
        <w:rPr>
          <w:rtl/>
        </w:rPr>
        <w:t xml:space="preserve"> ميزانية مكتب الاتصالات الراديوية لفترة </w:t>
      </w:r>
      <w:r w:rsidR="0046790B">
        <w:t>2027-2026</w:t>
      </w:r>
    </w:p>
    <w:p w14:paraId="57EA0735" w14:textId="4823526C" w:rsidR="002A1232" w:rsidRDefault="002A1232" w:rsidP="002A1232">
      <w:pPr>
        <w:pStyle w:val="Figure"/>
        <w:rPr>
          <w:rtl/>
        </w:rPr>
      </w:pPr>
      <w:r w:rsidRPr="00717EF7">
        <w:drawing>
          <wp:inline distT="0" distB="0" distL="0" distR="0" wp14:anchorId="0E1DCEBB" wp14:editId="3B6A6404">
            <wp:extent cx="6120765" cy="3287395"/>
            <wp:effectExtent l="0" t="0" r="0" b="8255"/>
            <wp:docPr id="186617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4066" name=""/>
                    <pic:cNvPicPr/>
                  </pic:nvPicPr>
                  <pic:blipFill>
                    <a:blip r:embed="rId20"/>
                    <a:stretch>
                      <a:fillRect/>
                    </a:stretch>
                  </pic:blipFill>
                  <pic:spPr>
                    <a:xfrm>
                      <a:off x="0" y="0"/>
                      <a:ext cx="6120765" cy="3287395"/>
                    </a:xfrm>
                    <a:prstGeom prst="rect">
                      <a:avLst/>
                    </a:prstGeom>
                  </pic:spPr>
                </pic:pic>
              </a:graphicData>
            </a:graphic>
          </wp:inline>
        </w:drawing>
      </w:r>
    </w:p>
    <w:p w14:paraId="6CE752BD" w14:textId="2438448E" w:rsidR="00674A3A" w:rsidRDefault="00674A3A" w:rsidP="00674A3A">
      <w:pPr>
        <w:rPr>
          <w:rtl/>
        </w:rPr>
      </w:pPr>
      <w:r>
        <w:rPr>
          <w:rtl/>
        </w:rPr>
        <w:t xml:space="preserve">في اجتماع فريق العمل </w:t>
      </w:r>
      <w:r>
        <w:t>CWG-FHR</w:t>
      </w:r>
      <w:r>
        <w:rPr>
          <w:rtl/>
        </w:rPr>
        <w:t xml:space="preserve"> الذي عُقِد في يناير 2026، قدَّمت الوثيقة </w:t>
      </w:r>
      <w:hyperlink r:id="rId21" w:history="1">
        <w:r w:rsidRPr="002A1232">
          <w:rPr>
            <w:rStyle w:val="Hyperlink"/>
          </w:rPr>
          <w:t>CWG-FHR-22/21</w:t>
        </w:r>
      </w:hyperlink>
      <w:r>
        <w:rPr>
          <w:rtl/>
        </w:rPr>
        <w:t xml:space="preserve"> مستجدات بشأن ميزانية الاتحاد للفترة </w:t>
      </w:r>
      <w:r w:rsidR="00182143" w:rsidRPr="00182143">
        <w:t>2027-2026</w:t>
      </w:r>
      <w:r>
        <w:rPr>
          <w:rtl/>
        </w:rPr>
        <w:t xml:space="preserve"> من أجل تحقيق ميزانية متوازنة من خلال تحديد الأولويات والتوحيد في إطار عملية التخطيط التشغيلي. ويتضمن المقترح تخفيضاً في نفقات السفر والخدمات الاستشارية قصيرة الأجل، ومكاسب في الكفاءة (مثل الأتمتة)، على النحو المبين في الجدول </w:t>
      </w:r>
      <w:r w:rsidR="002A1232">
        <w:t>4-2.2</w:t>
      </w:r>
      <w:r>
        <w:rPr>
          <w:rtl/>
        </w:rPr>
        <w:t xml:space="preserve">. وسيُعرض في دورة المجلس لعام 2026 الاستعراض السنوي للإيرادات والنفقات لتنفيذ ميزانية عام 2026، بما في ذلك التخفيض الشامل للميزانية </w:t>
      </w:r>
      <w:r w:rsidR="00182143" w:rsidRPr="00182143">
        <w:t>2027-2026</w:t>
      </w:r>
      <w:r>
        <w:rPr>
          <w:rtl/>
        </w:rPr>
        <w:t>.</w:t>
      </w:r>
    </w:p>
    <w:p w14:paraId="1429C1CB" w14:textId="77777777" w:rsidR="00993F5C" w:rsidRDefault="00674A3A" w:rsidP="00B1358D">
      <w:pPr>
        <w:pStyle w:val="Tabletitle"/>
        <w:spacing w:before="240"/>
        <w:rPr>
          <w:rtl/>
        </w:rPr>
      </w:pPr>
      <w:r>
        <w:rPr>
          <w:rtl/>
        </w:rPr>
        <w:lastRenderedPageBreak/>
        <w:t xml:space="preserve">الجدول </w:t>
      </w:r>
      <w:r w:rsidR="000E57E5">
        <w:t>4-2.2</w:t>
      </w:r>
      <w:r w:rsidR="000E57E5">
        <w:rPr>
          <w:rFonts w:hint="cs"/>
          <w:rtl/>
        </w:rPr>
        <w:t xml:space="preserve">. </w:t>
      </w:r>
      <w:r>
        <w:rPr>
          <w:rtl/>
        </w:rPr>
        <w:t xml:space="preserve">الميزانية المراجعة المقترحة من المكاتب للفترة </w:t>
      </w:r>
      <w:r w:rsidR="00182143" w:rsidRPr="00182143">
        <w:t>2027-2026</w:t>
      </w:r>
    </w:p>
    <w:p w14:paraId="3262E9E8" w14:textId="243158D6" w:rsidR="00674A3A" w:rsidRDefault="00055AA4" w:rsidP="00055AA4">
      <w:pPr>
        <w:pStyle w:val="Figure"/>
        <w:rPr>
          <w:rtl/>
        </w:rPr>
      </w:pPr>
      <w:r w:rsidRPr="00717EF7">
        <w:drawing>
          <wp:inline distT="0" distB="0" distL="0" distR="0" wp14:anchorId="0D6A286F" wp14:editId="3C9DDD93">
            <wp:extent cx="5869116" cy="1744318"/>
            <wp:effectExtent l="0" t="0" r="0" b="8890"/>
            <wp:docPr id="986529964"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29964" name="Picture 1" descr="A white rectangular box with black text&#10;&#10;AI-generated content may be incorrect."/>
                    <pic:cNvPicPr/>
                  </pic:nvPicPr>
                  <pic:blipFill>
                    <a:blip r:embed="rId22"/>
                    <a:stretch>
                      <a:fillRect/>
                    </a:stretch>
                  </pic:blipFill>
                  <pic:spPr>
                    <a:xfrm>
                      <a:off x="0" y="0"/>
                      <a:ext cx="5915828" cy="1758201"/>
                    </a:xfrm>
                    <a:prstGeom prst="rect">
                      <a:avLst/>
                    </a:prstGeom>
                  </pic:spPr>
                </pic:pic>
              </a:graphicData>
            </a:graphic>
          </wp:inline>
        </w:drawing>
      </w:r>
    </w:p>
    <w:p w14:paraId="2E5994EB" w14:textId="0015F577" w:rsidR="00674A3A" w:rsidRDefault="00055AA4" w:rsidP="00055AA4">
      <w:pPr>
        <w:pStyle w:val="Heading2"/>
        <w:rPr>
          <w:rtl/>
        </w:rPr>
      </w:pPr>
      <w:bookmarkStart w:id="7" w:name="_Toc223961958"/>
      <w:r>
        <w:t>3.2</w:t>
      </w:r>
      <w:r>
        <w:tab/>
      </w:r>
      <w:r w:rsidR="00674A3A">
        <w:rPr>
          <w:rtl/>
        </w:rPr>
        <w:t>استعمال اللغات الرسمية الست في الاتحاد على قدم المساواة</w:t>
      </w:r>
      <w:bookmarkEnd w:id="7"/>
    </w:p>
    <w:p w14:paraId="3DB2C450" w14:textId="657693E5" w:rsidR="00674A3A" w:rsidRDefault="00674A3A" w:rsidP="00674A3A">
      <w:pPr>
        <w:rPr>
          <w:rtl/>
        </w:rPr>
      </w:pPr>
      <w:r>
        <w:rPr>
          <w:rtl/>
        </w:rPr>
        <w:t>عدّل مؤتمر المندوبين المفوضين للاتحاد لعام 2022 (</w:t>
      </w:r>
      <w:r>
        <w:t>PP-22</w:t>
      </w:r>
      <w:r>
        <w:rPr>
          <w:rtl/>
        </w:rPr>
        <w:t>) القرار 154 (المراجَع في بوخارست، 2022) الذي يدعو الاتحاد إلى مواصلة اتخاذ جميع التدابير اللازمة لضمان استعمال اللغات الرسمية الست للاتحاد على قدم المساواة وتوفير الترجمة الشفوية وترجمة وثائق الاتحاد علماً بأن بعض أنشطة الاتحاد (مثل فرق العمل أو المؤتمرات الإقليمية) قد لا تتطلب استعمال جميع اللغات الرسمية. ويكلف القرار 154 (المراجَع في بوخارست، 2022) الأمينة العامة بأن تقدم، بالتعاون الوثيق مع مديري المكاتب، تقريراً سنوياً إلى المجلس وإلى فريق العمل التابع للمجلس والمعني باللغات (</w:t>
      </w:r>
      <w:r>
        <w:t>CWG-LANG</w:t>
      </w:r>
      <w:r>
        <w:rPr>
          <w:rtl/>
        </w:rPr>
        <w:t>).</w:t>
      </w:r>
    </w:p>
    <w:p w14:paraId="0E221775" w14:textId="12759B59" w:rsidR="00674A3A" w:rsidRPr="00055AA4" w:rsidRDefault="00674A3A" w:rsidP="00674A3A">
      <w:pPr>
        <w:rPr>
          <w:spacing w:val="-2"/>
          <w:rtl/>
        </w:rPr>
      </w:pPr>
      <w:r w:rsidRPr="00055AA4">
        <w:rPr>
          <w:spacing w:val="-2"/>
          <w:rtl/>
        </w:rPr>
        <w:t xml:space="preserve">وأحاط المجلس في دورته لعام 2025 علماً بالتقرير المتعلق باستخدام اللغات الست للاتحاد على قدم المساواة والذي قدمه رئيس فريق العمل </w:t>
      </w:r>
      <w:r w:rsidRPr="00055AA4">
        <w:rPr>
          <w:spacing w:val="-2"/>
        </w:rPr>
        <w:t>CWG-LANG</w:t>
      </w:r>
      <w:r w:rsidRPr="00055AA4">
        <w:rPr>
          <w:spacing w:val="-2"/>
          <w:rtl/>
        </w:rPr>
        <w:t xml:space="preserve"> في </w:t>
      </w:r>
      <w:hyperlink r:id="rId23" w:history="1">
        <w:r w:rsidRPr="00055AA4">
          <w:rPr>
            <w:rStyle w:val="Hyperlink"/>
            <w:spacing w:val="-2"/>
            <w:rtl/>
          </w:rPr>
          <w:t xml:space="preserve">الوثيقة </w:t>
        </w:r>
        <w:r w:rsidRPr="00055AA4">
          <w:rPr>
            <w:rStyle w:val="Hyperlink"/>
            <w:spacing w:val="-2"/>
          </w:rPr>
          <w:t>C25/12</w:t>
        </w:r>
      </w:hyperlink>
      <w:r w:rsidRPr="00055AA4">
        <w:rPr>
          <w:spacing w:val="-2"/>
          <w:rtl/>
        </w:rPr>
        <w:t xml:space="preserve">، والذي تضمن تحديثاً بشأن تنفيذ دليل تعدد اللغات، وبيانات عن أدوات الترجمة الآلية للاتحاد </w:t>
      </w:r>
      <w:r w:rsidRPr="00055AA4">
        <w:rPr>
          <w:spacing w:val="-2"/>
        </w:rPr>
        <w:t>ITU-Translate</w:t>
      </w:r>
      <w:r w:rsidRPr="00055AA4">
        <w:rPr>
          <w:spacing w:val="-2"/>
          <w:rtl/>
        </w:rPr>
        <w:t>، وتقريراً عن التحديات والفرص المرتبطة باستخدام الترجمة الشفوية بمساعدة الذكاء الاصطناعي في</w:t>
      </w:r>
      <w:r w:rsidR="0046790B">
        <w:rPr>
          <w:rFonts w:hint="eastAsia"/>
          <w:spacing w:val="-2"/>
          <w:rtl/>
        </w:rPr>
        <w:t> </w:t>
      </w:r>
      <w:r w:rsidRPr="00055AA4">
        <w:rPr>
          <w:spacing w:val="-2"/>
          <w:rtl/>
        </w:rPr>
        <w:t xml:space="preserve">الاتحاد (الوثيقة </w:t>
      </w:r>
      <w:hyperlink r:id="rId24" w:history="1">
        <w:r w:rsidRPr="00055AA4">
          <w:rPr>
            <w:rStyle w:val="Hyperlink"/>
            <w:spacing w:val="-2"/>
          </w:rPr>
          <w:t>C25/INF/7</w:t>
        </w:r>
      </w:hyperlink>
      <w:r w:rsidRPr="00055AA4">
        <w:rPr>
          <w:spacing w:val="-2"/>
          <w:rtl/>
        </w:rPr>
        <w:t xml:space="preserve">). وسيقدم رئيس فريق العمل </w:t>
      </w:r>
      <w:r w:rsidRPr="00055AA4">
        <w:rPr>
          <w:spacing w:val="-2"/>
        </w:rPr>
        <w:t>CWG-LANG</w:t>
      </w:r>
      <w:r w:rsidRPr="00055AA4">
        <w:rPr>
          <w:spacing w:val="-2"/>
          <w:rtl/>
        </w:rPr>
        <w:t xml:space="preserve"> </w:t>
      </w:r>
      <w:hyperlink r:id="rId25" w:history="1">
        <w:r w:rsidRPr="00055AA4">
          <w:rPr>
            <w:rStyle w:val="Hyperlink"/>
            <w:spacing w:val="-2"/>
            <w:rtl/>
          </w:rPr>
          <w:t>تقريراً محدثاً إلى المجلس في دورته لعام 2026</w:t>
        </w:r>
      </w:hyperlink>
      <w:r w:rsidRPr="00055AA4">
        <w:rPr>
          <w:spacing w:val="-2"/>
          <w:rtl/>
        </w:rPr>
        <w:t xml:space="preserve"> يتضمن تعديلات مقترحة على القرار 154 (المراجَع في بوخارست، 2022) وقرار المجلس 1386 (دورة المجلس لعام 2017، والمعدَّل آخر مرة في دورته لعام 2026) بشأن لجنة تنسيق المصطلحات في الاتحاد وقرار المجلس 1372 (دورة المجلس لعام</w:t>
      </w:r>
      <w:r w:rsidR="0046790B">
        <w:rPr>
          <w:rFonts w:hint="cs"/>
          <w:spacing w:val="-2"/>
          <w:rtl/>
        </w:rPr>
        <w:t> </w:t>
      </w:r>
      <w:r w:rsidRPr="00055AA4">
        <w:rPr>
          <w:spacing w:val="-2"/>
          <w:rtl/>
        </w:rPr>
        <w:t>2015، والمعدَّل آخر مرة في دورته لعام</w:t>
      </w:r>
      <w:r w:rsidR="004F228C">
        <w:rPr>
          <w:rFonts w:hint="cs"/>
          <w:spacing w:val="-2"/>
          <w:rtl/>
        </w:rPr>
        <w:t xml:space="preserve"> </w:t>
      </w:r>
      <w:r w:rsidRPr="00055AA4">
        <w:rPr>
          <w:spacing w:val="-2"/>
          <w:rtl/>
        </w:rPr>
        <w:t>2026) بشأن فريق العمل التابع للمجلس والمعني باللغات.</w:t>
      </w:r>
    </w:p>
    <w:p w14:paraId="4CEA8BF7" w14:textId="77777777" w:rsidR="00674A3A" w:rsidRDefault="00674A3A" w:rsidP="00674A3A">
      <w:pPr>
        <w:rPr>
          <w:rtl/>
        </w:rPr>
      </w:pPr>
      <w:r>
        <w:rPr>
          <w:rtl/>
        </w:rPr>
        <w:t xml:space="preserve">وكلّف القرار 154 (المراجَع في بوخارست، 2022) أيضاً الأفرقة الاستشارية للقطاعات باستعراض استعمال جميع اللغات الرسمية للاتحاد سنوياً على قدم المساواة في منشورات الاتحاد وفي المواقع الإلكترونية للاتحاد. وقد أحرز مكتب الاتصالات الراديوية تقدماً كبيراً في تحويل مواقعه الإلكترونية من منصة </w:t>
      </w:r>
      <w:r>
        <w:t>SharePoint</w:t>
      </w:r>
      <w:r>
        <w:rPr>
          <w:rtl/>
        </w:rPr>
        <w:t xml:space="preserve"> إلى منصة </w:t>
      </w:r>
      <w:r>
        <w:t>WordPress</w:t>
      </w:r>
      <w:r>
        <w:rPr>
          <w:rtl/>
        </w:rPr>
        <w:t xml:space="preserve"> التي تتيح الترجمة الآلية للصفحات الإلكترونية. انظر الإضافة 2 لهذه الوثيقة للاطلاع على حالة ترجمة الصفحات الإلكترونية لمكتب الاتصالات الراديوية.</w:t>
      </w:r>
    </w:p>
    <w:p w14:paraId="5D085FDD" w14:textId="548B74BA" w:rsidR="00674A3A" w:rsidRDefault="00055AA4" w:rsidP="00055AA4">
      <w:pPr>
        <w:pStyle w:val="Heading2"/>
        <w:rPr>
          <w:rtl/>
        </w:rPr>
      </w:pPr>
      <w:bookmarkStart w:id="8" w:name="_Toc223961959"/>
      <w:r>
        <w:t>4.2</w:t>
      </w:r>
      <w:r>
        <w:tab/>
      </w:r>
      <w:r w:rsidR="00674A3A">
        <w:rPr>
          <w:rtl/>
        </w:rPr>
        <w:t>المشاركة عن بُعد</w:t>
      </w:r>
      <w:bookmarkEnd w:id="8"/>
    </w:p>
    <w:p w14:paraId="598B6856" w14:textId="5CF1AFC9" w:rsidR="00816C27" w:rsidRDefault="00674A3A" w:rsidP="00674A3A">
      <w:pPr>
        <w:rPr>
          <w:rtl/>
        </w:rPr>
      </w:pPr>
      <w:r>
        <w:rPr>
          <w:rtl/>
        </w:rPr>
        <w:t>اعتمد مؤتمر المندوبين المفوضين</w:t>
      </w:r>
      <w:r w:rsidR="00055AA4">
        <w:rPr>
          <w:rFonts w:hint="cs"/>
          <w:rtl/>
        </w:rPr>
        <w:t xml:space="preserve"> </w:t>
      </w:r>
      <w:r>
        <w:rPr>
          <w:rtl/>
        </w:rPr>
        <w:t xml:space="preserve">لعام 2022 </w:t>
      </w:r>
      <w:r w:rsidR="007977BA">
        <w:t>(PP-22)</w:t>
      </w:r>
      <w:r w:rsidR="007977BA">
        <w:rPr>
          <w:rFonts w:hint="cs"/>
          <w:rtl/>
        </w:rPr>
        <w:t xml:space="preserve"> </w:t>
      </w:r>
      <w:r>
        <w:rPr>
          <w:rtl/>
        </w:rPr>
        <w:t>القرار 167 (المراجَع في بوخارست، 2022) بشأن تعزيز وتطوير قدرات الاتحاد على عقد اجتماعات افتراضية بالكامل واجتماعات حضورية التي تتاح فيها المشاركة عن بُعد، والوسائل الإلكترونية للنهوض بعمل الاتحاد. ويدعو هذا القرار الاتحاد إلى وضع إرشادات رفيعة المستوى لإدارة وتسيير الاجتماعات الافتراضية بالكامل والاجتماعات الحضورية التي تتاح فيها المشاركة عن بُعد.</w:t>
      </w:r>
    </w:p>
    <w:p w14:paraId="6CC538B2" w14:textId="699378BA" w:rsidR="00674A3A" w:rsidRDefault="00674A3A" w:rsidP="00674A3A">
      <w:pPr>
        <w:rPr>
          <w:rtl/>
        </w:rPr>
      </w:pPr>
      <w:r>
        <w:rPr>
          <w:rtl/>
        </w:rPr>
        <w:t>وتماشياً مع تنفيذ القرار 167 (المراجَع في بوخارست، 2022)، أنشأ المجلس في دورته لعام 2024 فريق عمل بالمراسلة لصياغة مشروع المبادئ التوجيهية بشأن إدارة الاجتماعات الافتراضية بالكامل والاجتماعات الحضورية التي تتاح فيها المشاركة عن بُعد في الاتحاد، لينظر فيها فريق العمل التابع للمجلس والمعني بالموارد المالية والبشرية (</w:t>
      </w:r>
      <w:r>
        <w:t>CWG-FHR</w:t>
      </w:r>
      <w:r>
        <w:rPr>
          <w:rtl/>
        </w:rPr>
        <w:t xml:space="preserve">). وعُرضت المبادئ التوجيهية التي وُضِعت واعتُمدت في دورة المجلس لعام 2025 ونُشرت في </w:t>
      </w:r>
      <w:hyperlink r:id="rId26" w:anchor="/ar" w:history="1">
        <w:r w:rsidRPr="00C9252A">
          <w:rPr>
            <w:rStyle w:val="Hyperlink"/>
            <w:rtl/>
          </w:rPr>
          <w:t>الموقع الإلكتروني للاتحاد</w:t>
        </w:r>
      </w:hyperlink>
      <w:r>
        <w:rPr>
          <w:rtl/>
        </w:rPr>
        <w:t>.</w:t>
      </w:r>
    </w:p>
    <w:p w14:paraId="651CE35F" w14:textId="1DE6E06E" w:rsidR="00674A3A" w:rsidRDefault="00C9252A" w:rsidP="00C9252A">
      <w:pPr>
        <w:pStyle w:val="Heading2"/>
        <w:rPr>
          <w:rtl/>
        </w:rPr>
      </w:pPr>
      <w:bookmarkStart w:id="9" w:name="_Toc223961960"/>
      <w:r>
        <w:t>5.2</w:t>
      </w:r>
      <w:r>
        <w:tab/>
      </w:r>
      <w:r w:rsidR="00674A3A">
        <w:rPr>
          <w:rtl/>
        </w:rPr>
        <w:t>الخطتان الاستراتيجية والمالية للفترة 2028-2031</w:t>
      </w:r>
      <w:bookmarkEnd w:id="9"/>
    </w:p>
    <w:p w14:paraId="204BA422" w14:textId="67D12ACE" w:rsidR="00674A3A" w:rsidRDefault="00674A3A" w:rsidP="00674A3A">
      <w:pPr>
        <w:rPr>
          <w:rtl/>
        </w:rPr>
      </w:pPr>
      <w:r>
        <w:rPr>
          <w:rtl/>
        </w:rPr>
        <w:t>أنشأ المجلس في دورته لعام 2024 فريق العمل المعني بالخطتين الاستراتيجية والمالية (</w:t>
      </w:r>
      <w:r>
        <w:t>CWG-SFP</w:t>
      </w:r>
      <w:r>
        <w:rPr>
          <w:rtl/>
        </w:rPr>
        <w:t xml:space="preserve">)، بموجب </w:t>
      </w:r>
      <w:hyperlink r:id="rId27" w:history="1">
        <w:r w:rsidRPr="00C9252A">
          <w:rPr>
            <w:rStyle w:val="Hyperlink"/>
            <w:rtl/>
          </w:rPr>
          <w:t>القرار 1428 (دورة المجلس لعام 2024)</w:t>
        </w:r>
      </w:hyperlink>
      <w:r>
        <w:rPr>
          <w:rtl/>
        </w:rPr>
        <w:t xml:space="preserve">، لصياغة مشروع الخطتين الاستراتيجية والمالية للفترة </w:t>
      </w:r>
      <w:r w:rsidR="00C9252A">
        <w:t>2031-2028</w:t>
      </w:r>
      <w:r>
        <w:rPr>
          <w:rtl/>
        </w:rPr>
        <w:t xml:space="preserve"> وتقديمهما إلى مؤتمر المندوبين المفوضين لعام 2026.</w:t>
      </w:r>
    </w:p>
    <w:p w14:paraId="10E4600E" w14:textId="094A7738" w:rsidR="00674A3A" w:rsidRDefault="00674A3A" w:rsidP="00674A3A">
      <w:pPr>
        <w:rPr>
          <w:rtl/>
        </w:rPr>
      </w:pPr>
      <w:r>
        <w:rPr>
          <w:rtl/>
        </w:rPr>
        <w:lastRenderedPageBreak/>
        <w:t xml:space="preserve">وأنشأ الفريق الاستشاري للاتصالات الراديوية في اجتماعه الثاني والثلاثين فريق العمل بالمراسلة التابع للفريق الاستشاري للاتصالات الراديوية والمعني بالخطة الاستراتيجية للاتحاد للفترة </w:t>
      </w:r>
      <w:r w:rsidR="00972DC7">
        <w:t>2031-2028</w:t>
      </w:r>
      <w:r>
        <w:rPr>
          <w:rtl/>
        </w:rPr>
        <w:t xml:space="preserve"> (</w:t>
      </w:r>
      <w:r>
        <w:t>CG-ITU-SP-2028-31</w:t>
      </w:r>
      <w:r>
        <w:rPr>
          <w:rtl/>
        </w:rPr>
        <w:t>) برئاسة السيد عبد</w:t>
      </w:r>
      <w:r w:rsidR="00972DC7">
        <w:rPr>
          <w:rFonts w:hint="eastAsia"/>
          <w:rtl/>
        </w:rPr>
        <w:t> </w:t>
      </w:r>
      <w:r>
        <w:rPr>
          <w:rtl/>
        </w:rPr>
        <w:t>الرحمن الحجار (الكاميرون).</w:t>
      </w:r>
      <w:r w:rsidR="00D53FD1">
        <w:rPr>
          <w:rtl/>
        </w:rPr>
        <w:t xml:space="preserve"> </w:t>
      </w:r>
      <w:r>
        <w:rPr>
          <w:rtl/>
        </w:rPr>
        <w:t xml:space="preserve">واجتمع فريق العمل بالمراسلة مرتين للنظر في نواتج اجتماع فريق العمل المعني بالخطتين الاستراتيجية والمالية، الذي عُقِد في سبتمبر </w:t>
      </w:r>
      <w:r>
        <w:rPr>
          <w:cs/>
        </w:rPr>
        <w:t>‎</w:t>
      </w:r>
      <w:r>
        <w:t>2025</w:t>
      </w:r>
      <w:r>
        <w:rPr>
          <w:rtl/>
        </w:rPr>
        <w:t xml:space="preserve">، وإعداد مساهمة مقترحة للفريق الاستشاري للاتصالات الراديوية (انظر تقرير فريق العمل بالمراسلة في الوثيقة </w:t>
      </w:r>
      <w:hyperlink r:id="rId28" w:history="1">
        <w:r w:rsidR="00A26785" w:rsidRPr="009B32D1">
          <w:rPr>
            <w:rStyle w:val="Hyperlink"/>
          </w:rPr>
          <w:t>RAG/51</w:t>
        </w:r>
      </w:hyperlink>
      <w:r>
        <w:rPr>
          <w:rtl/>
        </w:rPr>
        <w:t>).</w:t>
      </w:r>
    </w:p>
    <w:p w14:paraId="2445B94D" w14:textId="7E747CF1" w:rsidR="00674A3A" w:rsidRPr="004C57F3" w:rsidRDefault="00674A3A" w:rsidP="00674A3A">
      <w:pPr>
        <w:rPr>
          <w:rtl/>
        </w:rPr>
      </w:pPr>
      <w:r w:rsidRPr="004C57F3">
        <w:rPr>
          <w:rtl/>
        </w:rPr>
        <w:t>واستعرضت جلسة خاصة للفريق الاستشاري للاتصالات الراديوية بشأن مشروعيْ الخطتين الاستراتيجية والمالية لقطاع الاتصالات</w:t>
      </w:r>
      <w:r w:rsidR="004C57F3" w:rsidRPr="004C57F3">
        <w:rPr>
          <w:rFonts w:hint="cs"/>
          <w:rtl/>
        </w:rPr>
        <w:t> </w:t>
      </w:r>
      <w:r w:rsidRPr="004C57F3">
        <w:rPr>
          <w:rtl/>
        </w:rPr>
        <w:t>الراديوية بالاتحاد عُقِدت في ديسمبر 2025 تقريرَ فريق العمل بالمراسلة وقدمت بيان اتصال إلى الاجتماع الرابع لفريق</w:t>
      </w:r>
      <w:r w:rsidR="004C57F3" w:rsidRPr="004C57F3">
        <w:t> </w:t>
      </w:r>
      <w:r w:rsidRPr="004C57F3">
        <w:rPr>
          <w:rtl/>
        </w:rPr>
        <w:t>العمل</w:t>
      </w:r>
      <w:r w:rsidR="004C57F3" w:rsidRPr="004C57F3">
        <w:rPr>
          <w:rFonts w:hint="eastAsia"/>
          <w:rtl/>
        </w:rPr>
        <w:t> </w:t>
      </w:r>
      <w:r w:rsidRPr="004C57F3">
        <w:t>CWG</w:t>
      </w:r>
      <w:r w:rsidR="004C57F3" w:rsidRPr="004C57F3">
        <w:noBreakHyphen/>
      </w:r>
      <w:r w:rsidRPr="004C57F3">
        <w:t>SFP</w:t>
      </w:r>
      <w:r w:rsidRPr="004C57F3">
        <w:rPr>
          <w:rtl/>
        </w:rPr>
        <w:t xml:space="preserve"> (انظر الوثيقة </w:t>
      </w:r>
      <w:hyperlink r:id="rId29" w:history="1">
        <w:r w:rsidR="004C57F3" w:rsidRPr="004C57F3">
          <w:rPr>
            <w:rStyle w:val="Hyperlink"/>
          </w:rPr>
          <w:t>CWG-SFP-4/6</w:t>
        </w:r>
      </w:hyperlink>
      <w:r w:rsidRPr="004C57F3">
        <w:rPr>
          <w:rtl/>
        </w:rPr>
        <w:t>) يتضمن مساهمة الفريق الاستشاري للاتصالات الراديوية إلى</w:t>
      </w:r>
      <w:r w:rsidR="004C57F3" w:rsidRPr="004C57F3">
        <w:t> </w:t>
      </w:r>
      <w:r w:rsidRPr="004C57F3">
        <w:rPr>
          <w:rtl/>
        </w:rPr>
        <w:t>فريق</w:t>
      </w:r>
      <w:r w:rsidR="004C57F3" w:rsidRPr="004C57F3">
        <w:t> </w:t>
      </w:r>
      <w:r w:rsidRPr="004C57F3">
        <w:rPr>
          <w:rtl/>
        </w:rPr>
        <w:t>العمل</w:t>
      </w:r>
      <w:r w:rsidR="00727F82">
        <w:rPr>
          <w:rFonts w:hint="cs"/>
          <w:rtl/>
        </w:rPr>
        <w:t xml:space="preserve"> </w:t>
      </w:r>
      <w:r w:rsidRPr="004C57F3">
        <w:t>CWG</w:t>
      </w:r>
      <w:r w:rsidR="004C57F3" w:rsidRPr="004C57F3">
        <w:noBreakHyphen/>
      </w:r>
      <w:r w:rsidRPr="004C57F3">
        <w:t>SFP</w:t>
      </w:r>
      <w:r w:rsidRPr="004C57F3">
        <w:rPr>
          <w:rtl/>
        </w:rPr>
        <w:t>.</w:t>
      </w:r>
    </w:p>
    <w:p w14:paraId="21E28C00" w14:textId="6999A490" w:rsidR="00674A3A" w:rsidRDefault="00674A3A" w:rsidP="00674A3A">
      <w:pPr>
        <w:rPr>
          <w:rtl/>
        </w:rPr>
      </w:pPr>
      <w:r>
        <w:rPr>
          <w:rtl/>
        </w:rPr>
        <w:t xml:space="preserve">وقُدِّمت نواتج الاجتماع الرابع لفريق العمل </w:t>
      </w:r>
      <w:r>
        <w:t>CWG-SFP</w:t>
      </w:r>
      <w:r>
        <w:rPr>
          <w:rtl/>
        </w:rPr>
        <w:t xml:space="preserve"> إلى الاجتماع الثالث والثلاثين للفريق الاستشاري للاتصالات الراديوية في</w:t>
      </w:r>
      <w:r w:rsidR="0046790B">
        <w:rPr>
          <w:rFonts w:hint="cs"/>
          <w:rtl/>
        </w:rPr>
        <w:t> </w:t>
      </w:r>
      <w:r>
        <w:rPr>
          <w:rtl/>
        </w:rPr>
        <w:t xml:space="preserve">الوثيقة </w:t>
      </w:r>
      <w:hyperlink r:id="rId30" w:history="1">
        <w:r w:rsidRPr="005A6A05">
          <w:rPr>
            <w:rStyle w:val="Hyperlink"/>
          </w:rPr>
          <w:t>RAG/55</w:t>
        </w:r>
      </w:hyperlink>
      <w:r>
        <w:rPr>
          <w:rtl/>
        </w:rPr>
        <w:t>.</w:t>
      </w:r>
    </w:p>
    <w:p w14:paraId="0B21AB5A" w14:textId="17ADE658" w:rsidR="00674A3A" w:rsidRDefault="00674A3A" w:rsidP="00674A3A">
      <w:pPr>
        <w:rPr>
          <w:rtl/>
        </w:rPr>
      </w:pPr>
      <w:r>
        <w:rPr>
          <w:rtl/>
        </w:rPr>
        <w:t xml:space="preserve">وفي إطار متابعة لمجموعة اجتماعات فريق العمل في يناير 2026، من المقرر عقد اجتماع إضافي لفريق العمل </w:t>
      </w:r>
      <w:r>
        <w:t>CWG-SFP</w:t>
      </w:r>
      <w:r>
        <w:rPr>
          <w:rtl/>
        </w:rPr>
        <w:t xml:space="preserve"> واجتماع مشترك لفريق العمل </w:t>
      </w:r>
      <w:r>
        <w:t>CWG-SFP</w:t>
      </w:r>
      <w:r>
        <w:rPr>
          <w:rtl/>
        </w:rPr>
        <w:t xml:space="preserve"> وفريق العمل </w:t>
      </w:r>
      <w:r>
        <w:t>CWG-FHR</w:t>
      </w:r>
      <w:r>
        <w:rPr>
          <w:rtl/>
        </w:rPr>
        <w:t xml:space="preserve"> في 27 أبريل 2026 (انظر </w:t>
      </w:r>
      <w:hyperlink r:id="rId31" w:history="1">
        <w:r w:rsidR="005A6A05" w:rsidRPr="009B32D1">
          <w:rPr>
            <w:rStyle w:val="Hyperlink"/>
          </w:rPr>
          <w:t>CL-26/06</w:t>
        </w:r>
      </w:hyperlink>
      <w:r>
        <w:rPr>
          <w:rtl/>
        </w:rPr>
        <w:t>).</w:t>
      </w:r>
    </w:p>
    <w:p w14:paraId="25B75CE3" w14:textId="7AE35796" w:rsidR="00674A3A" w:rsidRDefault="000A5740" w:rsidP="000A5740">
      <w:pPr>
        <w:pStyle w:val="Heading2"/>
        <w:rPr>
          <w:rtl/>
        </w:rPr>
      </w:pPr>
      <w:bookmarkStart w:id="10" w:name="_Toc223961961"/>
      <w:r>
        <w:t>6.2</w:t>
      </w:r>
      <w:r w:rsidR="00674A3A">
        <w:rPr>
          <w:rtl/>
        </w:rPr>
        <w:tab/>
        <w:t>استمرارية الأعمال</w:t>
      </w:r>
      <w:bookmarkEnd w:id="10"/>
    </w:p>
    <w:p w14:paraId="067324FE" w14:textId="680238B5" w:rsidR="00674A3A" w:rsidRDefault="00674A3A" w:rsidP="00674A3A">
      <w:pPr>
        <w:rPr>
          <w:rtl/>
        </w:rPr>
      </w:pPr>
      <w:r>
        <w:rPr>
          <w:rtl/>
        </w:rPr>
        <w:t xml:space="preserve">قُدِّم إلى الاجتماع الثاني والعشرين لفريق العمل </w:t>
      </w:r>
      <w:r>
        <w:t>CWG-FHR</w:t>
      </w:r>
      <w:r>
        <w:rPr>
          <w:rtl/>
        </w:rPr>
        <w:t xml:space="preserve"> في يناير 2026 تحديثاً بشأن استمرارية الأعمال لاجتماعات الاتحاد خلال فترة تشييد مبنى المقر الجديد للاتحاد في عامي 2028 و2029 (الوثيقة </w:t>
      </w:r>
      <w:hyperlink r:id="rId32" w:history="1">
        <w:r w:rsidR="000A5740" w:rsidRPr="00717EF7">
          <w:rPr>
            <w:rStyle w:val="Hyperlink"/>
            <w:spacing w:val="-2"/>
            <w:szCs w:val="24"/>
          </w:rPr>
          <w:t>CWG-FHR-22/13</w:t>
        </w:r>
      </w:hyperlink>
      <w:r>
        <w:rPr>
          <w:rtl/>
        </w:rPr>
        <w:t>).</w:t>
      </w:r>
    </w:p>
    <w:p w14:paraId="0A5EE46A" w14:textId="243E352F" w:rsidR="00674A3A" w:rsidRDefault="00674A3A" w:rsidP="00674A3A">
      <w:pPr>
        <w:rPr>
          <w:rtl/>
        </w:rPr>
      </w:pPr>
      <w:r>
        <w:rPr>
          <w:rtl/>
        </w:rPr>
        <w:t>وبالنظر إلى الإرباك المتوقع الناجم عن تشييد المبنى الجديد، من الضروري تأمين قاعات اجتماعات بديلة لما بين 60 و65 اجتماعاً تقنياً نظامياً تقريباً (اجتماعات لجان الدراسات وفرق العمل لجميع القطاعات فضلاً عن اجتماعات الأفرقة الاستشارية والمجلس وأفرقة العمل التابعة للمجلس) التي تُعقد عادة في مقر الاتحاد.</w:t>
      </w:r>
      <w:r w:rsidR="00D53FD1">
        <w:rPr>
          <w:rtl/>
        </w:rPr>
        <w:t xml:space="preserve"> </w:t>
      </w:r>
      <w:r>
        <w:rPr>
          <w:rtl/>
        </w:rPr>
        <w:t xml:space="preserve">وأكدت شركة تصميم مشروع المبنى أن فترة الإرباك الرئيسية ستمتد من يوليو 2028 إلى يوليو 2029، بالإضافة إلى فترة طوارئ من يوليو 2029 إلى ديسمبر 2029. وترد قائمة مؤقتة مفصلة بالاجتماعات المتأثرة أثناء هذه الفترة في الملحق بالوثيقة </w:t>
      </w:r>
      <w:r>
        <w:t>CWG-FHR-22/13</w:t>
      </w:r>
      <w:r>
        <w:rPr>
          <w:rtl/>
        </w:rPr>
        <w:t>.</w:t>
      </w:r>
    </w:p>
    <w:p w14:paraId="756D7C90" w14:textId="6EE53D98" w:rsidR="00674A3A" w:rsidRDefault="00674A3A" w:rsidP="00674A3A">
      <w:pPr>
        <w:rPr>
          <w:rtl/>
        </w:rPr>
      </w:pPr>
      <w:r>
        <w:rPr>
          <w:rtl/>
        </w:rPr>
        <w:t xml:space="preserve">وخلال اجتماع فريق العمل </w:t>
      </w:r>
      <w:r>
        <w:t>CWG-FHR</w:t>
      </w:r>
      <w:r>
        <w:rPr>
          <w:rtl/>
        </w:rPr>
        <w:t xml:space="preserve">، قدمت سويسرا مساهمة تؤكد تخصيص تمويل بنحو </w:t>
      </w:r>
      <w:r w:rsidR="00816C27">
        <w:t>2,8</w:t>
      </w:r>
      <w:r>
        <w:rPr>
          <w:rtl/>
        </w:rPr>
        <w:t xml:space="preserve"> مليون فرنك سويسري لصندوق استمرارية الأعمال من أجل عقد اجتماعات الاتحاد في جنيف خلال فترة الإرباك الناتجة عن مشروع البناء.</w:t>
      </w:r>
    </w:p>
    <w:p w14:paraId="04509A26" w14:textId="6B78D67E" w:rsidR="00674A3A" w:rsidRDefault="00674A3A" w:rsidP="00674A3A">
      <w:pPr>
        <w:rPr>
          <w:rtl/>
        </w:rPr>
      </w:pPr>
      <w:r>
        <w:rPr>
          <w:rtl/>
        </w:rPr>
        <w:t>وتعمل الأمانة حاليا</w:t>
      </w:r>
      <w:r w:rsidR="00816C27">
        <w:rPr>
          <w:rFonts w:hint="cs"/>
          <w:rtl/>
        </w:rPr>
        <w:t>ً</w:t>
      </w:r>
      <w:r>
        <w:rPr>
          <w:rtl/>
        </w:rPr>
        <w:t xml:space="preserve"> على تحديد أكبر عدد ممكن من قاعات الاجتماع في جنيف أو بالقرب منها لاستضافة أكبر عدد ممكن من الاجتماعات في هذه الفترة في حدود هذه الميزانية. وتشمل الأماكن المحتملة في جنيف مركز جنيف الدولي للمؤتمرات (</w:t>
      </w:r>
      <w:r>
        <w:t>CICG</w:t>
      </w:r>
      <w:r>
        <w:rPr>
          <w:rtl/>
        </w:rPr>
        <w:t>) وبالكسبو (</w:t>
      </w:r>
      <w:r>
        <w:t>Palexpo</w:t>
      </w:r>
      <w:r>
        <w:rPr>
          <w:rtl/>
        </w:rPr>
        <w:t>) ومكتب الأمم المتحدة في جنيف ومنظمة الصحة العالمية ومنظمة العمل الدولية. ومع ذلك، تجدر الإشارة إلى أن مركز جنيف الدولي للمؤتمرات لن يكون متاحاً طوال عام 2028 بسبب أعمال التجديد المخطط لها وسيكون مُتاحاً بشكل محدود للغاية في عام 2029. وبالإضافة إلى ذلك، لا يقبل مكتب الأمم المتحدة في جنيف الحجوزات قبل موعد أقصاه 6 أشهر. وبالنظر إلى هذه الحواجز والقيود الصارمة على الميزانية، تعمل الأمانة أيضاً مع القطاعات لاستعراض قائمة الاجتماعات والنظر فيما إذا كان من الممكن خفض عدد الاجتماعات في هذه الفترة، أو تقليل طول و/أو عدد أيام الاجتماعات، أو تقليل السعة الاستيعابية المطلوبة عن طريق الحد من عدد قاعات كل اجتماع. ويجوز النظر أيضاً في خيار أن تعقد حكومة داعية لأي اجتماعات خارج جنيف بما يتماشى مع القرار 5 الصادر في كيوتو 1994، أو في إطار مقترح مركز اجتماعات الاتحاد المرسَل إلى جميع الدول الأعضاء، ينبغي تلقي أي مقترحات مؤكدة لتقديمها إلى المجلس في دورته لعام 2026؛ وقد يتمثل الخيار الأخير في عقد بعض الاجتماعات افتراضياً بالكامل.</w:t>
      </w:r>
    </w:p>
    <w:p w14:paraId="233664C5" w14:textId="77777777" w:rsidR="00674A3A" w:rsidRDefault="00674A3A" w:rsidP="00674A3A">
      <w:pPr>
        <w:rPr>
          <w:rtl/>
        </w:rPr>
      </w:pPr>
      <w:r>
        <w:rPr>
          <w:rtl/>
        </w:rPr>
        <w:t>وسيُعرض تقرير مرحلي عن استمرارية الأعمال في الاجتماعات على المجلس في دورته لعام 2026.</w:t>
      </w:r>
    </w:p>
    <w:p w14:paraId="78C49F8C" w14:textId="77777777" w:rsidR="00674A3A" w:rsidRDefault="00674A3A" w:rsidP="00B16E21">
      <w:pPr>
        <w:pStyle w:val="Heading1"/>
        <w:rPr>
          <w:rtl/>
        </w:rPr>
      </w:pPr>
      <w:bookmarkStart w:id="11" w:name="_Toc223961962"/>
      <w:r>
        <w:rPr>
          <w:rtl/>
        </w:rPr>
        <w:t>3</w:t>
      </w:r>
      <w:r>
        <w:rPr>
          <w:rtl/>
        </w:rPr>
        <w:tab/>
        <w:t>تنفيذ قرارات المؤتمر العالمي للاتصالات الراديوية لعام 2023</w:t>
      </w:r>
      <w:bookmarkEnd w:id="11"/>
    </w:p>
    <w:p w14:paraId="2A29B0BA" w14:textId="3A9D4C94" w:rsidR="00674A3A" w:rsidRDefault="00B16E21" w:rsidP="00B16E21">
      <w:pPr>
        <w:pStyle w:val="Heading2"/>
        <w:rPr>
          <w:rtl/>
        </w:rPr>
      </w:pPr>
      <w:bookmarkStart w:id="12" w:name="_Toc223961963"/>
      <w:r>
        <w:t>1.3</w:t>
      </w:r>
      <w:r w:rsidR="00674A3A">
        <w:rPr>
          <w:rtl/>
        </w:rPr>
        <w:tab/>
        <w:t>تنفيذ قرارات المؤتمر العالمي للاتصالات الراديوية لعام 2023</w:t>
      </w:r>
      <w:bookmarkEnd w:id="12"/>
    </w:p>
    <w:p w14:paraId="1C6D9495" w14:textId="0CB71F82" w:rsidR="00674A3A" w:rsidRDefault="00674A3A" w:rsidP="00674A3A">
      <w:pPr>
        <w:rPr>
          <w:rtl/>
        </w:rPr>
      </w:pPr>
      <w:r>
        <w:rPr>
          <w:rtl/>
        </w:rPr>
        <w:t>حدد المؤتمر العالمي للاتصالات الراديوية لعام 2023 (</w:t>
      </w:r>
      <w:r>
        <w:t>WRC-23</w:t>
      </w:r>
      <w:r>
        <w:rPr>
          <w:rtl/>
        </w:rPr>
        <w:t xml:space="preserve">) المجالات الإضافية للعمل والدراسات وتطوير البرمجيات من أجل تنفيذ قرارات المؤتمر. وتبلغ التكاليف المقدرة لإنجاز هذه المهام الجديدة حوالي </w:t>
      </w:r>
      <w:r w:rsidR="00B16E21">
        <w:t>12,6</w:t>
      </w:r>
      <w:r>
        <w:rPr>
          <w:rtl/>
        </w:rPr>
        <w:t xml:space="preserve"> مليون فرنك سويسري، وتشمل التكاليف غير المتكررة والمتكررة على حد سواء خلال الفترة </w:t>
      </w:r>
      <w:r w:rsidR="00B16E21">
        <w:t>2027-2024</w:t>
      </w:r>
      <w:r>
        <w:rPr>
          <w:rtl/>
        </w:rPr>
        <w:t xml:space="preserve">. وترد تقديرات التكاليف الإجمالية في الجدول </w:t>
      </w:r>
      <w:r w:rsidR="00B16E21">
        <w:t>1.2.3</w:t>
      </w:r>
      <w:r>
        <w:rPr>
          <w:rtl/>
        </w:rPr>
        <w:t>.</w:t>
      </w:r>
    </w:p>
    <w:p w14:paraId="32E9D6C5" w14:textId="5006DDC9" w:rsidR="00674A3A" w:rsidRDefault="00674A3A" w:rsidP="00674A3A">
      <w:pPr>
        <w:rPr>
          <w:rtl/>
        </w:rPr>
      </w:pPr>
      <w:r>
        <w:rPr>
          <w:rtl/>
        </w:rPr>
        <w:lastRenderedPageBreak/>
        <w:t xml:space="preserve">وقد رُفعت الآثار المالية السنوية المترتبة على تنفيذ قرارات المؤتمر </w:t>
      </w:r>
      <w:r>
        <w:t>WRC-23</w:t>
      </w:r>
      <w:r>
        <w:rPr>
          <w:rtl/>
        </w:rPr>
        <w:t xml:space="preserve">، إلى المجلس في دورته لعام 2024 من خلال </w:t>
      </w:r>
      <w:hyperlink r:id="rId33" w:history="1">
        <w:r w:rsidRPr="00B16E21">
          <w:rPr>
            <w:rStyle w:val="Hyperlink"/>
            <w:rtl/>
          </w:rPr>
          <w:t xml:space="preserve">الوثيقة </w:t>
        </w:r>
        <w:r w:rsidRPr="00B16E21">
          <w:rPr>
            <w:rStyle w:val="Hyperlink"/>
          </w:rPr>
          <w:t>C24/63</w:t>
        </w:r>
      </w:hyperlink>
      <w:r>
        <w:rPr>
          <w:rtl/>
        </w:rPr>
        <w:t>.</w:t>
      </w:r>
    </w:p>
    <w:p w14:paraId="09577A49" w14:textId="54A5F652" w:rsidR="00674A3A" w:rsidRDefault="00674A3A" w:rsidP="00B16E21">
      <w:pPr>
        <w:pStyle w:val="Tabletitle"/>
        <w:rPr>
          <w:rtl/>
        </w:rPr>
      </w:pPr>
      <w:r>
        <w:rPr>
          <w:rtl/>
        </w:rPr>
        <w:t xml:space="preserve">الجدول </w:t>
      </w:r>
      <w:r w:rsidR="00B16E21">
        <w:t>1.1.3</w:t>
      </w:r>
      <w:r w:rsidR="00B16E21">
        <w:rPr>
          <w:rFonts w:hint="cs"/>
          <w:rtl/>
        </w:rPr>
        <w:t xml:space="preserve">: </w:t>
      </w:r>
      <w:r>
        <w:rPr>
          <w:rtl/>
        </w:rPr>
        <w:t>القرارات المالية للمؤتمر العالمي للاتصالات الراديوية لعام 2023</w:t>
      </w:r>
      <w:r w:rsidR="008859CE">
        <w:rPr>
          <w:rFonts w:hint="cs"/>
          <w:rtl/>
        </w:rPr>
        <w:t xml:space="preserve"> - </w:t>
      </w:r>
      <w:r>
        <w:rPr>
          <w:rtl/>
        </w:rPr>
        <w:t>تقديرات التكلفة الإجمالية</w:t>
      </w:r>
    </w:p>
    <w:p w14:paraId="669C3F38" w14:textId="3850A891" w:rsidR="00674A3A" w:rsidRDefault="00B16E21" w:rsidP="00B16E21">
      <w:pPr>
        <w:pStyle w:val="Figure"/>
        <w:rPr>
          <w:rtl/>
        </w:rPr>
      </w:pPr>
      <w:r w:rsidRPr="00717EF7">
        <w:drawing>
          <wp:inline distT="0" distB="0" distL="0" distR="0" wp14:anchorId="095FA416" wp14:editId="361AC1EC">
            <wp:extent cx="6120765" cy="1285240"/>
            <wp:effectExtent l="19050" t="19050" r="13335" b="10160"/>
            <wp:docPr id="725283219" name="Picture 72528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283219"/>
                    <pic:cNvPicPr/>
                  </pic:nvPicPr>
                  <pic:blipFill>
                    <a:blip r:embed="rId34">
                      <a:extLst>
                        <a:ext uri="{28A0092B-C50C-407E-A947-70E740481C1C}">
                          <a14:useLocalDpi xmlns:a14="http://schemas.microsoft.com/office/drawing/2010/main" val="0"/>
                        </a:ext>
                      </a:extLst>
                    </a:blip>
                    <a:stretch>
                      <a:fillRect/>
                    </a:stretch>
                  </pic:blipFill>
                  <pic:spPr>
                    <a:xfrm>
                      <a:off x="0" y="0"/>
                      <a:ext cx="6120765" cy="1285240"/>
                    </a:xfrm>
                    <a:prstGeom prst="rect">
                      <a:avLst/>
                    </a:prstGeom>
                    <a:ln>
                      <a:solidFill>
                        <a:schemeClr val="tx1"/>
                      </a:solidFill>
                    </a:ln>
                  </pic:spPr>
                </pic:pic>
              </a:graphicData>
            </a:graphic>
          </wp:inline>
        </w:drawing>
      </w:r>
    </w:p>
    <w:p w14:paraId="13323890" w14:textId="5C1F9E1C" w:rsidR="00674A3A" w:rsidRDefault="00674A3A" w:rsidP="00674A3A">
      <w:pPr>
        <w:rPr>
          <w:rtl/>
        </w:rPr>
      </w:pPr>
      <w:r>
        <w:rPr>
          <w:rtl/>
        </w:rPr>
        <w:t xml:space="preserve">واعتمد المجلس </w:t>
      </w:r>
      <w:hyperlink r:id="rId35" w:history="1">
        <w:r w:rsidRPr="00B16E21">
          <w:rPr>
            <w:rStyle w:val="Hyperlink"/>
            <w:rtl/>
          </w:rPr>
          <w:t>القرار 1427</w:t>
        </w:r>
      </w:hyperlink>
      <w:r>
        <w:rPr>
          <w:rtl/>
        </w:rPr>
        <w:t xml:space="preserve"> بشأن مخصصات الوفورات المحققة في تنفيذ ميزانية 2023 وصندوق رأس المال العامل للمعارض. وخصص القرار فائض ميزانية 2023 لتنفيذ قرارات المؤتمر </w:t>
      </w:r>
      <w:r>
        <w:t>WRC-23</w:t>
      </w:r>
      <w:r>
        <w:rPr>
          <w:rtl/>
        </w:rPr>
        <w:t xml:space="preserve"> (</w:t>
      </w:r>
      <w:r w:rsidR="00B16E21">
        <w:t>1 423 000</w:t>
      </w:r>
      <w:r>
        <w:rPr>
          <w:rtl/>
        </w:rPr>
        <w:t xml:space="preserve"> فرنك سويسري).</w:t>
      </w:r>
    </w:p>
    <w:p w14:paraId="08B0B166" w14:textId="335F9ED8" w:rsidR="00674A3A" w:rsidRDefault="00674A3A" w:rsidP="00674A3A">
      <w:pPr>
        <w:rPr>
          <w:rtl/>
        </w:rPr>
      </w:pPr>
      <w:r>
        <w:rPr>
          <w:rtl/>
        </w:rPr>
        <w:t xml:space="preserve">وقد وافقت الإمارات العربية المتحدة، البلد المضيف للمؤتمر </w:t>
      </w:r>
      <w:r>
        <w:t>WRC-23</w:t>
      </w:r>
      <w:r>
        <w:rPr>
          <w:rtl/>
        </w:rPr>
        <w:t>‏، بسخاء على المساهمة في الرصيد الإيجابي المتبقي بموجب اتفاق البلد المضيف</w:t>
      </w:r>
      <w:r w:rsidR="0006383E">
        <w:rPr>
          <w:rFonts w:hint="cs"/>
          <w:rtl/>
        </w:rPr>
        <w:t xml:space="preserve"> - </w:t>
      </w:r>
      <w:r>
        <w:rPr>
          <w:rtl/>
        </w:rPr>
        <w:t xml:space="preserve">بمبلغ إجمالي قدره </w:t>
      </w:r>
      <w:r w:rsidR="0006383E">
        <w:t>1,9</w:t>
      </w:r>
      <w:r>
        <w:rPr>
          <w:rtl/>
        </w:rPr>
        <w:t xml:space="preserve"> مليون فرنك سويسري</w:t>
      </w:r>
      <w:r w:rsidR="0006383E">
        <w:rPr>
          <w:rFonts w:hint="cs"/>
          <w:rtl/>
        </w:rPr>
        <w:t xml:space="preserve"> - </w:t>
      </w:r>
      <w:r>
        <w:rPr>
          <w:rtl/>
        </w:rPr>
        <w:t xml:space="preserve">لدعم تنفيذ قرارات المؤتمر </w:t>
      </w:r>
      <w:r>
        <w:t>WRC-23</w:t>
      </w:r>
      <w:r>
        <w:rPr>
          <w:rtl/>
        </w:rPr>
        <w:t xml:space="preserve">، مما يساعد على تخفيف بعض العبء المالي على الاتحاد. ويُتاح المزيد من المعلومات في </w:t>
      </w:r>
      <w:hyperlink r:id="rId36" w:history="1">
        <w:r w:rsidRPr="0006383E">
          <w:rPr>
            <w:rStyle w:val="Hyperlink"/>
            <w:rtl/>
          </w:rPr>
          <w:t xml:space="preserve">الوثيقة </w:t>
        </w:r>
        <w:r w:rsidRPr="0006383E">
          <w:rPr>
            <w:rStyle w:val="Hyperlink"/>
          </w:rPr>
          <w:t>C24/109</w:t>
        </w:r>
      </w:hyperlink>
      <w:r>
        <w:rPr>
          <w:rtl/>
        </w:rPr>
        <w:t>.</w:t>
      </w:r>
    </w:p>
    <w:p w14:paraId="0273D61F" w14:textId="555C5445" w:rsidR="00816C27" w:rsidRDefault="00674A3A" w:rsidP="00674A3A">
      <w:pPr>
        <w:rPr>
          <w:rtl/>
        </w:rPr>
      </w:pPr>
      <w:r>
        <w:rPr>
          <w:rtl/>
        </w:rPr>
        <w:t xml:space="preserve">وعزَم </w:t>
      </w:r>
      <w:hyperlink r:id="rId37" w:history="1">
        <w:r w:rsidRPr="0006383E">
          <w:rPr>
            <w:rStyle w:val="Hyperlink"/>
            <w:rtl/>
          </w:rPr>
          <w:t>القرار 1434</w:t>
        </w:r>
      </w:hyperlink>
      <w:r>
        <w:rPr>
          <w:rtl/>
        </w:rPr>
        <w:t xml:space="preserve"> الذي اعتمده المجلس في دورته لعام 2025 بشأن تخصيص الوفورات المحققة في تنفيذ ميزانية عام 2024، تخصيص </w:t>
      </w:r>
      <w:r w:rsidR="0006383E">
        <w:t>300 000</w:t>
      </w:r>
      <w:r>
        <w:rPr>
          <w:rtl/>
        </w:rPr>
        <w:t xml:space="preserve"> فرنك سويسري المطلوبة لتنفيذ قرارات المؤتمر </w:t>
      </w:r>
      <w:r>
        <w:t>WRC-23</w:t>
      </w:r>
      <w:r>
        <w:rPr>
          <w:rtl/>
        </w:rPr>
        <w:t>.</w:t>
      </w:r>
    </w:p>
    <w:p w14:paraId="72D358C7" w14:textId="64860DC6" w:rsidR="00674A3A" w:rsidRDefault="00381666" w:rsidP="00381666">
      <w:pPr>
        <w:pStyle w:val="Heading1"/>
        <w:rPr>
          <w:rtl/>
        </w:rPr>
      </w:pPr>
      <w:bookmarkStart w:id="13" w:name="_Toc223961964"/>
      <w:r>
        <w:t>4</w:t>
      </w:r>
      <w:r w:rsidR="00674A3A">
        <w:rPr>
          <w:rtl/>
        </w:rPr>
        <w:tab/>
        <w:t>الأعمال التحضيرية للمؤتمر العالمي للاتصالات الراديوية لعام 2027</w:t>
      </w:r>
      <w:bookmarkEnd w:id="13"/>
    </w:p>
    <w:p w14:paraId="3101CA32" w14:textId="4D853697" w:rsidR="00674A3A" w:rsidRDefault="00381666" w:rsidP="00381666">
      <w:pPr>
        <w:pStyle w:val="Heading2"/>
        <w:rPr>
          <w:rtl/>
        </w:rPr>
      </w:pPr>
      <w:bookmarkStart w:id="14" w:name="_Toc223961965"/>
      <w:r>
        <w:t>1.4</w:t>
      </w:r>
      <w:r w:rsidR="00674A3A">
        <w:rPr>
          <w:rtl/>
        </w:rPr>
        <w:tab/>
        <w:t>الأعمال التحضيرية للمؤتمر العالمي للاتصالات الراديوية لعام 2027</w:t>
      </w:r>
      <w:bookmarkEnd w:id="14"/>
    </w:p>
    <w:p w14:paraId="2CB6BC67" w14:textId="175D09D9" w:rsidR="00674A3A" w:rsidRDefault="00674A3A" w:rsidP="00674A3A">
      <w:pPr>
        <w:rPr>
          <w:rtl/>
        </w:rPr>
      </w:pPr>
      <w:r>
        <w:rPr>
          <w:rtl/>
        </w:rPr>
        <w:t xml:space="preserve">نظر المجلس في دورته لعام 2024 (جنيف، 4-14 يونيو 2024) في جدول أعمال المؤتمر العالمي للاتصالات الراديوية لعام 2027 الوارد في القرار </w:t>
      </w:r>
      <w:r w:rsidRPr="00381666">
        <w:rPr>
          <w:b/>
          <w:bCs/>
        </w:rPr>
        <w:t>813 (WRC-23)</w:t>
      </w:r>
      <w:r>
        <w:rPr>
          <w:rtl/>
        </w:rPr>
        <w:t xml:space="preserve">. واعتمد المجلس </w:t>
      </w:r>
      <w:hyperlink r:id="rId38" w:history="1">
        <w:r w:rsidRPr="00381666">
          <w:rPr>
            <w:rStyle w:val="Hyperlink"/>
            <w:rtl/>
          </w:rPr>
          <w:t>القرار 1422 (في دورته لعام 2024)</w:t>
        </w:r>
      </w:hyperlink>
      <w:r>
        <w:rPr>
          <w:rtl/>
        </w:rPr>
        <w:t xml:space="preserve"> الذي يتضمن جدول أعمال المؤتمر العالمي للاتصالات الراديوية لعام 2027 (</w:t>
      </w:r>
      <w:r>
        <w:t>WRC-27</w:t>
      </w:r>
      <w:r>
        <w:rPr>
          <w:rtl/>
        </w:rPr>
        <w:t xml:space="preserve">) مع نفس البنود المحددة والدائمة الواردة في القرار </w:t>
      </w:r>
      <w:r w:rsidRPr="00381666">
        <w:rPr>
          <w:b/>
          <w:bCs/>
        </w:rPr>
        <w:t>813 (WRC-23)</w:t>
      </w:r>
      <w:r>
        <w:rPr>
          <w:rtl/>
        </w:rPr>
        <w:t xml:space="preserve">. وقد وافقت عليه الدول الأعضاء في الاتحاد لاحقاً في 31 أغسطس 2024 (انظر الوثيقتين </w:t>
      </w:r>
      <w:hyperlink r:id="rId39" w:history="1">
        <w:r w:rsidR="00381666" w:rsidRPr="00717EF7">
          <w:rPr>
            <w:rStyle w:val="Hyperlink"/>
            <w:rFonts w:eastAsia="Arial Unicode MS"/>
          </w:rPr>
          <w:t>CL-24/38</w:t>
        </w:r>
      </w:hyperlink>
      <w:r>
        <w:rPr>
          <w:rtl/>
        </w:rPr>
        <w:t xml:space="preserve"> و</w:t>
      </w:r>
      <w:hyperlink r:id="rId40" w:history="1">
        <w:r w:rsidR="00381666" w:rsidRPr="00717EF7">
          <w:rPr>
            <w:rStyle w:val="Hyperlink"/>
            <w:rFonts w:eastAsia="Arial Unicode MS"/>
          </w:rPr>
          <w:t>CL-24/49</w:t>
        </w:r>
      </w:hyperlink>
      <w:r>
        <w:rPr>
          <w:rtl/>
        </w:rPr>
        <w:t>).</w:t>
      </w:r>
    </w:p>
    <w:p w14:paraId="19D38FDC" w14:textId="08479EF5" w:rsidR="00816C27" w:rsidRDefault="00674A3A" w:rsidP="00674A3A">
      <w:pPr>
        <w:rPr>
          <w:rtl/>
        </w:rPr>
      </w:pPr>
      <w:r>
        <w:rPr>
          <w:rtl/>
        </w:rPr>
        <w:t>وعقب الموافقة على جدول أعمال المؤتمر العالمي للاتصالات الراديوية لعام 2027، دُعِي المجلس في دورته لعام 2025 إلى</w:t>
      </w:r>
      <w:r w:rsidR="00E36B4F">
        <w:rPr>
          <w:rFonts w:hint="cs"/>
          <w:rtl/>
        </w:rPr>
        <w:t> </w:t>
      </w:r>
      <w:r>
        <w:rPr>
          <w:rtl/>
        </w:rPr>
        <w:t>اعتماد مقرر جديد يتضمن مواعيد ومكان انعقاد جمعية الاتصالات الراديوية لعام 2027 (</w:t>
      </w:r>
      <w:r>
        <w:t>RA-27</w:t>
      </w:r>
      <w:r>
        <w:rPr>
          <w:rtl/>
        </w:rPr>
        <w:t xml:space="preserve">) والمؤتمر </w:t>
      </w:r>
      <w:r>
        <w:t>WRC-27</w:t>
      </w:r>
      <w:r>
        <w:rPr>
          <w:rtl/>
        </w:rPr>
        <w:t>.</w:t>
      </w:r>
    </w:p>
    <w:p w14:paraId="6EB47355" w14:textId="77777777" w:rsidR="00816C27" w:rsidRDefault="00674A3A" w:rsidP="00674A3A">
      <w:pPr>
        <w:rPr>
          <w:rtl/>
        </w:rPr>
      </w:pPr>
      <w:r>
        <w:rPr>
          <w:rtl/>
        </w:rPr>
        <w:t xml:space="preserve">وقرر المجلس، وفقاً للمحضر الموجز للجلسة العامة السابعة (الوثيقة </w:t>
      </w:r>
      <w:r>
        <w:t>C25/113</w:t>
      </w:r>
      <w:r>
        <w:rPr>
          <w:rtl/>
        </w:rPr>
        <w:t>): "</w:t>
      </w:r>
      <w:r w:rsidRPr="004D7A82">
        <w:rPr>
          <w:i/>
          <w:iCs/>
          <w:rtl/>
        </w:rPr>
        <w:t>قبول الدعوة الموجهة من الصين لاستضافة جمعية الاتصالات الراديوية لعام 2027 (</w:t>
      </w:r>
      <w:r w:rsidRPr="004D7A82">
        <w:rPr>
          <w:i/>
          <w:iCs/>
        </w:rPr>
        <w:t>RA-27</w:t>
      </w:r>
      <w:r w:rsidRPr="004D7A82">
        <w:rPr>
          <w:i/>
          <w:iCs/>
          <w:rtl/>
        </w:rPr>
        <w:t>) والمؤتمر العالمي للاتصالات الراديوية لعام 2027 (</w:t>
      </w:r>
      <w:r w:rsidRPr="004D7A82">
        <w:rPr>
          <w:i/>
          <w:iCs/>
        </w:rPr>
        <w:t>WRC-27</w:t>
      </w:r>
      <w:r w:rsidRPr="004D7A82">
        <w:rPr>
          <w:i/>
          <w:iCs/>
          <w:rtl/>
        </w:rPr>
        <w:t xml:space="preserve">) والدورة الأولى للاجتماع التحضيري للمؤتمر </w:t>
      </w:r>
      <w:r w:rsidRPr="004D7A82">
        <w:rPr>
          <w:i/>
          <w:iCs/>
        </w:rPr>
        <w:t>WRC-31</w:t>
      </w:r>
      <w:r w:rsidRPr="004D7A82">
        <w:rPr>
          <w:i/>
          <w:iCs/>
          <w:rtl/>
        </w:rPr>
        <w:t xml:space="preserve"> ‏</w:t>
      </w:r>
      <w:r w:rsidRPr="004D7A82">
        <w:rPr>
          <w:i/>
          <w:iCs/>
        </w:rPr>
        <w:t>(CPM31-1)</w:t>
      </w:r>
      <w:r w:rsidRPr="004D7A82">
        <w:rPr>
          <w:i/>
          <w:iCs/>
          <w:rtl/>
        </w:rPr>
        <w:t xml:space="preserve"> في شنغهاي. ونتيجةً لذلك، ورهناً بموافقة أغلبية الدول الأعضاء في الاتحاد، سيعقد المؤتمر العالمي للاتصالات الراديوية لعام 2027 في شنغهاي، الصين، تسبقه جمعية الاتصالات الراديوية لعام 2027.</w:t>
      </w:r>
      <w:r>
        <w:rPr>
          <w:rtl/>
        </w:rPr>
        <w:t>".</w:t>
      </w:r>
    </w:p>
    <w:p w14:paraId="4EDB0578" w14:textId="465B5E99" w:rsidR="00816C27" w:rsidRPr="00D0229E" w:rsidRDefault="00674A3A" w:rsidP="00674A3A">
      <w:pPr>
        <w:rPr>
          <w:spacing w:val="-4"/>
          <w:rtl/>
        </w:rPr>
      </w:pPr>
      <w:r w:rsidRPr="00D0229E">
        <w:rPr>
          <w:spacing w:val="-4"/>
          <w:rtl/>
        </w:rPr>
        <w:t xml:space="preserve">وبمقتضى هذا المقرر، وعملاً بالرقم 42 من اتفاقية الاتحاد، استهلت الأمانة العامة التشاور مع الدول الأعضاء بشأن المكان المحدد لانعقاد جمعية الاتصالات الراديوية لعام 2027، والمؤتمر العالمي للاتصالات الراديوية لعام 2027 وتاريخَي عقدهما بالضبط، مما حظيَ بموافقة أغلبية الدول الأعضاء، على النحو المنشور في الرسالة المعممة </w:t>
      </w:r>
      <w:r w:rsidRPr="00D0229E">
        <w:rPr>
          <w:spacing w:val="-4"/>
        </w:rPr>
        <w:t>CL-25/45</w:t>
      </w:r>
      <w:r w:rsidRPr="00D0229E">
        <w:rPr>
          <w:spacing w:val="-4"/>
          <w:rtl/>
        </w:rPr>
        <w:t>. وبالنتيجة، وافقت الدول الأعضاء في</w:t>
      </w:r>
      <w:r w:rsidR="00D0229E" w:rsidRPr="00D0229E">
        <w:rPr>
          <w:rFonts w:hint="cs"/>
          <w:spacing w:val="-4"/>
          <w:rtl/>
        </w:rPr>
        <w:t> </w:t>
      </w:r>
      <w:r w:rsidRPr="00D0229E">
        <w:rPr>
          <w:spacing w:val="-4"/>
          <w:rtl/>
        </w:rPr>
        <w:t>الاتحاد على</w:t>
      </w:r>
      <w:r w:rsidR="00D0229E">
        <w:rPr>
          <w:rFonts w:hint="cs"/>
          <w:spacing w:val="-4"/>
          <w:rtl/>
        </w:rPr>
        <w:t> </w:t>
      </w:r>
      <w:r w:rsidRPr="00D0229E">
        <w:rPr>
          <w:spacing w:val="-4"/>
          <w:rtl/>
        </w:rPr>
        <w:t>عقد جمعية الاتصالات الراديوية لعام 2027 (</w:t>
      </w:r>
      <w:r w:rsidRPr="00D0229E">
        <w:rPr>
          <w:spacing w:val="-4"/>
        </w:rPr>
        <w:t>RA-27</w:t>
      </w:r>
      <w:r w:rsidRPr="00D0229E">
        <w:rPr>
          <w:spacing w:val="-4"/>
          <w:rtl/>
        </w:rPr>
        <w:t>) والمؤتمر العالمي للاتصالات الراديوية لعام 2027 (</w:t>
      </w:r>
      <w:r w:rsidRPr="00D0229E">
        <w:rPr>
          <w:spacing w:val="-4"/>
        </w:rPr>
        <w:t>WRC-27</w:t>
      </w:r>
      <w:r w:rsidRPr="00D0229E">
        <w:rPr>
          <w:spacing w:val="-4"/>
          <w:rtl/>
        </w:rPr>
        <w:t>) في شنغهاي، الصين، في الفترة من 11 أكتوبر إلى 12 نوفمبر 2027.</w:t>
      </w:r>
    </w:p>
    <w:p w14:paraId="53165C44" w14:textId="7CE5BF9F" w:rsidR="00674A3A" w:rsidRPr="00E40826" w:rsidRDefault="00674A3A" w:rsidP="00674A3A">
      <w:pPr>
        <w:rPr>
          <w:rtl/>
        </w:rPr>
      </w:pPr>
      <w:r w:rsidRPr="00E40826">
        <w:rPr>
          <w:spacing w:val="-5"/>
          <w:rtl/>
        </w:rPr>
        <w:t>وعلى النحو المخطط له عادةً، ستعقد الدورة الأولى للاجتماع التحضيري المؤتمر العالمي للاتصالات الراديوية لعام 2031 (</w:t>
      </w:r>
      <w:r w:rsidRPr="00E40826">
        <w:rPr>
          <w:spacing w:val="-5"/>
        </w:rPr>
        <w:t>CPM31-1</w:t>
      </w:r>
      <w:r w:rsidRPr="00E40826">
        <w:rPr>
          <w:spacing w:val="-5"/>
          <w:rtl/>
        </w:rPr>
        <w:t xml:space="preserve">) </w:t>
      </w:r>
      <w:r w:rsidRPr="00E40826">
        <w:rPr>
          <w:rtl/>
        </w:rPr>
        <w:t xml:space="preserve">في شنغهاي، بعد المؤتمر </w:t>
      </w:r>
      <w:r w:rsidRPr="00E40826">
        <w:t>WRC-27</w:t>
      </w:r>
      <w:r w:rsidRPr="00E40826">
        <w:rPr>
          <w:rtl/>
        </w:rPr>
        <w:t xml:space="preserve"> مباشرة</w:t>
      </w:r>
      <w:r w:rsidR="00E40826">
        <w:rPr>
          <w:rFonts w:hint="cs"/>
          <w:rtl/>
        </w:rPr>
        <w:t>ً</w:t>
      </w:r>
      <w:r w:rsidRPr="00E40826">
        <w:rPr>
          <w:rtl/>
        </w:rPr>
        <w:t>، يوم</w:t>
      </w:r>
      <w:r w:rsidR="00E819EE">
        <w:rPr>
          <w:rFonts w:hint="cs"/>
          <w:rtl/>
        </w:rPr>
        <w:t>َ</w:t>
      </w:r>
      <w:r w:rsidRPr="00E40826">
        <w:rPr>
          <w:rtl/>
        </w:rPr>
        <w:t>ي 15 و16 نوفمبر 2027.</w:t>
      </w:r>
    </w:p>
    <w:p w14:paraId="6359E22E" w14:textId="77777777" w:rsidR="00816C27" w:rsidRDefault="00674A3A" w:rsidP="00674A3A">
      <w:pPr>
        <w:rPr>
          <w:rtl/>
        </w:rPr>
      </w:pPr>
      <w:r>
        <w:rPr>
          <w:rtl/>
        </w:rPr>
        <w:t>وأُطلعت الصين على مشروع اتفاق البلد المضيف (</w:t>
      </w:r>
      <w:r>
        <w:t>HCA</w:t>
      </w:r>
      <w:r>
        <w:rPr>
          <w:rtl/>
        </w:rPr>
        <w:t>) وستجري الأمانة أول زيارة للمكان في مارس.</w:t>
      </w:r>
    </w:p>
    <w:p w14:paraId="437BC161" w14:textId="436DB8DE" w:rsidR="00674A3A" w:rsidRDefault="00674A3A" w:rsidP="00E40826">
      <w:pPr>
        <w:keepLines/>
        <w:rPr>
          <w:rFonts w:hint="cs"/>
          <w:rtl/>
          <w:lang w:bidi="ar-EG"/>
        </w:rPr>
      </w:pPr>
      <w:r>
        <w:rPr>
          <w:rtl/>
        </w:rPr>
        <w:lastRenderedPageBreak/>
        <w:t>وقد بدأ التنسيق بين الدوائر ذات الصلة في الأمانة العامة ومكتب الاتصالات الراديوية من أجل ضمان الأعمال التحضيرية الإدارية واللوجستية لجمعية الاتصالات الراديوية لعام 2027 (</w:t>
      </w:r>
      <w:r>
        <w:t>RA-27</w:t>
      </w:r>
      <w:r>
        <w:rPr>
          <w:rtl/>
        </w:rPr>
        <w:t>) والمؤتمر العالمي للاتصالات الراديوية لعام 2027 (</w:t>
      </w:r>
      <w:r>
        <w:t>WRC-27</w:t>
      </w:r>
      <w:r>
        <w:rPr>
          <w:rtl/>
        </w:rPr>
        <w:t>) والدورة الأولى للاجتماع التحضيري للمؤتمر (</w:t>
      </w:r>
      <w:r>
        <w:t>CPM31-1</w:t>
      </w:r>
      <w:r>
        <w:rPr>
          <w:rtl/>
        </w:rPr>
        <w:t>). وسيستمر هذا التنسيق وسيكثف مع تقدم الأعمال التحضيرية، بما في ذلك التعاون المستمر مع البلد المضيف.</w:t>
      </w:r>
    </w:p>
    <w:p w14:paraId="7DB68398" w14:textId="7BD03657" w:rsidR="00674A3A" w:rsidRDefault="00674A3A" w:rsidP="00674A3A">
      <w:pPr>
        <w:rPr>
          <w:rtl/>
        </w:rPr>
      </w:pPr>
      <w:r>
        <w:rPr>
          <w:rtl/>
        </w:rPr>
        <w:t xml:space="preserve">وأُعِدَّ الموقع الإلكتروني للاتحاد الخاص بالمؤتمر </w:t>
      </w:r>
      <w:r>
        <w:t>WRC-27</w:t>
      </w:r>
      <w:r w:rsidR="00E40826">
        <w:rPr>
          <w:rFonts w:hint="cs"/>
          <w:rtl/>
        </w:rPr>
        <w:t xml:space="preserve">: </w:t>
      </w:r>
      <w:hyperlink r:id="rId41" w:history="1">
        <w:r w:rsidR="00D0229E" w:rsidRPr="006A1FCB">
          <w:rPr>
            <w:rStyle w:val="Hyperlink"/>
          </w:rPr>
          <w:t>www.itu.int/wrc-27/</w:t>
        </w:r>
      </w:hyperlink>
      <w:r>
        <w:rPr>
          <w:rtl/>
        </w:rPr>
        <w:t xml:space="preserve"> وسيجري تحديثه بانتظام.</w:t>
      </w:r>
    </w:p>
    <w:p w14:paraId="5DE36ADC" w14:textId="0FA09809" w:rsidR="00674A3A" w:rsidRDefault="00B55F1A" w:rsidP="00B55F1A">
      <w:pPr>
        <w:pStyle w:val="Heading2"/>
        <w:rPr>
          <w:rtl/>
        </w:rPr>
      </w:pPr>
      <w:bookmarkStart w:id="15" w:name="_Toc223961966"/>
      <w:r>
        <w:t>2.4</w:t>
      </w:r>
      <w:r w:rsidR="00674A3A">
        <w:rPr>
          <w:rtl/>
        </w:rPr>
        <w:tab/>
        <w:t>الأعمال التحضيرية الأخرى ذات الصلة</w:t>
      </w:r>
      <w:bookmarkEnd w:id="15"/>
    </w:p>
    <w:p w14:paraId="78875183" w14:textId="0CC0CABD" w:rsidR="00674A3A" w:rsidRDefault="00674A3A" w:rsidP="00674A3A">
      <w:pPr>
        <w:rPr>
          <w:rtl/>
        </w:rPr>
      </w:pPr>
      <w:r>
        <w:rPr>
          <w:rtl/>
        </w:rPr>
        <w:t>في أعقاب دورة المجلس لعام 2025، عقدت اللجنة التوجيهية للاجتماع التحضيري للمؤتمر العالمي للاتصالات الراديوية لعام</w:t>
      </w:r>
      <w:r w:rsidR="00B55F1A">
        <w:rPr>
          <w:rFonts w:hint="eastAsia"/>
          <w:rtl/>
        </w:rPr>
        <w:t> </w:t>
      </w:r>
      <w:r>
        <w:rPr>
          <w:rtl/>
        </w:rPr>
        <w:t>2027 (</w:t>
      </w:r>
      <w:r>
        <w:t>CPM-STR-COM</w:t>
      </w:r>
      <w:r>
        <w:rPr>
          <w:rtl/>
        </w:rPr>
        <w:t xml:space="preserve">) اجتماعين مختلطين. وبالإضافة إلى ذلك، دُعي الأعضاء الآخرون في فريق إدارة الاجتماع التحضيري للمؤتمر </w:t>
      </w:r>
      <w:r>
        <w:t>CMP-27</w:t>
      </w:r>
      <w:r>
        <w:rPr>
          <w:rtl/>
        </w:rPr>
        <w:t xml:space="preserve"> (أي رؤساء لجان الدراسات التابعة لقطاع الاتصالات الراديوية وفرق العمل (</w:t>
      </w:r>
      <w:r>
        <w:t>WP</w:t>
      </w:r>
      <w:r>
        <w:rPr>
          <w:rtl/>
        </w:rPr>
        <w:t xml:space="preserve">) المسؤولة عن جدول المؤتمر </w:t>
      </w:r>
      <w:r>
        <w:t>WRC-27</w:t>
      </w:r>
      <w:r>
        <w:rPr>
          <w:rtl/>
        </w:rPr>
        <w:t>) لحضور هذين الاجتماعين.</w:t>
      </w:r>
    </w:p>
    <w:p w14:paraId="7A4EF563" w14:textId="46D3E416" w:rsidR="00674A3A" w:rsidRDefault="00674A3A" w:rsidP="00674A3A">
      <w:pPr>
        <w:rPr>
          <w:rtl/>
        </w:rPr>
      </w:pPr>
      <w:r>
        <w:rPr>
          <w:rtl/>
        </w:rPr>
        <w:t>وعُقِد الاجتماع الأول للجنة التوجيهية للاجتماع التحضيري للمؤتمر العالمي للاتصالات الراديوية (</w:t>
      </w:r>
      <w:r>
        <w:t>CPM-STR-COM</w:t>
      </w:r>
      <w:r>
        <w:rPr>
          <w:rtl/>
        </w:rPr>
        <w:t>) في 3</w:t>
      </w:r>
      <w:r w:rsidR="007D08A1">
        <w:rPr>
          <w:rFonts w:hint="cs"/>
          <w:rtl/>
        </w:rPr>
        <w:t> </w:t>
      </w:r>
      <w:r>
        <w:rPr>
          <w:rtl/>
        </w:rPr>
        <w:t>يوليو</w:t>
      </w:r>
      <w:r w:rsidR="00B55F1A">
        <w:rPr>
          <w:rFonts w:hint="cs"/>
          <w:rtl/>
        </w:rPr>
        <w:t> </w:t>
      </w:r>
      <w:r>
        <w:rPr>
          <w:rtl/>
        </w:rPr>
        <w:t xml:space="preserve">2025 لاستعراض التقدم الذي أحرزته حتى الآن فرق العمل المسؤولة ومعالجة أي قضية محتملة تنشأ عن الدراسات التحضيرية للدورة الثانية للاجتماع التحضيري للمؤتمر </w:t>
      </w:r>
      <w:r>
        <w:t>CPM-27</w:t>
      </w:r>
      <w:r w:rsidR="00E815DB">
        <w:rPr>
          <w:rFonts w:hint="cs"/>
          <w:rtl/>
        </w:rPr>
        <w:t xml:space="preserve"> </w:t>
      </w:r>
      <w:r>
        <w:t>(CPM27-2)</w:t>
      </w:r>
      <w:r w:rsidR="00E815DB">
        <w:rPr>
          <w:rFonts w:hint="cs"/>
          <w:rtl/>
        </w:rPr>
        <w:t xml:space="preserve"> </w:t>
      </w:r>
      <w:r>
        <w:rPr>
          <w:rtl/>
        </w:rPr>
        <w:t xml:space="preserve">والمؤتمر </w:t>
      </w:r>
      <w:r>
        <w:t>WRC-27</w:t>
      </w:r>
      <w:r>
        <w:rPr>
          <w:rtl/>
        </w:rPr>
        <w:t>، والنظر في المعلومات الأولية المتعلقة بالأعمال التحضيرية الجلسة الإعلامية الأقاليمية الأولى (</w:t>
      </w:r>
      <w:r>
        <w:t>IRIS</w:t>
      </w:r>
      <w:r>
        <w:rPr>
          <w:rtl/>
        </w:rPr>
        <w:t xml:space="preserve">) للاتحاد بشأن الأعمال التحضيرية للمؤتمر </w:t>
      </w:r>
      <w:r>
        <w:t>WRC-27</w:t>
      </w:r>
      <w:r>
        <w:rPr>
          <w:rtl/>
        </w:rPr>
        <w:t>.</w:t>
      </w:r>
    </w:p>
    <w:p w14:paraId="5E2A45A6" w14:textId="7BF84088" w:rsidR="00816C27" w:rsidRDefault="00674A3A" w:rsidP="00674A3A">
      <w:pPr>
        <w:rPr>
          <w:rtl/>
        </w:rPr>
      </w:pPr>
      <w:r>
        <w:rPr>
          <w:rtl/>
        </w:rPr>
        <w:t>وعُقِد الاجتماع الثاني للجنة التوجيهية للاجتماع التحضيري للمؤتمر العالمي للاتصالات الراديوية (</w:t>
      </w:r>
      <w:r>
        <w:t>CPM-STR-COM</w:t>
      </w:r>
      <w:r>
        <w:rPr>
          <w:rtl/>
        </w:rPr>
        <w:t>) في 5</w:t>
      </w:r>
      <w:r w:rsidR="007D08A1">
        <w:rPr>
          <w:rFonts w:hint="cs"/>
          <w:rtl/>
        </w:rPr>
        <w:t> </w:t>
      </w:r>
      <w:r>
        <w:rPr>
          <w:rtl/>
        </w:rPr>
        <w:t xml:space="preserve">ديسمبر 2025 لاستعراض التقدم المحرز بعد مجموعات اجتماعات فرق العمل في الفترة الممتدة من سبتمبر إلى نوفمبر 2025، فضلاً عن أي قضايا تم تحديدها نتيجة الدراسات التحضيرية الإضافية لقطاع الاتصالات الراديوية للدورة الثانية للاجتماع التحضيري للمؤتمر </w:t>
      </w:r>
      <w:r>
        <w:t>CPM27</w:t>
      </w:r>
      <w:r w:rsidR="00E815DB">
        <w:rPr>
          <w:rFonts w:hint="cs"/>
          <w:rtl/>
        </w:rPr>
        <w:t xml:space="preserve"> </w:t>
      </w:r>
      <w:r>
        <w:t>(CPM27-2)</w:t>
      </w:r>
      <w:r w:rsidR="00E815DB">
        <w:rPr>
          <w:rFonts w:hint="cs"/>
          <w:rtl/>
        </w:rPr>
        <w:t xml:space="preserve"> </w:t>
      </w:r>
      <w:r>
        <w:rPr>
          <w:rtl/>
        </w:rPr>
        <w:t xml:space="preserve">والمؤتمر </w:t>
      </w:r>
      <w:r>
        <w:t>WRC-27</w:t>
      </w:r>
      <w:r>
        <w:rPr>
          <w:rtl/>
        </w:rPr>
        <w:t xml:space="preserve"> والمؤتمر </w:t>
      </w:r>
      <w:r>
        <w:t>WRC-31</w:t>
      </w:r>
      <w:r>
        <w:rPr>
          <w:rtl/>
        </w:rPr>
        <w:t xml:space="preserve">. ولم يطرأ أي تغيير على الموعد النهائي المتفق عليه سابقاً، وهو 23 أكتوبر 2026، كي تقدم فرق العمل المسؤولة مشاريع نصوص الاجتماع التحضيري للمؤتمر </w:t>
      </w:r>
      <w:r>
        <w:t>CPM</w:t>
      </w:r>
      <w:r>
        <w:rPr>
          <w:rtl/>
        </w:rPr>
        <w:t>. ومع ذلك، يمكن النظر في بعض الترتيبات العملية في ضوء الوضع في الاجتماع المقبل للجنة التوجيهية للاجتماع التحضيري للمؤتمر العالمي للاتصالات الراديوية (</w:t>
      </w:r>
      <w:r>
        <w:t>CPM-STR-COM</w:t>
      </w:r>
      <w:r>
        <w:rPr>
          <w:rtl/>
        </w:rPr>
        <w:t xml:space="preserve">) المقرر عقده في 12 يونيو 2026، فيما يتعلق، على سبيل المثال، بالاجتماع المخطط لفرقة العمل </w:t>
      </w:r>
      <w:r>
        <w:t>4A</w:t>
      </w:r>
      <w:r>
        <w:rPr>
          <w:rtl/>
        </w:rPr>
        <w:t xml:space="preserve"> حتى 29 أكتوبر 2026.</w:t>
      </w:r>
    </w:p>
    <w:p w14:paraId="3509D067" w14:textId="06C5DF2D" w:rsidR="00674A3A" w:rsidRPr="00D0229E" w:rsidRDefault="00674A3A" w:rsidP="00674A3A">
      <w:pPr>
        <w:rPr>
          <w:spacing w:val="-4"/>
          <w:rtl/>
        </w:rPr>
      </w:pPr>
      <w:r w:rsidRPr="00D0229E">
        <w:rPr>
          <w:spacing w:val="-4"/>
          <w:rtl/>
        </w:rPr>
        <w:t xml:space="preserve">وتُحدّث المعلومات المفصلة حول الدراسات التحضيرية لقطاع الاتصالات الراديوية فيما يتعلق ببنود جدول أعمال المؤتمر </w:t>
      </w:r>
      <w:r w:rsidRPr="00D0229E">
        <w:rPr>
          <w:spacing w:val="-4"/>
        </w:rPr>
        <w:t>WRC-27</w:t>
      </w:r>
      <w:r w:rsidRPr="00D0229E">
        <w:rPr>
          <w:spacing w:val="-4"/>
          <w:rtl/>
        </w:rPr>
        <w:t xml:space="preserve"> بانتظام، ويمكن الاطلاع عليها على الصفحة الإلكترونية للاتحاد على العنوان التالي: </w:t>
      </w:r>
      <w:hyperlink r:id="rId42" w:history="1">
        <w:r w:rsidR="00E815DB" w:rsidRPr="00D0229E">
          <w:rPr>
            <w:rStyle w:val="Hyperlink"/>
            <w:spacing w:val="-4"/>
            <w:szCs w:val="24"/>
          </w:rPr>
          <w:t>www.itu.int/go/rcpm-wrc-27-studies</w:t>
        </w:r>
      </w:hyperlink>
      <w:r w:rsidRPr="00D0229E">
        <w:rPr>
          <w:spacing w:val="-4"/>
          <w:rtl/>
        </w:rPr>
        <w:t>. وينبغي</w:t>
      </w:r>
      <w:r w:rsidR="00D0229E">
        <w:rPr>
          <w:rFonts w:hint="cs"/>
          <w:spacing w:val="-4"/>
          <w:rtl/>
        </w:rPr>
        <w:t> </w:t>
      </w:r>
      <w:r w:rsidRPr="00D0229E">
        <w:rPr>
          <w:spacing w:val="-4"/>
          <w:rtl/>
        </w:rPr>
        <w:t>أن يضمن استكمال هذه الأنشطة بمقتضى</w:t>
      </w:r>
      <w:r w:rsidR="00D53FD1" w:rsidRPr="00D0229E">
        <w:rPr>
          <w:spacing w:val="-4"/>
          <w:rtl/>
        </w:rPr>
        <w:t xml:space="preserve"> </w:t>
      </w:r>
      <w:r w:rsidRPr="00D0229E">
        <w:rPr>
          <w:spacing w:val="-4"/>
          <w:rtl/>
        </w:rPr>
        <w:t xml:space="preserve">خطط العمل الموضوعة مسبقاً على وجه الخصوص توافر مشروع تقرير الاجتماع التحضيري للمؤتمر </w:t>
      </w:r>
      <w:r w:rsidRPr="00D0229E">
        <w:rPr>
          <w:spacing w:val="-4"/>
        </w:rPr>
        <w:t>WRC-27</w:t>
      </w:r>
      <w:r w:rsidRPr="00D0229E">
        <w:rPr>
          <w:spacing w:val="-4"/>
          <w:rtl/>
        </w:rPr>
        <w:t xml:space="preserve"> في الوقت المناسب بغية النظر فيه خلال الدورة الثانية للاجتماع التحضيري للمؤتمر </w:t>
      </w:r>
      <w:r w:rsidRPr="00D0229E">
        <w:rPr>
          <w:spacing w:val="-4"/>
        </w:rPr>
        <w:t>CPM</w:t>
      </w:r>
      <w:r w:rsidRPr="00D0229E">
        <w:rPr>
          <w:spacing w:val="-4"/>
          <w:rtl/>
        </w:rPr>
        <w:t xml:space="preserve"> لعام 2027. وتتضمن هذه الصفحة الإلكترونية أيضاً رابطاً </w:t>
      </w:r>
      <w:hyperlink r:id="rId43" w:history="1">
        <w:r w:rsidRPr="00D0229E">
          <w:rPr>
            <w:rStyle w:val="Hyperlink"/>
            <w:spacing w:val="-4"/>
            <w:rtl/>
          </w:rPr>
          <w:t xml:space="preserve">للدراسات المتعلقة ببنود جدول الأعمال التمهيدي للمؤتمر </w:t>
        </w:r>
        <w:r w:rsidRPr="00D0229E">
          <w:rPr>
            <w:rStyle w:val="Hyperlink"/>
            <w:spacing w:val="-4"/>
          </w:rPr>
          <w:t>WRC-31</w:t>
        </w:r>
      </w:hyperlink>
      <w:r w:rsidRPr="00D0229E">
        <w:rPr>
          <w:spacing w:val="-4"/>
          <w:rtl/>
        </w:rPr>
        <w:t>.</w:t>
      </w:r>
    </w:p>
    <w:p w14:paraId="548CC8B2" w14:textId="203121CB" w:rsidR="00674A3A" w:rsidRDefault="00674A3A" w:rsidP="00674A3A">
      <w:pPr>
        <w:rPr>
          <w:rtl/>
        </w:rPr>
      </w:pPr>
      <w:r>
        <w:rPr>
          <w:rtl/>
        </w:rPr>
        <w:t xml:space="preserve">وفي نهاية يناير 2026، قدم مكتب الاتصالات الراديوية إلى فرق العمل المسؤولة </w:t>
      </w:r>
      <w:hyperlink r:id="rId44" w:history="1">
        <w:r w:rsidRPr="00E815DB">
          <w:rPr>
            <w:rStyle w:val="Hyperlink"/>
            <w:rtl/>
          </w:rPr>
          <w:t>مبادئ توجيهية وأمثلة إضافية</w:t>
        </w:r>
      </w:hyperlink>
      <w:r>
        <w:rPr>
          <w:rtl/>
        </w:rPr>
        <w:t xml:space="preserve"> بشأن استخدام </w:t>
      </w:r>
      <w:hyperlink r:id="rId45" w:history="1">
        <w:r w:rsidRPr="00E815DB">
          <w:rPr>
            <w:rStyle w:val="Hyperlink"/>
            <w:rtl/>
          </w:rPr>
          <w:t>واجهة تقديم المقترحات للمؤتمر (</w:t>
        </w:r>
        <w:r w:rsidRPr="00E815DB">
          <w:rPr>
            <w:rStyle w:val="Hyperlink"/>
          </w:rPr>
          <w:t>CPI</w:t>
        </w:r>
        <w:r w:rsidRPr="00E815DB">
          <w:rPr>
            <w:rStyle w:val="Hyperlink"/>
            <w:rtl/>
          </w:rPr>
          <w:t xml:space="preserve">) بالنسبة للمؤتمر </w:t>
        </w:r>
        <w:r w:rsidRPr="00E815DB">
          <w:rPr>
            <w:rStyle w:val="Hyperlink"/>
          </w:rPr>
          <w:t>WRC-27</w:t>
        </w:r>
      </w:hyperlink>
      <w:r>
        <w:rPr>
          <w:rtl/>
        </w:rPr>
        <w:t xml:space="preserve"> من أجل إعداد الأمثلة عن النصوص التنظيمية لمشروع تقرير الاجتماع التحضيري إلى المؤتمر </w:t>
      </w:r>
      <w:r>
        <w:t>WRC-27</w:t>
      </w:r>
      <w:r>
        <w:rPr>
          <w:rtl/>
        </w:rPr>
        <w:t>.</w:t>
      </w:r>
    </w:p>
    <w:p w14:paraId="37FC473B" w14:textId="517B672B" w:rsidR="00674A3A" w:rsidRPr="00E815DB" w:rsidRDefault="00674A3A" w:rsidP="00674A3A">
      <w:pPr>
        <w:rPr>
          <w:spacing w:val="-2"/>
          <w:rtl/>
        </w:rPr>
      </w:pPr>
      <w:r w:rsidRPr="00E815DB">
        <w:rPr>
          <w:spacing w:val="-2"/>
          <w:rtl/>
        </w:rPr>
        <w:t xml:space="preserve">ومع الأخذ في الاعتبار القرار 80 (المراجَع في مراكش، 2002) لمؤتمر المندوبين المفوضين والقرار </w:t>
      </w:r>
      <w:r w:rsidR="00E815DB" w:rsidRPr="00E815DB">
        <w:rPr>
          <w:b/>
          <w:bCs/>
          <w:spacing w:val="-2"/>
        </w:rPr>
        <w:t>72 (Rev.WRC-19)</w:t>
      </w:r>
      <w:r w:rsidRPr="00E815DB">
        <w:rPr>
          <w:spacing w:val="-2"/>
          <w:rtl/>
        </w:rPr>
        <w:t xml:space="preserve">، استمرت الأعمال التحضيرية للمؤتمر </w:t>
      </w:r>
      <w:r w:rsidRPr="00E815DB">
        <w:rPr>
          <w:spacing w:val="-2"/>
        </w:rPr>
        <w:t>WRC-27</w:t>
      </w:r>
      <w:r w:rsidRPr="00E815DB">
        <w:rPr>
          <w:spacing w:val="-2"/>
          <w:rtl/>
        </w:rPr>
        <w:t xml:space="preserve"> أيضاً على المستوى الإقليمي، مع المشاركة النشطة لمكتب الاتصالات الراديوية في بعض اجتماعات الأفرقة الإقليمية، بما في ذلك جماعة آسيا والمحيط الهادئ للاتصالات (</w:t>
      </w:r>
      <w:r w:rsidRPr="00E815DB">
        <w:rPr>
          <w:spacing w:val="-2"/>
        </w:rPr>
        <w:t>APT</w:t>
      </w:r>
      <w:r w:rsidRPr="00E815DB">
        <w:rPr>
          <w:spacing w:val="-2"/>
          <w:rtl/>
        </w:rPr>
        <w:t>)، وفريق إدارة الطيف في البلدان العربية</w:t>
      </w:r>
      <w:r w:rsidR="00E815DB">
        <w:rPr>
          <w:rFonts w:hint="cs"/>
          <w:spacing w:val="-2"/>
          <w:rtl/>
        </w:rPr>
        <w:t> </w:t>
      </w:r>
      <w:r w:rsidRPr="00E815DB">
        <w:rPr>
          <w:spacing w:val="-2"/>
          <w:rtl/>
        </w:rPr>
        <w:t>(</w:t>
      </w:r>
      <w:r w:rsidRPr="00E815DB">
        <w:rPr>
          <w:spacing w:val="-2"/>
        </w:rPr>
        <w:t>ASMG</w:t>
      </w:r>
      <w:r w:rsidRPr="00E815DB">
        <w:rPr>
          <w:spacing w:val="-2"/>
          <w:rtl/>
        </w:rPr>
        <w:t>)، والاتحاد الإفريقي للاتصالات (</w:t>
      </w:r>
      <w:r w:rsidRPr="00E815DB">
        <w:rPr>
          <w:spacing w:val="-2"/>
        </w:rPr>
        <w:t>ATU</w:t>
      </w:r>
      <w:r w:rsidRPr="00E815DB">
        <w:rPr>
          <w:spacing w:val="-2"/>
          <w:rtl/>
        </w:rPr>
        <w:t>) والمؤتمر الأوروبي لإدارات البريد والاتصالات (</w:t>
      </w:r>
      <w:r w:rsidRPr="00E815DB">
        <w:rPr>
          <w:spacing w:val="-2"/>
        </w:rPr>
        <w:t>CEPT</w:t>
      </w:r>
      <w:r w:rsidRPr="00E815DB">
        <w:rPr>
          <w:spacing w:val="-2"/>
          <w:rtl/>
        </w:rPr>
        <w:t>) ولجنة البلدان الأمريكية للاتصالات (</w:t>
      </w:r>
      <w:r w:rsidRPr="00E815DB">
        <w:rPr>
          <w:spacing w:val="-2"/>
        </w:rPr>
        <w:t>CITEL</w:t>
      </w:r>
      <w:r w:rsidRPr="00E815DB">
        <w:rPr>
          <w:spacing w:val="-2"/>
          <w:rtl/>
        </w:rPr>
        <w:t>) والكومنولث الإقليمي في مجال الاتصالات (</w:t>
      </w:r>
      <w:r w:rsidRPr="00E815DB">
        <w:rPr>
          <w:spacing w:val="-2"/>
        </w:rPr>
        <w:t>RCC</w:t>
      </w:r>
      <w:r w:rsidRPr="00E815DB">
        <w:rPr>
          <w:spacing w:val="-2"/>
          <w:rtl/>
        </w:rPr>
        <w:t xml:space="preserve">)، حيثما أمكن ذلك. ويمكن الاطلاع على معلومات محدثة حول الأعمال التحضيرية التي تضطلع بها الأفرقة الإقليمية في إطار المؤتمر </w:t>
      </w:r>
      <w:r w:rsidRPr="00E815DB">
        <w:rPr>
          <w:spacing w:val="-2"/>
        </w:rPr>
        <w:t>WRC-27</w:t>
      </w:r>
      <w:r w:rsidRPr="00E815DB">
        <w:rPr>
          <w:spacing w:val="-2"/>
          <w:rtl/>
        </w:rPr>
        <w:t xml:space="preserve"> على الرابط التالي:</w:t>
      </w:r>
      <w:r w:rsidR="00E815DB">
        <w:rPr>
          <w:spacing w:val="-2"/>
          <w:rtl/>
        </w:rPr>
        <w:tab/>
      </w:r>
      <w:r w:rsidR="00E815DB">
        <w:rPr>
          <w:spacing w:val="-2"/>
          <w:rtl/>
        </w:rPr>
        <w:br/>
      </w:r>
      <w:hyperlink r:id="rId46" w:history="1">
        <w:r w:rsidR="00E815DB" w:rsidRPr="00717EF7">
          <w:rPr>
            <w:rStyle w:val="Hyperlink"/>
            <w:szCs w:val="24"/>
          </w:rPr>
          <w:t>www.itu.int/en/ITU-R/conferences/wrc/2027/Pages/reg-prep.aspx</w:t>
        </w:r>
      </w:hyperlink>
      <w:r w:rsidRPr="00E815DB">
        <w:rPr>
          <w:spacing w:val="-2"/>
          <w:rtl/>
        </w:rPr>
        <w:t>.</w:t>
      </w:r>
    </w:p>
    <w:p w14:paraId="644571DB" w14:textId="2B6E7442" w:rsidR="00674A3A" w:rsidRDefault="00674A3A" w:rsidP="00674A3A">
      <w:pPr>
        <w:rPr>
          <w:rtl/>
        </w:rPr>
      </w:pPr>
      <w:r>
        <w:rPr>
          <w:rtl/>
        </w:rPr>
        <w:t xml:space="preserve">وبناءً على المشورة المقدمة من الاجتماع الثاني والثلاثين للفريق الاستشاري للاتصالات الراديوية، وبعد مشاورات مع رؤساء الأفرقة الإقليمية المذكورة أعلاه ومع أعضاء فريق إدارة الاجتماع التحضيري للمؤتمر </w:t>
      </w:r>
      <w:r>
        <w:t>CMP-27</w:t>
      </w:r>
      <w:r>
        <w:rPr>
          <w:rtl/>
        </w:rPr>
        <w:t xml:space="preserve"> فيما يتعلق ببرنامج الحدث وشكله، عقد مكتب الاتصالات الراديوية </w:t>
      </w:r>
      <w:hyperlink r:id="rId47" w:anchor="/ar" w:history="1">
        <w:r w:rsidRPr="00D0229E">
          <w:rPr>
            <w:rStyle w:val="Hyperlink"/>
            <w:rtl/>
          </w:rPr>
          <w:t>الجلسة الإعلامية الأقاليمية الأولى (</w:t>
        </w:r>
        <w:r w:rsidRPr="00D0229E">
          <w:rPr>
            <w:rStyle w:val="Hyperlink"/>
          </w:rPr>
          <w:t>IRIS</w:t>
        </w:r>
        <w:r w:rsidRPr="00D0229E">
          <w:rPr>
            <w:rStyle w:val="Hyperlink"/>
            <w:rtl/>
          </w:rPr>
          <w:t xml:space="preserve">) بشأن الأعمال التحضيرية للمؤتمر </w:t>
        </w:r>
        <w:r w:rsidRPr="00D0229E">
          <w:rPr>
            <w:rStyle w:val="Hyperlink"/>
          </w:rPr>
          <w:t>WRC-27</w:t>
        </w:r>
      </w:hyperlink>
      <w:r>
        <w:rPr>
          <w:rtl/>
        </w:rPr>
        <w:t xml:space="preserve"> في الفترة من 3 إلى 5 ديسمبر 2025 بوصفه حدثاً حضورياً في جنيف مع إتاحة الترجمة الشفوية وإمكانية المشاركة عن بُعد. ويُتاح البرنامج وجميع الوثائق المقدمة إلى هذه الجلسة الإعلامية الأقاليمية الأولى، وكذلك جميع </w:t>
      </w:r>
      <w:hyperlink r:id="rId48" w:anchor="/ar" w:history="1">
        <w:r w:rsidRPr="00423006">
          <w:rPr>
            <w:rStyle w:val="Hyperlink"/>
            <w:rtl/>
          </w:rPr>
          <w:t>محفوظات البث الشبكي</w:t>
        </w:r>
      </w:hyperlink>
      <w:r>
        <w:rPr>
          <w:rtl/>
        </w:rPr>
        <w:t xml:space="preserve"> لحلقات النقاش والعرض النصي في الموقع الإلكتروني للحدث في الموقع الإلكتروني التالي: </w:t>
      </w:r>
      <w:hyperlink r:id="rId49" w:anchor="/ar" w:history="1">
        <w:r w:rsidRPr="00423006">
          <w:rPr>
            <w:rStyle w:val="Hyperlink"/>
          </w:rPr>
          <w:t>www.itu.int/iris-wrc-27/2025/</w:t>
        </w:r>
      </w:hyperlink>
      <w:r>
        <w:rPr>
          <w:rtl/>
        </w:rPr>
        <w:t xml:space="preserve">. </w:t>
      </w:r>
      <w:r>
        <w:rPr>
          <w:rtl/>
        </w:rPr>
        <w:lastRenderedPageBreak/>
        <w:t xml:space="preserve">ومن المخطط عقد الجلستين الإعلاميتين الأقاليميتين الثانية والثالثة بشأن الأعمال التحضيرية للمؤتمر </w:t>
      </w:r>
      <w:r>
        <w:t>WRC-27</w:t>
      </w:r>
      <w:r>
        <w:rPr>
          <w:rtl/>
        </w:rPr>
        <w:t xml:space="preserve"> على التوالي في الفترة من 14 إلى 16 ديسمبر 2026، قبل للدورة الثانية للاجتماع التحضيري ‏ للمؤتمر </w:t>
      </w:r>
      <w:r>
        <w:t>WRC-27</w:t>
      </w:r>
      <w:r w:rsidR="00423006">
        <w:rPr>
          <w:rFonts w:hint="cs"/>
          <w:rtl/>
        </w:rPr>
        <w:t xml:space="preserve"> </w:t>
      </w:r>
      <w:r>
        <w:t>(CPM27-2)</w:t>
      </w:r>
      <w:r>
        <w:rPr>
          <w:rtl/>
        </w:rPr>
        <w:t xml:space="preserve">، وقبل شهرين من انعقاد المؤتمر </w:t>
      </w:r>
      <w:r>
        <w:t>WRC-27</w:t>
      </w:r>
      <w:r>
        <w:rPr>
          <w:rtl/>
        </w:rPr>
        <w:t>. وستُتاح في الوقت المناسب معلومات إضافية عن الجلستين الإعلاميتين الأقاليميتين الثانية والثالثة</w:t>
      </w:r>
      <w:r w:rsidR="00D53FD1">
        <w:rPr>
          <w:rtl/>
        </w:rPr>
        <w:t xml:space="preserve"> </w:t>
      </w:r>
      <w:r>
        <w:rPr>
          <w:rtl/>
        </w:rPr>
        <w:t xml:space="preserve">بشأن الأعمال التحضيرية للمؤتمر </w:t>
      </w:r>
      <w:r>
        <w:t>WRC-27</w:t>
      </w:r>
      <w:r>
        <w:rPr>
          <w:rtl/>
        </w:rPr>
        <w:t xml:space="preserve"> في الموقع الإلكتروني التالي: </w:t>
      </w:r>
      <w:hyperlink r:id="rId50" w:anchor="/ar" w:history="1">
        <w:r w:rsidRPr="00423006">
          <w:rPr>
            <w:rStyle w:val="Hyperlink"/>
          </w:rPr>
          <w:t>www.itu.int/iris-wrc-27/</w:t>
        </w:r>
      </w:hyperlink>
      <w:r>
        <w:rPr>
          <w:rtl/>
        </w:rPr>
        <w:t>.</w:t>
      </w:r>
    </w:p>
    <w:p w14:paraId="572DCD14" w14:textId="70C4A552" w:rsidR="00674A3A" w:rsidRDefault="00674A3A" w:rsidP="00674A3A">
      <w:pPr>
        <w:rPr>
          <w:rtl/>
        </w:rPr>
      </w:pPr>
      <w:r>
        <w:rPr>
          <w:rtl/>
        </w:rPr>
        <w:t xml:space="preserve">وتتاح المعلومات عبر الإنترنت المقدمة أعلاه أيضاً على </w:t>
      </w:r>
      <w:hyperlink r:id="rId51" w:history="1">
        <w:r w:rsidRPr="00423006">
          <w:rPr>
            <w:rStyle w:val="Hyperlink"/>
            <w:rtl/>
          </w:rPr>
          <w:t>الموقع الإلكتروني الخاص بالاجتماع التحضيري للمؤتمر</w:t>
        </w:r>
      </w:hyperlink>
      <w:r>
        <w:rPr>
          <w:rtl/>
        </w:rPr>
        <w:t>.</w:t>
      </w:r>
    </w:p>
    <w:p w14:paraId="7FE1CCC7" w14:textId="11AE731B" w:rsidR="00674A3A" w:rsidRDefault="00423006" w:rsidP="00423006">
      <w:pPr>
        <w:pStyle w:val="Heading1"/>
        <w:rPr>
          <w:rtl/>
        </w:rPr>
      </w:pPr>
      <w:bookmarkStart w:id="16" w:name="_Toc223961967"/>
      <w:r>
        <w:t>5</w:t>
      </w:r>
      <w:r w:rsidR="00674A3A">
        <w:rPr>
          <w:rtl/>
        </w:rPr>
        <w:tab/>
        <w:t>أنشطة لجان الدراسات</w:t>
      </w:r>
      <w:bookmarkEnd w:id="16"/>
    </w:p>
    <w:p w14:paraId="1479FD8F" w14:textId="77777777" w:rsidR="00674A3A" w:rsidRDefault="00674A3A" w:rsidP="00674A3A">
      <w:pPr>
        <w:rPr>
          <w:rtl/>
        </w:rPr>
      </w:pPr>
      <w:r>
        <w:rPr>
          <w:rtl/>
        </w:rPr>
        <w:t>يُعرض هذا الموضوع في الإضافة 1 لهذه الوثيقة.</w:t>
      </w:r>
    </w:p>
    <w:p w14:paraId="6FAEB59C" w14:textId="40E6C559" w:rsidR="00674A3A" w:rsidRDefault="00423006" w:rsidP="00423006">
      <w:pPr>
        <w:pStyle w:val="Heading1"/>
        <w:rPr>
          <w:rtl/>
        </w:rPr>
      </w:pPr>
      <w:bookmarkStart w:id="17" w:name="_Toc223961968"/>
      <w:r>
        <w:t>6</w:t>
      </w:r>
      <w:r w:rsidR="00674A3A">
        <w:rPr>
          <w:rtl/>
        </w:rPr>
        <w:tab/>
        <w:t>التخطيط التشغيلي</w:t>
      </w:r>
      <w:bookmarkEnd w:id="17"/>
    </w:p>
    <w:p w14:paraId="1C7A14D7" w14:textId="395FACA1" w:rsidR="00674A3A" w:rsidRDefault="00674A3A" w:rsidP="00674A3A">
      <w:pPr>
        <w:rPr>
          <w:rtl/>
        </w:rPr>
      </w:pPr>
      <w:r>
        <w:rPr>
          <w:rtl/>
        </w:rPr>
        <w:t xml:space="preserve">وافق المجلس في دورته لعام 2025 على الخطة التشغيلية الرباعية المتجددة للاتحاد للفترة </w:t>
      </w:r>
      <w:r w:rsidR="008529EB" w:rsidRPr="008529EB">
        <w:t>2029-2026</w:t>
      </w:r>
      <w:r>
        <w:rPr>
          <w:rtl/>
        </w:rPr>
        <w:t xml:space="preserve"> (</w:t>
      </w:r>
      <w:hyperlink r:id="rId52" w:history="1">
        <w:r w:rsidRPr="008529EB">
          <w:rPr>
            <w:rStyle w:val="Hyperlink"/>
            <w:rtl/>
          </w:rPr>
          <w:t xml:space="preserve">الوثيقة </w:t>
        </w:r>
        <w:r w:rsidR="00D0229E" w:rsidRPr="00D0229E">
          <w:rPr>
            <w:rStyle w:val="Hyperlink"/>
          </w:rPr>
          <w:t>C24/28</w:t>
        </w:r>
      </w:hyperlink>
      <w:r>
        <w:rPr>
          <w:rtl/>
        </w:rPr>
        <w:t xml:space="preserve">)، واعتمد </w:t>
      </w:r>
      <w:hyperlink r:id="rId53" w:history="1">
        <w:r w:rsidRPr="008529EB">
          <w:rPr>
            <w:rStyle w:val="Hyperlink"/>
            <w:rtl/>
          </w:rPr>
          <w:t>القرار 1431</w:t>
        </w:r>
      </w:hyperlink>
      <w:r>
        <w:rPr>
          <w:rtl/>
        </w:rPr>
        <w:t xml:space="preserve">. وتتناول الخطة التشغيلية للإطار الزمني تنفيذ الأولويات المواضيعية الخمس والنواتج الثلاثة والأربعين. وهي تتبع هيكل الخطتين الاستراتيجية والمالية للفترة </w:t>
      </w:r>
      <w:r w:rsidR="008529EB" w:rsidRPr="008529EB">
        <w:t>2027-2024</w:t>
      </w:r>
      <w:r>
        <w:rPr>
          <w:rtl/>
        </w:rPr>
        <w:t xml:space="preserve"> التي وافق عليها مؤتمر المندوبين المفوضين لعام 2022.</w:t>
      </w:r>
    </w:p>
    <w:p w14:paraId="127E36A1" w14:textId="2BA0027A" w:rsidR="00674A3A" w:rsidRDefault="00674A3A" w:rsidP="00674A3A">
      <w:pPr>
        <w:rPr>
          <w:rtl/>
        </w:rPr>
      </w:pPr>
      <w:r>
        <w:rPr>
          <w:rtl/>
        </w:rPr>
        <w:t xml:space="preserve">ويرد في الوثيقة </w:t>
      </w:r>
      <w:hyperlink r:id="rId54" w:history="1">
        <w:r w:rsidR="008529EB" w:rsidRPr="00717EF7">
          <w:rPr>
            <w:rStyle w:val="Hyperlink"/>
          </w:rPr>
          <w:t>RAG/62</w:t>
        </w:r>
      </w:hyperlink>
      <w:r>
        <w:rPr>
          <w:rtl/>
        </w:rPr>
        <w:t xml:space="preserve"> مشروع الخطة التشغيلية المتجددة لقطاع الاتصالات الراديوية للفترة </w:t>
      </w:r>
      <w:r w:rsidR="008529EB" w:rsidRPr="008529EB">
        <w:t>2030-2027</w:t>
      </w:r>
      <w:r>
        <w:rPr>
          <w:rtl/>
        </w:rPr>
        <w:t xml:space="preserve"> والتقرير عن الأداء لعام 2025.</w:t>
      </w:r>
    </w:p>
    <w:p w14:paraId="6B0ECB95" w14:textId="77777777" w:rsidR="00674A3A" w:rsidRDefault="00674A3A" w:rsidP="009E6F62">
      <w:pPr>
        <w:pStyle w:val="Heading1"/>
        <w:rPr>
          <w:rtl/>
        </w:rPr>
      </w:pPr>
      <w:bookmarkStart w:id="18" w:name="_Toc223961969"/>
      <w:r>
        <w:rPr>
          <w:rtl/>
        </w:rPr>
        <w:t>7</w:t>
      </w:r>
      <w:r>
        <w:rPr>
          <w:rtl/>
        </w:rPr>
        <w:tab/>
        <w:t>نظام معلومات مكتب الاتصالات الراديوية</w:t>
      </w:r>
      <w:bookmarkEnd w:id="18"/>
    </w:p>
    <w:p w14:paraId="31A50492" w14:textId="59BAE646" w:rsidR="00674A3A" w:rsidRDefault="009E6F62" w:rsidP="009E6F62">
      <w:pPr>
        <w:pStyle w:val="Heading2"/>
        <w:rPr>
          <w:rtl/>
        </w:rPr>
      </w:pPr>
      <w:bookmarkStart w:id="19" w:name="_Toc223961970"/>
      <w:r>
        <w:t>1.7</w:t>
      </w:r>
      <w:r w:rsidR="00674A3A">
        <w:rPr>
          <w:rtl/>
        </w:rPr>
        <w:tab/>
        <w:t>البرمجيات والأدوات الخاصة بخدمات الأرض</w:t>
      </w:r>
      <w:bookmarkEnd w:id="19"/>
    </w:p>
    <w:p w14:paraId="22AD2F2E" w14:textId="69CA408A" w:rsidR="00674A3A" w:rsidRDefault="009E6F62" w:rsidP="009E6F62">
      <w:pPr>
        <w:pStyle w:val="Heading3"/>
        <w:rPr>
          <w:rtl/>
        </w:rPr>
      </w:pPr>
      <w:bookmarkStart w:id="20" w:name="_Toc223961971"/>
      <w:r>
        <w:t>1.1.7</w:t>
      </w:r>
      <w:r w:rsidR="00674A3A">
        <w:rPr>
          <w:rtl/>
        </w:rPr>
        <w:tab/>
        <w:t>تنفيذ قرارات المؤتمر العالمي للاتصالات الراديوية لعام 2023 المتعلقة بخدمات الأرض</w:t>
      </w:r>
      <w:bookmarkEnd w:id="20"/>
    </w:p>
    <w:p w14:paraId="30CED8C1" w14:textId="74F25AE0" w:rsidR="00816C27" w:rsidRDefault="00674A3A" w:rsidP="00674A3A">
      <w:pPr>
        <w:rPr>
          <w:rtl/>
        </w:rPr>
      </w:pPr>
      <w:r>
        <w:rPr>
          <w:rtl/>
        </w:rPr>
        <w:t>استكمال تجديد وتحديث البرمجيات المستعملة في معالجة ونشر بطاقات التبليغ عن خدمات الأرض، سواء للاستعمال الداخلي</w:t>
      </w:r>
      <w:r w:rsidR="00D0229E">
        <w:rPr>
          <w:rFonts w:hint="cs"/>
          <w:rtl/>
        </w:rPr>
        <w:t> </w:t>
      </w:r>
      <w:r>
        <w:rPr>
          <w:rtl/>
        </w:rPr>
        <w:t>(</w:t>
      </w:r>
      <w:r>
        <w:t>TerRaSys</w:t>
      </w:r>
      <w:r>
        <w:rPr>
          <w:rtl/>
        </w:rPr>
        <w:t>) أو الخارجي (النشرة الإعلامية الدولية للترددات الصادرة عن مكتب الاتصالات الراديوية (</w:t>
      </w:r>
      <w:r>
        <w:t>BR IFIC</w:t>
      </w:r>
      <w:r>
        <w:rPr>
          <w:rtl/>
        </w:rPr>
        <w:t xml:space="preserve">) (لخدمات الأرض)) نتيجةً لقرارات المؤتمر </w:t>
      </w:r>
      <w:r>
        <w:t>WRC-23</w:t>
      </w:r>
      <w:r>
        <w:rPr>
          <w:rtl/>
        </w:rPr>
        <w:t xml:space="preserve"> والقواعد الإجرائية ذات الصلة. وهي تشمل التغييرات في قواعد بيانات خدمات الأرض، وبرمجيات التحقق والفحص، والجداول المرجعية لنطاقات التردد المشتركة مع الخدمات الفضائية، مع مراعاة الرقم </w:t>
      </w:r>
      <w:r w:rsidR="008529EB" w:rsidRPr="008529EB">
        <w:rPr>
          <w:b/>
          <w:bCs/>
        </w:rPr>
        <w:t>21.9</w:t>
      </w:r>
      <w:r>
        <w:rPr>
          <w:rtl/>
        </w:rPr>
        <w:t xml:space="preserve"> من لوائح الراديو، المحددة للاتصالات المتنقلة الدولية، وما إلى ذلك. ونُفذت جميع التغييرات الضرورية وتم تحقيق الدمج الكامل خلال عام 2025.</w:t>
      </w:r>
    </w:p>
    <w:p w14:paraId="0363201A" w14:textId="00388A2E" w:rsidR="00674A3A" w:rsidRDefault="008529EB" w:rsidP="008529EB">
      <w:pPr>
        <w:pStyle w:val="Heading3"/>
        <w:rPr>
          <w:rtl/>
        </w:rPr>
      </w:pPr>
      <w:bookmarkStart w:id="21" w:name="_Toc223961972"/>
      <w:r>
        <w:t>2.1.7</w:t>
      </w:r>
      <w:r w:rsidR="00674A3A">
        <w:rPr>
          <w:rtl/>
        </w:rPr>
        <w:tab/>
        <w:t>معالجة طلبات التنسيق بموجب الرقم 21.9 من لوائح الراديو</w:t>
      </w:r>
      <w:bookmarkEnd w:id="21"/>
    </w:p>
    <w:p w14:paraId="0CD32ECF" w14:textId="77777777" w:rsidR="00674A3A" w:rsidRDefault="00674A3A" w:rsidP="00674A3A">
      <w:pPr>
        <w:rPr>
          <w:rtl/>
        </w:rPr>
      </w:pPr>
      <w:r>
        <w:rPr>
          <w:rtl/>
        </w:rPr>
        <w:t xml:space="preserve">استمر تطوير وحدات البرمجيات والأدوات المرتبطة بها لمعالجة طلبات التنسيق بموجب الرقم </w:t>
      </w:r>
      <w:r w:rsidRPr="008529EB">
        <w:rPr>
          <w:b/>
          <w:bCs/>
          <w:rtl/>
        </w:rPr>
        <w:t>21.9</w:t>
      </w:r>
      <w:r>
        <w:rPr>
          <w:rtl/>
        </w:rPr>
        <w:t xml:space="preserve"> من لوائح الراديو خلال الفترة المشمولة بالتقرير. ويُتوقع استكمال برمجية التحقق من التخصيصات المقابلة (الخاضعة للرقم </w:t>
      </w:r>
      <w:r w:rsidRPr="008529EB">
        <w:rPr>
          <w:b/>
          <w:bCs/>
          <w:rtl/>
        </w:rPr>
        <w:t>21.9</w:t>
      </w:r>
      <w:r>
        <w:rPr>
          <w:rtl/>
        </w:rPr>
        <w:t xml:space="preserve">) المبلغ عنها بموجب المادة </w:t>
      </w:r>
      <w:r w:rsidRPr="008529EB">
        <w:rPr>
          <w:b/>
          <w:bCs/>
          <w:rtl/>
        </w:rPr>
        <w:t>11</w:t>
      </w:r>
      <w:r>
        <w:rPr>
          <w:rtl/>
        </w:rPr>
        <w:t xml:space="preserve"> من لوائح الراديو في السجل الأساسي وإدماجها في نظام التبليغ </w:t>
      </w:r>
      <w:r>
        <w:t>TerRaSys</w:t>
      </w:r>
      <w:r>
        <w:rPr>
          <w:rtl/>
        </w:rPr>
        <w:t xml:space="preserve"> خلال الربع الأخير من عام 2026.</w:t>
      </w:r>
    </w:p>
    <w:p w14:paraId="1CB778DE" w14:textId="38249E09" w:rsidR="00674A3A" w:rsidRDefault="008529EB" w:rsidP="008529EB">
      <w:pPr>
        <w:pStyle w:val="Heading3"/>
        <w:rPr>
          <w:rtl/>
        </w:rPr>
      </w:pPr>
      <w:bookmarkStart w:id="22" w:name="_Toc223961973"/>
      <w:r>
        <w:t>3.1.7</w:t>
      </w:r>
      <w:r w:rsidR="00674A3A">
        <w:rPr>
          <w:rtl/>
        </w:rPr>
        <w:tab/>
        <w:t>معالجة بطاقات التبليغ عن محطات المنصات عالية الارتفاع (</w:t>
      </w:r>
      <w:r w:rsidR="00674A3A">
        <w:t>HAPS</w:t>
      </w:r>
      <w:r w:rsidR="00674A3A">
        <w:rPr>
          <w:rtl/>
        </w:rPr>
        <w:t>)</w:t>
      </w:r>
      <w:bookmarkEnd w:id="22"/>
    </w:p>
    <w:p w14:paraId="45A4A2EE" w14:textId="4B59D0B1" w:rsidR="00674A3A" w:rsidRDefault="00674A3A" w:rsidP="00674A3A">
      <w:pPr>
        <w:rPr>
          <w:rtl/>
        </w:rPr>
      </w:pPr>
      <w:r>
        <w:rPr>
          <w:rtl/>
        </w:rPr>
        <w:t xml:space="preserve">استمر وضع وحدات الحساب للتحقق من استيفاء الشروط التقنية المحددة في القرارات </w:t>
      </w:r>
      <w:r w:rsidRPr="008529EB">
        <w:rPr>
          <w:b/>
          <w:bCs/>
        </w:rPr>
        <w:t>122 (Rev.WRC-19)</w:t>
      </w:r>
      <w:r w:rsidRPr="008529EB">
        <w:rPr>
          <w:b/>
          <w:bCs/>
          <w:rtl/>
        </w:rPr>
        <w:t xml:space="preserve"> </w:t>
      </w:r>
      <w:r w:rsidRPr="008529EB">
        <w:rPr>
          <w:rtl/>
        </w:rPr>
        <w:t>و</w:t>
      </w:r>
      <w:r w:rsidRPr="008529EB">
        <w:rPr>
          <w:b/>
          <w:bCs/>
        </w:rPr>
        <w:t>145</w:t>
      </w:r>
      <w:r w:rsidR="000A2653">
        <w:rPr>
          <w:b/>
          <w:bCs/>
        </w:rPr>
        <w:t> </w:t>
      </w:r>
      <w:r w:rsidRPr="008529EB">
        <w:rPr>
          <w:b/>
          <w:bCs/>
        </w:rPr>
        <w:t>(Rev.WRC-19)</w:t>
      </w:r>
      <w:r w:rsidRPr="008529EB">
        <w:rPr>
          <w:b/>
          <w:bCs/>
          <w:rtl/>
        </w:rPr>
        <w:t xml:space="preserve"> </w:t>
      </w:r>
      <w:r w:rsidRPr="008529EB">
        <w:rPr>
          <w:rtl/>
        </w:rPr>
        <w:t>و</w:t>
      </w:r>
      <w:r w:rsidRPr="008529EB">
        <w:rPr>
          <w:b/>
          <w:bCs/>
        </w:rPr>
        <w:t>165 (Rev.WRC-23)</w:t>
      </w:r>
      <w:r w:rsidRPr="008529EB">
        <w:rPr>
          <w:b/>
          <w:bCs/>
          <w:rtl/>
        </w:rPr>
        <w:t xml:space="preserve"> </w:t>
      </w:r>
      <w:r w:rsidRPr="008529EB">
        <w:rPr>
          <w:rtl/>
        </w:rPr>
        <w:t>و</w:t>
      </w:r>
      <w:r w:rsidRPr="008529EB">
        <w:rPr>
          <w:b/>
          <w:bCs/>
        </w:rPr>
        <w:t>166 (</w:t>
      </w:r>
      <w:r w:rsidR="00630A04">
        <w:rPr>
          <w:b/>
          <w:bCs/>
        </w:rPr>
        <w:t>Rev.</w:t>
      </w:r>
      <w:r w:rsidRPr="008529EB">
        <w:rPr>
          <w:b/>
          <w:bCs/>
        </w:rPr>
        <w:t>WRC-23)</w:t>
      </w:r>
      <w:r w:rsidRPr="008529EB">
        <w:rPr>
          <w:b/>
          <w:bCs/>
          <w:rtl/>
        </w:rPr>
        <w:t xml:space="preserve"> </w:t>
      </w:r>
      <w:r w:rsidRPr="008529EB">
        <w:rPr>
          <w:rtl/>
        </w:rPr>
        <w:t>و</w:t>
      </w:r>
      <w:r w:rsidRPr="008529EB">
        <w:rPr>
          <w:b/>
          <w:bCs/>
        </w:rPr>
        <w:t>167 (</w:t>
      </w:r>
      <w:r w:rsidR="00630A04">
        <w:rPr>
          <w:b/>
          <w:bCs/>
        </w:rPr>
        <w:t>Rev.</w:t>
      </w:r>
      <w:r w:rsidRPr="008529EB">
        <w:rPr>
          <w:b/>
          <w:bCs/>
        </w:rPr>
        <w:t>WRC-23)</w:t>
      </w:r>
      <w:r w:rsidRPr="008529EB">
        <w:rPr>
          <w:b/>
          <w:bCs/>
          <w:rtl/>
        </w:rPr>
        <w:t xml:space="preserve"> </w:t>
      </w:r>
      <w:r w:rsidRPr="008529EB">
        <w:rPr>
          <w:rtl/>
        </w:rPr>
        <w:t>و</w:t>
      </w:r>
      <w:r w:rsidRPr="008529EB">
        <w:rPr>
          <w:b/>
          <w:bCs/>
        </w:rPr>
        <w:t>168 (</w:t>
      </w:r>
      <w:r w:rsidR="00630A04">
        <w:rPr>
          <w:b/>
          <w:bCs/>
        </w:rPr>
        <w:t>Rev.</w:t>
      </w:r>
      <w:r w:rsidRPr="008529EB">
        <w:rPr>
          <w:b/>
          <w:bCs/>
        </w:rPr>
        <w:t>WRC-23)</w:t>
      </w:r>
      <w:r>
        <w:rPr>
          <w:rtl/>
        </w:rPr>
        <w:t>.</w:t>
      </w:r>
    </w:p>
    <w:p w14:paraId="580B6CD6" w14:textId="278350BA" w:rsidR="00674A3A" w:rsidRDefault="000A2653" w:rsidP="008529EB">
      <w:pPr>
        <w:pStyle w:val="Heading3"/>
        <w:rPr>
          <w:rtl/>
        </w:rPr>
      </w:pPr>
      <w:bookmarkStart w:id="23" w:name="_Toc223961974"/>
      <w:r>
        <w:t>4.1.7</w:t>
      </w:r>
      <w:r w:rsidR="00674A3A">
        <w:rPr>
          <w:rtl/>
        </w:rPr>
        <w:tab/>
        <w:t>إعادة هندسة برمجيات الإذاعة على الموجات الديكامترية (</w:t>
      </w:r>
      <w:r w:rsidR="00674A3A">
        <w:t>HFBC</w:t>
      </w:r>
      <w:r w:rsidR="00674A3A">
        <w:rPr>
          <w:rtl/>
        </w:rPr>
        <w:t>)</w:t>
      </w:r>
      <w:bookmarkEnd w:id="23"/>
    </w:p>
    <w:p w14:paraId="495B288E" w14:textId="77777777" w:rsidR="00674A3A" w:rsidRDefault="00674A3A" w:rsidP="00674A3A">
      <w:pPr>
        <w:rPr>
          <w:rtl/>
        </w:rPr>
      </w:pPr>
      <w:r>
        <w:rPr>
          <w:rtl/>
        </w:rPr>
        <w:t xml:space="preserve">وفقاً لأحكام المادة </w:t>
      </w:r>
      <w:r w:rsidRPr="000A2653">
        <w:rPr>
          <w:b/>
          <w:bCs/>
          <w:rtl/>
        </w:rPr>
        <w:t>12</w:t>
      </w:r>
      <w:r>
        <w:rPr>
          <w:rtl/>
        </w:rPr>
        <w:t xml:space="preserve"> من لوائح الراديو (</w:t>
      </w:r>
      <w:r>
        <w:t>RR</w:t>
      </w:r>
      <w:r>
        <w:rPr>
          <w:rtl/>
        </w:rPr>
        <w:t>)، يقوم مكتب الاتصالات الراديوية (</w:t>
      </w:r>
      <w:r>
        <w:t>BR</w:t>
      </w:r>
      <w:r>
        <w:rPr>
          <w:rtl/>
        </w:rPr>
        <w:t>) بإعداد ونشر الجداول الزمنية الموسمية للإذاعة على الموجات الديكامترية (</w:t>
      </w:r>
      <w:r>
        <w:t>HFBC</w:t>
      </w:r>
      <w:r>
        <w:rPr>
          <w:rtl/>
        </w:rPr>
        <w:t>) إلى جانب نتائج تحليل التوافق. وتتاح الجداول الزمنية في الموقع الإلكتروني لمكتب الاتصالات الراديوية.</w:t>
      </w:r>
    </w:p>
    <w:p w14:paraId="57DB4098" w14:textId="77777777" w:rsidR="00816C27" w:rsidRDefault="00674A3A" w:rsidP="00674A3A">
      <w:pPr>
        <w:rPr>
          <w:rtl/>
        </w:rPr>
      </w:pPr>
      <w:r>
        <w:rPr>
          <w:rtl/>
        </w:rPr>
        <w:t>وتشمل الميزات والتحسينات الجديدة ما يلي:</w:t>
      </w:r>
    </w:p>
    <w:p w14:paraId="455E0271" w14:textId="06204BFD" w:rsidR="00674A3A" w:rsidRDefault="006C01BF" w:rsidP="006C01BF">
      <w:pPr>
        <w:pStyle w:val="enumlev1"/>
        <w:rPr>
          <w:rtl/>
        </w:rPr>
      </w:pPr>
      <w:r>
        <w:sym w:font="Wingdings 2" w:char="F097"/>
      </w:r>
      <w:r w:rsidR="00674A3A">
        <w:rPr>
          <w:rtl/>
        </w:rPr>
        <w:tab/>
        <w:t>تقرير إشعار المصادقة على بطاقات التبليغ في عرض شبكة قابل للتحرير من أجل تصحيح الأخطاء عبر الإنترنت،</w:t>
      </w:r>
    </w:p>
    <w:p w14:paraId="42907C25" w14:textId="0A0B9894" w:rsidR="00674A3A" w:rsidRDefault="006C01BF" w:rsidP="006C01BF">
      <w:pPr>
        <w:pStyle w:val="enumlev1"/>
        <w:rPr>
          <w:rtl/>
        </w:rPr>
      </w:pPr>
      <w:r>
        <w:sym w:font="Wingdings 2" w:char="F097"/>
      </w:r>
      <w:r w:rsidR="00674A3A">
        <w:rPr>
          <w:rtl/>
        </w:rPr>
        <w:tab/>
        <w:t>التحديث التلقائي لملفات المواسم السابقة من أجل إعادة استخدامها في الموسم الحالي.</w:t>
      </w:r>
    </w:p>
    <w:p w14:paraId="3BF78224" w14:textId="769BF971" w:rsidR="00674A3A" w:rsidRDefault="00BF6922" w:rsidP="008529EB">
      <w:pPr>
        <w:pStyle w:val="Heading3"/>
        <w:rPr>
          <w:rtl/>
        </w:rPr>
      </w:pPr>
      <w:bookmarkStart w:id="24" w:name="_Toc223961975"/>
      <w:r>
        <w:lastRenderedPageBreak/>
        <w:t>5.1.7</w:t>
      </w:r>
      <w:r w:rsidR="00674A3A">
        <w:rPr>
          <w:rtl/>
        </w:rPr>
        <w:tab/>
        <w:t xml:space="preserve">الانتقال من قاعدة بيانات </w:t>
      </w:r>
      <w:r w:rsidR="00674A3A">
        <w:t>Ingres</w:t>
      </w:r>
      <w:r w:rsidR="00674A3A">
        <w:rPr>
          <w:rtl/>
        </w:rPr>
        <w:t xml:space="preserve"> إلى مخدِّم </w:t>
      </w:r>
      <w:r w:rsidR="00674A3A">
        <w:t>SQL</w:t>
      </w:r>
      <w:bookmarkEnd w:id="24"/>
    </w:p>
    <w:p w14:paraId="21486BBB" w14:textId="77777777" w:rsidR="00674A3A" w:rsidRPr="009D1A8E" w:rsidRDefault="00674A3A" w:rsidP="00674A3A">
      <w:pPr>
        <w:rPr>
          <w:spacing w:val="-2"/>
          <w:rtl/>
        </w:rPr>
      </w:pPr>
      <w:r w:rsidRPr="009D1A8E">
        <w:rPr>
          <w:spacing w:val="-2"/>
          <w:rtl/>
        </w:rPr>
        <w:t xml:space="preserve">استُكملت عملية انتقال نظام التبليغ </w:t>
      </w:r>
      <w:r w:rsidRPr="009D1A8E">
        <w:rPr>
          <w:spacing w:val="-2"/>
        </w:rPr>
        <w:t>TerRaSys</w:t>
      </w:r>
      <w:r w:rsidRPr="009D1A8E">
        <w:rPr>
          <w:spacing w:val="-2"/>
          <w:rtl/>
        </w:rPr>
        <w:t xml:space="preserve"> وتجديده، وأصبح النظام الجديد في مرحلة الإنتاج اعتباراً من 3 مارس 2025. ويشمل هذا الأمر هيكلاً جديداً لقاعدة البيانات، إذ يستوعب عناصر البيانات الجديدة من التذييل 4 للوائح الراديو. وبالنتيجة، استُعرِضت وحُدِّثت وحدات البرمجيات من أجل إقرار صلاحية التبليغات الإلكترونية لخدمات لأرض.</w:t>
      </w:r>
      <w:r w:rsidRPr="009D1A8E">
        <w:rPr>
          <w:spacing w:val="-2"/>
          <w:cs/>
        </w:rPr>
        <w:t>‎</w:t>
      </w:r>
      <w:r w:rsidRPr="009D1A8E">
        <w:rPr>
          <w:spacing w:val="-2"/>
          <w:rtl/>
        </w:rPr>
        <w:t xml:space="preserve"> وبالإضافة إلى ذلك، تم تعديل وحدات البرمجيات لمعالجة تبليغات خدمات الأرض في ضوء تسجيلها في السجل الأساسي الدولي للترددات ومختلف خطط خدمات الأرض تبعاً لذلك. وحُدّثت أيضاً وحدات البرمجيات المستعملة في الفحوص التقنية، بما في ذلك، وحدات عرض نتائج الفحص. وبالإضافة إلى ذلك، استُكمل العمل ذو الصلة بنشر وإعداد المجموعات الجديدة للنشرة الإعلامية الدولية للترددات.</w:t>
      </w:r>
    </w:p>
    <w:p w14:paraId="7259B7CD" w14:textId="77777777" w:rsidR="00674A3A" w:rsidRDefault="00674A3A" w:rsidP="00674A3A">
      <w:pPr>
        <w:rPr>
          <w:rtl/>
        </w:rPr>
      </w:pPr>
      <w:r>
        <w:rPr>
          <w:rtl/>
        </w:rPr>
        <w:t>وقد صُممت تطبيقات ويب مختلفة وأُدرجت في أوساط الإنتاج للسماح بالنفاذ الإلكتروني إلى الاستعلامات من قاعدة البيانات وغيرها من الأدوات البرمجية، بما في ذلك التحقق عبر الإنترنت من التبليغات للأرض عن تخصيصات الترددات. وتتوفر النسخ القائمة من قاعدة البيانات للأرض في هيكلها الجديد على منصة نظام إدارة قواعد البيانات الجديد، وتستعملها مختلف تطبيقات مكتب الاتصالات الراديوية عبر شبكة الإنترنت لعرض وإقرار ومعالجة التبليغات عن الترددات لخدمات الأرض.</w:t>
      </w:r>
    </w:p>
    <w:p w14:paraId="76ED2FA0" w14:textId="644262E7" w:rsidR="00674A3A" w:rsidRDefault="00674A3A" w:rsidP="00674A3A">
      <w:pPr>
        <w:rPr>
          <w:rtl/>
        </w:rPr>
      </w:pPr>
      <w:r>
        <w:rPr>
          <w:rtl/>
        </w:rPr>
        <w:t xml:space="preserve">ونتيجةً لهذا العمل، ووفقاً لسياسة النفاذ الجديدة، أصبح بإمكان إدارات الدول الأعضاء النفاذ مجاناً عبر الإنترنت إلى </w:t>
      </w:r>
      <w:hyperlink r:id="rId55" w:history="1">
        <w:r w:rsidRPr="009D1A8E">
          <w:rPr>
            <w:rStyle w:val="Hyperlink"/>
            <w:rtl/>
          </w:rPr>
          <w:t>النشرة الإعلامية الدولية للترددات (</w:t>
        </w:r>
        <w:r w:rsidRPr="009D1A8E">
          <w:rPr>
            <w:rStyle w:val="Hyperlink"/>
          </w:rPr>
          <w:t>IFIC</w:t>
        </w:r>
        <w:r w:rsidRPr="009D1A8E">
          <w:rPr>
            <w:rStyle w:val="Hyperlink"/>
            <w:rtl/>
          </w:rPr>
          <w:t>) الخاصة بخدمات الأرض</w:t>
        </w:r>
      </w:hyperlink>
      <w:r>
        <w:rPr>
          <w:rtl/>
        </w:rPr>
        <w:t>، على موقع النشرة الإعلامية الدولية للترددات، بما في ذلك النفاذ إلى</w:t>
      </w:r>
      <w:r w:rsidR="009D1A8E">
        <w:rPr>
          <w:rFonts w:hint="eastAsia"/>
          <w:rtl/>
        </w:rPr>
        <w:t> </w:t>
      </w:r>
      <w:r>
        <w:rPr>
          <w:rtl/>
        </w:rPr>
        <w:t>النشرات السابقة الصادرة خلال العام الجاري. وأتيحت أيضاً أدوات مختلفة للاستعلام والتصدير عبر الإنترنت.</w:t>
      </w:r>
    </w:p>
    <w:p w14:paraId="04490C95" w14:textId="77777777" w:rsidR="00674A3A" w:rsidRDefault="00674A3A" w:rsidP="00674A3A">
      <w:pPr>
        <w:rPr>
          <w:rtl/>
        </w:rPr>
      </w:pPr>
      <w:r>
        <w:rPr>
          <w:rtl/>
        </w:rPr>
        <w:t>ويتوافق هيكل بيانات قاعدة بيانات خدمات الأرض المنشورة (</w:t>
      </w:r>
      <w:r w:rsidRPr="009D1A8E">
        <w:rPr>
          <w:b/>
          <w:bCs/>
          <w:i/>
          <w:iCs/>
        </w:rPr>
        <w:t>TerRaBase</w:t>
      </w:r>
      <w:r>
        <w:rPr>
          <w:rtl/>
        </w:rPr>
        <w:t xml:space="preserve">) على ملف صورة </w:t>
      </w:r>
      <w:r>
        <w:t>ISO</w:t>
      </w:r>
      <w:r>
        <w:rPr>
          <w:rtl/>
        </w:rPr>
        <w:t xml:space="preserve"> مع هيكل البيانات الجديد. وجرت هذه الفترة انتقالية بطريقة شفافة للمستعملين الذين يستخدمون الأدوات التي يوفرها المكتب على ملف صورة </w:t>
      </w:r>
      <w:r>
        <w:t>ISO</w:t>
      </w:r>
      <w:r>
        <w:rPr>
          <w:rtl/>
        </w:rPr>
        <w:t xml:space="preserve"> (</w:t>
      </w:r>
      <w:r w:rsidRPr="009D26DB">
        <w:rPr>
          <w:b/>
          <w:bCs/>
          <w:i/>
          <w:iCs/>
        </w:rPr>
        <w:t>TerRaQ</w:t>
      </w:r>
      <w:r>
        <w:rPr>
          <w:rtl/>
        </w:rPr>
        <w:t xml:space="preserve"> و</w:t>
      </w:r>
      <w:r w:rsidRPr="009D26DB">
        <w:rPr>
          <w:b/>
          <w:bCs/>
          <w:i/>
          <w:iCs/>
        </w:rPr>
        <w:t>TerRaNotices</w:t>
      </w:r>
      <w:r>
        <w:rPr>
          <w:rtl/>
        </w:rPr>
        <w:t>).</w:t>
      </w:r>
    </w:p>
    <w:p w14:paraId="0174628F" w14:textId="1F950213" w:rsidR="00674A3A" w:rsidRDefault="00674A3A" w:rsidP="00674A3A">
      <w:pPr>
        <w:rPr>
          <w:rtl/>
        </w:rPr>
      </w:pPr>
      <w:r>
        <w:rPr>
          <w:rtl/>
        </w:rPr>
        <w:t xml:space="preserve">ولضمان انتقال سلس لطرف ثالث أعد البرمجية، قام مكتب الاتصالات الراديوية أيضاً بتطوير "أداة تحويل التوافق مع الإصدارات السابقة"، والتي تتيح إنشاء ملف قاعدة بيانات مُحوّل تلقائياً. ويُمكن الاطلاع على وصف التعديلات التي طرأت على هيكل قاعدة البيانات على الرابط </w:t>
      </w:r>
      <w:hyperlink r:id="rId56">
        <w:r w:rsidR="00536921" w:rsidRPr="00717EF7">
          <w:rPr>
            <w:rStyle w:val="Hyperlink"/>
          </w:rPr>
          <w:t>https://www.itu.int/ITU-R/terrasys/docs</w:t>
        </w:r>
      </w:hyperlink>
      <w:r>
        <w:rPr>
          <w:rtl/>
        </w:rPr>
        <w:t xml:space="preserve"> للحصول على معلومات مُفصّلة حول الاختلافات بين الهيكلين القديم والجديد. ولمزيد من المعلومات، انظر الرسالة المعممة </w:t>
      </w:r>
      <w:hyperlink r:id="rId57">
        <w:r w:rsidR="00536921" w:rsidRPr="00717EF7">
          <w:rPr>
            <w:rStyle w:val="Hyperlink"/>
          </w:rPr>
          <w:t>CR/516</w:t>
        </w:r>
      </w:hyperlink>
      <w:r>
        <w:rPr>
          <w:rtl/>
        </w:rPr>
        <w:t>.</w:t>
      </w:r>
    </w:p>
    <w:p w14:paraId="68F5C4CA" w14:textId="39086118" w:rsidR="00674A3A" w:rsidRDefault="00294A60" w:rsidP="008529EB">
      <w:pPr>
        <w:pStyle w:val="Heading3"/>
        <w:rPr>
          <w:rtl/>
        </w:rPr>
      </w:pPr>
      <w:bookmarkStart w:id="25" w:name="_Toc223961976"/>
      <w:r>
        <w:rPr>
          <w:rFonts w:hint="cs"/>
          <w:rtl/>
        </w:rPr>
        <w:t>6.1.7</w:t>
      </w:r>
      <w:r w:rsidR="00674A3A">
        <w:rPr>
          <w:rtl/>
        </w:rPr>
        <w:tab/>
        <w:t>مشروع منشورات الخدمة البحرية</w:t>
      </w:r>
      <w:bookmarkEnd w:id="25"/>
    </w:p>
    <w:p w14:paraId="378B661B" w14:textId="77777777" w:rsidR="00674A3A" w:rsidRDefault="00674A3A" w:rsidP="00674A3A">
      <w:pPr>
        <w:rPr>
          <w:rtl/>
        </w:rPr>
      </w:pPr>
      <w:r>
        <w:rPr>
          <w:rtl/>
        </w:rPr>
        <w:t xml:space="preserve">بلغ مكتب الاتصالات الراديوية المرحلة النهائية من هذا المشروع. ويجري العمل حالياً على إنتاج منصة المبيعات الإلكترونية وتطبيق سطح المكتب الذي يحتوي على ثلاثة منشورات رقمية (القائمة </w:t>
      </w:r>
      <w:r>
        <w:t>IV</w:t>
      </w:r>
      <w:r>
        <w:rPr>
          <w:rtl/>
        </w:rPr>
        <w:t xml:space="preserve"> والقائمة </w:t>
      </w:r>
      <w:r>
        <w:t>V</w:t>
      </w:r>
      <w:r>
        <w:rPr>
          <w:rtl/>
        </w:rPr>
        <w:t xml:space="preserve"> والدليل البحري). وفيما يتعلق بتطوير التطبيقات المتنقلة ذات الصلة، أوشك استكمال التطبيق المتنقل المخصص للمستخدمين، والذي نسخاً مبسطة من المنشورات الرقمية الثلاثة. واستُكمل التطبيق المتنقل للمفتش (وجهة التحقق من منشورات الاتحاد) وهو جاهز للطرح مجاناً على متاجر التطبيقات المتنقلة الرئيسية (</w:t>
      </w:r>
      <w:r>
        <w:t>Google</w:t>
      </w:r>
      <w:r>
        <w:rPr>
          <w:rtl/>
        </w:rPr>
        <w:t xml:space="preserve"> و</w:t>
      </w:r>
      <w:r>
        <w:t>Apple</w:t>
      </w:r>
      <w:r>
        <w:rPr>
          <w:rtl/>
        </w:rPr>
        <w:t>). وقبل إطلاق التطبيقات المتنقلة، يبحث مكتب الاتصالات الراديوية كيفية تلبية متطلبات محددة لتمكين النشر.</w:t>
      </w:r>
    </w:p>
    <w:p w14:paraId="79D8EE40" w14:textId="2FC30944" w:rsidR="00674A3A" w:rsidRDefault="00787D3A" w:rsidP="008529EB">
      <w:pPr>
        <w:pStyle w:val="Heading3"/>
        <w:rPr>
          <w:rtl/>
        </w:rPr>
      </w:pPr>
      <w:bookmarkStart w:id="26" w:name="_Toc223961977"/>
      <w:r>
        <w:rPr>
          <w:rFonts w:hint="cs"/>
          <w:rtl/>
        </w:rPr>
        <w:t>7.1.7</w:t>
      </w:r>
      <w:r w:rsidR="00674A3A">
        <w:rPr>
          <w:rtl/>
        </w:rPr>
        <w:tab/>
        <w:t>التداخل الضار على خدمات الأرض (</w:t>
      </w:r>
      <w:r w:rsidR="00674A3A">
        <w:t>HITS</w:t>
      </w:r>
      <w:r w:rsidR="00674A3A">
        <w:rPr>
          <w:rtl/>
        </w:rPr>
        <w:t>)</w:t>
      </w:r>
      <w:bookmarkEnd w:id="26"/>
    </w:p>
    <w:p w14:paraId="5BB5FDD3" w14:textId="5BE9D39A" w:rsidR="00816C27" w:rsidRPr="00787D3A" w:rsidRDefault="00674A3A" w:rsidP="00674A3A">
      <w:pPr>
        <w:rPr>
          <w:spacing w:val="-4"/>
          <w:rtl/>
        </w:rPr>
      </w:pPr>
      <w:r w:rsidRPr="00787D3A">
        <w:rPr>
          <w:spacing w:val="-4"/>
          <w:rtl/>
        </w:rPr>
        <w:t>أُتيحت النسخة الرسمية للتداخل الضار على خدمات الأرض</w:t>
      </w:r>
      <w:r w:rsidR="00D53FD1">
        <w:rPr>
          <w:spacing w:val="-4"/>
          <w:rtl/>
        </w:rPr>
        <w:t xml:space="preserve"> </w:t>
      </w:r>
      <w:r w:rsidRPr="00787D3A">
        <w:rPr>
          <w:spacing w:val="-4"/>
          <w:rtl/>
        </w:rPr>
        <w:t xml:space="preserve">لجميع الدول الأعضاء في ديسمبر 2025 (من خلال </w:t>
      </w:r>
      <w:hyperlink r:id="rId58" w:history="1">
        <w:r w:rsidRPr="00787D3A">
          <w:rPr>
            <w:rStyle w:val="Hyperlink"/>
            <w:spacing w:val="-4"/>
            <w:rtl/>
          </w:rPr>
          <w:t>الرسالة المعممة</w:t>
        </w:r>
        <w:r w:rsidR="00787D3A" w:rsidRPr="00787D3A">
          <w:rPr>
            <w:rStyle w:val="Hyperlink"/>
            <w:rFonts w:hint="cs"/>
            <w:spacing w:val="-4"/>
            <w:rtl/>
          </w:rPr>
          <w:t> </w:t>
        </w:r>
        <w:r w:rsidRPr="00787D3A">
          <w:rPr>
            <w:rStyle w:val="Hyperlink"/>
            <w:spacing w:val="-4"/>
          </w:rPr>
          <w:t>CR/526</w:t>
        </w:r>
      </w:hyperlink>
      <w:r w:rsidRPr="00787D3A">
        <w:rPr>
          <w:spacing w:val="-4"/>
          <w:rtl/>
        </w:rPr>
        <w:t>). وقد صُممت هذه الأداة للإبلاغ وتبادل المعلومات والنفاذ إلى محفوظات المراسلات مع المكتب بخصوص حالات الانتهاك والتداخل الضار على خدمات الأرض. ويتواصل العمل القائم على التعليقات الواردة من الإدارات وإضافة وظائف جديدة.</w:t>
      </w:r>
    </w:p>
    <w:p w14:paraId="375ED271" w14:textId="43EF18ED" w:rsidR="00816C27" w:rsidRDefault="007371DD" w:rsidP="008529EB">
      <w:pPr>
        <w:pStyle w:val="Heading3"/>
        <w:rPr>
          <w:rtl/>
        </w:rPr>
      </w:pPr>
      <w:bookmarkStart w:id="27" w:name="_Toc223961978"/>
      <w:r>
        <w:t>8.1.7</w:t>
      </w:r>
      <w:r w:rsidR="00674A3A">
        <w:rPr>
          <w:rtl/>
        </w:rPr>
        <w:tab/>
        <w:t>مواصلة تحسين أدوات الويب</w:t>
      </w:r>
      <w:bookmarkEnd w:id="27"/>
    </w:p>
    <w:p w14:paraId="099501D9" w14:textId="77777777" w:rsidR="00816C27" w:rsidRDefault="00674A3A" w:rsidP="00674A3A">
      <w:pPr>
        <w:rPr>
          <w:rtl/>
        </w:rPr>
      </w:pPr>
      <w:r>
        <w:rPr>
          <w:rtl/>
        </w:rPr>
        <w:t>تواصل تطوير أدوات الويب للخدمات الأرضية ودمجها في بوابة إلكترونية واحدة لاتصالات الأرض (</w:t>
      </w:r>
      <w:r>
        <w:t>eTerrestrial</w:t>
      </w:r>
      <w:r>
        <w:rPr>
          <w:rtl/>
        </w:rPr>
        <w:t>)، مُنفَّذة بأحدث تكنولوجيات الويب، على النحو المبين أدناه.</w:t>
      </w:r>
    </w:p>
    <w:p w14:paraId="3B8B446F" w14:textId="6E5B5A56" w:rsidR="00674A3A" w:rsidRDefault="00674A3A" w:rsidP="00674A3A">
      <w:pPr>
        <w:rPr>
          <w:rtl/>
        </w:rPr>
      </w:pPr>
      <w:r>
        <w:rPr>
          <w:rtl/>
        </w:rPr>
        <w:t xml:space="preserve">ونُفِّذ إدماج تفحص المطابقة بموجب المادة 5 من اتفاق </w:t>
      </w:r>
      <w:r>
        <w:t>GE06</w:t>
      </w:r>
      <w:r>
        <w:rPr>
          <w:rtl/>
        </w:rPr>
        <w:t xml:space="preserve"> في الأدوات الإلكترونية (</w:t>
      </w:r>
      <w:r>
        <w:t>eTools</w:t>
      </w:r>
      <w:r>
        <w:rPr>
          <w:rtl/>
        </w:rPr>
        <w:t xml:space="preserve">) في الأداء </w:t>
      </w:r>
      <w:r>
        <w:t>eBroadcasting</w:t>
      </w:r>
      <w:r>
        <w:rPr>
          <w:rtl/>
        </w:rPr>
        <w:t xml:space="preserve"> التي تسمح بإنهاء العمل قريباً بالسمة المناسبة في أداة حسابات اتفاق جنيف عام 2006 (</w:t>
      </w:r>
      <w:r>
        <w:t>GE06Calc</w:t>
      </w:r>
      <w:r>
        <w:rPr>
          <w:rtl/>
        </w:rPr>
        <w:t>) القائمة بذاتها. وبالإضافة إلى</w:t>
      </w:r>
      <w:r w:rsidR="007371DD">
        <w:rPr>
          <w:rFonts w:hint="eastAsia"/>
          <w:rtl/>
        </w:rPr>
        <w:t> </w:t>
      </w:r>
      <w:r>
        <w:rPr>
          <w:rtl/>
        </w:rPr>
        <w:t xml:space="preserve">ذلك، تم تعزيز أداة تحليلات التوافق للاتفاق </w:t>
      </w:r>
      <w:r>
        <w:t>GE84</w:t>
      </w:r>
      <w:r>
        <w:rPr>
          <w:rtl/>
        </w:rPr>
        <w:t>، مع دمج الخرائط وعرض تفاصيل المحطة.</w:t>
      </w:r>
    </w:p>
    <w:p w14:paraId="7843015A" w14:textId="77777777" w:rsidR="00816C27" w:rsidRDefault="00674A3A" w:rsidP="00674A3A">
      <w:pPr>
        <w:rPr>
          <w:rtl/>
        </w:rPr>
      </w:pPr>
      <w:r>
        <w:rPr>
          <w:rtl/>
        </w:rPr>
        <w:t xml:space="preserve">وبعد استكمال التوصية </w:t>
      </w:r>
      <w:r>
        <w:t>P.452</w:t>
      </w:r>
      <w:r>
        <w:rPr>
          <w:rtl/>
        </w:rPr>
        <w:t xml:space="preserve"> من نقطة إلى نقطة (</w:t>
      </w:r>
      <w:r>
        <w:t>P2P</w:t>
      </w:r>
      <w:r>
        <w:rPr>
          <w:rtl/>
        </w:rPr>
        <w:t xml:space="preserve">)، يجري تطوير أداة محاكاة </w:t>
      </w:r>
      <w:r>
        <w:t>P.452</w:t>
      </w:r>
      <w:r>
        <w:rPr>
          <w:rtl/>
        </w:rPr>
        <w:t xml:space="preserve"> من نقطة إلى منطقة. وهذه الأداة مُصمَّمة لتسهيل إجراء الإدارات تحليلات جغرافية شاملة بشأن التداخل على أساس نموذج الارتفاع الرقمي ونموذج الأرض الممهدة، لدعم الإدارات في تحديد البلدان المجاورة التي يُحتمل أن تتأثر في سياق تطبيق الرقم </w:t>
      </w:r>
      <w:r w:rsidRPr="007371DD">
        <w:rPr>
          <w:b/>
          <w:bCs/>
          <w:rtl/>
        </w:rPr>
        <w:t>21.9</w:t>
      </w:r>
      <w:r>
        <w:rPr>
          <w:rtl/>
        </w:rPr>
        <w:t xml:space="preserve"> من لوائح الراديو.</w:t>
      </w:r>
    </w:p>
    <w:p w14:paraId="24A35713" w14:textId="22153D33" w:rsidR="00674A3A" w:rsidRDefault="00674A3A" w:rsidP="00674A3A">
      <w:pPr>
        <w:rPr>
          <w:rtl/>
        </w:rPr>
      </w:pPr>
      <w:r>
        <w:rPr>
          <w:rtl/>
        </w:rPr>
        <w:lastRenderedPageBreak/>
        <w:t>وطُوِّرت المنصة الإلكترونية من أجل خدمات الأرض (باستثناء الإذاعية)</w:t>
      </w:r>
      <w:r w:rsidR="00D53FD1">
        <w:rPr>
          <w:rtl/>
        </w:rPr>
        <w:t xml:space="preserve"> </w:t>
      </w:r>
      <w:r>
        <w:rPr>
          <w:rtl/>
        </w:rPr>
        <w:t xml:space="preserve">(الخدمات الثابتة والمتنقلة </w:t>
      </w:r>
      <w:r>
        <w:t>(eFXM)</w:t>
      </w:r>
      <w:r>
        <w:rPr>
          <w:rtl/>
        </w:rPr>
        <w:t xml:space="preserve">)، وهي </w:t>
      </w:r>
      <w:r>
        <w:t>ePubFXM</w:t>
      </w:r>
      <w:r>
        <w:rPr>
          <w:rtl/>
        </w:rPr>
        <w:t xml:space="preserve"> و</w:t>
      </w:r>
      <w:r>
        <w:t>MyAdminFXM</w:t>
      </w:r>
      <w:r>
        <w:rPr>
          <w:rtl/>
        </w:rPr>
        <w:t xml:space="preserve">، وأُدمجت في المنصة </w:t>
      </w:r>
      <w:r>
        <w:t>eFXM</w:t>
      </w:r>
      <w:r>
        <w:rPr>
          <w:rtl/>
        </w:rPr>
        <w:t xml:space="preserve"> في عام 2024. وتم تعزيز خدمة النشر الإلكتروني </w:t>
      </w:r>
      <w:r>
        <w:t>ePubFXM</w:t>
      </w:r>
      <w:r>
        <w:rPr>
          <w:rtl/>
        </w:rPr>
        <w:t xml:space="preserve"> بميزات جديدة لتمكين الإدارات من تتبع سير عمل التنسيق بشأن</w:t>
      </w:r>
      <w:r w:rsidR="00D53FD1">
        <w:rPr>
          <w:rtl/>
        </w:rPr>
        <w:t xml:space="preserve"> </w:t>
      </w:r>
      <w:r>
        <w:rPr>
          <w:rtl/>
        </w:rPr>
        <w:t xml:space="preserve">على الرقم </w:t>
      </w:r>
      <w:r w:rsidRPr="00C203C6">
        <w:rPr>
          <w:b/>
          <w:bCs/>
          <w:rtl/>
        </w:rPr>
        <w:t>21.9</w:t>
      </w:r>
      <w:r>
        <w:rPr>
          <w:rtl/>
        </w:rPr>
        <w:t xml:space="preserve"> من لوائح الراديو والأقسام الخاصة من </w:t>
      </w:r>
      <w:r>
        <w:t>GE06L</w:t>
      </w:r>
      <w:r>
        <w:rPr>
          <w:rtl/>
        </w:rPr>
        <w:t xml:space="preserve"> المنشورة والملحقة بالـنشرة الإعلامية الدولية للترددات (خدمات الأرض). وحُدِّثت في الآونة الأخيرة خدمة </w:t>
      </w:r>
      <w:r>
        <w:t>MyAdminFXM</w:t>
      </w:r>
      <w:r>
        <w:rPr>
          <w:rtl/>
        </w:rPr>
        <w:t xml:space="preserve"> التي</w:t>
      </w:r>
      <w:r w:rsidR="00D53FD1">
        <w:rPr>
          <w:rtl/>
        </w:rPr>
        <w:t xml:space="preserve"> </w:t>
      </w:r>
      <w:r>
        <w:rPr>
          <w:rtl/>
        </w:rPr>
        <w:t xml:space="preserve">تساعد الإدارات في إدارة متابعة تنسيق </w:t>
      </w:r>
      <w:r>
        <w:t>FMX</w:t>
      </w:r>
      <w:r>
        <w:rPr>
          <w:rtl/>
        </w:rPr>
        <w:t xml:space="preserve"> وإجراءات تعديل خطة </w:t>
      </w:r>
      <w:r>
        <w:t>FMX</w:t>
      </w:r>
      <w:r>
        <w:rPr>
          <w:rtl/>
        </w:rPr>
        <w:t xml:space="preserve"> وأُدمجت في المنصة </w:t>
      </w:r>
      <w:r>
        <w:t>eFXM</w:t>
      </w:r>
      <w:r>
        <w:rPr>
          <w:rtl/>
        </w:rPr>
        <w:t>.</w:t>
      </w:r>
    </w:p>
    <w:p w14:paraId="29504760" w14:textId="3C5BB99B" w:rsidR="00674A3A" w:rsidRDefault="00C203C6" w:rsidP="00C203C6">
      <w:pPr>
        <w:pStyle w:val="Heading1"/>
        <w:rPr>
          <w:rtl/>
        </w:rPr>
      </w:pPr>
      <w:bookmarkStart w:id="28" w:name="_Toc223961979"/>
      <w:r>
        <w:rPr>
          <w:rFonts w:hint="cs"/>
          <w:rtl/>
        </w:rPr>
        <w:t>2.7</w:t>
      </w:r>
      <w:r w:rsidR="00674A3A">
        <w:rPr>
          <w:rtl/>
        </w:rPr>
        <w:tab/>
        <w:t>البرمجيات والأدوات الفضائية</w:t>
      </w:r>
      <w:bookmarkEnd w:id="28"/>
    </w:p>
    <w:p w14:paraId="07CEEEB1" w14:textId="686A6C7A" w:rsidR="00674A3A" w:rsidRPr="00993F5C" w:rsidRDefault="00993F5C" w:rsidP="00993F5C">
      <w:pPr>
        <w:pStyle w:val="Heading3"/>
        <w:rPr>
          <w:rtl/>
        </w:rPr>
      </w:pPr>
      <w:bookmarkStart w:id="29" w:name="_Toc223961980"/>
      <w:r w:rsidRPr="00993F5C">
        <w:t>1.2.7</w:t>
      </w:r>
      <w:r w:rsidR="00674A3A" w:rsidRPr="00993F5C">
        <w:rPr>
          <w:rtl/>
          <w:lang w:bidi="ar-SA"/>
        </w:rPr>
        <w:tab/>
        <w:t xml:space="preserve">تنفيذ قرارات المؤتمر </w:t>
      </w:r>
      <w:r w:rsidR="00674A3A" w:rsidRPr="00993F5C">
        <w:t>WRC-23</w:t>
      </w:r>
      <w:r w:rsidR="00674A3A" w:rsidRPr="00993F5C">
        <w:rPr>
          <w:rtl/>
          <w:lang w:bidi="ar-SA"/>
        </w:rPr>
        <w:t xml:space="preserve"> المتعلقة بالخدمات الفضائية</w:t>
      </w:r>
      <w:bookmarkEnd w:id="29"/>
    </w:p>
    <w:p w14:paraId="28A7B459" w14:textId="77777777" w:rsidR="00674A3A" w:rsidRDefault="00674A3A" w:rsidP="00674A3A">
      <w:pPr>
        <w:rPr>
          <w:rtl/>
        </w:rPr>
      </w:pPr>
      <w:r>
        <w:rPr>
          <w:rtl/>
        </w:rPr>
        <w:t>بعدما أصدر مكتب الاتصالات الراديوية النسخة 10 من البرمجيات الفضائية للمكتب في بداية عام 2025، واصل تنفيذ التغييرات المتعلقة بقرارات المؤتمر العالمي للاتصالات الراديوية طوال العام، وهي:</w:t>
      </w:r>
    </w:p>
    <w:p w14:paraId="44BE8F13" w14:textId="79522647" w:rsidR="00674A3A" w:rsidRDefault="00C203C6" w:rsidP="00C203C6">
      <w:pPr>
        <w:pStyle w:val="enumlev1"/>
        <w:rPr>
          <w:rtl/>
        </w:rPr>
      </w:pPr>
      <w:r>
        <w:rPr>
          <w:rtl/>
        </w:rPr>
        <w:t>‒</w:t>
      </w:r>
      <w:r>
        <w:tab/>
      </w:r>
      <w:r w:rsidR="00674A3A">
        <w:rPr>
          <w:rtl/>
        </w:rPr>
        <w:t xml:space="preserve">إدخال التحقق من صحة بطاقات التبليغ بموجب القرارين </w:t>
      </w:r>
      <w:r w:rsidR="00674A3A" w:rsidRPr="00C203C6">
        <w:rPr>
          <w:b/>
          <w:bCs/>
        </w:rPr>
        <w:t>8 (WRC-23)</w:t>
      </w:r>
      <w:r w:rsidR="00674A3A">
        <w:rPr>
          <w:rtl/>
        </w:rPr>
        <w:t xml:space="preserve"> و</w:t>
      </w:r>
      <w:r w:rsidR="00674A3A" w:rsidRPr="00C203C6">
        <w:rPr>
          <w:b/>
          <w:bCs/>
        </w:rPr>
        <w:t>35 (Rev.WRC-23)</w:t>
      </w:r>
      <w:r w:rsidR="00674A3A">
        <w:rPr>
          <w:rtl/>
        </w:rPr>
        <w:t xml:space="preserve"> في التقاط نظام المعلومات الفضائية لدى مكتب الاتصالات الراديوية (</w:t>
      </w:r>
      <w:r w:rsidR="00674A3A">
        <w:t>BRSIS-Capture</w:t>
      </w:r>
      <w:r w:rsidR="00674A3A">
        <w:rPr>
          <w:rtl/>
        </w:rPr>
        <w:t>).</w:t>
      </w:r>
    </w:p>
    <w:p w14:paraId="5D83B673" w14:textId="27AC1ADD" w:rsidR="00674A3A" w:rsidRDefault="00C203C6" w:rsidP="00C203C6">
      <w:pPr>
        <w:pStyle w:val="enumlev1"/>
        <w:rPr>
          <w:rtl/>
        </w:rPr>
      </w:pPr>
      <w:r>
        <w:rPr>
          <w:rtl/>
        </w:rPr>
        <w:t>‒</w:t>
      </w:r>
      <w:r>
        <w:tab/>
      </w:r>
      <w:r w:rsidR="00674A3A">
        <w:rPr>
          <w:rtl/>
        </w:rPr>
        <w:t xml:space="preserve">تأييد النشر الجديد للقرار </w:t>
      </w:r>
      <w:r w:rsidR="00D353B5" w:rsidRPr="00D353B5">
        <w:rPr>
          <w:b/>
          <w:bCs/>
        </w:rPr>
        <w:t>170 (Rev.WRC-23)</w:t>
      </w:r>
      <w:r w:rsidR="00674A3A">
        <w:rPr>
          <w:rtl/>
        </w:rPr>
        <w:t xml:space="preserve"> في منشورات نظام المعلومات الفضائية لدى مكتب الاتصالات الراديوية (</w:t>
      </w:r>
      <w:r w:rsidR="00674A3A">
        <w:t>BRSIS-Publication</w:t>
      </w:r>
      <w:r w:rsidR="00674A3A">
        <w:rPr>
          <w:rtl/>
        </w:rPr>
        <w:t>).</w:t>
      </w:r>
    </w:p>
    <w:p w14:paraId="20FB3EDC" w14:textId="7EB06048" w:rsidR="00674A3A" w:rsidRDefault="00C203C6" w:rsidP="00C203C6">
      <w:pPr>
        <w:pStyle w:val="enumlev1"/>
        <w:rPr>
          <w:rtl/>
        </w:rPr>
      </w:pPr>
      <w:r>
        <w:rPr>
          <w:rtl/>
        </w:rPr>
        <w:t>‒</w:t>
      </w:r>
      <w:r>
        <w:tab/>
      </w:r>
      <w:r w:rsidR="00674A3A">
        <w:rPr>
          <w:rtl/>
        </w:rPr>
        <w:t xml:space="preserve">تنفيذ القرار </w:t>
      </w:r>
      <w:r w:rsidR="00674A3A" w:rsidRPr="00C203C6">
        <w:rPr>
          <w:b/>
          <w:bCs/>
        </w:rPr>
        <w:t>553 (Rev.WRC-23)</w:t>
      </w:r>
      <w:r w:rsidR="00674A3A">
        <w:rPr>
          <w:rtl/>
        </w:rPr>
        <w:t xml:space="preserve"> قناع كثافة تدفق القدرة (</w:t>
      </w:r>
      <w:r w:rsidR="00674A3A">
        <w:t>PFD</w:t>
      </w:r>
      <w:r w:rsidR="00674A3A">
        <w:rPr>
          <w:rtl/>
        </w:rPr>
        <w:t xml:space="preserve">) من أجل الإجراء الخاص في </w:t>
      </w:r>
      <w:r w:rsidR="00674A3A">
        <w:t>GIBC-AP8</w:t>
      </w:r>
      <w:r w:rsidR="00674A3A">
        <w:rPr>
          <w:rtl/>
        </w:rPr>
        <w:t>.</w:t>
      </w:r>
    </w:p>
    <w:p w14:paraId="61A732AB" w14:textId="4F6A9946" w:rsidR="00674A3A" w:rsidRDefault="00C203C6" w:rsidP="00C203C6">
      <w:pPr>
        <w:pStyle w:val="enumlev1"/>
        <w:rPr>
          <w:rtl/>
        </w:rPr>
      </w:pPr>
      <w:r>
        <w:rPr>
          <w:rtl/>
        </w:rPr>
        <w:t>‒</w:t>
      </w:r>
      <w:r>
        <w:tab/>
      </w:r>
      <w:r w:rsidR="00674A3A">
        <w:rPr>
          <w:rtl/>
        </w:rPr>
        <w:t>إتاحة خيار لإجراء فحص كثافة تدفق القدرة من أجل السطوح البينية لبرمجة التطبيقات (</w:t>
      </w:r>
      <w:r w:rsidR="00674A3A">
        <w:t>API</w:t>
      </w:r>
      <w:r w:rsidR="00674A3A">
        <w:rPr>
          <w:rtl/>
        </w:rPr>
        <w:t xml:space="preserve">) وتنفيذ الحد الصارم لكثافة تدفق القدرة من القرار </w:t>
      </w:r>
      <w:r w:rsidR="00674A3A" w:rsidRPr="00C203C6">
        <w:rPr>
          <w:b/>
          <w:bCs/>
        </w:rPr>
        <w:t>678 (WRC-23)</w:t>
      </w:r>
      <w:r w:rsidR="00674A3A">
        <w:rPr>
          <w:rtl/>
        </w:rPr>
        <w:t xml:space="preserve"> في الواجهة البيانية لحسابات الدفعات لكثافة تدفق القدرة في الأنظمة والشبكات الساتلية غير المستقرة بالنسبة إلى الأرض (</w:t>
      </w:r>
      <w:r w:rsidR="00674A3A">
        <w:t>GIBC-PFD NGSO</w:t>
      </w:r>
      <w:r w:rsidR="00674A3A">
        <w:rPr>
          <w:rtl/>
        </w:rPr>
        <w:t>).</w:t>
      </w:r>
    </w:p>
    <w:p w14:paraId="664FC587" w14:textId="4786FAA8" w:rsidR="00674A3A" w:rsidRDefault="00C203C6" w:rsidP="00C203C6">
      <w:pPr>
        <w:pStyle w:val="enumlev1"/>
        <w:rPr>
          <w:rtl/>
        </w:rPr>
      </w:pPr>
      <w:r>
        <w:rPr>
          <w:rtl/>
        </w:rPr>
        <w:t>‒</w:t>
      </w:r>
      <w:r>
        <w:tab/>
      </w:r>
      <w:r w:rsidR="00674A3A">
        <w:rPr>
          <w:rtl/>
        </w:rPr>
        <w:t xml:space="preserve">تنفيذ القرار </w:t>
      </w:r>
      <w:r w:rsidR="00674A3A" w:rsidRPr="00C203C6">
        <w:rPr>
          <w:b/>
          <w:bCs/>
        </w:rPr>
        <w:t>678 (WRC-23)</w:t>
      </w:r>
      <w:r w:rsidR="00674A3A">
        <w:rPr>
          <w:rtl/>
        </w:rPr>
        <w:t xml:space="preserve"> في الأنظمة والشبكات الساتلية غير المستقرة بالنسبة إلى الأرض (</w:t>
      </w:r>
      <w:r w:rsidR="00674A3A">
        <w:t>GIBC-PFD NGSO</w:t>
      </w:r>
      <w:r w:rsidR="00674A3A">
        <w:rPr>
          <w:rtl/>
        </w:rPr>
        <w:t>)</w:t>
      </w:r>
    </w:p>
    <w:p w14:paraId="1D59AC1A" w14:textId="2DDC8D21" w:rsidR="00674A3A" w:rsidRDefault="00674A3A" w:rsidP="00674A3A">
      <w:pPr>
        <w:rPr>
          <w:rtl/>
        </w:rPr>
      </w:pPr>
      <w:r>
        <w:rPr>
          <w:rtl/>
        </w:rPr>
        <w:t>وبالإضافة إلى ذلك، وعملاً بما تنص عليه الفقرة 3 من "</w:t>
      </w:r>
      <w:r w:rsidRPr="00C203C6">
        <w:rPr>
          <w:i/>
          <w:iCs/>
          <w:rtl/>
        </w:rPr>
        <w:t>يكلف مكتب الاتصالات الراديوية</w:t>
      </w:r>
      <w:r>
        <w:rPr>
          <w:rtl/>
        </w:rPr>
        <w:t xml:space="preserve">" من القرار </w:t>
      </w:r>
      <w:r w:rsidR="00C203C6" w:rsidRPr="00C203C6">
        <w:rPr>
          <w:b/>
          <w:bCs/>
          <w:cs/>
        </w:rPr>
        <w:t>‎</w:t>
      </w:r>
      <w:r w:rsidR="00C203C6" w:rsidRPr="00C203C6">
        <w:rPr>
          <w:b/>
          <w:bCs/>
        </w:rPr>
        <w:t>8 (WRC-23)</w:t>
      </w:r>
      <w:r>
        <w:rPr>
          <w:rtl/>
        </w:rPr>
        <w:t>، قام مكتب الاتصالات الراديوية بتطوير أداة إلكترونية (</w:t>
      </w:r>
      <w:r>
        <w:t>Argus</w:t>
      </w:r>
      <w:r>
        <w:rPr>
          <w:rtl/>
        </w:rPr>
        <w:t xml:space="preserve">) لعرض نشر الأنظمة الساتلية غير المستقرة بالنسبة إلى الأرض الخاضعة لأحكام القرار </w:t>
      </w:r>
      <w:r w:rsidR="00C203C6" w:rsidRPr="00C203C6">
        <w:rPr>
          <w:b/>
          <w:bCs/>
          <w:cs/>
        </w:rPr>
        <w:t>‎</w:t>
      </w:r>
      <w:r w:rsidR="00C203C6" w:rsidRPr="00C203C6">
        <w:rPr>
          <w:b/>
          <w:bCs/>
        </w:rPr>
        <w:t>8 (WRC-23)</w:t>
      </w:r>
      <w:r>
        <w:rPr>
          <w:rtl/>
        </w:rPr>
        <w:t xml:space="preserve"> وتوفير قدر أكبر من الشفافية بشأن هذا النشر، مع تسهيل الاتصالات المباشرة بين مشغلي السواتل المسؤولين عن هذه الأنظمة.</w:t>
      </w:r>
    </w:p>
    <w:p w14:paraId="142C360B" w14:textId="77777777" w:rsidR="00674A3A" w:rsidRDefault="00674A3A" w:rsidP="00674A3A">
      <w:pPr>
        <w:rPr>
          <w:rtl/>
        </w:rPr>
      </w:pPr>
      <w:r>
        <w:rPr>
          <w:rtl/>
        </w:rPr>
        <w:t xml:space="preserve">وباستخدام أداة </w:t>
      </w:r>
      <w:r>
        <w:t>Argus</w:t>
      </w:r>
      <w:r>
        <w:rPr>
          <w:rtl/>
        </w:rPr>
        <w:t>، ستتمكن الإدارات ومشغلو السواتل من عرض المعلومات التالية واسترجاعها:</w:t>
      </w:r>
    </w:p>
    <w:p w14:paraId="7F21FA3E" w14:textId="6A28A9A8" w:rsidR="00674A3A" w:rsidRPr="00C203C6" w:rsidRDefault="00C203C6" w:rsidP="00C203C6">
      <w:pPr>
        <w:pStyle w:val="enumlev1"/>
        <w:rPr>
          <w:rtl/>
        </w:rPr>
      </w:pPr>
      <w:r>
        <w:rPr>
          <w:rtl/>
        </w:rPr>
        <w:t>‒</w:t>
      </w:r>
      <w:r>
        <w:tab/>
      </w:r>
      <w:r w:rsidR="00674A3A" w:rsidRPr="00C203C6">
        <w:rPr>
          <w:rtl/>
        </w:rPr>
        <w:t xml:space="preserve">المعلمات المدارية لنظام ساتلي مختار أو لمركبة فضائية فردية، على النحو المبلّغ عنه أو المعلن عنه بموجب القرار </w:t>
      </w:r>
      <w:r w:rsidRPr="00C203C6">
        <w:rPr>
          <w:b/>
          <w:bCs/>
          <w:cs/>
        </w:rPr>
        <w:t>‎</w:t>
      </w:r>
      <w:r w:rsidRPr="00C203C6">
        <w:rPr>
          <w:b/>
          <w:bCs/>
        </w:rPr>
        <w:t>8 (WRC-23)</w:t>
      </w:r>
      <w:r w:rsidR="00674A3A" w:rsidRPr="00C203C6">
        <w:rPr>
          <w:rtl/>
        </w:rPr>
        <w:t xml:space="preserve"> من جانب إدارة مبلِّغة.</w:t>
      </w:r>
    </w:p>
    <w:p w14:paraId="558A09D8" w14:textId="53F7F7F0" w:rsidR="00674A3A" w:rsidRDefault="00C203C6" w:rsidP="00C203C6">
      <w:pPr>
        <w:pStyle w:val="enumlev1"/>
        <w:rPr>
          <w:rtl/>
        </w:rPr>
      </w:pPr>
      <w:r>
        <w:rPr>
          <w:rtl/>
        </w:rPr>
        <w:t>‒</w:t>
      </w:r>
      <w:r>
        <w:tab/>
      </w:r>
      <w:r w:rsidR="00674A3A">
        <w:rPr>
          <w:rtl/>
        </w:rPr>
        <w:t>المعلمات المدارية الفعلية ذات الصلة التي ترد بانتظام من مصادر عامة موثوقة.</w:t>
      </w:r>
    </w:p>
    <w:p w14:paraId="01B24ACB" w14:textId="3CF4AEC4" w:rsidR="00816C27" w:rsidRDefault="00C203C6" w:rsidP="00C203C6">
      <w:pPr>
        <w:pStyle w:val="enumlev1"/>
        <w:rPr>
          <w:rtl/>
        </w:rPr>
      </w:pPr>
      <w:r>
        <w:rPr>
          <w:rtl/>
        </w:rPr>
        <w:t>‒</w:t>
      </w:r>
      <w:r>
        <w:tab/>
      </w:r>
      <w:r w:rsidR="00674A3A">
        <w:rPr>
          <w:rtl/>
        </w:rPr>
        <w:t xml:space="preserve">التحقق من الحفاظ على السواتل ضمن التفاوتات المسموح بها في الارتفاع والميل على النحو المحدد في القرار </w:t>
      </w:r>
      <w:r w:rsidRPr="00C203C6">
        <w:rPr>
          <w:b/>
          <w:bCs/>
          <w:cs/>
        </w:rPr>
        <w:t>‎</w:t>
      </w:r>
      <w:r w:rsidRPr="00C203C6">
        <w:rPr>
          <w:b/>
          <w:bCs/>
        </w:rPr>
        <w:t>8</w:t>
      </w:r>
      <w:r>
        <w:rPr>
          <w:b/>
          <w:bCs/>
        </w:rPr>
        <w:t> </w:t>
      </w:r>
      <w:r w:rsidRPr="00C203C6">
        <w:rPr>
          <w:b/>
          <w:bCs/>
        </w:rPr>
        <w:t>(WRC-23)</w:t>
      </w:r>
    </w:p>
    <w:p w14:paraId="79F31055" w14:textId="0331F657" w:rsidR="00674A3A" w:rsidRDefault="00C203C6" w:rsidP="00C203C6">
      <w:pPr>
        <w:pStyle w:val="enumlev1"/>
        <w:rPr>
          <w:rtl/>
        </w:rPr>
      </w:pPr>
      <w:r>
        <w:rPr>
          <w:rtl/>
        </w:rPr>
        <w:t>‒</w:t>
      </w:r>
      <w:r>
        <w:tab/>
      </w:r>
      <w:r w:rsidR="00674A3A">
        <w:rPr>
          <w:rtl/>
        </w:rPr>
        <w:t>الترشيح حسب نطاقات التردد والأوج والحضيض والميل والطالع المستقيم للعقدة الصاعدة (</w:t>
      </w:r>
      <w:r w:rsidR="00674A3A">
        <w:t>RAAN</w:t>
      </w:r>
      <w:r w:rsidR="00674A3A">
        <w:rPr>
          <w:rtl/>
        </w:rPr>
        <w:t>).</w:t>
      </w:r>
    </w:p>
    <w:p w14:paraId="7CC69206" w14:textId="2EC41217" w:rsidR="00674A3A" w:rsidRDefault="00C203C6" w:rsidP="00C203C6">
      <w:pPr>
        <w:pStyle w:val="enumlev1"/>
        <w:rPr>
          <w:rtl/>
        </w:rPr>
      </w:pPr>
      <w:r>
        <w:rPr>
          <w:rtl/>
        </w:rPr>
        <w:t>‒</w:t>
      </w:r>
      <w:r>
        <w:tab/>
      </w:r>
      <w:r w:rsidR="00674A3A">
        <w:rPr>
          <w:rtl/>
        </w:rPr>
        <w:t>تفاصيل تخصيصات التردد المصاحبة المسجلة في السجل الأساسي الدولي للترددات لنظام ساتلي مختار.</w:t>
      </w:r>
    </w:p>
    <w:p w14:paraId="68DCE7D7" w14:textId="7E898577" w:rsidR="00674A3A" w:rsidRDefault="00C203C6" w:rsidP="00C203C6">
      <w:pPr>
        <w:pStyle w:val="enumlev1"/>
        <w:rPr>
          <w:rtl/>
        </w:rPr>
      </w:pPr>
      <w:r>
        <w:rPr>
          <w:rtl/>
        </w:rPr>
        <w:t>‒</w:t>
      </w:r>
      <w:r>
        <w:tab/>
      </w:r>
      <w:r w:rsidR="00674A3A">
        <w:rPr>
          <w:rtl/>
        </w:rPr>
        <w:t xml:space="preserve">رابط إلى الأقسام الخاصة ذات الصلة المنشورة بموجب القرار </w:t>
      </w:r>
      <w:r w:rsidRPr="00C203C6">
        <w:rPr>
          <w:b/>
          <w:bCs/>
          <w:cs/>
        </w:rPr>
        <w:t>‎</w:t>
      </w:r>
      <w:r w:rsidRPr="00C203C6">
        <w:rPr>
          <w:b/>
          <w:bCs/>
        </w:rPr>
        <w:t>8 (WRC-23)</w:t>
      </w:r>
      <w:r w:rsidR="00674A3A">
        <w:rPr>
          <w:rtl/>
        </w:rPr>
        <w:t xml:space="preserve"> وحالة النشر بموجب القرار </w:t>
      </w:r>
      <w:r w:rsidR="00674A3A" w:rsidRPr="00C203C6">
        <w:rPr>
          <w:b/>
          <w:bCs/>
        </w:rPr>
        <w:t>35</w:t>
      </w:r>
      <w:r>
        <w:rPr>
          <w:b/>
          <w:bCs/>
        </w:rPr>
        <w:t> </w:t>
      </w:r>
      <w:r w:rsidR="00674A3A" w:rsidRPr="00C203C6">
        <w:rPr>
          <w:b/>
          <w:bCs/>
        </w:rPr>
        <w:t>(</w:t>
      </w:r>
      <w:r w:rsidR="006E1764">
        <w:rPr>
          <w:b/>
          <w:bCs/>
        </w:rPr>
        <w:t>R</w:t>
      </w:r>
      <w:r w:rsidR="00674A3A" w:rsidRPr="00C203C6">
        <w:rPr>
          <w:b/>
          <w:bCs/>
        </w:rPr>
        <w:t>ev.WRC-23)</w:t>
      </w:r>
      <w:r w:rsidR="00674A3A">
        <w:rPr>
          <w:rtl/>
        </w:rPr>
        <w:t>.</w:t>
      </w:r>
    </w:p>
    <w:p w14:paraId="7DB70017" w14:textId="4275C57C" w:rsidR="00674A3A" w:rsidRDefault="00C203C6" w:rsidP="00C203C6">
      <w:pPr>
        <w:pStyle w:val="enumlev1"/>
        <w:rPr>
          <w:rtl/>
        </w:rPr>
      </w:pPr>
      <w:r>
        <w:rPr>
          <w:rtl/>
        </w:rPr>
        <w:t>‒</w:t>
      </w:r>
      <w:r>
        <w:tab/>
      </w:r>
      <w:r w:rsidR="00674A3A">
        <w:rPr>
          <w:rtl/>
        </w:rPr>
        <w:t>الوصول إلى جهات الاتصال المباشرة للحد من التداخل في الترددات الراديوية والعمليات الفضائية.</w:t>
      </w:r>
    </w:p>
    <w:p w14:paraId="708B5C27" w14:textId="77777777" w:rsidR="00674A3A" w:rsidRDefault="00674A3A" w:rsidP="00674A3A">
      <w:pPr>
        <w:rPr>
          <w:rtl/>
        </w:rPr>
      </w:pPr>
      <w:r>
        <w:rPr>
          <w:rtl/>
        </w:rPr>
        <w:t>والنظام مرتبط بالسجل الأساسي الدولي للترددات (</w:t>
      </w:r>
      <w:r>
        <w:t>MIFR</w:t>
      </w:r>
      <w:r>
        <w:rPr>
          <w:rtl/>
        </w:rPr>
        <w:t>) والنفاذ إليه محمي بخدمة تبادل معلومات الاتصالات (</w:t>
      </w:r>
      <w:r>
        <w:t>TIES</w:t>
      </w:r>
      <w:r>
        <w:rPr>
          <w:rtl/>
        </w:rPr>
        <w:t>) ومقتصر على أعضاء قطاع الاتصالات الراديوية.</w:t>
      </w:r>
    </w:p>
    <w:p w14:paraId="0CACD13D" w14:textId="77777777" w:rsidR="00816C27" w:rsidRDefault="00674A3A" w:rsidP="00674A3A">
      <w:pPr>
        <w:rPr>
          <w:rtl/>
        </w:rPr>
      </w:pPr>
      <w:r>
        <w:rPr>
          <w:rtl/>
        </w:rPr>
        <w:t xml:space="preserve">وقد أُنشئت صفحة إلكترونية مخصصة لأداة </w:t>
      </w:r>
      <w:r>
        <w:t>Argus</w:t>
      </w:r>
      <w:r>
        <w:rPr>
          <w:rtl/>
        </w:rPr>
        <w:t xml:space="preserve"> ويمكن النفاذ إليها من خلال العنوان التالي:</w:t>
      </w:r>
    </w:p>
    <w:p w14:paraId="412494BC" w14:textId="5A6EF350" w:rsidR="00C203C6" w:rsidRPr="00C203C6" w:rsidRDefault="00A05578" w:rsidP="006E1764">
      <w:pPr>
        <w:spacing w:before="240" w:after="240"/>
        <w:jc w:val="center"/>
      </w:pPr>
      <w:hyperlink r:id="rId59" w:anchor="/ar" w:history="1">
        <w:r w:rsidR="00C203C6" w:rsidRPr="006A1FCB">
          <w:rPr>
            <w:rStyle w:val="Hyperlink"/>
          </w:rPr>
          <w:t>https://itu.int/space-argus/</w:t>
        </w:r>
      </w:hyperlink>
    </w:p>
    <w:p w14:paraId="27F2FEC9" w14:textId="77777777" w:rsidR="00816C27" w:rsidRDefault="00674A3A" w:rsidP="00674A3A">
      <w:pPr>
        <w:rPr>
          <w:rtl/>
        </w:rPr>
      </w:pPr>
      <w:r w:rsidRPr="006E48A2">
        <w:rPr>
          <w:rtl/>
        </w:rPr>
        <w:lastRenderedPageBreak/>
        <w:t>وهذه الأداة مُتاحة حالياً لاختبار الإدارات وأعضاء قطاع الاتصالات الراديوية، فهي تعرض نسخة اختبار بمعلمات وهمية لمساعدة المستعملين على التعرف على النظام. وستُبدَّل قاعدة البيانات ذات الصلة خلال عام 2026 لتصوير الأنظمة الساتلية الفعلية المُبلَّغ عنها ووضعها في الخدمة.</w:t>
      </w:r>
    </w:p>
    <w:p w14:paraId="4F0F3D01" w14:textId="03628F36" w:rsidR="00674A3A" w:rsidRPr="006E48A2" w:rsidRDefault="006E48A2" w:rsidP="006E48A2">
      <w:pPr>
        <w:pStyle w:val="Heading3"/>
        <w:rPr>
          <w:spacing w:val="-4"/>
          <w:rtl/>
        </w:rPr>
      </w:pPr>
      <w:bookmarkStart w:id="30" w:name="_Toc223961981"/>
      <w:r w:rsidRPr="006E48A2">
        <w:rPr>
          <w:spacing w:val="-4"/>
        </w:rPr>
        <w:t>2.2.7</w:t>
      </w:r>
      <w:r w:rsidR="00674A3A" w:rsidRPr="006E48A2">
        <w:rPr>
          <w:spacing w:val="-4"/>
          <w:rtl/>
        </w:rPr>
        <w:tab/>
        <w:t>التقدم المحرز في تنفيذ خارطة طريق أنظمة المعلومات الفضائية لدى مكتب الاتصالات الراديوية (</w:t>
      </w:r>
      <w:r w:rsidR="00674A3A" w:rsidRPr="006E48A2">
        <w:rPr>
          <w:spacing w:val="-4"/>
        </w:rPr>
        <w:t>RAG-19</w:t>
      </w:r>
      <w:r w:rsidR="00674A3A" w:rsidRPr="006E48A2">
        <w:rPr>
          <w:spacing w:val="-4"/>
          <w:rtl/>
        </w:rPr>
        <w:t>، 2012)</w:t>
      </w:r>
      <w:bookmarkEnd w:id="30"/>
    </w:p>
    <w:p w14:paraId="1F2B9822" w14:textId="50F98162" w:rsidR="00816C27" w:rsidRDefault="00674A3A" w:rsidP="00674A3A">
      <w:pPr>
        <w:rPr>
          <w:rtl/>
        </w:rPr>
      </w:pPr>
      <w:r>
        <w:rPr>
          <w:rtl/>
        </w:rPr>
        <w:t>أسدى الفريق الاستشاري للاتصالات الراديوية</w:t>
      </w:r>
      <w:r w:rsidR="00AF5BCA">
        <w:rPr>
          <w:rFonts w:hint="cs"/>
          <w:rtl/>
        </w:rPr>
        <w:t xml:space="preserve"> </w:t>
      </w:r>
      <w:r w:rsidR="00AF5BCA">
        <w:t>(RAG-19)</w:t>
      </w:r>
      <w:r>
        <w:rPr>
          <w:rtl/>
        </w:rPr>
        <w:t xml:space="preserve"> </w:t>
      </w:r>
      <w:r w:rsidRPr="00AF5BCA">
        <w:rPr>
          <w:rtl/>
        </w:rPr>
        <w:t>(2012)</w:t>
      </w:r>
      <w:r>
        <w:rPr>
          <w:rtl/>
        </w:rPr>
        <w:t xml:space="preserve"> نصيحة إلى مدير مكتب الاتصالات الراديوية بتنفيذ الإجراءات الموصى بها ضمن الإطار الزمني المقترح، على النحو الموصوف في خارطة الطريق المتفق عليها، وهي تشمل المرحلة 1 (تنفيذ</w:t>
      </w:r>
      <w:r w:rsidR="006E48A2">
        <w:rPr>
          <w:rFonts w:hint="eastAsia"/>
          <w:rtl/>
        </w:rPr>
        <w:t> </w:t>
      </w:r>
      <w:r>
        <w:rPr>
          <w:rtl/>
        </w:rPr>
        <w:t xml:space="preserve">قرارات المؤتمر </w:t>
      </w:r>
      <w:r>
        <w:t>WRC-12</w:t>
      </w:r>
      <w:r>
        <w:rPr>
          <w:rtl/>
        </w:rPr>
        <w:t>)؛ والمرحلة 2 (إعادة كتابة بعض البرمجيات القائمة)؛ والمرحلة 3 (إنشاء فريق مشروع لتنفيذ إطار مشترك ونظام أمني وقاعدة بيانات فضائية مركزية). وشجع الفريق الاستشاري للاتصالات الراديوية الدول الأعضاء وأعضاء القطاع على تقديم تعليقاتهم بشأن المرحلة 3.</w:t>
      </w:r>
    </w:p>
    <w:p w14:paraId="3434D166" w14:textId="302539EA" w:rsidR="00674A3A" w:rsidRDefault="00674A3A" w:rsidP="00674A3A">
      <w:pPr>
        <w:rPr>
          <w:rtl/>
        </w:rPr>
      </w:pPr>
      <w:r>
        <w:rPr>
          <w:rtl/>
        </w:rPr>
        <w:t>وفي عام 2025، واصل مكتب الاتصالات الراديوية إدارة البرمجيات التقليدية القائمة، بينما كان يعمل في الوقت نفسه على تنفيذ إصدارات جديدة من تطبيقات البرمجيات الرئيسية. ولا بد من هذا الجهد الموازي بمقتضى الضرورات التشغيلية وهو كذلك ما يفسر بقاء بعض مشاريع التحديث قيد التنفيذ.</w:t>
      </w:r>
    </w:p>
    <w:p w14:paraId="6951FF08" w14:textId="2252FDB7" w:rsidR="00674A3A" w:rsidRDefault="006E48A2" w:rsidP="006E48A2">
      <w:pPr>
        <w:pStyle w:val="Heading3"/>
        <w:rPr>
          <w:rtl/>
        </w:rPr>
      </w:pPr>
      <w:bookmarkStart w:id="31" w:name="_Toc223961982"/>
      <w:r>
        <w:t>3.2.7</w:t>
      </w:r>
      <w:r w:rsidR="00674A3A">
        <w:rPr>
          <w:rtl/>
        </w:rPr>
        <w:tab/>
        <w:t>التقدم المحرز نحو تحقيق أهداف المرحلة 2 من خارطة الطريق</w:t>
      </w:r>
      <w:bookmarkEnd w:id="31"/>
    </w:p>
    <w:p w14:paraId="09B1D2F7" w14:textId="10EB5CED" w:rsidR="00674A3A" w:rsidRDefault="006E48A2" w:rsidP="006E48A2">
      <w:pPr>
        <w:pStyle w:val="Heading4"/>
        <w:rPr>
          <w:rtl/>
        </w:rPr>
      </w:pPr>
      <w:r>
        <w:t>1.3.2.7</w:t>
      </w:r>
      <w:r w:rsidR="00674A3A">
        <w:rPr>
          <w:rtl/>
        </w:rPr>
        <w:tab/>
        <w:t>إعادة كتابة البرمجيات التقليدية للفحص التقني</w:t>
      </w:r>
    </w:p>
    <w:p w14:paraId="05F70747" w14:textId="3C7F4317" w:rsidR="00674A3A" w:rsidRPr="00002015" w:rsidRDefault="006E48A2" w:rsidP="006E48A2">
      <w:pPr>
        <w:pStyle w:val="enumlev1"/>
        <w:rPr>
          <w:spacing w:val="-2"/>
          <w:rtl/>
        </w:rPr>
      </w:pPr>
      <w:r w:rsidRPr="00002015">
        <w:rPr>
          <w:spacing w:val="-2"/>
        </w:rPr>
        <w:sym w:font="Wingdings 2" w:char="F097"/>
      </w:r>
      <w:r w:rsidR="00674A3A" w:rsidRPr="00002015">
        <w:rPr>
          <w:spacing w:val="-2"/>
          <w:rtl/>
        </w:rPr>
        <w:tab/>
        <w:t>انتقال مكونات النظام البياني لإدارة التداخلات (</w:t>
      </w:r>
      <w:r w:rsidR="00674A3A" w:rsidRPr="00002015">
        <w:rPr>
          <w:spacing w:val="-2"/>
        </w:rPr>
        <w:t>GIMS</w:t>
      </w:r>
      <w:r w:rsidR="00674A3A" w:rsidRPr="00002015">
        <w:rPr>
          <w:spacing w:val="-2"/>
          <w:rtl/>
        </w:rPr>
        <w:t xml:space="preserve">) بلغة </w:t>
      </w:r>
      <w:r w:rsidR="00674A3A" w:rsidRPr="00002015">
        <w:rPr>
          <w:spacing w:val="-2"/>
        </w:rPr>
        <w:t>Fortran</w:t>
      </w:r>
      <w:r w:rsidR="00674A3A" w:rsidRPr="00002015">
        <w:rPr>
          <w:spacing w:val="-2"/>
          <w:rtl/>
        </w:rPr>
        <w:t>: مستمر. يدرس مكتب الاتصالات الراديوية نهجاً جديدة لنقل الشفرات التقليدية باستخدام الذكاء الاصطناعي، بمساعدة استشاريين لديهم سجل حافل في نقل الشفرات التقليدية بمساعدة الذكاء الاصطناعي أو من خلال الاستثمار في تطوير كفاءات وقدرات الذكاء الاصطناعي داخلياً.</w:t>
      </w:r>
    </w:p>
    <w:p w14:paraId="70DEF573" w14:textId="4DC71A08" w:rsidR="00674A3A" w:rsidRDefault="006E48A2" w:rsidP="006E48A2">
      <w:pPr>
        <w:pStyle w:val="enumlev1"/>
        <w:rPr>
          <w:rtl/>
        </w:rPr>
      </w:pPr>
      <w:r>
        <w:sym w:font="Wingdings 2" w:char="F097"/>
      </w:r>
      <w:r w:rsidR="00674A3A">
        <w:rPr>
          <w:rtl/>
        </w:rPr>
        <w:tab/>
        <w:t xml:space="preserve">برمجية </w:t>
      </w:r>
      <w:r w:rsidR="00674A3A">
        <w:t>Mspace</w:t>
      </w:r>
      <w:r w:rsidR="00674A3A">
        <w:rPr>
          <w:rtl/>
        </w:rPr>
        <w:t xml:space="preserve"> - انتقال مكونات لغة </w:t>
      </w:r>
      <w:r w:rsidR="00674A3A">
        <w:t>Visual Basic 6</w:t>
      </w:r>
      <w:r w:rsidR="00674A3A">
        <w:rPr>
          <w:rtl/>
        </w:rPr>
        <w:t xml:space="preserve"> إلى منصة </w:t>
      </w:r>
      <w:r w:rsidR="00674A3A">
        <w:t>.NET</w:t>
      </w:r>
      <w:r w:rsidR="00674A3A">
        <w:rPr>
          <w:rtl/>
        </w:rPr>
        <w:t>: مستمر.</w:t>
      </w:r>
    </w:p>
    <w:p w14:paraId="347B21A2" w14:textId="5742118C" w:rsidR="00674A3A" w:rsidRDefault="00002015" w:rsidP="00002015">
      <w:pPr>
        <w:pStyle w:val="Heading4"/>
        <w:rPr>
          <w:rtl/>
        </w:rPr>
      </w:pPr>
      <w:r>
        <w:t>2.3.2.7</w:t>
      </w:r>
      <w:r w:rsidR="00674A3A">
        <w:rPr>
          <w:rtl/>
        </w:rPr>
        <w:tab/>
        <w:t>تصميم وتطوير نظام المعلومات الفضائية لدى مكتب الاتصالات الراديوية (</w:t>
      </w:r>
      <w:r w:rsidR="00674A3A">
        <w:t>BR SIS</w:t>
      </w:r>
      <w:r w:rsidR="00674A3A">
        <w:rPr>
          <w:rtl/>
        </w:rPr>
        <w:t>)</w:t>
      </w:r>
    </w:p>
    <w:p w14:paraId="72C60A35" w14:textId="7C9C5F85" w:rsidR="00674A3A" w:rsidRPr="00002015" w:rsidRDefault="006E48A2" w:rsidP="006E48A2">
      <w:pPr>
        <w:pStyle w:val="enumlev1"/>
        <w:rPr>
          <w:spacing w:val="-2"/>
          <w:rtl/>
        </w:rPr>
      </w:pPr>
      <w:r w:rsidRPr="00002015">
        <w:rPr>
          <w:spacing w:val="-2"/>
        </w:rPr>
        <w:sym w:font="Wingdings 2" w:char="F097"/>
      </w:r>
      <w:r w:rsidR="00674A3A" w:rsidRPr="00002015">
        <w:rPr>
          <w:spacing w:val="-2"/>
          <w:rtl/>
        </w:rPr>
        <w:tab/>
        <w:t xml:space="preserve">إعادة كتابة برمجية </w:t>
      </w:r>
      <w:r w:rsidR="00674A3A" w:rsidRPr="00002015">
        <w:rPr>
          <w:spacing w:val="-2"/>
        </w:rPr>
        <w:t>SpaceCap</w:t>
      </w:r>
      <w:r w:rsidR="00674A3A" w:rsidRPr="00002015">
        <w:rPr>
          <w:spacing w:val="-2"/>
          <w:rtl/>
        </w:rPr>
        <w:t xml:space="preserve"> المكتوبة بلغة </w:t>
      </w:r>
      <w:r w:rsidR="00674A3A" w:rsidRPr="00002015">
        <w:rPr>
          <w:spacing w:val="-2"/>
        </w:rPr>
        <w:t>Visual Basic 6</w:t>
      </w:r>
      <w:r w:rsidR="00674A3A" w:rsidRPr="00002015">
        <w:rPr>
          <w:spacing w:val="-2"/>
          <w:rtl/>
        </w:rPr>
        <w:t xml:space="preserve">: مستمرة. وسيتواصل العمل على نقل وظيفة </w:t>
      </w:r>
      <w:r w:rsidR="00674A3A" w:rsidRPr="00002015">
        <w:rPr>
          <w:spacing w:val="-2"/>
        </w:rPr>
        <w:t>SpaceCap</w:t>
      </w:r>
      <w:r w:rsidR="00674A3A" w:rsidRPr="00002015">
        <w:rPr>
          <w:spacing w:val="-2"/>
          <w:rtl/>
        </w:rPr>
        <w:t xml:space="preserve"> إلى نموذج التقاط نظام المعلومات الفضائية لدى مكتب الاتصالات الراديوية (</w:t>
      </w:r>
      <w:r w:rsidR="00674A3A" w:rsidRPr="00002015">
        <w:rPr>
          <w:spacing w:val="-2"/>
        </w:rPr>
        <w:t>BRSIS-Capture</w:t>
      </w:r>
      <w:r w:rsidR="00674A3A" w:rsidRPr="00002015">
        <w:rPr>
          <w:spacing w:val="-2"/>
          <w:rtl/>
        </w:rPr>
        <w:t xml:space="preserve">) في عام 2026، مع توقع عرض نسخة تجريبية في الحلقة الدراسية </w:t>
      </w:r>
      <w:r w:rsidR="00674A3A" w:rsidRPr="00002015">
        <w:rPr>
          <w:spacing w:val="-2"/>
        </w:rPr>
        <w:t>WRS-26</w:t>
      </w:r>
      <w:r w:rsidR="00674A3A" w:rsidRPr="00002015">
        <w:rPr>
          <w:spacing w:val="-2"/>
          <w:rtl/>
        </w:rPr>
        <w:t>.</w:t>
      </w:r>
    </w:p>
    <w:p w14:paraId="25AAA884" w14:textId="29E4A188" w:rsidR="00816C27" w:rsidRDefault="006E48A2" w:rsidP="006E48A2">
      <w:pPr>
        <w:pStyle w:val="enumlev1"/>
        <w:rPr>
          <w:rtl/>
        </w:rPr>
      </w:pPr>
      <w:r>
        <w:sym w:font="Wingdings 2" w:char="F097"/>
      </w:r>
      <w:r w:rsidR="00674A3A">
        <w:rPr>
          <w:rtl/>
        </w:rPr>
        <w:tab/>
        <w:t xml:space="preserve">إعادة كتابة برمجية </w:t>
      </w:r>
      <w:r w:rsidR="00674A3A">
        <w:t>SpaceCom</w:t>
      </w:r>
      <w:r w:rsidR="00674A3A">
        <w:rPr>
          <w:rtl/>
        </w:rPr>
        <w:t xml:space="preserve"> المكتوبة بلغة </w:t>
      </w:r>
      <w:r w:rsidR="00674A3A">
        <w:t>Visual Basic 6</w:t>
      </w:r>
      <w:r w:rsidR="00674A3A">
        <w:rPr>
          <w:rtl/>
        </w:rPr>
        <w:t xml:space="preserve">: مستمرة. يرد شرح ذلك بمزيد من التفصيل في القسم </w:t>
      </w:r>
      <w:r w:rsidR="00002015">
        <w:t>4.6.2.7</w:t>
      </w:r>
      <w:r w:rsidR="00002015">
        <w:rPr>
          <w:rFonts w:hint="cs"/>
          <w:rtl/>
        </w:rPr>
        <w:t xml:space="preserve"> </w:t>
      </w:r>
      <w:r w:rsidR="00674A3A">
        <w:rPr>
          <w:rtl/>
        </w:rPr>
        <w:t>نظام تقديم التعليقات عبر الإنترنت.</w:t>
      </w:r>
    </w:p>
    <w:p w14:paraId="53D8FE6C" w14:textId="2A178AB2" w:rsidR="00674A3A" w:rsidRDefault="006E48A2" w:rsidP="006E48A2">
      <w:pPr>
        <w:pStyle w:val="enumlev1"/>
        <w:rPr>
          <w:rtl/>
        </w:rPr>
      </w:pPr>
      <w:r>
        <w:sym w:font="Wingdings 2" w:char="F097"/>
      </w:r>
      <w:r w:rsidR="00674A3A">
        <w:rPr>
          <w:rtl/>
        </w:rPr>
        <w:tab/>
        <w:t>نقل وحدة قاعدة بيانات خدمة الأبحاث الفضائية (</w:t>
      </w:r>
      <w:r w:rsidR="00674A3A">
        <w:t>SRS MDB</w:t>
      </w:r>
      <w:r w:rsidR="00674A3A">
        <w:rPr>
          <w:rtl/>
        </w:rPr>
        <w:t xml:space="preserve">) إلى تكنولوجيا أكثر حداثة: مستمرة. يمكن لبرمجيات فحص </w:t>
      </w:r>
      <w:r w:rsidR="00674A3A">
        <w:t>FOT</w:t>
      </w:r>
      <w:r w:rsidR="00674A3A">
        <w:rPr>
          <w:rtl/>
        </w:rPr>
        <w:t xml:space="preserve"> التوصيل بقاعدة بيانات النشرة الإعلامية الدولية للترددات لخدمات الأرض الموجودة بنسق </w:t>
      </w:r>
      <w:r w:rsidR="00674A3A">
        <w:t>SQLite</w:t>
      </w:r>
      <w:r w:rsidR="00674A3A">
        <w:rPr>
          <w:rtl/>
        </w:rPr>
        <w:t xml:space="preserve">، وتدعم بعض قواعد بيانات نتائج الفحص خيار النسق </w:t>
      </w:r>
      <w:r w:rsidR="00674A3A">
        <w:t>SQLite</w:t>
      </w:r>
      <w:r w:rsidR="00674A3A">
        <w:rPr>
          <w:rtl/>
        </w:rPr>
        <w:t xml:space="preserve"> أيضاً. وبمجرد انتقال تطبيقات البرمجيات الفضائية لمكتب الاتصالات الراديوية إلى محرك قاعدة البيانات </w:t>
      </w:r>
      <w:r w:rsidR="00674A3A">
        <w:t>SQLite</w:t>
      </w:r>
      <w:r w:rsidR="00674A3A">
        <w:rPr>
          <w:rtl/>
        </w:rPr>
        <w:t xml:space="preserve">، سيُضمن التوافق العكسي مع نسق </w:t>
      </w:r>
      <w:r w:rsidR="00674A3A">
        <w:t>MDB</w:t>
      </w:r>
      <w:r w:rsidR="00674A3A">
        <w:rPr>
          <w:rtl/>
        </w:rPr>
        <w:t xml:space="preserve"> وأدوات التحويل ذات الصلة.</w:t>
      </w:r>
    </w:p>
    <w:p w14:paraId="46A56314" w14:textId="367E73E9" w:rsidR="00674A3A" w:rsidRDefault="006E48A2" w:rsidP="006E48A2">
      <w:pPr>
        <w:pStyle w:val="enumlev1"/>
        <w:rPr>
          <w:rtl/>
        </w:rPr>
      </w:pPr>
      <w:r>
        <w:sym w:font="Wingdings 2" w:char="F097"/>
      </w:r>
      <w:r w:rsidR="00674A3A">
        <w:rPr>
          <w:rtl/>
        </w:rPr>
        <w:tab/>
        <w:t xml:space="preserve">استعراض تطبيق </w:t>
      </w:r>
      <w:r w:rsidR="00674A3A">
        <w:t>SNTrack</w:t>
      </w:r>
      <w:r w:rsidR="00674A3A">
        <w:rPr>
          <w:rtl/>
        </w:rPr>
        <w:t xml:space="preserve">: مستمر. سيستعاض عن تطبيق </w:t>
      </w:r>
      <w:r w:rsidR="00674A3A">
        <w:t>SNTrack</w:t>
      </w:r>
      <w:r w:rsidR="00674A3A">
        <w:rPr>
          <w:rtl/>
        </w:rPr>
        <w:t xml:space="preserve"> تدريجياً بنظام معلومات الإدارة الفضائية لاستكمال خواص المكتب الخلفي الوظيفية لنظام التبليغات الإلكترونية.</w:t>
      </w:r>
    </w:p>
    <w:p w14:paraId="51D6DB0B" w14:textId="1DF6BBA2" w:rsidR="00674A3A" w:rsidRDefault="00002015" w:rsidP="00002015">
      <w:pPr>
        <w:pStyle w:val="Heading3"/>
        <w:rPr>
          <w:rtl/>
        </w:rPr>
      </w:pPr>
      <w:bookmarkStart w:id="32" w:name="_Toc223961983"/>
      <w:r>
        <w:t>4.2.7</w:t>
      </w:r>
      <w:r w:rsidR="00674A3A">
        <w:rPr>
          <w:rtl/>
        </w:rPr>
        <w:tab/>
        <w:t>التقدم المحرز نحو تحقيق أهداف المرحلة 3 من خارطة الطريق</w:t>
      </w:r>
      <w:bookmarkEnd w:id="32"/>
    </w:p>
    <w:p w14:paraId="3A9E1A99" w14:textId="77777777" w:rsidR="00674A3A" w:rsidRDefault="00674A3A" w:rsidP="00002015">
      <w:pPr>
        <w:rPr>
          <w:rtl/>
        </w:rPr>
      </w:pPr>
      <w:r>
        <w:rPr>
          <w:rtl/>
        </w:rPr>
        <w:t>يشكِّل العمل المنجز خلال المراحل السابقة، فضلاً عن اختيارات التصميم والتكنولوجيا التي اختيرت بعد ذلك، أساساً لنجاح استكمال المرحلة 3، على النحو التالي:</w:t>
      </w:r>
    </w:p>
    <w:p w14:paraId="5E6F451C" w14:textId="2AA153D8" w:rsidR="00674A3A" w:rsidRDefault="006E48A2" w:rsidP="006E48A2">
      <w:pPr>
        <w:pStyle w:val="enumlev1"/>
        <w:rPr>
          <w:rtl/>
        </w:rPr>
      </w:pPr>
      <w:r>
        <w:sym w:font="Wingdings 2" w:char="F097"/>
      </w:r>
      <w:r w:rsidR="00674A3A">
        <w:rPr>
          <w:rtl/>
        </w:rPr>
        <w:tab/>
        <w:t xml:space="preserve">وسيقدَّم مخطط إعادة تصميم يحافظ على تساوي البيانات، ولكن بهدف إزالة بعض التكرارات، في الإصدار </w:t>
      </w:r>
      <w:r w:rsidR="00002015">
        <w:t>10.5</w:t>
      </w:r>
      <w:r w:rsidR="00674A3A">
        <w:rPr>
          <w:rtl/>
        </w:rPr>
        <w:t xml:space="preserve"> </w:t>
      </w:r>
      <w:r w:rsidR="00674A3A" w:rsidRPr="00002015">
        <w:rPr>
          <w:rtl/>
        </w:rPr>
        <w:t>في</w:t>
      </w:r>
      <w:r w:rsidR="00002015">
        <w:rPr>
          <w:rFonts w:hint="eastAsia"/>
          <w:rtl/>
        </w:rPr>
        <w:t> </w:t>
      </w:r>
      <w:r w:rsidR="00674A3A" w:rsidRPr="00002015">
        <w:rPr>
          <w:rtl/>
        </w:rPr>
        <w:t>أوائل</w:t>
      </w:r>
      <w:r w:rsidR="00674A3A">
        <w:rPr>
          <w:rtl/>
        </w:rPr>
        <w:t xml:space="preserve"> عام 2027، في منتصف الفترة الفاصلة بين تنفيذ قرارات المؤتمرين </w:t>
      </w:r>
      <w:r w:rsidR="00674A3A">
        <w:t>WRC-23</w:t>
      </w:r>
      <w:r w:rsidR="00674A3A">
        <w:rPr>
          <w:rtl/>
        </w:rPr>
        <w:t xml:space="preserve"> و</w:t>
      </w:r>
      <w:r w:rsidR="00674A3A">
        <w:t>WRC-27</w:t>
      </w:r>
      <w:r w:rsidR="00674A3A">
        <w:rPr>
          <w:rtl/>
        </w:rPr>
        <w:t>، بحيث لا يفرض تغييراً كثير التواتر على مخطط قاعدة البيانات.</w:t>
      </w:r>
    </w:p>
    <w:p w14:paraId="352B76DA" w14:textId="0E73E737" w:rsidR="00816C27" w:rsidRDefault="006E48A2" w:rsidP="006E48A2">
      <w:pPr>
        <w:pStyle w:val="enumlev1"/>
        <w:rPr>
          <w:rtl/>
        </w:rPr>
      </w:pPr>
      <w:r>
        <w:sym w:font="Wingdings 2" w:char="F097"/>
      </w:r>
      <w:r w:rsidR="00674A3A">
        <w:rPr>
          <w:rtl/>
        </w:rPr>
        <w:tab/>
        <w:t>أنشطة بشأن مركزية وتبسيط المخاطر والتعافي وإدارة الأمن: مستمرة.</w:t>
      </w:r>
    </w:p>
    <w:p w14:paraId="3F09E59D" w14:textId="5C536672" w:rsidR="00674A3A" w:rsidRDefault="0014246D" w:rsidP="0014246D">
      <w:pPr>
        <w:pStyle w:val="Heading3"/>
        <w:rPr>
          <w:rtl/>
        </w:rPr>
      </w:pPr>
      <w:bookmarkStart w:id="33" w:name="_Toc223961984"/>
      <w:r>
        <w:lastRenderedPageBreak/>
        <w:t>5.2.7</w:t>
      </w:r>
      <w:r w:rsidR="00674A3A">
        <w:rPr>
          <w:rtl/>
        </w:rPr>
        <w:tab/>
        <w:t>أدوات الاستعلام المتعلقة بالخدمات الفضائية</w:t>
      </w:r>
      <w:bookmarkEnd w:id="33"/>
    </w:p>
    <w:p w14:paraId="1B59A488" w14:textId="78BFEA72" w:rsidR="00816C27" w:rsidRDefault="00674A3A" w:rsidP="00674A3A">
      <w:pPr>
        <w:rPr>
          <w:rtl/>
        </w:rPr>
      </w:pPr>
      <w:r>
        <w:rPr>
          <w:rtl/>
        </w:rPr>
        <w:t xml:space="preserve">أشار المكتب إلى أن فرق العمل التابعة لقطاع الاتصالات الراديوية تطلب منه بشكل متزايد استخراج البيانات من قواعد بيانات مكتب الاتصالات الراديوية (انظر على سبيل المثال من التقرير الأخير لرئيس فرقة العمل </w:t>
      </w:r>
      <w:r>
        <w:t>4A</w:t>
      </w:r>
      <w:r>
        <w:rPr>
          <w:rtl/>
        </w:rPr>
        <w:t xml:space="preserve"> التابعة لقطاع الاتصالات الراديوية: الملحق 42 بالوثيقة </w:t>
      </w:r>
      <w:hyperlink r:id="rId60" w:history="1">
        <w:r w:rsidR="0014246D" w:rsidRPr="00717EF7">
          <w:rPr>
            <w:rStyle w:val="Hyperlink"/>
          </w:rPr>
          <w:t>4A/343</w:t>
        </w:r>
      </w:hyperlink>
      <w:r>
        <w:rPr>
          <w:rtl/>
        </w:rPr>
        <w:t xml:space="preserve"> أو الملحق 61 بالوثيقة </w:t>
      </w:r>
      <w:hyperlink r:id="rId61" w:history="1">
        <w:r w:rsidR="0014246D" w:rsidRPr="00717EF7">
          <w:rPr>
            <w:rStyle w:val="Hyperlink"/>
          </w:rPr>
          <w:t>4A/830</w:t>
        </w:r>
      </w:hyperlink>
      <w:r>
        <w:rPr>
          <w:rtl/>
        </w:rPr>
        <w:t xml:space="preserve">)، في حين أن أدوات مثل </w:t>
      </w:r>
      <w:r>
        <w:t>BRSIS Query</w:t>
      </w:r>
      <w:r>
        <w:rPr>
          <w:rtl/>
        </w:rPr>
        <w:t xml:space="preserve"> أو </w:t>
      </w:r>
      <w:r>
        <w:t>Space Explorer</w:t>
      </w:r>
      <w:r>
        <w:rPr>
          <w:rtl/>
        </w:rPr>
        <w:t xml:space="preserve"> متاحة لهذا الغرض. ونظراً إلى الموارد التي يحتاجها المكتب لتطوير هذه الأدوات وقيود الميزانية الحالية، فإن الإدارات مدعوة إلى</w:t>
      </w:r>
      <w:r w:rsidR="006A720D">
        <w:rPr>
          <w:rFonts w:hint="cs"/>
          <w:rtl/>
        </w:rPr>
        <w:t> </w:t>
      </w:r>
      <w:r>
        <w:rPr>
          <w:rtl/>
        </w:rPr>
        <w:t>تقديم إرشادات إلى المكتب بشأن الحاجة إلى مواصلة تطوير أدوات البحث هذه.</w:t>
      </w:r>
    </w:p>
    <w:p w14:paraId="06C2C14F" w14:textId="7F5F6FC3" w:rsidR="00674A3A" w:rsidRPr="0014246D" w:rsidRDefault="0014246D" w:rsidP="0014246D">
      <w:pPr>
        <w:pStyle w:val="Heading3"/>
        <w:rPr>
          <w:spacing w:val="-4"/>
          <w:rtl/>
        </w:rPr>
      </w:pPr>
      <w:bookmarkStart w:id="34" w:name="_Toc223961985"/>
      <w:r w:rsidRPr="0014246D">
        <w:rPr>
          <w:spacing w:val="-4"/>
        </w:rPr>
        <w:t>6.2.7</w:t>
      </w:r>
      <w:r w:rsidR="00674A3A" w:rsidRPr="0014246D">
        <w:rPr>
          <w:spacing w:val="-4"/>
          <w:rtl/>
        </w:rPr>
        <w:tab/>
        <w:t xml:space="preserve">تنفيذ القرار </w:t>
      </w:r>
      <w:r w:rsidR="00674A3A" w:rsidRPr="0014246D">
        <w:rPr>
          <w:spacing w:val="-4"/>
        </w:rPr>
        <w:t>55 (Rev.WRC-23)</w:t>
      </w:r>
      <w:r w:rsidR="00674A3A" w:rsidRPr="0014246D">
        <w:rPr>
          <w:spacing w:val="-4"/>
          <w:rtl/>
        </w:rPr>
        <w:t>: تقديم بطاقات التبليغ إلكترونياً وما يرتبط بها من اتصالات بخصوص الشبكات الساتلية والمحطات الأرضية ومحطات الفلك الراديوي والتقارير عن التداخل الضار الذي يؤثر على الخدمات الفضائية</w:t>
      </w:r>
      <w:bookmarkEnd w:id="34"/>
    </w:p>
    <w:p w14:paraId="787E9D48" w14:textId="6E306740" w:rsidR="00674A3A" w:rsidRDefault="0014246D" w:rsidP="0014246D">
      <w:pPr>
        <w:pStyle w:val="Heading4"/>
        <w:rPr>
          <w:rtl/>
        </w:rPr>
      </w:pPr>
      <w:r>
        <w:t>1.6.2.7</w:t>
      </w:r>
      <w:r>
        <w:tab/>
      </w:r>
      <w:r w:rsidR="00674A3A">
        <w:rPr>
          <w:rtl/>
        </w:rPr>
        <w:t>نظام</w:t>
      </w:r>
      <w:r w:rsidR="00D53FD1">
        <w:rPr>
          <w:rtl/>
        </w:rPr>
        <w:t xml:space="preserve"> </w:t>
      </w:r>
      <w:r w:rsidR="00674A3A">
        <w:rPr>
          <w:rtl/>
        </w:rPr>
        <w:t>التبليغ الإلكتروني</w:t>
      </w:r>
    </w:p>
    <w:p w14:paraId="2C64CC18" w14:textId="77777777" w:rsidR="00674A3A" w:rsidRDefault="00674A3A" w:rsidP="00674A3A">
      <w:pPr>
        <w:rPr>
          <w:rtl/>
        </w:rPr>
      </w:pPr>
      <w:r>
        <w:rPr>
          <w:rtl/>
        </w:rPr>
        <w:t>يوفر نظام التبليغ الإلكتروني عملية موثوقة على مدار الساعة للإدارات ووكالات التشغيل لتقديم بطاقات التبليغ عن الشبكات الساتلية طوال عام 2025. وارتفع عدد الإدارات المسجلة من 156 إدارة في بداية عام 2025 إلى 157 وقت تدوين هذا التقرير.</w:t>
      </w:r>
    </w:p>
    <w:p w14:paraId="31F66ECA" w14:textId="3464A58C" w:rsidR="00674A3A" w:rsidRDefault="00674A3A" w:rsidP="00674A3A">
      <w:pPr>
        <w:rPr>
          <w:rtl/>
        </w:rPr>
      </w:pPr>
      <w:r>
        <w:rPr>
          <w:rtl/>
        </w:rPr>
        <w:t xml:space="preserve">ووفقاً للرسالة المعممة </w:t>
      </w:r>
      <w:hyperlink r:id="rId62" w:history="1">
        <w:r w:rsidRPr="0014246D">
          <w:rPr>
            <w:rStyle w:val="Hyperlink"/>
          </w:rPr>
          <w:t>CR/511</w:t>
        </w:r>
      </w:hyperlink>
      <w:r>
        <w:rPr>
          <w:rtl/>
        </w:rPr>
        <w:t xml:space="preserve">، بدأ نظام التبليغ الإلكتروني بقبول بطاقات التبليغ الرسمي للملفات المحملة في نسق </w:t>
      </w:r>
      <w:r>
        <w:t>SNS</w:t>
      </w:r>
      <w:r w:rsidR="0014246D">
        <w:t> </w:t>
      </w:r>
      <w:r>
        <w:t>V10</w:t>
      </w:r>
      <w:r>
        <w:rPr>
          <w:rtl/>
        </w:rPr>
        <w:t xml:space="preserve"> اعتباراً من 1 يناير 2025. وبالإضافة إلى ذلك، حدَّث المكتب النظام لتعزيز استقرار النظام وأدائه حتى عام 2025. وعلاوة</w:t>
      </w:r>
      <w:r w:rsidR="006A720D">
        <w:rPr>
          <w:rFonts w:hint="cs"/>
          <w:rtl/>
        </w:rPr>
        <w:t>ً</w:t>
      </w:r>
      <w:r>
        <w:rPr>
          <w:rtl/>
        </w:rPr>
        <w:t xml:space="preserve"> على ذلك، حدّث المكتب النظام في 8 ديسمبر 2025 كي يسمح للإدارات بتقديم تفسير طوعي في حال وجود تعديلات، في مرحلة التبليغ، بشأن الخصائص التقنية المنشورة أصلاً بموجب الرقم </w:t>
      </w:r>
      <w:r w:rsidR="0014246D" w:rsidRPr="0014246D">
        <w:rPr>
          <w:b/>
          <w:bCs/>
        </w:rPr>
        <w:t>2B.9</w:t>
      </w:r>
      <w:r w:rsidR="0014246D">
        <w:rPr>
          <w:rFonts w:hint="cs"/>
          <w:rtl/>
        </w:rPr>
        <w:t xml:space="preserve"> </w:t>
      </w:r>
      <w:r>
        <w:t>(API/A)</w:t>
      </w:r>
      <w:r>
        <w:rPr>
          <w:rtl/>
        </w:rPr>
        <w:t xml:space="preserve">، من أجل تسهيل التعليق من جانب الإدارات الأخرى بموجب الرقم </w:t>
      </w:r>
      <w:r w:rsidR="0014246D" w:rsidRPr="0014246D">
        <w:rPr>
          <w:rFonts w:hint="cs"/>
          <w:b/>
          <w:bCs/>
          <w:rtl/>
        </w:rPr>
        <w:t>1.28.11</w:t>
      </w:r>
      <w:r>
        <w:rPr>
          <w:rtl/>
        </w:rPr>
        <w:t>.</w:t>
      </w:r>
    </w:p>
    <w:p w14:paraId="56050C74" w14:textId="77777777" w:rsidR="00674A3A" w:rsidRDefault="00674A3A" w:rsidP="00674A3A">
      <w:pPr>
        <w:rPr>
          <w:rtl/>
        </w:rPr>
      </w:pPr>
      <w:r>
        <w:rPr>
          <w:rtl/>
        </w:rPr>
        <w:t>وللمساعدة في تطوير واختبار نظام التبليغ الإلكتروني، قدمت إدارة اليابان مساهمة مالية وأتاحت خبيراً تنظيمياً وتقنياً في مجال الفضاء في مقر الاتحاد. ويجدد مكتب الاتصالات الراديوية شكره لإدارة اليابان على دعمها المستمر ومساعدتها المحددة في تطوير هذا المشروع.</w:t>
      </w:r>
    </w:p>
    <w:p w14:paraId="1ABBAC83" w14:textId="3447C8ED" w:rsidR="00674A3A" w:rsidRPr="0014246D" w:rsidRDefault="0014246D" w:rsidP="0014246D">
      <w:pPr>
        <w:pStyle w:val="Heading4"/>
        <w:rPr>
          <w:rtl/>
        </w:rPr>
      </w:pPr>
      <w:r>
        <w:t>2.6.2.7</w:t>
      </w:r>
      <w:r w:rsidR="000A15A4">
        <w:rPr>
          <w:rtl/>
        </w:rPr>
        <w:tab/>
      </w:r>
      <w:r w:rsidR="00674A3A" w:rsidRPr="0014246D">
        <w:rPr>
          <w:rtl/>
        </w:rPr>
        <w:t>نطام الاتصالات الإلكترونية</w:t>
      </w:r>
    </w:p>
    <w:p w14:paraId="2CD5E66C" w14:textId="718DEA96" w:rsidR="00674A3A" w:rsidRDefault="00674A3A" w:rsidP="00674A3A">
      <w:pPr>
        <w:rPr>
          <w:rtl/>
        </w:rPr>
      </w:pPr>
      <w:r>
        <w:rPr>
          <w:rtl/>
        </w:rPr>
        <w:t xml:space="preserve">أتاح نظام الاتصالات الإلكترونية أيضاًً للإدارات إمكانية التواصل بصورة موثوقةً على مدار الساعة طوال عام 2025. وزاد عدد الإدارات المسجلة من </w:t>
      </w:r>
      <w:r w:rsidR="0014246D">
        <w:rPr>
          <w:rFonts w:hint="cs"/>
          <w:rtl/>
        </w:rPr>
        <w:t>163</w:t>
      </w:r>
      <w:r>
        <w:rPr>
          <w:rtl/>
        </w:rPr>
        <w:t xml:space="preserve"> إدارةً مع بداية عام 2025 إلى 164 إدارةً، أرسلت منها 138 إدارةً مراسلاتٍ عبر النظام حتى وقت كتابة هذا التقرير.</w:t>
      </w:r>
    </w:p>
    <w:p w14:paraId="24F585FE" w14:textId="7CAFE776" w:rsidR="00674A3A" w:rsidRDefault="00674A3A" w:rsidP="00674A3A">
      <w:pPr>
        <w:rPr>
          <w:rtl/>
        </w:rPr>
      </w:pPr>
      <w:r>
        <w:rPr>
          <w:rtl/>
        </w:rPr>
        <w:t>وحدَّث المكتب النظام لتعزيز استقرار النظام وأدائه حتى عام 2025. وفضلاً على ذلك، يجري العمل على تطويرات إضافية لتوفير وظائف إضافية، مثل تمكين وكالات التشغيل من استخدام نظام الاتصالات الإلكترونية. ولن يُسمح لمستعملي وكالات التشغيل بالاتصال إلا بالإدارات المبلغة عنهم بناء</w:t>
      </w:r>
      <w:r w:rsidR="006A720D">
        <w:rPr>
          <w:rFonts w:hint="cs"/>
          <w:rtl/>
        </w:rPr>
        <w:t>ً</w:t>
      </w:r>
      <w:r>
        <w:rPr>
          <w:rtl/>
        </w:rPr>
        <w:t xml:space="preserve"> على طلب الإدارات في الاجتماعات السابقة للفريق الاستشاري للاتصالات الراديوية. ومن المقرر إطلاق هذه الميزة في الربع الثاني من عام 2026.</w:t>
      </w:r>
    </w:p>
    <w:p w14:paraId="7A22230F" w14:textId="5203A484" w:rsidR="00674A3A" w:rsidRDefault="0014246D" w:rsidP="0014246D">
      <w:pPr>
        <w:pStyle w:val="Heading4"/>
        <w:rPr>
          <w:rtl/>
        </w:rPr>
      </w:pPr>
      <w:r>
        <w:t>3.6.2.7</w:t>
      </w:r>
      <w:r w:rsidR="00674A3A">
        <w:rPr>
          <w:rtl/>
        </w:rPr>
        <w:tab/>
        <w:t>نظام الإبلاغ عن التداخلات الساتلية وتسويتها (</w:t>
      </w:r>
      <w:r w:rsidR="00674A3A">
        <w:t>SIRRS</w:t>
      </w:r>
      <w:r w:rsidR="00674A3A">
        <w:rPr>
          <w:rtl/>
        </w:rPr>
        <w:t>)</w:t>
      </w:r>
    </w:p>
    <w:p w14:paraId="0AA7E2B9" w14:textId="658F7079" w:rsidR="00674A3A" w:rsidRDefault="00674A3A" w:rsidP="00674A3A">
      <w:pPr>
        <w:rPr>
          <w:rtl/>
        </w:rPr>
      </w:pPr>
      <w:r>
        <w:rPr>
          <w:rtl/>
        </w:rPr>
        <w:t>في ضوء العدد المتزايد من حالات التشويش والانتحال التي تؤثر على مستقبلات خدمة الملاحة الراديوية الساتلية الموجودة على</w:t>
      </w:r>
      <w:r w:rsidR="0014246D">
        <w:rPr>
          <w:rFonts w:hint="cs"/>
          <w:rtl/>
        </w:rPr>
        <w:t> </w:t>
      </w:r>
      <w:r>
        <w:rPr>
          <w:rtl/>
        </w:rPr>
        <w:t>متن الطائرات والسفن، عزز الاتحاد تعاونه مع منظمة الطيران المدني الدولي والمنظمة البحرية الدولية، على النحو المبين في بيان مشترك شارك في التوقيع عليه الأمناء العامون</w:t>
      </w:r>
      <w:r w:rsidR="00D53FD1">
        <w:rPr>
          <w:rtl/>
        </w:rPr>
        <w:t xml:space="preserve"> </w:t>
      </w:r>
      <w:r>
        <w:rPr>
          <w:rtl/>
        </w:rPr>
        <w:t>في مارس 2025، بما في ذلك تقرير معزز عن حالات التداخل الضار من أجل رصد الوضع الفعلي وتقييمه.</w:t>
      </w:r>
    </w:p>
    <w:p w14:paraId="65B198D0" w14:textId="0BAA983D" w:rsidR="00674A3A" w:rsidRDefault="00674A3A" w:rsidP="00674A3A">
      <w:pPr>
        <w:rPr>
          <w:rtl/>
        </w:rPr>
      </w:pPr>
      <w:r>
        <w:rPr>
          <w:rtl/>
        </w:rPr>
        <w:t>وفي هذا الصدد، وتلبية</w:t>
      </w:r>
      <w:r w:rsidR="0014246D">
        <w:rPr>
          <w:rFonts w:hint="cs"/>
          <w:rtl/>
        </w:rPr>
        <w:t>ً</w:t>
      </w:r>
      <w:r>
        <w:rPr>
          <w:rtl/>
        </w:rPr>
        <w:t xml:space="preserve"> لطلب من منظمة الطيران المدني الدولي، رفع المكتب مستوى السطح البيني لإدارة مستعمل خدمة الملاحة الراديوية الساتلية ل</w:t>
      </w:r>
      <w:r w:rsidR="0014246D">
        <w:rPr>
          <w:rFonts w:hint="cs"/>
          <w:rtl/>
        </w:rPr>
        <w:t>ت</w:t>
      </w:r>
      <w:r>
        <w:rPr>
          <w:rtl/>
        </w:rPr>
        <w:t>ستوعب أيضاً المستعملين من منظمة الأمم المتحدة/منظمة الطيران المدني الدولي.</w:t>
      </w:r>
    </w:p>
    <w:p w14:paraId="694059F2" w14:textId="77777777" w:rsidR="00674A3A" w:rsidRDefault="00674A3A" w:rsidP="00674A3A">
      <w:pPr>
        <w:rPr>
          <w:rtl/>
        </w:rPr>
      </w:pPr>
      <w:r>
        <w:rPr>
          <w:rtl/>
        </w:rPr>
        <w:t>وفي فبراير 2026، قُدِّم تدريب افتراضي لموظفين من مقر منظمة الطيران المدني الدولي ومكاتبها الإقليمية لتمكينهم من المضي قدماُ في إعداد التقارير.</w:t>
      </w:r>
    </w:p>
    <w:p w14:paraId="64C798D1" w14:textId="670C4BDF" w:rsidR="00674A3A" w:rsidRDefault="0014246D" w:rsidP="00C30B89">
      <w:pPr>
        <w:pStyle w:val="Heading4"/>
        <w:rPr>
          <w:rtl/>
        </w:rPr>
      </w:pPr>
      <w:r>
        <w:rPr>
          <w:rFonts w:hint="cs"/>
          <w:rtl/>
        </w:rPr>
        <w:t>4.6.2.7</w:t>
      </w:r>
      <w:r w:rsidR="00C30B89">
        <w:tab/>
      </w:r>
      <w:r w:rsidR="00674A3A">
        <w:rPr>
          <w:rtl/>
        </w:rPr>
        <w:t>نظام تقديم التعليقات عبر الإنترنت</w:t>
      </w:r>
    </w:p>
    <w:p w14:paraId="6369EEB8" w14:textId="4C211096" w:rsidR="00816C27" w:rsidRDefault="00674A3A" w:rsidP="00674A3A">
      <w:pPr>
        <w:rPr>
          <w:rtl/>
        </w:rPr>
      </w:pPr>
      <w:r>
        <w:rPr>
          <w:rtl/>
        </w:rPr>
        <w:t xml:space="preserve">في عام 2025، استهل المكتب تطوير نظام للتعليق عبر الإنترنت، "التعليق الإلكتروني"، وهو تطبيق ويب مصمم ليحل محل تطبيق </w:t>
      </w:r>
      <w:r>
        <w:t>SpaceCom</w:t>
      </w:r>
      <w:r>
        <w:rPr>
          <w:rtl/>
        </w:rPr>
        <w:t xml:space="preserve"> القديم لسطح المكتب ولجعل عملية التعليقات التنظيمية بأكملها عبر الإنترنت ورقمية بالكامل. وتتمثل أغراضه </w:t>
      </w:r>
      <w:r w:rsidR="00F574F6">
        <w:rPr>
          <w:rFonts w:hint="cs"/>
          <w:rtl/>
        </w:rPr>
        <w:t>الرئيسي</w:t>
      </w:r>
      <w:r w:rsidR="00F574F6">
        <w:rPr>
          <w:rFonts w:hint="eastAsia"/>
          <w:rtl/>
        </w:rPr>
        <w:t>ة</w:t>
      </w:r>
      <w:r>
        <w:rPr>
          <w:rtl/>
        </w:rPr>
        <w:t xml:space="preserve"> في تمكين الإدارات من التقاط التعليقات عبر الإنترنت بكفاءة وتقديمها إلى المكتب بسلاسة، وتمكين الإدارات من الاطلاع على التعليقات المرسلة والواردة عبر الإنترنت والتحقق منها أيضاً.</w:t>
      </w:r>
    </w:p>
    <w:p w14:paraId="6CDF43DD" w14:textId="1C4D17A0" w:rsidR="00674A3A" w:rsidRDefault="0014246D" w:rsidP="0014246D">
      <w:pPr>
        <w:pStyle w:val="Heading2"/>
        <w:rPr>
          <w:rtl/>
        </w:rPr>
      </w:pPr>
      <w:bookmarkStart w:id="35" w:name="_Toc223961986"/>
      <w:r>
        <w:rPr>
          <w:rFonts w:hint="cs"/>
          <w:rtl/>
        </w:rPr>
        <w:lastRenderedPageBreak/>
        <w:t>3.7</w:t>
      </w:r>
      <w:r w:rsidR="00674A3A">
        <w:rPr>
          <w:rtl/>
        </w:rPr>
        <w:tab/>
        <w:t>البرمجيات والأدوات الأخرى لمكتب الاتصالات الراديوية</w:t>
      </w:r>
      <w:bookmarkEnd w:id="35"/>
    </w:p>
    <w:p w14:paraId="4C3B6860" w14:textId="11A274C1" w:rsidR="00674A3A" w:rsidRDefault="0014246D" w:rsidP="0014246D">
      <w:pPr>
        <w:pStyle w:val="Heading3"/>
        <w:rPr>
          <w:rtl/>
        </w:rPr>
      </w:pPr>
      <w:bookmarkStart w:id="36" w:name="_Toc223961987"/>
      <w:r>
        <w:rPr>
          <w:rFonts w:hint="cs"/>
          <w:rtl/>
        </w:rPr>
        <w:t>1.3.7</w:t>
      </w:r>
      <w:r w:rsidR="00674A3A">
        <w:rPr>
          <w:rtl/>
        </w:rPr>
        <w:tab/>
        <w:t>أدوات لوائح الراديو</w:t>
      </w:r>
      <w:bookmarkEnd w:id="36"/>
    </w:p>
    <w:p w14:paraId="1E2004B7" w14:textId="77777777" w:rsidR="00674A3A" w:rsidRDefault="00674A3A" w:rsidP="00674A3A">
      <w:pPr>
        <w:rPr>
          <w:rtl/>
        </w:rPr>
      </w:pPr>
      <w:r>
        <w:rPr>
          <w:rtl/>
        </w:rPr>
        <w:t>يواصل المكتب تحديث وصيانة أدوات البرمجيات لتسهيل استعمال وتحليل لوائح الراديو (</w:t>
      </w:r>
      <w:r>
        <w:t>RR</w:t>
      </w:r>
      <w:r>
        <w:rPr>
          <w:rtl/>
        </w:rPr>
        <w:t>):</w:t>
      </w:r>
    </w:p>
    <w:p w14:paraId="4D61B227" w14:textId="1445A28F" w:rsidR="00674A3A" w:rsidRPr="0014246D" w:rsidRDefault="0014246D" w:rsidP="0014246D">
      <w:pPr>
        <w:pStyle w:val="enumlev1"/>
        <w:rPr>
          <w:spacing w:val="-4"/>
          <w:rtl/>
        </w:rPr>
      </w:pPr>
      <w:r w:rsidRPr="0014246D">
        <w:rPr>
          <w:rFonts w:hint="cs"/>
          <w:spacing w:val="-4"/>
          <w:rtl/>
        </w:rPr>
        <w:t> أ )</w:t>
      </w:r>
      <w:r w:rsidR="00674A3A" w:rsidRPr="0014246D">
        <w:rPr>
          <w:spacing w:val="-4"/>
          <w:rtl/>
        </w:rPr>
        <w:tab/>
        <w:t xml:space="preserve">استُكمل تحديث </w:t>
      </w:r>
      <w:r w:rsidR="00674A3A" w:rsidRPr="00C2140C">
        <w:rPr>
          <w:b/>
          <w:bCs/>
          <w:i/>
          <w:iCs/>
          <w:spacing w:val="-4"/>
          <w:rtl/>
        </w:rPr>
        <w:t>أداة تصفح لوائح الراديو</w:t>
      </w:r>
      <w:r w:rsidR="00674A3A" w:rsidRPr="0014246D">
        <w:rPr>
          <w:spacing w:val="-4"/>
          <w:rtl/>
        </w:rPr>
        <w:t xml:space="preserve"> كي تتوافق مع نسخة لوائح الراديو لعام 2024 والنصوص الأخرى ذات الصلة (القواعد الإجرائية والنصوص الأساسية). وأُصدرت البرمجيات المحدثة (المجانية لجميع المستعملين) في أغسطس 2025.</w:t>
      </w:r>
    </w:p>
    <w:p w14:paraId="37FC5B8F" w14:textId="77777777" w:rsidR="00674A3A" w:rsidRDefault="00674A3A" w:rsidP="0014246D">
      <w:pPr>
        <w:pStyle w:val="enumlev1"/>
        <w:rPr>
          <w:rtl/>
        </w:rPr>
      </w:pPr>
      <w:r>
        <w:rPr>
          <w:rtl/>
        </w:rPr>
        <w:t>ب)</w:t>
      </w:r>
      <w:r>
        <w:rPr>
          <w:rtl/>
        </w:rPr>
        <w:tab/>
        <w:t xml:space="preserve">أداة برمجية </w:t>
      </w:r>
      <w:r w:rsidRPr="00C2140C">
        <w:rPr>
          <w:b/>
          <w:bCs/>
          <w:i/>
          <w:iCs/>
          <w:rtl/>
        </w:rPr>
        <w:t>جدول توزيع نطاقات الترددات بموجب المادة 5 من لوائح الراديو</w:t>
      </w:r>
      <w:r>
        <w:rPr>
          <w:rtl/>
        </w:rPr>
        <w:t xml:space="preserve"> المصممة لإجراء بحث وتحليل مفصلين لجدول توزيع نطاقات الترددات في المادة 5 من لوائح الراديو، وتمكِّن من الاصطفاء وإعادة ترتيب النسق حسب مدى الترددات والخدمة وفئة الخدمة والحاشية والبلد، وما إلى ذلك.</w:t>
      </w:r>
    </w:p>
    <w:p w14:paraId="67514B2C" w14:textId="77777777" w:rsidR="00674A3A" w:rsidRDefault="00674A3A" w:rsidP="00674A3A">
      <w:pPr>
        <w:rPr>
          <w:rtl/>
        </w:rPr>
      </w:pPr>
      <w:r>
        <w:rPr>
          <w:rtl/>
        </w:rPr>
        <w:t xml:space="preserve">وقد حُدِّثت الأداة استناداً إلى نتائج المؤتمر </w:t>
      </w:r>
      <w:r>
        <w:t>WRC-23</w:t>
      </w:r>
      <w:r>
        <w:rPr>
          <w:rtl/>
        </w:rPr>
        <w:t xml:space="preserve"> وطبعة 2024 من لوائح الراديو لإدخال التغييرات في توزيع نطاقات الترددات وحواشي البلدان والإحالات ذات الصلة إلى القرارات والتوصيات ذات الصلة. وتشمل أيضاً وصلات إلى توصيات قطاع الاتصالات الراديوية ذات الصلة المحال إليها في المادة 5 من لوائح الراديو، فضلاً عن أحدث صيغة للقواعد الإجرائية ذات الصلة.</w:t>
      </w:r>
    </w:p>
    <w:p w14:paraId="34BDC91A" w14:textId="77777777" w:rsidR="00674A3A" w:rsidRDefault="00674A3A" w:rsidP="00674A3A">
      <w:pPr>
        <w:rPr>
          <w:rtl/>
        </w:rPr>
      </w:pPr>
      <w:r>
        <w:rPr>
          <w:rtl/>
        </w:rPr>
        <w:t xml:space="preserve">والمجموعة مجهزة أيضاً ببرمجية خدمية لاستخلاص الجدول الوطني لتوزيع نطاقات الترددات لبلد معين نظراً لأنه ينتج عن الجمع بين مختلف أحكام المادة 5 من لوائح الراديو. وأُدرجت وحدات نمطية إضافية لإتاحة النفاذ إلى الأحكام ذات الصلة في المواد الأخرى من لوائح الراديو، عندما تتعلق مباشرة بحواشي </w:t>
      </w:r>
      <w:r>
        <w:t>TFA</w:t>
      </w:r>
      <w:r>
        <w:rPr>
          <w:rtl/>
        </w:rPr>
        <w:t xml:space="preserve"> في المادة 5 من لوائح الراديو. وطوال عام 2025، عُرضت كيفية استخدام الأداة خلال العديد من الحلقات الدراسية وورش العمل الإقليمية للاتصالات الراديوية المكرَّسة لإدارة الطيف (جيبوتي وتيغوسيغالبا وتشنغدو).</w:t>
      </w:r>
    </w:p>
    <w:p w14:paraId="6FD8B66C" w14:textId="77777777" w:rsidR="00674A3A" w:rsidRDefault="00674A3A" w:rsidP="00674A3A">
      <w:pPr>
        <w:rPr>
          <w:rtl/>
        </w:rPr>
      </w:pPr>
      <w:r>
        <w:rPr>
          <w:rtl/>
        </w:rPr>
        <w:t>وستُوفر جميع تحديثات البرمجيات والبيانات بانتظام وبصورة مجانية للمشتركين حتى نشر الإصدار الجديد بناءً على القرارات التي سيتخذها المؤتمر</w:t>
      </w:r>
      <w:r>
        <w:t>WRC-27</w:t>
      </w:r>
      <w:r>
        <w:rPr>
          <w:rtl/>
        </w:rPr>
        <w:t>.</w:t>
      </w:r>
    </w:p>
    <w:p w14:paraId="67DB2E1D" w14:textId="61BA884A" w:rsidR="00674A3A" w:rsidRDefault="00131EAC" w:rsidP="00131EAC">
      <w:pPr>
        <w:pStyle w:val="Heading3"/>
        <w:rPr>
          <w:rtl/>
        </w:rPr>
      </w:pPr>
      <w:bookmarkStart w:id="37" w:name="_Toc223961988"/>
      <w:r>
        <w:rPr>
          <w:rFonts w:hint="cs"/>
          <w:rtl/>
        </w:rPr>
        <w:t>2.3.7</w:t>
      </w:r>
      <w:r w:rsidR="00674A3A">
        <w:rPr>
          <w:rtl/>
        </w:rPr>
        <w:tab/>
        <w:t>أنظمة المعلومات الجغرافية لدى مكتب الاتصالات الراديوية (</w:t>
      </w:r>
      <w:r w:rsidR="00674A3A">
        <w:t>GIS</w:t>
      </w:r>
      <w:r w:rsidR="00674A3A">
        <w:rPr>
          <w:rtl/>
        </w:rPr>
        <w:t>)</w:t>
      </w:r>
      <w:bookmarkEnd w:id="37"/>
    </w:p>
    <w:p w14:paraId="50720635" w14:textId="77777777" w:rsidR="00816C27" w:rsidRDefault="00674A3A" w:rsidP="00674A3A">
      <w:pPr>
        <w:rPr>
          <w:rtl/>
        </w:rPr>
      </w:pPr>
      <w:r>
        <w:rPr>
          <w:rtl/>
        </w:rPr>
        <w:t>أُنشئ فريق المهام التابع لمكتب الاتصالات الراديوية المعني بنظام المعلومات الجغرافية، وهو يتألف من موظفين من جميع دوائر مكتب الاتصالات الراديوية، لتنسيق أنشطة نظام المعلومات الجغرافية في مكتب الاتصالات الراديوية.</w:t>
      </w:r>
    </w:p>
    <w:p w14:paraId="30CA0363" w14:textId="1DF0E873" w:rsidR="00674A3A" w:rsidRDefault="00674A3A" w:rsidP="00674A3A">
      <w:pPr>
        <w:rPr>
          <w:rtl/>
        </w:rPr>
      </w:pPr>
      <w:r>
        <w:rPr>
          <w:rtl/>
        </w:rPr>
        <w:t xml:space="preserve">ونفذ فريق المهام </w:t>
      </w:r>
      <w:hyperlink r:id="rId63" w:history="1">
        <w:r w:rsidRPr="00131EAC">
          <w:rPr>
            <w:rStyle w:val="Hyperlink"/>
            <w:rtl/>
          </w:rPr>
          <w:t>منصة نظام المعلومات الجغرافية (</w:t>
        </w:r>
        <w:r w:rsidRPr="00131EAC">
          <w:rPr>
            <w:rStyle w:val="Hyperlink"/>
          </w:rPr>
          <w:t>GIS</w:t>
        </w:r>
        <w:r w:rsidRPr="00131EAC">
          <w:rPr>
            <w:rStyle w:val="Hyperlink"/>
            <w:rtl/>
          </w:rPr>
          <w:t>) لدى مكتب الاتصالات الراديوية</w:t>
        </w:r>
      </w:hyperlink>
      <w:r>
        <w:rPr>
          <w:rtl/>
        </w:rPr>
        <w:t xml:space="preserve"> على أنها منصة جغرافية مكانية حديثة مفتوحة المصدر في حاويات تدير مجموعات البيانات الجغرافية المكانية (بما في ذلك مجموعات بيانات الأرصاد الجوية الراديوية لدى خريطة العالم الرقمية للاتحاد (</w:t>
      </w:r>
      <w:r>
        <w:t>IDWM</w:t>
      </w:r>
      <w:r>
        <w:rPr>
          <w:rtl/>
        </w:rPr>
        <w:t>) ولجنة الدراسات 3)، وهي جاهزة الآن لعمليات النشر السحابية.</w:t>
      </w:r>
    </w:p>
    <w:p w14:paraId="50F0B3EC" w14:textId="77777777" w:rsidR="00674A3A" w:rsidRDefault="00674A3A" w:rsidP="00674A3A">
      <w:pPr>
        <w:rPr>
          <w:rtl/>
        </w:rPr>
      </w:pPr>
      <w:r>
        <w:rPr>
          <w:rtl/>
        </w:rPr>
        <w:t>ولا ينفك دمج مكتبة نماذج خرائط وضعها فريق المهام في العديد من أدوات خدمات الأرض، ويمكن إعادة استخدامها لضمان تناسق الشكل والمظهر في تطبيقات الويب الخاصة بمكتب الاتصالات الراديوية.</w:t>
      </w:r>
    </w:p>
    <w:p w14:paraId="5AEB516C" w14:textId="6A86E137" w:rsidR="00816C27" w:rsidRDefault="00131EAC" w:rsidP="00131EAC">
      <w:pPr>
        <w:pStyle w:val="Heading3"/>
        <w:rPr>
          <w:rtl/>
        </w:rPr>
      </w:pPr>
      <w:bookmarkStart w:id="38" w:name="_Toc223961989"/>
      <w:r>
        <w:rPr>
          <w:rFonts w:hint="cs"/>
          <w:rtl/>
        </w:rPr>
        <w:t>3.3.7</w:t>
      </w:r>
      <w:r w:rsidR="00674A3A">
        <w:rPr>
          <w:rtl/>
        </w:rPr>
        <w:tab/>
        <w:t>أنشطة مكتب الاتصالات الراديوية بشأن الذكاء الاصطناعي الجغرافي المكاني (</w:t>
      </w:r>
      <w:r w:rsidR="00674A3A">
        <w:t>GeoAI</w:t>
      </w:r>
      <w:r w:rsidR="00674A3A">
        <w:rPr>
          <w:rtl/>
        </w:rPr>
        <w:t>)</w:t>
      </w:r>
      <w:bookmarkEnd w:id="38"/>
    </w:p>
    <w:p w14:paraId="72087E2B" w14:textId="2F9E7BBD" w:rsidR="00674A3A" w:rsidRPr="00131EAC" w:rsidRDefault="00674A3A" w:rsidP="00674A3A">
      <w:pPr>
        <w:rPr>
          <w:spacing w:val="-2"/>
          <w:rtl/>
        </w:rPr>
      </w:pPr>
      <w:r w:rsidRPr="00131EAC">
        <w:rPr>
          <w:spacing w:val="-2"/>
          <w:rtl/>
        </w:rPr>
        <w:t xml:space="preserve">يبحث مكتب الاتصالات الراديوية، مع شركاء مثل وكالة الفضاء الأوروبية ومعهد ميلانو للتكنولوجيا التقنية، في كيفية الاستفادة من نماذج الذكاء الاصطناعي </w:t>
      </w:r>
      <w:r w:rsidR="00131EAC" w:rsidRPr="00131EAC">
        <w:rPr>
          <w:rFonts w:hint="cs"/>
          <w:spacing w:val="-2"/>
          <w:rtl/>
        </w:rPr>
        <w:t>الجغرافي</w:t>
      </w:r>
      <w:r w:rsidRPr="00131EAC">
        <w:rPr>
          <w:spacing w:val="-2"/>
          <w:rtl/>
        </w:rPr>
        <w:t xml:space="preserve"> المكاني ونماذج الأساس الجغرافي المكاني لاستحداث مجموعة بيانات عالمية تتألف من نماذج السطح الرقمية (</w:t>
      </w:r>
      <w:r w:rsidRPr="00131EAC">
        <w:rPr>
          <w:spacing w:val="-2"/>
        </w:rPr>
        <w:t>DSM</w:t>
      </w:r>
      <w:r w:rsidRPr="00131EAC">
        <w:rPr>
          <w:spacing w:val="-2"/>
          <w:rtl/>
        </w:rPr>
        <w:t>) ونماذج السطح الرقمي (</w:t>
      </w:r>
      <w:r w:rsidRPr="00131EAC">
        <w:rPr>
          <w:spacing w:val="-2"/>
        </w:rPr>
        <w:t>DTM</w:t>
      </w:r>
      <w:r w:rsidRPr="00131EAC">
        <w:rPr>
          <w:spacing w:val="-2"/>
          <w:rtl/>
        </w:rPr>
        <w:t>) مع فئات تغطية الأرضي التي لا تستخدم إلا صوراً ساتلية مفتوحة المصدر. ومجموعات البيانات العالمية هذه مهمة جداً لتنفيذ بعض طرائق قطاع الاتصالات الراديوية للتنبؤ بانتشار الموجات الراديوية، المُستخدمة للمساعدة في تحديد إمكانيات تقاسم الطيف وتحسين تحليل التداخل وتقدير التغطية وجهود التنسيق.</w:t>
      </w:r>
    </w:p>
    <w:p w14:paraId="4ADD1A87" w14:textId="4F6783A8" w:rsidR="00674A3A" w:rsidRDefault="00131EAC" w:rsidP="00131EAC">
      <w:pPr>
        <w:pStyle w:val="Heading2"/>
        <w:rPr>
          <w:rtl/>
        </w:rPr>
      </w:pPr>
      <w:bookmarkStart w:id="39" w:name="_Toc223961990"/>
      <w:r>
        <w:t>4.7</w:t>
      </w:r>
      <w:r w:rsidR="00674A3A">
        <w:rPr>
          <w:rtl/>
        </w:rPr>
        <w:tab/>
        <w:t>استمرارية الأعمال والتعافي من الكوارث</w:t>
      </w:r>
      <w:bookmarkEnd w:id="39"/>
    </w:p>
    <w:p w14:paraId="52BAAEF8" w14:textId="77777777" w:rsidR="00816C27" w:rsidRDefault="00674A3A" w:rsidP="00674A3A">
      <w:pPr>
        <w:rPr>
          <w:rtl/>
        </w:rPr>
      </w:pPr>
      <w:r>
        <w:rPr>
          <w:rtl/>
        </w:rPr>
        <w:t>يُشار إلى سجل المخاطر التابع لمكتب الاتصالات الراديوية في الخطة التشغيلية للمكتب. وسيستمر العمل على مواصلة تعزيز إطار إدارة المخاطر في الاتحاد في عام 2026، من خلال جلسات تدريبية سينظمها منسق نظام إدارة الصمود في المنظمة (</w:t>
      </w:r>
      <w:r>
        <w:t>ORMS</w:t>
      </w:r>
      <w:r>
        <w:rPr>
          <w:rtl/>
        </w:rPr>
        <w:t>) في الاتحاد ومدير مخاطر أعمال المنظمة لدى الاتحاد.</w:t>
      </w:r>
    </w:p>
    <w:p w14:paraId="479D6D4B" w14:textId="2DCCB1BB" w:rsidR="00674A3A" w:rsidRDefault="00131EAC" w:rsidP="00131EAC">
      <w:pPr>
        <w:pStyle w:val="Heading2"/>
        <w:rPr>
          <w:rtl/>
        </w:rPr>
      </w:pPr>
      <w:bookmarkStart w:id="40" w:name="_Toc223961991"/>
      <w:r>
        <w:lastRenderedPageBreak/>
        <w:t>5.7</w:t>
      </w:r>
      <w:r w:rsidR="00674A3A">
        <w:rPr>
          <w:rtl/>
        </w:rPr>
        <w:tab/>
        <w:t>الحوسبة السحابية</w:t>
      </w:r>
      <w:bookmarkEnd w:id="40"/>
    </w:p>
    <w:p w14:paraId="7D76AB70" w14:textId="77777777" w:rsidR="00674A3A" w:rsidRDefault="00674A3A" w:rsidP="00674A3A">
      <w:pPr>
        <w:rPr>
          <w:rtl/>
        </w:rPr>
      </w:pPr>
      <w:r>
        <w:rPr>
          <w:rtl/>
        </w:rPr>
        <w:t>واصل فريق المهام المعني بالانتقال إلى الخدمات السحابية التابع لمكتب الاتصالات الراديوية العمل بشكل وثيق مع رؤساء الأقسام الأخرى في مكتب الاتصالات الراديوية ودائرة خدمات المعلومات من أجل وضع خارطة طريق للانتقال إلى الخدمات السحابية لتطبيقات مكتب الاتصالات الراديوية بما يتماشى مع استراتيجية الاتحاد الأشمل بشأن الانتقال إلى الخدمات السحابية.</w:t>
      </w:r>
    </w:p>
    <w:p w14:paraId="4C9BD5AF" w14:textId="77777777" w:rsidR="00674A3A" w:rsidRDefault="00674A3A" w:rsidP="00131EAC">
      <w:pPr>
        <w:pStyle w:val="Heading1"/>
        <w:rPr>
          <w:rtl/>
        </w:rPr>
      </w:pPr>
      <w:bookmarkStart w:id="41" w:name="_Toc223961992"/>
      <w:r>
        <w:rPr>
          <w:rtl/>
        </w:rPr>
        <w:t>8</w:t>
      </w:r>
      <w:r>
        <w:rPr>
          <w:rtl/>
        </w:rPr>
        <w:tab/>
        <w:t>التوعية</w:t>
      </w:r>
      <w:bookmarkEnd w:id="41"/>
    </w:p>
    <w:p w14:paraId="116166EE" w14:textId="77777777" w:rsidR="00674A3A" w:rsidRDefault="00674A3A" w:rsidP="00674A3A">
      <w:pPr>
        <w:rPr>
          <w:rtl/>
        </w:rPr>
      </w:pPr>
      <w:r>
        <w:rPr>
          <w:rtl/>
        </w:rPr>
        <w:t>تشمل أنشطة التوعية تقديم المعلومات والمساعدة للأعضاء، ونشر مخرجات قطاع الاتصالات الراديوية، وتنظيم الحلقات الدراسية وورش العمل والمشاركة فيها، وكذلك تطوير أدوات الاتصال والترويج وصيانتها. والغرض من هذه الأنشطة هو ضمان نشر النواتج التي ينتجها قطاع الاتصالات الراديوية (اللوائح والتوصيات والتقارير والكتيبات) في جميع أنحاء العالم بحيث يمكن أن تشكل أساساً لصياغة سياسات وقرارات وطنية وإقليمية بشأن استعمال الطيف الراديوي. ولتنفيذ هذه الأنشطة، يعتمد المكتب على التعاون الوثيق مع المكتبين والأمانة العامة والمكاتب الإقليمية ومكاتب المناطق التابعة للاتحاد والمنظمات الدولية والهيئات الوطنية ذات الصلة.</w:t>
      </w:r>
    </w:p>
    <w:p w14:paraId="60B66F75" w14:textId="1AEC9FC0" w:rsidR="00674A3A" w:rsidRDefault="00131EAC" w:rsidP="00131EAC">
      <w:pPr>
        <w:pStyle w:val="Heading2"/>
        <w:rPr>
          <w:rtl/>
        </w:rPr>
      </w:pPr>
      <w:bookmarkStart w:id="42" w:name="_Toc223961993"/>
      <w:r>
        <w:t>1.8</w:t>
      </w:r>
      <w:r w:rsidR="00674A3A">
        <w:rPr>
          <w:rtl/>
        </w:rPr>
        <w:tab/>
        <w:t>المنشورات</w:t>
      </w:r>
      <w:bookmarkEnd w:id="42"/>
    </w:p>
    <w:p w14:paraId="51DEC1C8" w14:textId="1138D8EE" w:rsidR="00674A3A" w:rsidRDefault="00131EAC" w:rsidP="00131EAC">
      <w:pPr>
        <w:pStyle w:val="Heading3"/>
        <w:rPr>
          <w:rtl/>
        </w:rPr>
      </w:pPr>
      <w:bookmarkStart w:id="43" w:name="_Toc223961994"/>
      <w:r>
        <w:t>1.1.8</w:t>
      </w:r>
      <w:r w:rsidR="00674A3A">
        <w:rPr>
          <w:rtl/>
        </w:rPr>
        <w:tab/>
        <w:t>المنشورات التنظيمية</w:t>
      </w:r>
      <w:bookmarkEnd w:id="43"/>
    </w:p>
    <w:p w14:paraId="69BCED2C" w14:textId="77777777" w:rsidR="00674A3A" w:rsidRDefault="00674A3A" w:rsidP="00674A3A">
      <w:pPr>
        <w:rPr>
          <w:rtl/>
        </w:rPr>
      </w:pPr>
      <w:r>
        <w:rPr>
          <w:rtl/>
        </w:rPr>
        <w:t>تعد المنشورات التنظيمية جزءاً لا يتجزأ من اللوائح الإدارية: لوائح الراديو، التي تتضمن النصوص الكاملة التي اعتمدها المؤتمر العالمي للاتصالات الراديوية، والوثائق الختامية والقواعد الإجرائية التي تعد نصوصاً داعمة للوائح الراديو.</w:t>
      </w:r>
    </w:p>
    <w:p w14:paraId="0FE390D2" w14:textId="77777777" w:rsidR="00674A3A" w:rsidRDefault="00674A3A" w:rsidP="00674A3A">
      <w:pPr>
        <w:rPr>
          <w:rtl/>
        </w:rPr>
      </w:pPr>
      <w:r>
        <w:rPr>
          <w:rtl/>
        </w:rPr>
        <w:t>وقد نُشر تحديث السادس لطبعة القواعد الإجرائية لعام 2021 في يوليو 2025.</w:t>
      </w:r>
    </w:p>
    <w:p w14:paraId="283787FB" w14:textId="77777777" w:rsidR="00674A3A" w:rsidRDefault="00674A3A" w:rsidP="00674A3A">
      <w:pPr>
        <w:rPr>
          <w:rtl/>
        </w:rPr>
      </w:pPr>
      <w:r>
        <w:rPr>
          <w:rtl/>
        </w:rPr>
        <w:t>ونُشرت القواعد الإجرائية، طبعة 2025، في ديسمبر 2025.</w:t>
      </w:r>
    </w:p>
    <w:p w14:paraId="75686ACB" w14:textId="77777777" w:rsidR="00674A3A" w:rsidRDefault="00674A3A" w:rsidP="00674A3A">
      <w:pPr>
        <w:rPr>
          <w:rtl/>
        </w:rPr>
      </w:pPr>
      <w:r>
        <w:rPr>
          <w:rtl/>
        </w:rPr>
        <w:t>ونشر مكتب الاتصالات الراديوية أيضاً أحد عشر جدولاً للإذاعة على الموجات الديكامترية (</w:t>
      </w:r>
      <w:r>
        <w:t>HFBC</w:t>
      </w:r>
      <w:r>
        <w:rPr>
          <w:rtl/>
        </w:rPr>
        <w:t xml:space="preserve">) كل عام وفقاً للمادة </w:t>
      </w:r>
      <w:r w:rsidRPr="00E72ABC">
        <w:rPr>
          <w:b/>
          <w:bCs/>
          <w:rtl/>
        </w:rPr>
        <w:t>12</w:t>
      </w:r>
      <w:r>
        <w:rPr>
          <w:rtl/>
        </w:rPr>
        <w:t xml:space="preserve"> من لوائح الراديو.</w:t>
      </w:r>
    </w:p>
    <w:p w14:paraId="41D5D9F1" w14:textId="302AD76A" w:rsidR="00674A3A" w:rsidRDefault="00E72ABC" w:rsidP="00E72ABC">
      <w:pPr>
        <w:pStyle w:val="Heading3"/>
        <w:rPr>
          <w:rtl/>
        </w:rPr>
      </w:pPr>
      <w:bookmarkStart w:id="44" w:name="_Toc223961995"/>
      <w:r>
        <w:t>2.1.8</w:t>
      </w:r>
      <w:r w:rsidR="00674A3A">
        <w:rPr>
          <w:rtl/>
        </w:rPr>
        <w:tab/>
        <w:t>منشورات الخدمة</w:t>
      </w:r>
      <w:bookmarkEnd w:id="44"/>
    </w:p>
    <w:p w14:paraId="4416D77B" w14:textId="239C9F9A" w:rsidR="00674A3A" w:rsidRDefault="00E72ABC" w:rsidP="00E72ABC">
      <w:pPr>
        <w:pStyle w:val="Heading4"/>
        <w:rPr>
          <w:rtl/>
        </w:rPr>
      </w:pPr>
      <w:r>
        <w:t>1.2.1.8</w:t>
      </w:r>
      <w:r w:rsidR="00674A3A">
        <w:rPr>
          <w:rtl/>
        </w:rPr>
        <w:tab/>
        <w:t>معلومات أساسية وملاحظات عامة</w:t>
      </w:r>
    </w:p>
    <w:p w14:paraId="3B5556DC" w14:textId="77777777" w:rsidR="00674A3A" w:rsidRDefault="00674A3A" w:rsidP="00674A3A">
      <w:pPr>
        <w:rPr>
          <w:rtl/>
        </w:rPr>
      </w:pPr>
      <w:r>
        <w:rPr>
          <w:rtl/>
        </w:rPr>
        <w:t xml:space="preserve">يعد المكتب منشورات الخدمة التالية ويصدرها على النحو المحدد في المادة </w:t>
      </w:r>
      <w:r w:rsidRPr="008668C4">
        <w:rPr>
          <w:b/>
          <w:bCs/>
          <w:rtl/>
        </w:rPr>
        <w:t>20</w:t>
      </w:r>
      <w:r>
        <w:rPr>
          <w:rtl/>
        </w:rPr>
        <w:t xml:space="preserve"> من لوائح الراديو:</w:t>
      </w:r>
    </w:p>
    <w:p w14:paraId="53F21335" w14:textId="70B32233" w:rsidR="00674A3A" w:rsidRDefault="00E72ABC" w:rsidP="00E72ABC">
      <w:pPr>
        <w:pStyle w:val="enumlev1"/>
        <w:rPr>
          <w:rtl/>
        </w:rPr>
      </w:pPr>
      <w:r>
        <w:sym w:font="Wingdings 2" w:char="F097"/>
      </w:r>
      <w:r w:rsidR="00674A3A">
        <w:rPr>
          <w:rtl/>
        </w:rPr>
        <w:tab/>
      </w:r>
      <w:r w:rsidR="00674A3A">
        <w:t>BR IFIC</w:t>
      </w:r>
      <w:r w:rsidR="00674A3A">
        <w:rPr>
          <w:rtl/>
        </w:rPr>
        <w:t xml:space="preserve"> - النشرة الإعلامية الدولية للترددات</w:t>
      </w:r>
    </w:p>
    <w:p w14:paraId="08D7B791" w14:textId="08345FE4" w:rsidR="00674A3A" w:rsidRDefault="00E72ABC" w:rsidP="00E72ABC">
      <w:pPr>
        <w:pStyle w:val="enumlev1"/>
        <w:rPr>
          <w:rtl/>
        </w:rPr>
      </w:pPr>
      <w:r>
        <w:sym w:font="Wingdings 2" w:char="F097"/>
      </w:r>
      <w:r w:rsidR="00674A3A">
        <w:rPr>
          <w:rtl/>
        </w:rPr>
        <w:tab/>
        <w:t xml:space="preserve">القائمة </w:t>
      </w:r>
      <w:r w:rsidR="00674A3A">
        <w:t>IV</w:t>
      </w:r>
      <w:r w:rsidR="00674A3A">
        <w:rPr>
          <w:rtl/>
        </w:rPr>
        <w:t xml:space="preserve"> - قائمة المحطات الساحلية ومحطات الخدمات الخاصة</w:t>
      </w:r>
    </w:p>
    <w:p w14:paraId="56A9EAF3" w14:textId="6EDB81E8" w:rsidR="00674A3A" w:rsidRDefault="00E72ABC" w:rsidP="00E72ABC">
      <w:pPr>
        <w:pStyle w:val="enumlev1"/>
        <w:rPr>
          <w:rtl/>
        </w:rPr>
      </w:pPr>
      <w:r>
        <w:sym w:font="Wingdings 2" w:char="F097"/>
      </w:r>
      <w:r w:rsidR="00674A3A">
        <w:rPr>
          <w:rtl/>
        </w:rPr>
        <w:tab/>
        <w:t xml:space="preserve">القائمة </w:t>
      </w:r>
      <w:r w:rsidR="00674A3A">
        <w:t>V</w:t>
      </w:r>
      <w:r w:rsidR="00674A3A">
        <w:rPr>
          <w:rtl/>
        </w:rPr>
        <w:t xml:space="preserve"> - قائمة محطات السفن وتخصيصات هويات الخدمة المتنقلة البحرية</w:t>
      </w:r>
    </w:p>
    <w:p w14:paraId="4FA74BBC" w14:textId="691B8FE5" w:rsidR="00674A3A" w:rsidRDefault="00E72ABC" w:rsidP="00E72ABC">
      <w:pPr>
        <w:pStyle w:val="enumlev1"/>
        <w:rPr>
          <w:rtl/>
        </w:rPr>
      </w:pPr>
      <w:r>
        <w:sym w:font="Wingdings 2" w:char="F097"/>
      </w:r>
      <w:r w:rsidR="00674A3A">
        <w:rPr>
          <w:rtl/>
        </w:rPr>
        <w:tab/>
        <w:t xml:space="preserve">القائمة </w:t>
      </w:r>
      <w:r w:rsidR="00674A3A">
        <w:t>VIII</w:t>
      </w:r>
      <w:r w:rsidR="00674A3A">
        <w:rPr>
          <w:rtl/>
        </w:rPr>
        <w:t xml:space="preserve"> - قائمة محطات المراقبة الدولية</w:t>
      </w:r>
    </w:p>
    <w:p w14:paraId="601154DF" w14:textId="0DC2D3D2" w:rsidR="00674A3A" w:rsidRDefault="00E72ABC" w:rsidP="00E72ABC">
      <w:pPr>
        <w:pStyle w:val="enumlev1"/>
        <w:rPr>
          <w:rtl/>
        </w:rPr>
      </w:pPr>
      <w:r>
        <w:sym w:font="Wingdings 2" w:char="F097"/>
      </w:r>
      <w:r w:rsidR="00674A3A">
        <w:rPr>
          <w:rtl/>
        </w:rPr>
        <w:tab/>
        <w:t>دليل استعمال الخدمة المتنقلة البحرية والخدمة المتنقلة البحرية الساتلية (الدليل البحري)</w:t>
      </w:r>
    </w:p>
    <w:p w14:paraId="13F1C63B" w14:textId="5EFE04D6" w:rsidR="00674A3A" w:rsidRDefault="0097558D" w:rsidP="0097558D">
      <w:pPr>
        <w:pStyle w:val="Heading4"/>
        <w:rPr>
          <w:rtl/>
        </w:rPr>
      </w:pPr>
      <w:r>
        <w:t>2.2.1.8</w:t>
      </w:r>
      <w:r w:rsidR="00674A3A">
        <w:rPr>
          <w:rtl/>
        </w:rPr>
        <w:tab/>
        <w:t xml:space="preserve">قائمة المحطات الساحلية ومحطات الخدمات الخاصة (القائمة </w:t>
      </w:r>
      <w:r w:rsidR="00674A3A">
        <w:t>IV</w:t>
      </w:r>
      <w:r w:rsidR="00674A3A">
        <w:rPr>
          <w:rtl/>
        </w:rPr>
        <w:t>)</w:t>
      </w:r>
    </w:p>
    <w:p w14:paraId="00386A20" w14:textId="77777777" w:rsidR="00816C27" w:rsidRPr="0097558D" w:rsidRDefault="00674A3A" w:rsidP="00674A3A">
      <w:pPr>
        <w:rPr>
          <w:spacing w:val="-2"/>
          <w:rtl/>
        </w:rPr>
      </w:pPr>
      <w:r w:rsidRPr="0097558D">
        <w:rPr>
          <w:spacing w:val="-2"/>
          <w:rtl/>
        </w:rPr>
        <w:t xml:space="preserve">تتضمن هذه القائمة معلومات أبلغ بها الاتحاد الدولي للاتصالات (أي الرمز الدليلي للنداء، </w:t>
      </w:r>
      <w:r w:rsidRPr="0097558D">
        <w:rPr>
          <w:spacing w:val="-2"/>
        </w:rPr>
        <w:t>MMSI</w:t>
      </w:r>
      <w:r w:rsidRPr="0097558D">
        <w:rPr>
          <w:spacing w:val="-2"/>
          <w:rtl/>
        </w:rPr>
        <w:t>، الإحداثيات الجغرافية، ترددات الإرسال والاستقبال، وما إلى ذلك) للمحطات الساحلية التي توفر المراقبة باستعمال تقنيات النداء الانتقائي الرقمي، وخدمة المراسلة العمومية، والمشورة الطبية، والإنذارات الملاحية والأرصاد الجوية، وتبليغات للملاحة وإشارات التوقيت الراديوي، وما إلى ذلك.</w:t>
      </w:r>
    </w:p>
    <w:p w14:paraId="6EB3F812" w14:textId="77777777" w:rsidR="00816C27" w:rsidRDefault="00674A3A" w:rsidP="00674A3A">
      <w:pPr>
        <w:rPr>
          <w:rtl/>
        </w:rPr>
      </w:pPr>
      <w:r>
        <w:rPr>
          <w:rtl/>
        </w:rPr>
        <w:t xml:space="preserve">وتنشر قائمة المحطات الساحلية ومحطات الخدمات الخاصة (القائمة </w:t>
      </w:r>
      <w:r>
        <w:t>IV</w:t>
      </w:r>
      <w:r>
        <w:rPr>
          <w:rtl/>
        </w:rPr>
        <w:t xml:space="preserve">) كل سنتين. ونُشرت الطبعة الأحدث من القائمة </w:t>
      </w:r>
      <w:r>
        <w:t>IV</w:t>
      </w:r>
      <w:r>
        <w:rPr>
          <w:rtl/>
        </w:rPr>
        <w:t xml:space="preserve"> في نوفمبر 2025.</w:t>
      </w:r>
    </w:p>
    <w:p w14:paraId="113BA7F6" w14:textId="20CA098B" w:rsidR="00816C27" w:rsidRDefault="00674A3A" w:rsidP="00674A3A">
      <w:pPr>
        <w:rPr>
          <w:rtl/>
        </w:rPr>
      </w:pPr>
      <w:r>
        <w:rPr>
          <w:rtl/>
        </w:rPr>
        <w:t>وتُتاح المعلومات المتعلقة بهذه القائمة عن طريق نظام المعلومات الإلكتروني الخاص بنظام النفاذ والاستخراج المتنقل البحري</w:t>
      </w:r>
      <w:r w:rsidR="00594462">
        <w:rPr>
          <w:rFonts w:hint="eastAsia"/>
          <w:rtl/>
        </w:rPr>
        <w:t> </w:t>
      </w:r>
      <w:r>
        <w:rPr>
          <w:rtl/>
        </w:rPr>
        <w:t>(</w:t>
      </w:r>
      <w:r>
        <w:t>MARS</w:t>
      </w:r>
      <w:r>
        <w:rPr>
          <w:rtl/>
        </w:rPr>
        <w:t>) لدى الاتحاد.</w:t>
      </w:r>
    </w:p>
    <w:p w14:paraId="40CB8CC3" w14:textId="1179BA5B" w:rsidR="00674A3A" w:rsidRDefault="006308B3" w:rsidP="0097558D">
      <w:pPr>
        <w:pStyle w:val="Heading4"/>
        <w:rPr>
          <w:rtl/>
        </w:rPr>
      </w:pPr>
      <w:r>
        <w:lastRenderedPageBreak/>
        <w:t>3.2.1.8</w:t>
      </w:r>
      <w:r w:rsidR="00674A3A">
        <w:rPr>
          <w:rtl/>
        </w:rPr>
        <w:tab/>
        <w:t xml:space="preserve">قائمة محطات السفن وتخصيصات هويات الخدمة المتنقلة البحرية (القائمة </w:t>
      </w:r>
      <w:r w:rsidR="00674A3A">
        <w:t>V</w:t>
      </w:r>
      <w:r w:rsidR="00674A3A">
        <w:rPr>
          <w:rtl/>
        </w:rPr>
        <w:t>)</w:t>
      </w:r>
    </w:p>
    <w:p w14:paraId="5BE3D919" w14:textId="77777777" w:rsidR="00674A3A" w:rsidRDefault="00674A3A" w:rsidP="00674A3A">
      <w:pPr>
        <w:rPr>
          <w:rtl/>
        </w:rPr>
      </w:pPr>
      <w:r>
        <w:rPr>
          <w:rtl/>
        </w:rPr>
        <w:t>تتضمن هذه القائمة معلومات أبلغ بها الاتحاد بشأن محطات طائرات السفن والسواحل والبحث والإنقاذ (</w:t>
      </w:r>
      <w:r>
        <w:t>SAR</w:t>
      </w:r>
      <w:r>
        <w:rPr>
          <w:rtl/>
        </w:rPr>
        <w:t>) ورموز تعرف هوية السلطة المكلفة بالمحاسبة (</w:t>
      </w:r>
      <w:r>
        <w:t>AAIC</w:t>
      </w:r>
      <w:r>
        <w:rPr>
          <w:rtl/>
        </w:rPr>
        <w:t>) ومعلومات الاتصال بالإدارات المبلغة.</w:t>
      </w:r>
    </w:p>
    <w:p w14:paraId="06221771" w14:textId="77777777" w:rsidR="00816C27" w:rsidRDefault="00674A3A" w:rsidP="00674A3A">
      <w:pPr>
        <w:rPr>
          <w:rtl/>
        </w:rPr>
      </w:pPr>
      <w:r>
        <w:rPr>
          <w:rtl/>
        </w:rPr>
        <w:t xml:space="preserve">وتُنشر كل سنة قائمة محطات السفن وتخصيصات هويات الخدمة المتنقلة البحرية (القائمة </w:t>
      </w:r>
      <w:r>
        <w:t>V</w:t>
      </w:r>
      <w:r>
        <w:rPr>
          <w:rtl/>
        </w:rPr>
        <w:t xml:space="preserve">) ونُشرت الطبعة الأحدث من القائمة </w:t>
      </w:r>
      <w:r>
        <w:t>V</w:t>
      </w:r>
      <w:r>
        <w:rPr>
          <w:rtl/>
        </w:rPr>
        <w:t xml:space="preserve"> في أبريل 2025.</w:t>
      </w:r>
    </w:p>
    <w:p w14:paraId="2D9C48FB" w14:textId="38A752D9" w:rsidR="00674A3A" w:rsidRDefault="00674A3A" w:rsidP="00674A3A">
      <w:pPr>
        <w:rPr>
          <w:rtl/>
        </w:rPr>
      </w:pPr>
      <w:r>
        <w:rPr>
          <w:rtl/>
        </w:rPr>
        <w:t xml:space="preserve">وتتاح أيضاً المعلومات المتعلقة بهذه القائمة عن طريق نظام المعلومات </w:t>
      </w:r>
      <w:r>
        <w:t>MARS</w:t>
      </w:r>
      <w:r>
        <w:rPr>
          <w:rtl/>
        </w:rPr>
        <w:t xml:space="preserve"> عبر الإنترنت. ويتاح تجميع لجميع التغييرات المبلغ عنها إلى الاتحاد على شبكة الإنترنت كل ثلاثة أشهر.</w:t>
      </w:r>
    </w:p>
    <w:p w14:paraId="5FA89A9A" w14:textId="58371A34" w:rsidR="00674A3A" w:rsidRDefault="006308B3" w:rsidP="006308B3">
      <w:pPr>
        <w:pStyle w:val="Heading4"/>
        <w:rPr>
          <w:rtl/>
        </w:rPr>
      </w:pPr>
      <w:r>
        <w:t>4.2.1.8</w:t>
      </w:r>
      <w:r w:rsidR="00674A3A">
        <w:rPr>
          <w:rtl/>
        </w:rPr>
        <w:tab/>
        <w:t xml:space="preserve">قائمة محطات المراقبة الدولية (القائمة </w:t>
      </w:r>
      <w:r w:rsidR="00674A3A">
        <w:t>VIII</w:t>
      </w:r>
      <w:r w:rsidR="00674A3A">
        <w:rPr>
          <w:rtl/>
        </w:rPr>
        <w:t>)</w:t>
      </w:r>
    </w:p>
    <w:p w14:paraId="7FBE5511" w14:textId="77777777" w:rsidR="00816C27" w:rsidRDefault="00674A3A" w:rsidP="00674A3A">
      <w:pPr>
        <w:rPr>
          <w:rtl/>
        </w:rPr>
      </w:pPr>
      <w:r>
        <w:rPr>
          <w:rtl/>
        </w:rPr>
        <w:t xml:space="preserve">تتضمن قائمة محطات المراقبة الدولية (القائمة </w:t>
      </w:r>
      <w:r>
        <w:t>VIII</w:t>
      </w:r>
      <w:r>
        <w:rPr>
          <w:rtl/>
        </w:rPr>
        <w:t>) العناوين والمعلومات الأخرى ذات الصلة بالمكاتب المركزية، بما في ذلك المعلومات التفصيلية المتعلقة بمحطات المراقبة التي تقيس إرسالات الأرض والإرسالات الفضائية.</w:t>
      </w:r>
    </w:p>
    <w:p w14:paraId="47E06F09" w14:textId="64E9FDE6" w:rsidR="00674A3A" w:rsidRDefault="00674A3A" w:rsidP="00674A3A">
      <w:pPr>
        <w:rPr>
          <w:rtl/>
        </w:rPr>
      </w:pPr>
      <w:r>
        <w:rPr>
          <w:rtl/>
        </w:rPr>
        <w:t>ونُشرت الطبعة الأحدث من هذه القائمة في نوفمبر 2025.</w:t>
      </w:r>
    </w:p>
    <w:p w14:paraId="08108AC2" w14:textId="3C00C018" w:rsidR="00674A3A" w:rsidRDefault="006308B3" w:rsidP="006308B3">
      <w:pPr>
        <w:pStyle w:val="Heading4"/>
        <w:rPr>
          <w:rtl/>
        </w:rPr>
      </w:pPr>
      <w:r>
        <w:t>5.2.1.8</w:t>
      </w:r>
      <w:r w:rsidR="00674A3A">
        <w:rPr>
          <w:rtl/>
        </w:rPr>
        <w:tab/>
        <w:t>دليل استعمال الخدمة المتنقلة البحرية والخدمة المتنقلة البحرية الساتلية (الدليل البحري)</w:t>
      </w:r>
    </w:p>
    <w:p w14:paraId="7DA7E9D2" w14:textId="77777777" w:rsidR="00674A3A" w:rsidRDefault="00674A3A" w:rsidP="00674A3A">
      <w:pPr>
        <w:rPr>
          <w:rtl/>
        </w:rPr>
      </w:pPr>
      <w:r>
        <w:rPr>
          <w:rtl/>
        </w:rPr>
        <w:t xml:space="preserve">يُعدّ دليل استعمال الخدمة المتنقلة البحرية والخدمة المتنقلة البحرية الساتلية (الدليل البحري) وثيقة مرجعية تقدم وصفاً شاملاً للاتصالات البحرية. وتعكس الطبعة 2024 التي نُشرت في ديسمبر 2024 القرارات التي اعتمدها المؤتمر </w:t>
      </w:r>
      <w:r>
        <w:t>WRC-23</w:t>
      </w:r>
      <w:r>
        <w:rPr>
          <w:rtl/>
        </w:rPr>
        <w:t xml:space="preserve"> مؤخراً بشأن الخدمات المذكورة أعلاه، بالإضافة إلى التحديثات الأخيرة المتعلقة بالأنظمة الراديوية البحرية المستخدمة حالياً، والتي توضح أحدث تطوراتها.</w:t>
      </w:r>
    </w:p>
    <w:p w14:paraId="77933866" w14:textId="77777777" w:rsidR="00816C27" w:rsidRDefault="00674A3A" w:rsidP="00674A3A">
      <w:pPr>
        <w:rPr>
          <w:rtl/>
        </w:rPr>
      </w:pPr>
      <w:r>
        <w:rPr>
          <w:rtl/>
        </w:rPr>
        <w:t>ويقدم المجلد 1 وصفاً لتنظيم وتشغيل النظام العالمي للاستغاثة والسلامة في البحر (</w:t>
      </w:r>
      <w:r>
        <w:t>GMDSS</w:t>
      </w:r>
      <w:r>
        <w:rPr>
          <w:rtl/>
        </w:rPr>
        <w:t>) وغيره من الإجراءات التشغيلية البحرية. ويقدم المجلد 2 تجميعاً للنصوص التنظيمية والتقنية والتشغيلية ذات الصلة الصادرة عن الاتحاد والمتعلقة بالخدمات المتنقلة البحرية والخدمات المتنقلة البحرية الساتلية.</w:t>
      </w:r>
    </w:p>
    <w:p w14:paraId="0CD526CC" w14:textId="436A9F1B" w:rsidR="00674A3A" w:rsidRDefault="006308B3" w:rsidP="006308B3">
      <w:pPr>
        <w:pStyle w:val="Heading4"/>
        <w:rPr>
          <w:rtl/>
        </w:rPr>
      </w:pPr>
      <w:r>
        <w:t>6.2.1.8</w:t>
      </w:r>
      <w:r w:rsidR="00674A3A">
        <w:rPr>
          <w:rtl/>
        </w:rPr>
        <w:tab/>
        <w:t>قائمة منشورات الخدمات الصادرة</w:t>
      </w:r>
    </w:p>
    <w:p w14:paraId="683E184E" w14:textId="56EF1A79" w:rsidR="00674A3A" w:rsidRDefault="00674A3A" w:rsidP="00674A3A">
      <w:pPr>
        <w:rPr>
          <w:rtl/>
        </w:rPr>
      </w:pPr>
      <w:r>
        <w:rPr>
          <w:rtl/>
        </w:rPr>
        <w:t xml:space="preserve">يلخص الجدول </w:t>
      </w:r>
      <w:r w:rsidR="006308B3">
        <w:t>1-5.2.1.8</w:t>
      </w:r>
      <w:r>
        <w:rPr>
          <w:rtl/>
        </w:rPr>
        <w:t xml:space="preserve"> أدناه مختلف المنشورات للفترة </w:t>
      </w:r>
      <w:r w:rsidR="002F4B66">
        <w:t>2025-2022</w:t>
      </w:r>
      <w:r>
        <w:rPr>
          <w:rtl/>
        </w:rPr>
        <w:t>:</w:t>
      </w:r>
    </w:p>
    <w:p w14:paraId="2EA5058E" w14:textId="77777777" w:rsidR="006308B3" w:rsidRDefault="00674A3A" w:rsidP="006308B3">
      <w:pPr>
        <w:pStyle w:val="TableNo"/>
        <w:rPr>
          <w:rtl/>
        </w:rPr>
      </w:pPr>
      <w:r>
        <w:rPr>
          <w:rtl/>
        </w:rPr>
        <w:t xml:space="preserve">الجدول </w:t>
      </w:r>
      <w:r w:rsidR="006308B3">
        <w:t>1-5.2.1.8</w:t>
      </w:r>
    </w:p>
    <w:p w14:paraId="31374B05" w14:textId="20D914B5" w:rsidR="00674A3A" w:rsidRDefault="00674A3A" w:rsidP="006308B3">
      <w:pPr>
        <w:pStyle w:val="Tabletitle"/>
        <w:rPr>
          <w:rtl/>
        </w:rPr>
      </w:pPr>
      <w:r>
        <w:rPr>
          <w:rtl/>
        </w:rPr>
        <w:t xml:space="preserve">قائمة منشورات الخدمات الصادرة، </w:t>
      </w:r>
      <w:r w:rsidR="006308B3">
        <w:t>2025-2022</w:t>
      </w:r>
    </w:p>
    <w:tbl>
      <w:tblPr>
        <w:tblStyle w:val="GridTable5Dark-Accent1"/>
        <w:bidiVisual/>
        <w:tblW w:w="5000" w:type="pct"/>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3541"/>
        <w:gridCol w:w="1522"/>
        <w:gridCol w:w="1522"/>
        <w:gridCol w:w="1522"/>
        <w:gridCol w:w="1522"/>
      </w:tblGrid>
      <w:tr w:rsidR="006308B3" w:rsidRPr="006308B3" w14:paraId="2AE5FBD5" w14:textId="77777777" w:rsidTr="00A9218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41" w:type="dxa"/>
            <w:tcBorders>
              <w:top w:val="none" w:sz="0" w:space="0" w:color="auto"/>
              <w:left w:val="none" w:sz="0" w:space="0" w:color="auto"/>
              <w:right w:val="none" w:sz="0" w:space="0" w:color="auto"/>
            </w:tcBorders>
          </w:tcPr>
          <w:p w14:paraId="4C3DA22B" w14:textId="77777777" w:rsidR="006308B3" w:rsidRPr="006308B3" w:rsidRDefault="006308B3" w:rsidP="00A407AF">
            <w:pPr>
              <w:pStyle w:val="Tablehead"/>
              <w:rPr>
                <w:b/>
                <w:bCs/>
              </w:rPr>
            </w:pPr>
          </w:p>
        </w:tc>
        <w:tc>
          <w:tcPr>
            <w:tcW w:w="1522" w:type="dxa"/>
            <w:tcBorders>
              <w:top w:val="none" w:sz="0" w:space="0" w:color="auto"/>
              <w:left w:val="none" w:sz="0" w:space="0" w:color="auto"/>
              <w:right w:val="none" w:sz="0" w:space="0" w:color="auto"/>
            </w:tcBorders>
          </w:tcPr>
          <w:p w14:paraId="7383186B" w14:textId="77777777" w:rsidR="006308B3" w:rsidRPr="006308B3" w:rsidRDefault="006308B3" w:rsidP="00A407AF">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2022</w:t>
            </w:r>
          </w:p>
        </w:tc>
        <w:tc>
          <w:tcPr>
            <w:tcW w:w="1522" w:type="dxa"/>
            <w:tcBorders>
              <w:top w:val="none" w:sz="0" w:space="0" w:color="auto"/>
              <w:left w:val="none" w:sz="0" w:space="0" w:color="auto"/>
              <w:right w:val="none" w:sz="0" w:space="0" w:color="auto"/>
            </w:tcBorders>
          </w:tcPr>
          <w:p w14:paraId="074CC80C" w14:textId="77777777" w:rsidR="006308B3" w:rsidRPr="006308B3" w:rsidRDefault="006308B3" w:rsidP="00A407AF">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2023</w:t>
            </w:r>
          </w:p>
        </w:tc>
        <w:tc>
          <w:tcPr>
            <w:tcW w:w="1522" w:type="dxa"/>
            <w:tcBorders>
              <w:top w:val="none" w:sz="0" w:space="0" w:color="auto"/>
              <w:left w:val="none" w:sz="0" w:space="0" w:color="auto"/>
              <w:right w:val="none" w:sz="0" w:space="0" w:color="auto"/>
            </w:tcBorders>
          </w:tcPr>
          <w:p w14:paraId="27A31B8C" w14:textId="77777777" w:rsidR="006308B3" w:rsidRPr="006308B3" w:rsidRDefault="006308B3" w:rsidP="00A407AF">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2024</w:t>
            </w:r>
          </w:p>
        </w:tc>
        <w:tc>
          <w:tcPr>
            <w:tcW w:w="1522" w:type="dxa"/>
            <w:tcBorders>
              <w:top w:val="none" w:sz="0" w:space="0" w:color="auto"/>
              <w:left w:val="none" w:sz="0" w:space="0" w:color="auto"/>
              <w:right w:val="none" w:sz="0" w:space="0" w:color="auto"/>
            </w:tcBorders>
          </w:tcPr>
          <w:p w14:paraId="3764A3A0" w14:textId="77777777" w:rsidR="006308B3" w:rsidRPr="006308B3" w:rsidRDefault="006308B3" w:rsidP="00A407AF">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2025</w:t>
            </w:r>
          </w:p>
        </w:tc>
      </w:tr>
      <w:tr w:rsidR="006308B3" w:rsidRPr="006308B3" w14:paraId="2D262B2B" w14:textId="77777777" w:rsidTr="00A9218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41" w:type="dxa"/>
            <w:tcBorders>
              <w:left w:val="none" w:sz="0" w:space="0" w:color="auto"/>
            </w:tcBorders>
            <w:vAlign w:val="center"/>
          </w:tcPr>
          <w:p w14:paraId="53FAD186" w14:textId="77777777" w:rsidR="006308B3" w:rsidRPr="006308B3" w:rsidRDefault="006308B3" w:rsidP="00A407AF">
            <w:pPr>
              <w:pStyle w:val="Tablehead"/>
              <w:jc w:val="both"/>
              <w:rPr>
                <w:b/>
                <w:bCs/>
                <w:lang w:bidi="ar-SA"/>
              </w:rPr>
            </w:pPr>
            <w:r w:rsidRPr="006308B3">
              <w:rPr>
                <w:b/>
                <w:bCs/>
                <w:rtl/>
              </w:rPr>
              <w:t>BR IFIC - النشرة الإعلامية الدولية للترددات</w:t>
            </w:r>
          </w:p>
        </w:tc>
        <w:tc>
          <w:tcPr>
            <w:tcW w:w="1522" w:type="dxa"/>
            <w:vAlign w:val="center"/>
          </w:tcPr>
          <w:p w14:paraId="5844F5E4"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26</w:t>
            </w:r>
          </w:p>
        </w:tc>
        <w:tc>
          <w:tcPr>
            <w:tcW w:w="1522" w:type="dxa"/>
            <w:vAlign w:val="center"/>
          </w:tcPr>
          <w:p w14:paraId="689A2177"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25</w:t>
            </w:r>
          </w:p>
        </w:tc>
        <w:tc>
          <w:tcPr>
            <w:tcW w:w="1522" w:type="dxa"/>
            <w:vAlign w:val="center"/>
          </w:tcPr>
          <w:p w14:paraId="7C02B2CF"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25</w:t>
            </w:r>
          </w:p>
        </w:tc>
        <w:tc>
          <w:tcPr>
            <w:tcW w:w="1522" w:type="dxa"/>
            <w:vAlign w:val="center"/>
          </w:tcPr>
          <w:p w14:paraId="0E92B493"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25</w:t>
            </w:r>
          </w:p>
        </w:tc>
      </w:tr>
      <w:tr w:rsidR="006308B3" w:rsidRPr="006308B3" w14:paraId="3F8C31BC" w14:textId="77777777" w:rsidTr="00A9218C">
        <w:trPr>
          <w:trHeight w:val="300"/>
          <w:jc w:val="center"/>
        </w:trPr>
        <w:tc>
          <w:tcPr>
            <w:cnfStyle w:val="001000000000" w:firstRow="0" w:lastRow="0" w:firstColumn="1" w:lastColumn="0" w:oddVBand="0" w:evenVBand="0" w:oddHBand="0" w:evenHBand="0" w:firstRowFirstColumn="0" w:firstRowLastColumn="0" w:lastRowFirstColumn="0" w:lastRowLastColumn="0"/>
            <w:tcW w:w="3541" w:type="dxa"/>
            <w:tcBorders>
              <w:left w:val="none" w:sz="0" w:space="0" w:color="auto"/>
            </w:tcBorders>
            <w:vAlign w:val="center"/>
          </w:tcPr>
          <w:p w14:paraId="2C52DA34" w14:textId="77777777" w:rsidR="006308B3" w:rsidRPr="006308B3" w:rsidRDefault="006308B3" w:rsidP="00A407AF">
            <w:pPr>
              <w:pStyle w:val="Tablehead"/>
              <w:jc w:val="both"/>
              <w:rPr>
                <w:b/>
                <w:bCs/>
                <w:lang w:bidi="ar-SA"/>
              </w:rPr>
            </w:pPr>
            <w:r w:rsidRPr="006308B3">
              <w:rPr>
                <w:b/>
                <w:bCs/>
                <w:rtl/>
              </w:rPr>
              <w:t>القائمة IV - قائمة المحطات الساحلية ومحطات الخدمات الخاصة</w:t>
            </w:r>
          </w:p>
        </w:tc>
        <w:tc>
          <w:tcPr>
            <w:tcW w:w="1522" w:type="dxa"/>
            <w:vAlign w:val="center"/>
          </w:tcPr>
          <w:p w14:paraId="0189BE9B" w14:textId="77777777"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p>
        </w:tc>
        <w:tc>
          <w:tcPr>
            <w:tcW w:w="1522" w:type="dxa"/>
            <w:vAlign w:val="center"/>
          </w:tcPr>
          <w:p w14:paraId="1C61FF40" w14:textId="77777777"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r w:rsidRPr="00A407AF">
              <w:rPr>
                <w:rtl/>
              </w:rPr>
              <w:t>طبعة 2023 (ديسمبر)</w:t>
            </w:r>
          </w:p>
        </w:tc>
        <w:tc>
          <w:tcPr>
            <w:tcW w:w="1522" w:type="dxa"/>
            <w:vAlign w:val="center"/>
          </w:tcPr>
          <w:p w14:paraId="768A03E7" w14:textId="77777777"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p>
        </w:tc>
        <w:tc>
          <w:tcPr>
            <w:tcW w:w="1522" w:type="dxa"/>
            <w:vAlign w:val="center"/>
          </w:tcPr>
          <w:p w14:paraId="27C4AF77" w14:textId="3002AAAE"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r w:rsidRPr="00A407AF">
              <w:rPr>
                <w:rtl/>
              </w:rPr>
              <w:t>طبعة 2025</w:t>
            </w:r>
            <w:r w:rsidR="00A407AF" w:rsidRPr="00A407AF">
              <w:br/>
            </w:r>
            <w:r w:rsidRPr="00A407AF">
              <w:rPr>
                <w:rtl/>
              </w:rPr>
              <w:t>(نوفمبر)</w:t>
            </w:r>
          </w:p>
        </w:tc>
      </w:tr>
      <w:tr w:rsidR="006308B3" w:rsidRPr="006308B3" w14:paraId="52048388" w14:textId="77777777" w:rsidTr="00A9218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41" w:type="dxa"/>
            <w:tcBorders>
              <w:left w:val="none" w:sz="0" w:space="0" w:color="auto"/>
            </w:tcBorders>
            <w:vAlign w:val="center"/>
          </w:tcPr>
          <w:p w14:paraId="005CDA68" w14:textId="77777777" w:rsidR="006308B3" w:rsidRPr="00A407AF" w:rsidRDefault="006308B3" w:rsidP="00A407AF">
            <w:pPr>
              <w:pStyle w:val="Tablehead"/>
              <w:jc w:val="both"/>
              <w:rPr>
                <w:b/>
                <w:bCs/>
                <w:spacing w:val="-4"/>
                <w:lang w:bidi="ar-SA"/>
              </w:rPr>
            </w:pPr>
            <w:r w:rsidRPr="00A407AF">
              <w:rPr>
                <w:b/>
                <w:bCs/>
                <w:spacing w:val="-4"/>
                <w:rtl/>
              </w:rPr>
              <w:t>القائمة V - قائمة محطات السفن وتخصيصات هويات الخدمة المتنقلة البحرية</w:t>
            </w:r>
          </w:p>
        </w:tc>
        <w:tc>
          <w:tcPr>
            <w:tcW w:w="1522" w:type="dxa"/>
            <w:vAlign w:val="center"/>
          </w:tcPr>
          <w:p w14:paraId="05338AD9" w14:textId="3E91B806"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طبعة 2022</w:t>
            </w:r>
            <w:r w:rsidR="00A407AF" w:rsidRPr="00A407AF">
              <w:br/>
            </w:r>
            <w:r w:rsidRPr="00A407AF">
              <w:rPr>
                <w:rtl/>
              </w:rPr>
              <w:t>(أبريل)</w:t>
            </w:r>
          </w:p>
        </w:tc>
        <w:tc>
          <w:tcPr>
            <w:tcW w:w="1522" w:type="dxa"/>
            <w:vAlign w:val="center"/>
          </w:tcPr>
          <w:p w14:paraId="256249C1" w14:textId="77BC5EC0"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طبعة 2023</w:t>
            </w:r>
            <w:r w:rsidR="00A407AF" w:rsidRPr="00A407AF">
              <w:br/>
            </w:r>
            <w:r w:rsidRPr="00A407AF">
              <w:rPr>
                <w:rtl/>
              </w:rPr>
              <w:t>(أبريل)</w:t>
            </w:r>
          </w:p>
        </w:tc>
        <w:tc>
          <w:tcPr>
            <w:tcW w:w="1522" w:type="dxa"/>
            <w:vAlign w:val="center"/>
          </w:tcPr>
          <w:p w14:paraId="46B42553" w14:textId="6354FC79"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طبعة 2024</w:t>
            </w:r>
            <w:r w:rsidR="00A407AF" w:rsidRPr="00A407AF">
              <w:br/>
            </w:r>
            <w:r w:rsidRPr="00A407AF">
              <w:rPr>
                <w:rtl/>
              </w:rPr>
              <w:t>(أبريل)</w:t>
            </w:r>
          </w:p>
        </w:tc>
        <w:tc>
          <w:tcPr>
            <w:tcW w:w="1522" w:type="dxa"/>
            <w:vAlign w:val="center"/>
          </w:tcPr>
          <w:p w14:paraId="0808BB42" w14:textId="4EF5C8F6"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طبعة 2025</w:t>
            </w:r>
            <w:r w:rsidR="00A407AF" w:rsidRPr="00A407AF">
              <w:br/>
            </w:r>
            <w:r w:rsidRPr="00A407AF">
              <w:rPr>
                <w:rtl/>
              </w:rPr>
              <w:t>(أبريل)</w:t>
            </w:r>
          </w:p>
        </w:tc>
      </w:tr>
      <w:tr w:rsidR="006308B3" w:rsidRPr="006308B3" w14:paraId="659D238C" w14:textId="77777777" w:rsidTr="00A9218C">
        <w:trPr>
          <w:trHeight w:val="300"/>
          <w:jc w:val="center"/>
        </w:trPr>
        <w:tc>
          <w:tcPr>
            <w:cnfStyle w:val="001000000000" w:firstRow="0" w:lastRow="0" w:firstColumn="1" w:lastColumn="0" w:oddVBand="0" w:evenVBand="0" w:oddHBand="0" w:evenHBand="0" w:firstRowFirstColumn="0" w:firstRowLastColumn="0" w:lastRowFirstColumn="0" w:lastRowLastColumn="0"/>
            <w:tcW w:w="3541" w:type="dxa"/>
            <w:tcBorders>
              <w:left w:val="none" w:sz="0" w:space="0" w:color="auto"/>
            </w:tcBorders>
            <w:vAlign w:val="center"/>
          </w:tcPr>
          <w:p w14:paraId="1236C6DC" w14:textId="77777777" w:rsidR="006308B3" w:rsidRPr="00A407AF" w:rsidRDefault="006308B3" w:rsidP="00A407AF">
            <w:pPr>
              <w:pStyle w:val="Tablehead"/>
              <w:jc w:val="both"/>
              <w:rPr>
                <w:b/>
                <w:bCs/>
                <w:spacing w:val="-4"/>
                <w:lang w:bidi="ar-SA"/>
              </w:rPr>
            </w:pPr>
            <w:r w:rsidRPr="00A407AF">
              <w:rPr>
                <w:b/>
                <w:bCs/>
                <w:spacing w:val="-4"/>
                <w:rtl/>
              </w:rPr>
              <w:t xml:space="preserve">القائمة </w:t>
            </w:r>
            <w:r w:rsidRPr="00A407AF">
              <w:rPr>
                <w:b/>
                <w:bCs/>
                <w:spacing w:val="-4"/>
              </w:rPr>
              <w:t xml:space="preserve">VIII </w:t>
            </w:r>
            <w:r w:rsidRPr="00A407AF">
              <w:rPr>
                <w:b/>
                <w:bCs/>
                <w:spacing w:val="-4"/>
                <w:rtl/>
              </w:rPr>
              <w:t>(قائمة محطات المراقبة الدولية)</w:t>
            </w:r>
          </w:p>
        </w:tc>
        <w:tc>
          <w:tcPr>
            <w:tcW w:w="1522" w:type="dxa"/>
            <w:vAlign w:val="center"/>
          </w:tcPr>
          <w:p w14:paraId="5A77A037" w14:textId="3F36B4AE"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r w:rsidRPr="00A407AF">
              <w:rPr>
                <w:rtl/>
              </w:rPr>
              <w:t>طبعة 2022</w:t>
            </w:r>
            <w:r w:rsidR="00A407AF" w:rsidRPr="00A407AF">
              <w:br/>
            </w:r>
            <w:r w:rsidRPr="00A407AF">
              <w:rPr>
                <w:rtl/>
              </w:rPr>
              <w:t>(ديسمبر)</w:t>
            </w:r>
          </w:p>
        </w:tc>
        <w:tc>
          <w:tcPr>
            <w:tcW w:w="1522" w:type="dxa"/>
            <w:vAlign w:val="center"/>
          </w:tcPr>
          <w:p w14:paraId="3A4A43F5" w14:textId="77777777"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p>
        </w:tc>
        <w:tc>
          <w:tcPr>
            <w:tcW w:w="1522" w:type="dxa"/>
            <w:vAlign w:val="center"/>
          </w:tcPr>
          <w:p w14:paraId="4E1DF002" w14:textId="77777777"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p>
        </w:tc>
        <w:tc>
          <w:tcPr>
            <w:tcW w:w="1522" w:type="dxa"/>
            <w:vAlign w:val="center"/>
          </w:tcPr>
          <w:p w14:paraId="6D8D6D0B" w14:textId="09D35BB6" w:rsidR="006308B3" w:rsidRPr="00A407AF" w:rsidRDefault="006308B3" w:rsidP="00A407AF">
            <w:pPr>
              <w:pStyle w:val="Tabletext"/>
              <w:jc w:val="center"/>
              <w:cnfStyle w:val="000000000000" w:firstRow="0" w:lastRow="0" w:firstColumn="0" w:lastColumn="0" w:oddVBand="0" w:evenVBand="0" w:oddHBand="0" w:evenHBand="0" w:firstRowFirstColumn="0" w:firstRowLastColumn="0" w:lastRowFirstColumn="0" w:lastRowLastColumn="0"/>
            </w:pPr>
            <w:r w:rsidRPr="00A407AF">
              <w:rPr>
                <w:rtl/>
              </w:rPr>
              <w:t>طبعة 2025</w:t>
            </w:r>
            <w:r w:rsidR="00A407AF" w:rsidRPr="00A407AF">
              <w:br/>
            </w:r>
            <w:r w:rsidRPr="00A407AF">
              <w:rPr>
                <w:rtl/>
              </w:rPr>
              <w:t>(نوفمبر)</w:t>
            </w:r>
          </w:p>
        </w:tc>
      </w:tr>
      <w:tr w:rsidR="006308B3" w:rsidRPr="006308B3" w14:paraId="7CEA310A" w14:textId="77777777" w:rsidTr="00A9218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41" w:type="dxa"/>
            <w:tcBorders>
              <w:left w:val="none" w:sz="0" w:space="0" w:color="auto"/>
              <w:bottom w:val="none" w:sz="0" w:space="0" w:color="auto"/>
            </w:tcBorders>
            <w:vAlign w:val="center"/>
          </w:tcPr>
          <w:p w14:paraId="5869A912" w14:textId="77777777" w:rsidR="006308B3" w:rsidRPr="006308B3" w:rsidRDefault="006308B3" w:rsidP="00A407AF">
            <w:pPr>
              <w:pStyle w:val="Tablehead"/>
              <w:jc w:val="both"/>
              <w:rPr>
                <w:b/>
                <w:bCs/>
                <w:lang w:bidi="ar-SA"/>
              </w:rPr>
            </w:pPr>
            <w:r w:rsidRPr="006308B3">
              <w:rPr>
                <w:b/>
                <w:bCs/>
                <w:rtl/>
              </w:rPr>
              <w:t>الدليل البحري</w:t>
            </w:r>
          </w:p>
        </w:tc>
        <w:tc>
          <w:tcPr>
            <w:tcW w:w="1522" w:type="dxa"/>
            <w:vAlign w:val="center"/>
          </w:tcPr>
          <w:p w14:paraId="6887F100"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p>
        </w:tc>
        <w:tc>
          <w:tcPr>
            <w:tcW w:w="1522" w:type="dxa"/>
            <w:vAlign w:val="center"/>
          </w:tcPr>
          <w:p w14:paraId="4235888F"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p>
        </w:tc>
        <w:tc>
          <w:tcPr>
            <w:tcW w:w="1522" w:type="dxa"/>
            <w:vAlign w:val="center"/>
          </w:tcPr>
          <w:p w14:paraId="1AC49D95" w14:textId="77777777"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p>
        </w:tc>
        <w:tc>
          <w:tcPr>
            <w:tcW w:w="1522" w:type="dxa"/>
            <w:vAlign w:val="center"/>
          </w:tcPr>
          <w:p w14:paraId="03DE297C" w14:textId="10A33FA8" w:rsidR="006308B3" w:rsidRPr="00A407AF" w:rsidRDefault="006308B3" w:rsidP="00A407AF">
            <w:pPr>
              <w:pStyle w:val="Tabletext"/>
              <w:jc w:val="center"/>
              <w:cnfStyle w:val="000000100000" w:firstRow="0" w:lastRow="0" w:firstColumn="0" w:lastColumn="0" w:oddVBand="0" w:evenVBand="0" w:oddHBand="1" w:evenHBand="0" w:firstRowFirstColumn="0" w:firstRowLastColumn="0" w:lastRowFirstColumn="0" w:lastRowLastColumn="0"/>
            </w:pPr>
            <w:r w:rsidRPr="00A407AF">
              <w:rPr>
                <w:rtl/>
              </w:rPr>
              <w:t>طبعة 2024</w:t>
            </w:r>
            <w:r w:rsidR="00A407AF" w:rsidRPr="00A407AF">
              <w:br/>
            </w:r>
            <w:r w:rsidRPr="00A407AF">
              <w:rPr>
                <w:rtl/>
              </w:rPr>
              <w:t>(ديسمبر)</w:t>
            </w:r>
          </w:p>
        </w:tc>
      </w:tr>
    </w:tbl>
    <w:p w14:paraId="311846DF" w14:textId="047168CA" w:rsidR="00674A3A" w:rsidRDefault="00A9218C" w:rsidP="00A9218C">
      <w:pPr>
        <w:pStyle w:val="Heading3"/>
        <w:rPr>
          <w:rtl/>
        </w:rPr>
      </w:pPr>
      <w:bookmarkStart w:id="45" w:name="_Toc223961996"/>
      <w:r>
        <w:t>3.1.8</w:t>
      </w:r>
      <w:r w:rsidR="00674A3A">
        <w:rPr>
          <w:rtl/>
        </w:rPr>
        <w:tab/>
        <w:t>منشورات لجان الدراسات</w:t>
      </w:r>
      <w:bookmarkEnd w:id="45"/>
    </w:p>
    <w:p w14:paraId="0B639CC0" w14:textId="77777777" w:rsidR="00674A3A" w:rsidRDefault="00674A3A" w:rsidP="00674A3A">
      <w:pPr>
        <w:rPr>
          <w:rtl/>
        </w:rPr>
      </w:pPr>
      <w:r>
        <w:rPr>
          <w:rtl/>
        </w:rPr>
        <w:t xml:space="preserve">استمر إعداد منشورات لجان دراسات الاتصالات الراديوية وفقاً للقرار </w:t>
      </w:r>
      <w:r>
        <w:t>ITU-R 1</w:t>
      </w:r>
      <w:r>
        <w:rPr>
          <w:rtl/>
        </w:rPr>
        <w:t>.</w:t>
      </w:r>
    </w:p>
    <w:p w14:paraId="07812D06" w14:textId="77777777" w:rsidR="00674A3A" w:rsidRDefault="00674A3A" w:rsidP="00674A3A">
      <w:pPr>
        <w:rPr>
          <w:rtl/>
        </w:rPr>
      </w:pPr>
      <w:r>
        <w:rPr>
          <w:rtl/>
        </w:rPr>
        <w:t>ويمكن الاطلاع على القائمة الكاملة بمسائل قطاع الاتصالات الراديوية وتوصياته وتقاريره في الإضافة 1 لهذا التقرير.</w:t>
      </w:r>
    </w:p>
    <w:p w14:paraId="01A8E64C" w14:textId="3B8E6FF0" w:rsidR="00674A3A" w:rsidRDefault="00A9218C" w:rsidP="006308B3">
      <w:pPr>
        <w:pStyle w:val="Heading3"/>
        <w:rPr>
          <w:rtl/>
        </w:rPr>
      </w:pPr>
      <w:bookmarkStart w:id="46" w:name="_Toc223961997"/>
      <w:r>
        <w:lastRenderedPageBreak/>
        <w:t>4.1.8</w:t>
      </w:r>
      <w:r w:rsidR="00674A3A">
        <w:rPr>
          <w:rtl/>
        </w:rPr>
        <w:tab/>
        <w:t>تنزيل منشورات قطاع الاتصالات الراديوية وتسليمها</w:t>
      </w:r>
      <w:bookmarkEnd w:id="46"/>
    </w:p>
    <w:p w14:paraId="7F78F172" w14:textId="31FD0E07" w:rsidR="00816C27" w:rsidRDefault="00A9218C" w:rsidP="00A9218C">
      <w:pPr>
        <w:pStyle w:val="Heading4"/>
        <w:rPr>
          <w:rtl/>
        </w:rPr>
      </w:pPr>
      <w:r>
        <w:t>1.4.1.8</w:t>
      </w:r>
      <w:r w:rsidR="00674A3A">
        <w:rPr>
          <w:rtl/>
        </w:rPr>
        <w:tab/>
        <w:t>لوائح الراديو والقواعد الإجرائية</w:t>
      </w:r>
    </w:p>
    <w:p w14:paraId="19FB85C4" w14:textId="2779B650" w:rsidR="00816C27" w:rsidRDefault="00674A3A" w:rsidP="00674A3A">
      <w:pPr>
        <w:rPr>
          <w:rtl/>
        </w:rPr>
      </w:pPr>
      <w:r>
        <w:rPr>
          <w:rtl/>
        </w:rPr>
        <w:t xml:space="preserve">فيما يتعلق بهذه الوثائق التنظيمية، يبين الجدول </w:t>
      </w:r>
      <w:r w:rsidR="00A9218C">
        <w:t>1-1.4.1.8</w:t>
      </w:r>
      <w:r>
        <w:rPr>
          <w:rtl/>
        </w:rPr>
        <w:t xml:space="preserve"> عدد عمليات التسليم لطبعتي </w:t>
      </w:r>
      <w:hyperlink r:id="rId64" w:history="1">
        <w:r w:rsidRPr="00A9218C">
          <w:rPr>
            <w:rStyle w:val="Hyperlink"/>
            <w:rtl/>
          </w:rPr>
          <w:t>لوائح الراديو لعامي 2020</w:t>
        </w:r>
      </w:hyperlink>
      <w:r>
        <w:rPr>
          <w:rtl/>
        </w:rPr>
        <w:t xml:space="preserve"> و</w:t>
      </w:r>
      <w:hyperlink r:id="rId65" w:history="1">
        <w:r w:rsidRPr="00A9218C">
          <w:rPr>
            <w:rStyle w:val="Hyperlink"/>
            <w:rtl/>
          </w:rPr>
          <w:t>2024</w:t>
        </w:r>
      </w:hyperlink>
      <w:r>
        <w:rPr>
          <w:rtl/>
        </w:rPr>
        <w:t>.</w:t>
      </w:r>
    </w:p>
    <w:p w14:paraId="1C5592E4" w14:textId="2CBC05E8" w:rsidR="00674A3A" w:rsidRDefault="00674A3A" w:rsidP="00674A3A">
      <w:pPr>
        <w:rPr>
          <w:rFonts w:hint="cs"/>
          <w:rtl/>
          <w:lang w:bidi="ar-EG"/>
        </w:rPr>
      </w:pPr>
      <w:r>
        <w:rPr>
          <w:rtl/>
        </w:rPr>
        <w:t xml:space="preserve">وبناءً على طلب الفريق الاستشاري للاتصالات الراديوية، تتاح النسختان </w:t>
      </w:r>
      <w:r>
        <w:t>pdf</w:t>
      </w:r>
      <w:r>
        <w:rPr>
          <w:rtl/>
        </w:rPr>
        <w:t xml:space="preserve"> و</w:t>
      </w:r>
      <w:r>
        <w:t>MS W</w:t>
      </w:r>
      <w:r w:rsidR="000B3CF0">
        <w:t>ord</w:t>
      </w:r>
      <w:r>
        <w:rPr>
          <w:rtl/>
        </w:rPr>
        <w:t xml:space="preserve"> من لوائح الراديو للتنزيل المجاني من الموقع الإلكتروني للاتحاد.</w:t>
      </w:r>
    </w:p>
    <w:p w14:paraId="19F0FE30" w14:textId="7547618C" w:rsidR="00674A3A" w:rsidRDefault="00674A3A" w:rsidP="00A9218C">
      <w:pPr>
        <w:pStyle w:val="TableNo"/>
        <w:rPr>
          <w:rtl/>
        </w:rPr>
      </w:pPr>
      <w:r>
        <w:rPr>
          <w:rtl/>
        </w:rPr>
        <w:t xml:space="preserve">الجدول </w:t>
      </w:r>
      <w:r w:rsidR="00A9218C">
        <w:t>1-1.4.1.8</w:t>
      </w:r>
    </w:p>
    <w:p w14:paraId="4D54243E" w14:textId="77777777" w:rsidR="00674A3A" w:rsidRDefault="00674A3A" w:rsidP="00A9218C">
      <w:pPr>
        <w:pStyle w:val="Tabletitle"/>
      </w:pPr>
      <w:r>
        <w:rPr>
          <w:rtl/>
        </w:rPr>
        <w:t>عدد عمليات تسليم لوائح الراديو</w:t>
      </w:r>
    </w:p>
    <w:tbl>
      <w:tblPr>
        <w:tblStyle w:val="GridTable5Dark-Accent1"/>
        <w:bidiVisual/>
        <w:tblW w:w="4995" w:type="pct"/>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2295"/>
        <w:gridCol w:w="1831"/>
        <w:gridCol w:w="1831"/>
        <w:gridCol w:w="1831"/>
        <w:gridCol w:w="1831"/>
      </w:tblGrid>
      <w:tr w:rsidR="00A9218C" w:rsidRPr="00A9218C" w14:paraId="71FDE492" w14:textId="77777777" w:rsidTr="00A9218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7" w:type="dxa"/>
          </w:tcPr>
          <w:p w14:paraId="16D4A47C" w14:textId="77777777" w:rsidR="00A9218C" w:rsidRPr="00A9218C" w:rsidRDefault="00A9218C" w:rsidP="00A9218C">
            <w:pPr>
              <w:pStyle w:val="Tablehead"/>
              <w:rPr>
                <w:b/>
                <w:bCs/>
                <w:position w:val="2"/>
              </w:rPr>
            </w:pPr>
          </w:p>
        </w:tc>
        <w:tc>
          <w:tcPr>
            <w:tcW w:w="1833" w:type="dxa"/>
          </w:tcPr>
          <w:p w14:paraId="76B6D6C0" w14:textId="7D027AA0" w:rsidR="00A9218C" w:rsidRPr="00A9218C" w:rsidRDefault="00A9218C" w:rsidP="00A9218C">
            <w:pPr>
              <w:pStyle w:val="Tablehead"/>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2022</w:t>
            </w:r>
            <w:r>
              <w:rPr>
                <w:b/>
                <w:bCs/>
                <w:position w:val="2"/>
              </w:rPr>
              <w:br/>
            </w:r>
            <w:r w:rsidRPr="00A9218C">
              <w:rPr>
                <w:b/>
                <w:bCs/>
                <w:position w:val="2"/>
                <w:rtl/>
              </w:rPr>
              <w:t>لوائح الراديو لعام</w:t>
            </w:r>
            <w:r>
              <w:rPr>
                <w:rFonts w:hint="cs"/>
                <w:b/>
                <w:bCs/>
                <w:position w:val="2"/>
                <w:rtl/>
              </w:rPr>
              <w:t> </w:t>
            </w:r>
            <w:r w:rsidRPr="00A9218C">
              <w:rPr>
                <w:b/>
                <w:bCs/>
                <w:position w:val="2"/>
                <w:rtl/>
              </w:rPr>
              <w:t>2020</w:t>
            </w:r>
          </w:p>
        </w:tc>
        <w:tc>
          <w:tcPr>
            <w:tcW w:w="1833" w:type="dxa"/>
          </w:tcPr>
          <w:p w14:paraId="5F597C4F" w14:textId="238A84DF" w:rsidR="00A9218C" w:rsidRPr="00A9218C" w:rsidRDefault="00A9218C" w:rsidP="00A9218C">
            <w:pPr>
              <w:pStyle w:val="Tablehead"/>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2023</w:t>
            </w:r>
            <w:r>
              <w:rPr>
                <w:b/>
                <w:bCs/>
                <w:position w:val="2"/>
              </w:rPr>
              <w:br/>
            </w:r>
            <w:r w:rsidRPr="00A9218C">
              <w:rPr>
                <w:b/>
                <w:bCs/>
                <w:position w:val="2"/>
                <w:rtl/>
              </w:rPr>
              <w:t>لوائح الراديو لعام</w:t>
            </w:r>
            <w:r>
              <w:rPr>
                <w:rFonts w:hint="eastAsia"/>
                <w:b/>
                <w:bCs/>
                <w:position w:val="2"/>
                <w:rtl/>
                <w:lang w:bidi="ar-SA"/>
              </w:rPr>
              <w:t> </w:t>
            </w:r>
            <w:r w:rsidRPr="00A9218C">
              <w:rPr>
                <w:b/>
                <w:bCs/>
                <w:position w:val="2"/>
                <w:rtl/>
              </w:rPr>
              <w:t>2020</w:t>
            </w:r>
          </w:p>
        </w:tc>
        <w:tc>
          <w:tcPr>
            <w:tcW w:w="1833" w:type="dxa"/>
          </w:tcPr>
          <w:p w14:paraId="0702C695" w14:textId="7057DF49" w:rsidR="00A9218C" w:rsidRPr="00A9218C" w:rsidRDefault="00A9218C" w:rsidP="00A9218C">
            <w:pPr>
              <w:pStyle w:val="Tablehead"/>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2024</w:t>
            </w:r>
            <w:r>
              <w:rPr>
                <w:b/>
                <w:bCs/>
                <w:position w:val="2"/>
                <w:lang w:bidi="ar-SA"/>
              </w:rPr>
              <w:br/>
            </w:r>
            <w:r w:rsidRPr="00A9218C">
              <w:rPr>
                <w:b/>
                <w:bCs/>
                <w:position w:val="2"/>
                <w:rtl/>
              </w:rPr>
              <w:t>لوائح الراديو لعامي</w:t>
            </w:r>
            <w:r w:rsidR="00EF48D8">
              <w:rPr>
                <w:rFonts w:hint="cs"/>
                <w:b/>
                <w:bCs/>
                <w:position w:val="2"/>
                <w:rtl/>
              </w:rPr>
              <w:t> </w:t>
            </w:r>
            <w:r w:rsidRPr="00A9218C">
              <w:rPr>
                <w:b/>
                <w:bCs/>
                <w:position w:val="2"/>
                <w:rtl/>
              </w:rPr>
              <w:t>2020 و2024</w:t>
            </w:r>
          </w:p>
        </w:tc>
        <w:tc>
          <w:tcPr>
            <w:tcW w:w="1833" w:type="dxa"/>
          </w:tcPr>
          <w:p w14:paraId="1088FA7A" w14:textId="77B32CB9" w:rsidR="00A9218C" w:rsidRPr="00A9218C" w:rsidRDefault="00A9218C" w:rsidP="00A9218C">
            <w:pPr>
              <w:pStyle w:val="Tablehead"/>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2025</w:t>
            </w:r>
            <w:r>
              <w:rPr>
                <w:b/>
                <w:bCs/>
                <w:position w:val="2"/>
                <w:lang w:bidi="ar-SA"/>
              </w:rPr>
              <w:br/>
            </w:r>
            <w:r w:rsidRPr="00A9218C">
              <w:rPr>
                <w:b/>
                <w:bCs/>
                <w:position w:val="2"/>
                <w:rtl/>
              </w:rPr>
              <w:t>لوائح الراديو لعام</w:t>
            </w:r>
            <w:r>
              <w:rPr>
                <w:rFonts w:hint="cs"/>
                <w:b/>
                <w:bCs/>
                <w:position w:val="2"/>
                <w:rtl/>
              </w:rPr>
              <w:t> </w:t>
            </w:r>
            <w:r w:rsidRPr="00A9218C">
              <w:rPr>
                <w:b/>
                <w:bCs/>
                <w:position w:val="2"/>
                <w:rtl/>
              </w:rPr>
              <w:t>2024</w:t>
            </w:r>
          </w:p>
        </w:tc>
      </w:tr>
      <w:tr w:rsidR="00A9218C" w:rsidRPr="00A9218C" w14:paraId="35B69EBB" w14:textId="77777777" w:rsidTr="00A9218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7" w:type="dxa"/>
          </w:tcPr>
          <w:p w14:paraId="3436B578" w14:textId="2374858C" w:rsidR="00A9218C" w:rsidRPr="00A9218C" w:rsidRDefault="00A9218C" w:rsidP="00A9218C">
            <w:pPr>
              <w:pStyle w:val="Tablehead"/>
              <w:jc w:val="both"/>
              <w:rPr>
                <w:b/>
                <w:bCs/>
                <w:position w:val="2"/>
                <w:lang w:bidi="ar-SA"/>
              </w:rPr>
            </w:pPr>
            <w:r w:rsidRPr="00A9218C">
              <w:rPr>
                <w:b/>
                <w:bCs/>
                <w:position w:val="2"/>
                <w:rtl/>
              </w:rPr>
              <w:t>النسخ الورقية المبيعة</w:t>
            </w:r>
          </w:p>
        </w:tc>
        <w:tc>
          <w:tcPr>
            <w:tcW w:w="1833" w:type="dxa"/>
          </w:tcPr>
          <w:p w14:paraId="31DC7CF5" w14:textId="3424C96B"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117</w:t>
            </w:r>
          </w:p>
        </w:tc>
        <w:tc>
          <w:tcPr>
            <w:tcW w:w="1833" w:type="dxa"/>
          </w:tcPr>
          <w:p w14:paraId="72B29DF7" w14:textId="22431F51"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1</w:t>
            </w:r>
            <w:r>
              <w:rPr>
                <w:position w:val="2"/>
              </w:rPr>
              <w:t> </w:t>
            </w:r>
            <w:r w:rsidRPr="00A9218C">
              <w:rPr>
                <w:position w:val="2"/>
              </w:rPr>
              <w:t>611</w:t>
            </w:r>
          </w:p>
        </w:tc>
        <w:tc>
          <w:tcPr>
            <w:tcW w:w="1833" w:type="dxa"/>
          </w:tcPr>
          <w:p w14:paraId="4E2E4627" w14:textId="745E7AF5"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2020</w:t>
            </w:r>
            <w:r>
              <w:rPr>
                <w:rFonts w:hint="cs"/>
                <w:position w:val="2"/>
                <w:rtl/>
              </w:rPr>
              <w:t xml:space="preserve">: </w:t>
            </w:r>
            <w:r w:rsidRPr="00A9218C">
              <w:rPr>
                <w:position w:val="2"/>
                <w:rtl/>
              </w:rPr>
              <w:t>22</w:t>
            </w:r>
          </w:p>
          <w:p w14:paraId="6046179E" w14:textId="7986FA8B"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2024</w:t>
            </w:r>
            <w:r>
              <w:rPr>
                <w:position w:val="2"/>
                <w:rtl/>
              </w:rPr>
              <w:t xml:space="preserve">: </w:t>
            </w:r>
            <w:r w:rsidRPr="00A9218C">
              <w:rPr>
                <w:position w:val="2"/>
                <w:rtl/>
              </w:rPr>
              <w:t>231</w:t>
            </w:r>
          </w:p>
          <w:p w14:paraId="4962FA33" w14:textId="00C1F11D"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المجموع</w:t>
            </w:r>
            <w:r>
              <w:rPr>
                <w:position w:val="2"/>
                <w:rtl/>
              </w:rPr>
              <w:t xml:space="preserve">: </w:t>
            </w:r>
            <w:r w:rsidRPr="00A9218C">
              <w:rPr>
                <w:position w:val="2"/>
                <w:rtl/>
              </w:rPr>
              <w:t>253</w:t>
            </w:r>
          </w:p>
        </w:tc>
        <w:tc>
          <w:tcPr>
            <w:tcW w:w="1833" w:type="dxa"/>
          </w:tcPr>
          <w:p w14:paraId="75255EE6" w14:textId="62A74CFC"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418</w:t>
            </w:r>
          </w:p>
        </w:tc>
      </w:tr>
      <w:tr w:rsidR="00A9218C" w:rsidRPr="00A9218C" w14:paraId="06F43C18" w14:textId="77777777" w:rsidTr="00A9218C">
        <w:trPr>
          <w:trHeight w:val="300"/>
          <w:jc w:val="center"/>
        </w:trPr>
        <w:tc>
          <w:tcPr>
            <w:cnfStyle w:val="001000000000" w:firstRow="0" w:lastRow="0" w:firstColumn="1" w:lastColumn="0" w:oddVBand="0" w:evenVBand="0" w:oddHBand="0" w:evenHBand="0" w:firstRowFirstColumn="0" w:firstRowLastColumn="0" w:lastRowFirstColumn="0" w:lastRowLastColumn="0"/>
            <w:tcW w:w="2297" w:type="dxa"/>
          </w:tcPr>
          <w:p w14:paraId="39F44B78" w14:textId="48340F12" w:rsidR="00A9218C" w:rsidRPr="00A9218C" w:rsidRDefault="00A9218C" w:rsidP="00A9218C">
            <w:pPr>
              <w:pStyle w:val="Tablehead"/>
              <w:jc w:val="both"/>
              <w:rPr>
                <w:b/>
                <w:bCs/>
                <w:position w:val="2"/>
                <w:lang w:bidi="ar-SA"/>
              </w:rPr>
            </w:pPr>
            <w:r w:rsidRPr="00A9218C">
              <w:rPr>
                <w:b/>
                <w:bCs/>
                <w:position w:val="2"/>
                <w:rtl/>
              </w:rPr>
              <w:t xml:space="preserve">أقراص </w:t>
            </w:r>
            <w:r w:rsidRPr="00A9218C">
              <w:rPr>
                <w:b/>
                <w:bCs/>
                <w:position w:val="2"/>
              </w:rPr>
              <w:t>DVD</w:t>
            </w:r>
            <w:r w:rsidRPr="00A9218C">
              <w:rPr>
                <w:b/>
                <w:bCs/>
                <w:position w:val="2"/>
                <w:rtl/>
              </w:rPr>
              <w:t xml:space="preserve"> المبيعة</w:t>
            </w:r>
          </w:p>
        </w:tc>
        <w:tc>
          <w:tcPr>
            <w:tcW w:w="1833" w:type="dxa"/>
          </w:tcPr>
          <w:p w14:paraId="6C0004C5" w14:textId="49949999"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1</w:t>
            </w:r>
            <w:r>
              <w:rPr>
                <w:position w:val="2"/>
              </w:rPr>
              <w:t> </w:t>
            </w:r>
            <w:r w:rsidRPr="00A9218C">
              <w:rPr>
                <w:position w:val="2"/>
              </w:rPr>
              <w:t>638</w:t>
            </w:r>
          </w:p>
        </w:tc>
        <w:tc>
          <w:tcPr>
            <w:tcW w:w="1833" w:type="dxa"/>
          </w:tcPr>
          <w:p w14:paraId="57C3F306" w14:textId="4FC70CCE"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11</w:t>
            </w:r>
            <w:r>
              <w:rPr>
                <w:position w:val="2"/>
              </w:rPr>
              <w:t> </w:t>
            </w:r>
            <w:r w:rsidRPr="00A9218C">
              <w:rPr>
                <w:position w:val="2"/>
              </w:rPr>
              <w:t>700</w:t>
            </w:r>
          </w:p>
        </w:tc>
        <w:tc>
          <w:tcPr>
            <w:tcW w:w="1833" w:type="dxa"/>
          </w:tcPr>
          <w:p w14:paraId="074A0F9F" w14:textId="28E4F317"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2020</w:t>
            </w:r>
            <w:r>
              <w:rPr>
                <w:position w:val="2"/>
                <w:rtl/>
              </w:rPr>
              <w:t xml:space="preserve">: </w:t>
            </w:r>
            <w:r w:rsidRPr="00A9218C">
              <w:rPr>
                <w:position w:val="2"/>
                <w:rtl/>
              </w:rPr>
              <w:t>922</w:t>
            </w:r>
          </w:p>
          <w:p w14:paraId="3F45F36B" w14:textId="3006EB35"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2024</w:t>
            </w:r>
            <w:r>
              <w:rPr>
                <w:position w:val="2"/>
                <w:rtl/>
              </w:rPr>
              <w:t xml:space="preserve">: </w:t>
            </w:r>
            <w:r w:rsidRPr="00A9218C">
              <w:rPr>
                <w:position w:val="2"/>
              </w:rPr>
              <w:t>3</w:t>
            </w:r>
            <w:r>
              <w:rPr>
                <w:position w:val="2"/>
              </w:rPr>
              <w:t> </w:t>
            </w:r>
            <w:r w:rsidRPr="00A9218C">
              <w:rPr>
                <w:position w:val="2"/>
              </w:rPr>
              <w:t>750</w:t>
            </w:r>
          </w:p>
          <w:p w14:paraId="134F17F5" w14:textId="3646B9D0"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المجموع</w:t>
            </w:r>
            <w:r>
              <w:rPr>
                <w:position w:val="2"/>
                <w:rtl/>
              </w:rPr>
              <w:t xml:space="preserve">: </w:t>
            </w:r>
            <w:r>
              <w:rPr>
                <w:position w:val="2"/>
              </w:rPr>
              <w:t>4 672</w:t>
            </w:r>
          </w:p>
        </w:tc>
        <w:tc>
          <w:tcPr>
            <w:tcW w:w="1833" w:type="dxa"/>
          </w:tcPr>
          <w:p w14:paraId="5C56BF42" w14:textId="04153029"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4</w:t>
            </w:r>
            <w:r>
              <w:rPr>
                <w:position w:val="2"/>
              </w:rPr>
              <w:t> </w:t>
            </w:r>
            <w:r w:rsidRPr="00A9218C">
              <w:rPr>
                <w:position w:val="2"/>
              </w:rPr>
              <w:t>521</w:t>
            </w:r>
          </w:p>
        </w:tc>
      </w:tr>
      <w:tr w:rsidR="00A9218C" w:rsidRPr="00A9218C" w14:paraId="4E6A44E1" w14:textId="77777777" w:rsidTr="00A9218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7" w:type="dxa"/>
          </w:tcPr>
          <w:p w14:paraId="62B21485" w14:textId="1032FCC2" w:rsidR="00A9218C" w:rsidRPr="00A9218C" w:rsidRDefault="00A9218C" w:rsidP="00A9218C">
            <w:pPr>
              <w:pStyle w:val="Tablehead"/>
              <w:jc w:val="both"/>
              <w:rPr>
                <w:b/>
                <w:bCs/>
                <w:spacing w:val="-4"/>
                <w:position w:val="2"/>
                <w:lang w:bidi="ar-SA"/>
              </w:rPr>
            </w:pPr>
            <w:r w:rsidRPr="00A9218C">
              <w:rPr>
                <w:b/>
                <w:bCs/>
                <w:position w:val="2"/>
                <w:rtl/>
              </w:rPr>
              <w:t xml:space="preserve">مفاتيح </w:t>
            </w:r>
            <w:r w:rsidRPr="00A9218C">
              <w:rPr>
                <w:b/>
                <w:bCs/>
                <w:position w:val="2"/>
              </w:rPr>
              <w:t>USB</w:t>
            </w:r>
            <w:r w:rsidRPr="00A9218C">
              <w:rPr>
                <w:b/>
                <w:bCs/>
                <w:position w:val="2"/>
                <w:rtl/>
              </w:rPr>
              <w:t xml:space="preserve"> المبيعة</w:t>
            </w:r>
          </w:p>
        </w:tc>
        <w:tc>
          <w:tcPr>
            <w:tcW w:w="1833" w:type="dxa"/>
          </w:tcPr>
          <w:p w14:paraId="64CA2E2C" w14:textId="2E31447E"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w:t>
            </w:r>
          </w:p>
        </w:tc>
        <w:tc>
          <w:tcPr>
            <w:tcW w:w="1833" w:type="dxa"/>
          </w:tcPr>
          <w:p w14:paraId="3B5A317D" w14:textId="331D56AA"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w:t>
            </w:r>
          </w:p>
        </w:tc>
        <w:tc>
          <w:tcPr>
            <w:tcW w:w="1833" w:type="dxa"/>
          </w:tcPr>
          <w:p w14:paraId="079276C7" w14:textId="1E136F29"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2020</w:t>
            </w:r>
            <w:r>
              <w:rPr>
                <w:position w:val="2"/>
                <w:rtl/>
              </w:rPr>
              <w:t xml:space="preserve">: </w:t>
            </w:r>
            <w:r w:rsidRPr="00A9218C">
              <w:rPr>
                <w:position w:val="2"/>
                <w:rtl/>
              </w:rPr>
              <w:t>-</w:t>
            </w:r>
          </w:p>
          <w:p w14:paraId="18E35A8E" w14:textId="087FDBEA"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2024</w:t>
            </w:r>
            <w:r>
              <w:rPr>
                <w:position w:val="2"/>
                <w:rtl/>
              </w:rPr>
              <w:t xml:space="preserve">: </w:t>
            </w:r>
            <w:r w:rsidRPr="00A9218C">
              <w:rPr>
                <w:position w:val="2"/>
                <w:rtl/>
              </w:rPr>
              <w:t>3</w:t>
            </w:r>
          </w:p>
          <w:p w14:paraId="0E296AA5" w14:textId="77AA14DC"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المجموع</w:t>
            </w:r>
            <w:r>
              <w:rPr>
                <w:position w:val="2"/>
                <w:rtl/>
              </w:rPr>
              <w:t xml:space="preserve">: </w:t>
            </w:r>
            <w:r w:rsidRPr="00A9218C">
              <w:rPr>
                <w:position w:val="2"/>
                <w:rtl/>
              </w:rPr>
              <w:t>3</w:t>
            </w:r>
          </w:p>
        </w:tc>
        <w:tc>
          <w:tcPr>
            <w:tcW w:w="1833" w:type="dxa"/>
          </w:tcPr>
          <w:p w14:paraId="65ECF46F" w14:textId="0E2C7300" w:rsidR="00A9218C" w:rsidRPr="00A9218C" w:rsidRDefault="00A9218C" w:rsidP="00A9218C">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662</w:t>
            </w:r>
          </w:p>
        </w:tc>
      </w:tr>
      <w:tr w:rsidR="00A9218C" w:rsidRPr="00A9218C" w14:paraId="51DC1808" w14:textId="77777777" w:rsidTr="00A9218C">
        <w:trPr>
          <w:trHeight w:val="300"/>
          <w:jc w:val="center"/>
        </w:trPr>
        <w:tc>
          <w:tcPr>
            <w:cnfStyle w:val="001000000000" w:firstRow="0" w:lastRow="0" w:firstColumn="1" w:lastColumn="0" w:oddVBand="0" w:evenVBand="0" w:oddHBand="0" w:evenHBand="0" w:firstRowFirstColumn="0" w:firstRowLastColumn="0" w:lastRowFirstColumn="0" w:lastRowLastColumn="0"/>
            <w:tcW w:w="2297" w:type="dxa"/>
          </w:tcPr>
          <w:p w14:paraId="5DE13D8F" w14:textId="0F176271" w:rsidR="00A9218C" w:rsidRPr="00A9218C" w:rsidRDefault="00A9218C" w:rsidP="00A9218C">
            <w:pPr>
              <w:pStyle w:val="Tablehead"/>
              <w:jc w:val="both"/>
              <w:rPr>
                <w:b/>
                <w:bCs/>
                <w:spacing w:val="-4"/>
                <w:position w:val="2"/>
                <w:lang w:bidi="ar-SA"/>
              </w:rPr>
            </w:pPr>
            <w:r w:rsidRPr="00A9218C">
              <w:rPr>
                <w:b/>
                <w:bCs/>
                <w:position w:val="2"/>
                <w:rtl/>
              </w:rPr>
              <w:t>التنزيلات المجانية</w:t>
            </w:r>
          </w:p>
        </w:tc>
        <w:tc>
          <w:tcPr>
            <w:tcW w:w="1833" w:type="dxa"/>
          </w:tcPr>
          <w:p w14:paraId="25037E47" w14:textId="64D57033"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13</w:t>
            </w:r>
            <w:r>
              <w:rPr>
                <w:position w:val="2"/>
              </w:rPr>
              <w:t> </w:t>
            </w:r>
            <w:r w:rsidRPr="00A9218C">
              <w:rPr>
                <w:position w:val="2"/>
              </w:rPr>
              <w:t>467</w:t>
            </w:r>
          </w:p>
        </w:tc>
        <w:tc>
          <w:tcPr>
            <w:tcW w:w="1833" w:type="dxa"/>
          </w:tcPr>
          <w:p w14:paraId="12102FC7" w14:textId="6B3E4AC3"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42</w:t>
            </w:r>
            <w:r>
              <w:rPr>
                <w:position w:val="2"/>
              </w:rPr>
              <w:t> </w:t>
            </w:r>
            <w:r w:rsidRPr="00A9218C">
              <w:rPr>
                <w:position w:val="2"/>
              </w:rPr>
              <w:t>439</w:t>
            </w:r>
          </w:p>
        </w:tc>
        <w:tc>
          <w:tcPr>
            <w:tcW w:w="1833" w:type="dxa"/>
          </w:tcPr>
          <w:p w14:paraId="70E7D8E3" w14:textId="52532D23"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2020</w:t>
            </w:r>
            <w:r>
              <w:rPr>
                <w:position w:val="2"/>
                <w:rtl/>
              </w:rPr>
              <w:t xml:space="preserve">: </w:t>
            </w:r>
            <w:r w:rsidRPr="00A9218C">
              <w:rPr>
                <w:position w:val="2"/>
              </w:rPr>
              <w:t>29</w:t>
            </w:r>
            <w:r>
              <w:rPr>
                <w:position w:val="2"/>
              </w:rPr>
              <w:t> </w:t>
            </w:r>
            <w:r w:rsidRPr="00A9218C">
              <w:rPr>
                <w:position w:val="2"/>
              </w:rPr>
              <w:t>537</w:t>
            </w:r>
          </w:p>
          <w:p w14:paraId="0978837D" w14:textId="5BF789FB"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2024</w:t>
            </w:r>
            <w:r>
              <w:rPr>
                <w:position w:val="2"/>
                <w:rtl/>
              </w:rPr>
              <w:t xml:space="preserve">: </w:t>
            </w:r>
            <w:r w:rsidRPr="00A9218C">
              <w:rPr>
                <w:position w:val="2"/>
              </w:rPr>
              <w:t>12</w:t>
            </w:r>
            <w:r>
              <w:rPr>
                <w:position w:val="2"/>
              </w:rPr>
              <w:t> </w:t>
            </w:r>
            <w:r w:rsidRPr="00A9218C">
              <w:rPr>
                <w:position w:val="2"/>
              </w:rPr>
              <w:t>445</w:t>
            </w:r>
          </w:p>
          <w:p w14:paraId="1205B1CC" w14:textId="5C3D84FC"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المجموع</w:t>
            </w:r>
            <w:r>
              <w:rPr>
                <w:position w:val="2"/>
                <w:rtl/>
              </w:rPr>
              <w:t xml:space="preserve">: </w:t>
            </w:r>
            <w:r>
              <w:rPr>
                <w:position w:val="2"/>
              </w:rPr>
              <w:t>41 982</w:t>
            </w:r>
          </w:p>
        </w:tc>
        <w:tc>
          <w:tcPr>
            <w:tcW w:w="1833" w:type="dxa"/>
          </w:tcPr>
          <w:p w14:paraId="7F82A40A" w14:textId="3BE53E2E" w:rsidR="00A9218C" w:rsidRPr="00A9218C" w:rsidRDefault="00A9218C" w:rsidP="00A9218C">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22</w:t>
            </w:r>
            <w:r>
              <w:rPr>
                <w:position w:val="2"/>
              </w:rPr>
              <w:t> </w:t>
            </w:r>
            <w:r w:rsidRPr="00A9218C">
              <w:rPr>
                <w:position w:val="2"/>
              </w:rPr>
              <w:t>939</w:t>
            </w:r>
          </w:p>
        </w:tc>
      </w:tr>
    </w:tbl>
    <w:p w14:paraId="27BA2D2E" w14:textId="2B862F1F" w:rsidR="00674A3A" w:rsidRDefault="00674A3A" w:rsidP="000B3CF0">
      <w:pPr>
        <w:spacing w:before="240"/>
        <w:rPr>
          <w:rtl/>
        </w:rPr>
      </w:pPr>
      <w:r>
        <w:rPr>
          <w:rtl/>
        </w:rPr>
        <w:t xml:space="preserve">ويبين الجدول </w:t>
      </w:r>
      <w:r w:rsidR="00656514">
        <w:t>2-1.4.1.8</w:t>
      </w:r>
      <w:r>
        <w:rPr>
          <w:rtl/>
        </w:rPr>
        <w:t xml:space="preserve"> العدد الإجمالي للتنزيلات خلال نفس الفترة للقواعد الإجرائية (</w:t>
      </w:r>
      <w:r>
        <w:t>RoP</w:t>
      </w:r>
      <w:r>
        <w:rPr>
          <w:rtl/>
        </w:rPr>
        <w:t xml:space="preserve">). وقد نُشرت الطبعة الأخيرة من القواعد الإجرائية في ديسمبر2025، مع مراعاة قرارات المؤتمر </w:t>
      </w:r>
      <w:r>
        <w:t>WRC-23</w:t>
      </w:r>
      <w:r>
        <w:rPr>
          <w:rtl/>
        </w:rPr>
        <w:t>. وتلقت الطبعة بعد ذلك ست تحديثات نتيجةً للقواعد الإجرائية الجديدة والمعدلة التي وافقت عليها لجنة لوائح الراديو.</w:t>
      </w:r>
    </w:p>
    <w:p w14:paraId="2C64044B" w14:textId="63DCAB4B" w:rsidR="00674A3A" w:rsidRDefault="00674A3A" w:rsidP="00656514">
      <w:pPr>
        <w:pStyle w:val="TableNo"/>
        <w:rPr>
          <w:rtl/>
        </w:rPr>
      </w:pPr>
      <w:r>
        <w:rPr>
          <w:rtl/>
        </w:rPr>
        <w:t xml:space="preserve">الجدول </w:t>
      </w:r>
      <w:r w:rsidR="00656514">
        <w:t>2-1.4.1.8</w:t>
      </w:r>
    </w:p>
    <w:p w14:paraId="14058F22" w14:textId="77777777" w:rsidR="00674A3A" w:rsidRDefault="00674A3A" w:rsidP="00656514">
      <w:pPr>
        <w:pStyle w:val="Tabletitle"/>
        <w:rPr>
          <w:rtl/>
        </w:rPr>
      </w:pPr>
      <w:r>
        <w:rPr>
          <w:rtl/>
        </w:rPr>
        <w:t>(تنزيلات) القواعد الإجرائية</w:t>
      </w:r>
    </w:p>
    <w:tbl>
      <w:tblPr>
        <w:tblStyle w:val="GridTable5Dark-Accent1"/>
        <w:bidiVisual/>
        <w:tblW w:w="9593" w:type="dxa"/>
        <w:jc w:val="center"/>
        <w:tblLayout w:type="fixed"/>
        <w:tblLook w:val="04A0" w:firstRow="1" w:lastRow="0" w:firstColumn="1" w:lastColumn="0" w:noHBand="0" w:noVBand="1"/>
      </w:tblPr>
      <w:tblGrid>
        <w:gridCol w:w="2288"/>
        <w:gridCol w:w="1827"/>
        <w:gridCol w:w="1826"/>
        <w:gridCol w:w="1826"/>
        <w:gridCol w:w="1826"/>
      </w:tblGrid>
      <w:tr w:rsidR="006308B3" w:rsidRPr="006308B3" w14:paraId="40C1728E" w14:textId="77777777" w:rsidTr="00433DCA">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1409B00E" w14:textId="77777777" w:rsidR="006308B3" w:rsidRPr="000B3CF0" w:rsidRDefault="006308B3" w:rsidP="00873481">
            <w:pPr>
              <w:pStyle w:val="Tablehead"/>
            </w:pPr>
          </w:p>
        </w:tc>
        <w:tc>
          <w:tcPr>
            <w:tcW w:w="1827" w:type="dxa"/>
          </w:tcPr>
          <w:p w14:paraId="52B3D4FD" w14:textId="77777777" w:rsidR="006308B3" w:rsidRPr="000B3CF0" w:rsidRDefault="006308B3" w:rsidP="00873481">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0B3CF0">
              <w:rPr>
                <w:b/>
                <w:bCs/>
                <w:rtl/>
              </w:rPr>
              <w:t>2022</w:t>
            </w:r>
          </w:p>
        </w:tc>
        <w:tc>
          <w:tcPr>
            <w:tcW w:w="1826" w:type="dxa"/>
          </w:tcPr>
          <w:p w14:paraId="57FEC7D3" w14:textId="77777777" w:rsidR="006308B3" w:rsidRPr="000B3CF0" w:rsidRDefault="006308B3" w:rsidP="00873481">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0B3CF0">
              <w:rPr>
                <w:b/>
                <w:bCs/>
                <w:rtl/>
              </w:rPr>
              <w:t>2023</w:t>
            </w:r>
          </w:p>
        </w:tc>
        <w:tc>
          <w:tcPr>
            <w:tcW w:w="1826" w:type="dxa"/>
          </w:tcPr>
          <w:p w14:paraId="6444C24A" w14:textId="77777777" w:rsidR="006308B3" w:rsidRPr="000B3CF0" w:rsidRDefault="006308B3" w:rsidP="00873481">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0B3CF0">
              <w:rPr>
                <w:b/>
                <w:bCs/>
                <w:rtl/>
              </w:rPr>
              <w:t>2024*</w:t>
            </w:r>
          </w:p>
        </w:tc>
        <w:tc>
          <w:tcPr>
            <w:tcW w:w="1826" w:type="dxa"/>
          </w:tcPr>
          <w:p w14:paraId="3CDE8C84" w14:textId="77777777" w:rsidR="006308B3" w:rsidRPr="000B3CF0" w:rsidRDefault="006308B3" w:rsidP="00873481">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0B3CF0">
              <w:rPr>
                <w:b/>
                <w:bCs/>
                <w:rtl/>
              </w:rPr>
              <w:t>2025*</w:t>
            </w:r>
          </w:p>
        </w:tc>
      </w:tr>
      <w:tr w:rsidR="006308B3" w:rsidRPr="006308B3" w14:paraId="353BA9E7" w14:textId="77777777" w:rsidTr="00433DC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585479D1" w14:textId="7D7E6296" w:rsidR="006308B3" w:rsidRPr="000B3CF0" w:rsidRDefault="006308B3" w:rsidP="00873481">
            <w:pPr>
              <w:pStyle w:val="Tablehead"/>
              <w:rPr>
                <w:b/>
                <w:bCs/>
                <w:lang w:bidi="ar-SA"/>
              </w:rPr>
            </w:pPr>
            <w:r w:rsidRPr="000B3CF0">
              <w:rPr>
                <w:b/>
                <w:bCs/>
                <w:rtl/>
              </w:rPr>
              <w:t>القواعد الإجرائية</w:t>
            </w:r>
            <w:r w:rsidR="000B3CF0">
              <w:rPr>
                <w:rFonts w:hint="cs"/>
                <w:b/>
                <w:bCs/>
                <w:rtl/>
              </w:rPr>
              <w:t xml:space="preserve"> </w:t>
            </w:r>
            <w:r w:rsidR="000B3CF0">
              <w:rPr>
                <w:b/>
                <w:bCs/>
              </w:rPr>
              <w:t>(</w:t>
            </w:r>
            <w:proofErr w:type="spellStart"/>
            <w:r w:rsidR="000B3CF0">
              <w:rPr>
                <w:b/>
                <w:bCs/>
              </w:rPr>
              <w:t>RoP</w:t>
            </w:r>
            <w:proofErr w:type="spellEnd"/>
            <w:r w:rsidR="000B3CF0">
              <w:rPr>
                <w:b/>
                <w:bCs/>
              </w:rPr>
              <w:t>)</w:t>
            </w:r>
          </w:p>
        </w:tc>
        <w:tc>
          <w:tcPr>
            <w:tcW w:w="1827" w:type="dxa"/>
          </w:tcPr>
          <w:p w14:paraId="3BD224A9" w14:textId="7696FA4C" w:rsidR="006308B3" w:rsidRPr="000B3CF0" w:rsidRDefault="006308B3" w:rsidP="00873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3CF0">
              <w:rPr>
                <w:sz w:val="20"/>
                <w:szCs w:val="20"/>
              </w:rPr>
              <w:t>11</w:t>
            </w:r>
            <w:r w:rsidR="00873481" w:rsidRPr="000B3CF0">
              <w:rPr>
                <w:sz w:val="20"/>
                <w:szCs w:val="20"/>
              </w:rPr>
              <w:t> </w:t>
            </w:r>
            <w:r w:rsidRPr="000B3CF0">
              <w:rPr>
                <w:sz w:val="20"/>
                <w:szCs w:val="20"/>
              </w:rPr>
              <w:t>887</w:t>
            </w:r>
          </w:p>
        </w:tc>
        <w:tc>
          <w:tcPr>
            <w:tcW w:w="1826" w:type="dxa"/>
          </w:tcPr>
          <w:p w14:paraId="07D54A27" w14:textId="190D2A0D" w:rsidR="006308B3" w:rsidRPr="000B3CF0" w:rsidRDefault="006308B3" w:rsidP="00873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3CF0">
              <w:rPr>
                <w:sz w:val="20"/>
                <w:szCs w:val="20"/>
              </w:rPr>
              <w:t>16</w:t>
            </w:r>
            <w:r w:rsidR="00873481" w:rsidRPr="000B3CF0">
              <w:rPr>
                <w:sz w:val="20"/>
                <w:szCs w:val="20"/>
              </w:rPr>
              <w:t> </w:t>
            </w:r>
            <w:r w:rsidRPr="000B3CF0">
              <w:rPr>
                <w:sz w:val="20"/>
                <w:szCs w:val="20"/>
              </w:rPr>
              <w:t>875</w:t>
            </w:r>
          </w:p>
        </w:tc>
        <w:tc>
          <w:tcPr>
            <w:tcW w:w="1826" w:type="dxa"/>
          </w:tcPr>
          <w:p w14:paraId="1C8A7D15" w14:textId="2912F2B1" w:rsidR="006308B3" w:rsidRPr="000B3CF0" w:rsidRDefault="006308B3" w:rsidP="00873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3CF0">
              <w:rPr>
                <w:sz w:val="20"/>
                <w:szCs w:val="20"/>
              </w:rPr>
              <w:t>14</w:t>
            </w:r>
            <w:r w:rsidR="00873481" w:rsidRPr="000B3CF0">
              <w:rPr>
                <w:sz w:val="20"/>
                <w:szCs w:val="20"/>
              </w:rPr>
              <w:t> </w:t>
            </w:r>
            <w:r w:rsidRPr="000B3CF0">
              <w:rPr>
                <w:sz w:val="20"/>
                <w:szCs w:val="20"/>
              </w:rPr>
              <w:t>510</w:t>
            </w:r>
          </w:p>
        </w:tc>
        <w:tc>
          <w:tcPr>
            <w:tcW w:w="1826" w:type="dxa"/>
          </w:tcPr>
          <w:p w14:paraId="07ED49FA" w14:textId="56F52C18" w:rsidR="006308B3" w:rsidRPr="000B3CF0" w:rsidRDefault="006308B3" w:rsidP="00873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0B3CF0">
              <w:rPr>
                <w:sz w:val="20"/>
                <w:szCs w:val="20"/>
              </w:rPr>
              <w:t>17</w:t>
            </w:r>
            <w:r w:rsidR="00873481" w:rsidRPr="000B3CF0">
              <w:rPr>
                <w:sz w:val="20"/>
                <w:szCs w:val="20"/>
              </w:rPr>
              <w:t> </w:t>
            </w:r>
            <w:r w:rsidRPr="000B3CF0">
              <w:rPr>
                <w:sz w:val="20"/>
                <w:szCs w:val="20"/>
              </w:rPr>
              <w:t>140</w:t>
            </w:r>
          </w:p>
        </w:tc>
      </w:tr>
    </w:tbl>
    <w:p w14:paraId="0F3748CD" w14:textId="3FB0EDC5" w:rsidR="00816C27" w:rsidRDefault="00674A3A" w:rsidP="00451B89">
      <w:pPr>
        <w:pStyle w:val="Tablelegend"/>
        <w:spacing w:after="240"/>
        <w:rPr>
          <w:rtl/>
        </w:rPr>
      </w:pPr>
      <w:r>
        <w:rPr>
          <w:rtl/>
        </w:rPr>
        <w:t>*</w:t>
      </w:r>
      <w:r w:rsidR="005D14A0">
        <w:tab/>
      </w:r>
      <w:r>
        <w:rPr>
          <w:rtl/>
        </w:rPr>
        <w:t>تشمل قيم عامي 2024 و2025 جميع القواعد الإجرائية السارية، بغض النظر عن النسخة التي تم تنزيلها.</w:t>
      </w:r>
    </w:p>
    <w:p w14:paraId="177E2396" w14:textId="61AAA6A9" w:rsidR="00674A3A" w:rsidRDefault="005D14A0" w:rsidP="005D14A0">
      <w:pPr>
        <w:pStyle w:val="Heading4"/>
        <w:rPr>
          <w:rtl/>
        </w:rPr>
      </w:pPr>
      <w:r>
        <w:t>2.4.1.8</w:t>
      </w:r>
      <w:r w:rsidR="00674A3A">
        <w:rPr>
          <w:rtl/>
        </w:rPr>
        <w:tab/>
        <w:t>توصيات قطاع الاتصالات الراديوية</w:t>
      </w:r>
    </w:p>
    <w:p w14:paraId="699BDE17" w14:textId="2C87CC4B" w:rsidR="00816C27" w:rsidRDefault="00674A3A" w:rsidP="00674A3A">
      <w:pPr>
        <w:rPr>
          <w:rtl/>
        </w:rPr>
      </w:pPr>
      <w:r>
        <w:rPr>
          <w:rtl/>
        </w:rPr>
        <w:t>نتيجةً لسياسة النفاذ الإلكتروني المجاني، يجري النفاذ إلى توصيات قطاع الاتصالات الراديوية وتنزيلها في جميع أنحاء العالم. وفي</w:t>
      </w:r>
      <w:r w:rsidR="005D14A0">
        <w:rPr>
          <w:rFonts w:hint="cs"/>
          <w:rtl/>
        </w:rPr>
        <w:t> </w:t>
      </w:r>
      <w:r>
        <w:rPr>
          <w:rtl/>
        </w:rPr>
        <w:t>الفترة من يناير 2022 إلى ديسمبر 2025، سُجل ما يقرب من سبعة ملايين تنزيل لتوصيات قطاع الاتصالات الراديوية من الموقع الإلكتروني للاتحاد.</w:t>
      </w:r>
    </w:p>
    <w:p w14:paraId="6230E59B" w14:textId="29008064" w:rsidR="00674A3A" w:rsidRPr="00451B89" w:rsidRDefault="00674A3A" w:rsidP="00674A3A">
      <w:pPr>
        <w:rPr>
          <w:spacing w:val="-4"/>
          <w:rtl/>
        </w:rPr>
      </w:pPr>
      <w:r w:rsidRPr="00451B89">
        <w:rPr>
          <w:spacing w:val="-4"/>
          <w:rtl/>
        </w:rPr>
        <w:t xml:space="preserve">ويلخص الجدول </w:t>
      </w:r>
      <w:r w:rsidR="008A555A" w:rsidRPr="00451B89">
        <w:rPr>
          <w:spacing w:val="-4"/>
        </w:rPr>
        <w:t>1-2.4.1.8</w:t>
      </w:r>
      <w:r w:rsidRPr="00451B89">
        <w:rPr>
          <w:spacing w:val="-4"/>
          <w:rtl/>
        </w:rPr>
        <w:t xml:space="preserve"> توزيعها حسب السنة والسلسلة. وهناك حالياًَ</w:t>
      </w:r>
      <w:r w:rsidR="005F1781">
        <w:rPr>
          <w:rFonts w:hint="cs"/>
          <w:spacing w:val="-4"/>
          <w:rtl/>
        </w:rPr>
        <w:t xml:space="preserve"> </w:t>
      </w:r>
      <w:r w:rsidRPr="00451B89">
        <w:rPr>
          <w:spacing w:val="-4"/>
          <w:rtl/>
        </w:rPr>
        <w:t>208 1 توصيات لقطاع الاتصالات الراديوية سارية المفعول.</w:t>
      </w:r>
    </w:p>
    <w:p w14:paraId="08E543F4" w14:textId="2B04E4C0" w:rsidR="00674A3A" w:rsidRDefault="00674A3A" w:rsidP="008A555A">
      <w:pPr>
        <w:pStyle w:val="TableNo"/>
        <w:rPr>
          <w:rtl/>
        </w:rPr>
      </w:pPr>
      <w:r>
        <w:rPr>
          <w:rtl/>
        </w:rPr>
        <w:lastRenderedPageBreak/>
        <w:t xml:space="preserve">الجدول </w:t>
      </w:r>
      <w:r w:rsidR="008A555A">
        <w:t>1-2.4.1.8</w:t>
      </w:r>
    </w:p>
    <w:p w14:paraId="5E6C968B" w14:textId="77777777" w:rsidR="00674A3A" w:rsidRDefault="00674A3A" w:rsidP="008A555A">
      <w:pPr>
        <w:pStyle w:val="Tabletitle"/>
        <w:rPr>
          <w:rtl/>
        </w:rPr>
      </w:pPr>
      <w:r>
        <w:rPr>
          <w:rtl/>
        </w:rPr>
        <w:t>توزع (تنزيلات) توصيات قطاع الاتصالات الراديوية</w:t>
      </w:r>
    </w:p>
    <w:tbl>
      <w:tblPr>
        <w:tblStyle w:val="GridTable5Dark-Accent1"/>
        <w:bidiVisual/>
        <w:tblW w:w="4990" w:type="pct"/>
        <w:jc w:val="center"/>
        <w:tblLayout w:type="fixed"/>
        <w:tblLook w:val="04A0" w:firstRow="1" w:lastRow="0" w:firstColumn="1" w:lastColumn="0" w:noHBand="0" w:noVBand="1"/>
      </w:tblPr>
      <w:tblGrid>
        <w:gridCol w:w="1239"/>
        <w:gridCol w:w="1393"/>
        <w:gridCol w:w="1394"/>
        <w:gridCol w:w="1393"/>
        <w:gridCol w:w="1394"/>
        <w:gridCol w:w="1393"/>
        <w:gridCol w:w="1394"/>
      </w:tblGrid>
      <w:tr w:rsidR="006308B3" w:rsidRPr="006308B3" w14:paraId="5B9EE927" w14:textId="77777777" w:rsidTr="008A555A">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tcBorders>
            <w:tcMar>
              <w:left w:w="108" w:type="dxa"/>
              <w:right w:w="108" w:type="dxa"/>
            </w:tcMar>
            <w:vAlign w:val="bottom"/>
          </w:tcPr>
          <w:p w14:paraId="7AF7661F" w14:textId="77777777" w:rsidR="006308B3" w:rsidRPr="006308B3" w:rsidRDefault="006308B3" w:rsidP="008A555A">
            <w:pPr>
              <w:pStyle w:val="Tablehead"/>
              <w:rPr>
                <w:b/>
                <w:bCs/>
                <w:lang w:bidi="ar-SA"/>
              </w:rPr>
            </w:pPr>
            <w:r w:rsidRPr="006308B3">
              <w:rPr>
                <w:b/>
                <w:bCs/>
                <w:rtl/>
              </w:rPr>
              <w:t>السلسلة</w:t>
            </w:r>
          </w:p>
        </w:tc>
        <w:tc>
          <w:tcPr>
            <w:tcW w:w="1396" w:type="dxa"/>
            <w:tcBorders>
              <w:top w:val="single" w:sz="8" w:space="0" w:color="FFFFFF" w:themeColor="background1"/>
              <w:bottom w:val="single" w:sz="8" w:space="0" w:color="FFFFFF" w:themeColor="background1"/>
            </w:tcBorders>
            <w:tcMar>
              <w:left w:w="108" w:type="dxa"/>
              <w:right w:w="108" w:type="dxa"/>
            </w:tcMar>
            <w:vAlign w:val="bottom"/>
          </w:tcPr>
          <w:p w14:paraId="0015AFDF"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2022</w:t>
            </w:r>
          </w:p>
        </w:tc>
        <w:tc>
          <w:tcPr>
            <w:tcW w:w="1397" w:type="dxa"/>
            <w:tcBorders>
              <w:top w:val="single" w:sz="8" w:space="0" w:color="FFFFFF" w:themeColor="background1"/>
              <w:bottom w:val="single" w:sz="8" w:space="0" w:color="FFFFFF" w:themeColor="background1"/>
            </w:tcBorders>
            <w:tcMar>
              <w:left w:w="108" w:type="dxa"/>
              <w:right w:w="108" w:type="dxa"/>
            </w:tcMar>
            <w:vAlign w:val="bottom"/>
          </w:tcPr>
          <w:p w14:paraId="5B08B42F"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2023</w:t>
            </w:r>
          </w:p>
        </w:tc>
        <w:tc>
          <w:tcPr>
            <w:tcW w:w="1396" w:type="dxa"/>
            <w:tcBorders>
              <w:top w:val="single" w:sz="8" w:space="0" w:color="FFFFFF" w:themeColor="background1"/>
              <w:bottom w:val="single" w:sz="8" w:space="0" w:color="FFFFFF" w:themeColor="background1"/>
            </w:tcBorders>
            <w:tcMar>
              <w:left w:w="108" w:type="dxa"/>
              <w:right w:w="108" w:type="dxa"/>
            </w:tcMar>
            <w:vAlign w:val="bottom"/>
          </w:tcPr>
          <w:p w14:paraId="77F5556D"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2024</w:t>
            </w:r>
          </w:p>
        </w:tc>
        <w:tc>
          <w:tcPr>
            <w:tcW w:w="1397" w:type="dxa"/>
            <w:tcBorders>
              <w:top w:val="single" w:sz="8" w:space="0" w:color="FFFFFF" w:themeColor="background1"/>
              <w:bottom w:val="single" w:sz="8" w:space="0" w:color="FFFFFF" w:themeColor="background1"/>
            </w:tcBorders>
            <w:tcMar>
              <w:left w:w="108" w:type="dxa"/>
              <w:right w:w="108" w:type="dxa"/>
            </w:tcMar>
            <w:vAlign w:val="bottom"/>
          </w:tcPr>
          <w:p w14:paraId="19DB22B9" w14:textId="4543814D"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2025</w:t>
            </w:r>
            <w:r w:rsidRPr="00124688">
              <w:rPr>
                <w:rStyle w:val="FootnoteReference"/>
                <w:sz w:val="14"/>
                <w:szCs w:val="14"/>
                <w:rtl/>
              </w:rPr>
              <w:footnoteReference w:id="1"/>
            </w:r>
          </w:p>
        </w:tc>
        <w:tc>
          <w:tcPr>
            <w:tcW w:w="1396" w:type="dxa"/>
            <w:tcBorders>
              <w:top w:val="single" w:sz="8" w:space="0" w:color="FFFFFF" w:themeColor="background1"/>
              <w:bottom w:val="single" w:sz="8" w:space="0" w:color="FFFFFF" w:themeColor="background1"/>
            </w:tcBorders>
            <w:tcMar>
              <w:left w:w="108" w:type="dxa"/>
              <w:right w:w="108" w:type="dxa"/>
            </w:tcMar>
            <w:vAlign w:val="bottom"/>
          </w:tcPr>
          <w:p w14:paraId="06CFCAE2" w14:textId="28029553" w:rsidR="006308B3" w:rsidRPr="006308B3" w:rsidRDefault="008A555A" w:rsidP="008A555A">
            <w:pPr>
              <w:pStyle w:val="Tablehead"/>
              <w:cnfStyle w:val="100000000000" w:firstRow="1" w:lastRow="0" w:firstColumn="0" w:lastColumn="0" w:oddVBand="0" w:evenVBand="0" w:oddHBand="0" w:evenHBand="0" w:firstRowFirstColumn="0" w:firstRowLastColumn="0" w:lastRowFirstColumn="0" w:lastRowLastColumn="0"/>
              <w:rPr>
                <w:b/>
                <w:bCs/>
                <w:rtl/>
                <w:lang w:bidi="ar-SA"/>
              </w:rPr>
            </w:pPr>
            <w:r>
              <w:rPr>
                <w:rFonts w:hint="cs"/>
                <w:b/>
                <w:bCs/>
                <w:rtl/>
                <w:lang w:bidi="ar-SA"/>
              </w:rPr>
              <w:t>المجموع</w:t>
            </w:r>
          </w:p>
        </w:tc>
        <w:tc>
          <w:tcPr>
            <w:tcW w:w="1397" w:type="dxa"/>
            <w:tcBorders>
              <w:top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CA6F200"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Pr>
              <w:t>%</w:t>
            </w:r>
          </w:p>
        </w:tc>
      </w:tr>
      <w:tr w:rsidR="006308B3" w:rsidRPr="006308B3" w14:paraId="057675E4"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A636072" w14:textId="77777777" w:rsidR="006308B3" w:rsidRPr="006308B3" w:rsidRDefault="006308B3" w:rsidP="008A555A">
            <w:pPr>
              <w:pStyle w:val="Tablehead"/>
              <w:rPr>
                <w:b/>
                <w:bCs/>
                <w:lang w:bidi="ar-SA"/>
              </w:rPr>
            </w:pPr>
            <w:r w:rsidRPr="006308B3">
              <w:rPr>
                <w:b/>
                <w:bCs/>
              </w:rPr>
              <w:t>P</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177E91A" w14:textId="70613833"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347</w:t>
            </w:r>
            <w:r w:rsidR="008A555A">
              <w:t> </w:t>
            </w:r>
            <w:r w:rsidRPr="006308B3">
              <w:t>953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03675AC" w14:textId="72037BCA"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401</w:t>
            </w:r>
            <w:r w:rsidR="008A555A">
              <w:t xml:space="preserve"> </w:t>
            </w:r>
            <w:r w:rsidRPr="006308B3">
              <w:t>927</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44CF830" w14:textId="3EA928DF"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425</w:t>
            </w:r>
            <w:r w:rsidR="008A555A">
              <w:t> </w:t>
            </w:r>
            <w:r w:rsidRPr="006308B3">
              <w:t>058</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7DA25D3" w14:textId="2754212E"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515</w:t>
            </w:r>
            <w:r w:rsidR="008A555A">
              <w:t> </w:t>
            </w:r>
            <w:r w:rsidRPr="006308B3">
              <w:t>984</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6E9F674" w14:textId="3BF4E86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1</w:t>
            </w:r>
            <w:r w:rsidR="00451B89">
              <w:rPr>
                <w:b/>
                <w:bCs/>
              </w:rPr>
              <w:t> </w:t>
            </w:r>
            <w:r w:rsidRPr="006308B3">
              <w:rPr>
                <w:b/>
                <w:bCs/>
              </w:rPr>
              <w:t>690</w:t>
            </w:r>
            <w:r w:rsidR="00451B89">
              <w:rPr>
                <w:b/>
                <w:bCs/>
              </w:rPr>
              <w:t> </w:t>
            </w:r>
            <w:r w:rsidRPr="006308B3">
              <w:rPr>
                <w:b/>
                <w:bCs/>
              </w:rPr>
              <w:t>922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8A0A213"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23,71</w:t>
            </w:r>
          </w:p>
        </w:tc>
      </w:tr>
      <w:tr w:rsidR="006308B3" w:rsidRPr="006308B3" w14:paraId="545AA6F2"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C956E24" w14:textId="77777777" w:rsidR="006308B3" w:rsidRPr="006308B3" w:rsidRDefault="006308B3" w:rsidP="008A555A">
            <w:pPr>
              <w:pStyle w:val="Tablehead"/>
              <w:rPr>
                <w:b/>
                <w:bCs/>
                <w:lang w:bidi="ar-SA"/>
              </w:rPr>
            </w:pPr>
            <w:r w:rsidRPr="006308B3">
              <w:rPr>
                <w:b/>
                <w:bCs/>
              </w:rPr>
              <w:t>M</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AF2B66" w14:textId="5CB5EBF2"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314</w:t>
            </w:r>
            <w:r w:rsidR="008A555A">
              <w:t> </w:t>
            </w:r>
            <w:r w:rsidRPr="006308B3">
              <w:t>920</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20DD79" w14:textId="0EFF6D5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355</w:t>
            </w:r>
            <w:r w:rsidR="008A555A">
              <w:t xml:space="preserve"> </w:t>
            </w:r>
            <w:r w:rsidRPr="006308B3">
              <w:t>079</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9DD1059" w14:textId="1063C69F"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349</w:t>
            </w:r>
            <w:r w:rsidR="008A555A">
              <w:t> </w:t>
            </w:r>
            <w:r w:rsidRPr="006308B3">
              <w:t>004</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0C8F250" w14:textId="7F1605C2"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406</w:t>
            </w:r>
            <w:r w:rsidR="008A555A">
              <w:t> </w:t>
            </w:r>
            <w:r w:rsidRPr="006308B3">
              <w:t>346</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804A195" w14:textId="2BC099D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1</w:t>
            </w:r>
            <w:r w:rsidR="008A555A">
              <w:t> </w:t>
            </w:r>
            <w:r w:rsidRPr="006308B3">
              <w:rPr>
                <w:b/>
                <w:bCs/>
              </w:rPr>
              <w:t>425</w:t>
            </w:r>
            <w:r w:rsidR="008A555A">
              <w:t> </w:t>
            </w:r>
            <w:r w:rsidRPr="006308B3">
              <w:rPr>
                <w:b/>
                <w:bCs/>
              </w:rPr>
              <w:t>349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4B7A5A6"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19,98</w:t>
            </w:r>
          </w:p>
        </w:tc>
      </w:tr>
      <w:tr w:rsidR="006308B3" w:rsidRPr="006308B3" w14:paraId="7E920DAA"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4C3835B" w14:textId="77777777" w:rsidR="006308B3" w:rsidRPr="006308B3" w:rsidRDefault="006308B3" w:rsidP="008A555A">
            <w:pPr>
              <w:pStyle w:val="Tablehead"/>
              <w:rPr>
                <w:b/>
                <w:bCs/>
                <w:lang w:bidi="ar-SA"/>
              </w:rPr>
            </w:pPr>
            <w:r w:rsidRPr="006308B3">
              <w:rPr>
                <w:b/>
                <w:bCs/>
              </w:rPr>
              <w:t>BT</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93140C" w14:textId="4A2980A6"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218</w:t>
            </w:r>
            <w:r w:rsidR="008A555A">
              <w:t> </w:t>
            </w:r>
            <w:r w:rsidRPr="006308B3">
              <w:t>403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474EFF7" w14:textId="0ACBBFA5"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240</w:t>
            </w:r>
            <w:r w:rsidR="008A555A">
              <w:t xml:space="preserve"> </w:t>
            </w:r>
            <w:r w:rsidRPr="006308B3">
              <w:t>031</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526CE3D" w14:textId="1F84266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237</w:t>
            </w:r>
            <w:r w:rsidR="008A555A">
              <w:t> </w:t>
            </w:r>
            <w:r w:rsidRPr="006308B3">
              <w:t>839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CC2EF7F" w14:textId="3FE8C34E"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280</w:t>
            </w:r>
            <w:r w:rsidR="008A555A">
              <w:t> </w:t>
            </w:r>
            <w:r w:rsidRPr="006308B3">
              <w:t>798</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D6AC65D" w14:textId="1CEBF56A"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977</w:t>
            </w:r>
            <w:r w:rsidR="008A555A">
              <w:t> </w:t>
            </w:r>
            <w:r w:rsidRPr="006308B3">
              <w:rPr>
                <w:b/>
                <w:bCs/>
              </w:rPr>
              <w:t>071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4488E90"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13,70</w:t>
            </w:r>
          </w:p>
        </w:tc>
      </w:tr>
      <w:tr w:rsidR="006308B3" w:rsidRPr="006308B3" w14:paraId="771CE95F"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4232D6A" w14:textId="77777777" w:rsidR="006308B3" w:rsidRPr="006308B3" w:rsidRDefault="006308B3" w:rsidP="008A555A">
            <w:pPr>
              <w:pStyle w:val="Tablehead"/>
              <w:rPr>
                <w:b/>
                <w:bCs/>
                <w:lang w:bidi="ar-SA"/>
              </w:rPr>
            </w:pPr>
            <w:r w:rsidRPr="006308B3">
              <w:rPr>
                <w:b/>
                <w:bCs/>
              </w:rPr>
              <w:t>SM</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49222B0" w14:textId="35394310"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169</w:t>
            </w:r>
            <w:r w:rsidR="008A555A">
              <w:t> </w:t>
            </w:r>
            <w:r w:rsidRPr="006308B3">
              <w:t>755</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4971FC" w14:textId="6B6FC0D9"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177</w:t>
            </w:r>
            <w:r w:rsidR="008A555A">
              <w:t xml:space="preserve"> </w:t>
            </w:r>
            <w:r w:rsidRPr="006308B3">
              <w:t>372</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DA6A54B" w14:textId="624877B2"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166</w:t>
            </w:r>
            <w:r w:rsidR="008A555A">
              <w:t> </w:t>
            </w:r>
            <w:r w:rsidRPr="006308B3">
              <w:t>663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D1FF26E" w14:textId="2D20F44C"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162</w:t>
            </w:r>
            <w:r w:rsidR="008A555A">
              <w:t> </w:t>
            </w:r>
            <w:r w:rsidRPr="006308B3">
              <w:t>704</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DA44B09" w14:textId="4C9849DB"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676</w:t>
            </w:r>
            <w:r w:rsidR="008A555A">
              <w:t> </w:t>
            </w:r>
            <w:r w:rsidRPr="006308B3">
              <w:rPr>
                <w:b/>
                <w:bCs/>
              </w:rPr>
              <w:t>494</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2DF99D3"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9,48</w:t>
            </w:r>
          </w:p>
        </w:tc>
      </w:tr>
      <w:tr w:rsidR="006308B3" w:rsidRPr="006308B3" w14:paraId="6E97E61C"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B31EAC8" w14:textId="77777777" w:rsidR="006308B3" w:rsidRPr="006308B3" w:rsidRDefault="006308B3" w:rsidP="008A555A">
            <w:pPr>
              <w:pStyle w:val="Tablehead"/>
              <w:rPr>
                <w:b/>
                <w:bCs/>
                <w:lang w:bidi="ar-SA"/>
              </w:rPr>
            </w:pPr>
            <w:r w:rsidRPr="006308B3">
              <w:rPr>
                <w:b/>
                <w:bCs/>
              </w:rPr>
              <w:t>BS</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508CB81" w14:textId="70CE7FB9"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143</w:t>
            </w:r>
            <w:r w:rsidR="008A555A">
              <w:t> </w:t>
            </w:r>
            <w:r w:rsidRPr="006308B3">
              <w:t>107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D73ED54" w14:textId="1780AEAF"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158</w:t>
            </w:r>
            <w:r w:rsidR="008A555A">
              <w:t xml:space="preserve"> </w:t>
            </w:r>
            <w:r w:rsidRPr="006308B3">
              <w:t>493</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36484B5" w14:textId="1D70413E"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135</w:t>
            </w:r>
            <w:r w:rsidR="008A555A">
              <w:t> </w:t>
            </w:r>
            <w:r w:rsidRPr="006308B3">
              <w:t>612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24401BF" w14:textId="37F4E24B"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164</w:t>
            </w:r>
            <w:r w:rsidR="008A555A">
              <w:t> </w:t>
            </w:r>
            <w:r w:rsidRPr="006308B3">
              <w:t>454</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603EF1B" w14:textId="4DD77E7C"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601</w:t>
            </w:r>
            <w:r w:rsidR="008A555A">
              <w:t> </w:t>
            </w:r>
            <w:r w:rsidRPr="006308B3">
              <w:rPr>
                <w:b/>
                <w:bCs/>
              </w:rPr>
              <w:t>666</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FF895CF"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8,44</w:t>
            </w:r>
          </w:p>
        </w:tc>
      </w:tr>
      <w:tr w:rsidR="006308B3" w:rsidRPr="006308B3" w14:paraId="0796A4AB"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463BE0D" w14:textId="77777777" w:rsidR="006308B3" w:rsidRPr="006308B3" w:rsidRDefault="006308B3" w:rsidP="008A555A">
            <w:pPr>
              <w:pStyle w:val="Tablehead"/>
              <w:rPr>
                <w:b/>
                <w:bCs/>
                <w:lang w:bidi="ar-SA"/>
              </w:rPr>
            </w:pPr>
            <w:r w:rsidRPr="006308B3">
              <w:rPr>
                <w:b/>
                <w:bCs/>
              </w:rPr>
              <w:t>F</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17ED88F" w14:textId="3D06BDEA"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116</w:t>
            </w:r>
            <w:r w:rsidR="008A555A">
              <w:t> </w:t>
            </w:r>
            <w:r w:rsidRPr="006308B3">
              <w:t>539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A46A5A3" w14:textId="428DA76C"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139</w:t>
            </w:r>
            <w:r w:rsidR="008A555A">
              <w:t xml:space="preserve"> </w:t>
            </w:r>
            <w:r w:rsidRPr="006308B3">
              <w:t>580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34D4731"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123807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6B0E8A3" w14:textId="0D334B78"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140</w:t>
            </w:r>
            <w:r w:rsidR="008A555A">
              <w:t> </w:t>
            </w:r>
            <w:r w:rsidRPr="006308B3">
              <w:t>302</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D973C8" w14:textId="1F92A5C0"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520</w:t>
            </w:r>
            <w:r w:rsidR="008A555A">
              <w:t> </w:t>
            </w:r>
            <w:r w:rsidRPr="006308B3">
              <w:rPr>
                <w:b/>
                <w:bCs/>
              </w:rPr>
              <w:t>228</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03B8CD6"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7,29</w:t>
            </w:r>
          </w:p>
        </w:tc>
      </w:tr>
      <w:tr w:rsidR="006308B3" w:rsidRPr="006308B3" w14:paraId="05FDE00B"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937ED12" w14:textId="77777777" w:rsidR="006308B3" w:rsidRPr="006308B3" w:rsidRDefault="006308B3" w:rsidP="008A555A">
            <w:pPr>
              <w:pStyle w:val="Tablehead"/>
              <w:rPr>
                <w:b/>
                <w:bCs/>
                <w:lang w:bidi="ar-SA"/>
              </w:rPr>
            </w:pPr>
            <w:r w:rsidRPr="006308B3">
              <w:rPr>
                <w:b/>
                <w:bCs/>
              </w:rPr>
              <w:t>S</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8E8F31" w14:textId="46B08E7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87</w:t>
            </w:r>
            <w:r w:rsidR="008A555A">
              <w:t> </w:t>
            </w:r>
            <w:r w:rsidRPr="006308B3">
              <w:t>801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18162E" w14:textId="1358B91B"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105</w:t>
            </w:r>
            <w:r w:rsidR="008A555A">
              <w:t> </w:t>
            </w:r>
            <w:r w:rsidRPr="006308B3">
              <w:t>480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17B236" w14:textId="36EF7F02"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110</w:t>
            </w:r>
            <w:r w:rsidR="008A555A">
              <w:t> </w:t>
            </w:r>
            <w:r w:rsidRPr="006308B3">
              <w:t>982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01C90BE" w14:textId="3F7221AC"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127</w:t>
            </w:r>
            <w:r w:rsidR="008A555A">
              <w:t> </w:t>
            </w:r>
            <w:r w:rsidRPr="006308B3">
              <w:t>958</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2E99BAB" w14:textId="36F90F5C"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432</w:t>
            </w:r>
            <w:r w:rsidR="008A555A">
              <w:t> </w:t>
            </w:r>
            <w:r w:rsidRPr="006308B3">
              <w:rPr>
                <w:b/>
                <w:bCs/>
              </w:rPr>
              <w:t>221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705D660"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6,06</w:t>
            </w:r>
          </w:p>
        </w:tc>
      </w:tr>
      <w:tr w:rsidR="006308B3" w:rsidRPr="006308B3" w14:paraId="769688D3"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788BE30" w14:textId="77777777" w:rsidR="006308B3" w:rsidRPr="006308B3" w:rsidRDefault="006308B3" w:rsidP="008A555A">
            <w:pPr>
              <w:pStyle w:val="Tablehead"/>
              <w:rPr>
                <w:b/>
                <w:bCs/>
                <w:lang w:bidi="ar-SA"/>
              </w:rPr>
            </w:pPr>
            <w:r w:rsidRPr="006308B3">
              <w:rPr>
                <w:b/>
                <w:bCs/>
              </w:rPr>
              <w:t>SA</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3F5407B" w14:textId="7E55C6D0"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33</w:t>
            </w:r>
            <w:r w:rsidR="008A555A">
              <w:t> </w:t>
            </w:r>
            <w:r w:rsidRPr="006308B3">
              <w:t>274</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2B79112" w14:textId="34F41865"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46</w:t>
            </w:r>
            <w:r w:rsidR="008A555A">
              <w:t> </w:t>
            </w:r>
            <w:r w:rsidRPr="006308B3">
              <w:t>373</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744FF9B" w14:textId="5BDBBC83"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49</w:t>
            </w:r>
            <w:r w:rsidR="008A555A">
              <w:t> </w:t>
            </w:r>
            <w:r w:rsidRPr="006308B3">
              <w:t>133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D0ED3A0" w14:textId="373BBC05"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59</w:t>
            </w:r>
            <w:r w:rsidR="008A555A">
              <w:t> </w:t>
            </w:r>
            <w:r w:rsidRPr="006308B3">
              <w:t>690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CD96457" w14:textId="5CFA4248"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188</w:t>
            </w:r>
            <w:r w:rsidR="008A555A">
              <w:t> </w:t>
            </w:r>
            <w:r w:rsidRPr="006308B3">
              <w:rPr>
                <w:b/>
                <w:bCs/>
              </w:rPr>
              <w:t>470</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EB0E76"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2,64</w:t>
            </w:r>
          </w:p>
        </w:tc>
      </w:tr>
      <w:tr w:rsidR="006308B3" w:rsidRPr="006308B3" w14:paraId="5E86EBC9"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0BFD31" w14:textId="77777777" w:rsidR="006308B3" w:rsidRPr="006308B3" w:rsidRDefault="006308B3" w:rsidP="008A555A">
            <w:pPr>
              <w:pStyle w:val="Tablehead"/>
              <w:rPr>
                <w:b/>
                <w:bCs/>
                <w:lang w:bidi="ar-SA"/>
              </w:rPr>
            </w:pPr>
            <w:r w:rsidRPr="006308B3">
              <w:rPr>
                <w:b/>
                <w:bCs/>
              </w:rPr>
              <w:t>V</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EFD0210" w14:textId="3BB90F20"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44</w:t>
            </w:r>
            <w:r w:rsidR="008A555A">
              <w:t> </w:t>
            </w:r>
            <w:r w:rsidRPr="006308B3">
              <w:t>707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B4501AB" w14:textId="49F77298"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39</w:t>
            </w:r>
            <w:r w:rsidR="008A555A">
              <w:t> </w:t>
            </w:r>
            <w:r w:rsidRPr="006308B3">
              <w:t>508</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15DDF82" w14:textId="1CBC1409"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42</w:t>
            </w:r>
            <w:r w:rsidR="008A555A">
              <w:t> </w:t>
            </w:r>
            <w:r w:rsidRPr="006308B3">
              <w:t>201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9541E4D" w14:textId="23102A3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40</w:t>
            </w:r>
            <w:r w:rsidR="008A555A">
              <w:t> </w:t>
            </w:r>
            <w:r w:rsidRPr="006308B3">
              <w:t>586</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1B198E" w14:textId="607DA6C8"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167</w:t>
            </w:r>
            <w:r w:rsidR="008A555A">
              <w:t> </w:t>
            </w:r>
            <w:r w:rsidRPr="006308B3">
              <w:rPr>
                <w:b/>
                <w:bCs/>
              </w:rPr>
              <w:t>002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9B06105"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2,34</w:t>
            </w:r>
          </w:p>
        </w:tc>
      </w:tr>
      <w:tr w:rsidR="006308B3" w:rsidRPr="006308B3" w14:paraId="34E96881"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910583B" w14:textId="77777777" w:rsidR="006308B3" w:rsidRPr="006308B3" w:rsidRDefault="006308B3" w:rsidP="008A555A">
            <w:pPr>
              <w:pStyle w:val="Tablehead"/>
              <w:rPr>
                <w:b/>
                <w:bCs/>
                <w:lang w:bidi="ar-SA"/>
              </w:rPr>
            </w:pPr>
            <w:r w:rsidRPr="006308B3">
              <w:rPr>
                <w:b/>
                <w:bCs/>
              </w:rPr>
              <w:t>RS</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315C3F3" w14:textId="45861850"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19</w:t>
            </w:r>
            <w:r w:rsidR="008A555A">
              <w:t> </w:t>
            </w:r>
            <w:r w:rsidRPr="006308B3">
              <w:t>350</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50B0622" w14:textId="2D08E9A0"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24</w:t>
            </w:r>
            <w:r w:rsidR="008A555A">
              <w:t> </w:t>
            </w:r>
            <w:r w:rsidRPr="006308B3">
              <w:t>932</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F743C9" w14:textId="73B786D0"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27</w:t>
            </w:r>
            <w:r w:rsidR="008A555A">
              <w:t> </w:t>
            </w:r>
            <w:r w:rsidRPr="006308B3">
              <w:t>680</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2F0431F" w14:textId="667BD77E"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33</w:t>
            </w:r>
            <w:r w:rsidR="008A555A">
              <w:t> </w:t>
            </w:r>
            <w:r w:rsidRPr="006308B3">
              <w:t>206</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64BD293" w14:textId="193688A5"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105</w:t>
            </w:r>
            <w:r w:rsidR="008A555A">
              <w:t> </w:t>
            </w:r>
            <w:r w:rsidRPr="006308B3">
              <w:rPr>
                <w:b/>
                <w:bCs/>
              </w:rPr>
              <w:t>168</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5DA5B32"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1,47</w:t>
            </w:r>
          </w:p>
        </w:tc>
      </w:tr>
      <w:tr w:rsidR="006308B3" w:rsidRPr="006308B3" w14:paraId="41BE9AEB"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95AE072" w14:textId="77777777" w:rsidR="006308B3" w:rsidRPr="006308B3" w:rsidRDefault="006308B3" w:rsidP="008A555A">
            <w:pPr>
              <w:pStyle w:val="Tablehead"/>
              <w:rPr>
                <w:b/>
                <w:bCs/>
                <w:lang w:bidi="ar-SA"/>
              </w:rPr>
            </w:pPr>
            <w:r w:rsidRPr="006308B3">
              <w:rPr>
                <w:b/>
                <w:bCs/>
              </w:rPr>
              <w:t>BO</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E616F79" w14:textId="3335A5E9"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8A555A">
              <w:t>16</w:t>
            </w:r>
            <w:r w:rsidR="008A555A">
              <w:t> </w:t>
            </w:r>
            <w:r w:rsidRPr="008A555A">
              <w:t>489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AFE4ABF" w14:textId="53F9851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22</w:t>
            </w:r>
            <w:r w:rsidR="008A555A">
              <w:t> </w:t>
            </w:r>
            <w:r w:rsidRPr="006308B3">
              <w:t>760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88680C4" w14:textId="05D543E3"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20</w:t>
            </w:r>
            <w:r w:rsidR="008A555A">
              <w:t> </w:t>
            </w:r>
            <w:r w:rsidRPr="006308B3">
              <w:t>941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06B0F4" w14:textId="3806E7C6"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26</w:t>
            </w:r>
            <w:r w:rsidR="008A555A">
              <w:t> </w:t>
            </w:r>
            <w:r w:rsidRPr="006308B3">
              <w:t>832</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ABF3AA2" w14:textId="036FE413"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87</w:t>
            </w:r>
            <w:r w:rsidR="008A555A">
              <w:t> </w:t>
            </w:r>
            <w:r w:rsidRPr="006308B3">
              <w:rPr>
                <w:b/>
                <w:bCs/>
              </w:rPr>
              <w:t>022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394952"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1,22</w:t>
            </w:r>
          </w:p>
        </w:tc>
      </w:tr>
      <w:tr w:rsidR="006308B3" w:rsidRPr="006308B3" w14:paraId="59D1247E"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49F1D4" w14:textId="77777777" w:rsidR="006308B3" w:rsidRPr="006308B3" w:rsidRDefault="006308B3" w:rsidP="008A555A">
            <w:pPr>
              <w:pStyle w:val="Tablehead"/>
              <w:rPr>
                <w:b/>
                <w:bCs/>
                <w:lang w:bidi="ar-SA"/>
              </w:rPr>
            </w:pPr>
            <w:r w:rsidRPr="006308B3">
              <w:rPr>
                <w:b/>
                <w:bCs/>
              </w:rPr>
              <w:t>TF</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7CF1E4B" w14:textId="7C4D958E"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8A555A">
              <w:t>18</w:t>
            </w:r>
            <w:r w:rsidR="008A555A">
              <w:t> </w:t>
            </w:r>
            <w:r w:rsidRPr="008A555A">
              <w:t>211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FC9F9A4" w14:textId="417C2DE5"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20</w:t>
            </w:r>
            <w:r w:rsidR="008A555A">
              <w:t> </w:t>
            </w:r>
            <w:r w:rsidRPr="006308B3">
              <w:t>903</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7ACC9D" w14:textId="28E613E9"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20</w:t>
            </w:r>
            <w:r w:rsidR="008A555A">
              <w:t> </w:t>
            </w:r>
            <w:r w:rsidRPr="006308B3">
              <w:t>589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087A2C" w14:textId="110E6D33"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25</w:t>
            </w:r>
            <w:r w:rsidR="008A555A">
              <w:t> </w:t>
            </w:r>
            <w:r w:rsidRPr="006308B3">
              <w:t>014</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C43F3B3" w14:textId="7550104C"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84</w:t>
            </w:r>
            <w:r w:rsidR="008A555A">
              <w:t> </w:t>
            </w:r>
            <w:r w:rsidRPr="006308B3">
              <w:rPr>
                <w:b/>
                <w:bCs/>
              </w:rPr>
              <w:t>717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5E914D7"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1,19</w:t>
            </w:r>
          </w:p>
        </w:tc>
      </w:tr>
      <w:tr w:rsidR="006308B3" w:rsidRPr="006308B3" w14:paraId="476742B4"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771CBF1" w14:textId="77777777" w:rsidR="006308B3" w:rsidRPr="006308B3" w:rsidRDefault="006308B3" w:rsidP="008A555A">
            <w:pPr>
              <w:pStyle w:val="Tablehead"/>
              <w:rPr>
                <w:b/>
                <w:bCs/>
                <w:lang w:bidi="ar-SA"/>
              </w:rPr>
            </w:pPr>
            <w:r w:rsidRPr="006308B3">
              <w:rPr>
                <w:b/>
                <w:bCs/>
              </w:rPr>
              <w:t>SF</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3A9B20B" w14:textId="151A217B"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13</w:t>
            </w:r>
            <w:r w:rsidR="008A555A">
              <w:t> </w:t>
            </w:r>
            <w:r w:rsidRPr="006308B3">
              <w:t>102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0203380" w14:textId="33904A39"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15</w:t>
            </w:r>
            <w:r w:rsidR="008A555A">
              <w:t> </w:t>
            </w:r>
            <w:r w:rsidRPr="006308B3">
              <w:t>980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E6497BA" w14:textId="6A31BEC2"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14</w:t>
            </w:r>
            <w:r w:rsidR="008A555A">
              <w:t> </w:t>
            </w:r>
            <w:r w:rsidRPr="006308B3">
              <w:t>142</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41DBFCA" w14:textId="3654D54C"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15</w:t>
            </w:r>
            <w:r w:rsidR="008A555A">
              <w:t> </w:t>
            </w:r>
            <w:r w:rsidRPr="006308B3">
              <w:t>486</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453A716" w14:textId="28140606"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58</w:t>
            </w:r>
            <w:r w:rsidR="008A555A">
              <w:t> </w:t>
            </w:r>
            <w:r w:rsidRPr="006308B3">
              <w:rPr>
                <w:b/>
                <w:bCs/>
              </w:rPr>
              <w:t>710</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3DD6D4"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0,82</w:t>
            </w:r>
          </w:p>
        </w:tc>
      </w:tr>
      <w:tr w:rsidR="006308B3" w:rsidRPr="006308B3" w14:paraId="29838215"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F76DC5D" w14:textId="77777777" w:rsidR="006308B3" w:rsidRPr="006308B3" w:rsidRDefault="006308B3" w:rsidP="008A555A">
            <w:pPr>
              <w:pStyle w:val="Tablehead"/>
              <w:rPr>
                <w:b/>
                <w:bCs/>
                <w:lang w:bidi="ar-SA"/>
              </w:rPr>
            </w:pPr>
            <w:r w:rsidRPr="006308B3">
              <w:rPr>
                <w:b/>
                <w:bCs/>
              </w:rPr>
              <w:t>RA</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DF0C7FB" w14:textId="0E43E599"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9</w:t>
            </w:r>
            <w:r w:rsidR="008A555A">
              <w:t> </w:t>
            </w:r>
            <w:r w:rsidRPr="006308B3">
              <w:t>169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934CD1D" w14:textId="41E61A6B"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11</w:t>
            </w:r>
            <w:r w:rsidR="008A555A">
              <w:t> </w:t>
            </w:r>
            <w:r w:rsidRPr="006308B3">
              <w:t>546</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9AD9ECA" w14:textId="05F4FBD8"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13</w:t>
            </w:r>
            <w:r w:rsidR="008A555A">
              <w:t> </w:t>
            </w:r>
            <w:r w:rsidRPr="006308B3">
              <w:t>260</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4B16946" w14:textId="1028EE21"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19</w:t>
            </w:r>
            <w:r w:rsidR="008A555A">
              <w:t> </w:t>
            </w:r>
            <w:r w:rsidRPr="006308B3">
              <w:t>700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5207D9F" w14:textId="579D9B2D"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53</w:t>
            </w:r>
            <w:r w:rsidR="008A555A">
              <w:t> </w:t>
            </w:r>
            <w:r w:rsidRPr="006308B3">
              <w:rPr>
                <w:b/>
                <w:bCs/>
              </w:rPr>
              <w:t>675</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A7FF269"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0,75</w:t>
            </w:r>
          </w:p>
        </w:tc>
      </w:tr>
      <w:tr w:rsidR="006308B3" w:rsidRPr="006308B3" w14:paraId="2A800440"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5223499" w14:textId="77777777" w:rsidR="006308B3" w:rsidRPr="006308B3" w:rsidRDefault="006308B3" w:rsidP="008A555A">
            <w:pPr>
              <w:pStyle w:val="Tablehead"/>
              <w:rPr>
                <w:b/>
                <w:bCs/>
                <w:lang w:bidi="ar-SA"/>
              </w:rPr>
            </w:pPr>
            <w:r w:rsidRPr="006308B3">
              <w:rPr>
                <w:b/>
                <w:bCs/>
              </w:rPr>
              <w:t>BR</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48AAAB" w14:textId="6F26BC8B"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9</w:t>
            </w:r>
            <w:r w:rsidR="008A555A">
              <w:t> </w:t>
            </w:r>
            <w:r w:rsidRPr="006308B3">
              <w:t>838</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C86134" w14:textId="36AA64B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13</w:t>
            </w:r>
            <w:r w:rsidR="008A555A">
              <w:t> </w:t>
            </w:r>
            <w:r w:rsidRPr="006308B3">
              <w:t>285</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445BDC4" w14:textId="151782C4"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10</w:t>
            </w:r>
            <w:r w:rsidR="008A555A">
              <w:t> </w:t>
            </w:r>
            <w:r w:rsidRPr="006308B3">
              <w:t>619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8DD2AF" w14:textId="2C3B80D1"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13</w:t>
            </w:r>
            <w:r w:rsidR="008A555A">
              <w:t> </w:t>
            </w:r>
            <w:r w:rsidRPr="006308B3">
              <w:t>494</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5D84C2E" w14:textId="2A898119"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47</w:t>
            </w:r>
            <w:r w:rsidR="008A555A">
              <w:t> </w:t>
            </w:r>
            <w:r w:rsidRPr="006308B3">
              <w:rPr>
                <w:b/>
                <w:bCs/>
              </w:rPr>
              <w:t>236</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5EF5AEC"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0,66</w:t>
            </w:r>
          </w:p>
        </w:tc>
      </w:tr>
      <w:tr w:rsidR="006308B3" w:rsidRPr="006308B3" w14:paraId="77DB41E6"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C2FD00A" w14:textId="77777777" w:rsidR="006308B3" w:rsidRPr="006308B3" w:rsidRDefault="006308B3" w:rsidP="008A555A">
            <w:pPr>
              <w:pStyle w:val="Tablehead"/>
              <w:rPr>
                <w:b/>
                <w:bCs/>
                <w:lang w:bidi="ar-SA"/>
              </w:rPr>
            </w:pPr>
            <w:r w:rsidRPr="006308B3">
              <w:rPr>
                <w:b/>
                <w:bCs/>
              </w:rPr>
              <w:t>SNG</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14CB95F" w14:textId="19599BD1"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w:t>
            </w:r>
            <w:r w:rsidR="008A555A">
              <w:t> </w:t>
            </w:r>
            <w:r w:rsidRPr="006308B3">
              <w:t>987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7702BA9" w14:textId="1DBB54A1"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w:t>
            </w:r>
            <w:r w:rsidR="008A555A">
              <w:t> </w:t>
            </w:r>
            <w:r w:rsidRPr="006308B3">
              <w:t>045</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47A412" w14:textId="02FDEC09"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w:t>
            </w:r>
            <w:r w:rsidR="008A555A">
              <w:t> </w:t>
            </w:r>
            <w:r w:rsidRPr="006308B3">
              <w:t>673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86E30C9" w14:textId="0620E906"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w:t>
            </w:r>
            <w:r w:rsidR="008A555A">
              <w:t> </w:t>
            </w:r>
            <w:r w:rsidRPr="006308B3">
              <w:t>110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6527E96" w14:textId="1C3C4C32"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10</w:t>
            </w:r>
            <w:r w:rsidR="008A555A">
              <w:t> </w:t>
            </w:r>
            <w:r w:rsidRPr="006308B3">
              <w:rPr>
                <w:b/>
                <w:bCs/>
              </w:rPr>
              <w:t>815</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5CF2C18"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0,15</w:t>
            </w:r>
          </w:p>
        </w:tc>
      </w:tr>
      <w:tr w:rsidR="006308B3" w:rsidRPr="006308B3" w14:paraId="002F23E7" w14:textId="77777777" w:rsidTr="008A555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7C02B3" w14:textId="77777777" w:rsidR="006308B3" w:rsidRPr="006308B3" w:rsidRDefault="006308B3" w:rsidP="008A555A">
            <w:pPr>
              <w:pStyle w:val="Tablehead"/>
              <w:rPr>
                <w:b/>
                <w:bCs/>
                <w:lang w:bidi="ar-SA"/>
              </w:rPr>
            </w:pPr>
            <w:r w:rsidRPr="006308B3">
              <w:rPr>
                <w:b/>
                <w:bCs/>
              </w:rPr>
              <w:t>IS</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D806776" w14:textId="3D69F556"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w:t>
            </w:r>
            <w:r w:rsidR="008A555A">
              <w:t xml:space="preserve"> </w:t>
            </w:r>
            <w:r w:rsidRPr="006308B3">
              <w:t>203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0E2349" w14:textId="267336C5"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w:t>
            </w:r>
            <w:r w:rsidR="008A555A">
              <w:t> </w:t>
            </w:r>
            <w:r w:rsidRPr="006308B3">
              <w:t>416</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36C8674"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997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56EEF4C" w14:textId="7EBF247C"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w:t>
            </w:r>
            <w:r w:rsidR="008A555A">
              <w:t> </w:t>
            </w:r>
            <w:r w:rsidRPr="006308B3">
              <w:t>300</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BDF2AAC" w14:textId="579BE943"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4</w:t>
            </w:r>
            <w:r w:rsidR="008A555A">
              <w:t> </w:t>
            </w:r>
            <w:r w:rsidRPr="006308B3">
              <w:rPr>
                <w:b/>
                <w:bCs/>
              </w:rPr>
              <w:t>916</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B74F02F"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0,07</w:t>
            </w:r>
          </w:p>
        </w:tc>
      </w:tr>
      <w:tr w:rsidR="006308B3" w:rsidRPr="006308B3" w14:paraId="6F422800" w14:textId="77777777" w:rsidTr="008A555A">
        <w:trPr>
          <w:trHeight w:val="330"/>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B810CE4" w14:textId="77777777" w:rsidR="006308B3" w:rsidRPr="006308B3" w:rsidRDefault="006308B3" w:rsidP="008A555A">
            <w:pPr>
              <w:pStyle w:val="Tablehead"/>
              <w:rPr>
                <w:b/>
                <w:bCs/>
                <w:lang w:bidi="ar-SA"/>
              </w:rPr>
            </w:pPr>
            <w:r w:rsidRPr="006308B3">
              <w:rPr>
                <w:b/>
                <w:bCs/>
              </w:rPr>
              <w:t>PI</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0D8549C"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143</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6329500"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288</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D8B00E8"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248</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AEB14E"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318</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0D4BBE7"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rPr>
                <w:b/>
                <w:bCs/>
              </w:rPr>
              <w:t>997</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C395A17" w14:textId="77777777" w:rsidR="006308B3" w:rsidRPr="006308B3" w:rsidRDefault="006308B3" w:rsidP="008A555A">
            <w:pPr>
              <w:pStyle w:val="Tabletext"/>
              <w:cnfStyle w:val="000000000000" w:firstRow="0" w:lastRow="0" w:firstColumn="0" w:lastColumn="0" w:oddVBand="0" w:evenVBand="0" w:oddHBand="0" w:evenHBand="0" w:firstRowFirstColumn="0" w:firstRowLastColumn="0" w:lastRowFirstColumn="0" w:lastRowLastColumn="0"/>
            </w:pPr>
            <w:r w:rsidRPr="006308B3">
              <w:t>0,01</w:t>
            </w:r>
          </w:p>
        </w:tc>
      </w:tr>
      <w:tr w:rsidR="006308B3" w:rsidRPr="006308B3" w14:paraId="3F95F5EB" w14:textId="77777777" w:rsidTr="008A555A">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2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8058DBF" w14:textId="77777777" w:rsidR="006308B3" w:rsidRPr="006308B3" w:rsidRDefault="006308B3" w:rsidP="008A555A">
            <w:pPr>
              <w:pStyle w:val="Tablehead"/>
              <w:rPr>
                <w:b/>
                <w:bCs/>
                <w:lang w:bidi="ar-SA"/>
              </w:rPr>
            </w:pPr>
            <w:r w:rsidRPr="006308B3">
              <w:rPr>
                <w:b/>
                <w:bCs/>
                <w:rtl/>
              </w:rPr>
              <w:t>المجموع</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81BBB11" w14:textId="53D00ECB"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1</w:t>
            </w:r>
            <w:r w:rsidR="008A555A">
              <w:t xml:space="preserve"> </w:t>
            </w:r>
            <w:r w:rsidRPr="006308B3">
              <w:rPr>
                <w:b/>
                <w:bCs/>
              </w:rPr>
              <w:t>565</w:t>
            </w:r>
            <w:r w:rsidR="008A555A">
              <w:t xml:space="preserve"> </w:t>
            </w:r>
            <w:r w:rsidRPr="006308B3">
              <w:rPr>
                <w:b/>
                <w:bCs/>
              </w:rPr>
              <w:t>951</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E45D7C" w14:textId="51448496"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1</w:t>
            </w:r>
            <w:r w:rsidR="008A555A">
              <w:t xml:space="preserve"> </w:t>
            </w:r>
            <w:r w:rsidRPr="006308B3">
              <w:rPr>
                <w:b/>
                <w:bCs/>
              </w:rPr>
              <w:t>777</w:t>
            </w:r>
            <w:r w:rsidR="008A555A">
              <w:t xml:space="preserve"> </w:t>
            </w:r>
            <w:r w:rsidRPr="006308B3">
              <w:rPr>
                <w:b/>
                <w:bCs/>
              </w:rPr>
              <w:t>998</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5E31D82" w14:textId="26E8E2A5"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1</w:t>
            </w:r>
            <w:r w:rsidR="008A555A">
              <w:t xml:space="preserve"> </w:t>
            </w:r>
            <w:r w:rsidRPr="006308B3">
              <w:rPr>
                <w:b/>
                <w:bCs/>
              </w:rPr>
              <w:t>751</w:t>
            </w:r>
            <w:r w:rsidR="008A555A">
              <w:t xml:space="preserve"> </w:t>
            </w:r>
            <w:r w:rsidRPr="006308B3">
              <w:rPr>
                <w:b/>
                <w:bCs/>
              </w:rPr>
              <w:t>448</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4EFFEA9" w14:textId="3C4267C8"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2</w:t>
            </w:r>
            <w:r w:rsidR="008A555A">
              <w:t xml:space="preserve"> </w:t>
            </w:r>
            <w:r w:rsidRPr="006308B3">
              <w:rPr>
                <w:b/>
                <w:bCs/>
              </w:rPr>
              <w:t>037</w:t>
            </w:r>
            <w:r w:rsidR="008A555A">
              <w:t xml:space="preserve"> </w:t>
            </w:r>
            <w:r w:rsidRPr="006308B3">
              <w:rPr>
                <w:b/>
                <w:bCs/>
              </w:rPr>
              <w:t>282</w:t>
            </w:r>
          </w:p>
        </w:tc>
        <w:tc>
          <w:tcPr>
            <w:tcW w:w="13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6096BBE" w14:textId="1930DB0E"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rPr>
                <w:b/>
                <w:bCs/>
              </w:rPr>
              <w:t>7</w:t>
            </w:r>
            <w:r w:rsidR="008A555A">
              <w:t xml:space="preserve"> </w:t>
            </w:r>
            <w:r w:rsidRPr="006308B3">
              <w:rPr>
                <w:b/>
                <w:bCs/>
              </w:rPr>
              <w:t>132</w:t>
            </w:r>
            <w:r w:rsidR="008A555A">
              <w:t xml:space="preserve"> </w:t>
            </w:r>
            <w:r w:rsidRPr="006308B3">
              <w:rPr>
                <w:b/>
                <w:bCs/>
              </w:rPr>
              <w:t>679</w:t>
            </w:r>
          </w:p>
        </w:tc>
        <w:tc>
          <w:tcPr>
            <w:tcW w:w="13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2772367" w14:textId="77777777" w:rsidR="006308B3" w:rsidRPr="006308B3" w:rsidRDefault="006308B3" w:rsidP="008A555A">
            <w:pPr>
              <w:pStyle w:val="Tabletext"/>
              <w:cnfStyle w:val="000000100000" w:firstRow="0" w:lastRow="0" w:firstColumn="0" w:lastColumn="0" w:oddVBand="0" w:evenVBand="0" w:oddHBand="1" w:evenHBand="0" w:firstRowFirstColumn="0" w:firstRowLastColumn="0" w:lastRowFirstColumn="0" w:lastRowLastColumn="0"/>
            </w:pPr>
            <w:r w:rsidRPr="006308B3">
              <w:t>100,00</w:t>
            </w:r>
          </w:p>
        </w:tc>
      </w:tr>
    </w:tbl>
    <w:p w14:paraId="4B9E52F1" w14:textId="5A077954" w:rsidR="00674A3A" w:rsidRDefault="008A555A" w:rsidP="005F1781">
      <w:pPr>
        <w:pStyle w:val="Heading4"/>
        <w:spacing w:before="240"/>
        <w:rPr>
          <w:rtl/>
        </w:rPr>
      </w:pPr>
      <w:r>
        <w:t>3.4.1.8</w:t>
      </w:r>
      <w:r w:rsidR="00674A3A">
        <w:rPr>
          <w:rtl/>
        </w:rPr>
        <w:tab/>
        <w:t>تقارير قطاع الاتصالات الراديوية</w:t>
      </w:r>
    </w:p>
    <w:p w14:paraId="7DB44122" w14:textId="77777777" w:rsidR="00816C27" w:rsidRDefault="00674A3A" w:rsidP="00674A3A">
      <w:pPr>
        <w:rPr>
          <w:rtl/>
        </w:rPr>
      </w:pPr>
      <w:r>
        <w:rPr>
          <w:rtl/>
        </w:rPr>
        <w:t>تقارير قطاع الاتصالات الراديوية نشر قطاع الاتصالات الراديوية تقارير، باعتبارها توصيات، في جميع أنحاء العالم إذ بلغت معظم الجماهير وساهمت في الممارسات التقنية الجيدة في جوانب معينة من الاتصالات الراديوية.</w:t>
      </w:r>
    </w:p>
    <w:p w14:paraId="3372E7F4" w14:textId="18008D4B" w:rsidR="00674A3A" w:rsidRDefault="00674A3A" w:rsidP="00674A3A">
      <w:pPr>
        <w:rPr>
          <w:rtl/>
        </w:rPr>
      </w:pPr>
      <w:r>
        <w:rPr>
          <w:rtl/>
        </w:rPr>
        <w:t xml:space="preserve">وفي الفترة من يناير 2022 إلى ديسمبر 2025، سُجِّل أكثر من مليون ونصف تنزيل لتقارير قطاع الاتصالات الراديوية من الموقع الإلكتروني للاتحاد. ويلخص الجدول </w:t>
      </w:r>
      <w:r w:rsidR="008A555A">
        <w:t>1-3.4.1.8</w:t>
      </w:r>
      <w:r>
        <w:rPr>
          <w:rtl/>
        </w:rPr>
        <w:t xml:space="preserve"> توزيعها حسب السنة والسلسلة. وهناك حالياًَ 662 توصية لقطاع الاتصالات الراديوية سارية المفعول.</w:t>
      </w:r>
    </w:p>
    <w:p w14:paraId="5A3950C2" w14:textId="59BDA104" w:rsidR="00674A3A" w:rsidRDefault="00674A3A" w:rsidP="008A555A">
      <w:pPr>
        <w:pStyle w:val="TableNo"/>
        <w:rPr>
          <w:rtl/>
        </w:rPr>
      </w:pPr>
      <w:r>
        <w:rPr>
          <w:rtl/>
        </w:rPr>
        <w:lastRenderedPageBreak/>
        <w:t xml:space="preserve">الجدول </w:t>
      </w:r>
      <w:r w:rsidR="008A555A">
        <w:t>1-3.4.1.8</w:t>
      </w:r>
    </w:p>
    <w:p w14:paraId="63DC0980" w14:textId="77777777" w:rsidR="00674A3A" w:rsidRDefault="00674A3A" w:rsidP="008A555A">
      <w:pPr>
        <w:pStyle w:val="Tabletitle"/>
        <w:rPr>
          <w:rtl/>
        </w:rPr>
      </w:pPr>
      <w:r>
        <w:rPr>
          <w:rtl/>
        </w:rPr>
        <w:t>توزيع (تنزيلات) تقارير قطاع الاتصالات الراديوية</w:t>
      </w:r>
    </w:p>
    <w:tbl>
      <w:tblPr>
        <w:tblStyle w:val="GridTable5Dark-Accent1"/>
        <w:bidiVisual/>
        <w:tblW w:w="5000" w:type="pct"/>
        <w:jc w:val="center"/>
        <w:tblLayout w:type="fixed"/>
        <w:tblLook w:val="04A0" w:firstRow="1" w:lastRow="0" w:firstColumn="1" w:lastColumn="0" w:noHBand="0" w:noVBand="1"/>
      </w:tblPr>
      <w:tblGrid>
        <w:gridCol w:w="1355"/>
        <w:gridCol w:w="1379"/>
        <w:gridCol w:w="1379"/>
        <w:gridCol w:w="1379"/>
        <w:gridCol w:w="1379"/>
        <w:gridCol w:w="1379"/>
        <w:gridCol w:w="1379"/>
      </w:tblGrid>
      <w:tr w:rsidR="006308B3" w:rsidRPr="006308B3" w14:paraId="27359C68" w14:textId="77777777" w:rsidTr="008A55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15CA21C7" w14:textId="77777777" w:rsidR="006308B3" w:rsidRPr="006308B3" w:rsidRDefault="006308B3" w:rsidP="008A555A">
            <w:pPr>
              <w:pStyle w:val="Tablehead"/>
              <w:rPr>
                <w:b/>
                <w:bCs/>
                <w:lang w:bidi="ar-SA"/>
              </w:rPr>
            </w:pPr>
            <w:r w:rsidRPr="006308B3">
              <w:rPr>
                <w:b/>
                <w:bCs/>
                <w:rtl/>
              </w:rPr>
              <w:t>السلسلة</w:t>
            </w:r>
          </w:p>
        </w:tc>
        <w:tc>
          <w:tcPr>
            <w:tcW w:w="1379" w:type="dxa"/>
            <w:vAlign w:val="bottom"/>
          </w:tcPr>
          <w:p w14:paraId="067E8240"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2022</w:t>
            </w:r>
          </w:p>
        </w:tc>
        <w:tc>
          <w:tcPr>
            <w:tcW w:w="1379" w:type="dxa"/>
            <w:vAlign w:val="bottom"/>
          </w:tcPr>
          <w:p w14:paraId="3E577225"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2023</w:t>
            </w:r>
          </w:p>
        </w:tc>
        <w:tc>
          <w:tcPr>
            <w:tcW w:w="1379" w:type="dxa"/>
            <w:vAlign w:val="bottom"/>
          </w:tcPr>
          <w:p w14:paraId="3BC2C551"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2024</w:t>
            </w:r>
          </w:p>
        </w:tc>
        <w:tc>
          <w:tcPr>
            <w:tcW w:w="1379" w:type="dxa"/>
            <w:vAlign w:val="bottom"/>
          </w:tcPr>
          <w:p w14:paraId="3A188007" w14:textId="31FB0BE6"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2025</w:t>
            </w:r>
            <w:r w:rsidR="00124688" w:rsidRPr="00124688">
              <w:rPr>
                <w:b/>
                <w:bCs/>
                <w:sz w:val="2"/>
                <w:szCs w:val="2"/>
              </w:rPr>
              <w:t> </w:t>
            </w:r>
            <w:r w:rsidRPr="00124688">
              <w:rPr>
                <w:rStyle w:val="FootnoteReference"/>
                <w:b/>
                <w:bCs/>
                <w:sz w:val="14"/>
                <w:szCs w:val="14"/>
                <w:rtl/>
              </w:rPr>
              <w:t>1</w:t>
            </w:r>
          </w:p>
        </w:tc>
        <w:tc>
          <w:tcPr>
            <w:tcW w:w="1379" w:type="dxa"/>
            <w:noWrap/>
            <w:vAlign w:val="bottom"/>
          </w:tcPr>
          <w:p w14:paraId="58F470F2"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tl/>
              </w:rPr>
              <w:t>المجموع</w:t>
            </w:r>
          </w:p>
        </w:tc>
        <w:tc>
          <w:tcPr>
            <w:tcW w:w="1379" w:type="dxa"/>
            <w:vAlign w:val="bottom"/>
          </w:tcPr>
          <w:p w14:paraId="349DDD0A" w14:textId="77777777" w:rsidR="006308B3" w:rsidRPr="006308B3" w:rsidRDefault="006308B3" w:rsidP="008A555A">
            <w:pPr>
              <w:pStyle w:val="Tablehead"/>
              <w:cnfStyle w:val="100000000000" w:firstRow="1" w:lastRow="0" w:firstColumn="0" w:lastColumn="0" w:oddVBand="0" w:evenVBand="0" w:oddHBand="0" w:evenHBand="0" w:firstRowFirstColumn="0" w:firstRowLastColumn="0" w:lastRowFirstColumn="0" w:lastRowLastColumn="0"/>
              <w:rPr>
                <w:b/>
                <w:bCs/>
                <w:lang w:bidi="ar-SA"/>
              </w:rPr>
            </w:pPr>
            <w:r w:rsidRPr="006308B3">
              <w:rPr>
                <w:b/>
                <w:bCs/>
              </w:rPr>
              <w:t>%</w:t>
            </w:r>
          </w:p>
        </w:tc>
      </w:tr>
      <w:tr w:rsidR="006308B3" w:rsidRPr="006308B3" w14:paraId="48FACD58"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EBDF81B" w14:textId="77777777" w:rsidR="006308B3" w:rsidRPr="006308B3" w:rsidRDefault="006308B3" w:rsidP="008A555A">
            <w:pPr>
              <w:pStyle w:val="Tablehead"/>
              <w:rPr>
                <w:b/>
                <w:bCs/>
                <w:lang w:bidi="ar-SA"/>
              </w:rPr>
            </w:pPr>
            <w:r w:rsidRPr="006308B3">
              <w:rPr>
                <w:b/>
                <w:bCs/>
              </w:rPr>
              <w:t>SM</w:t>
            </w:r>
          </w:p>
        </w:tc>
        <w:tc>
          <w:tcPr>
            <w:tcW w:w="1379" w:type="dxa"/>
            <w:vAlign w:val="bottom"/>
          </w:tcPr>
          <w:p w14:paraId="68E3F1BB" w14:textId="3D2F835C"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105</w:t>
            </w:r>
            <w:r w:rsidR="008A555A">
              <w:t> </w:t>
            </w:r>
            <w:r w:rsidRPr="006308B3">
              <w:t>880</w:t>
            </w:r>
          </w:p>
        </w:tc>
        <w:tc>
          <w:tcPr>
            <w:tcW w:w="1379" w:type="dxa"/>
            <w:vAlign w:val="bottom"/>
          </w:tcPr>
          <w:p w14:paraId="0BBD8F8B" w14:textId="402C4E58"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116</w:t>
            </w:r>
            <w:r w:rsidR="008A555A">
              <w:t> </w:t>
            </w:r>
            <w:r w:rsidRPr="006308B3">
              <w:t>282</w:t>
            </w:r>
          </w:p>
        </w:tc>
        <w:tc>
          <w:tcPr>
            <w:tcW w:w="1379" w:type="dxa"/>
            <w:vAlign w:val="bottom"/>
          </w:tcPr>
          <w:p w14:paraId="02387D99" w14:textId="1A706438"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128</w:t>
            </w:r>
            <w:r w:rsidR="008A555A">
              <w:t> </w:t>
            </w:r>
            <w:r w:rsidRPr="006308B3">
              <w:t>647</w:t>
            </w:r>
          </w:p>
        </w:tc>
        <w:tc>
          <w:tcPr>
            <w:tcW w:w="1379" w:type="dxa"/>
            <w:vAlign w:val="bottom"/>
          </w:tcPr>
          <w:p w14:paraId="4C370F9A" w14:textId="6EB08229"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140</w:t>
            </w:r>
            <w:r w:rsidR="008A555A">
              <w:t> </w:t>
            </w:r>
            <w:r w:rsidRPr="006308B3">
              <w:t>290</w:t>
            </w:r>
          </w:p>
        </w:tc>
        <w:tc>
          <w:tcPr>
            <w:tcW w:w="1379" w:type="dxa"/>
            <w:noWrap/>
            <w:vAlign w:val="bottom"/>
          </w:tcPr>
          <w:p w14:paraId="775E698D" w14:textId="7DB4639A"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491</w:t>
            </w:r>
            <w:r w:rsidR="008A555A">
              <w:rPr>
                <w:b/>
                <w:bCs/>
              </w:rPr>
              <w:t> </w:t>
            </w:r>
            <w:r w:rsidRPr="006308B3">
              <w:rPr>
                <w:b/>
                <w:bCs/>
              </w:rPr>
              <w:t>099</w:t>
            </w:r>
          </w:p>
        </w:tc>
        <w:tc>
          <w:tcPr>
            <w:tcW w:w="1379" w:type="dxa"/>
            <w:vAlign w:val="bottom"/>
          </w:tcPr>
          <w:p w14:paraId="7C04388F"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29,09</w:t>
            </w:r>
          </w:p>
        </w:tc>
      </w:tr>
      <w:tr w:rsidR="006308B3" w:rsidRPr="006308B3" w14:paraId="75672477"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8A48B80" w14:textId="77777777" w:rsidR="006308B3" w:rsidRPr="006308B3" w:rsidRDefault="006308B3" w:rsidP="008A555A">
            <w:pPr>
              <w:pStyle w:val="Tablehead"/>
              <w:rPr>
                <w:b/>
                <w:bCs/>
                <w:lang w:bidi="ar-SA"/>
              </w:rPr>
            </w:pPr>
            <w:r w:rsidRPr="006308B3">
              <w:rPr>
                <w:b/>
                <w:bCs/>
              </w:rPr>
              <w:t>M</w:t>
            </w:r>
          </w:p>
        </w:tc>
        <w:tc>
          <w:tcPr>
            <w:tcW w:w="1379" w:type="dxa"/>
            <w:vAlign w:val="bottom"/>
          </w:tcPr>
          <w:p w14:paraId="3B8881DF" w14:textId="1073D03F"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102</w:t>
            </w:r>
            <w:r w:rsidR="008A555A">
              <w:t> </w:t>
            </w:r>
            <w:r w:rsidRPr="006308B3">
              <w:t>742</w:t>
            </w:r>
          </w:p>
        </w:tc>
        <w:tc>
          <w:tcPr>
            <w:tcW w:w="1379" w:type="dxa"/>
            <w:vAlign w:val="bottom"/>
          </w:tcPr>
          <w:p w14:paraId="7EEB0FB7" w14:textId="56134FEE"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121</w:t>
            </w:r>
            <w:r w:rsidR="008A555A">
              <w:t> </w:t>
            </w:r>
            <w:r w:rsidRPr="006308B3">
              <w:t>622</w:t>
            </w:r>
          </w:p>
        </w:tc>
        <w:tc>
          <w:tcPr>
            <w:tcW w:w="1379" w:type="dxa"/>
            <w:vAlign w:val="bottom"/>
          </w:tcPr>
          <w:p w14:paraId="1AC6D92B" w14:textId="7AC308FD"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103</w:t>
            </w:r>
            <w:r w:rsidR="008A555A">
              <w:t> </w:t>
            </w:r>
            <w:r w:rsidRPr="006308B3">
              <w:t>466</w:t>
            </w:r>
          </w:p>
        </w:tc>
        <w:tc>
          <w:tcPr>
            <w:tcW w:w="1379" w:type="dxa"/>
            <w:vAlign w:val="bottom"/>
          </w:tcPr>
          <w:p w14:paraId="5985F97F" w14:textId="63BA0FD4"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129</w:t>
            </w:r>
            <w:r w:rsidR="008A555A">
              <w:t> </w:t>
            </w:r>
            <w:r w:rsidRPr="006308B3">
              <w:t>608</w:t>
            </w:r>
          </w:p>
        </w:tc>
        <w:tc>
          <w:tcPr>
            <w:tcW w:w="1379" w:type="dxa"/>
            <w:noWrap/>
            <w:vAlign w:val="bottom"/>
          </w:tcPr>
          <w:p w14:paraId="03C163CB" w14:textId="7866C90B"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457</w:t>
            </w:r>
            <w:r w:rsidR="008A555A">
              <w:rPr>
                <w:b/>
                <w:bCs/>
              </w:rPr>
              <w:t> </w:t>
            </w:r>
            <w:r w:rsidRPr="006308B3">
              <w:rPr>
                <w:b/>
                <w:bCs/>
              </w:rPr>
              <w:t>438</w:t>
            </w:r>
          </w:p>
        </w:tc>
        <w:tc>
          <w:tcPr>
            <w:tcW w:w="1379" w:type="dxa"/>
            <w:vAlign w:val="bottom"/>
          </w:tcPr>
          <w:p w14:paraId="2D1E1061"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27,09</w:t>
            </w:r>
          </w:p>
        </w:tc>
      </w:tr>
      <w:tr w:rsidR="006308B3" w:rsidRPr="006308B3" w14:paraId="715087F7"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0EED129" w14:textId="77777777" w:rsidR="006308B3" w:rsidRPr="006308B3" w:rsidRDefault="006308B3" w:rsidP="008A555A">
            <w:pPr>
              <w:pStyle w:val="Tablehead"/>
              <w:rPr>
                <w:b/>
                <w:bCs/>
                <w:lang w:bidi="ar-SA"/>
              </w:rPr>
            </w:pPr>
            <w:r w:rsidRPr="006308B3">
              <w:rPr>
                <w:b/>
                <w:bCs/>
              </w:rPr>
              <w:t>BT</w:t>
            </w:r>
          </w:p>
        </w:tc>
        <w:tc>
          <w:tcPr>
            <w:tcW w:w="1379" w:type="dxa"/>
            <w:vAlign w:val="bottom"/>
          </w:tcPr>
          <w:p w14:paraId="34DAC2F9" w14:textId="7AED7A42"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76</w:t>
            </w:r>
            <w:r w:rsidR="008A555A">
              <w:t> </w:t>
            </w:r>
            <w:r w:rsidRPr="006308B3">
              <w:t>421</w:t>
            </w:r>
          </w:p>
        </w:tc>
        <w:tc>
          <w:tcPr>
            <w:tcW w:w="1379" w:type="dxa"/>
            <w:vAlign w:val="bottom"/>
          </w:tcPr>
          <w:p w14:paraId="4776A352" w14:textId="35253B7F"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83</w:t>
            </w:r>
            <w:r w:rsidR="008A555A">
              <w:t> </w:t>
            </w:r>
            <w:r w:rsidRPr="006308B3">
              <w:t>612</w:t>
            </w:r>
          </w:p>
        </w:tc>
        <w:tc>
          <w:tcPr>
            <w:tcW w:w="1379" w:type="dxa"/>
            <w:vAlign w:val="bottom"/>
          </w:tcPr>
          <w:p w14:paraId="2D646AF7" w14:textId="6C5EFF58"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75</w:t>
            </w:r>
            <w:r w:rsidR="008A555A">
              <w:t> </w:t>
            </w:r>
            <w:r w:rsidRPr="006308B3">
              <w:t>390</w:t>
            </w:r>
          </w:p>
        </w:tc>
        <w:tc>
          <w:tcPr>
            <w:tcW w:w="1379" w:type="dxa"/>
            <w:vAlign w:val="bottom"/>
          </w:tcPr>
          <w:p w14:paraId="006847F9" w14:textId="4EBE65AE"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105</w:t>
            </w:r>
            <w:r w:rsidR="008A555A">
              <w:t> </w:t>
            </w:r>
            <w:r w:rsidRPr="006308B3">
              <w:t>962</w:t>
            </w:r>
          </w:p>
        </w:tc>
        <w:tc>
          <w:tcPr>
            <w:tcW w:w="1379" w:type="dxa"/>
            <w:noWrap/>
            <w:vAlign w:val="bottom"/>
          </w:tcPr>
          <w:p w14:paraId="3B9DBE73" w14:textId="01B96482"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341</w:t>
            </w:r>
            <w:r w:rsidR="008A555A">
              <w:rPr>
                <w:b/>
                <w:bCs/>
              </w:rPr>
              <w:t> </w:t>
            </w:r>
            <w:r w:rsidRPr="006308B3">
              <w:rPr>
                <w:b/>
                <w:bCs/>
              </w:rPr>
              <w:t>385</w:t>
            </w:r>
          </w:p>
        </w:tc>
        <w:tc>
          <w:tcPr>
            <w:tcW w:w="1379" w:type="dxa"/>
            <w:vAlign w:val="bottom"/>
          </w:tcPr>
          <w:p w14:paraId="2DA014F3"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20,22</w:t>
            </w:r>
          </w:p>
        </w:tc>
      </w:tr>
      <w:tr w:rsidR="006308B3" w:rsidRPr="006308B3" w14:paraId="6840C390"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397CF8D4" w14:textId="77777777" w:rsidR="006308B3" w:rsidRPr="006308B3" w:rsidRDefault="006308B3" w:rsidP="008A555A">
            <w:pPr>
              <w:pStyle w:val="Tablehead"/>
              <w:rPr>
                <w:b/>
                <w:bCs/>
                <w:lang w:bidi="ar-SA"/>
              </w:rPr>
            </w:pPr>
            <w:r w:rsidRPr="006308B3">
              <w:rPr>
                <w:b/>
                <w:bCs/>
              </w:rPr>
              <w:t>BS</w:t>
            </w:r>
          </w:p>
        </w:tc>
        <w:tc>
          <w:tcPr>
            <w:tcW w:w="1379" w:type="dxa"/>
            <w:vAlign w:val="bottom"/>
          </w:tcPr>
          <w:p w14:paraId="0A62BEA7" w14:textId="0F472524"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30</w:t>
            </w:r>
            <w:r w:rsidR="008A555A">
              <w:t> </w:t>
            </w:r>
            <w:r w:rsidRPr="006308B3">
              <w:t>002</w:t>
            </w:r>
          </w:p>
        </w:tc>
        <w:tc>
          <w:tcPr>
            <w:tcW w:w="1379" w:type="dxa"/>
            <w:vAlign w:val="bottom"/>
          </w:tcPr>
          <w:p w14:paraId="0938B3C9" w14:textId="41C22F20"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31</w:t>
            </w:r>
            <w:r w:rsidR="008A555A">
              <w:t> </w:t>
            </w:r>
            <w:r w:rsidRPr="006308B3">
              <w:t>013</w:t>
            </w:r>
          </w:p>
        </w:tc>
        <w:tc>
          <w:tcPr>
            <w:tcW w:w="1379" w:type="dxa"/>
            <w:vAlign w:val="bottom"/>
          </w:tcPr>
          <w:p w14:paraId="5F55D273" w14:textId="20998319"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25</w:t>
            </w:r>
            <w:r w:rsidR="008A555A">
              <w:t> </w:t>
            </w:r>
            <w:r w:rsidRPr="006308B3">
              <w:t>730</w:t>
            </w:r>
          </w:p>
        </w:tc>
        <w:tc>
          <w:tcPr>
            <w:tcW w:w="1379" w:type="dxa"/>
            <w:vAlign w:val="bottom"/>
          </w:tcPr>
          <w:p w14:paraId="7A777AF6" w14:textId="11682986"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28</w:t>
            </w:r>
            <w:r w:rsidR="008A555A">
              <w:t> </w:t>
            </w:r>
            <w:r w:rsidRPr="006308B3">
              <w:t>500</w:t>
            </w:r>
          </w:p>
        </w:tc>
        <w:tc>
          <w:tcPr>
            <w:tcW w:w="1379" w:type="dxa"/>
            <w:noWrap/>
            <w:vAlign w:val="bottom"/>
          </w:tcPr>
          <w:p w14:paraId="54B532DE" w14:textId="7B20500E"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115</w:t>
            </w:r>
            <w:r w:rsidR="008A555A">
              <w:rPr>
                <w:b/>
                <w:bCs/>
              </w:rPr>
              <w:t> </w:t>
            </w:r>
            <w:r w:rsidRPr="006308B3">
              <w:rPr>
                <w:b/>
                <w:bCs/>
              </w:rPr>
              <w:t>245</w:t>
            </w:r>
          </w:p>
        </w:tc>
        <w:tc>
          <w:tcPr>
            <w:tcW w:w="1379" w:type="dxa"/>
            <w:vAlign w:val="bottom"/>
          </w:tcPr>
          <w:p w14:paraId="466D4018"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6,83</w:t>
            </w:r>
          </w:p>
        </w:tc>
      </w:tr>
      <w:tr w:rsidR="006308B3" w:rsidRPr="006308B3" w14:paraId="147A7C78"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79B6C44" w14:textId="77777777" w:rsidR="006308B3" w:rsidRPr="006308B3" w:rsidRDefault="006308B3" w:rsidP="008A555A">
            <w:pPr>
              <w:pStyle w:val="Tablehead"/>
              <w:rPr>
                <w:b/>
                <w:bCs/>
                <w:lang w:bidi="ar-SA"/>
              </w:rPr>
            </w:pPr>
            <w:r w:rsidRPr="006308B3">
              <w:rPr>
                <w:b/>
                <w:bCs/>
              </w:rPr>
              <w:t>P</w:t>
            </w:r>
          </w:p>
        </w:tc>
        <w:tc>
          <w:tcPr>
            <w:tcW w:w="1379" w:type="dxa"/>
            <w:vAlign w:val="bottom"/>
          </w:tcPr>
          <w:p w14:paraId="40953755" w14:textId="62E442A2"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15</w:t>
            </w:r>
            <w:r w:rsidR="008A555A">
              <w:t> </w:t>
            </w:r>
            <w:r w:rsidRPr="006308B3">
              <w:t>647</w:t>
            </w:r>
          </w:p>
        </w:tc>
        <w:tc>
          <w:tcPr>
            <w:tcW w:w="1379" w:type="dxa"/>
            <w:vAlign w:val="bottom"/>
          </w:tcPr>
          <w:p w14:paraId="37788E6C" w14:textId="6532C8FE"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15</w:t>
            </w:r>
            <w:r w:rsidR="008A555A">
              <w:t> </w:t>
            </w:r>
            <w:r w:rsidRPr="006308B3">
              <w:t>536</w:t>
            </w:r>
          </w:p>
        </w:tc>
        <w:tc>
          <w:tcPr>
            <w:tcW w:w="1379" w:type="dxa"/>
            <w:vAlign w:val="bottom"/>
          </w:tcPr>
          <w:p w14:paraId="26FC9735" w14:textId="393FECC3"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13</w:t>
            </w:r>
            <w:r w:rsidR="008A555A">
              <w:t> </w:t>
            </w:r>
            <w:r w:rsidRPr="006308B3">
              <w:t>740</w:t>
            </w:r>
          </w:p>
        </w:tc>
        <w:tc>
          <w:tcPr>
            <w:tcW w:w="1379" w:type="dxa"/>
            <w:vAlign w:val="bottom"/>
          </w:tcPr>
          <w:p w14:paraId="43419B27" w14:textId="71D24C02"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18</w:t>
            </w:r>
            <w:r w:rsidR="008A555A">
              <w:t> </w:t>
            </w:r>
            <w:r w:rsidRPr="006308B3">
              <w:t>476</w:t>
            </w:r>
          </w:p>
        </w:tc>
        <w:tc>
          <w:tcPr>
            <w:tcW w:w="1379" w:type="dxa"/>
            <w:noWrap/>
            <w:vAlign w:val="bottom"/>
          </w:tcPr>
          <w:p w14:paraId="46EA0B46" w14:textId="3A6D3C51"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63</w:t>
            </w:r>
            <w:r w:rsidR="008A555A">
              <w:rPr>
                <w:b/>
                <w:bCs/>
              </w:rPr>
              <w:t> </w:t>
            </w:r>
            <w:r w:rsidRPr="006308B3">
              <w:rPr>
                <w:b/>
                <w:bCs/>
              </w:rPr>
              <w:t>399</w:t>
            </w:r>
          </w:p>
        </w:tc>
        <w:tc>
          <w:tcPr>
            <w:tcW w:w="1379" w:type="dxa"/>
            <w:vAlign w:val="bottom"/>
          </w:tcPr>
          <w:p w14:paraId="1BBF49AF"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3,76</w:t>
            </w:r>
          </w:p>
        </w:tc>
      </w:tr>
      <w:tr w:rsidR="006308B3" w:rsidRPr="006308B3" w14:paraId="133D3C80"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3A05BC6B" w14:textId="77777777" w:rsidR="006308B3" w:rsidRPr="006308B3" w:rsidRDefault="006308B3" w:rsidP="008A555A">
            <w:pPr>
              <w:pStyle w:val="Tablehead"/>
              <w:rPr>
                <w:b/>
                <w:bCs/>
                <w:lang w:bidi="ar-SA"/>
              </w:rPr>
            </w:pPr>
            <w:r w:rsidRPr="006308B3">
              <w:rPr>
                <w:b/>
                <w:bCs/>
              </w:rPr>
              <w:t>BO</w:t>
            </w:r>
          </w:p>
        </w:tc>
        <w:tc>
          <w:tcPr>
            <w:tcW w:w="1379" w:type="dxa"/>
            <w:vAlign w:val="bottom"/>
          </w:tcPr>
          <w:p w14:paraId="091A30E3" w14:textId="72392254"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16</w:t>
            </w:r>
            <w:r w:rsidR="008A555A">
              <w:t> </w:t>
            </w:r>
            <w:r w:rsidRPr="006308B3">
              <w:t>721</w:t>
            </w:r>
          </w:p>
        </w:tc>
        <w:tc>
          <w:tcPr>
            <w:tcW w:w="1379" w:type="dxa"/>
            <w:vAlign w:val="bottom"/>
          </w:tcPr>
          <w:p w14:paraId="4CD22A0A" w14:textId="798581D5"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16</w:t>
            </w:r>
            <w:r w:rsidR="008A555A">
              <w:t> </w:t>
            </w:r>
            <w:r w:rsidRPr="006308B3">
              <w:t>993</w:t>
            </w:r>
          </w:p>
        </w:tc>
        <w:tc>
          <w:tcPr>
            <w:tcW w:w="1379" w:type="dxa"/>
            <w:vAlign w:val="bottom"/>
          </w:tcPr>
          <w:p w14:paraId="35A3969A" w14:textId="5EB36A75"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11</w:t>
            </w:r>
            <w:r w:rsidR="008A555A">
              <w:t> </w:t>
            </w:r>
            <w:r w:rsidRPr="006308B3">
              <w:t>673</w:t>
            </w:r>
          </w:p>
        </w:tc>
        <w:tc>
          <w:tcPr>
            <w:tcW w:w="1379" w:type="dxa"/>
            <w:vAlign w:val="bottom"/>
          </w:tcPr>
          <w:p w14:paraId="5FD56B09" w14:textId="6067D7C4"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9</w:t>
            </w:r>
            <w:r w:rsidR="008A555A">
              <w:t> </w:t>
            </w:r>
            <w:r w:rsidRPr="006308B3">
              <w:t>330</w:t>
            </w:r>
          </w:p>
        </w:tc>
        <w:tc>
          <w:tcPr>
            <w:tcW w:w="1379" w:type="dxa"/>
            <w:noWrap/>
            <w:vAlign w:val="bottom"/>
          </w:tcPr>
          <w:p w14:paraId="197810FD" w14:textId="031DD029"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54</w:t>
            </w:r>
            <w:r w:rsidR="008A555A">
              <w:rPr>
                <w:b/>
                <w:bCs/>
              </w:rPr>
              <w:t> </w:t>
            </w:r>
            <w:r w:rsidRPr="006308B3">
              <w:rPr>
                <w:b/>
                <w:bCs/>
              </w:rPr>
              <w:t>717</w:t>
            </w:r>
          </w:p>
        </w:tc>
        <w:tc>
          <w:tcPr>
            <w:tcW w:w="1379" w:type="dxa"/>
            <w:vAlign w:val="bottom"/>
          </w:tcPr>
          <w:p w14:paraId="2E306FC9"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3,24</w:t>
            </w:r>
          </w:p>
        </w:tc>
      </w:tr>
      <w:tr w:rsidR="006308B3" w:rsidRPr="006308B3" w14:paraId="40B1153B"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F46C31B" w14:textId="77777777" w:rsidR="006308B3" w:rsidRPr="006308B3" w:rsidRDefault="006308B3" w:rsidP="008A555A">
            <w:pPr>
              <w:pStyle w:val="Tablehead"/>
              <w:rPr>
                <w:b/>
                <w:bCs/>
                <w:lang w:bidi="ar-SA"/>
              </w:rPr>
            </w:pPr>
            <w:r w:rsidRPr="006308B3">
              <w:rPr>
                <w:b/>
                <w:bCs/>
              </w:rPr>
              <w:t>F</w:t>
            </w:r>
          </w:p>
        </w:tc>
        <w:tc>
          <w:tcPr>
            <w:tcW w:w="1379" w:type="dxa"/>
            <w:vAlign w:val="bottom"/>
          </w:tcPr>
          <w:p w14:paraId="48B7BD06" w14:textId="647159DD"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8</w:t>
            </w:r>
            <w:r w:rsidR="008A555A">
              <w:t> </w:t>
            </w:r>
            <w:r w:rsidRPr="006308B3">
              <w:t>623</w:t>
            </w:r>
          </w:p>
        </w:tc>
        <w:tc>
          <w:tcPr>
            <w:tcW w:w="1379" w:type="dxa"/>
            <w:vAlign w:val="bottom"/>
          </w:tcPr>
          <w:p w14:paraId="4BDB5D54" w14:textId="40A49229"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9</w:t>
            </w:r>
            <w:r w:rsidR="008A555A">
              <w:t> </w:t>
            </w:r>
            <w:r w:rsidRPr="006308B3">
              <w:t>397</w:t>
            </w:r>
          </w:p>
        </w:tc>
        <w:tc>
          <w:tcPr>
            <w:tcW w:w="1379" w:type="dxa"/>
            <w:vAlign w:val="bottom"/>
          </w:tcPr>
          <w:p w14:paraId="39984AAA" w14:textId="6F348374"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9</w:t>
            </w:r>
            <w:r w:rsidR="008A555A">
              <w:t> </w:t>
            </w:r>
            <w:r w:rsidRPr="006308B3">
              <w:t>940</w:t>
            </w:r>
          </w:p>
        </w:tc>
        <w:tc>
          <w:tcPr>
            <w:tcW w:w="1379" w:type="dxa"/>
            <w:vAlign w:val="bottom"/>
          </w:tcPr>
          <w:p w14:paraId="22752BDC" w14:textId="46A4D91E"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15</w:t>
            </w:r>
            <w:r w:rsidR="008A555A">
              <w:t> </w:t>
            </w:r>
            <w:r w:rsidRPr="006308B3">
              <w:t>190</w:t>
            </w:r>
          </w:p>
        </w:tc>
        <w:tc>
          <w:tcPr>
            <w:tcW w:w="1379" w:type="dxa"/>
            <w:noWrap/>
            <w:vAlign w:val="bottom"/>
          </w:tcPr>
          <w:p w14:paraId="04205112" w14:textId="14B0EE4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43</w:t>
            </w:r>
            <w:r w:rsidR="008A555A">
              <w:rPr>
                <w:b/>
                <w:bCs/>
              </w:rPr>
              <w:t> </w:t>
            </w:r>
            <w:r w:rsidRPr="006308B3">
              <w:rPr>
                <w:b/>
                <w:bCs/>
              </w:rPr>
              <w:t>150</w:t>
            </w:r>
          </w:p>
        </w:tc>
        <w:tc>
          <w:tcPr>
            <w:tcW w:w="1379" w:type="dxa"/>
            <w:vAlign w:val="bottom"/>
          </w:tcPr>
          <w:p w14:paraId="66D2D137"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2,56</w:t>
            </w:r>
          </w:p>
        </w:tc>
      </w:tr>
      <w:tr w:rsidR="006308B3" w:rsidRPr="006308B3" w14:paraId="6BEA924B"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648841A3" w14:textId="77777777" w:rsidR="006308B3" w:rsidRPr="006308B3" w:rsidRDefault="006308B3" w:rsidP="008A555A">
            <w:pPr>
              <w:pStyle w:val="Tablehead"/>
              <w:rPr>
                <w:b/>
                <w:bCs/>
                <w:lang w:bidi="ar-SA"/>
              </w:rPr>
            </w:pPr>
            <w:r w:rsidRPr="006308B3">
              <w:rPr>
                <w:b/>
                <w:bCs/>
              </w:rPr>
              <w:t>S</w:t>
            </w:r>
          </w:p>
        </w:tc>
        <w:tc>
          <w:tcPr>
            <w:tcW w:w="1379" w:type="dxa"/>
            <w:vAlign w:val="bottom"/>
          </w:tcPr>
          <w:p w14:paraId="5A4AF5D0" w14:textId="5A75BDBA"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9</w:t>
            </w:r>
            <w:r w:rsidR="008A555A">
              <w:t> </w:t>
            </w:r>
            <w:r w:rsidRPr="006308B3">
              <w:t>170</w:t>
            </w:r>
          </w:p>
        </w:tc>
        <w:tc>
          <w:tcPr>
            <w:tcW w:w="1379" w:type="dxa"/>
            <w:vAlign w:val="bottom"/>
          </w:tcPr>
          <w:p w14:paraId="08C5001C" w14:textId="7E20DC3B"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10</w:t>
            </w:r>
            <w:r w:rsidR="008A555A">
              <w:t> </w:t>
            </w:r>
            <w:r w:rsidRPr="006308B3">
              <w:t>174</w:t>
            </w:r>
          </w:p>
        </w:tc>
        <w:tc>
          <w:tcPr>
            <w:tcW w:w="1379" w:type="dxa"/>
            <w:vAlign w:val="bottom"/>
          </w:tcPr>
          <w:p w14:paraId="08A1F9F5" w14:textId="1D00A3EE"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8</w:t>
            </w:r>
            <w:r w:rsidR="008A555A">
              <w:t> </w:t>
            </w:r>
            <w:r w:rsidRPr="006308B3">
              <w:t>220</w:t>
            </w:r>
          </w:p>
        </w:tc>
        <w:tc>
          <w:tcPr>
            <w:tcW w:w="1379" w:type="dxa"/>
            <w:vAlign w:val="bottom"/>
          </w:tcPr>
          <w:p w14:paraId="48FEDFEE" w14:textId="08D6F9C8"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12</w:t>
            </w:r>
            <w:r w:rsidR="008A555A">
              <w:t> </w:t>
            </w:r>
            <w:r w:rsidRPr="006308B3">
              <w:t>192</w:t>
            </w:r>
          </w:p>
        </w:tc>
        <w:tc>
          <w:tcPr>
            <w:tcW w:w="1379" w:type="dxa"/>
            <w:noWrap/>
            <w:vAlign w:val="bottom"/>
          </w:tcPr>
          <w:p w14:paraId="74E18294" w14:textId="3A2C6462"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39</w:t>
            </w:r>
            <w:r w:rsidR="008A555A">
              <w:rPr>
                <w:b/>
                <w:bCs/>
              </w:rPr>
              <w:t> </w:t>
            </w:r>
            <w:r w:rsidRPr="006308B3">
              <w:rPr>
                <w:b/>
                <w:bCs/>
              </w:rPr>
              <w:t>756</w:t>
            </w:r>
          </w:p>
        </w:tc>
        <w:tc>
          <w:tcPr>
            <w:tcW w:w="1379" w:type="dxa"/>
            <w:vAlign w:val="bottom"/>
          </w:tcPr>
          <w:p w14:paraId="0A5B4ECC"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2,35</w:t>
            </w:r>
          </w:p>
        </w:tc>
      </w:tr>
      <w:tr w:rsidR="006308B3" w:rsidRPr="006308B3" w14:paraId="2A2D5F24"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0FB2B34" w14:textId="77777777" w:rsidR="006308B3" w:rsidRPr="006308B3" w:rsidRDefault="006308B3" w:rsidP="008A555A">
            <w:pPr>
              <w:pStyle w:val="Tablehead"/>
              <w:rPr>
                <w:b/>
                <w:bCs/>
                <w:lang w:bidi="ar-SA"/>
              </w:rPr>
            </w:pPr>
            <w:r w:rsidRPr="006308B3">
              <w:rPr>
                <w:b/>
                <w:bCs/>
              </w:rPr>
              <w:t>SA</w:t>
            </w:r>
          </w:p>
        </w:tc>
        <w:tc>
          <w:tcPr>
            <w:tcW w:w="1379" w:type="dxa"/>
            <w:vAlign w:val="bottom"/>
          </w:tcPr>
          <w:p w14:paraId="5EB5295A" w14:textId="1588533D"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5</w:t>
            </w:r>
            <w:r w:rsidR="008A555A">
              <w:t> </w:t>
            </w:r>
            <w:r w:rsidRPr="006308B3">
              <w:t>346</w:t>
            </w:r>
          </w:p>
        </w:tc>
        <w:tc>
          <w:tcPr>
            <w:tcW w:w="1379" w:type="dxa"/>
            <w:vAlign w:val="bottom"/>
          </w:tcPr>
          <w:p w14:paraId="67005C20" w14:textId="2D0345B8"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6</w:t>
            </w:r>
            <w:r w:rsidR="008A555A">
              <w:t> </w:t>
            </w:r>
            <w:r w:rsidRPr="006308B3">
              <w:t>856</w:t>
            </w:r>
          </w:p>
        </w:tc>
        <w:tc>
          <w:tcPr>
            <w:tcW w:w="1379" w:type="dxa"/>
            <w:vAlign w:val="bottom"/>
          </w:tcPr>
          <w:p w14:paraId="13DB3030" w14:textId="35F30DA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6</w:t>
            </w:r>
            <w:r w:rsidR="008A555A">
              <w:t> </w:t>
            </w:r>
            <w:r w:rsidRPr="006308B3">
              <w:t>584</w:t>
            </w:r>
          </w:p>
        </w:tc>
        <w:tc>
          <w:tcPr>
            <w:tcW w:w="1379" w:type="dxa"/>
            <w:vAlign w:val="bottom"/>
          </w:tcPr>
          <w:p w14:paraId="5AD45EE1" w14:textId="13C2423C"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6</w:t>
            </w:r>
            <w:r w:rsidR="008A555A">
              <w:t> </w:t>
            </w:r>
            <w:r w:rsidRPr="006308B3">
              <w:t>832</w:t>
            </w:r>
          </w:p>
        </w:tc>
        <w:tc>
          <w:tcPr>
            <w:tcW w:w="1379" w:type="dxa"/>
            <w:noWrap/>
            <w:vAlign w:val="bottom"/>
          </w:tcPr>
          <w:p w14:paraId="2048B57B" w14:textId="55987872"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25</w:t>
            </w:r>
            <w:r w:rsidR="008A555A">
              <w:rPr>
                <w:b/>
                <w:bCs/>
              </w:rPr>
              <w:t> </w:t>
            </w:r>
            <w:r w:rsidRPr="006308B3">
              <w:rPr>
                <w:b/>
                <w:bCs/>
              </w:rPr>
              <w:t>618</w:t>
            </w:r>
          </w:p>
        </w:tc>
        <w:tc>
          <w:tcPr>
            <w:tcW w:w="1379" w:type="dxa"/>
            <w:vAlign w:val="bottom"/>
          </w:tcPr>
          <w:p w14:paraId="2066FE10"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1,52</w:t>
            </w:r>
          </w:p>
        </w:tc>
      </w:tr>
      <w:tr w:rsidR="006308B3" w:rsidRPr="006308B3" w14:paraId="22FA565F"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9A7ABD1" w14:textId="77777777" w:rsidR="006308B3" w:rsidRPr="006308B3" w:rsidRDefault="006308B3" w:rsidP="008A555A">
            <w:pPr>
              <w:pStyle w:val="Tablehead"/>
              <w:rPr>
                <w:b/>
                <w:bCs/>
                <w:lang w:bidi="ar-SA"/>
              </w:rPr>
            </w:pPr>
            <w:r w:rsidRPr="006308B3">
              <w:rPr>
                <w:b/>
                <w:bCs/>
              </w:rPr>
              <w:t>RA</w:t>
            </w:r>
          </w:p>
        </w:tc>
        <w:tc>
          <w:tcPr>
            <w:tcW w:w="1379" w:type="dxa"/>
            <w:vAlign w:val="bottom"/>
          </w:tcPr>
          <w:p w14:paraId="20772C32" w14:textId="371733BF"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4</w:t>
            </w:r>
            <w:r w:rsidR="008A555A">
              <w:t> </w:t>
            </w:r>
            <w:r w:rsidRPr="006308B3">
              <w:t>840</w:t>
            </w:r>
          </w:p>
        </w:tc>
        <w:tc>
          <w:tcPr>
            <w:tcW w:w="1379" w:type="dxa"/>
            <w:vAlign w:val="bottom"/>
          </w:tcPr>
          <w:p w14:paraId="16E747A5" w14:textId="0FD8044C"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6</w:t>
            </w:r>
            <w:r w:rsidR="008A555A">
              <w:t> </w:t>
            </w:r>
            <w:r w:rsidRPr="006308B3">
              <w:t>463</w:t>
            </w:r>
          </w:p>
        </w:tc>
        <w:tc>
          <w:tcPr>
            <w:tcW w:w="1379" w:type="dxa"/>
            <w:vAlign w:val="bottom"/>
          </w:tcPr>
          <w:p w14:paraId="41B43160" w14:textId="6F61CA4C"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6</w:t>
            </w:r>
            <w:r w:rsidR="008A555A">
              <w:t> </w:t>
            </w:r>
            <w:r w:rsidRPr="006308B3">
              <w:t>208</w:t>
            </w:r>
          </w:p>
        </w:tc>
        <w:tc>
          <w:tcPr>
            <w:tcW w:w="1379" w:type="dxa"/>
            <w:vAlign w:val="bottom"/>
          </w:tcPr>
          <w:p w14:paraId="38D6FEB3" w14:textId="6C1C9FE5"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9</w:t>
            </w:r>
            <w:r w:rsidR="008A555A">
              <w:t> </w:t>
            </w:r>
            <w:r w:rsidRPr="006308B3">
              <w:t>272</w:t>
            </w:r>
          </w:p>
        </w:tc>
        <w:tc>
          <w:tcPr>
            <w:tcW w:w="1379" w:type="dxa"/>
            <w:noWrap/>
            <w:vAlign w:val="bottom"/>
          </w:tcPr>
          <w:p w14:paraId="2AF5F62A" w14:textId="24E96721"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26</w:t>
            </w:r>
            <w:r w:rsidR="008A555A">
              <w:rPr>
                <w:b/>
                <w:bCs/>
              </w:rPr>
              <w:t> </w:t>
            </w:r>
            <w:r w:rsidRPr="006308B3">
              <w:rPr>
                <w:b/>
                <w:bCs/>
              </w:rPr>
              <w:t>783</w:t>
            </w:r>
          </w:p>
        </w:tc>
        <w:tc>
          <w:tcPr>
            <w:tcW w:w="1379" w:type="dxa"/>
            <w:vAlign w:val="bottom"/>
          </w:tcPr>
          <w:p w14:paraId="38F17AA1"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1,59</w:t>
            </w:r>
          </w:p>
        </w:tc>
      </w:tr>
      <w:tr w:rsidR="006308B3" w:rsidRPr="006308B3" w14:paraId="4A5C9AF5"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8D032DB" w14:textId="77777777" w:rsidR="006308B3" w:rsidRPr="006308B3" w:rsidRDefault="006308B3" w:rsidP="008A555A">
            <w:pPr>
              <w:pStyle w:val="Tablehead"/>
              <w:rPr>
                <w:b/>
                <w:bCs/>
                <w:lang w:bidi="ar-SA"/>
              </w:rPr>
            </w:pPr>
            <w:r w:rsidRPr="006308B3">
              <w:rPr>
                <w:b/>
                <w:bCs/>
              </w:rPr>
              <w:t>RS</w:t>
            </w:r>
          </w:p>
        </w:tc>
        <w:tc>
          <w:tcPr>
            <w:tcW w:w="1379" w:type="dxa"/>
            <w:vAlign w:val="bottom"/>
          </w:tcPr>
          <w:p w14:paraId="663BEC2C" w14:textId="3723F671"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4</w:t>
            </w:r>
            <w:r w:rsidR="008A555A">
              <w:t> </w:t>
            </w:r>
            <w:r w:rsidRPr="006308B3">
              <w:t>486</w:t>
            </w:r>
          </w:p>
        </w:tc>
        <w:tc>
          <w:tcPr>
            <w:tcW w:w="1379" w:type="dxa"/>
            <w:vAlign w:val="bottom"/>
          </w:tcPr>
          <w:p w14:paraId="23E0547D" w14:textId="42B028D2"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6</w:t>
            </w:r>
            <w:r w:rsidR="008A555A">
              <w:t> </w:t>
            </w:r>
            <w:r w:rsidRPr="006308B3">
              <w:t>236</w:t>
            </w:r>
          </w:p>
        </w:tc>
        <w:tc>
          <w:tcPr>
            <w:tcW w:w="1379" w:type="dxa"/>
            <w:vAlign w:val="bottom"/>
          </w:tcPr>
          <w:p w14:paraId="70160697" w14:textId="4DD9108F"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6</w:t>
            </w:r>
            <w:r w:rsidR="008A555A">
              <w:t> </w:t>
            </w:r>
            <w:r w:rsidRPr="006308B3">
              <w:t>745</w:t>
            </w:r>
          </w:p>
        </w:tc>
        <w:tc>
          <w:tcPr>
            <w:tcW w:w="1379" w:type="dxa"/>
            <w:vAlign w:val="bottom"/>
          </w:tcPr>
          <w:p w14:paraId="1807BE20" w14:textId="5F54DBCF"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7</w:t>
            </w:r>
            <w:r w:rsidR="008A555A">
              <w:t> </w:t>
            </w:r>
            <w:r w:rsidRPr="006308B3">
              <w:t>096</w:t>
            </w:r>
          </w:p>
        </w:tc>
        <w:tc>
          <w:tcPr>
            <w:tcW w:w="1379" w:type="dxa"/>
            <w:noWrap/>
            <w:vAlign w:val="bottom"/>
          </w:tcPr>
          <w:p w14:paraId="7C15A16C" w14:textId="6458656B"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24</w:t>
            </w:r>
            <w:r w:rsidR="008A555A">
              <w:rPr>
                <w:b/>
                <w:bCs/>
              </w:rPr>
              <w:t> </w:t>
            </w:r>
            <w:r w:rsidRPr="006308B3">
              <w:rPr>
                <w:b/>
                <w:bCs/>
              </w:rPr>
              <w:t>563</w:t>
            </w:r>
          </w:p>
        </w:tc>
        <w:tc>
          <w:tcPr>
            <w:tcW w:w="1379" w:type="dxa"/>
            <w:vAlign w:val="bottom"/>
          </w:tcPr>
          <w:p w14:paraId="64DE973B"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1,45</w:t>
            </w:r>
          </w:p>
        </w:tc>
      </w:tr>
      <w:tr w:rsidR="006308B3" w:rsidRPr="006308B3" w14:paraId="1EECA30B"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DB191C1" w14:textId="77777777" w:rsidR="006308B3" w:rsidRPr="006308B3" w:rsidRDefault="006308B3" w:rsidP="008A555A">
            <w:pPr>
              <w:pStyle w:val="Tablehead"/>
              <w:rPr>
                <w:b/>
                <w:bCs/>
                <w:lang w:bidi="ar-SA"/>
              </w:rPr>
            </w:pPr>
            <w:r w:rsidRPr="006308B3">
              <w:rPr>
                <w:b/>
                <w:bCs/>
              </w:rPr>
              <w:t>TF</w:t>
            </w:r>
          </w:p>
        </w:tc>
        <w:tc>
          <w:tcPr>
            <w:tcW w:w="1379" w:type="dxa"/>
            <w:vAlign w:val="bottom"/>
          </w:tcPr>
          <w:p w14:paraId="00317069"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466</w:t>
            </w:r>
          </w:p>
        </w:tc>
        <w:tc>
          <w:tcPr>
            <w:tcW w:w="1379" w:type="dxa"/>
            <w:vAlign w:val="bottom"/>
          </w:tcPr>
          <w:p w14:paraId="03B210B7"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948</w:t>
            </w:r>
          </w:p>
        </w:tc>
        <w:tc>
          <w:tcPr>
            <w:tcW w:w="1379" w:type="dxa"/>
            <w:vAlign w:val="bottom"/>
          </w:tcPr>
          <w:p w14:paraId="6137E22B" w14:textId="2A0446EC"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w:t>
            </w:r>
            <w:r w:rsidR="008A555A">
              <w:t> </w:t>
            </w:r>
            <w:r w:rsidRPr="006308B3">
              <w:t>017</w:t>
            </w:r>
          </w:p>
        </w:tc>
        <w:tc>
          <w:tcPr>
            <w:tcW w:w="1379" w:type="dxa"/>
            <w:vAlign w:val="bottom"/>
          </w:tcPr>
          <w:p w14:paraId="37EC81D8"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960</w:t>
            </w:r>
          </w:p>
        </w:tc>
        <w:tc>
          <w:tcPr>
            <w:tcW w:w="1379" w:type="dxa"/>
            <w:noWrap/>
            <w:vAlign w:val="bottom"/>
          </w:tcPr>
          <w:p w14:paraId="073E1696" w14:textId="0072A5C1"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3</w:t>
            </w:r>
            <w:r w:rsidR="008A555A">
              <w:rPr>
                <w:b/>
                <w:bCs/>
              </w:rPr>
              <w:t> </w:t>
            </w:r>
            <w:r w:rsidRPr="006308B3">
              <w:rPr>
                <w:b/>
                <w:bCs/>
              </w:rPr>
              <w:t>391</w:t>
            </w:r>
          </w:p>
        </w:tc>
        <w:tc>
          <w:tcPr>
            <w:tcW w:w="1379" w:type="dxa"/>
            <w:vAlign w:val="bottom"/>
          </w:tcPr>
          <w:p w14:paraId="73F5272B"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0,20</w:t>
            </w:r>
          </w:p>
        </w:tc>
      </w:tr>
      <w:tr w:rsidR="006308B3" w:rsidRPr="006308B3" w14:paraId="2490CE01"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737B1BD" w14:textId="77777777" w:rsidR="006308B3" w:rsidRPr="006308B3" w:rsidRDefault="006308B3" w:rsidP="008A555A">
            <w:pPr>
              <w:pStyle w:val="Tablehead"/>
              <w:rPr>
                <w:b/>
                <w:bCs/>
                <w:lang w:bidi="ar-SA"/>
              </w:rPr>
            </w:pPr>
            <w:r w:rsidRPr="006308B3">
              <w:rPr>
                <w:b/>
                <w:bCs/>
              </w:rPr>
              <w:t>SF</w:t>
            </w:r>
          </w:p>
        </w:tc>
        <w:tc>
          <w:tcPr>
            <w:tcW w:w="1379" w:type="dxa"/>
            <w:vAlign w:val="bottom"/>
          </w:tcPr>
          <w:p w14:paraId="2EAA8A36"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326</w:t>
            </w:r>
          </w:p>
        </w:tc>
        <w:tc>
          <w:tcPr>
            <w:tcW w:w="1379" w:type="dxa"/>
            <w:vAlign w:val="bottom"/>
          </w:tcPr>
          <w:p w14:paraId="5F84F87B"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345</w:t>
            </w:r>
          </w:p>
        </w:tc>
        <w:tc>
          <w:tcPr>
            <w:tcW w:w="1379" w:type="dxa"/>
            <w:vAlign w:val="bottom"/>
          </w:tcPr>
          <w:p w14:paraId="0B3D6FBD"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269</w:t>
            </w:r>
          </w:p>
        </w:tc>
        <w:tc>
          <w:tcPr>
            <w:tcW w:w="1379" w:type="dxa"/>
            <w:vAlign w:val="bottom"/>
          </w:tcPr>
          <w:p w14:paraId="4EF44C19"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438</w:t>
            </w:r>
          </w:p>
        </w:tc>
        <w:tc>
          <w:tcPr>
            <w:tcW w:w="1379" w:type="dxa"/>
            <w:noWrap/>
            <w:vAlign w:val="bottom"/>
          </w:tcPr>
          <w:p w14:paraId="0D183BE5" w14:textId="3F8E4F94"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1</w:t>
            </w:r>
            <w:r w:rsidR="008A555A">
              <w:rPr>
                <w:b/>
                <w:bCs/>
              </w:rPr>
              <w:t> </w:t>
            </w:r>
            <w:r w:rsidRPr="006308B3">
              <w:rPr>
                <w:b/>
                <w:bCs/>
              </w:rPr>
              <w:t>378</w:t>
            </w:r>
          </w:p>
        </w:tc>
        <w:tc>
          <w:tcPr>
            <w:tcW w:w="1379" w:type="dxa"/>
            <w:vAlign w:val="bottom"/>
          </w:tcPr>
          <w:p w14:paraId="75BE6760"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0,08</w:t>
            </w:r>
          </w:p>
        </w:tc>
      </w:tr>
      <w:tr w:rsidR="006308B3" w:rsidRPr="006308B3" w14:paraId="29B972DE" w14:textId="77777777" w:rsidTr="008A555A">
        <w:trPr>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623BC737" w14:textId="77777777" w:rsidR="006308B3" w:rsidRPr="006308B3" w:rsidRDefault="006308B3" w:rsidP="008A555A">
            <w:pPr>
              <w:pStyle w:val="Tablehead"/>
              <w:rPr>
                <w:b/>
                <w:bCs/>
                <w:lang w:bidi="ar-SA"/>
              </w:rPr>
            </w:pPr>
            <w:r w:rsidRPr="006308B3">
              <w:rPr>
                <w:b/>
                <w:bCs/>
              </w:rPr>
              <w:t>BR</w:t>
            </w:r>
          </w:p>
        </w:tc>
        <w:tc>
          <w:tcPr>
            <w:tcW w:w="1379" w:type="dxa"/>
            <w:vAlign w:val="bottom"/>
          </w:tcPr>
          <w:p w14:paraId="2A56746E"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88</w:t>
            </w:r>
          </w:p>
        </w:tc>
        <w:tc>
          <w:tcPr>
            <w:tcW w:w="1379" w:type="dxa"/>
            <w:vAlign w:val="bottom"/>
          </w:tcPr>
          <w:p w14:paraId="51BD6592"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97</w:t>
            </w:r>
          </w:p>
        </w:tc>
        <w:tc>
          <w:tcPr>
            <w:tcW w:w="1379" w:type="dxa"/>
            <w:vAlign w:val="bottom"/>
          </w:tcPr>
          <w:p w14:paraId="69EE620F"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65</w:t>
            </w:r>
          </w:p>
        </w:tc>
        <w:tc>
          <w:tcPr>
            <w:tcW w:w="1379" w:type="dxa"/>
            <w:vAlign w:val="bottom"/>
          </w:tcPr>
          <w:p w14:paraId="7934D959"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118</w:t>
            </w:r>
          </w:p>
        </w:tc>
        <w:tc>
          <w:tcPr>
            <w:tcW w:w="1379" w:type="dxa"/>
            <w:noWrap/>
            <w:vAlign w:val="bottom"/>
          </w:tcPr>
          <w:p w14:paraId="7B832DDB"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6308B3">
              <w:rPr>
                <w:b/>
                <w:bCs/>
              </w:rPr>
              <w:t>368</w:t>
            </w:r>
          </w:p>
        </w:tc>
        <w:tc>
          <w:tcPr>
            <w:tcW w:w="1379" w:type="dxa"/>
            <w:vAlign w:val="bottom"/>
          </w:tcPr>
          <w:p w14:paraId="72831494" w14:textId="77777777" w:rsidR="006308B3" w:rsidRPr="006308B3" w:rsidRDefault="006308B3" w:rsidP="008A555A">
            <w:pPr>
              <w:pStyle w:val="Tabletext"/>
              <w:jc w:val="center"/>
              <w:cnfStyle w:val="000000000000" w:firstRow="0" w:lastRow="0" w:firstColumn="0" w:lastColumn="0" w:oddVBand="0" w:evenVBand="0" w:oddHBand="0" w:evenHBand="0" w:firstRowFirstColumn="0" w:firstRowLastColumn="0" w:lastRowFirstColumn="0" w:lastRowLastColumn="0"/>
            </w:pPr>
            <w:r w:rsidRPr="006308B3">
              <w:t>0,02</w:t>
            </w:r>
          </w:p>
        </w:tc>
      </w:tr>
      <w:tr w:rsidR="006308B3" w:rsidRPr="006308B3" w14:paraId="3A7723E4" w14:textId="77777777" w:rsidTr="008A55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A78874A" w14:textId="77777777" w:rsidR="006308B3" w:rsidRPr="006308B3" w:rsidRDefault="006308B3" w:rsidP="008A555A">
            <w:pPr>
              <w:pStyle w:val="Tablehead"/>
              <w:rPr>
                <w:b/>
                <w:bCs/>
                <w:lang w:bidi="ar-SA"/>
              </w:rPr>
            </w:pPr>
            <w:r w:rsidRPr="006308B3">
              <w:rPr>
                <w:b/>
                <w:bCs/>
                <w:rtl/>
              </w:rPr>
              <w:t>المجموع</w:t>
            </w:r>
          </w:p>
        </w:tc>
        <w:tc>
          <w:tcPr>
            <w:tcW w:w="1379" w:type="dxa"/>
            <w:vAlign w:val="bottom"/>
          </w:tcPr>
          <w:p w14:paraId="0CEAF728" w14:textId="124FB9F9"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380</w:t>
            </w:r>
            <w:r w:rsidR="008A555A">
              <w:rPr>
                <w:b/>
                <w:bCs/>
              </w:rPr>
              <w:t> </w:t>
            </w:r>
            <w:r w:rsidRPr="006308B3">
              <w:rPr>
                <w:b/>
                <w:bCs/>
              </w:rPr>
              <w:t>758</w:t>
            </w:r>
          </w:p>
        </w:tc>
        <w:tc>
          <w:tcPr>
            <w:tcW w:w="1379" w:type="dxa"/>
            <w:vAlign w:val="bottom"/>
          </w:tcPr>
          <w:p w14:paraId="2D1861C5" w14:textId="2FC3AEEA"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425</w:t>
            </w:r>
            <w:r w:rsidR="008A555A">
              <w:rPr>
                <w:b/>
                <w:bCs/>
              </w:rPr>
              <w:t> </w:t>
            </w:r>
            <w:r w:rsidRPr="006308B3">
              <w:rPr>
                <w:b/>
                <w:bCs/>
              </w:rPr>
              <w:t>574</w:t>
            </w:r>
          </w:p>
        </w:tc>
        <w:tc>
          <w:tcPr>
            <w:tcW w:w="1379" w:type="dxa"/>
            <w:vAlign w:val="bottom"/>
          </w:tcPr>
          <w:p w14:paraId="1B6B8ACD" w14:textId="6131A499"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397</w:t>
            </w:r>
            <w:r w:rsidR="008A555A">
              <w:rPr>
                <w:b/>
                <w:bCs/>
              </w:rPr>
              <w:t> </w:t>
            </w:r>
            <w:r w:rsidRPr="006308B3">
              <w:rPr>
                <w:b/>
                <w:bCs/>
              </w:rPr>
              <w:t>694</w:t>
            </w:r>
          </w:p>
        </w:tc>
        <w:tc>
          <w:tcPr>
            <w:tcW w:w="1379" w:type="dxa"/>
            <w:vAlign w:val="bottom"/>
          </w:tcPr>
          <w:p w14:paraId="07B891D9" w14:textId="1CB64D34"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484</w:t>
            </w:r>
            <w:r w:rsidR="008A555A">
              <w:rPr>
                <w:b/>
                <w:bCs/>
              </w:rPr>
              <w:t> </w:t>
            </w:r>
            <w:r w:rsidRPr="006308B3">
              <w:rPr>
                <w:b/>
                <w:bCs/>
              </w:rPr>
              <w:t>264</w:t>
            </w:r>
          </w:p>
        </w:tc>
        <w:tc>
          <w:tcPr>
            <w:tcW w:w="1379" w:type="dxa"/>
            <w:noWrap/>
            <w:vAlign w:val="bottom"/>
          </w:tcPr>
          <w:p w14:paraId="4EBFEE39" w14:textId="2F2BED0C"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308B3">
              <w:rPr>
                <w:b/>
                <w:bCs/>
              </w:rPr>
              <w:t>1</w:t>
            </w:r>
            <w:r w:rsidR="008A555A">
              <w:rPr>
                <w:b/>
                <w:bCs/>
              </w:rPr>
              <w:t> </w:t>
            </w:r>
            <w:r w:rsidRPr="006308B3">
              <w:rPr>
                <w:b/>
                <w:bCs/>
              </w:rPr>
              <w:t>688</w:t>
            </w:r>
            <w:r w:rsidR="008A555A">
              <w:rPr>
                <w:b/>
                <w:bCs/>
              </w:rPr>
              <w:t> </w:t>
            </w:r>
            <w:r w:rsidRPr="006308B3">
              <w:rPr>
                <w:b/>
                <w:bCs/>
              </w:rPr>
              <w:t>290</w:t>
            </w:r>
          </w:p>
        </w:tc>
        <w:tc>
          <w:tcPr>
            <w:tcW w:w="1379" w:type="dxa"/>
            <w:vAlign w:val="bottom"/>
          </w:tcPr>
          <w:p w14:paraId="3422E9FB" w14:textId="77777777" w:rsidR="006308B3" w:rsidRPr="006308B3" w:rsidRDefault="006308B3" w:rsidP="008A555A">
            <w:pPr>
              <w:pStyle w:val="Tabletext"/>
              <w:jc w:val="center"/>
              <w:cnfStyle w:val="000000100000" w:firstRow="0" w:lastRow="0" w:firstColumn="0" w:lastColumn="0" w:oddVBand="0" w:evenVBand="0" w:oddHBand="1" w:evenHBand="0" w:firstRowFirstColumn="0" w:firstRowLastColumn="0" w:lastRowFirstColumn="0" w:lastRowLastColumn="0"/>
            </w:pPr>
            <w:r w:rsidRPr="006308B3">
              <w:t>100,00</w:t>
            </w:r>
          </w:p>
        </w:tc>
      </w:tr>
    </w:tbl>
    <w:p w14:paraId="2437EBF0" w14:textId="1C53DABD" w:rsidR="00674A3A" w:rsidRDefault="008A555A" w:rsidP="00124688">
      <w:pPr>
        <w:pStyle w:val="Heading4"/>
        <w:spacing w:before="240"/>
        <w:rPr>
          <w:rFonts w:hint="cs"/>
          <w:rtl/>
        </w:rPr>
      </w:pPr>
      <w:r>
        <w:t>4.4.1.8</w:t>
      </w:r>
      <w:r w:rsidR="00674A3A">
        <w:rPr>
          <w:rtl/>
        </w:rPr>
        <w:tab/>
        <w:t>الكتيبات</w:t>
      </w:r>
    </w:p>
    <w:p w14:paraId="62BDDD4E" w14:textId="32904DFF" w:rsidR="00816C27" w:rsidRDefault="00674A3A" w:rsidP="00674A3A">
      <w:pPr>
        <w:rPr>
          <w:rtl/>
        </w:rPr>
      </w:pPr>
      <w:r>
        <w:rPr>
          <w:rtl/>
        </w:rPr>
        <w:t xml:space="preserve">كتيبات قطاع الاتصالات الراديوية مُتاحة أيضاً للتنزيل مجاناً من الموقع الإلكتروني للاتحاد. وسُجل ما يقارب نصف مليون تنزيل بين عامي 2022 و2025. ويوضح الجدول </w:t>
      </w:r>
      <w:r w:rsidR="008A555A">
        <w:t>1-4.4.1.8</w:t>
      </w:r>
      <w:r>
        <w:rPr>
          <w:rtl/>
        </w:rPr>
        <w:t xml:space="preserve"> توزيع كتيبات قطاع الاتصالات الراديوية بشأن سلسلة إدارة الطيف فضلاً عن الكتيبات الأخرى المباعة.</w:t>
      </w:r>
    </w:p>
    <w:p w14:paraId="43A742B9" w14:textId="0733A141" w:rsidR="00674A3A" w:rsidRDefault="00674A3A" w:rsidP="00674A3A">
      <w:pPr>
        <w:rPr>
          <w:rtl/>
        </w:rPr>
      </w:pPr>
      <w:r>
        <w:rPr>
          <w:rtl/>
        </w:rPr>
        <w:t>وهناك حالياً 48 كتيباً صادراً عن طاع الاتصالات الراديوية ومنشوراً على الموقع الإلكتروني للاتحاد.</w:t>
      </w:r>
    </w:p>
    <w:p w14:paraId="02B77DC4" w14:textId="23B1E711" w:rsidR="00674A3A" w:rsidRDefault="00674A3A" w:rsidP="008A555A">
      <w:pPr>
        <w:pStyle w:val="TableNo"/>
        <w:rPr>
          <w:rtl/>
        </w:rPr>
      </w:pPr>
      <w:r>
        <w:rPr>
          <w:rtl/>
        </w:rPr>
        <w:t xml:space="preserve">الجدول </w:t>
      </w:r>
      <w:r w:rsidR="00182AEF">
        <w:t>1-4.4.1.8</w:t>
      </w:r>
    </w:p>
    <w:p w14:paraId="5460716A" w14:textId="77777777" w:rsidR="00674A3A" w:rsidRDefault="00674A3A" w:rsidP="008A555A">
      <w:pPr>
        <w:pStyle w:val="Tabletitle"/>
        <w:rPr>
          <w:rtl/>
        </w:rPr>
      </w:pPr>
      <w:r>
        <w:rPr>
          <w:rtl/>
        </w:rPr>
        <w:t>توزيع كتيبات قطاع الاتصالات الراديوية بشأن سلسلة إدارة الطيف والكتيبات الأخرى</w:t>
      </w:r>
    </w:p>
    <w:tbl>
      <w:tblPr>
        <w:bidiVisual/>
        <w:tblW w:w="9307" w:type="dxa"/>
        <w:jc w:val="center"/>
        <w:tblBorders>
          <w:top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4A0" w:firstRow="1" w:lastRow="0" w:firstColumn="1" w:lastColumn="0" w:noHBand="0" w:noVBand="1"/>
      </w:tblPr>
      <w:tblGrid>
        <w:gridCol w:w="3879"/>
        <w:gridCol w:w="1357"/>
        <w:gridCol w:w="1357"/>
        <w:gridCol w:w="1357"/>
        <w:gridCol w:w="1357"/>
      </w:tblGrid>
      <w:tr w:rsidR="00182AEF" w:rsidRPr="006308B3" w14:paraId="0D2F3039" w14:textId="77777777" w:rsidTr="00433DCA">
        <w:trPr>
          <w:trHeight w:val="481"/>
          <w:jc w:val="center"/>
        </w:trPr>
        <w:tc>
          <w:tcPr>
            <w:tcW w:w="3879" w:type="dxa"/>
            <w:shd w:val="clear" w:color="auto" w:fill="4472C4"/>
            <w:tcMar>
              <w:top w:w="0" w:type="dxa"/>
              <w:left w:w="108" w:type="dxa"/>
              <w:bottom w:w="0" w:type="dxa"/>
              <w:right w:w="108" w:type="dxa"/>
            </w:tcMar>
            <w:vAlign w:val="center"/>
            <w:hideMark/>
          </w:tcPr>
          <w:p w14:paraId="56F4E572" w14:textId="77777777" w:rsidR="006308B3" w:rsidRPr="00182AEF" w:rsidRDefault="006308B3" w:rsidP="00182AEF">
            <w:pPr>
              <w:pStyle w:val="Tablehead"/>
              <w:rPr>
                <w:bCs w:val="0"/>
                <w:color w:val="FFFFFF" w:themeColor="background1"/>
              </w:rPr>
            </w:pPr>
            <w:r w:rsidRPr="00182AEF">
              <w:rPr>
                <w:color w:val="FFFFFF" w:themeColor="background1"/>
                <w:rtl/>
              </w:rPr>
              <w:t>الكتيب</w:t>
            </w:r>
          </w:p>
        </w:tc>
        <w:tc>
          <w:tcPr>
            <w:tcW w:w="1357" w:type="dxa"/>
            <w:shd w:val="clear" w:color="auto" w:fill="4472C4"/>
            <w:vAlign w:val="center"/>
          </w:tcPr>
          <w:p w14:paraId="0C131DB6" w14:textId="77777777" w:rsidR="006308B3" w:rsidRPr="00182AEF" w:rsidRDefault="006308B3" w:rsidP="00182AEF">
            <w:pPr>
              <w:pStyle w:val="Tablehead"/>
              <w:rPr>
                <w:bCs w:val="0"/>
                <w:color w:val="FFFFFF" w:themeColor="background1"/>
              </w:rPr>
            </w:pPr>
            <w:r w:rsidRPr="00182AEF">
              <w:rPr>
                <w:color w:val="FFFFFF" w:themeColor="background1"/>
                <w:rtl/>
              </w:rPr>
              <w:t>2022</w:t>
            </w:r>
          </w:p>
        </w:tc>
        <w:tc>
          <w:tcPr>
            <w:tcW w:w="1357" w:type="dxa"/>
            <w:shd w:val="clear" w:color="auto" w:fill="4472C4"/>
            <w:vAlign w:val="center"/>
          </w:tcPr>
          <w:p w14:paraId="546773AE" w14:textId="77777777" w:rsidR="006308B3" w:rsidRPr="00182AEF" w:rsidRDefault="006308B3" w:rsidP="00182AEF">
            <w:pPr>
              <w:pStyle w:val="Tablehead"/>
              <w:rPr>
                <w:bCs w:val="0"/>
                <w:color w:val="FFFFFF" w:themeColor="background1"/>
              </w:rPr>
            </w:pPr>
            <w:r w:rsidRPr="00182AEF">
              <w:rPr>
                <w:color w:val="FFFFFF" w:themeColor="background1"/>
                <w:rtl/>
              </w:rPr>
              <w:t>2023</w:t>
            </w:r>
          </w:p>
        </w:tc>
        <w:tc>
          <w:tcPr>
            <w:tcW w:w="1357" w:type="dxa"/>
            <w:shd w:val="clear" w:color="auto" w:fill="4472C4"/>
            <w:vAlign w:val="center"/>
          </w:tcPr>
          <w:p w14:paraId="1FCDCCA1" w14:textId="77777777" w:rsidR="006308B3" w:rsidRPr="00182AEF" w:rsidRDefault="006308B3" w:rsidP="00182AEF">
            <w:pPr>
              <w:pStyle w:val="Tablehead"/>
              <w:rPr>
                <w:bCs w:val="0"/>
                <w:color w:val="FFFFFF" w:themeColor="background1"/>
              </w:rPr>
            </w:pPr>
            <w:r w:rsidRPr="00182AEF">
              <w:rPr>
                <w:color w:val="FFFFFF" w:themeColor="background1"/>
                <w:rtl/>
              </w:rPr>
              <w:t>2024</w:t>
            </w:r>
          </w:p>
        </w:tc>
        <w:tc>
          <w:tcPr>
            <w:tcW w:w="1357" w:type="dxa"/>
            <w:shd w:val="clear" w:color="auto" w:fill="4472C4"/>
            <w:vAlign w:val="center"/>
          </w:tcPr>
          <w:p w14:paraId="352FFDFA" w14:textId="24B811A4" w:rsidR="006308B3" w:rsidRPr="00182AEF" w:rsidRDefault="006308B3" w:rsidP="00182AEF">
            <w:pPr>
              <w:pStyle w:val="Tablehead"/>
              <w:rPr>
                <w:bCs w:val="0"/>
                <w:color w:val="FFFFFF" w:themeColor="background1"/>
              </w:rPr>
            </w:pPr>
            <w:r w:rsidRPr="00182AEF">
              <w:rPr>
                <w:color w:val="FFFFFF" w:themeColor="background1"/>
                <w:rtl/>
              </w:rPr>
              <w:t>2025</w:t>
            </w:r>
            <w:r w:rsidR="00124688" w:rsidRPr="00124688">
              <w:rPr>
                <w:color w:val="FFFFFF" w:themeColor="background1"/>
                <w:sz w:val="2"/>
                <w:szCs w:val="2"/>
              </w:rPr>
              <w:t> </w:t>
            </w:r>
            <w:r w:rsidRPr="00124688">
              <w:rPr>
                <w:rStyle w:val="FootnoteReference"/>
                <w:color w:val="FFFFFF" w:themeColor="background1"/>
                <w:sz w:val="14"/>
                <w:szCs w:val="14"/>
                <w:rtl/>
              </w:rPr>
              <w:t>1</w:t>
            </w:r>
          </w:p>
        </w:tc>
      </w:tr>
      <w:tr w:rsidR="006308B3" w:rsidRPr="006308B3" w14:paraId="756409F5" w14:textId="77777777" w:rsidTr="00433DCA">
        <w:trPr>
          <w:trHeight w:val="510"/>
          <w:jc w:val="center"/>
        </w:trPr>
        <w:tc>
          <w:tcPr>
            <w:tcW w:w="3879" w:type="dxa"/>
            <w:shd w:val="clear" w:color="auto" w:fill="4472C4"/>
            <w:tcMar>
              <w:top w:w="0" w:type="dxa"/>
              <w:left w:w="108" w:type="dxa"/>
              <w:bottom w:w="0" w:type="dxa"/>
              <w:right w:w="108" w:type="dxa"/>
            </w:tcMar>
            <w:vAlign w:val="center"/>
            <w:hideMark/>
          </w:tcPr>
          <w:p w14:paraId="18E97958" w14:textId="0793F28F" w:rsidR="006308B3" w:rsidRPr="00182AEF" w:rsidRDefault="006308B3" w:rsidP="00182AEF">
            <w:pPr>
              <w:pStyle w:val="Tablehead"/>
              <w:rPr>
                <w:bCs w:val="0"/>
                <w:color w:val="FFFFFF" w:themeColor="background1"/>
              </w:rPr>
            </w:pPr>
            <w:r w:rsidRPr="00182AEF">
              <w:rPr>
                <w:color w:val="FFFFFF" w:themeColor="background1"/>
                <w:rtl/>
              </w:rPr>
              <w:t>سلسلة إدارة الطيف</w:t>
            </w:r>
            <w:r w:rsidR="00182AEF">
              <w:rPr>
                <w:b w:val="0"/>
                <w:color w:val="FFFFFF" w:themeColor="background1"/>
              </w:rPr>
              <w:br/>
            </w:r>
            <w:r w:rsidRPr="00182AEF">
              <w:rPr>
                <w:color w:val="FFFFFF" w:themeColor="background1"/>
                <w:rtl/>
              </w:rPr>
              <w:t>(النسخ الورقية المبيعة)</w:t>
            </w:r>
          </w:p>
        </w:tc>
        <w:tc>
          <w:tcPr>
            <w:tcW w:w="1357" w:type="dxa"/>
            <w:shd w:val="clear" w:color="auto" w:fill="B4C6E7"/>
            <w:vAlign w:val="center"/>
          </w:tcPr>
          <w:p w14:paraId="4FE0EA5A" w14:textId="77777777" w:rsidR="006308B3" w:rsidRPr="006308B3" w:rsidRDefault="006308B3" w:rsidP="00182AEF">
            <w:pPr>
              <w:pStyle w:val="Tabletext"/>
              <w:jc w:val="center"/>
            </w:pPr>
            <w:r w:rsidRPr="006308B3">
              <w:t>0</w:t>
            </w:r>
          </w:p>
        </w:tc>
        <w:tc>
          <w:tcPr>
            <w:tcW w:w="1357" w:type="dxa"/>
            <w:shd w:val="clear" w:color="auto" w:fill="B4C6E7"/>
            <w:vAlign w:val="center"/>
          </w:tcPr>
          <w:p w14:paraId="028B602E" w14:textId="77777777" w:rsidR="006308B3" w:rsidRPr="006308B3" w:rsidRDefault="006308B3" w:rsidP="00182AEF">
            <w:pPr>
              <w:pStyle w:val="Tabletext"/>
              <w:jc w:val="center"/>
            </w:pPr>
            <w:r w:rsidRPr="006308B3">
              <w:t>-</w:t>
            </w:r>
          </w:p>
        </w:tc>
        <w:tc>
          <w:tcPr>
            <w:tcW w:w="1357" w:type="dxa"/>
            <w:shd w:val="clear" w:color="auto" w:fill="B4C6E7"/>
            <w:vAlign w:val="center"/>
          </w:tcPr>
          <w:p w14:paraId="37F58440" w14:textId="77777777" w:rsidR="006308B3" w:rsidRPr="006308B3" w:rsidRDefault="006308B3" w:rsidP="00182AEF">
            <w:pPr>
              <w:pStyle w:val="Tabletext"/>
              <w:jc w:val="center"/>
            </w:pPr>
            <w:r w:rsidRPr="006308B3">
              <w:t>0</w:t>
            </w:r>
          </w:p>
        </w:tc>
        <w:tc>
          <w:tcPr>
            <w:tcW w:w="1357" w:type="dxa"/>
            <w:shd w:val="clear" w:color="auto" w:fill="B4C6E7"/>
            <w:vAlign w:val="center"/>
          </w:tcPr>
          <w:p w14:paraId="60DF664A" w14:textId="77777777" w:rsidR="006308B3" w:rsidRPr="006308B3" w:rsidRDefault="006308B3" w:rsidP="00182AEF">
            <w:pPr>
              <w:pStyle w:val="Tabletext"/>
              <w:jc w:val="center"/>
            </w:pPr>
            <w:r w:rsidRPr="006308B3">
              <w:t>0</w:t>
            </w:r>
          </w:p>
        </w:tc>
      </w:tr>
      <w:tr w:rsidR="006308B3" w:rsidRPr="006308B3" w14:paraId="4F6E7C0C" w14:textId="77777777" w:rsidTr="00433DCA">
        <w:trPr>
          <w:trHeight w:val="441"/>
          <w:jc w:val="center"/>
        </w:trPr>
        <w:tc>
          <w:tcPr>
            <w:tcW w:w="3879" w:type="dxa"/>
            <w:shd w:val="clear" w:color="auto" w:fill="4472C4"/>
            <w:tcMar>
              <w:top w:w="0" w:type="dxa"/>
              <w:left w:w="108" w:type="dxa"/>
              <w:bottom w:w="0" w:type="dxa"/>
              <w:right w:w="108" w:type="dxa"/>
            </w:tcMar>
            <w:vAlign w:val="center"/>
            <w:hideMark/>
          </w:tcPr>
          <w:p w14:paraId="1AAF2CBB" w14:textId="0D2BA613" w:rsidR="006308B3" w:rsidRPr="00182AEF" w:rsidRDefault="006308B3" w:rsidP="00182AEF">
            <w:pPr>
              <w:pStyle w:val="Tablehead"/>
              <w:rPr>
                <w:bCs w:val="0"/>
                <w:color w:val="FFFFFF" w:themeColor="background1"/>
              </w:rPr>
            </w:pPr>
            <w:r w:rsidRPr="00182AEF">
              <w:rPr>
                <w:color w:val="FFFFFF" w:themeColor="background1"/>
                <w:rtl/>
              </w:rPr>
              <w:t>كتيبات أخرى</w:t>
            </w:r>
            <w:r w:rsidR="00182AEF">
              <w:rPr>
                <w:b w:val="0"/>
                <w:color w:val="FFFFFF" w:themeColor="background1"/>
              </w:rPr>
              <w:br/>
            </w:r>
            <w:r w:rsidRPr="00182AEF">
              <w:rPr>
                <w:color w:val="FFFFFF" w:themeColor="background1"/>
                <w:rtl/>
              </w:rPr>
              <w:t>(النسخ الورقية المبيعة)</w:t>
            </w:r>
          </w:p>
        </w:tc>
        <w:tc>
          <w:tcPr>
            <w:tcW w:w="1357" w:type="dxa"/>
            <w:shd w:val="clear" w:color="auto" w:fill="D9E2F3"/>
            <w:vAlign w:val="center"/>
          </w:tcPr>
          <w:p w14:paraId="4D53BBA1" w14:textId="77777777" w:rsidR="006308B3" w:rsidRPr="006308B3" w:rsidRDefault="006308B3" w:rsidP="00182AEF">
            <w:pPr>
              <w:pStyle w:val="Tabletext"/>
              <w:jc w:val="center"/>
            </w:pPr>
            <w:r w:rsidRPr="006308B3">
              <w:t>4</w:t>
            </w:r>
          </w:p>
        </w:tc>
        <w:tc>
          <w:tcPr>
            <w:tcW w:w="1357" w:type="dxa"/>
            <w:shd w:val="clear" w:color="auto" w:fill="D9E2F3"/>
            <w:vAlign w:val="center"/>
          </w:tcPr>
          <w:p w14:paraId="2051E416" w14:textId="77777777" w:rsidR="006308B3" w:rsidRPr="006308B3" w:rsidRDefault="006308B3" w:rsidP="00182AEF">
            <w:pPr>
              <w:pStyle w:val="Tabletext"/>
              <w:jc w:val="center"/>
            </w:pPr>
            <w:r w:rsidRPr="006308B3">
              <w:t>-</w:t>
            </w:r>
          </w:p>
        </w:tc>
        <w:tc>
          <w:tcPr>
            <w:tcW w:w="1357" w:type="dxa"/>
            <w:shd w:val="clear" w:color="auto" w:fill="D9E2F3"/>
            <w:vAlign w:val="center"/>
          </w:tcPr>
          <w:p w14:paraId="00A7D63F" w14:textId="77777777" w:rsidR="006308B3" w:rsidRPr="006308B3" w:rsidRDefault="006308B3" w:rsidP="00182AEF">
            <w:pPr>
              <w:pStyle w:val="Tabletext"/>
              <w:jc w:val="center"/>
            </w:pPr>
            <w:r w:rsidRPr="006308B3">
              <w:t>0</w:t>
            </w:r>
          </w:p>
        </w:tc>
        <w:tc>
          <w:tcPr>
            <w:tcW w:w="1357" w:type="dxa"/>
            <w:shd w:val="clear" w:color="auto" w:fill="D9E2F3"/>
            <w:vAlign w:val="center"/>
          </w:tcPr>
          <w:p w14:paraId="41D2CF7B" w14:textId="77777777" w:rsidR="006308B3" w:rsidRPr="006308B3" w:rsidRDefault="006308B3" w:rsidP="00182AEF">
            <w:pPr>
              <w:pStyle w:val="Tabletext"/>
              <w:jc w:val="center"/>
            </w:pPr>
            <w:r w:rsidRPr="006308B3">
              <w:t>0</w:t>
            </w:r>
          </w:p>
        </w:tc>
      </w:tr>
      <w:tr w:rsidR="006308B3" w:rsidRPr="006308B3" w14:paraId="49473619" w14:textId="77777777" w:rsidTr="00433DCA">
        <w:trPr>
          <w:trHeight w:val="248"/>
          <w:jc w:val="center"/>
        </w:trPr>
        <w:tc>
          <w:tcPr>
            <w:tcW w:w="3879" w:type="dxa"/>
            <w:shd w:val="clear" w:color="auto" w:fill="4472C4"/>
            <w:tcMar>
              <w:top w:w="0" w:type="dxa"/>
              <w:left w:w="108" w:type="dxa"/>
              <w:bottom w:w="0" w:type="dxa"/>
              <w:right w:w="108" w:type="dxa"/>
            </w:tcMar>
            <w:vAlign w:val="center"/>
            <w:hideMark/>
          </w:tcPr>
          <w:p w14:paraId="5C99BFE9" w14:textId="77777777" w:rsidR="006308B3" w:rsidRPr="00182AEF" w:rsidRDefault="006308B3" w:rsidP="00182AEF">
            <w:pPr>
              <w:pStyle w:val="Tablehead"/>
              <w:rPr>
                <w:bCs w:val="0"/>
                <w:color w:val="FFFFFF" w:themeColor="background1"/>
              </w:rPr>
            </w:pPr>
            <w:r w:rsidRPr="00182AEF">
              <w:rPr>
                <w:color w:val="FFFFFF" w:themeColor="background1"/>
                <w:rtl/>
              </w:rPr>
              <w:t>المجموع الكلي</w:t>
            </w:r>
          </w:p>
        </w:tc>
        <w:tc>
          <w:tcPr>
            <w:tcW w:w="1357" w:type="dxa"/>
            <w:shd w:val="clear" w:color="auto" w:fill="B4C6E7"/>
            <w:vAlign w:val="center"/>
          </w:tcPr>
          <w:p w14:paraId="11642889" w14:textId="77777777" w:rsidR="006308B3" w:rsidRPr="006308B3" w:rsidRDefault="006308B3" w:rsidP="00182AEF">
            <w:pPr>
              <w:pStyle w:val="Tabletext"/>
              <w:jc w:val="center"/>
              <w:rPr>
                <w:b/>
              </w:rPr>
            </w:pPr>
            <w:r w:rsidRPr="006308B3">
              <w:rPr>
                <w:b/>
                <w:bCs/>
              </w:rPr>
              <w:t>4</w:t>
            </w:r>
          </w:p>
        </w:tc>
        <w:tc>
          <w:tcPr>
            <w:tcW w:w="1357" w:type="dxa"/>
            <w:shd w:val="clear" w:color="auto" w:fill="B4C6E7"/>
            <w:vAlign w:val="center"/>
          </w:tcPr>
          <w:p w14:paraId="4A73CFE8" w14:textId="77777777" w:rsidR="006308B3" w:rsidRPr="006308B3" w:rsidRDefault="006308B3" w:rsidP="00182AEF">
            <w:pPr>
              <w:pStyle w:val="Tabletext"/>
              <w:jc w:val="center"/>
              <w:rPr>
                <w:b/>
              </w:rPr>
            </w:pPr>
            <w:r w:rsidRPr="006308B3">
              <w:rPr>
                <w:b/>
              </w:rPr>
              <w:t>-</w:t>
            </w:r>
          </w:p>
        </w:tc>
        <w:tc>
          <w:tcPr>
            <w:tcW w:w="1357" w:type="dxa"/>
            <w:shd w:val="clear" w:color="auto" w:fill="B4C6E7"/>
            <w:vAlign w:val="center"/>
          </w:tcPr>
          <w:p w14:paraId="57FBE3B4" w14:textId="77777777" w:rsidR="006308B3" w:rsidRPr="006308B3" w:rsidRDefault="006308B3" w:rsidP="00182AEF">
            <w:pPr>
              <w:pStyle w:val="Tabletext"/>
              <w:jc w:val="center"/>
              <w:rPr>
                <w:b/>
              </w:rPr>
            </w:pPr>
            <w:r w:rsidRPr="006308B3">
              <w:rPr>
                <w:b/>
                <w:bCs/>
              </w:rPr>
              <w:t>0</w:t>
            </w:r>
          </w:p>
        </w:tc>
        <w:tc>
          <w:tcPr>
            <w:tcW w:w="1357" w:type="dxa"/>
            <w:shd w:val="clear" w:color="auto" w:fill="B4C6E7"/>
            <w:vAlign w:val="center"/>
          </w:tcPr>
          <w:p w14:paraId="755B43DC" w14:textId="77777777" w:rsidR="006308B3" w:rsidRPr="006308B3" w:rsidRDefault="006308B3" w:rsidP="00182AEF">
            <w:pPr>
              <w:pStyle w:val="Tabletext"/>
              <w:jc w:val="center"/>
              <w:rPr>
                <w:b/>
              </w:rPr>
            </w:pPr>
            <w:r w:rsidRPr="006308B3">
              <w:rPr>
                <w:b/>
                <w:bCs/>
              </w:rPr>
              <w:t>0</w:t>
            </w:r>
          </w:p>
        </w:tc>
      </w:tr>
      <w:tr w:rsidR="006308B3" w:rsidRPr="006308B3" w14:paraId="130751C4" w14:textId="77777777" w:rsidTr="00433DCA">
        <w:trPr>
          <w:trHeight w:val="248"/>
          <w:jc w:val="center"/>
        </w:trPr>
        <w:tc>
          <w:tcPr>
            <w:tcW w:w="3879" w:type="dxa"/>
            <w:shd w:val="clear" w:color="auto" w:fill="4472C4"/>
            <w:tcMar>
              <w:top w:w="0" w:type="dxa"/>
              <w:left w:w="108" w:type="dxa"/>
              <w:bottom w:w="0" w:type="dxa"/>
              <w:right w:w="108" w:type="dxa"/>
            </w:tcMar>
            <w:vAlign w:val="center"/>
          </w:tcPr>
          <w:p w14:paraId="4BF33B91" w14:textId="77777777" w:rsidR="006308B3" w:rsidRPr="00182AEF" w:rsidRDefault="006308B3" w:rsidP="00182AEF">
            <w:pPr>
              <w:pStyle w:val="Tablehead"/>
              <w:rPr>
                <w:bCs w:val="0"/>
                <w:color w:val="FFFFFF" w:themeColor="background1"/>
              </w:rPr>
            </w:pPr>
            <w:r w:rsidRPr="00182AEF">
              <w:rPr>
                <w:color w:val="FFFFFF" w:themeColor="background1"/>
                <w:rtl/>
              </w:rPr>
              <w:t>التنزيلات المجانية</w:t>
            </w:r>
          </w:p>
        </w:tc>
        <w:tc>
          <w:tcPr>
            <w:tcW w:w="1357" w:type="dxa"/>
            <w:shd w:val="clear" w:color="auto" w:fill="B4C6E7"/>
            <w:vAlign w:val="center"/>
          </w:tcPr>
          <w:p w14:paraId="4D410563" w14:textId="43EA552D" w:rsidR="006308B3" w:rsidRPr="006308B3" w:rsidRDefault="006308B3" w:rsidP="00182AEF">
            <w:pPr>
              <w:pStyle w:val="Tabletext"/>
              <w:jc w:val="center"/>
              <w:rPr>
                <w:b/>
              </w:rPr>
            </w:pPr>
            <w:r w:rsidRPr="006308B3">
              <w:rPr>
                <w:b/>
                <w:bCs/>
              </w:rPr>
              <w:t>134</w:t>
            </w:r>
            <w:r w:rsidR="00182AEF">
              <w:rPr>
                <w:b/>
                <w:bCs/>
              </w:rPr>
              <w:t> </w:t>
            </w:r>
            <w:r w:rsidRPr="006308B3">
              <w:rPr>
                <w:b/>
                <w:bCs/>
              </w:rPr>
              <w:t>159</w:t>
            </w:r>
          </w:p>
        </w:tc>
        <w:tc>
          <w:tcPr>
            <w:tcW w:w="1357" w:type="dxa"/>
            <w:shd w:val="clear" w:color="auto" w:fill="B4C6E7"/>
            <w:vAlign w:val="center"/>
          </w:tcPr>
          <w:p w14:paraId="52788D64" w14:textId="0FD284BB" w:rsidR="006308B3" w:rsidRPr="006308B3" w:rsidRDefault="006308B3" w:rsidP="00182AEF">
            <w:pPr>
              <w:pStyle w:val="Tabletext"/>
              <w:jc w:val="center"/>
              <w:rPr>
                <w:b/>
              </w:rPr>
            </w:pPr>
            <w:r w:rsidRPr="006308B3">
              <w:rPr>
                <w:b/>
                <w:bCs/>
              </w:rPr>
              <w:t>143</w:t>
            </w:r>
            <w:r w:rsidR="00182AEF">
              <w:rPr>
                <w:b/>
                <w:bCs/>
              </w:rPr>
              <w:t> </w:t>
            </w:r>
            <w:r w:rsidRPr="006308B3">
              <w:rPr>
                <w:b/>
                <w:bCs/>
              </w:rPr>
              <w:t>478</w:t>
            </w:r>
          </w:p>
        </w:tc>
        <w:tc>
          <w:tcPr>
            <w:tcW w:w="1357" w:type="dxa"/>
            <w:shd w:val="clear" w:color="auto" w:fill="B4C6E7"/>
            <w:vAlign w:val="center"/>
          </w:tcPr>
          <w:p w14:paraId="75D51AC7" w14:textId="0907F481" w:rsidR="006308B3" w:rsidRPr="006308B3" w:rsidRDefault="006308B3" w:rsidP="00182AEF">
            <w:pPr>
              <w:pStyle w:val="Tabletext"/>
              <w:jc w:val="center"/>
              <w:rPr>
                <w:b/>
              </w:rPr>
            </w:pPr>
            <w:r w:rsidRPr="006308B3">
              <w:rPr>
                <w:b/>
                <w:bCs/>
              </w:rPr>
              <w:t>97</w:t>
            </w:r>
            <w:r w:rsidR="00182AEF">
              <w:rPr>
                <w:b/>
                <w:bCs/>
              </w:rPr>
              <w:t> </w:t>
            </w:r>
            <w:r w:rsidRPr="006308B3">
              <w:rPr>
                <w:b/>
                <w:bCs/>
              </w:rPr>
              <w:t>290</w:t>
            </w:r>
          </w:p>
        </w:tc>
        <w:tc>
          <w:tcPr>
            <w:tcW w:w="1357" w:type="dxa"/>
            <w:shd w:val="clear" w:color="auto" w:fill="B4C6E7"/>
          </w:tcPr>
          <w:p w14:paraId="0B714240" w14:textId="113BB8A1" w:rsidR="006308B3" w:rsidRPr="006308B3" w:rsidRDefault="006308B3" w:rsidP="00182AEF">
            <w:pPr>
              <w:pStyle w:val="Tabletext"/>
              <w:jc w:val="center"/>
            </w:pPr>
            <w:r w:rsidRPr="006308B3">
              <w:rPr>
                <w:b/>
                <w:bCs/>
              </w:rPr>
              <w:t>98</w:t>
            </w:r>
            <w:r w:rsidR="00182AEF">
              <w:rPr>
                <w:b/>
                <w:bCs/>
              </w:rPr>
              <w:t> </w:t>
            </w:r>
            <w:r w:rsidRPr="006308B3">
              <w:rPr>
                <w:b/>
                <w:bCs/>
              </w:rPr>
              <w:t>944</w:t>
            </w:r>
          </w:p>
        </w:tc>
      </w:tr>
    </w:tbl>
    <w:p w14:paraId="15FE80B6" w14:textId="6CFC1534" w:rsidR="00674A3A" w:rsidRPr="00182AEF" w:rsidRDefault="00182AEF" w:rsidP="00182AEF">
      <w:pPr>
        <w:pStyle w:val="Heading4"/>
        <w:rPr>
          <w:rtl/>
        </w:rPr>
      </w:pPr>
      <w:r>
        <w:t>5.4.1.8</w:t>
      </w:r>
      <w:r w:rsidR="000A15A4">
        <w:rPr>
          <w:rtl/>
        </w:rPr>
        <w:tab/>
      </w:r>
      <w:r w:rsidR="00674A3A" w:rsidRPr="00182AEF">
        <w:rPr>
          <w:rtl/>
        </w:rPr>
        <w:t>الدليل البحري</w:t>
      </w:r>
    </w:p>
    <w:p w14:paraId="759CD5E4" w14:textId="01F454FC" w:rsidR="00816C27" w:rsidRDefault="00674A3A" w:rsidP="00674A3A">
      <w:pPr>
        <w:rPr>
          <w:rtl/>
        </w:rPr>
      </w:pPr>
      <w:r>
        <w:rPr>
          <w:rtl/>
        </w:rPr>
        <w:t xml:space="preserve">فيما يتعلق بمنشور الخدمة هذا، يوضح الجدول </w:t>
      </w:r>
      <w:r w:rsidR="00182AEF">
        <w:t>1-5.4.1.8</w:t>
      </w:r>
      <w:r>
        <w:rPr>
          <w:rtl/>
        </w:rPr>
        <w:t xml:space="preserve"> عدد عمليات التسليم </w:t>
      </w:r>
      <w:r w:rsidRPr="006636F3">
        <w:rPr>
          <w:rtl/>
        </w:rPr>
        <w:t xml:space="preserve">لطبعتي </w:t>
      </w:r>
      <w:r w:rsidR="006636F3" w:rsidRPr="006636F3">
        <w:rPr>
          <w:rtl/>
        </w:rPr>
        <w:t>الدليل البحري</w:t>
      </w:r>
      <w:r w:rsidR="006D2B56">
        <w:rPr>
          <w:rFonts w:hint="cs"/>
          <w:rtl/>
        </w:rPr>
        <w:t xml:space="preserve"> </w:t>
      </w:r>
      <w:r w:rsidR="006D2B56">
        <w:t>(MM)</w:t>
      </w:r>
      <w:r w:rsidR="006636F3" w:rsidRPr="006636F3">
        <w:rPr>
          <w:rtl/>
        </w:rPr>
        <w:t xml:space="preserve"> </w:t>
      </w:r>
      <w:r>
        <w:rPr>
          <w:rtl/>
        </w:rPr>
        <w:t>لعامي 2020 و2024. ونُشرت طبعة عام 2024 في ديسمبر 2024، وهي متاحة للشراء على أقراص مضغوطة (</w:t>
      </w:r>
      <w:r>
        <w:t>CD-ROM</w:t>
      </w:r>
      <w:r>
        <w:rPr>
          <w:rtl/>
        </w:rPr>
        <w:t xml:space="preserve">) أو مفاتيح </w:t>
      </w:r>
      <w:r>
        <w:t>USB</w:t>
      </w:r>
      <w:r>
        <w:rPr>
          <w:rtl/>
        </w:rPr>
        <w:t xml:space="preserve"> أو في نسخ رقمية أو ورقية.</w:t>
      </w:r>
    </w:p>
    <w:p w14:paraId="1205817A" w14:textId="18C29877" w:rsidR="00674A3A" w:rsidRDefault="00674A3A" w:rsidP="00182AEF">
      <w:pPr>
        <w:pStyle w:val="TableNo"/>
        <w:rPr>
          <w:rtl/>
        </w:rPr>
      </w:pPr>
      <w:r>
        <w:rPr>
          <w:rtl/>
        </w:rPr>
        <w:lastRenderedPageBreak/>
        <w:t xml:space="preserve">الجدول </w:t>
      </w:r>
      <w:r w:rsidR="00182AEF">
        <w:t>1-5.4.1.8</w:t>
      </w:r>
    </w:p>
    <w:p w14:paraId="7844F2B8" w14:textId="77777777" w:rsidR="00674A3A" w:rsidRDefault="00674A3A" w:rsidP="00182AEF">
      <w:pPr>
        <w:pStyle w:val="Tabletitle"/>
      </w:pPr>
      <w:r>
        <w:rPr>
          <w:rtl/>
        </w:rPr>
        <w:t>الدليل البحري</w:t>
      </w:r>
    </w:p>
    <w:tbl>
      <w:tblPr>
        <w:tblStyle w:val="GridTable5Dark-Accent1"/>
        <w:bidiVisual/>
        <w:tblW w:w="4990" w:type="pct"/>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2294"/>
        <w:gridCol w:w="1829"/>
        <w:gridCol w:w="1829"/>
        <w:gridCol w:w="1829"/>
        <w:gridCol w:w="1829"/>
      </w:tblGrid>
      <w:tr w:rsidR="00182AEF" w:rsidRPr="00A9218C" w14:paraId="4B57CCA2" w14:textId="77777777" w:rsidTr="00182AE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5" w:type="dxa"/>
          </w:tcPr>
          <w:p w14:paraId="49D1ADA2" w14:textId="77777777" w:rsidR="00182AEF" w:rsidRPr="00A9218C" w:rsidRDefault="00182AEF" w:rsidP="00433DCA">
            <w:pPr>
              <w:pStyle w:val="Tablehead"/>
              <w:rPr>
                <w:b/>
                <w:bCs/>
                <w:position w:val="2"/>
              </w:rPr>
            </w:pPr>
          </w:p>
        </w:tc>
        <w:tc>
          <w:tcPr>
            <w:tcW w:w="1831" w:type="dxa"/>
          </w:tcPr>
          <w:p w14:paraId="0BFEF44D" w14:textId="62E1AE76" w:rsidR="00182AEF" w:rsidRPr="00A9218C" w:rsidRDefault="00182AEF" w:rsidP="00693808">
            <w:pPr>
              <w:pStyle w:val="Tablehead"/>
              <w:jc w:val="left"/>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2022</w:t>
            </w:r>
            <w:r>
              <w:rPr>
                <w:b/>
                <w:bCs/>
                <w:position w:val="2"/>
              </w:rPr>
              <w:br/>
            </w:r>
            <w:r w:rsidRPr="00182AEF">
              <w:rPr>
                <w:b/>
                <w:bCs/>
                <w:position w:val="2"/>
                <w:rtl/>
              </w:rPr>
              <w:t>الدليل البحري لعام</w:t>
            </w:r>
            <w:r>
              <w:rPr>
                <w:rFonts w:hint="cs"/>
                <w:b/>
                <w:bCs/>
                <w:position w:val="2"/>
                <w:rtl/>
              </w:rPr>
              <w:t> </w:t>
            </w:r>
            <w:r w:rsidRPr="00182AEF">
              <w:rPr>
                <w:b/>
                <w:bCs/>
                <w:position w:val="2"/>
                <w:rtl/>
              </w:rPr>
              <w:t>2020</w:t>
            </w:r>
          </w:p>
        </w:tc>
        <w:tc>
          <w:tcPr>
            <w:tcW w:w="1831" w:type="dxa"/>
          </w:tcPr>
          <w:p w14:paraId="4EEED649" w14:textId="109571BD" w:rsidR="00182AEF" w:rsidRPr="00A9218C" w:rsidRDefault="00182AEF" w:rsidP="00693808">
            <w:pPr>
              <w:pStyle w:val="Tablehead"/>
              <w:jc w:val="left"/>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2023</w:t>
            </w:r>
            <w:r>
              <w:rPr>
                <w:b/>
                <w:bCs/>
                <w:position w:val="2"/>
              </w:rPr>
              <w:br/>
            </w:r>
            <w:r w:rsidRPr="00182AEF">
              <w:rPr>
                <w:b/>
                <w:bCs/>
                <w:position w:val="2"/>
                <w:rtl/>
              </w:rPr>
              <w:t>الدليل البحري لعام</w:t>
            </w:r>
            <w:r>
              <w:rPr>
                <w:rFonts w:hint="cs"/>
                <w:b/>
                <w:bCs/>
                <w:position w:val="2"/>
                <w:rtl/>
              </w:rPr>
              <w:t> </w:t>
            </w:r>
            <w:r w:rsidRPr="00182AEF">
              <w:rPr>
                <w:b/>
                <w:bCs/>
                <w:position w:val="2"/>
                <w:rtl/>
              </w:rPr>
              <w:t>2020</w:t>
            </w:r>
          </w:p>
        </w:tc>
        <w:tc>
          <w:tcPr>
            <w:tcW w:w="1831" w:type="dxa"/>
          </w:tcPr>
          <w:p w14:paraId="3B9F7DB8" w14:textId="0BECBC0A" w:rsidR="00182AEF" w:rsidRPr="00A9218C" w:rsidRDefault="00182AEF" w:rsidP="00693808">
            <w:pPr>
              <w:pStyle w:val="Tablehead"/>
              <w:jc w:val="left"/>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2024</w:t>
            </w:r>
            <w:r>
              <w:rPr>
                <w:b/>
                <w:bCs/>
                <w:position w:val="2"/>
                <w:lang w:bidi="ar-SA"/>
              </w:rPr>
              <w:br/>
            </w:r>
            <w:r w:rsidRPr="00182AEF">
              <w:rPr>
                <w:b/>
                <w:bCs/>
                <w:position w:val="2"/>
                <w:rtl/>
              </w:rPr>
              <w:t>الدليل البحري لعامي</w:t>
            </w:r>
            <w:r w:rsidR="00EF48D8">
              <w:rPr>
                <w:rFonts w:hint="eastAsia"/>
                <w:b/>
                <w:bCs/>
                <w:position w:val="2"/>
                <w:rtl/>
                <w:lang w:bidi="ar-SA"/>
              </w:rPr>
              <w:t> </w:t>
            </w:r>
            <w:r w:rsidRPr="00182AEF">
              <w:rPr>
                <w:b/>
                <w:bCs/>
                <w:position w:val="2"/>
                <w:rtl/>
              </w:rPr>
              <w:t>2020 و2024</w:t>
            </w:r>
          </w:p>
        </w:tc>
        <w:tc>
          <w:tcPr>
            <w:tcW w:w="1831" w:type="dxa"/>
          </w:tcPr>
          <w:p w14:paraId="70A6D575" w14:textId="3ECA1ECF" w:rsidR="00182AEF" w:rsidRPr="00A9218C" w:rsidRDefault="00182AEF" w:rsidP="00693808">
            <w:pPr>
              <w:pStyle w:val="Tablehead"/>
              <w:jc w:val="left"/>
              <w:cnfStyle w:val="100000000000" w:firstRow="1" w:lastRow="0" w:firstColumn="0" w:lastColumn="0" w:oddVBand="0" w:evenVBand="0" w:oddHBand="0" w:evenHBand="0" w:firstRowFirstColumn="0" w:firstRowLastColumn="0" w:lastRowFirstColumn="0" w:lastRowLastColumn="0"/>
              <w:rPr>
                <w:b/>
                <w:bCs/>
                <w:position w:val="2"/>
                <w:lang w:bidi="ar-SA"/>
              </w:rPr>
            </w:pPr>
            <w:r w:rsidRPr="00A9218C">
              <w:rPr>
                <w:b/>
                <w:bCs/>
                <w:position w:val="2"/>
                <w:rtl/>
              </w:rPr>
              <w:t>2025</w:t>
            </w:r>
            <w:r>
              <w:rPr>
                <w:b/>
                <w:bCs/>
                <w:position w:val="2"/>
                <w:lang w:bidi="ar-SA"/>
              </w:rPr>
              <w:br/>
            </w:r>
            <w:r w:rsidRPr="00182AEF">
              <w:rPr>
                <w:b/>
                <w:bCs/>
                <w:position w:val="2"/>
                <w:rtl/>
              </w:rPr>
              <w:t>الدليل البحري لعام</w:t>
            </w:r>
            <w:r>
              <w:rPr>
                <w:rFonts w:hint="eastAsia"/>
                <w:b/>
                <w:bCs/>
                <w:position w:val="2"/>
                <w:rtl/>
                <w:lang w:bidi="ar-SA"/>
              </w:rPr>
              <w:t> </w:t>
            </w:r>
            <w:r w:rsidRPr="00182AEF">
              <w:rPr>
                <w:b/>
                <w:bCs/>
                <w:position w:val="2"/>
                <w:rtl/>
              </w:rPr>
              <w:t>2024</w:t>
            </w:r>
          </w:p>
        </w:tc>
      </w:tr>
      <w:tr w:rsidR="00182AEF" w:rsidRPr="00A9218C" w14:paraId="7D0A9932" w14:textId="77777777" w:rsidTr="00182AE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5" w:type="dxa"/>
          </w:tcPr>
          <w:p w14:paraId="025248AF" w14:textId="77777777" w:rsidR="00182AEF" w:rsidRPr="00A9218C" w:rsidRDefault="00182AEF" w:rsidP="00433DCA">
            <w:pPr>
              <w:pStyle w:val="Tablehead"/>
              <w:jc w:val="both"/>
              <w:rPr>
                <w:b/>
                <w:bCs/>
                <w:position w:val="2"/>
                <w:lang w:bidi="ar-SA"/>
              </w:rPr>
            </w:pPr>
            <w:r w:rsidRPr="00A9218C">
              <w:rPr>
                <w:b/>
                <w:bCs/>
                <w:position w:val="2"/>
                <w:rtl/>
              </w:rPr>
              <w:t>النسخ الورقية المبيعة</w:t>
            </w:r>
          </w:p>
        </w:tc>
        <w:tc>
          <w:tcPr>
            <w:tcW w:w="1831" w:type="dxa"/>
          </w:tcPr>
          <w:p w14:paraId="29BB0F48" w14:textId="3C7DCC93"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Pr>
            </w:pPr>
            <w:r>
              <w:rPr>
                <w:position w:val="2"/>
              </w:rPr>
              <w:t>189</w:t>
            </w:r>
          </w:p>
        </w:tc>
        <w:tc>
          <w:tcPr>
            <w:tcW w:w="1831" w:type="dxa"/>
          </w:tcPr>
          <w:p w14:paraId="08460F5C" w14:textId="3854EE73"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Pr>
            </w:pPr>
            <w:r>
              <w:rPr>
                <w:position w:val="2"/>
              </w:rPr>
              <w:t>73</w:t>
            </w:r>
          </w:p>
        </w:tc>
        <w:tc>
          <w:tcPr>
            <w:tcW w:w="1831" w:type="dxa"/>
          </w:tcPr>
          <w:p w14:paraId="02C7EA82" w14:textId="3545258F"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2020</w:t>
            </w:r>
            <w:r>
              <w:rPr>
                <w:rFonts w:hint="cs"/>
                <w:position w:val="2"/>
                <w:rtl/>
              </w:rPr>
              <w:t xml:space="preserve">: </w:t>
            </w:r>
            <w:r w:rsidR="00003DE9">
              <w:rPr>
                <w:position w:val="2"/>
              </w:rPr>
              <w:t>64</w:t>
            </w:r>
          </w:p>
          <w:p w14:paraId="4A7C258A" w14:textId="63028246"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2024</w:t>
            </w:r>
            <w:r>
              <w:rPr>
                <w:position w:val="2"/>
                <w:rtl/>
              </w:rPr>
              <w:t xml:space="preserve">: </w:t>
            </w:r>
            <w:r w:rsidR="00003DE9">
              <w:rPr>
                <w:position w:val="2"/>
              </w:rPr>
              <w:t>148</w:t>
            </w:r>
          </w:p>
          <w:p w14:paraId="17B8EE56" w14:textId="7C041C0C"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المجموع</w:t>
            </w:r>
            <w:r>
              <w:rPr>
                <w:position w:val="2"/>
                <w:rtl/>
              </w:rPr>
              <w:t xml:space="preserve">: </w:t>
            </w:r>
            <w:r w:rsidR="00003DE9">
              <w:rPr>
                <w:position w:val="2"/>
              </w:rPr>
              <w:t>212</w:t>
            </w:r>
          </w:p>
        </w:tc>
        <w:tc>
          <w:tcPr>
            <w:tcW w:w="1831" w:type="dxa"/>
          </w:tcPr>
          <w:p w14:paraId="2C9C237F" w14:textId="3EBECC96"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Pr>
            </w:pPr>
            <w:r>
              <w:rPr>
                <w:position w:val="2"/>
              </w:rPr>
              <w:t>519</w:t>
            </w:r>
          </w:p>
        </w:tc>
      </w:tr>
      <w:tr w:rsidR="00182AEF" w:rsidRPr="00A9218C" w14:paraId="3BDD5B33" w14:textId="77777777" w:rsidTr="00182AEF">
        <w:trPr>
          <w:trHeight w:val="300"/>
          <w:jc w:val="center"/>
        </w:trPr>
        <w:tc>
          <w:tcPr>
            <w:cnfStyle w:val="001000000000" w:firstRow="0" w:lastRow="0" w:firstColumn="1" w:lastColumn="0" w:oddVBand="0" w:evenVBand="0" w:oddHBand="0" w:evenHBand="0" w:firstRowFirstColumn="0" w:firstRowLastColumn="0" w:lastRowFirstColumn="0" w:lastRowLastColumn="0"/>
            <w:tcW w:w="2295" w:type="dxa"/>
          </w:tcPr>
          <w:p w14:paraId="1AA4201B" w14:textId="6B47525C" w:rsidR="00182AEF" w:rsidRPr="00A9218C" w:rsidRDefault="00182AEF" w:rsidP="00433DCA">
            <w:pPr>
              <w:pStyle w:val="Tablehead"/>
              <w:jc w:val="both"/>
              <w:rPr>
                <w:b/>
                <w:bCs/>
                <w:position w:val="2"/>
                <w:lang w:bidi="ar-SA"/>
              </w:rPr>
            </w:pPr>
            <w:r w:rsidRPr="00182AEF">
              <w:rPr>
                <w:b/>
                <w:bCs/>
                <w:position w:val="2"/>
                <w:rtl/>
              </w:rPr>
              <w:t xml:space="preserve">أقراص </w:t>
            </w:r>
            <w:r w:rsidRPr="00182AEF">
              <w:rPr>
                <w:b/>
                <w:bCs/>
                <w:position w:val="2"/>
              </w:rPr>
              <w:t>CD-ROM</w:t>
            </w:r>
            <w:r w:rsidRPr="00182AEF">
              <w:rPr>
                <w:b/>
                <w:bCs/>
                <w:position w:val="2"/>
                <w:rtl/>
              </w:rPr>
              <w:t xml:space="preserve"> المبيعة</w:t>
            </w:r>
          </w:p>
        </w:tc>
        <w:tc>
          <w:tcPr>
            <w:tcW w:w="1831" w:type="dxa"/>
          </w:tcPr>
          <w:p w14:paraId="257078E9" w14:textId="4BBFF2E3" w:rsidR="00182AEF" w:rsidRPr="00A9218C" w:rsidRDefault="00182AEF" w:rsidP="00433DCA">
            <w:pPr>
              <w:pStyle w:val="Tabletext"/>
              <w:cnfStyle w:val="000000000000" w:firstRow="0" w:lastRow="0" w:firstColumn="0" w:lastColumn="0" w:oddVBand="0" w:evenVBand="0" w:oddHBand="0" w:evenHBand="0" w:firstRowFirstColumn="0" w:firstRowLastColumn="0" w:lastRowFirstColumn="0" w:lastRowLastColumn="0"/>
              <w:rPr>
                <w:position w:val="2"/>
              </w:rPr>
            </w:pPr>
            <w:r>
              <w:rPr>
                <w:position w:val="2"/>
              </w:rPr>
              <w:t>5 637</w:t>
            </w:r>
          </w:p>
        </w:tc>
        <w:tc>
          <w:tcPr>
            <w:tcW w:w="1831" w:type="dxa"/>
          </w:tcPr>
          <w:p w14:paraId="66DB58F6" w14:textId="3BA31317" w:rsidR="00182AEF" w:rsidRPr="00A9218C" w:rsidRDefault="00182AEF" w:rsidP="00433DCA">
            <w:pPr>
              <w:pStyle w:val="Tabletext"/>
              <w:cnfStyle w:val="000000000000" w:firstRow="0" w:lastRow="0" w:firstColumn="0" w:lastColumn="0" w:oddVBand="0" w:evenVBand="0" w:oddHBand="0" w:evenHBand="0" w:firstRowFirstColumn="0" w:firstRowLastColumn="0" w:lastRowFirstColumn="0" w:lastRowLastColumn="0"/>
              <w:rPr>
                <w:position w:val="2"/>
              </w:rPr>
            </w:pPr>
            <w:r>
              <w:rPr>
                <w:position w:val="2"/>
              </w:rPr>
              <w:t>3 363</w:t>
            </w:r>
          </w:p>
        </w:tc>
        <w:tc>
          <w:tcPr>
            <w:tcW w:w="1831" w:type="dxa"/>
          </w:tcPr>
          <w:p w14:paraId="07F0B8CD" w14:textId="4DF27ACB" w:rsidR="00182AEF" w:rsidRPr="00A9218C" w:rsidRDefault="00182AEF" w:rsidP="00433DCA">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2020</w:t>
            </w:r>
            <w:r>
              <w:rPr>
                <w:position w:val="2"/>
                <w:rtl/>
              </w:rPr>
              <w:t xml:space="preserve">: </w:t>
            </w:r>
            <w:r w:rsidR="00003DE9">
              <w:rPr>
                <w:position w:val="2"/>
              </w:rPr>
              <w:t>2 771</w:t>
            </w:r>
          </w:p>
          <w:p w14:paraId="38EE455F" w14:textId="1082A0AF" w:rsidR="00182AEF" w:rsidRPr="00A9218C" w:rsidRDefault="00182AEF" w:rsidP="00433DCA">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2024</w:t>
            </w:r>
            <w:r>
              <w:rPr>
                <w:position w:val="2"/>
                <w:rtl/>
              </w:rPr>
              <w:t xml:space="preserve">: </w:t>
            </w:r>
            <w:r w:rsidR="00003DE9">
              <w:rPr>
                <w:position w:val="2"/>
              </w:rPr>
              <w:t>10 166</w:t>
            </w:r>
          </w:p>
          <w:p w14:paraId="27E8307E" w14:textId="5B932874" w:rsidR="00182AEF" w:rsidRPr="00A9218C" w:rsidRDefault="00182AEF" w:rsidP="00433DCA">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المجموع</w:t>
            </w:r>
            <w:r>
              <w:rPr>
                <w:position w:val="2"/>
                <w:rtl/>
              </w:rPr>
              <w:t xml:space="preserve">: </w:t>
            </w:r>
            <w:r w:rsidR="00003DE9">
              <w:rPr>
                <w:position w:val="2"/>
              </w:rPr>
              <w:t>12 937</w:t>
            </w:r>
          </w:p>
        </w:tc>
        <w:tc>
          <w:tcPr>
            <w:tcW w:w="1831" w:type="dxa"/>
          </w:tcPr>
          <w:p w14:paraId="11992998" w14:textId="4AF976E7" w:rsidR="00182AEF" w:rsidRPr="00A9218C" w:rsidRDefault="00182AEF" w:rsidP="00433DCA">
            <w:pPr>
              <w:pStyle w:val="Tabletext"/>
              <w:cnfStyle w:val="000000000000" w:firstRow="0" w:lastRow="0" w:firstColumn="0" w:lastColumn="0" w:oddVBand="0" w:evenVBand="0" w:oddHBand="0" w:evenHBand="0" w:firstRowFirstColumn="0" w:firstRowLastColumn="0" w:lastRowFirstColumn="0" w:lastRowLastColumn="0"/>
              <w:rPr>
                <w:position w:val="2"/>
              </w:rPr>
            </w:pPr>
            <w:r>
              <w:rPr>
                <w:position w:val="2"/>
              </w:rPr>
              <w:t>18 132</w:t>
            </w:r>
          </w:p>
        </w:tc>
      </w:tr>
      <w:tr w:rsidR="00182AEF" w:rsidRPr="00A9218C" w14:paraId="7D90BFCB" w14:textId="77777777" w:rsidTr="00182AE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95" w:type="dxa"/>
          </w:tcPr>
          <w:p w14:paraId="36008919" w14:textId="77777777" w:rsidR="00182AEF" w:rsidRPr="00A9218C" w:rsidRDefault="00182AEF" w:rsidP="00433DCA">
            <w:pPr>
              <w:pStyle w:val="Tablehead"/>
              <w:jc w:val="both"/>
              <w:rPr>
                <w:b/>
                <w:bCs/>
                <w:spacing w:val="-4"/>
                <w:position w:val="2"/>
                <w:lang w:bidi="ar-SA"/>
              </w:rPr>
            </w:pPr>
            <w:r w:rsidRPr="00A9218C">
              <w:rPr>
                <w:b/>
                <w:bCs/>
                <w:position w:val="2"/>
                <w:rtl/>
              </w:rPr>
              <w:t xml:space="preserve">مفاتيح </w:t>
            </w:r>
            <w:r w:rsidRPr="00A9218C">
              <w:rPr>
                <w:b/>
                <w:bCs/>
                <w:position w:val="2"/>
              </w:rPr>
              <w:t>USB</w:t>
            </w:r>
            <w:r w:rsidRPr="00A9218C">
              <w:rPr>
                <w:b/>
                <w:bCs/>
                <w:position w:val="2"/>
                <w:rtl/>
              </w:rPr>
              <w:t xml:space="preserve"> المبيعة</w:t>
            </w:r>
          </w:p>
        </w:tc>
        <w:tc>
          <w:tcPr>
            <w:tcW w:w="1831" w:type="dxa"/>
          </w:tcPr>
          <w:p w14:paraId="4D984831" w14:textId="63A5A88D"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Pr>
            </w:pPr>
            <w:r>
              <w:rPr>
                <w:position w:val="2"/>
              </w:rPr>
              <w:t>-</w:t>
            </w:r>
          </w:p>
        </w:tc>
        <w:tc>
          <w:tcPr>
            <w:tcW w:w="1831" w:type="dxa"/>
          </w:tcPr>
          <w:p w14:paraId="66165DE9" w14:textId="77777777"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Pr>
            </w:pPr>
            <w:r w:rsidRPr="00A9218C">
              <w:rPr>
                <w:position w:val="2"/>
              </w:rPr>
              <w:t>-</w:t>
            </w:r>
          </w:p>
        </w:tc>
        <w:tc>
          <w:tcPr>
            <w:tcW w:w="1831" w:type="dxa"/>
          </w:tcPr>
          <w:p w14:paraId="031D92E2" w14:textId="77777777"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2020</w:t>
            </w:r>
            <w:r>
              <w:rPr>
                <w:position w:val="2"/>
                <w:rtl/>
              </w:rPr>
              <w:t xml:space="preserve">: </w:t>
            </w:r>
            <w:r w:rsidRPr="00A9218C">
              <w:rPr>
                <w:position w:val="2"/>
                <w:rtl/>
              </w:rPr>
              <w:t>-</w:t>
            </w:r>
          </w:p>
          <w:p w14:paraId="20989669" w14:textId="338564C4"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2024</w:t>
            </w:r>
            <w:r>
              <w:rPr>
                <w:position w:val="2"/>
                <w:rtl/>
              </w:rPr>
              <w:t xml:space="preserve">: </w:t>
            </w:r>
            <w:r w:rsidR="00003DE9">
              <w:rPr>
                <w:position w:val="2"/>
              </w:rPr>
              <w:t>440</w:t>
            </w:r>
          </w:p>
          <w:p w14:paraId="18CEF75E" w14:textId="482FA835"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tl/>
              </w:rPr>
            </w:pPr>
            <w:r w:rsidRPr="00A9218C">
              <w:rPr>
                <w:position w:val="2"/>
                <w:rtl/>
              </w:rPr>
              <w:t>المجموع</w:t>
            </w:r>
            <w:r>
              <w:rPr>
                <w:position w:val="2"/>
                <w:rtl/>
              </w:rPr>
              <w:t xml:space="preserve">: </w:t>
            </w:r>
            <w:r w:rsidR="00003DE9">
              <w:rPr>
                <w:position w:val="2"/>
              </w:rPr>
              <w:t>440</w:t>
            </w:r>
          </w:p>
        </w:tc>
        <w:tc>
          <w:tcPr>
            <w:tcW w:w="1831" w:type="dxa"/>
          </w:tcPr>
          <w:p w14:paraId="56F484A0" w14:textId="612DE58E" w:rsidR="00182AEF" w:rsidRPr="00A9218C" w:rsidRDefault="00182AEF" w:rsidP="00433DCA">
            <w:pPr>
              <w:pStyle w:val="Tabletext"/>
              <w:cnfStyle w:val="000000100000" w:firstRow="0" w:lastRow="0" w:firstColumn="0" w:lastColumn="0" w:oddVBand="0" w:evenVBand="0" w:oddHBand="1" w:evenHBand="0" w:firstRowFirstColumn="0" w:firstRowLastColumn="0" w:lastRowFirstColumn="0" w:lastRowLastColumn="0"/>
              <w:rPr>
                <w:position w:val="2"/>
              </w:rPr>
            </w:pPr>
            <w:r>
              <w:rPr>
                <w:position w:val="2"/>
              </w:rPr>
              <w:t>3 348</w:t>
            </w:r>
          </w:p>
        </w:tc>
      </w:tr>
      <w:tr w:rsidR="00182AEF" w:rsidRPr="00A9218C" w14:paraId="1836D6F5" w14:textId="77777777" w:rsidTr="00182AEF">
        <w:trPr>
          <w:trHeight w:val="300"/>
          <w:jc w:val="center"/>
        </w:trPr>
        <w:tc>
          <w:tcPr>
            <w:cnfStyle w:val="001000000000" w:firstRow="0" w:lastRow="0" w:firstColumn="1" w:lastColumn="0" w:oddVBand="0" w:evenVBand="0" w:oddHBand="0" w:evenHBand="0" w:firstRowFirstColumn="0" w:firstRowLastColumn="0" w:lastRowFirstColumn="0" w:lastRowLastColumn="0"/>
            <w:tcW w:w="2295" w:type="dxa"/>
          </w:tcPr>
          <w:p w14:paraId="351ACE80" w14:textId="029ED0BF" w:rsidR="00182AEF" w:rsidRPr="00A9218C" w:rsidRDefault="00182AEF" w:rsidP="00182AEF">
            <w:pPr>
              <w:pStyle w:val="Tablehead"/>
              <w:jc w:val="both"/>
              <w:rPr>
                <w:b/>
                <w:bCs/>
                <w:spacing w:val="-4"/>
                <w:position w:val="2"/>
                <w:lang w:bidi="ar-SA"/>
              </w:rPr>
            </w:pPr>
            <w:r w:rsidRPr="00182AEF">
              <w:rPr>
                <w:b/>
                <w:bCs/>
                <w:position w:val="2"/>
                <w:rtl/>
              </w:rPr>
              <w:t>نسخة رقمية</w:t>
            </w:r>
          </w:p>
        </w:tc>
        <w:tc>
          <w:tcPr>
            <w:tcW w:w="1831" w:type="dxa"/>
          </w:tcPr>
          <w:p w14:paraId="6070D2CC" w14:textId="2CBFF207" w:rsidR="00182AEF" w:rsidRPr="00A9218C" w:rsidRDefault="00182AEF" w:rsidP="00182AEF">
            <w:pPr>
              <w:pStyle w:val="Tabletext"/>
              <w:cnfStyle w:val="000000000000" w:firstRow="0" w:lastRow="0" w:firstColumn="0" w:lastColumn="0" w:oddVBand="0" w:evenVBand="0" w:oddHBand="0" w:evenHBand="0" w:firstRowFirstColumn="0" w:firstRowLastColumn="0" w:lastRowFirstColumn="0" w:lastRowLastColumn="0"/>
              <w:rPr>
                <w:position w:val="2"/>
              </w:rPr>
            </w:pPr>
            <w:r>
              <w:rPr>
                <w:position w:val="2"/>
              </w:rPr>
              <w:t>-</w:t>
            </w:r>
          </w:p>
        </w:tc>
        <w:tc>
          <w:tcPr>
            <w:tcW w:w="1831" w:type="dxa"/>
          </w:tcPr>
          <w:p w14:paraId="6353D531" w14:textId="16D2E3F3" w:rsidR="00182AEF" w:rsidRPr="00A9218C" w:rsidRDefault="00182AEF" w:rsidP="00182AEF">
            <w:pPr>
              <w:pStyle w:val="Tabletext"/>
              <w:cnfStyle w:val="000000000000" w:firstRow="0" w:lastRow="0" w:firstColumn="0" w:lastColumn="0" w:oddVBand="0" w:evenVBand="0" w:oddHBand="0" w:evenHBand="0" w:firstRowFirstColumn="0" w:firstRowLastColumn="0" w:lastRowFirstColumn="0" w:lastRowLastColumn="0"/>
              <w:rPr>
                <w:position w:val="2"/>
              </w:rPr>
            </w:pPr>
            <w:r w:rsidRPr="00A9218C">
              <w:rPr>
                <w:position w:val="2"/>
              </w:rPr>
              <w:t>-</w:t>
            </w:r>
          </w:p>
        </w:tc>
        <w:tc>
          <w:tcPr>
            <w:tcW w:w="1831" w:type="dxa"/>
          </w:tcPr>
          <w:p w14:paraId="2226A706" w14:textId="3B361CC6" w:rsidR="00182AEF" w:rsidRPr="00A9218C" w:rsidRDefault="00182AEF" w:rsidP="00182AEF">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2020</w:t>
            </w:r>
            <w:r>
              <w:rPr>
                <w:position w:val="2"/>
                <w:rtl/>
              </w:rPr>
              <w:t xml:space="preserve">: </w:t>
            </w:r>
            <w:r w:rsidR="00003DE9">
              <w:rPr>
                <w:position w:val="2"/>
              </w:rPr>
              <w:t>-</w:t>
            </w:r>
          </w:p>
          <w:p w14:paraId="3FE24C13" w14:textId="01120276" w:rsidR="00182AEF" w:rsidRPr="00A9218C" w:rsidRDefault="00182AEF" w:rsidP="00182AEF">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2024</w:t>
            </w:r>
            <w:r>
              <w:rPr>
                <w:position w:val="2"/>
                <w:rtl/>
              </w:rPr>
              <w:t xml:space="preserve">: </w:t>
            </w:r>
            <w:r w:rsidR="00003DE9">
              <w:rPr>
                <w:position w:val="2"/>
              </w:rPr>
              <w:t>277</w:t>
            </w:r>
          </w:p>
          <w:p w14:paraId="678D45E6" w14:textId="09489386" w:rsidR="00182AEF" w:rsidRPr="00A9218C" w:rsidRDefault="00182AEF" w:rsidP="00182AEF">
            <w:pPr>
              <w:pStyle w:val="Tabletext"/>
              <w:cnfStyle w:val="000000000000" w:firstRow="0" w:lastRow="0" w:firstColumn="0" w:lastColumn="0" w:oddVBand="0" w:evenVBand="0" w:oddHBand="0" w:evenHBand="0" w:firstRowFirstColumn="0" w:firstRowLastColumn="0" w:lastRowFirstColumn="0" w:lastRowLastColumn="0"/>
              <w:rPr>
                <w:position w:val="2"/>
                <w:rtl/>
              </w:rPr>
            </w:pPr>
            <w:r w:rsidRPr="00A9218C">
              <w:rPr>
                <w:position w:val="2"/>
                <w:rtl/>
              </w:rPr>
              <w:t>المجموع</w:t>
            </w:r>
            <w:r>
              <w:rPr>
                <w:position w:val="2"/>
                <w:rtl/>
              </w:rPr>
              <w:t xml:space="preserve">: </w:t>
            </w:r>
            <w:r w:rsidR="00003DE9">
              <w:rPr>
                <w:position w:val="2"/>
              </w:rPr>
              <w:t>277</w:t>
            </w:r>
          </w:p>
        </w:tc>
        <w:tc>
          <w:tcPr>
            <w:tcW w:w="1831" w:type="dxa"/>
          </w:tcPr>
          <w:p w14:paraId="31BF6FF5" w14:textId="105CE65A" w:rsidR="00182AEF" w:rsidRPr="00A9218C" w:rsidRDefault="00182AEF" w:rsidP="00182AEF">
            <w:pPr>
              <w:pStyle w:val="Tabletext"/>
              <w:cnfStyle w:val="000000000000" w:firstRow="0" w:lastRow="0" w:firstColumn="0" w:lastColumn="0" w:oddVBand="0" w:evenVBand="0" w:oddHBand="0" w:evenHBand="0" w:firstRowFirstColumn="0" w:firstRowLastColumn="0" w:lastRowFirstColumn="0" w:lastRowLastColumn="0"/>
              <w:rPr>
                <w:position w:val="2"/>
              </w:rPr>
            </w:pPr>
            <w:r>
              <w:rPr>
                <w:position w:val="2"/>
              </w:rPr>
              <w:t>4 232</w:t>
            </w:r>
          </w:p>
        </w:tc>
      </w:tr>
    </w:tbl>
    <w:p w14:paraId="3AA07A61" w14:textId="0A837ED0" w:rsidR="00674A3A" w:rsidRDefault="00EF48D8" w:rsidP="00EF48D8">
      <w:pPr>
        <w:pStyle w:val="Heading2"/>
        <w:rPr>
          <w:rtl/>
        </w:rPr>
      </w:pPr>
      <w:bookmarkStart w:id="47" w:name="_Toc223961998"/>
      <w:r>
        <w:t>2.8</w:t>
      </w:r>
      <w:r w:rsidR="00674A3A">
        <w:rPr>
          <w:rtl/>
        </w:rPr>
        <w:tab/>
        <w:t>الحلقات الدراسية وورش العمل والأحداث الأخرى</w:t>
      </w:r>
      <w:bookmarkEnd w:id="47"/>
    </w:p>
    <w:p w14:paraId="3983A74B" w14:textId="31664A85" w:rsidR="00674A3A" w:rsidRPr="00EF48D8" w:rsidRDefault="00674A3A" w:rsidP="00674A3A">
      <w:pPr>
        <w:rPr>
          <w:spacing w:val="2"/>
          <w:rtl/>
        </w:rPr>
      </w:pPr>
      <w:r w:rsidRPr="00EF48D8">
        <w:rPr>
          <w:spacing w:val="2"/>
          <w:rtl/>
        </w:rPr>
        <w:t>بدأت دورة جديدة من الحلقات الدراسية العالمية/الإقليمية للاتصالات الراديوية (</w:t>
      </w:r>
      <w:r w:rsidRPr="00EF48D8">
        <w:rPr>
          <w:spacing w:val="2"/>
        </w:rPr>
        <w:t>WRS/RRS</w:t>
      </w:r>
      <w:r w:rsidRPr="00EF48D8">
        <w:rPr>
          <w:spacing w:val="2"/>
          <w:rtl/>
        </w:rPr>
        <w:t>) في الفترة الانتقالية بين المؤتمرات العالمية للاتصالات الراديوية (</w:t>
      </w:r>
      <w:r w:rsidRPr="00EF48D8">
        <w:rPr>
          <w:spacing w:val="2"/>
        </w:rPr>
        <w:t>WRC</w:t>
      </w:r>
      <w:r w:rsidRPr="00EF48D8">
        <w:rPr>
          <w:spacing w:val="2"/>
          <w:rtl/>
        </w:rPr>
        <w:t>): الحلقات الدراسية العالمية/الإقليمية للاتصالات الراديوية (</w:t>
      </w:r>
      <w:r w:rsidRPr="00EF48D8">
        <w:rPr>
          <w:spacing w:val="2"/>
        </w:rPr>
        <w:t>WRS/RRS</w:t>
      </w:r>
      <w:r w:rsidRPr="00EF48D8">
        <w:rPr>
          <w:spacing w:val="2"/>
          <w:rtl/>
        </w:rPr>
        <w:t>) للفترة</w:t>
      </w:r>
      <w:r w:rsidR="00EF48D8" w:rsidRPr="00EF48D8">
        <w:rPr>
          <w:rFonts w:hint="cs"/>
          <w:spacing w:val="2"/>
          <w:rtl/>
        </w:rPr>
        <w:t xml:space="preserve"> </w:t>
      </w:r>
      <w:r w:rsidR="00EF48D8" w:rsidRPr="00EF48D8">
        <w:rPr>
          <w:spacing w:val="2"/>
        </w:rPr>
        <w:t>2027-2024</w:t>
      </w:r>
      <w:r w:rsidRPr="00EF48D8">
        <w:rPr>
          <w:spacing w:val="2"/>
          <w:rtl/>
        </w:rPr>
        <w:t xml:space="preserve">. وتهدف هذه الحلقات الدراسية إلى نشر التحديثات على الصعيد العالمي الواردة في طبعة عام 2024 من لوائح الراديو (مع القرارات التي اتخذها المؤتمر </w:t>
      </w:r>
      <w:r w:rsidRPr="00EF48D8">
        <w:rPr>
          <w:spacing w:val="2"/>
        </w:rPr>
        <w:t>WRC-23</w:t>
      </w:r>
      <w:r w:rsidRPr="00EF48D8">
        <w:rPr>
          <w:spacing w:val="2"/>
          <w:rtl/>
        </w:rPr>
        <w:t>) إلى جانب القواعد الإجرائية المرتبطة بها (</w:t>
      </w:r>
      <w:r w:rsidRPr="00EF48D8">
        <w:rPr>
          <w:spacing w:val="2"/>
        </w:rPr>
        <w:t>RoP</w:t>
      </w:r>
      <w:r w:rsidRPr="00EF48D8">
        <w:rPr>
          <w:spacing w:val="2"/>
          <w:rtl/>
        </w:rPr>
        <w:t>)، والتحديثات المتعلقة بمنشورات قطاع الاتصالات الراديوية (التوصيات والتقارير والكتيبات).</w:t>
      </w:r>
      <w:r w:rsidRPr="00EF48D8">
        <w:rPr>
          <w:spacing w:val="2"/>
          <w:cs/>
        </w:rPr>
        <w:t>‎</w:t>
      </w:r>
      <w:r w:rsidRPr="00EF48D8">
        <w:rPr>
          <w:spacing w:val="2"/>
          <w:rtl/>
        </w:rPr>
        <w:t xml:space="preserve"> وتشمل دورة الحلقة الدراسية العالمية/الإقليمية للاتصالات الراديوية (</w:t>
      </w:r>
      <w:r w:rsidRPr="00EF48D8">
        <w:rPr>
          <w:spacing w:val="2"/>
        </w:rPr>
        <w:t>WRS/RRS</w:t>
      </w:r>
      <w:r w:rsidRPr="00EF48D8">
        <w:rPr>
          <w:spacing w:val="2"/>
          <w:rtl/>
        </w:rPr>
        <w:t xml:space="preserve">) للفترة </w:t>
      </w:r>
      <w:r w:rsidR="008529EB" w:rsidRPr="00EF48D8">
        <w:rPr>
          <w:spacing w:val="2"/>
        </w:rPr>
        <w:t>2027-2024</w:t>
      </w:r>
      <w:r w:rsidRPr="00EF48D8">
        <w:rPr>
          <w:spacing w:val="2"/>
          <w:rtl/>
        </w:rPr>
        <w:t xml:space="preserve"> حلقتين دراسيتين عالميتين للاتصالات الراديوية</w:t>
      </w:r>
      <w:r w:rsidR="00D53FD1">
        <w:rPr>
          <w:rFonts w:hint="cs"/>
          <w:spacing w:val="2"/>
          <w:rtl/>
        </w:rPr>
        <w:t> </w:t>
      </w:r>
      <w:r w:rsidRPr="00EF48D8">
        <w:rPr>
          <w:spacing w:val="2"/>
          <w:rtl/>
        </w:rPr>
        <w:t>(</w:t>
      </w:r>
      <w:r w:rsidRPr="00EF48D8">
        <w:rPr>
          <w:spacing w:val="2"/>
        </w:rPr>
        <w:t>WRS</w:t>
      </w:r>
      <w:r w:rsidRPr="00EF48D8">
        <w:rPr>
          <w:spacing w:val="2"/>
          <w:rtl/>
        </w:rPr>
        <w:t>)، تكملهما إحدى عشرة حلقة دراسية إقليمية للاتصالات الراديوية (</w:t>
      </w:r>
      <w:r w:rsidRPr="00EF48D8">
        <w:rPr>
          <w:spacing w:val="2"/>
        </w:rPr>
        <w:t>RRS</w:t>
      </w:r>
      <w:r w:rsidRPr="00EF48D8">
        <w:rPr>
          <w:spacing w:val="2"/>
          <w:rtl/>
        </w:rPr>
        <w:t>).</w:t>
      </w:r>
    </w:p>
    <w:p w14:paraId="0AB5A9BD" w14:textId="6D94B929" w:rsidR="00674A3A" w:rsidRDefault="00674A3A" w:rsidP="00EF48D8">
      <w:pPr>
        <w:pStyle w:val="TableNo"/>
        <w:rPr>
          <w:rtl/>
        </w:rPr>
      </w:pPr>
      <w:r>
        <w:rPr>
          <w:rtl/>
        </w:rPr>
        <w:t xml:space="preserve">الجدول </w:t>
      </w:r>
      <w:r w:rsidR="00EF48D8">
        <w:t>1-2.8</w:t>
      </w:r>
    </w:p>
    <w:p w14:paraId="763D61B1" w14:textId="6876D214" w:rsidR="00674A3A" w:rsidRDefault="00674A3A" w:rsidP="00EF48D8">
      <w:pPr>
        <w:pStyle w:val="Tabletitle"/>
        <w:rPr>
          <w:rtl/>
        </w:rPr>
      </w:pPr>
      <w:r>
        <w:rPr>
          <w:rtl/>
        </w:rPr>
        <w:t>دورة الحلقة الدراسية العالمية/الإقليمية للاتصالات الراديوية (</w:t>
      </w:r>
      <w:r>
        <w:t>WRS/RRS</w:t>
      </w:r>
      <w:r>
        <w:rPr>
          <w:rtl/>
        </w:rPr>
        <w:t xml:space="preserve">) للفترة </w:t>
      </w:r>
      <w:r w:rsidR="008529EB" w:rsidRPr="008529EB">
        <w:t>2027-2024</w:t>
      </w:r>
    </w:p>
    <w:tbl>
      <w:tblPr>
        <w:tblStyle w:val="TableGrid"/>
        <w:bidiVisual/>
        <w:tblW w:w="5000" w:type="pct"/>
        <w:jc w:val="center"/>
        <w:tblLayout w:type="fixed"/>
        <w:tblLook w:val="04A0" w:firstRow="1" w:lastRow="0" w:firstColumn="1" w:lastColumn="0" w:noHBand="0" w:noVBand="1"/>
      </w:tblPr>
      <w:tblGrid>
        <w:gridCol w:w="2120"/>
        <w:gridCol w:w="1638"/>
        <w:gridCol w:w="1468"/>
        <w:gridCol w:w="1467"/>
        <w:gridCol w:w="1468"/>
        <w:gridCol w:w="1468"/>
      </w:tblGrid>
      <w:tr w:rsidR="006308B3" w:rsidRPr="006308B3" w14:paraId="7CAC4578" w14:textId="77777777" w:rsidTr="00C47BD0">
        <w:trPr>
          <w:tblHeader/>
          <w:jc w:val="center"/>
        </w:trPr>
        <w:tc>
          <w:tcPr>
            <w:tcW w:w="2120" w:type="dxa"/>
            <w:shd w:val="clear" w:color="auto" w:fill="F2F2F2" w:themeFill="background1" w:themeFillShade="F2"/>
            <w:noWrap/>
            <w:hideMark/>
          </w:tcPr>
          <w:p w14:paraId="4EB8ECFE" w14:textId="77777777" w:rsidR="006308B3" w:rsidRPr="006308B3" w:rsidRDefault="006308B3" w:rsidP="006308B3">
            <w:pPr>
              <w:rPr>
                <w:b/>
                <w:position w:val="2"/>
              </w:rPr>
            </w:pPr>
          </w:p>
        </w:tc>
        <w:tc>
          <w:tcPr>
            <w:tcW w:w="1638" w:type="dxa"/>
            <w:shd w:val="clear" w:color="auto" w:fill="F2F2F2" w:themeFill="background1" w:themeFillShade="F2"/>
            <w:noWrap/>
            <w:hideMark/>
          </w:tcPr>
          <w:p w14:paraId="27689E52" w14:textId="77777777" w:rsidR="006308B3" w:rsidRPr="00C47BD0" w:rsidRDefault="006308B3" w:rsidP="00020C16">
            <w:pPr>
              <w:pStyle w:val="Tablehead"/>
              <w:rPr>
                <w:position w:val="2"/>
                <w:lang w:bidi="ar-SA"/>
              </w:rPr>
            </w:pPr>
            <w:r w:rsidRPr="00C47BD0">
              <w:rPr>
                <w:position w:val="2"/>
                <w:rtl/>
              </w:rPr>
              <w:t>اللغات</w:t>
            </w:r>
          </w:p>
        </w:tc>
        <w:tc>
          <w:tcPr>
            <w:tcW w:w="1468" w:type="dxa"/>
            <w:shd w:val="clear" w:color="auto" w:fill="F2F2F2" w:themeFill="background1" w:themeFillShade="F2"/>
            <w:noWrap/>
            <w:hideMark/>
          </w:tcPr>
          <w:p w14:paraId="738E85A7" w14:textId="77777777" w:rsidR="006308B3" w:rsidRPr="00C47BD0" w:rsidRDefault="006308B3" w:rsidP="00020C16">
            <w:pPr>
              <w:pStyle w:val="Tablehead"/>
              <w:rPr>
                <w:position w:val="2"/>
                <w:lang w:bidi="ar-SA"/>
              </w:rPr>
            </w:pPr>
            <w:r w:rsidRPr="00C47BD0">
              <w:rPr>
                <w:position w:val="2"/>
                <w:rtl/>
              </w:rPr>
              <w:t>2024</w:t>
            </w:r>
          </w:p>
        </w:tc>
        <w:tc>
          <w:tcPr>
            <w:tcW w:w="1467" w:type="dxa"/>
            <w:shd w:val="clear" w:color="auto" w:fill="F2F2F2" w:themeFill="background1" w:themeFillShade="F2"/>
            <w:noWrap/>
            <w:hideMark/>
          </w:tcPr>
          <w:p w14:paraId="3DAA5E04" w14:textId="77777777" w:rsidR="006308B3" w:rsidRPr="00C47BD0" w:rsidRDefault="006308B3" w:rsidP="00020C16">
            <w:pPr>
              <w:pStyle w:val="Tablehead"/>
              <w:rPr>
                <w:position w:val="2"/>
                <w:lang w:bidi="ar-SA"/>
              </w:rPr>
            </w:pPr>
            <w:r w:rsidRPr="00C47BD0">
              <w:rPr>
                <w:position w:val="2"/>
                <w:rtl/>
              </w:rPr>
              <w:t>2025</w:t>
            </w:r>
          </w:p>
        </w:tc>
        <w:tc>
          <w:tcPr>
            <w:tcW w:w="1468" w:type="dxa"/>
            <w:shd w:val="clear" w:color="auto" w:fill="F2F2F2" w:themeFill="background1" w:themeFillShade="F2"/>
            <w:noWrap/>
            <w:hideMark/>
          </w:tcPr>
          <w:p w14:paraId="4BE58D27" w14:textId="77777777" w:rsidR="006308B3" w:rsidRPr="00C47BD0" w:rsidRDefault="006308B3" w:rsidP="00020C16">
            <w:pPr>
              <w:pStyle w:val="Tablehead"/>
              <w:rPr>
                <w:position w:val="2"/>
                <w:lang w:bidi="ar-SA"/>
              </w:rPr>
            </w:pPr>
            <w:r w:rsidRPr="00C47BD0">
              <w:rPr>
                <w:position w:val="2"/>
                <w:rtl/>
              </w:rPr>
              <w:t>2026</w:t>
            </w:r>
          </w:p>
        </w:tc>
        <w:tc>
          <w:tcPr>
            <w:tcW w:w="1468" w:type="dxa"/>
            <w:shd w:val="clear" w:color="auto" w:fill="F2F2F2" w:themeFill="background1" w:themeFillShade="F2"/>
            <w:noWrap/>
            <w:hideMark/>
          </w:tcPr>
          <w:p w14:paraId="4064F8DE" w14:textId="77777777" w:rsidR="006308B3" w:rsidRPr="00C47BD0" w:rsidRDefault="006308B3" w:rsidP="00020C16">
            <w:pPr>
              <w:pStyle w:val="Tablehead"/>
              <w:rPr>
                <w:position w:val="2"/>
                <w:lang w:bidi="ar-SA"/>
              </w:rPr>
            </w:pPr>
            <w:r w:rsidRPr="00C47BD0">
              <w:rPr>
                <w:position w:val="2"/>
                <w:rtl/>
              </w:rPr>
              <w:t>2027</w:t>
            </w:r>
          </w:p>
        </w:tc>
      </w:tr>
      <w:tr w:rsidR="006308B3" w:rsidRPr="006308B3" w14:paraId="1E411C0B" w14:textId="77777777" w:rsidTr="00C47BD0">
        <w:trPr>
          <w:jc w:val="center"/>
        </w:trPr>
        <w:tc>
          <w:tcPr>
            <w:tcW w:w="2120" w:type="dxa"/>
            <w:shd w:val="clear" w:color="auto" w:fill="DAEEF3" w:themeFill="accent5" w:themeFillTint="33"/>
            <w:noWrap/>
            <w:hideMark/>
          </w:tcPr>
          <w:p w14:paraId="77F21137" w14:textId="77777777" w:rsidR="006308B3" w:rsidRPr="00C47BD0" w:rsidRDefault="006308B3" w:rsidP="00020C16">
            <w:pPr>
              <w:pStyle w:val="Tabletext"/>
              <w:rPr>
                <w:b/>
                <w:bCs/>
                <w:position w:val="2"/>
              </w:rPr>
            </w:pPr>
            <w:r w:rsidRPr="00C47BD0">
              <w:rPr>
                <w:b/>
                <w:bCs/>
                <w:position w:val="2"/>
                <w:rtl/>
              </w:rPr>
              <w:t>WRS (2)</w:t>
            </w:r>
          </w:p>
        </w:tc>
        <w:tc>
          <w:tcPr>
            <w:tcW w:w="1638" w:type="dxa"/>
            <w:noWrap/>
            <w:hideMark/>
          </w:tcPr>
          <w:p w14:paraId="1C8B584E" w14:textId="12A306E4" w:rsidR="006308B3" w:rsidRPr="00C47BD0" w:rsidRDefault="006308B3" w:rsidP="00020C16">
            <w:pPr>
              <w:pStyle w:val="Tabletext"/>
              <w:jc w:val="center"/>
              <w:rPr>
                <w:position w:val="2"/>
              </w:rPr>
            </w:pPr>
            <w:r w:rsidRPr="00C47BD0">
              <w:rPr>
                <w:position w:val="2"/>
                <w:rtl/>
              </w:rPr>
              <w:t>6 لغات، للجلسات العامة فحسب</w:t>
            </w:r>
          </w:p>
        </w:tc>
        <w:tc>
          <w:tcPr>
            <w:tcW w:w="1468" w:type="dxa"/>
            <w:noWrap/>
            <w:hideMark/>
          </w:tcPr>
          <w:p w14:paraId="03310B34" w14:textId="40C1BBF7" w:rsidR="006308B3" w:rsidRPr="00C47BD0" w:rsidRDefault="00020C16" w:rsidP="00020C16">
            <w:pPr>
              <w:pStyle w:val="Tabletext"/>
              <w:jc w:val="center"/>
              <w:rPr>
                <w:position w:val="2"/>
              </w:rPr>
            </w:pPr>
            <w:r w:rsidRPr="00C47BD0">
              <w:rPr>
                <w:position w:val="2"/>
              </w:rPr>
              <w:t>6-2</w:t>
            </w:r>
            <w:r w:rsidR="006308B3" w:rsidRPr="00C47BD0">
              <w:rPr>
                <w:position w:val="2"/>
                <w:rtl/>
              </w:rPr>
              <w:t xml:space="preserve"> ديسمبر</w:t>
            </w:r>
            <w:r w:rsidRPr="00C47BD0">
              <w:rPr>
                <w:position w:val="2"/>
              </w:rPr>
              <w:br/>
            </w:r>
            <w:r w:rsidR="006308B3" w:rsidRPr="00C47BD0">
              <w:rPr>
                <w:position w:val="2"/>
                <w:rtl/>
              </w:rPr>
              <w:t>جنيف</w:t>
            </w:r>
          </w:p>
        </w:tc>
        <w:tc>
          <w:tcPr>
            <w:tcW w:w="1467" w:type="dxa"/>
            <w:noWrap/>
            <w:hideMark/>
          </w:tcPr>
          <w:p w14:paraId="0B878251"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380DC575" w14:textId="27341F5C" w:rsidR="006308B3" w:rsidRPr="00C47BD0" w:rsidRDefault="00020C16" w:rsidP="00020C16">
            <w:pPr>
              <w:pStyle w:val="Tabletext"/>
              <w:jc w:val="center"/>
              <w:rPr>
                <w:position w:val="2"/>
              </w:rPr>
            </w:pPr>
            <w:r w:rsidRPr="00C47BD0">
              <w:rPr>
                <w:position w:val="2"/>
              </w:rPr>
              <w:t>11-7</w:t>
            </w:r>
            <w:r w:rsidR="006308B3" w:rsidRPr="00C47BD0">
              <w:rPr>
                <w:position w:val="2"/>
                <w:rtl/>
              </w:rPr>
              <w:t xml:space="preserve"> ديسمبر</w:t>
            </w:r>
            <w:r w:rsidRPr="00C47BD0">
              <w:rPr>
                <w:position w:val="2"/>
              </w:rPr>
              <w:br/>
            </w:r>
            <w:r w:rsidR="006308B3" w:rsidRPr="00C47BD0">
              <w:rPr>
                <w:position w:val="2"/>
                <w:rtl/>
              </w:rPr>
              <w:t>جنيف</w:t>
            </w:r>
          </w:p>
        </w:tc>
        <w:tc>
          <w:tcPr>
            <w:tcW w:w="1468" w:type="dxa"/>
            <w:noWrap/>
            <w:hideMark/>
          </w:tcPr>
          <w:p w14:paraId="035CE81C" w14:textId="77777777" w:rsidR="006308B3" w:rsidRPr="00C47BD0" w:rsidRDefault="006308B3" w:rsidP="00020C16">
            <w:pPr>
              <w:pStyle w:val="Tabletext"/>
              <w:jc w:val="center"/>
              <w:rPr>
                <w:position w:val="2"/>
              </w:rPr>
            </w:pPr>
            <w:r w:rsidRPr="00C47BD0">
              <w:rPr>
                <w:position w:val="2"/>
              </w:rPr>
              <w:t>−</w:t>
            </w:r>
          </w:p>
        </w:tc>
      </w:tr>
      <w:tr w:rsidR="006308B3" w:rsidRPr="006308B3" w14:paraId="47EBBDE7" w14:textId="77777777" w:rsidTr="00C47BD0">
        <w:trPr>
          <w:jc w:val="center"/>
        </w:trPr>
        <w:tc>
          <w:tcPr>
            <w:tcW w:w="9629" w:type="dxa"/>
            <w:gridSpan w:val="6"/>
            <w:shd w:val="clear" w:color="auto" w:fill="F2F2F2" w:themeFill="background1" w:themeFillShade="F2"/>
            <w:noWrap/>
            <w:hideMark/>
          </w:tcPr>
          <w:p w14:paraId="42DD895E" w14:textId="77777777" w:rsidR="006308B3" w:rsidRPr="00C47BD0" w:rsidRDefault="006308B3" w:rsidP="00020C16">
            <w:pPr>
              <w:pStyle w:val="Tabletext"/>
              <w:rPr>
                <w:b/>
                <w:bCs/>
                <w:position w:val="2"/>
              </w:rPr>
            </w:pPr>
            <w:r w:rsidRPr="00C47BD0">
              <w:rPr>
                <w:b/>
                <w:bCs/>
                <w:position w:val="2"/>
                <w:rtl/>
              </w:rPr>
              <w:t>RRS (11)</w:t>
            </w:r>
          </w:p>
        </w:tc>
      </w:tr>
      <w:tr w:rsidR="006308B3" w:rsidRPr="006308B3" w14:paraId="0F02A983" w14:textId="77777777" w:rsidTr="00C47BD0">
        <w:trPr>
          <w:jc w:val="center"/>
        </w:trPr>
        <w:tc>
          <w:tcPr>
            <w:tcW w:w="9629" w:type="dxa"/>
            <w:gridSpan w:val="6"/>
            <w:shd w:val="clear" w:color="auto" w:fill="F2F2F2" w:themeFill="background1" w:themeFillShade="F2"/>
            <w:hideMark/>
          </w:tcPr>
          <w:p w14:paraId="39E13031" w14:textId="77777777" w:rsidR="006308B3" w:rsidRPr="00C47BD0" w:rsidRDefault="006308B3" w:rsidP="00020C16">
            <w:pPr>
              <w:pStyle w:val="Tabletext"/>
              <w:rPr>
                <w:b/>
                <w:bCs/>
                <w:i/>
                <w:position w:val="2"/>
              </w:rPr>
            </w:pPr>
            <w:r w:rsidRPr="00C47BD0">
              <w:rPr>
                <w:b/>
                <w:bCs/>
                <w:position w:val="2"/>
                <w:rtl/>
              </w:rPr>
              <w:t>إفريقيا</w:t>
            </w:r>
            <w:r w:rsidRPr="00C47BD0">
              <w:rPr>
                <w:b/>
                <w:bCs/>
                <w:position w:val="2"/>
              </w:rPr>
              <w:t>:</w:t>
            </w:r>
            <w:r w:rsidRPr="00C47BD0">
              <w:rPr>
                <w:b/>
                <w:bCs/>
                <w:position w:val="2"/>
                <w:rtl/>
              </w:rPr>
              <w:t xml:space="preserve"> AFR (2)</w:t>
            </w:r>
          </w:p>
        </w:tc>
      </w:tr>
      <w:tr w:rsidR="006308B3" w:rsidRPr="006308B3" w14:paraId="2E457B4E" w14:textId="77777777" w:rsidTr="00C47BD0">
        <w:trPr>
          <w:jc w:val="center"/>
        </w:trPr>
        <w:tc>
          <w:tcPr>
            <w:tcW w:w="2120" w:type="dxa"/>
            <w:noWrap/>
            <w:hideMark/>
          </w:tcPr>
          <w:p w14:paraId="742DB4AB" w14:textId="77777777" w:rsidR="006308B3" w:rsidRPr="00C47BD0" w:rsidRDefault="006308B3" w:rsidP="00020C16">
            <w:pPr>
              <w:pStyle w:val="Tabletext"/>
              <w:rPr>
                <w:position w:val="2"/>
              </w:rPr>
            </w:pPr>
            <w:r w:rsidRPr="00C47BD0">
              <w:rPr>
                <w:position w:val="2"/>
                <w:rtl/>
              </w:rPr>
              <w:t>إفريقيا</w:t>
            </w:r>
          </w:p>
        </w:tc>
        <w:tc>
          <w:tcPr>
            <w:tcW w:w="1638" w:type="dxa"/>
            <w:noWrap/>
            <w:hideMark/>
          </w:tcPr>
          <w:p w14:paraId="1878F929" w14:textId="77777777" w:rsidR="006308B3" w:rsidRPr="00C47BD0" w:rsidRDefault="006308B3" w:rsidP="00020C16">
            <w:pPr>
              <w:pStyle w:val="Tabletext"/>
              <w:jc w:val="center"/>
              <w:rPr>
                <w:position w:val="2"/>
              </w:rPr>
            </w:pPr>
            <w:r w:rsidRPr="00C47BD0">
              <w:rPr>
                <w:position w:val="2"/>
                <w:rtl/>
              </w:rPr>
              <w:t>العربية/الإنكليزية/ الفرنسية</w:t>
            </w:r>
          </w:p>
        </w:tc>
        <w:tc>
          <w:tcPr>
            <w:tcW w:w="1468" w:type="dxa"/>
            <w:noWrap/>
            <w:hideMark/>
          </w:tcPr>
          <w:p w14:paraId="73FB693E" w14:textId="77777777" w:rsidR="006308B3" w:rsidRPr="00C47BD0" w:rsidRDefault="006308B3" w:rsidP="00020C16">
            <w:pPr>
              <w:pStyle w:val="Tabletext"/>
              <w:jc w:val="center"/>
              <w:rPr>
                <w:position w:val="2"/>
              </w:rPr>
            </w:pPr>
            <w:r w:rsidRPr="00C47BD0">
              <w:rPr>
                <w:position w:val="2"/>
              </w:rPr>
              <w:t>−</w:t>
            </w:r>
          </w:p>
        </w:tc>
        <w:tc>
          <w:tcPr>
            <w:tcW w:w="1467" w:type="dxa"/>
            <w:hideMark/>
          </w:tcPr>
          <w:p w14:paraId="0F015714" w14:textId="4FF74C94" w:rsidR="006308B3" w:rsidRPr="00C47BD0" w:rsidRDefault="00C47BD0" w:rsidP="00020C16">
            <w:pPr>
              <w:pStyle w:val="Tabletext"/>
              <w:jc w:val="center"/>
              <w:rPr>
                <w:position w:val="2"/>
              </w:rPr>
            </w:pPr>
            <w:r w:rsidRPr="00C47BD0">
              <w:rPr>
                <w:position w:val="2"/>
              </w:rPr>
              <w:t>8-5</w:t>
            </w:r>
            <w:r w:rsidR="006308B3" w:rsidRPr="00C47BD0">
              <w:rPr>
                <w:position w:val="2"/>
                <w:rtl/>
              </w:rPr>
              <w:t xml:space="preserve"> مايو</w:t>
            </w:r>
            <w:r w:rsidRPr="00C47BD0">
              <w:rPr>
                <w:position w:val="2"/>
              </w:rPr>
              <w:br/>
            </w:r>
            <w:r w:rsidR="006308B3" w:rsidRPr="00C47BD0">
              <w:rPr>
                <w:position w:val="2"/>
                <w:rtl/>
              </w:rPr>
              <w:t>مدينة جيبوتي، جيبوتي</w:t>
            </w:r>
          </w:p>
        </w:tc>
        <w:tc>
          <w:tcPr>
            <w:tcW w:w="1468" w:type="dxa"/>
            <w:noWrap/>
            <w:hideMark/>
          </w:tcPr>
          <w:p w14:paraId="41764EF1"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72BF41A0" w14:textId="77777777" w:rsidR="006308B3" w:rsidRPr="00C47BD0" w:rsidRDefault="006308B3" w:rsidP="00020C16">
            <w:pPr>
              <w:pStyle w:val="Tabletext"/>
              <w:jc w:val="center"/>
              <w:rPr>
                <w:position w:val="2"/>
              </w:rPr>
            </w:pPr>
            <w:r w:rsidRPr="00C47BD0">
              <w:rPr>
                <w:position w:val="2"/>
              </w:rPr>
              <w:t>−</w:t>
            </w:r>
          </w:p>
        </w:tc>
      </w:tr>
      <w:tr w:rsidR="006308B3" w:rsidRPr="006308B3" w14:paraId="12D2F26B" w14:textId="77777777" w:rsidTr="00C47BD0">
        <w:trPr>
          <w:jc w:val="center"/>
        </w:trPr>
        <w:tc>
          <w:tcPr>
            <w:tcW w:w="2120" w:type="dxa"/>
            <w:noWrap/>
            <w:hideMark/>
          </w:tcPr>
          <w:p w14:paraId="3A9833A2" w14:textId="77777777" w:rsidR="006308B3" w:rsidRPr="00C47BD0" w:rsidRDefault="006308B3" w:rsidP="00020C16">
            <w:pPr>
              <w:pStyle w:val="Tabletext"/>
              <w:rPr>
                <w:position w:val="2"/>
              </w:rPr>
            </w:pPr>
            <w:r w:rsidRPr="00C47BD0">
              <w:rPr>
                <w:position w:val="2"/>
                <w:rtl/>
              </w:rPr>
              <w:t>إفريقيا</w:t>
            </w:r>
          </w:p>
        </w:tc>
        <w:tc>
          <w:tcPr>
            <w:tcW w:w="1638" w:type="dxa"/>
            <w:noWrap/>
            <w:hideMark/>
          </w:tcPr>
          <w:p w14:paraId="7C018E96" w14:textId="77777777" w:rsidR="006308B3" w:rsidRPr="00C47BD0" w:rsidRDefault="006308B3" w:rsidP="00020C16">
            <w:pPr>
              <w:pStyle w:val="Tabletext"/>
              <w:jc w:val="center"/>
              <w:rPr>
                <w:position w:val="2"/>
              </w:rPr>
            </w:pPr>
            <w:r w:rsidRPr="00C47BD0">
              <w:rPr>
                <w:position w:val="2"/>
                <w:rtl/>
              </w:rPr>
              <w:t>الإنكليزية/الفرنسية</w:t>
            </w:r>
          </w:p>
        </w:tc>
        <w:tc>
          <w:tcPr>
            <w:tcW w:w="1468" w:type="dxa"/>
            <w:noWrap/>
            <w:hideMark/>
          </w:tcPr>
          <w:p w14:paraId="62C80E4C" w14:textId="77777777" w:rsidR="006308B3" w:rsidRPr="00C47BD0" w:rsidRDefault="006308B3" w:rsidP="00020C16">
            <w:pPr>
              <w:pStyle w:val="Tabletext"/>
              <w:jc w:val="center"/>
              <w:rPr>
                <w:position w:val="2"/>
              </w:rPr>
            </w:pPr>
            <w:r w:rsidRPr="00C47BD0">
              <w:rPr>
                <w:position w:val="2"/>
              </w:rPr>
              <w:t>−</w:t>
            </w:r>
          </w:p>
        </w:tc>
        <w:tc>
          <w:tcPr>
            <w:tcW w:w="1467" w:type="dxa"/>
            <w:noWrap/>
            <w:hideMark/>
          </w:tcPr>
          <w:p w14:paraId="2FD9528D"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3F40B600" w14:textId="77777777" w:rsidR="006308B3" w:rsidRPr="00C47BD0" w:rsidRDefault="006308B3" w:rsidP="00020C16">
            <w:pPr>
              <w:pStyle w:val="Tabletext"/>
              <w:jc w:val="center"/>
              <w:rPr>
                <w:position w:val="2"/>
              </w:rPr>
            </w:pPr>
            <w:r w:rsidRPr="00C47BD0">
              <w:rPr>
                <w:position w:val="2"/>
              </w:rPr>
              <w:t>−</w:t>
            </w:r>
          </w:p>
        </w:tc>
        <w:tc>
          <w:tcPr>
            <w:tcW w:w="1468" w:type="dxa"/>
            <w:hideMark/>
          </w:tcPr>
          <w:p w14:paraId="3093027B" w14:textId="77777777" w:rsidR="006308B3" w:rsidRPr="00C47BD0" w:rsidRDefault="006308B3" w:rsidP="00020C16">
            <w:pPr>
              <w:pStyle w:val="Tabletext"/>
              <w:jc w:val="center"/>
              <w:rPr>
                <w:position w:val="2"/>
              </w:rPr>
            </w:pPr>
            <w:r w:rsidRPr="00C47BD0">
              <w:rPr>
                <w:position w:val="2"/>
                <w:rtl/>
              </w:rPr>
              <w:t>2Q</w:t>
            </w:r>
          </w:p>
        </w:tc>
      </w:tr>
      <w:tr w:rsidR="006308B3" w:rsidRPr="006308B3" w14:paraId="49358798" w14:textId="77777777" w:rsidTr="00C47BD0">
        <w:trPr>
          <w:jc w:val="center"/>
        </w:trPr>
        <w:tc>
          <w:tcPr>
            <w:tcW w:w="9629" w:type="dxa"/>
            <w:gridSpan w:val="6"/>
            <w:shd w:val="clear" w:color="auto" w:fill="F2F2F2" w:themeFill="background1" w:themeFillShade="F2"/>
            <w:hideMark/>
          </w:tcPr>
          <w:p w14:paraId="41AA9C28" w14:textId="77777777" w:rsidR="006308B3" w:rsidRPr="00C47BD0" w:rsidRDefault="006308B3" w:rsidP="00C47BD0">
            <w:pPr>
              <w:pStyle w:val="Tabletext"/>
              <w:rPr>
                <w:b/>
                <w:bCs/>
                <w:position w:val="2"/>
              </w:rPr>
            </w:pPr>
            <w:r w:rsidRPr="00C47BD0">
              <w:rPr>
                <w:b/>
                <w:bCs/>
                <w:position w:val="2"/>
                <w:rtl/>
              </w:rPr>
              <w:t>الأمريكتان</w:t>
            </w:r>
            <w:r w:rsidRPr="00C47BD0">
              <w:rPr>
                <w:b/>
                <w:bCs/>
                <w:position w:val="2"/>
              </w:rPr>
              <w:t>:</w:t>
            </w:r>
            <w:r w:rsidRPr="00C47BD0">
              <w:rPr>
                <w:b/>
                <w:bCs/>
                <w:position w:val="2"/>
                <w:rtl/>
              </w:rPr>
              <w:t xml:space="preserve"> AMS (3)</w:t>
            </w:r>
          </w:p>
        </w:tc>
      </w:tr>
      <w:tr w:rsidR="006308B3" w:rsidRPr="006308B3" w14:paraId="44A59CD9" w14:textId="77777777" w:rsidTr="00C47BD0">
        <w:trPr>
          <w:jc w:val="center"/>
        </w:trPr>
        <w:tc>
          <w:tcPr>
            <w:tcW w:w="2120" w:type="dxa"/>
            <w:noWrap/>
          </w:tcPr>
          <w:p w14:paraId="259F9CA0" w14:textId="77777777" w:rsidR="006308B3" w:rsidRPr="00C47BD0" w:rsidRDefault="006308B3" w:rsidP="00020C16">
            <w:pPr>
              <w:pStyle w:val="Tabletext"/>
              <w:rPr>
                <w:position w:val="2"/>
              </w:rPr>
            </w:pPr>
            <w:r w:rsidRPr="00C47BD0">
              <w:rPr>
                <w:position w:val="2"/>
                <w:rtl/>
              </w:rPr>
              <w:t>الكاريبي</w:t>
            </w:r>
          </w:p>
        </w:tc>
        <w:tc>
          <w:tcPr>
            <w:tcW w:w="1638" w:type="dxa"/>
            <w:noWrap/>
          </w:tcPr>
          <w:p w14:paraId="774867C2" w14:textId="28C4886F" w:rsidR="006308B3" w:rsidRPr="00C47BD0" w:rsidRDefault="00C47BD0" w:rsidP="00020C16">
            <w:pPr>
              <w:pStyle w:val="Tabletext"/>
              <w:jc w:val="center"/>
              <w:rPr>
                <w:position w:val="2"/>
              </w:rPr>
            </w:pPr>
            <w:r w:rsidRPr="00C47BD0">
              <w:rPr>
                <w:position w:val="2"/>
                <w:rtl/>
              </w:rPr>
              <w:t>الإنكليزية</w:t>
            </w:r>
          </w:p>
        </w:tc>
        <w:tc>
          <w:tcPr>
            <w:tcW w:w="1468" w:type="dxa"/>
          </w:tcPr>
          <w:p w14:paraId="2DABC633" w14:textId="2AABB346" w:rsidR="006308B3" w:rsidRPr="00C47BD0" w:rsidRDefault="00C47BD0" w:rsidP="00C47BD0">
            <w:pPr>
              <w:pStyle w:val="Tabletext"/>
              <w:jc w:val="center"/>
              <w:rPr>
                <w:position w:val="2"/>
              </w:rPr>
            </w:pPr>
            <w:r>
              <w:rPr>
                <w:position w:val="2"/>
              </w:rPr>
              <w:t>27-22</w:t>
            </w:r>
            <w:r w:rsidR="006308B3" w:rsidRPr="00C47BD0">
              <w:rPr>
                <w:position w:val="2"/>
                <w:rtl/>
              </w:rPr>
              <w:t xml:space="preserve"> يوليو</w:t>
            </w:r>
            <w:r w:rsidRPr="00C47BD0">
              <w:rPr>
                <w:position w:val="2"/>
                <w:rtl/>
              </w:rPr>
              <w:br/>
            </w:r>
            <w:r w:rsidR="006308B3" w:rsidRPr="00C47BD0">
              <w:rPr>
                <w:position w:val="2"/>
                <w:rtl/>
              </w:rPr>
              <w:t>سانت جورج، غرينادا</w:t>
            </w:r>
          </w:p>
        </w:tc>
        <w:tc>
          <w:tcPr>
            <w:tcW w:w="1467" w:type="dxa"/>
            <w:noWrap/>
          </w:tcPr>
          <w:p w14:paraId="31DF61CD" w14:textId="77777777" w:rsidR="006308B3" w:rsidRPr="00C47BD0" w:rsidRDefault="006308B3" w:rsidP="00020C16">
            <w:pPr>
              <w:pStyle w:val="Tabletext"/>
              <w:jc w:val="center"/>
              <w:rPr>
                <w:position w:val="2"/>
              </w:rPr>
            </w:pPr>
            <w:r w:rsidRPr="00C47BD0">
              <w:rPr>
                <w:position w:val="2"/>
              </w:rPr>
              <w:t>−</w:t>
            </w:r>
          </w:p>
        </w:tc>
        <w:tc>
          <w:tcPr>
            <w:tcW w:w="1468" w:type="dxa"/>
            <w:noWrap/>
          </w:tcPr>
          <w:p w14:paraId="61B7D60E" w14:textId="77777777" w:rsidR="006308B3" w:rsidRPr="00C47BD0" w:rsidRDefault="006308B3" w:rsidP="00020C16">
            <w:pPr>
              <w:pStyle w:val="Tabletext"/>
              <w:jc w:val="center"/>
              <w:rPr>
                <w:position w:val="2"/>
              </w:rPr>
            </w:pPr>
            <w:r w:rsidRPr="00C47BD0">
              <w:rPr>
                <w:position w:val="2"/>
              </w:rPr>
              <w:t>−</w:t>
            </w:r>
          </w:p>
        </w:tc>
        <w:tc>
          <w:tcPr>
            <w:tcW w:w="1468" w:type="dxa"/>
            <w:noWrap/>
          </w:tcPr>
          <w:p w14:paraId="649BB618" w14:textId="77777777" w:rsidR="006308B3" w:rsidRPr="00C47BD0" w:rsidRDefault="006308B3" w:rsidP="00020C16">
            <w:pPr>
              <w:pStyle w:val="Tabletext"/>
              <w:jc w:val="center"/>
              <w:rPr>
                <w:position w:val="2"/>
              </w:rPr>
            </w:pPr>
            <w:r w:rsidRPr="00C47BD0">
              <w:rPr>
                <w:position w:val="2"/>
              </w:rPr>
              <w:t>−</w:t>
            </w:r>
          </w:p>
        </w:tc>
      </w:tr>
      <w:tr w:rsidR="006308B3" w:rsidRPr="006308B3" w14:paraId="7DAF9D24" w14:textId="77777777" w:rsidTr="00C47BD0">
        <w:trPr>
          <w:jc w:val="center"/>
        </w:trPr>
        <w:tc>
          <w:tcPr>
            <w:tcW w:w="2120" w:type="dxa"/>
            <w:noWrap/>
            <w:hideMark/>
          </w:tcPr>
          <w:p w14:paraId="207EFA6A" w14:textId="53B32327" w:rsidR="006308B3" w:rsidRPr="00C47BD0" w:rsidRDefault="006308B3" w:rsidP="00020C16">
            <w:pPr>
              <w:pStyle w:val="Tabletext"/>
              <w:rPr>
                <w:position w:val="2"/>
              </w:rPr>
            </w:pPr>
            <w:r w:rsidRPr="00C47BD0">
              <w:rPr>
                <w:position w:val="2"/>
                <w:rtl/>
              </w:rPr>
              <w:lastRenderedPageBreak/>
              <w:t>أمريكا الجنوبية</w:t>
            </w:r>
          </w:p>
        </w:tc>
        <w:tc>
          <w:tcPr>
            <w:tcW w:w="1638" w:type="dxa"/>
            <w:noWrap/>
            <w:hideMark/>
          </w:tcPr>
          <w:p w14:paraId="42597638" w14:textId="6508ECA0" w:rsidR="006308B3" w:rsidRPr="00C47BD0" w:rsidRDefault="006308B3" w:rsidP="00020C16">
            <w:pPr>
              <w:pStyle w:val="Tabletext"/>
              <w:jc w:val="center"/>
              <w:rPr>
                <w:position w:val="2"/>
              </w:rPr>
            </w:pPr>
            <w:r w:rsidRPr="00C47BD0">
              <w:rPr>
                <w:position w:val="2"/>
                <w:rtl/>
              </w:rPr>
              <w:t>الإسبانية/الإنكليزية</w:t>
            </w:r>
          </w:p>
        </w:tc>
        <w:tc>
          <w:tcPr>
            <w:tcW w:w="1468" w:type="dxa"/>
            <w:hideMark/>
          </w:tcPr>
          <w:p w14:paraId="7D1927A5" w14:textId="77777777" w:rsidR="006308B3" w:rsidRPr="00C47BD0" w:rsidRDefault="006308B3" w:rsidP="00020C16">
            <w:pPr>
              <w:pStyle w:val="Tabletext"/>
              <w:jc w:val="center"/>
              <w:rPr>
                <w:position w:val="2"/>
              </w:rPr>
            </w:pPr>
            <w:r w:rsidRPr="00C47BD0">
              <w:rPr>
                <w:position w:val="2"/>
              </w:rPr>
              <w:t>−</w:t>
            </w:r>
          </w:p>
        </w:tc>
        <w:tc>
          <w:tcPr>
            <w:tcW w:w="1467" w:type="dxa"/>
            <w:noWrap/>
            <w:hideMark/>
          </w:tcPr>
          <w:p w14:paraId="4912D4F5" w14:textId="226AA386" w:rsidR="006308B3" w:rsidRPr="00C47BD0" w:rsidRDefault="006308B3" w:rsidP="00020C16">
            <w:pPr>
              <w:pStyle w:val="Tabletext"/>
              <w:jc w:val="center"/>
              <w:rPr>
                <w:position w:val="2"/>
              </w:rPr>
            </w:pPr>
          </w:p>
        </w:tc>
        <w:tc>
          <w:tcPr>
            <w:tcW w:w="1468" w:type="dxa"/>
            <w:noWrap/>
            <w:hideMark/>
          </w:tcPr>
          <w:p w14:paraId="4D0B4F69" w14:textId="50C716B1" w:rsidR="006308B3" w:rsidRPr="00C47BD0" w:rsidRDefault="00C47BD0" w:rsidP="00C47BD0">
            <w:pPr>
              <w:pStyle w:val="Tabletext"/>
              <w:jc w:val="center"/>
              <w:rPr>
                <w:position w:val="2"/>
              </w:rPr>
            </w:pPr>
            <w:r>
              <w:rPr>
                <w:position w:val="2"/>
              </w:rPr>
              <w:t>31-27</w:t>
            </w:r>
            <w:r w:rsidR="006308B3" w:rsidRPr="00C47BD0">
              <w:rPr>
                <w:position w:val="2"/>
                <w:rtl/>
              </w:rPr>
              <w:t xml:space="preserve"> يوليو</w:t>
            </w:r>
            <w:r>
              <w:rPr>
                <w:position w:val="2"/>
                <w:rtl/>
              </w:rPr>
              <w:br/>
            </w:r>
            <w:r w:rsidR="006308B3" w:rsidRPr="00C47BD0">
              <w:rPr>
                <w:position w:val="2"/>
                <w:rtl/>
              </w:rPr>
              <w:t>لاباز، بوليفيا (يؤكد لاحقاً)</w:t>
            </w:r>
          </w:p>
        </w:tc>
        <w:tc>
          <w:tcPr>
            <w:tcW w:w="1468" w:type="dxa"/>
            <w:noWrap/>
            <w:hideMark/>
          </w:tcPr>
          <w:p w14:paraId="45F25B91" w14:textId="77777777" w:rsidR="006308B3" w:rsidRPr="00C47BD0" w:rsidRDefault="006308B3" w:rsidP="00020C16">
            <w:pPr>
              <w:pStyle w:val="Tabletext"/>
              <w:jc w:val="center"/>
              <w:rPr>
                <w:position w:val="2"/>
              </w:rPr>
            </w:pPr>
            <w:r w:rsidRPr="00C47BD0">
              <w:rPr>
                <w:position w:val="2"/>
              </w:rPr>
              <w:t>−</w:t>
            </w:r>
          </w:p>
        </w:tc>
      </w:tr>
      <w:tr w:rsidR="006308B3" w:rsidRPr="006308B3" w14:paraId="1F002BAE" w14:textId="77777777" w:rsidTr="00C47BD0">
        <w:trPr>
          <w:jc w:val="center"/>
        </w:trPr>
        <w:tc>
          <w:tcPr>
            <w:tcW w:w="2120" w:type="dxa"/>
            <w:noWrap/>
            <w:hideMark/>
          </w:tcPr>
          <w:p w14:paraId="552C7B9E" w14:textId="15756512" w:rsidR="006308B3" w:rsidRPr="00C47BD0" w:rsidRDefault="006308B3" w:rsidP="00020C16">
            <w:pPr>
              <w:pStyle w:val="Tabletext"/>
              <w:rPr>
                <w:position w:val="2"/>
              </w:rPr>
            </w:pPr>
            <w:r w:rsidRPr="00C47BD0">
              <w:rPr>
                <w:position w:val="2"/>
                <w:rtl/>
              </w:rPr>
              <w:t>أمريكا الوسطى</w:t>
            </w:r>
          </w:p>
        </w:tc>
        <w:tc>
          <w:tcPr>
            <w:tcW w:w="1638" w:type="dxa"/>
            <w:noWrap/>
            <w:hideMark/>
          </w:tcPr>
          <w:p w14:paraId="268F3AE3" w14:textId="77777777" w:rsidR="006308B3" w:rsidRPr="00C47BD0" w:rsidRDefault="006308B3" w:rsidP="00020C16">
            <w:pPr>
              <w:pStyle w:val="Tabletext"/>
              <w:jc w:val="center"/>
              <w:rPr>
                <w:position w:val="2"/>
              </w:rPr>
            </w:pPr>
            <w:r w:rsidRPr="00C47BD0">
              <w:rPr>
                <w:position w:val="2"/>
                <w:rtl/>
              </w:rPr>
              <w:t>الإسبانية/الإنكليزية</w:t>
            </w:r>
          </w:p>
        </w:tc>
        <w:tc>
          <w:tcPr>
            <w:tcW w:w="1468" w:type="dxa"/>
            <w:noWrap/>
            <w:hideMark/>
          </w:tcPr>
          <w:p w14:paraId="5FD2CBD0" w14:textId="77777777" w:rsidR="006308B3" w:rsidRPr="00C47BD0" w:rsidRDefault="006308B3" w:rsidP="00020C16">
            <w:pPr>
              <w:pStyle w:val="Tabletext"/>
              <w:jc w:val="center"/>
              <w:rPr>
                <w:position w:val="2"/>
              </w:rPr>
            </w:pPr>
            <w:r w:rsidRPr="00C47BD0">
              <w:rPr>
                <w:position w:val="2"/>
              </w:rPr>
              <w:t>−</w:t>
            </w:r>
          </w:p>
        </w:tc>
        <w:tc>
          <w:tcPr>
            <w:tcW w:w="1467" w:type="dxa"/>
            <w:noWrap/>
            <w:hideMark/>
          </w:tcPr>
          <w:p w14:paraId="34E1D0FE" w14:textId="4DFA954D" w:rsidR="006308B3" w:rsidRPr="00C47BD0" w:rsidRDefault="006308B3" w:rsidP="00020C16">
            <w:pPr>
              <w:pStyle w:val="Tabletext"/>
              <w:jc w:val="center"/>
              <w:rPr>
                <w:position w:val="2"/>
              </w:rPr>
            </w:pPr>
            <w:r w:rsidRPr="00C47BD0">
              <w:rPr>
                <w:position w:val="2"/>
                <w:rtl/>
              </w:rPr>
              <w:t>16-20 يونيو</w:t>
            </w:r>
            <w:r w:rsidR="00C47BD0">
              <w:rPr>
                <w:position w:val="2"/>
                <w:rtl/>
              </w:rPr>
              <w:br/>
            </w:r>
            <w:r w:rsidRPr="00C47BD0">
              <w:rPr>
                <w:position w:val="2"/>
                <w:rtl/>
              </w:rPr>
              <w:t>تيغوسيغالبا، هندوراس</w:t>
            </w:r>
          </w:p>
        </w:tc>
        <w:tc>
          <w:tcPr>
            <w:tcW w:w="1468" w:type="dxa"/>
            <w:noWrap/>
            <w:hideMark/>
          </w:tcPr>
          <w:p w14:paraId="561B5F5D" w14:textId="77777777" w:rsidR="006308B3" w:rsidRPr="00C47BD0" w:rsidRDefault="006308B3" w:rsidP="00020C16">
            <w:pPr>
              <w:pStyle w:val="Tabletext"/>
              <w:jc w:val="center"/>
              <w:rPr>
                <w:position w:val="2"/>
              </w:rPr>
            </w:pPr>
            <w:r w:rsidRPr="00C47BD0">
              <w:rPr>
                <w:position w:val="2"/>
              </w:rPr>
              <w:t>−</w:t>
            </w:r>
          </w:p>
        </w:tc>
        <w:tc>
          <w:tcPr>
            <w:tcW w:w="1468" w:type="dxa"/>
            <w:hideMark/>
          </w:tcPr>
          <w:p w14:paraId="73264A60" w14:textId="77777777" w:rsidR="006308B3" w:rsidRPr="00C47BD0" w:rsidRDefault="006308B3" w:rsidP="00020C16">
            <w:pPr>
              <w:pStyle w:val="Tabletext"/>
              <w:jc w:val="center"/>
              <w:rPr>
                <w:position w:val="2"/>
              </w:rPr>
            </w:pPr>
            <w:r w:rsidRPr="00C47BD0">
              <w:rPr>
                <w:position w:val="2"/>
              </w:rPr>
              <w:t>−</w:t>
            </w:r>
          </w:p>
        </w:tc>
      </w:tr>
      <w:tr w:rsidR="006308B3" w:rsidRPr="006308B3" w14:paraId="46B854A4" w14:textId="77777777" w:rsidTr="00C47BD0">
        <w:trPr>
          <w:jc w:val="center"/>
        </w:trPr>
        <w:tc>
          <w:tcPr>
            <w:tcW w:w="9629" w:type="dxa"/>
            <w:gridSpan w:val="6"/>
            <w:shd w:val="clear" w:color="auto" w:fill="F2F2F2" w:themeFill="background1" w:themeFillShade="F2"/>
            <w:hideMark/>
          </w:tcPr>
          <w:p w14:paraId="64986DC7" w14:textId="77777777" w:rsidR="006308B3" w:rsidRPr="00C47BD0" w:rsidRDefault="006308B3" w:rsidP="00C47BD0">
            <w:pPr>
              <w:pStyle w:val="Tabletext"/>
              <w:rPr>
                <w:b/>
                <w:bCs/>
                <w:position w:val="2"/>
              </w:rPr>
            </w:pPr>
            <w:r w:rsidRPr="00C47BD0">
              <w:rPr>
                <w:b/>
                <w:bCs/>
                <w:position w:val="2"/>
                <w:rtl/>
              </w:rPr>
              <w:t>آسيا والمحيط الهادئ</w:t>
            </w:r>
            <w:r w:rsidRPr="00C47BD0">
              <w:rPr>
                <w:b/>
                <w:bCs/>
                <w:position w:val="2"/>
              </w:rPr>
              <w:t>:</w:t>
            </w:r>
            <w:r w:rsidRPr="00C47BD0">
              <w:rPr>
                <w:b/>
                <w:bCs/>
                <w:position w:val="2"/>
                <w:rtl/>
              </w:rPr>
              <w:t xml:space="preserve"> APC (3)</w:t>
            </w:r>
          </w:p>
        </w:tc>
      </w:tr>
      <w:tr w:rsidR="006308B3" w:rsidRPr="006308B3" w14:paraId="42CB5F5D" w14:textId="77777777" w:rsidTr="00C47BD0">
        <w:trPr>
          <w:jc w:val="center"/>
        </w:trPr>
        <w:tc>
          <w:tcPr>
            <w:tcW w:w="2120" w:type="dxa"/>
            <w:noWrap/>
          </w:tcPr>
          <w:p w14:paraId="28940041" w14:textId="77777777" w:rsidR="006308B3" w:rsidRPr="00C47BD0" w:rsidRDefault="006308B3" w:rsidP="00020C16">
            <w:pPr>
              <w:pStyle w:val="Tabletext"/>
              <w:rPr>
                <w:position w:val="2"/>
              </w:rPr>
            </w:pPr>
            <w:r w:rsidRPr="00C47BD0">
              <w:rPr>
                <w:position w:val="2"/>
                <w:rtl/>
              </w:rPr>
              <w:t>الدول الجزرية في المحيط الهادئ</w:t>
            </w:r>
          </w:p>
        </w:tc>
        <w:tc>
          <w:tcPr>
            <w:tcW w:w="1638" w:type="dxa"/>
            <w:noWrap/>
          </w:tcPr>
          <w:p w14:paraId="50DA8DF0" w14:textId="77777777" w:rsidR="006308B3" w:rsidRPr="00C47BD0" w:rsidRDefault="006308B3" w:rsidP="00020C16">
            <w:pPr>
              <w:pStyle w:val="Tabletext"/>
              <w:jc w:val="center"/>
              <w:rPr>
                <w:position w:val="2"/>
              </w:rPr>
            </w:pPr>
            <w:r w:rsidRPr="00C47BD0">
              <w:rPr>
                <w:position w:val="2"/>
                <w:rtl/>
              </w:rPr>
              <w:t>الإنكليزية</w:t>
            </w:r>
          </w:p>
        </w:tc>
        <w:tc>
          <w:tcPr>
            <w:tcW w:w="1468" w:type="dxa"/>
            <w:noWrap/>
            <w:hideMark/>
          </w:tcPr>
          <w:p w14:paraId="41E392D7" w14:textId="068F5E6F" w:rsidR="006308B3" w:rsidRPr="00C47BD0" w:rsidRDefault="00C47BD0" w:rsidP="00C47BD0">
            <w:pPr>
              <w:pStyle w:val="Tabletext"/>
              <w:jc w:val="center"/>
              <w:rPr>
                <w:position w:val="2"/>
              </w:rPr>
            </w:pPr>
            <w:r>
              <w:rPr>
                <w:position w:val="2"/>
              </w:rPr>
              <w:t>21-16</w:t>
            </w:r>
            <w:r w:rsidR="006308B3" w:rsidRPr="00C47BD0">
              <w:rPr>
                <w:position w:val="2"/>
                <w:rtl/>
              </w:rPr>
              <w:t xml:space="preserve"> سبتمبر</w:t>
            </w:r>
            <w:r>
              <w:rPr>
                <w:position w:val="2"/>
              </w:rPr>
              <w:br/>
            </w:r>
            <w:r w:rsidR="006308B3" w:rsidRPr="00C47BD0">
              <w:rPr>
                <w:position w:val="2"/>
                <w:rtl/>
              </w:rPr>
              <w:t>أبيا، ساموا</w:t>
            </w:r>
          </w:p>
        </w:tc>
        <w:tc>
          <w:tcPr>
            <w:tcW w:w="1467" w:type="dxa"/>
            <w:noWrap/>
            <w:hideMark/>
          </w:tcPr>
          <w:p w14:paraId="52850743" w14:textId="77777777" w:rsidR="006308B3" w:rsidRPr="00C47BD0" w:rsidRDefault="006308B3" w:rsidP="00020C16">
            <w:pPr>
              <w:pStyle w:val="Tabletext"/>
              <w:jc w:val="center"/>
              <w:rPr>
                <w:position w:val="2"/>
              </w:rPr>
            </w:pPr>
            <w:r w:rsidRPr="00C47BD0">
              <w:rPr>
                <w:position w:val="2"/>
              </w:rPr>
              <w:t>−</w:t>
            </w:r>
          </w:p>
        </w:tc>
        <w:tc>
          <w:tcPr>
            <w:tcW w:w="1468" w:type="dxa"/>
            <w:hideMark/>
          </w:tcPr>
          <w:p w14:paraId="54748847"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159CFE10" w14:textId="77777777" w:rsidR="006308B3" w:rsidRPr="00C47BD0" w:rsidRDefault="006308B3" w:rsidP="00020C16">
            <w:pPr>
              <w:pStyle w:val="Tabletext"/>
              <w:jc w:val="center"/>
              <w:rPr>
                <w:position w:val="2"/>
              </w:rPr>
            </w:pPr>
            <w:r w:rsidRPr="00C47BD0">
              <w:rPr>
                <w:position w:val="2"/>
              </w:rPr>
              <w:t>−</w:t>
            </w:r>
          </w:p>
        </w:tc>
      </w:tr>
      <w:tr w:rsidR="006308B3" w:rsidRPr="006308B3" w14:paraId="61168CDD" w14:textId="77777777" w:rsidTr="00C47BD0">
        <w:trPr>
          <w:jc w:val="center"/>
        </w:trPr>
        <w:tc>
          <w:tcPr>
            <w:tcW w:w="2120" w:type="dxa"/>
            <w:noWrap/>
            <w:hideMark/>
          </w:tcPr>
          <w:p w14:paraId="0F164B6E" w14:textId="77777777" w:rsidR="006308B3" w:rsidRPr="00C47BD0" w:rsidRDefault="006308B3" w:rsidP="00020C16">
            <w:pPr>
              <w:pStyle w:val="Tabletext"/>
              <w:rPr>
                <w:position w:val="2"/>
              </w:rPr>
            </w:pPr>
            <w:r w:rsidRPr="00C47BD0">
              <w:rPr>
                <w:position w:val="2"/>
                <w:rtl/>
              </w:rPr>
              <w:t>جنوب آسيا</w:t>
            </w:r>
          </w:p>
        </w:tc>
        <w:tc>
          <w:tcPr>
            <w:tcW w:w="1638" w:type="dxa"/>
            <w:noWrap/>
            <w:hideMark/>
          </w:tcPr>
          <w:p w14:paraId="655869DD" w14:textId="77777777" w:rsidR="006308B3" w:rsidRPr="00C47BD0" w:rsidRDefault="006308B3" w:rsidP="00020C16">
            <w:pPr>
              <w:pStyle w:val="Tabletext"/>
              <w:jc w:val="center"/>
              <w:rPr>
                <w:position w:val="2"/>
              </w:rPr>
            </w:pPr>
            <w:r w:rsidRPr="00C47BD0">
              <w:rPr>
                <w:position w:val="2"/>
                <w:rtl/>
              </w:rPr>
              <w:t>الإنكليزية</w:t>
            </w:r>
          </w:p>
        </w:tc>
        <w:tc>
          <w:tcPr>
            <w:tcW w:w="1468" w:type="dxa"/>
            <w:hideMark/>
          </w:tcPr>
          <w:p w14:paraId="0BE23840" w14:textId="77777777" w:rsidR="006308B3" w:rsidRPr="00C47BD0" w:rsidRDefault="006308B3" w:rsidP="00020C16">
            <w:pPr>
              <w:pStyle w:val="Tabletext"/>
              <w:jc w:val="center"/>
              <w:rPr>
                <w:position w:val="2"/>
              </w:rPr>
            </w:pPr>
            <w:r w:rsidRPr="00C47BD0">
              <w:rPr>
                <w:position w:val="2"/>
              </w:rPr>
              <w:t>−</w:t>
            </w:r>
          </w:p>
        </w:tc>
        <w:tc>
          <w:tcPr>
            <w:tcW w:w="1467" w:type="dxa"/>
            <w:noWrap/>
          </w:tcPr>
          <w:p w14:paraId="0094B77C" w14:textId="72B9659D" w:rsidR="006308B3" w:rsidRPr="00C47BD0" w:rsidRDefault="00C47BD0" w:rsidP="00020C16">
            <w:pPr>
              <w:pStyle w:val="Tabletext"/>
              <w:jc w:val="center"/>
              <w:rPr>
                <w:position w:val="2"/>
              </w:rPr>
            </w:pPr>
            <w:r>
              <w:rPr>
                <w:position w:val="2"/>
              </w:rPr>
              <w:t>24-20</w:t>
            </w:r>
            <w:r w:rsidR="006308B3" w:rsidRPr="00C47BD0">
              <w:rPr>
                <w:position w:val="2"/>
                <w:rtl/>
              </w:rPr>
              <w:t xml:space="preserve"> أكتوبر</w:t>
            </w:r>
            <w:r>
              <w:rPr>
                <w:position w:val="2"/>
              </w:rPr>
              <w:br/>
            </w:r>
            <w:r w:rsidR="006308B3" w:rsidRPr="00C47BD0">
              <w:rPr>
                <w:position w:val="2"/>
                <w:rtl/>
              </w:rPr>
              <w:t>تشنغدو، الصين</w:t>
            </w:r>
          </w:p>
        </w:tc>
        <w:tc>
          <w:tcPr>
            <w:tcW w:w="1468" w:type="dxa"/>
            <w:noWrap/>
            <w:hideMark/>
          </w:tcPr>
          <w:p w14:paraId="644FC76B"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63A236A0" w14:textId="77777777" w:rsidR="006308B3" w:rsidRPr="00C47BD0" w:rsidRDefault="006308B3" w:rsidP="00020C16">
            <w:pPr>
              <w:pStyle w:val="Tabletext"/>
              <w:jc w:val="center"/>
              <w:rPr>
                <w:position w:val="2"/>
              </w:rPr>
            </w:pPr>
            <w:r w:rsidRPr="00C47BD0">
              <w:rPr>
                <w:position w:val="2"/>
              </w:rPr>
              <w:t>−</w:t>
            </w:r>
          </w:p>
        </w:tc>
      </w:tr>
      <w:tr w:rsidR="006308B3" w:rsidRPr="006308B3" w14:paraId="1F761A30" w14:textId="77777777" w:rsidTr="00C47BD0">
        <w:trPr>
          <w:jc w:val="center"/>
        </w:trPr>
        <w:tc>
          <w:tcPr>
            <w:tcW w:w="2120" w:type="dxa"/>
            <w:noWrap/>
          </w:tcPr>
          <w:p w14:paraId="3926D3FA" w14:textId="77777777" w:rsidR="006308B3" w:rsidRPr="00C47BD0" w:rsidRDefault="006308B3" w:rsidP="00020C16">
            <w:pPr>
              <w:pStyle w:val="Tabletext"/>
              <w:rPr>
                <w:position w:val="2"/>
              </w:rPr>
            </w:pPr>
            <w:r w:rsidRPr="00C47BD0">
              <w:rPr>
                <w:position w:val="2"/>
                <w:rtl/>
              </w:rPr>
              <w:t>آسيا الوسطى</w:t>
            </w:r>
          </w:p>
        </w:tc>
        <w:tc>
          <w:tcPr>
            <w:tcW w:w="1638" w:type="dxa"/>
            <w:noWrap/>
          </w:tcPr>
          <w:p w14:paraId="219EE18F" w14:textId="77777777" w:rsidR="006308B3" w:rsidRPr="00C47BD0" w:rsidRDefault="006308B3" w:rsidP="00020C16">
            <w:pPr>
              <w:pStyle w:val="Tabletext"/>
              <w:jc w:val="center"/>
              <w:rPr>
                <w:position w:val="2"/>
              </w:rPr>
            </w:pPr>
            <w:r w:rsidRPr="00C47BD0">
              <w:rPr>
                <w:position w:val="2"/>
                <w:rtl/>
              </w:rPr>
              <w:t>الإنكليزية</w:t>
            </w:r>
          </w:p>
        </w:tc>
        <w:tc>
          <w:tcPr>
            <w:tcW w:w="1468" w:type="dxa"/>
            <w:noWrap/>
          </w:tcPr>
          <w:p w14:paraId="673FE637" w14:textId="77777777" w:rsidR="006308B3" w:rsidRPr="00C47BD0" w:rsidRDefault="006308B3" w:rsidP="00020C16">
            <w:pPr>
              <w:pStyle w:val="Tabletext"/>
              <w:jc w:val="center"/>
              <w:rPr>
                <w:position w:val="2"/>
              </w:rPr>
            </w:pPr>
            <w:r w:rsidRPr="00C47BD0">
              <w:rPr>
                <w:position w:val="2"/>
              </w:rPr>
              <w:t>−</w:t>
            </w:r>
          </w:p>
        </w:tc>
        <w:tc>
          <w:tcPr>
            <w:tcW w:w="1467" w:type="dxa"/>
          </w:tcPr>
          <w:p w14:paraId="196FBFD3" w14:textId="77777777" w:rsidR="006308B3" w:rsidRPr="00C47BD0" w:rsidRDefault="006308B3" w:rsidP="00020C16">
            <w:pPr>
              <w:pStyle w:val="Tabletext"/>
              <w:jc w:val="center"/>
              <w:rPr>
                <w:position w:val="2"/>
              </w:rPr>
            </w:pPr>
            <w:r w:rsidRPr="00C47BD0">
              <w:rPr>
                <w:position w:val="2"/>
              </w:rPr>
              <w:t>−</w:t>
            </w:r>
          </w:p>
        </w:tc>
        <w:tc>
          <w:tcPr>
            <w:tcW w:w="1468" w:type="dxa"/>
            <w:noWrap/>
          </w:tcPr>
          <w:p w14:paraId="070950D2" w14:textId="0ECF9464" w:rsidR="006308B3" w:rsidRPr="00B50A99" w:rsidRDefault="00C47BD0" w:rsidP="00C47BD0">
            <w:pPr>
              <w:pStyle w:val="Tabletext"/>
              <w:jc w:val="center"/>
              <w:rPr>
                <w:spacing w:val="-4"/>
                <w:position w:val="2"/>
              </w:rPr>
            </w:pPr>
            <w:r w:rsidRPr="00B50A99">
              <w:rPr>
                <w:spacing w:val="-4"/>
                <w:position w:val="2"/>
              </w:rPr>
              <w:t>25-21</w:t>
            </w:r>
            <w:r w:rsidR="006308B3" w:rsidRPr="00B50A99">
              <w:rPr>
                <w:spacing w:val="-4"/>
                <w:position w:val="2"/>
                <w:rtl/>
              </w:rPr>
              <w:t xml:space="preserve"> سبتمبر</w:t>
            </w:r>
            <w:r w:rsidRPr="00B50A99">
              <w:rPr>
                <w:spacing w:val="-4"/>
                <w:position w:val="2"/>
              </w:rPr>
              <w:br/>
            </w:r>
            <w:r w:rsidR="006308B3" w:rsidRPr="00B50A99">
              <w:rPr>
                <w:spacing w:val="-4"/>
                <w:position w:val="2"/>
                <w:rtl/>
              </w:rPr>
              <w:t>أولان باتور، منغوليا (يؤكد</w:t>
            </w:r>
            <w:r w:rsidRPr="00B50A99">
              <w:rPr>
                <w:spacing w:val="-4"/>
                <w:position w:val="2"/>
              </w:rPr>
              <w:t> </w:t>
            </w:r>
            <w:r w:rsidR="006308B3" w:rsidRPr="00B50A99">
              <w:rPr>
                <w:spacing w:val="-4"/>
                <w:position w:val="2"/>
                <w:rtl/>
              </w:rPr>
              <w:t>لاحقا</w:t>
            </w:r>
            <w:r w:rsidR="00B50A99">
              <w:rPr>
                <w:rFonts w:hint="cs"/>
                <w:spacing w:val="-4"/>
                <w:position w:val="2"/>
                <w:rtl/>
              </w:rPr>
              <w:t>ً</w:t>
            </w:r>
            <w:r w:rsidR="006308B3" w:rsidRPr="00B50A99">
              <w:rPr>
                <w:spacing w:val="-4"/>
                <w:position w:val="2"/>
                <w:rtl/>
              </w:rPr>
              <w:t>)</w:t>
            </w:r>
          </w:p>
        </w:tc>
        <w:tc>
          <w:tcPr>
            <w:tcW w:w="1468" w:type="dxa"/>
            <w:noWrap/>
          </w:tcPr>
          <w:p w14:paraId="0B6E3F11" w14:textId="77777777" w:rsidR="006308B3" w:rsidRPr="00C47BD0" w:rsidRDefault="006308B3" w:rsidP="00020C16">
            <w:pPr>
              <w:pStyle w:val="Tabletext"/>
              <w:jc w:val="center"/>
              <w:rPr>
                <w:position w:val="2"/>
              </w:rPr>
            </w:pPr>
            <w:r w:rsidRPr="00C47BD0">
              <w:rPr>
                <w:position w:val="2"/>
              </w:rPr>
              <w:t>−</w:t>
            </w:r>
          </w:p>
        </w:tc>
      </w:tr>
      <w:tr w:rsidR="006308B3" w:rsidRPr="006308B3" w14:paraId="53E739CB" w14:textId="77777777" w:rsidTr="00C47BD0">
        <w:trPr>
          <w:jc w:val="center"/>
        </w:trPr>
        <w:tc>
          <w:tcPr>
            <w:tcW w:w="2120" w:type="dxa"/>
            <w:shd w:val="clear" w:color="auto" w:fill="F2F2F2" w:themeFill="background1" w:themeFillShade="F2"/>
            <w:hideMark/>
          </w:tcPr>
          <w:p w14:paraId="10D760F5" w14:textId="77777777" w:rsidR="006308B3" w:rsidRPr="00A55AE3" w:rsidRDefault="006308B3" w:rsidP="00020C16">
            <w:pPr>
              <w:pStyle w:val="Tabletext"/>
              <w:rPr>
                <w:b/>
                <w:bCs/>
                <w:position w:val="2"/>
              </w:rPr>
            </w:pPr>
            <w:r w:rsidRPr="00A55AE3">
              <w:rPr>
                <w:b/>
                <w:bCs/>
                <w:position w:val="2"/>
                <w:rtl/>
              </w:rPr>
              <w:t>الدول العربية</w:t>
            </w:r>
            <w:r w:rsidRPr="00A55AE3">
              <w:rPr>
                <w:b/>
                <w:bCs/>
                <w:position w:val="2"/>
              </w:rPr>
              <w:t>:</w:t>
            </w:r>
            <w:r w:rsidRPr="00A55AE3">
              <w:rPr>
                <w:b/>
                <w:bCs/>
                <w:position w:val="2"/>
                <w:rtl/>
              </w:rPr>
              <w:t xml:space="preserve"> ARB (1)</w:t>
            </w:r>
          </w:p>
        </w:tc>
        <w:tc>
          <w:tcPr>
            <w:tcW w:w="1638" w:type="dxa"/>
            <w:hideMark/>
          </w:tcPr>
          <w:p w14:paraId="31AF4F5A" w14:textId="77777777" w:rsidR="006308B3" w:rsidRPr="00C47BD0" w:rsidRDefault="006308B3" w:rsidP="00020C16">
            <w:pPr>
              <w:pStyle w:val="Tabletext"/>
              <w:jc w:val="center"/>
              <w:rPr>
                <w:position w:val="2"/>
              </w:rPr>
            </w:pPr>
            <w:r w:rsidRPr="00C47BD0">
              <w:rPr>
                <w:position w:val="2"/>
                <w:rtl/>
              </w:rPr>
              <w:t>العربية/الإنكليزية</w:t>
            </w:r>
          </w:p>
        </w:tc>
        <w:tc>
          <w:tcPr>
            <w:tcW w:w="1468" w:type="dxa"/>
            <w:noWrap/>
          </w:tcPr>
          <w:p w14:paraId="2D83F9F3" w14:textId="77777777" w:rsidR="006308B3" w:rsidRPr="00C47BD0" w:rsidRDefault="006308B3" w:rsidP="00020C16">
            <w:pPr>
              <w:pStyle w:val="Tabletext"/>
              <w:jc w:val="center"/>
              <w:rPr>
                <w:position w:val="2"/>
              </w:rPr>
            </w:pPr>
            <w:r w:rsidRPr="00C47BD0">
              <w:rPr>
                <w:position w:val="2"/>
              </w:rPr>
              <w:t>−</w:t>
            </w:r>
          </w:p>
        </w:tc>
        <w:tc>
          <w:tcPr>
            <w:tcW w:w="1467" w:type="dxa"/>
            <w:noWrap/>
            <w:hideMark/>
          </w:tcPr>
          <w:p w14:paraId="3B18B957"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3E8B252F" w14:textId="77777777" w:rsidR="006308B3" w:rsidRPr="00C47BD0" w:rsidRDefault="006308B3" w:rsidP="00020C16">
            <w:pPr>
              <w:pStyle w:val="Tabletext"/>
              <w:jc w:val="center"/>
              <w:rPr>
                <w:position w:val="2"/>
              </w:rPr>
            </w:pPr>
          </w:p>
        </w:tc>
        <w:tc>
          <w:tcPr>
            <w:tcW w:w="1468" w:type="dxa"/>
            <w:noWrap/>
            <w:hideMark/>
          </w:tcPr>
          <w:p w14:paraId="7B1E4919" w14:textId="77777777" w:rsidR="006308B3" w:rsidRPr="00C47BD0" w:rsidRDefault="006308B3" w:rsidP="00020C16">
            <w:pPr>
              <w:pStyle w:val="Tabletext"/>
              <w:jc w:val="center"/>
              <w:rPr>
                <w:position w:val="2"/>
              </w:rPr>
            </w:pPr>
            <w:r w:rsidRPr="00C47BD0">
              <w:rPr>
                <w:position w:val="2"/>
                <w:rtl/>
              </w:rPr>
              <w:t>1Q</w:t>
            </w:r>
          </w:p>
        </w:tc>
      </w:tr>
      <w:tr w:rsidR="006308B3" w:rsidRPr="006308B3" w14:paraId="60BD4F8F" w14:textId="77777777" w:rsidTr="00C47BD0">
        <w:trPr>
          <w:jc w:val="center"/>
        </w:trPr>
        <w:tc>
          <w:tcPr>
            <w:tcW w:w="2120" w:type="dxa"/>
            <w:shd w:val="clear" w:color="auto" w:fill="F2F2F2" w:themeFill="background1" w:themeFillShade="F2"/>
            <w:hideMark/>
          </w:tcPr>
          <w:p w14:paraId="68A1085F" w14:textId="77777777" w:rsidR="006308B3" w:rsidRPr="00A55AE3" w:rsidRDefault="006308B3" w:rsidP="00020C16">
            <w:pPr>
              <w:pStyle w:val="Tabletext"/>
              <w:rPr>
                <w:b/>
                <w:bCs/>
                <w:position w:val="2"/>
              </w:rPr>
            </w:pPr>
            <w:r w:rsidRPr="00A55AE3">
              <w:rPr>
                <w:b/>
                <w:bCs/>
                <w:position w:val="2"/>
                <w:rtl/>
              </w:rPr>
              <w:t>كومنولث الدول المستقلة وأوروبا الشرقية (1)</w:t>
            </w:r>
          </w:p>
        </w:tc>
        <w:tc>
          <w:tcPr>
            <w:tcW w:w="1638" w:type="dxa"/>
            <w:hideMark/>
          </w:tcPr>
          <w:p w14:paraId="04CB065F" w14:textId="31DBE646" w:rsidR="006308B3" w:rsidRPr="00C47BD0" w:rsidRDefault="006308B3" w:rsidP="00020C16">
            <w:pPr>
              <w:pStyle w:val="Tabletext"/>
              <w:jc w:val="center"/>
              <w:rPr>
                <w:position w:val="2"/>
              </w:rPr>
            </w:pPr>
            <w:r w:rsidRPr="00C47BD0">
              <w:rPr>
                <w:position w:val="2"/>
                <w:rtl/>
              </w:rPr>
              <w:t>الروسية</w:t>
            </w:r>
          </w:p>
        </w:tc>
        <w:tc>
          <w:tcPr>
            <w:tcW w:w="1468" w:type="dxa"/>
            <w:noWrap/>
            <w:hideMark/>
          </w:tcPr>
          <w:p w14:paraId="1592F5D7" w14:textId="231C12CE" w:rsidR="006308B3" w:rsidRPr="00B50A99" w:rsidRDefault="00A55AE3" w:rsidP="00A55AE3">
            <w:pPr>
              <w:pStyle w:val="Tabletext"/>
              <w:jc w:val="center"/>
              <w:rPr>
                <w:spacing w:val="-4"/>
                <w:position w:val="2"/>
              </w:rPr>
            </w:pPr>
            <w:r w:rsidRPr="00B50A99">
              <w:rPr>
                <w:spacing w:val="-4"/>
                <w:position w:val="2"/>
              </w:rPr>
              <w:t>19-15</w:t>
            </w:r>
            <w:r w:rsidR="006308B3" w:rsidRPr="00B50A99">
              <w:rPr>
                <w:spacing w:val="-4"/>
                <w:position w:val="2"/>
                <w:rtl/>
              </w:rPr>
              <w:t xml:space="preserve"> أبريل</w:t>
            </w:r>
            <w:r w:rsidRPr="00B50A99">
              <w:rPr>
                <w:spacing w:val="-4"/>
                <w:position w:val="2"/>
                <w:rtl/>
              </w:rPr>
              <w:br/>
            </w:r>
            <w:r w:rsidR="006308B3" w:rsidRPr="00B50A99">
              <w:rPr>
                <w:spacing w:val="-4"/>
                <w:position w:val="2"/>
                <w:rtl/>
              </w:rPr>
              <w:t>أستانا، كازاخستان</w:t>
            </w:r>
          </w:p>
        </w:tc>
        <w:tc>
          <w:tcPr>
            <w:tcW w:w="1467" w:type="dxa"/>
            <w:noWrap/>
            <w:hideMark/>
          </w:tcPr>
          <w:p w14:paraId="41EE090E" w14:textId="77777777" w:rsidR="006308B3" w:rsidRPr="00C47BD0" w:rsidRDefault="006308B3" w:rsidP="00020C16">
            <w:pPr>
              <w:pStyle w:val="Tabletext"/>
              <w:jc w:val="center"/>
              <w:rPr>
                <w:position w:val="2"/>
              </w:rPr>
            </w:pPr>
            <w:r w:rsidRPr="00C47BD0">
              <w:rPr>
                <w:position w:val="2"/>
              </w:rPr>
              <w:t>−</w:t>
            </w:r>
          </w:p>
        </w:tc>
        <w:tc>
          <w:tcPr>
            <w:tcW w:w="1468" w:type="dxa"/>
            <w:hideMark/>
          </w:tcPr>
          <w:p w14:paraId="63DE30A8"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5DFD7D50" w14:textId="77777777" w:rsidR="006308B3" w:rsidRPr="00C47BD0" w:rsidRDefault="006308B3" w:rsidP="00020C16">
            <w:pPr>
              <w:pStyle w:val="Tabletext"/>
              <w:jc w:val="center"/>
              <w:rPr>
                <w:position w:val="2"/>
              </w:rPr>
            </w:pPr>
            <w:r w:rsidRPr="00C47BD0">
              <w:rPr>
                <w:position w:val="2"/>
              </w:rPr>
              <w:t>−</w:t>
            </w:r>
          </w:p>
        </w:tc>
      </w:tr>
      <w:tr w:rsidR="006308B3" w:rsidRPr="006308B3" w14:paraId="07217874" w14:textId="77777777" w:rsidTr="00C47BD0">
        <w:trPr>
          <w:jc w:val="center"/>
        </w:trPr>
        <w:tc>
          <w:tcPr>
            <w:tcW w:w="2120" w:type="dxa"/>
            <w:shd w:val="clear" w:color="auto" w:fill="F2F2F2" w:themeFill="background1" w:themeFillShade="F2"/>
            <w:hideMark/>
          </w:tcPr>
          <w:p w14:paraId="59A2178F" w14:textId="77777777" w:rsidR="006308B3" w:rsidRPr="00A55AE3" w:rsidRDefault="006308B3" w:rsidP="00020C16">
            <w:pPr>
              <w:pStyle w:val="Tabletext"/>
              <w:rPr>
                <w:b/>
                <w:bCs/>
                <w:position w:val="2"/>
              </w:rPr>
            </w:pPr>
            <w:r w:rsidRPr="00A55AE3">
              <w:rPr>
                <w:b/>
                <w:bCs/>
                <w:position w:val="2"/>
                <w:rtl/>
              </w:rPr>
              <w:t>أوروبا (1)</w:t>
            </w:r>
          </w:p>
        </w:tc>
        <w:tc>
          <w:tcPr>
            <w:tcW w:w="1638" w:type="dxa"/>
            <w:hideMark/>
          </w:tcPr>
          <w:p w14:paraId="3A6EB765" w14:textId="77777777" w:rsidR="006308B3" w:rsidRPr="00C47BD0" w:rsidRDefault="006308B3" w:rsidP="00020C16">
            <w:pPr>
              <w:pStyle w:val="Tabletext"/>
              <w:jc w:val="center"/>
              <w:rPr>
                <w:position w:val="2"/>
              </w:rPr>
            </w:pPr>
            <w:r w:rsidRPr="00C47BD0">
              <w:rPr>
                <w:position w:val="2"/>
                <w:rtl/>
              </w:rPr>
              <w:t>الإنكليزية</w:t>
            </w:r>
          </w:p>
        </w:tc>
        <w:tc>
          <w:tcPr>
            <w:tcW w:w="1468" w:type="dxa"/>
            <w:noWrap/>
            <w:hideMark/>
          </w:tcPr>
          <w:p w14:paraId="447E6D7D" w14:textId="77777777" w:rsidR="006308B3" w:rsidRPr="00C47BD0" w:rsidRDefault="006308B3" w:rsidP="00020C16">
            <w:pPr>
              <w:pStyle w:val="Tabletext"/>
              <w:jc w:val="center"/>
              <w:rPr>
                <w:position w:val="2"/>
              </w:rPr>
            </w:pPr>
            <w:r w:rsidRPr="00C47BD0">
              <w:rPr>
                <w:position w:val="2"/>
              </w:rPr>
              <w:t>−</w:t>
            </w:r>
          </w:p>
        </w:tc>
        <w:tc>
          <w:tcPr>
            <w:tcW w:w="1467" w:type="dxa"/>
            <w:noWrap/>
            <w:hideMark/>
          </w:tcPr>
          <w:p w14:paraId="413B3F68" w14:textId="77777777" w:rsidR="006308B3" w:rsidRPr="00C47BD0" w:rsidRDefault="006308B3" w:rsidP="00020C16">
            <w:pPr>
              <w:pStyle w:val="Tabletext"/>
              <w:jc w:val="center"/>
              <w:rPr>
                <w:position w:val="2"/>
              </w:rPr>
            </w:pPr>
            <w:r w:rsidRPr="00C47BD0">
              <w:rPr>
                <w:position w:val="2"/>
              </w:rPr>
              <w:t>−</w:t>
            </w:r>
          </w:p>
        </w:tc>
        <w:tc>
          <w:tcPr>
            <w:tcW w:w="1468" w:type="dxa"/>
            <w:noWrap/>
            <w:hideMark/>
          </w:tcPr>
          <w:p w14:paraId="252DD616" w14:textId="4BD7D213" w:rsidR="006308B3" w:rsidRPr="00C47BD0" w:rsidRDefault="00A55AE3" w:rsidP="00A55AE3">
            <w:pPr>
              <w:pStyle w:val="Tabletext"/>
              <w:jc w:val="center"/>
              <w:rPr>
                <w:position w:val="2"/>
              </w:rPr>
            </w:pPr>
            <w:r>
              <w:rPr>
                <w:position w:val="2"/>
              </w:rPr>
              <w:t>20-16</w:t>
            </w:r>
            <w:r w:rsidR="006308B3" w:rsidRPr="00C47BD0">
              <w:rPr>
                <w:position w:val="2"/>
                <w:rtl/>
              </w:rPr>
              <w:t xml:space="preserve"> فبراير</w:t>
            </w:r>
            <w:r>
              <w:rPr>
                <w:position w:val="2"/>
                <w:rtl/>
              </w:rPr>
              <w:br/>
            </w:r>
            <w:r w:rsidR="006308B3" w:rsidRPr="00C47BD0">
              <w:rPr>
                <w:position w:val="2"/>
                <w:rtl/>
              </w:rPr>
              <w:t>أثينا، اليونان</w:t>
            </w:r>
          </w:p>
        </w:tc>
        <w:tc>
          <w:tcPr>
            <w:tcW w:w="1468" w:type="dxa"/>
            <w:hideMark/>
          </w:tcPr>
          <w:p w14:paraId="6A7AE148" w14:textId="77777777" w:rsidR="006308B3" w:rsidRPr="00C47BD0" w:rsidRDefault="006308B3" w:rsidP="00020C16">
            <w:pPr>
              <w:pStyle w:val="Tabletext"/>
              <w:jc w:val="center"/>
              <w:rPr>
                <w:position w:val="2"/>
              </w:rPr>
            </w:pPr>
          </w:p>
        </w:tc>
      </w:tr>
    </w:tbl>
    <w:p w14:paraId="4C1C3BE4" w14:textId="77777777" w:rsidR="00674A3A" w:rsidRDefault="00674A3A" w:rsidP="00A65946">
      <w:pPr>
        <w:spacing w:before="240"/>
        <w:rPr>
          <w:rtl/>
        </w:rPr>
      </w:pPr>
      <w:r>
        <w:rPr>
          <w:rtl/>
        </w:rPr>
        <w:t>وكما هو الحال في الدورات السابقة، ومن أجل تحسين احتياجات الموارد، فإن هذا التخطيط المقترح يقوم على المبادئ التالية:</w:t>
      </w:r>
    </w:p>
    <w:p w14:paraId="72328A98" w14:textId="082647D6" w:rsidR="00674A3A" w:rsidRDefault="00E57CDF" w:rsidP="00E57CDF">
      <w:pPr>
        <w:pStyle w:val="enumlev1"/>
        <w:rPr>
          <w:rtl/>
        </w:rPr>
      </w:pPr>
      <w:r>
        <w:sym w:font="Wingdings 2" w:char="F097"/>
      </w:r>
      <w:r w:rsidR="00674A3A">
        <w:rPr>
          <w:rtl/>
        </w:rPr>
        <w:tab/>
        <w:t xml:space="preserve">الربع الأول من عام 2024: دون </w:t>
      </w:r>
      <w:r w:rsidR="00674A3A">
        <w:t>RRS/WRS</w:t>
      </w:r>
      <w:r w:rsidR="00674A3A">
        <w:rPr>
          <w:rtl/>
        </w:rPr>
        <w:t xml:space="preserve"> وتحديث لوائح الراديو والأدوات البرمجية المرتبطة بها؛</w:t>
      </w:r>
    </w:p>
    <w:p w14:paraId="17FBD139" w14:textId="738ECBF0" w:rsidR="00674A3A" w:rsidRDefault="00E57CDF" w:rsidP="00E57CDF">
      <w:pPr>
        <w:pStyle w:val="enumlev1"/>
        <w:rPr>
          <w:rFonts w:hint="cs"/>
          <w:rtl/>
          <w:lang w:bidi="ar-EG"/>
        </w:rPr>
      </w:pPr>
      <w:r>
        <w:sym w:font="Wingdings 2" w:char="F097"/>
      </w:r>
      <w:r w:rsidR="00674A3A">
        <w:rPr>
          <w:rtl/>
        </w:rPr>
        <w:tab/>
        <w:t xml:space="preserve">الفصل الثاني من عام 2027: دون </w:t>
      </w:r>
      <w:r w:rsidR="00674A3A">
        <w:t>RRS/WRS</w:t>
      </w:r>
      <w:r w:rsidR="00674A3A">
        <w:rPr>
          <w:rtl/>
        </w:rPr>
        <w:t xml:space="preserve">: التحضير للمؤتمر </w:t>
      </w:r>
      <w:r w:rsidR="00674A3A">
        <w:t>WRC-27</w:t>
      </w:r>
      <w:r w:rsidR="00674A3A">
        <w:rPr>
          <w:rtl/>
        </w:rPr>
        <w:t>؛</w:t>
      </w:r>
    </w:p>
    <w:p w14:paraId="32962FAE" w14:textId="58337E0C" w:rsidR="00674A3A" w:rsidRPr="00992D51" w:rsidRDefault="00E57CDF" w:rsidP="00E57CDF">
      <w:pPr>
        <w:pStyle w:val="enumlev1"/>
        <w:rPr>
          <w:spacing w:val="-4"/>
          <w:rtl/>
        </w:rPr>
      </w:pPr>
      <w:r w:rsidRPr="00992D51">
        <w:rPr>
          <w:spacing w:val="-4"/>
        </w:rPr>
        <w:sym w:font="Wingdings 2" w:char="F097"/>
      </w:r>
      <w:r w:rsidR="00674A3A" w:rsidRPr="00992D51">
        <w:rPr>
          <w:spacing w:val="-4"/>
          <w:rtl/>
        </w:rPr>
        <w:tab/>
        <w:t>حلقتان دراسيتان عالميتان للاتصالات الراديوية (</w:t>
      </w:r>
      <w:r w:rsidR="00674A3A" w:rsidRPr="00992D51">
        <w:rPr>
          <w:spacing w:val="-4"/>
        </w:rPr>
        <w:t>WRS</w:t>
      </w:r>
      <w:r w:rsidR="00674A3A" w:rsidRPr="00992D51">
        <w:rPr>
          <w:spacing w:val="-4"/>
          <w:rtl/>
        </w:rPr>
        <w:t xml:space="preserve">) في كل دورة (في ديسمبر، كل سنتين): </w:t>
      </w:r>
      <w:r w:rsidR="00674A3A" w:rsidRPr="00992D51">
        <w:rPr>
          <w:spacing w:val="-4"/>
        </w:rPr>
        <w:t>WRS-24</w:t>
      </w:r>
      <w:r w:rsidR="00674A3A" w:rsidRPr="00992D51">
        <w:rPr>
          <w:spacing w:val="-4"/>
          <w:rtl/>
        </w:rPr>
        <w:t xml:space="preserve"> و</w:t>
      </w:r>
      <w:r w:rsidR="00674A3A" w:rsidRPr="00992D51">
        <w:rPr>
          <w:spacing w:val="-4"/>
        </w:rPr>
        <w:t>WRS-26</w:t>
      </w:r>
      <w:r w:rsidR="00674A3A" w:rsidRPr="00992D51">
        <w:rPr>
          <w:spacing w:val="-4"/>
          <w:rtl/>
        </w:rPr>
        <w:t>؛</w:t>
      </w:r>
    </w:p>
    <w:p w14:paraId="46AFF3FD" w14:textId="65B7AD15" w:rsidR="00674A3A" w:rsidRPr="00992D51" w:rsidRDefault="00E57CDF" w:rsidP="00E57CDF">
      <w:pPr>
        <w:pStyle w:val="enumlev1"/>
        <w:rPr>
          <w:spacing w:val="-4"/>
          <w:rtl/>
        </w:rPr>
      </w:pPr>
      <w:r w:rsidRPr="00992D51">
        <w:rPr>
          <w:spacing w:val="-4"/>
        </w:rPr>
        <w:sym w:font="Wingdings 2" w:char="F097"/>
      </w:r>
      <w:r w:rsidR="00674A3A" w:rsidRPr="00992D51">
        <w:rPr>
          <w:spacing w:val="-4"/>
          <w:rtl/>
        </w:rPr>
        <w:tab/>
        <w:t>ستتألف الحلقة الدراسية العالمية الأولى للاتصالات الراديوية (</w:t>
      </w:r>
      <w:r w:rsidR="00674A3A" w:rsidRPr="00992D51">
        <w:rPr>
          <w:spacing w:val="-4"/>
        </w:rPr>
        <w:t>WRS</w:t>
      </w:r>
      <w:r w:rsidR="00674A3A" w:rsidRPr="00992D51">
        <w:rPr>
          <w:spacing w:val="-4"/>
          <w:rtl/>
        </w:rPr>
        <w:t>) بعد المؤتمر العالمي للاتصالات الراديوية (</w:t>
      </w:r>
      <w:r w:rsidR="00674A3A" w:rsidRPr="00992D51">
        <w:rPr>
          <w:spacing w:val="-4"/>
        </w:rPr>
        <w:t>WRS-24</w:t>
      </w:r>
      <w:r w:rsidR="00674A3A" w:rsidRPr="00992D51">
        <w:rPr>
          <w:spacing w:val="-4"/>
          <w:rtl/>
        </w:rPr>
        <w:t>) من جلسة مخصصة لشرح التعديلات التي أدخلها المؤتمر العالمي للاتصالات الراديوية على لوائح الراديو بالتفصيل؛</w:t>
      </w:r>
    </w:p>
    <w:p w14:paraId="672FF937" w14:textId="5BA11ACA" w:rsidR="00674A3A" w:rsidRDefault="00E57CDF" w:rsidP="00E57CDF">
      <w:pPr>
        <w:pStyle w:val="enumlev1"/>
        <w:rPr>
          <w:rtl/>
        </w:rPr>
      </w:pPr>
      <w:r>
        <w:sym w:font="Wingdings 2" w:char="F097"/>
      </w:r>
      <w:r w:rsidR="00674A3A">
        <w:rPr>
          <w:rtl/>
        </w:rPr>
        <w:tab/>
        <w:t>من المقرر أن تعقد الحلقتان الدراسيتان الإقليميتان للاتصالات الراديوية (</w:t>
      </w:r>
      <w:r w:rsidR="00674A3A">
        <w:t>RRS</w:t>
      </w:r>
      <w:r w:rsidR="00674A3A">
        <w:rPr>
          <w:rtl/>
        </w:rPr>
        <w:t>) في إفريقيا في سنوات مختلفة عن الحلقات الدراسية العالمية للاتصالات الراديوية (</w:t>
      </w:r>
      <w:r w:rsidR="00674A3A">
        <w:t>WRS</w:t>
      </w:r>
      <w:r w:rsidR="00674A3A">
        <w:rPr>
          <w:rtl/>
        </w:rPr>
        <w:t>)، على اعتبار أن المشاركة في الحلقة الدراسية الإقليمية لإفريقيا تضم ضعف عدد المشاركين في الحلقات الدراسية الإقليمية الأخرى للاتصالات الراديوية (</w:t>
      </w:r>
      <w:r w:rsidR="00674A3A">
        <w:t>RRS</w:t>
      </w:r>
      <w:r w:rsidR="00674A3A">
        <w:rPr>
          <w:rtl/>
        </w:rPr>
        <w:t>)، مما يسمح بتوزيع ميزانية المنح توزيعاً متساوياً؛</w:t>
      </w:r>
    </w:p>
    <w:p w14:paraId="367897AF" w14:textId="48BEB304" w:rsidR="00674A3A" w:rsidRDefault="00E57CDF" w:rsidP="00E57CDF">
      <w:pPr>
        <w:pStyle w:val="enumlev1"/>
        <w:rPr>
          <w:rtl/>
        </w:rPr>
      </w:pPr>
      <w:r>
        <w:sym w:font="Wingdings 2" w:char="F097"/>
      </w:r>
      <w:r w:rsidR="00674A3A">
        <w:rPr>
          <w:rtl/>
        </w:rPr>
        <w:tab/>
        <w:t>تنفذ الحلقات الإقليمية للاتصالات الراديوية (</w:t>
      </w:r>
      <w:r w:rsidR="00674A3A">
        <w:t>RRS</w:t>
      </w:r>
      <w:r w:rsidR="00674A3A">
        <w:rPr>
          <w:rtl/>
        </w:rPr>
        <w:t>) باللغة (اللغات) السائدة في المنطقة، مما يساعد على خفض تكاليف الترجمة الشفوية ويسمح بتبادل أسهل للمعلومات أثناء الحدث؛</w:t>
      </w:r>
    </w:p>
    <w:p w14:paraId="4B5FF335" w14:textId="4A823756" w:rsidR="00674A3A" w:rsidRDefault="00E57CDF" w:rsidP="00E57CDF">
      <w:pPr>
        <w:pStyle w:val="enumlev1"/>
        <w:rPr>
          <w:rtl/>
        </w:rPr>
      </w:pPr>
      <w:r>
        <w:sym w:font="Wingdings 2" w:char="F097"/>
      </w:r>
      <w:r w:rsidR="00674A3A">
        <w:rPr>
          <w:rtl/>
        </w:rPr>
        <w:tab/>
        <w:t>تتلاءم برامج هذه الحلقات الدراسية الإقليمية للاتصالات الراديوية (</w:t>
      </w:r>
      <w:r w:rsidR="00674A3A">
        <w:t>RRS</w:t>
      </w:r>
      <w:r w:rsidR="00674A3A">
        <w:rPr>
          <w:rtl/>
        </w:rPr>
        <w:t>) مع الاحتياجات الخاصة للمنطقة المعنية؛</w:t>
      </w:r>
    </w:p>
    <w:p w14:paraId="3B0221E7" w14:textId="4D87AE05" w:rsidR="00674A3A" w:rsidRDefault="00E57CDF" w:rsidP="00E57CDF">
      <w:pPr>
        <w:pStyle w:val="enumlev1"/>
        <w:rPr>
          <w:rtl/>
        </w:rPr>
      </w:pPr>
      <w:r>
        <w:sym w:font="Wingdings 2" w:char="F097"/>
      </w:r>
      <w:r w:rsidR="00674A3A">
        <w:rPr>
          <w:rtl/>
        </w:rPr>
        <w:tab/>
        <w:t>تتضمن كل حلقة من الحلقات الدراسية الإقليمية للاتصالات الراديوية (</w:t>
      </w:r>
      <w:r w:rsidR="00674A3A">
        <w:t>RRS</w:t>
      </w:r>
      <w:r w:rsidR="00674A3A">
        <w:rPr>
          <w:rtl/>
        </w:rPr>
        <w:t>) لجلسات من نمط المنتدى (وقد يكون من الضروري توفير الترجمة الشفوية من/إلى الإنكليزية ضرورياً في تلك الجلسات).</w:t>
      </w:r>
    </w:p>
    <w:p w14:paraId="5BDB791A" w14:textId="77777777" w:rsidR="00674A3A" w:rsidRDefault="00674A3A" w:rsidP="00674A3A">
      <w:pPr>
        <w:rPr>
          <w:rtl/>
        </w:rPr>
      </w:pPr>
      <w:r>
        <w:rPr>
          <w:rtl/>
        </w:rPr>
        <w:t>ويجري تنسيق التخطيط أعلاه على النحو الواجب مع المكاتب الإقليمية (</w:t>
      </w:r>
      <w:r>
        <w:t>RO</w:t>
      </w:r>
      <w:r>
        <w:rPr>
          <w:rtl/>
        </w:rPr>
        <w:t>) للاتحاد والأفرقة الإقليمية ذات الصلة.</w:t>
      </w:r>
    </w:p>
    <w:p w14:paraId="0616D62E" w14:textId="312A082D" w:rsidR="00816C27" w:rsidRDefault="00992D51" w:rsidP="00992D51">
      <w:pPr>
        <w:pStyle w:val="Heading3"/>
        <w:rPr>
          <w:rtl/>
        </w:rPr>
      </w:pPr>
      <w:bookmarkStart w:id="48" w:name="_Toc223961999"/>
      <w:r>
        <w:t>1.2.8</w:t>
      </w:r>
      <w:r w:rsidR="00674A3A">
        <w:rPr>
          <w:rtl/>
        </w:rPr>
        <w:tab/>
        <w:t>الحلقات الدراسية العالمية للاتصالات الراديوية (</w:t>
      </w:r>
      <w:r w:rsidR="00674A3A">
        <w:t>WRS</w:t>
      </w:r>
      <w:r w:rsidR="00674A3A">
        <w:rPr>
          <w:rtl/>
        </w:rPr>
        <w:t>)</w:t>
      </w:r>
      <w:bookmarkEnd w:id="48"/>
    </w:p>
    <w:p w14:paraId="5D0870DA" w14:textId="5148BA66" w:rsidR="00674A3A" w:rsidRDefault="00674A3A" w:rsidP="00674A3A">
      <w:pPr>
        <w:rPr>
          <w:rtl/>
        </w:rPr>
      </w:pPr>
      <w:r>
        <w:rPr>
          <w:rtl/>
        </w:rPr>
        <w:t>عقدت الحلقة الدراسية العالمية الأخيرة للاتصالات الراديوية (</w:t>
      </w:r>
      <w:r>
        <w:t>WRS</w:t>
      </w:r>
      <w:r>
        <w:rPr>
          <w:rtl/>
        </w:rPr>
        <w:t>) من 2 إلى 6 ديسمبر 2024، في جنيف، سويسرا، بحضور</w:t>
      </w:r>
      <w:r w:rsidR="00D15AE1">
        <w:rPr>
          <w:rFonts w:hint="eastAsia"/>
          <w:rtl/>
        </w:rPr>
        <w:t> </w:t>
      </w:r>
      <w:r>
        <w:rPr>
          <w:rtl/>
        </w:rPr>
        <w:t>657 مشاركاً من 114 بلداً؛ وقدم مكتب الاتصالات الراديوية 50 منحة لحضور الحلقة الدراسية العالمية للاتصالات الراديوية لعام 2024 (</w:t>
      </w:r>
      <w:r>
        <w:t>WRS-24</w:t>
      </w:r>
      <w:r>
        <w:rPr>
          <w:rtl/>
        </w:rPr>
        <w:t>).</w:t>
      </w:r>
    </w:p>
    <w:p w14:paraId="2743E5E5" w14:textId="77777777" w:rsidR="00816C27" w:rsidRDefault="00674A3A" w:rsidP="00674A3A">
      <w:pPr>
        <w:rPr>
          <w:rtl/>
        </w:rPr>
      </w:pPr>
      <w:r>
        <w:rPr>
          <w:rtl/>
        </w:rPr>
        <w:lastRenderedPageBreak/>
        <w:t xml:space="preserve">وعُقدت الجلسات العامة للحلقة الدراسية العالمية </w:t>
      </w:r>
      <w:r>
        <w:t>WRS-24</w:t>
      </w:r>
      <w:r>
        <w:rPr>
          <w:rtl/>
        </w:rPr>
        <w:t xml:space="preserve"> على مدى يومين كجلسة حضورية مقرونة بمشاركة عن بُعد. وكانت مفتوحة أمام الجميع.</w:t>
      </w:r>
    </w:p>
    <w:p w14:paraId="14297A7C" w14:textId="3523536A" w:rsidR="00674A3A" w:rsidRDefault="00674A3A" w:rsidP="00674A3A">
      <w:pPr>
        <w:rPr>
          <w:rtl/>
        </w:rPr>
      </w:pPr>
      <w:r>
        <w:rPr>
          <w:rtl/>
        </w:rPr>
        <w:t xml:space="preserve">وعُقدت ورش عمل لخدمات الأرض والخدمات الفضائية للحلقة الدراسية العالمية </w:t>
      </w:r>
      <w:r>
        <w:t>WRS-24</w:t>
      </w:r>
      <w:r>
        <w:rPr>
          <w:rtl/>
        </w:rPr>
        <w:t xml:space="preserve"> بالتوازي طوال ثلاثة أيام، بوصفها اجتماعات حضورية حصراً واقتصرت على مشاركة أعضاء قطاع الاتصالات الراديوية. وخلال ورش عمل الخدمات الفضائية وخدمات الأرض، تلقى المشاركون خبرة عملية في إجراءات التبليغ الخاصة بالاتحاد، فضلاً عن البرمجيات وقواعد البيانات والمنشورات الإلكترونية التي أتاحها مكتب الاتصالات الراديوية لأعضاء الاتحاد. وأتيحت جلسات مخصصة لكل من المبتدئين والمستعملين المتقدمين لأدوات برمجيات مكتب الاتصالات الراديوية. وتضمنت الحلقة الدراسية العالمية </w:t>
      </w:r>
      <w:r>
        <w:t>WRS-24</w:t>
      </w:r>
      <w:r>
        <w:rPr>
          <w:rtl/>
        </w:rPr>
        <w:t>جلسات لعرض الجوانب التنظيمية والتقنية لأنظمة كوكبات سواتل الاتصالات غير المستقرة بالنسبة إلى الأرض.</w:t>
      </w:r>
    </w:p>
    <w:p w14:paraId="164CAD2F" w14:textId="77777777" w:rsidR="00674A3A" w:rsidRDefault="00674A3A" w:rsidP="00674A3A">
      <w:pPr>
        <w:rPr>
          <w:rtl/>
        </w:rPr>
      </w:pPr>
      <w:r>
        <w:rPr>
          <w:rtl/>
        </w:rPr>
        <w:t xml:space="preserve">ومن المخطط عقد الحلقة الدراسية العالمية المقبلة للاتصالات الراديوية، </w:t>
      </w:r>
      <w:r>
        <w:t>WRS-26</w:t>
      </w:r>
      <w:r>
        <w:rPr>
          <w:rtl/>
        </w:rPr>
        <w:t>، في الفترة من 7 إلى 11 ديسمبر 2026.</w:t>
      </w:r>
    </w:p>
    <w:p w14:paraId="4ABBD309" w14:textId="399943EB" w:rsidR="00816C27" w:rsidRDefault="00D15AE1" w:rsidP="00D15AE1">
      <w:pPr>
        <w:pStyle w:val="Heading3"/>
        <w:rPr>
          <w:rtl/>
        </w:rPr>
      </w:pPr>
      <w:bookmarkStart w:id="49" w:name="_Toc223962000"/>
      <w:r>
        <w:t>2.2.8</w:t>
      </w:r>
      <w:r w:rsidR="00674A3A">
        <w:rPr>
          <w:rtl/>
        </w:rPr>
        <w:tab/>
        <w:t>الحلقات الدراسية الإقليمية للاتصالات الراديوية (</w:t>
      </w:r>
      <w:r w:rsidR="00674A3A">
        <w:t>RRS</w:t>
      </w:r>
      <w:r w:rsidR="00674A3A">
        <w:rPr>
          <w:rtl/>
        </w:rPr>
        <w:t>)</w:t>
      </w:r>
      <w:bookmarkEnd w:id="49"/>
    </w:p>
    <w:p w14:paraId="7810F2B4" w14:textId="72D75A9B" w:rsidR="00674A3A" w:rsidRDefault="00674A3A" w:rsidP="00674A3A">
      <w:pPr>
        <w:rPr>
          <w:rtl/>
        </w:rPr>
      </w:pPr>
      <w:r>
        <w:rPr>
          <w:rtl/>
        </w:rPr>
        <w:t>كتكملة للحلقة الدراسية العالمية للاتصالات الراديوية كل سنتين، واصل مكتب الاتصالات الراديوية استراتيجيته للتوعية الإقليمية من خلال تنظيم الحلقات الدراسية الإقليمية للاتصالات الراديوية (</w:t>
      </w:r>
      <w:r>
        <w:t>RRS</w:t>
      </w:r>
      <w:r>
        <w:rPr>
          <w:rtl/>
        </w:rPr>
        <w:t>) بهدف زيارة كل إقليم، وتعزيز بناء القدرات البشرية بشأن استعمال طيف الترددات الراديوية والمدارات الساتلية، ولا سيما تطبيق أحكام لوائح الراديو الصادرة عن الاتحاد.</w:t>
      </w:r>
    </w:p>
    <w:p w14:paraId="503933C6" w14:textId="228C7D24" w:rsidR="00816C27" w:rsidRDefault="00674A3A" w:rsidP="00674A3A">
      <w:pPr>
        <w:rPr>
          <w:rtl/>
        </w:rPr>
      </w:pPr>
      <w:r>
        <w:rPr>
          <w:rtl/>
        </w:rPr>
        <w:t>وتنظم الحلقات الدراسية الإقليمية للاتصالات الراديوية (</w:t>
      </w:r>
      <w:r>
        <w:t>RRS</w:t>
      </w:r>
      <w:r>
        <w:rPr>
          <w:rtl/>
        </w:rPr>
        <w:t>) بالاشتراك مع سلطات إدارة الطيف في البلدان المضيفة، بالتعاون الوثيق مع المنظمات الإقليمية ذات الصلة والمكاتب الإقليمية/مكاتب المناطق التابعة للاتحاد. ويتضمن جدول أعمالها يومين من الجلسات النظرية ويوماً من ورش العمل بشأن خدمات الأرض والخدمات الفضائية. وتُستكمل بجلسات من نمط المنتدى مكرسة للمواضيع المتصلة بالطيف ذات الأهمية الخاصة للمنطقة.</w:t>
      </w:r>
    </w:p>
    <w:p w14:paraId="3C4C7EC3" w14:textId="70D80CBC" w:rsidR="00674A3A" w:rsidRDefault="00674A3A" w:rsidP="00674A3A">
      <w:pPr>
        <w:rPr>
          <w:rtl/>
        </w:rPr>
      </w:pPr>
      <w:r>
        <w:rPr>
          <w:rtl/>
        </w:rPr>
        <w:t xml:space="preserve">ويقدم الجدول </w:t>
      </w:r>
      <w:r w:rsidR="009D43A9">
        <w:t>1-2.2.8</w:t>
      </w:r>
      <w:r>
        <w:rPr>
          <w:rtl/>
        </w:rPr>
        <w:t xml:space="preserve"> ملخصاً مفصلاً للحلقات الدراسية الإقليمية للاتصالات الراديوية (</w:t>
      </w:r>
      <w:r>
        <w:t>RRS</w:t>
      </w:r>
      <w:r>
        <w:rPr>
          <w:rtl/>
        </w:rPr>
        <w:t>) التي عُقدت في عام 2025.</w:t>
      </w:r>
    </w:p>
    <w:p w14:paraId="5DA7E5CA" w14:textId="73C79A22" w:rsidR="00674A3A" w:rsidRDefault="00674A3A" w:rsidP="00674A3A">
      <w:pPr>
        <w:rPr>
          <w:rtl/>
        </w:rPr>
      </w:pPr>
      <w:r>
        <w:rPr>
          <w:rtl/>
        </w:rPr>
        <w:t xml:space="preserve">انظر الجدول </w:t>
      </w:r>
      <w:r w:rsidR="009D43A9">
        <w:t>1-2.8</w:t>
      </w:r>
      <w:r>
        <w:rPr>
          <w:rtl/>
        </w:rPr>
        <w:t xml:space="preserve"> للاطلاع على قائمة الحلقات الدراسية الإقليمية المخططة في عام 2026.</w:t>
      </w:r>
    </w:p>
    <w:p w14:paraId="40F98EFD" w14:textId="77777777" w:rsidR="006308B3" w:rsidRDefault="006308B3" w:rsidP="00674A3A">
      <w:pPr>
        <w:rPr>
          <w:rtl/>
        </w:rPr>
        <w:sectPr w:rsidR="006308B3" w:rsidSect="004D4AE6">
          <w:headerReference w:type="even" r:id="rId66"/>
          <w:headerReference w:type="default" r:id="rId67"/>
          <w:pgSz w:w="11907" w:h="16834" w:code="9"/>
          <w:pgMar w:top="1418" w:right="1134" w:bottom="1134" w:left="1134" w:header="567" w:footer="567" w:gutter="0"/>
          <w:cols w:space="720"/>
          <w:titlePg/>
          <w:bidi/>
          <w:rtlGutter/>
        </w:sectPr>
      </w:pPr>
    </w:p>
    <w:p w14:paraId="3B8A865C" w14:textId="297230AF" w:rsidR="00674A3A" w:rsidRDefault="00674A3A" w:rsidP="009D43A9">
      <w:pPr>
        <w:pStyle w:val="TableNo"/>
        <w:rPr>
          <w:rtl/>
        </w:rPr>
      </w:pPr>
      <w:r>
        <w:rPr>
          <w:rtl/>
        </w:rPr>
        <w:lastRenderedPageBreak/>
        <w:t xml:space="preserve">الجدول </w:t>
      </w:r>
      <w:r w:rsidR="009D43A9">
        <w:t>1-2.2.8</w:t>
      </w:r>
    </w:p>
    <w:p w14:paraId="4C513A7B" w14:textId="77777777" w:rsidR="00674A3A" w:rsidRDefault="00674A3A" w:rsidP="009D43A9">
      <w:pPr>
        <w:pStyle w:val="Tabletitle"/>
        <w:rPr>
          <w:rtl/>
        </w:rPr>
      </w:pPr>
      <w:r>
        <w:rPr>
          <w:rtl/>
        </w:rPr>
        <w:t>الحلقات الدراسية الإقليمية للاتصالات الراديوية لعام 2025 التابعة للاتحاد</w:t>
      </w:r>
    </w:p>
    <w:tbl>
      <w:tblPr>
        <w:tblStyle w:val="TableGrid"/>
        <w:bidiVisual/>
        <w:tblW w:w="5000" w:type="pct"/>
        <w:jc w:val="center"/>
        <w:tblLayout w:type="fixed"/>
        <w:tblCellMar>
          <w:left w:w="85" w:type="dxa"/>
          <w:right w:w="85" w:type="dxa"/>
        </w:tblCellMar>
        <w:tblLook w:val="04A0" w:firstRow="1" w:lastRow="0" w:firstColumn="1" w:lastColumn="0" w:noHBand="0" w:noVBand="1"/>
      </w:tblPr>
      <w:tblGrid>
        <w:gridCol w:w="1658"/>
        <w:gridCol w:w="2834"/>
        <w:gridCol w:w="1276"/>
        <w:gridCol w:w="3118"/>
        <w:gridCol w:w="1845"/>
        <w:gridCol w:w="928"/>
        <w:gridCol w:w="1688"/>
        <w:gridCol w:w="1775"/>
      </w:tblGrid>
      <w:tr w:rsidR="004E4DB4" w:rsidRPr="004E4DB4" w14:paraId="6BE164D4" w14:textId="77777777" w:rsidTr="004E4DB4">
        <w:trPr>
          <w:tblHeader/>
          <w:jc w:val="center"/>
        </w:trPr>
        <w:tc>
          <w:tcPr>
            <w:tcW w:w="548" w:type="pct"/>
            <w:tcBorders>
              <w:top w:val="single" w:sz="4" w:space="0" w:color="auto"/>
              <w:left w:val="single" w:sz="4" w:space="0" w:color="auto"/>
              <w:bottom w:val="single" w:sz="4" w:space="0" w:color="auto"/>
              <w:right w:val="single" w:sz="4" w:space="0" w:color="auto"/>
            </w:tcBorders>
            <w:vAlign w:val="center"/>
            <w:hideMark/>
          </w:tcPr>
          <w:p w14:paraId="7A0A391E" w14:textId="77777777" w:rsidR="006308B3" w:rsidRPr="004E4DB4" w:rsidRDefault="006308B3" w:rsidP="009D43A9">
            <w:pPr>
              <w:pStyle w:val="Tablehead"/>
              <w:rPr>
                <w:position w:val="2"/>
                <w:lang w:bidi="ar-SA"/>
              </w:rPr>
            </w:pPr>
            <w:r w:rsidRPr="004E4DB4">
              <w:rPr>
                <w:position w:val="2"/>
                <w:rtl/>
              </w:rPr>
              <w:t>التاريخ</w:t>
            </w:r>
          </w:p>
        </w:tc>
        <w:tc>
          <w:tcPr>
            <w:tcW w:w="937" w:type="pct"/>
            <w:tcBorders>
              <w:top w:val="single" w:sz="4" w:space="0" w:color="auto"/>
              <w:left w:val="single" w:sz="4" w:space="0" w:color="auto"/>
              <w:bottom w:val="single" w:sz="4" w:space="0" w:color="auto"/>
              <w:right w:val="single" w:sz="4" w:space="0" w:color="auto"/>
            </w:tcBorders>
            <w:vAlign w:val="center"/>
            <w:hideMark/>
          </w:tcPr>
          <w:p w14:paraId="753E3DEA" w14:textId="77777777" w:rsidR="006308B3" w:rsidRPr="004E4DB4" w:rsidRDefault="006308B3" w:rsidP="009D43A9">
            <w:pPr>
              <w:pStyle w:val="Tablehead"/>
              <w:rPr>
                <w:position w:val="2"/>
                <w:lang w:bidi="ar-SA"/>
              </w:rPr>
            </w:pPr>
            <w:r w:rsidRPr="004E4DB4">
              <w:rPr>
                <w:position w:val="2"/>
                <w:rtl/>
              </w:rPr>
              <w:t xml:space="preserve">الحلقات الدراسية الإقليمية للاتصالات الراديوية </w:t>
            </w:r>
            <w:r w:rsidRPr="004E4DB4">
              <w:rPr>
                <w:position w:val="2"/>
              </w:rPr>
              <w:t>(RSS)</w:t>
            </w:r>
          </w:p>
        </w:tc>
        <w:tc>
          <w:tcPr>
            <w:tcW w:w="422" w:type="pct"/>
            <w:tcBorders>
              <w:top w:val="single" w:sz="4" w:space="0" w:color="auto"/>
              <w:left w:val="single" w:sz="4" w:space="0" w:color="auto"/>
              <w:bottom w:val="single" w:sz="4" w:space="0" w:color="auto"/>
              <w:right w:val="single" w:sz="4" w:space="0" w:color="auto"/>
            </w:tcBorders>
            <w:vAlign w:val="center"/>
            <w:hideMark/>
          </w:tcPr>
          <w:p w14:paraId="6FDA2A53" w14:textId="77777777" w:rsidR="006308B3" w:rsidRPr="004E4DB4" w:rsidRDefault="006308B3" w:rsidP="009D43A9">
            <w:pPr>
              <w:pStyle w:val="Tablehead"/>
              <w:rPr>
                <w:position w:val="2"/>
                <w:lang w:bidi="ar-SA"/>
              </w:rPr>
            </w:pPr>
            <w:r w:rsidRPr="004E4DB4">
              <w:rPr>
                <w:position w:val="2"/>
                <w:rtl/>
              </w:rPr>
              <w:t>المكان</w:t>
            </w:r>
          </w:p>
        </w:tc>
        <w:tc>
          <w:tcPr>
            <w:tcW w:w="1031" w:type="pct"/>
            <w:tcBorders>
              <w:top w:val="single" w:sz="4" w:space="0" w:color="auto"/>
              <w:left w:val="single" w:sz="4" w:space="0" w:color="auto"/>
              <w:bottom w:val="single" w:sz="4" w:space="0" w:color="auto"/>
              <w:right w:val="single" w:sz="4" w:space="0" w:color="auto"/>
            </w:tcBorders>
            <w:vAlign w:val="center"/>
            <w:hideMark/>
          </w:tcPr>
          <w:p w14:paraId="1F9696C9" w14:textId="77777777" w:rsidR="006308B3" w:rsidRPr="004E4DB4" w:rsidRDefault="006308B3" w:rsidP="009D43A9">
            <w:pPr>
              <w:pStyle w:val="Tablehead"/>
              <w:rPr>
                <w:position w:val="2"/>
                <w:lang w:bidi="ar-SA"/>
              </w:rPr>
            </w:pPr>
            <w:r w:rsidRPr="004E4DB4">
              <w:rPr>
                <w:position w:val="2"/>
                <w:rtl/>
              </w:rPr>
              <w:t>التعاون</w:t>
            </w:r>
          </w:p>
        </w:tc>
        <w:tc>
          <w:tcPr>
            <w:tcW w:w="610" w:type="pct"/>
            <w:tcBorders>
              <w:top w:val="single" w:sz="4" w:space="0" w:color="auto"/>
              <w:left w:val="single" w:sz="4" w:space="0" w:color="auto"/>
              <w:bottom w:val="single" w:sz="4" w:space="0" w:color="auto"/>
              <w:right w:val="single" w:sz="4" w:space="0" w:color="auto"/>
            </w:tcBorders>
            <w:vAlign w:val="center"/>
            <w:hideMark/>
          </w:tcPr>
          <w:p w14:paraId="6F234E65" w14:textId="77777777" w:rsidR="006308B3" w:rsidRPr="004E4DB4" w:rsidRDefault="006308B3" w:rsidP="009D43A9">
            <w:pPr>
              <w:pStyle w:val="Tablehead"/>
              <w:rPr>
                <w:position w:val="2"/>
                <w:lang w:bidi="ar-SA"/>
              </w:rPr>
            </w:pPr>
            <w:r w:rsidRPr="004E4DB4">
              <w:rPr>
                <w:position w:val="2"/>
                <w:rtl/>
              </w:rPr>
              <w:t>موضوعات المنتدى</w:t>
            </w:r>
          </w:p>
        </w:tc>
        <w:tc>
          <w:tcPr>
            <w:tcW w:w="307" w:type="pct"/>
            <w:tcBorders>
              <w:top w:val="single" w:sz="4" w:space="0" w:color="auto"/>
              <w:left w:val="single" w:sz="4" w:space="0" w:color="auto"/>
              <w:bottom w:val="single" w:sz="4" w:space="0" w:color="auto"/>
              <w:right w:val="single" w:sz="4" w:space="0" w:color="auto"/>
            </w:tcBorders>
            <w:vAlign w:val="center"/>
            <w:hideMark/>
          </w:tcPr>
          <w:p w14:paraId="38836D6E" w14:textId="77777777" w:rsidR="006308B3" w:rsidRPr="004E4DB4" w:rsidRDefault="006308B3" w:rsidP="009D43A9">
            <w:pPr>
              <w:pStyle w:val="Tablehead"/>
              <w:rPr>
                <w:position w:val="2"/>
                <w:lang w:bidi="ar-SA"/>
              </w:rPr>
            </w:pPr>
            <w:r w:rsidRPr="004E4DB4">
              <w:rPr>
                <w:position w:val="2"/>
                <w:rtl/>
              </w:rPr>
              <w:t>اللغات</w:t>
            </w:r>
          </w:p>
        </w:tc>
        <w:tc>
          <w:tcPr>
            <w:tcW w:w="558" w:type="pct"/>
            <w:tcBorders>
              <w:top w:val="single" w:sz="4" w:space="0" w:color="auto"/>
              <w:left w:val="single" w:sz="4" w:space="0" w:color="auto"/>
              <w:bottom w:val="single" w:sz="4" w:space="0" w:color="auto"/>
              <w:right w:val="single" w:sz="4" w:space="0" w:color="auto"/>
            </w:tcBorders>
            <w:vAlign w:val="center"/>
            <w:hideMark/>
          </w:tcPr>
          <w:p w14:paraId="2509EECD" w14:textId="77777777" w:rsidR="006308B3" w:rsidRPr="004E4DB4" w:rsidRDefault="006308B3" w:rsidP="009D43A9">
            <w:pPr>
              <w:pStyle w:val="Tablehead"/>
              <w:rPr>
                <w:spacing w:val="-2"/>
                <w:position w:val="2"/>
                <w:lang w:bidi="ar-SA"/>
              </w:rPr>
            </w:pPr>
            <w:r w:rsidRPr="004E4DB4">
              <w:rPr>
                <w:spacing w:val="-2"/>
                <w:position w:val="2"/>
                <w:rtl/>
              </w:rPr>
              <w:t>المشاركون/الإدارات</w:t>
            </w:r>
          </w:p>
        </w:tc>
        <w:tc>
          <w:tcPr>
            <w:tcW w:w="587" w:type="pct"/>
            <w:tcBorders>
              <w:top w:val="single" w:sz="4" w:space="0" w:color="auto"/>
              <w:left w:val="single" w:sz="4" w:space="0" w:color="auto"/>
              <w:bottom w:val="single" w:sz="4" w:space="0" w:color="auto"/>
              <w:right w:val="single" w:sz="4" w:space="0" w:color="auto"/>
            </w:tcBorders>
            <w:vAlign w:val="center"/>
          </w:tcPr>
          <w:p w14:paraId="091B0026" w14:textId="77777777" w:rsidR="006308B3" w:rsidRPr="004E4DB4" w:rsidRDefault="006308B3" w:rsidP="009D43A9">
            <w:pPr>
              <w:pStyle w:val="Tablehead"/>
              <w:rPr>
                <w:position w:val="2"/>
                <w:lang w:bidi="ar-SA"/>
              </w:rPr>
            </w:pPr>
            <w:r w:rsidRPr="004E4DB4">
              <w:rPr>
                <w:position w:val="2"/>
                <w:rtl/>
              </w:rPr>
              <w:t>المنح</w:t>
            </w:r>
          </w:p>
        </w:tc>
      </w:tr>
      <w:tr w:rsidR="004E4DB4" w:rsidRPr="004E4DB4" w14:paraId="3F12D302" w14:textId="77777777" w:rsidTr="004E4DB4">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40E60D9B" w14:textId="6195D80B" w:rsidR="006308B3" w:rsidRPr="004E4DB4" w:rsidRDefault="009D43A9" w:rsidP="009D43A9">
            <w:pPr>
              <w:pStyle w:val="Tabletext"/>
              <w:rPr>
                <w:position w:val="2"/>
              </w:rPr>
            </w:pPr>
            <w:r w:rsidRPr="004E4DB4">
              <w:rPr>
                <w:position w:val="2"/>
              </w:rPr>
              <w:t>8-5</w:t>
            </w:r>
            <w:r w:rsidR="006308B3" w:rsidRPr="004E4DB4">
              <w:rPr>
                <w:position w:val="2"/>
                <w:rtl/>
              </w:rPr>
              <w:t xml:space="preserve"> مايو 2025</w:t>
            </w:r>
          </w:p>
        </w:tc>
        <w:tc>
          <w:tcPr>
            <w:tcW w:w="937" w:type="pct"/>
            <w:tcBorders>
              <w:top w:val="single" w:sz="4" w:space="0" w:color="auto"/>
              <w:left w:val="single" w:sz="4" w:space="0" w:color="auto"/>
              <w:bottom w:val="single" w:sz="4" w:space="0" w:color="auto"/>
              <w:right w:val="single" w:sz="4" w:space="0" w:color="auto"/>
            </w:tcBorders>
            <w:vAlign w:val="center"/>
            <w:hideMark/>
          </w:tcPr>
          <w:p w14:paraId="54A4BF0F" w14:textId="70CEB26B" w:rsidR="006308B3" w:rsidRPr="004E4DB4" w:rsidRDefault="006308B3" w:rsidP="009D43A9">
            <w:pPr>
              <w:pStyle w:val="Tabletext"/>
              <w:rPr>
                <w:b/>
                <w:position w:val="2"/>
              </w:rPr>
            </w:pPr>
            <w:r w:rsidRPr="004E4DB4">
              <w:rPr>
                <w:b/>
                <w:bCs/>
                <w:position w:val="2"/>
                <w:rtl/>
              </w:rPr>
              <w:t>الحلقة الدراسية</w:t>
            </w:r>
            <w:r w:rsidR="004E4DB4" w:rsidRPr="004E4DB4">
              <w:rPr>
                <w:b/>
                <w:bCs/>
                <w:position w:val="2"/>
                <w:rtl/>
              </w:rPr>
              <w:t xml:space="preserve"> الإقليمية</w:t>
            </w:r>
            <w:r w:rsidR="004E4DB4">
              <w:rPr>
                <w:rFonts w:hint="cs"/>
                <w:b/>
                <w:bCs/>
                <w:position w:val="2"/>
                <w:rtl/>
              </w:rPr>
              <w:t> </w:t>
            </w:r>
            <w:r w:rsidRPr="004E4DB4">
              <w:rPr>
                <w:b/>
                <w:bCs/>
                <w:position w:val="2"/>
                <w:rtl/>
              </w:rPr>
              <w:t>RRS-25</w:t>
            </w:r>
            <w:r w:rsidR="004E4DB4">
              <w:rPr>
                <w:rFonts w:hint="cs"/>
                <w:b/>
                <w:bCs/>
                <w:position w:val="2"/>
                <w:rtl/>
              </w:rPr>
              <w:t xml:space="preserve"> </w:t>
            </w:r>
            <w:r w:rsidRPr="004E4DB4">
              <w:rPr>
                <w:b/>
                <w:bCs/>
                <w:position w:val="2"/>
                <w:rtl/>
              </w:rPr>
              <w:t>- إفريقيا</w:t>
            </w:r>
          </w:p>
        </w:tc>
        <w:tc>
          <w:tcPr>
            <w:tcW w:w="422" w:type="pct"/>
            <w:tcBorders>
              <w:top w:val="single" w:sz="4" w:space="0" w:color="auto"/>
              <w:left w:val="single" w:sz="4" w:space="0" w:color="auto"/>
              <w:bottom w:val="single" w:sz="4" w:space="0" w:color="auto"/>
              <w:right w:val="single" w:sz="4" w:space="0" w:color="auto"/>
            </w:tcBorders>
            <w:vAlign w:val="center"/>
            <w:hideMark/>
          </w:tcPr>
          <w:p w14:paraId="4F4294CA" w14:textId="77777777" w:rsidR="006308B3" w:rsidRPr="004E4DB4" w:rsidRDefault="006308B3" w:rsidP="009D43A9">
            <w:pPr>
              <w:pStyle w:val="Tabletext"/>
              <w:jc w:val="center"/>
              <w:rPr>
                <w:position w:val="2"/>
              </w:rPr>
            </w:pPr>
            <w:r w:rsidRPr="004E4DB4">
              <w:rPr>
                <w:position w:val="2"/>
                <w:rtl/>
              </w:rPr>
              <w:t>مدينة جيبوتي، جيبوتي</w:t>
            </w:r>
          </w:p>
        </w:tc>
        <w:tc>
          <w:tcPr>
            <w:tcW w:w="1031" w:type="pct"/>
            <w:tcBorders>
              <w:top w:val="single" w:sz="4" w:space="0" w:color="auto"/>
              <w:left w:val="single" w:sz="4" w:space="0" w:color="auto"/>
              <w:bottom w:val="single" w:sz="4" w:space="0" w:color="auto"/>
              <w:right w:val="single" w:sz="4" w:space="0" w:color="auto"/>
            </w:tcBorders>
            <w:vAlign w:val="center"/>
            <w:hideMark/>
          </w:tcPr>
          <w:p w14:paraId="4852EA44" w14:textId="7C04910C" w:rsidR="006308B3" w:rsidRPr="00DB1FEA" w:rsidRDefault="00A05578" w:rsidP="009D43A9">
            <w:pPr>
              <w:pStyle w:val="Tabletext"/>
              <w:jc w:val="center"/>
              <w:rPr>
                <w:position w:val="2"/>
              </w:rPr>
            </w:pPr>
            <w:hyperlink r:id="rId68" w:history="1">
              <w:r w:rsidR="006308B3" w:rsidRPr="00DB1FEA">
                <w:rPr>
                  <w:rStyle w:val="Hyperlink"/>
                  <w:color w:val="auto"/>
                  <w:position w:val="2"/>
                  <w:u w:val="none"/>
                  <w:rtl/>
                </w:rPr>
                <w:t>وزارة الاتصالات، القائم بالبريد والاتصالات</w:t>
              </w:r>
            </w:hyperlink>
            <w:r w:rsidR="004E4DB4" w:rsidRPr="00DB1FEA">
              <w:rPr>
                <w:rFonts w:hint="cs"/>
                <w:position w:val="2"/>
                <w:rtl/>
              </w:rPr>
              <w:t> </w:t>
            </w:r>
            <w:r w:rsidR="006308B3" w:rsidRPr="00DB1FEA">
              <w:rPr>
                <w:position w:val="2"/>
              </w:rPr>
              <w:t>(MCPT)</w:t>
            </w:r>
            <w:r w:rsidR="004E4DB4" w:rsidRPr="00DB1FEA">
              <w:rPr>
                <w:rFonts w:hint="cs"/>
                <w:position w:val="2"/>
                <w:rtl/>
              </w:rPr>
              <w:t xml:space="preserve"> </w:t>
            </w:r>
            <w:r w:rsidR="006308B3" w:rsidRPr="00DB1FEA">
              <w:rPr>
                <w:position w:val="2"/>
                <w:rtl/>
              </w:rPr>
              <w:t>في جمهورية جيبوتي</w:t>
            </w:r>
          </w:p>
          <w:p w14:paraId="2FF20739" w14:textId="12C71037" w:rsidR="006308B3" w:rsidRPr="00DB1FEA" w:rsidRDefault="00A05578" w:rsidP="009D43A9">
            <w:pPr>
              <w:pStyle w:val="Tabletext"/>
              <w:jc w:val="center"/>
              <w:rPr>
                <w:position w:val="2"/>
              </w:rPr>
            </w:pPr>
            <w:hyperlink r:id="rId69" w:history="1">
              <w:r w:rsidR="006308B3" w:rsidRPr="00DB1FEA">
                <w:rPr>
                  <w:rStyle w:val="Hyperlink"/>
                  <w:color w:val="auto"/>
                  <w:position w:val="2"/>
                  <w:u w:val="none"/>
                  <w:rtl/>
                </w:rPr>
                <w:t>الاتحاد الإفريقي للاتصالات</w:t>
              </w:r>
            </w:hyperlink>
            <w:r w:rsidR="006308B3" w:rsidRPr="00DB1FEA">
              <w:rPr>
                <w:position w:val="2"/>
                <w:rtl/>
              </w:rPr>
              <w:t xml:space="preserve"> </w:t>
            </w:r>
            <w:r w:rsidR="006308B3" w:rsidRPr="00DB1FEA">
              <w:rPr>
                <w:position w:val="2"/>
              </w:rPr>
              <w:t>(ATU)</w:t>
            </w:r>
          </w:p>
          <w:p w14:paraId="730BEB59" w14:textId="77777777" w:rsidR="006308B3" w:rsidRPr="00DB1FEA" w:rsidRDefault="006308B3" w:rsidP="009D43A9">
            <w:pPr>
              <w:pStyle w:val="Tabletext"/>
              <w:jc w:val="center"/>
              <w:rPr>
                <w:position w:val="2"/>
              </w:rPr>
            </w:pPr>
            <w:r w:rsidRPr="00DB1FEA">
              <w:rPr>
                <w:position w:val="2"/>
                <w:rtl/>
              </w:rPr>
              <w:t xml:space="preserve">الفريق العربي لإدارة الطيف </w:t>
            </w:r>
            <w:r w:rsidRPr="00DB1FEA">
              <w:rPr>
                <w:position w:val="2"/>
              </w:rPr>
              <w:t>(ASMG)</w:t>
            </w:r>
          </w:p>
          <w:p w14:paraId="2B50A6C6" w14:textId="77777777" w:rsidR="006308B3" w:rsidRPr="00DB1FEA" w:rsidRDefault="006308B3" w:rsidP="009D43A9">
            <w:pPr>
              <w:pStyle w:val="Tabletext"/>
              <w:jc w:val="center"/>
              <w:rPr>
                <w:position w:val="2"/>
              </w:rPr>
            </w:pPr>
            <w:r w:rsidRPr="00DB1FEA">
              <w:rPr>
                <w:position w:val="2"/>
                <w:rtl/>
              </w:rPr>
              <w:t>مكتب الاتحاد لإفريقيا</w:t>
            </w:r>
          </w:p>
        </w:tc>
        <w:tc>
          <w:tcPr>
            <w:tcW w:w="610" w:type="pct"/>
            <w:tcBorders>
              <w:top w:val="single" w:sz="4" w:space="0" w:color="auto"/>
              <w:left w:val="single" w:sz="4" w:space="0" w:color="auto"/>
              <w:bottom w:val="single" w:sz="4" w:space="0" w:color="auto"/>
              <w:right w:val="single" w:sz="4" w:space="0" w:color="auto"/>
            </w:tcBorders>
            <w:vAlign w:val="center"/>
            <w:hideMark/>
          </w:tcPr>
          <w:p w14:paraId="501AD411" w14:textId="77777777" w:rsidR="006308B3" w:rsidRPr="004E4DB4" w:rsidRDefault="006308B3" w:rsidP="009D43A9">
            <w:pPr>
              <w:pStyle w:val="Tabletext"/>
              <w:jc w:val="center"/>
              <w:rPr>
                <w:position w:val="2"/>
              </w:rPr>
            </w:pPr>
            <w:r w:rsidRPr="004E4DB4">
              <w:rPr>
                <w:position w:val="2"/>
                <w:rtl/>
              </w:rPr>
              <w:t>أنظمة الاتصالات الراديوية الحديثة والموائد المستديرة بشأن جدول أعمال المؤتمر WRC-27</w:t>
            </w:r>
          </w:p>
        </w:tc>
        <w:tc>
          <w:tcPr>
            <w:tcW w:w="307" w:type="pct"/>
            <w:tcBorders>
              <w:top w:val="single" w:sz="4" w:space="0" w:color="auto"/>
              <w:left w:val="single" w:sz="4" w:space="0" w:color="auto"/>
              <w:bottom w:val="single" w:sz="4" w:space="0" w:color="auto"/>
              <w:right w:val="single" w:sz="4" w:space="0" w:color="auto"/>
            </w:tcBorders>
            <w:vAlign w:val="center"/>
            <w:hideMark/>
          </w:tcPr>
          <w:p w14:paraId="30467DB9" w14:textId="774766DF" w:rsidR="006308B3" w:rsidRPr="004E4DB4" w:rsidRDefault="006308B3" w:rsidP="009D43A9">
            <w:pPr>
              <w:pStyle w:val="Tabletext"/>
              <w:jc w:val="center"/>
              <w:rPr>
                <w:position w:val="2"/>
              </w:rPr>
            </w:pPr>
            <w:r w:rsidRPr="004E4DB4">
              <w:rPr>
                <w:position w:val="2"/>
                <w:rtl/>
              </w:rPr>
              <w:t xml:space="preserve">الإنكليزية، </w:t>
            </w:r>
            <w:r w:rsidR="00A17557">
              <w:rPr>
                <w:rFonts w:hint="cs"/>
                <w:position w:val="2"/>
                <w:rtl/>
              </w:rPr>
              <w:t xml:space="preserve">العربية، </w:t>
            </w:r>
            <w:r w:rsidRPr="004E4DB4">
              <w:rPr>
                <w:position w:val="2"/>
                <w:rtl/>
              </w:rPr>
              <w:t>الفرنسية</w:t>
            </w:r>
          </w:p>
        </w:tc>
        <w:tc>
          <w:tcPr>
            <w:tcW w:w="558" w:type="pct"/>
            <w:tcBorders>
              <w:top w:val="single" w:sz="4" w:space="0" w:color="auto"/>
              <w:left w:val="single" w:sz="4" w:space="0" w:color="auto"/>
              <w:bottom w:val="single" w:sz="4" w:space="0" w:color="auto"/>
              <w:right w:val="single" w:sz="4" w:space="0" w:color="auto"/>
            </w:tcBorders>
            <w:vAlign w:val="center"/>
            <w:hideMark/>
          </w:tcPr>
          <w:p w14:paraId="1B51EB1D" w14:textId="102F6162" w:rsidR="006308B3" w:rsidRPr="004E4DB4" w:rsidRDefault="00A17557" w:rsidP="009D43A9">
            <w:pPr>
              <w:pStyle w:val="Tabletext"/>
              <w:jc w:val="center"/>
              <w:rPr>
                <w:position w:val="2"/>
              </w:rPr>
            </w:pPr>
            <w:r>
              <w:rPr>
                <w:position w:val="2"/>
              </w:rPr>
              <w:t>210/47</w:t>
            </w:r>
          </w:p>
        </w:tc>
        <w:tc>
          <w:tcPr>
            <w:tcW w:w="587" w:type="pct"/>
            <w:tcBorders>
              <w:top w:val="single" w:sz="4" w:space="0" w:color="auto"/>
              <w:left w:val="single" w:sz="4" w:space="0" w:color="auto"/>
              <w:bottom w:val="single" w:sz="4" w:space="0" w:color="auto"/>
              <w:right w:val="single" w:sz="4" w:space="0" w:color="auto"/>
            </w:tcBorders>
            <w:vAlign w:val="center"/>
          </w:tcPr>
          <w:p w14:paraId="30B58743" w14:textId="77777777" w:rsidR="006308B3" w:rsidRPr="004E4DB4" w:rsidRDefault="006308B3" w:rsidP="009D43A9">
            <w:pPr>
              <w:pStyle w:val="Tabletext"/>
              <w:jc w:val="center"/>
              <w:rPr>
                <w:position w:val="2"/>
              </w:rPr>
            </w:pPr>
            <w:r w:rsidRPr="004E4DB4">
              <w:rPr>
                <w:position w:val="2"/>
                <w:rtl/>
              </w:rPr>
              <w:t>27</w:t>
            </w:r>
          </w:p>
        </w:tc>
      </w:tr>
      <w:tr w:rsidR="004E4DB4" w:rsidRPr="004E4DB4" w14:paraId="606B4F4A" w14:textId="77777777" w:rsidTr="004E4DB4">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5035BA02" w14:textId="25D35B03" w:rsidR="006308B3" w:rsidRPr="004E4DB4" w:rsidRDefault="009D43A9" w:rsidP="009D43A9">
            <w:pPr>
              <w:pStyle w:val="Tabletext"/>
              <w:rPr>
                <w:spacing w:val="-4"/>
                <w:position w:val="2"/>
              </w:rPr>
            </w:pPr>
            <w:r w:rsidRPr="004E4DB4">
              <w:rPr>
                <w:spacing w:val="-4"/>
                <w:position w:val="2"/>
              </w:rPr>
              <w:t>20-16</w:t>
            </w:r>
            <w:r w:rsidR="006308B3" w:rsidRPr="004E4DB4">
              <w:rPr>
                <w:spacing w:val="-4"/>
                <w:position w:val="2"/>
                <w:rtl/>
              </w:rPr>
              <w:t xml:space="preserve"> يونيو 2025</w:t>
            </w:r>
          </w:p>
        </w:tc>
        <w:tc>
          <w:tcPr>
            <w:tcW w:w="937" w:type="pct"/>
            <w:tcBorders>
              <w:top w:val="single" w:sz="4" w:space="0" w:color="auto"/>
              <w:left w:val="single" w:sz="4" w:space="0" w:color="auto"/>
              <w:bottom w:val="single" w:sz="4" w:space="0" w:color="auto"/>
              <w:right w:val="single" w:sz="4" w:space="0" w:color="auto"/>
            </w:tcBorders>
            <w:vAlign w:val="center"/>
            <w:hideMark/>
          </w:tcPr>
          <w:p w14:paraId="382DC71A" w14:textId="4C945005" w:rsidR="006308B3" w:rsidRPr="004E4DB4" w:rsidRDefault="006308B3" w:rsidP="009D43A9">
            <w:pPr>
              <w:pStyle w:val="Tabletext"/>
              <w:rPr>
                <w:b/>
                <w:position w:val="2"/>
              </w:rPr>
            </w:pPr>
            <w:r w:rsidRPr="004E4DB4">
              <w:rPr>
                <w:b/>
                <w:bCs/>
                <w:position w:val="2"/>
                <w:rtl/>
              </w:rPr>
              <w:t>الحلقة الدراسية الإقليمية</w:t>
            </w:r>
            <w:r w:rsidR="004E4DB4">
              <w:rPr>
                <w:rFonts w:hint="cs"/>
                <w:b/>
                <w:bCs/>
                <w:position w:val="2"/>
                <w:rtl/>
              </w:rPr>
              <w:t> </w:t>
            </w:r>
            <w:r w:rsidRPr="004E4DB4">
              <w:rPr>
                <w:b/>
                <w:bCs/>
                <w:position w:val="2"/>
                <w:rtl/>
              </w:rPr>
              <w:t>RSS-25</w:t>
            </w:r>
            <w:r w:rsidR="004E4DB4">
              <w:rPr>
                <w:rFonts w:hint="cs"/>
                <w:b/>
                <w:bCs/>
                <w:position w:val="2"/>
                <w:rtl/>
              </w:rPr>
              <w:t xml:space="preserve"> - </w:t>
            </w:r>
            <w:r w:rsidRPr="004E4DB4">
              <w:rPr>
                <w:b/>
                <w:bCs/>
                <w:position w:val="2"/>
                <w:rtl/>
              </w:rPr>
              <w:t>لمنطقة الأمريكيتين</w:t>
            </w:r>
          </w:p>
        </w:tc>
        <w:tc>
          <w:tcPr>
            <w:tcW w:w="422" w:type="pct"/>
            <w:tcBorders>
              <w:top w:val="single" w:sz="4" w:space="0" w:color="auto"/>
              <w:left w:val="single" w:sz="4" w:space="0" w:color="auto"/>
              <w:bottom w:val="single" w:sz="4" w:space="0" w:color="auto"/>
              <w:right w:val="single" w:sz="4" w:space="0" w:color="auto"/>
            </w:tcBorders>
            <w:vAlign w:val="center"/>
            <w:hideMark/>
          </w:tcPr>
          <w:p w14:paraId="4F3C0B42" w14:textId="77777777" w:rsidR="006308B3" w:rsidRPr="004E4DB4" w:rsidRDefault="006308B3" w:rsidP="009D43A9">
            <w:pPr>
              <w:pStyle w:val="Tabletext"/>
              <w:jc w:val="center"/>
              <w:rPr>
                <w:position w:val="2"/>
              </w:rPr>
            </w:pPr>
            <w:r w:rsidRPr="004E4DB4">
              <w:rPr>
                <w:position w:val="2"/>
                <w:rtl/>
              </w:rPr>
              <w:t>تيغوسيغالبا، هندوراس</w:t>
            </w:r>
          </w:p>
        </w:tc>
        <w:tc>
          <w:tcPr>
            <w:tcW w:w="1031" w:type="pct"/>
            <w:tcBorders>
              <w:top w:val="single" w:sz="4" w:space="0" w:color="auto"/>
              <w:left w:val="single" w:sz="4" w:space="0" w:color="auto"/>
              <w:bottom w:val="single" w:sz="4" w:space="0" w:color="auto"/>
              <w:right w:val="single" w:sz="4" w:space="0" w:color="auto"/>
            </w:tcBorders>
            <w:vAlign w:val="center"/>
            <w:hideMark/>
          </w:tcPr>
          <w:p w14:paraId="4D88C282" w14:textId="46FC7817" w:rsidR="006308B3" w:rsidRPr="00DB1FEA" w:rsidRDefault="006308B3" w:rsidP="009D43A9">
            <w:pPr>
              <w:pStyle w:val="Tabletext"/>
              <w:jc w:val="center"/>
              <w:rPr>
                <w:position w:val="2"/>
              </w:rPr>
            </w:pPr>
            <w:r w:rsidRPr="00DB1FEA">
              <w:rPr>
                <w:position w:val="2"/>
                <w:rtl/>
              </w:rPr>
              <w:t>الهيئة الوطنية للاتصالات في</w:t>
            </w:r>
            <w:r w:rsidR="004E4DB4" w:rsidRPr="00DB1FEA">
              <w:rPr>
                <w:rFonts w:hint="cs"/>
                <w:position w:val="2"/>
                <w:rtl/>
              </w:rPr>
              <w:t> </w:t>
            </w:r>
            <w:r w:rsidRPr="00DB1FEA">
              <w:rPr>
                <w:position w:val="2"/>
                <w:rtl/>
              </w:rPr>
              <w:t>هندوراس</w:t>
            </w:r>
            <w:r w:rsidR="004E4DB4" w:rsidRPr="00DB1FEA">
              <w:rPr>
                <w:rFonts w:hint="cs"/>
                <w:position w:val="2"/>
                <w:rtl/>
              </w:rPr>
              <w:t> </w:t>
            </w:r>
            <w:r w:rsidRPr="00DB1FEA">
              <w:rPr>
                <w:position w:val="2"/>
              </w:rPr>
              <w:t>(CONATEL)</w:t>
            </w:r>
          </w:p>
          <w:p w14:paraId="129AE5C6" w14:textId="1045DCBC" w:rsidR="006308B3" w:rsidRPr="00DB1FEA" w:rsidRDefault="00A05578" w:rsidP="009D43A9">
            <w:pPr>
              <w:pStyle w:val="Tabletext"/>
              <w:jc w:val="center"/>
              <w:rPr>
                <w:position w:val="2"/>
              </w:rPr>
            </w:pPr>
            <w:hyperlink r:id="rId70" w:history="1">
              <w:r w:rsidR="006308B3" w:rsidRPr="00DB1FEA">
                <w:rPr>
                  <w:rStyle w:val="Hyperlink"/>
                  <w:color w:val="auto"/>
                  <w:position w:val="2"/>
                  <w:u w:val="none"/>
                  <w:rtl/>
                </w:rPr>
                <w:t>لجنة البلدان الأمريكية للاتصالات</w:t>
              </w:r>
            </w:hyperlink>
            <w:r w:rsidR="004E4DB4" w:rsidRPr="00DB1FEA">
              <w:rPr>
                <w:rFonts w:hint="cs"/>
                <w:position w:val="2"/>
                <w:rtl/>
              </w:rPr>
              <w:t> </w:t>
            </w:r>
            <w:r w:rsidR="006308B3" w:rsidRPr="00DB1FEA">
              <w:rPr>
                <w:position w:val="2"/>
              </w:rPr>
              <w:t>(CITEL)</w:t>
            </w:r>
          </w:p>
          <w:p w14:paraId="5B6D89A9" w14:textId="2AC12C3D" w:rsidR="006308B3" w:rsidRPr="00DB1FEA" w:rsidRDefault="00A05578" w:rsidP="009D43A9">
            <w:pPr>
              <w:pStyle w:val="Tabletext"/>
              <w:jc w:val="center"/>
              <w:rPr>
                <w:position w:val="2"/>
              </w:rPr>
            </w:pPr>
            <w:hyperlink r:id="rId71" w:history="1">
              <w:r w:rsidR="006308B3" w:rsidRPr="00DB1FEA">
                <w:rPr>
                  <w:rStyle w:val="Hyperlink"/>
                  <w:color w:val="auto"/>
                  <w:position w:val="2"/>
                  <w:u w:val="none"/>
                  <w:rtl/>
                </w:rPr>
                <w:t>اللجنة التقنية الإقليمية للاتصالات</w:t>
              </w:r>
            </w:hyperlink>
            <w:r w:rsidR="006308B3" w:rsidRPr="00DB1FEA">
              <w:rPr>
                <w:position w:val="2"/>
                <w:rtl/>
              </w:rPr>
              <w:t xml:space="preserve"> </w:t>
            </w:r>
            <w:r w:rsidR="006308B3" w:rsidRPr="00DB1FEA">
              <w:rPr>
                <w:position w:val="2"/>
              </w:rPr>
              <w:t>(COMTELCA)</w:t>
            </w:r>
            <w:r w:rsidR="006308B3" w:rsidRPr="00DB1FEA">
              <w:rPr>
                <w:position w:val="2"/>
                <w:rtl/>
              </w:rPr>
              <w:t xml:space="preserve"> من أمريكا الوسطى</w:t>
            </w:r>
          </w:p>
          <w:p w14:paraId="14470318" w14:textId="7DA27627" w:rsidR="006308B3" w:rsidRPr="00DB1FEA" w:rsidRDefault="00A05578" w:rsidP="009D43A9">
            <w:pPr>
              <w:pStyle w:val="Tabletext"/>
              <w:jc w:val="center"/>
              <w:rPr>
                <w:position w:val="2"/>
              </w:rPr>
            </w:pPr>
            <w:hyperlink r:id="rId72" w:history="1">
              <w:r w:rsidR="006308B3" w:rsidRPr="00DB1FEA">
                <w:rPr>
                  <w:rStyle w:val="Hyperlink"/>
                  <w:color w:val="auto"/>
                  <w:position w:val="2"/>
                  <w:u w:val="none"/>
                  <w:rtl/>
                </w:rPr>
                <w:t>الاتحاد الكاريبي للاتصالات</w:t>
              </w:r>
            </w:hyperlink>
            <w:r w:rsidR="006308B3" w:rsidRPr="00DB1FEA">
              <w:rPr>
                <w:position w:val="2"/>
                <w:rtl/>
              </w:rPr>
              <w:t xml:space="preserve"> </w:t>
            </w:r>
            <w:r w:rsidR="006308B3" w:rsidRPr="00DB1FEA">
              <w:rPr>
                <w:position w:val="2"/>
              </w:rPr>
              <w:t>(CTU)</w:t>
            </w:r>
          </w:p>
          <w:p w14:paraId="034E7C60" w14:textId="77777777" w:rsidR="006308B3" w:rsidRPr="00DB1FEA" w:rsidRDefault="006308B3" w:rsidP="009D43A9">
            <w:pPr>
              <w:pStyle w:val="Tabletext"/>
              <w:jc w:val="center"/>
              <w:rPr>
                <w:position w:val="2"/>
              </w:rPr>
            </w:pPr>
            <w:r w:rsidRPr="00DB1FEA">
              <w:rPr>
                <w:position w:val="2"/>
                <w:rtl/>
              </w:rPr>
              <w:t>مكتب الاتحاد للأمريكتين</w:t>
            </w:r>
          </w:p>
        </w:tc>
        <w:tc>
          <w:tcPr>
            <w:tcW w:w="610" w:type="pct"/>
            <w:tcBorders>
              <w:top w:val="single" w:sz="4" w:space="0" w:color="auto"/>
              <w:left w:val="single" w:sz="4" w:space="0" w:color="auto"/>
              <w:bottom w:val="single" w:sz="4" w:space="0" w:color="auto"/>
              <w:right w:val="single" w:sz="4" w:space="0" w:color="auto"/>
            </w:tcBorders>
            <w:vAlign w:val="center"/>
            <w:hideMark/>
          </w:tcPr>
          <w:p w14:paraId="75061B61" w14:textId="77777777" w:rsidR="006308B3" w:rsidRPr="004E4DB4" w:rsidRDefault="006308B3" w:rsidP="009D43A9">
            <w:pPr>
              <w:pStyle w:val="Tabletext"/>
              <w:jc w:val="center"/>
              <w:rPr>
                <w:position w:val="2"/>
              </w:rPr>
            </w:pPr>
            <w:r w:rsidRPr="004E4DB4">
              <w:rPr>
                <w:position w:val="2"/>
                <w:rtl/>
              </w:rPr>
              <w:t>أنظمة الاتصالات الراديوية الحديثة والموائد المستديرة بشأن جدول أعمال المؤتمر WRC-27</w:t>
            </w:r>
          </w:p>
        </w:tc>
        <w:tc>
          <w:tcPr>
            <w:tcW w:w="307" w:type="pct"/>
            <w:tcBorders>
              <w:top w:val="single" w:sz="4" w:space="0" w:color="auto"/>
              <w:left w:val="single" w:sz="4" w:space="0" w:color="auto"/>
              <w:bottom w:val="single" w:sz="4" w:space="0" w:color="auto"/>
              <w:right w:val="single" w:sz="4" w:space="0" w:color="auto"/>
            </w:tcBorders>
            <w:vAlign w:val="center"/>
            <w:hideMark/>
          </w:tcPr>
          <w:p w14:paraId="06555467" w14:textId="77777777" w:rsidR="006308B3" w:rsidRPr="004E4DB4" w:rsidRDefault="006308B3" w:rsidP="009D43A9">
            <w:pPr>
              <w:pStyle w:val="Tabletext"/>
              <w:jc w:val="center"/>
              <w:rPr>
                <w:position w:val="2"/>
              </w:rPr>
            </w:pPr>
            <w:r w:rsidRPr="004E4DB4">
              <w:rPr>
                <w:position w:val="2"/>
                <w:rtl/>
              </w:rPr>
              <w:t>الإنكليزية والإسبانية</w:t>
            </w:r>
          </w:p>
        </w:tc>
        <w:tc>
          <w:tcPr>
            <w:tcW w:w="558" w:type="pct"/>
            <w:tcBorders>
              <w:top w:val="single" w:sz="4" w:space="0" w:color="auto"/>
              <w:left w:val="single" w:sz="4" w:space="0" w:color="auto"/>
              <w:bottom w:val="single" w:sz="4" w:space="0" w:color="auto"/>
              <w:right w:val="single" w:sz="4" w:space="0" w:color="auto"/>
            </w:tcBorders>
            <w:vAlign w:val="center"/>
            <w:hideMark/>
          </w:tcPr>
          <w:p w14:paraId="129396B6" w14:textId="35FA6829" w:rsidR="006308B3" w:rsidRPr="004E4DB4" w:rsidRDefault="00A17557" w:rsidP="009D43A9">
            <w:pPr>
              <w:pStyle w:val="Tabletext"/>
              <w:jc w:val="center"/>
              <w:rPr>
                <w:position w:val="2"/>
              </w:rPr>
            </w:pPr>
            <w:r>
              <w:rPr>
                <w:position w:val="2"/>
              </w:rPr>
              <w:t>90/25</w:t>
            </w:r>
          </w:p>
        </w:tc>
        <w:tc>
          <w:tcPr>
            <w:tcW w:w="587" w:type="pct"/>
            <w:tcBorders>
              <w:top w:val="single" w:sz="4" w:space="0" w:color="auto"/>
              <w:left w:val="single" w:sz="4" w:space="0" w:color="auto"/>
              <w:bottom w:val="single" w:sz="4" w:space="0" w:color="auto"/>
              <w:right w:val="single" w:sz="4" w:space="0" w:color="auto"/>
            </w:tcBorders>
            <w:vAlign w:val="center"/>
          </w:tcPr>
          <w:p w14:paraId="43098CCC" w14:textId="77777777" w:rsidR="006308B3" w:rsidRPr="004E4DB4" w:rsidRDefault="006308B3" w:rsidP="009D43A9">
            <w:pPr>
              <w:pStyle w:val="Tabletext"/>
              <w:jc w:val="center"/>
              <w:rPr>
                <w:position w:val="2"/>
              </w:rPr>
            </w:pPr>
            <w:r w:rsidRPr="004E4DB4">
              <w:rPr>
                <w:position w:val="2"/>
                <w:rtl/>
              </w:rPr>
              <w:t>9</w:t>
            </w:r>
          </w:p>
        </w:tc>
      </w:tr>
      <w:tr w:rsidR="00A17557" w:rsidRPr="004E4DB4" w14:paraId="6E3D477F" w14:textId="77777777" w:rsidTr="004E4DB4">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0FCDBA47" w14:textId="42A2728A" w:rsidR="00A17557" w:rsidRPr="004E4DB4" w:rsidRDefault="00A17557" w:rsidP="00A17557">
            <w:pPr>
              <w:pStyle w:val="Tabletext"/>
              <w:rPr>
                <w:spacing w:val="-4"/>
                <w:position w:val="2"/>
              </w:rPr>
            </w:pPr>
            <w:r w:rsidRPr="004E4DB4">
              <w:rPr>
                <w:spacing w:val="-4"/>
                <w:position w:val="2"/>
              </w:rPr>
              <w:t>29-20</w:t>
            </w:r>
            <w:r w:rsidRPr="004E4DB4">
              <w:rPr>
                <w:spacing w:val="-4"/>
                <w:position w:val="2"/>
                <w:rtl/>
              </w:rPr>
              <w:t xml:space="preserve"> أكتوبر 2025</w:t>
            </w:r>
          </w:p>
        </w:tc>
        <w:tc>
          <w:tcPr>
            <w:tcW w:w="937" w:type="pct"/>
            <w:tcBorders>
              <w:top w:val="single" w:sz="4" w:space="0" w:color="auto"/>
              <w:left w:val="single" w:sz="4" w:space="0" w:color="auto"/>
              <w:bottom w:val="single" w:sz="4" w:space="0" w:color="auto"/>
              <w:right w:val="single" w:sz="4" w:space="0" w:color="auto"/>
            </w:tcBorders>
            <w:vAlign w:val="center"/>
          </w:tcPr>
          <w:p w14:paraId="626FFAF3" w14:textId="653EC317" w:rsidR="00A17557" w:rsidRPr="004E4DB4" w:rsidRDefault="00A17557" w:rsidP="00A17557">
            <w:pPr>
              <w:pStyle w:val="Tabletext"/>
              <w:rPr>
                <w:b/>
                <w:bCs/>
                <w:spacing w:val="-2"/>
                <w:position w:val="2"/>
              </w:rPr>
            </w:pPr>
            <w:r w:rsidRPr="004E4DB4">
              <w:rPr>
                <w:b/>
                <w:bCs/>
                <w:spacing w:val="-2"/>
                <w:position w:val="2"/>
                <w:rtl/>
              </w:rPr>
              <w:t>الحلقة الدراسية الإقليمية RRS-25</w:t>
            </w:r>
            <w:r w:rsidRPr="004E4DB4">
              <w:rPr>
                <w:rFonts w:hint="cs"/>
                <w:b/>
                <w:bCs/>
                <w:spacing w:val="-2"/>
                <w:position w:val="2"/>
                <w:rtl/>
              </w:rPr>
              <w:t xml:space="preserve"> - </w:t>
            </w:r>
            <w:r w:rsidRPr="004E4DB4">
              <w:rPr>
                <w:b/>
                <w:bCs/>
                <w:spacing w:val="-2"/>
                <w:position w:val="2"/>
                <w:rtl/>
              </w:rPr>
              <w:t xml:space="preserve">آسيا والمحيط الهادئ </w:t>
            </w:r>
            <w:r w:rsidRPr="004E4DB4">
              <w:rPr>
                <w:spacing w:val="-2"/>
                <w:position w:val="2"/>
                <w:rtl/>
              </w:rPr>
              <w:t>عقبتها</w:t>
            </w:r>
            <w:r w:rsidRPr="004E4DB4">
              <w:rPr>
                <w:b/>
                <w:bCs/>
                <w:spacing w:val="-2"/>
                <w:position w:val="2"/>
                <w:rtl/>
              </w:rPr>
              <w:t xml:space="preserve"> ورشة عمل الاتحاد بشأن إدارة الطيف الحديث في عام 2025 للإقليم</w:t>
            </w:r>
            <w:r w:rsidRPr="004E4DB4">
              <w:rPr>
                <w:rFonts w:hint="cs"/>
                <w:b/>
                <w:bCs/>
                <w:spacing w:val="-2"/>
                <w:position w:val="2"/>
                <w:rtl/>
              </w:rPr>
              <w:t> </w:t>
            </w:r>
            <w:r w:rsidRPr="004E4DB4">
              <w:rPr>
                <w:b/>
                <w:bCs/>
                <w:spacing w:val="-2"/>
                <w:position w:val="2"/>
                <w:rtl/>
              </w:rPr>
              <w:t xml:space="preserve">3 </w:t>
            </w:r>
            <w:r w:rsidRPr="004E4DB4">
              <w:rPr>
                <w:b/>
                <w:bCs/>
                <w:spacing w:val="-2"/>
                <w:position w:val="2"/>
              </w:rPr>
              <w:t>(WS</w:t>
            </w:r>
            <w:r>
              <w:rPr>
                <w:b/>
                <w:bCs/>
                <w:spacing w:val="-2"/>
                <w:position w:val="2"/>
              </w:rPr>
              <w:noBreakHyphen/>
            </w:r>
            <w:r w:rsidRPr="004E4DB4">
              <w:rPr>
                <w:b/>
                <w:bCs/>
                <w:spacing w:val="-2"/>
                <w:position w:val="2"/>
              </w:rPr>
              <w:t>MSS</w:t>
            </w:r>
            <w:r>
              <w:rPr>
                <w:b/>
                <w:bCs/>
                <w:spacing w:val="-2"/>
                <w:position w:val="2"/>
              </w:rPr>
              <w:noBreakHyphen/>
            </w:r>
            <w:r w:rsidRPr="004E4DB4">
              <w:rPr>
                <w:b/>
                <w:bCs/>
                <w:spacing w:val="-2"/>
                <w:position w:val="2"/>
              </w:rPr>
              <w:t>25</w:t>
            </w:r>
            <w:r>
              <w:rPr>
                <w:b/>
                <w:bCs/>
                <w:spacing w:val="-2"/>
                <w:position w:val="2"/>
              </w:rPr>
              <w:noBreakHyphen/>
            </w:r>
            <w:r w:rsidRPr="004E4DB4">
              <w:rPr>
                <w:b/>
                <w:bCs/>
                <w:spacing w:val="-2"/>
                <w:position w:val="2"/>
              </w:rPr>
              <w:t>R3)</w:t>
            </w:r>
          </w:p>
        </w:tc>
        <w:tc>
          <w:tcPr>
            <w:tcW w:w="422" w:type="pct"/>
            <w:tcBorders>
              <w:top w:val="single" w:sz="4" w:space="0" w:color="auto"/>
              <w:left w:val="single" w:sz="4" w:space="0" w:color="auto"/>
              <w:bottom w:val="single" w:sz="4" w:space="0" w:color="auto"/>
              <w:right w:val="single" w:sz="4" w:space="0" w:color="auto"/>
            </w:tcBorders>
            <w:vAlign w:val="center"/>
          </w:tcPr>
          <w:p w14:paraId="7CFB2F37" w14:textId="199BD81F" w:rsidR="00A17557" w:rsidRPr="004E4DB4" w:rsidRDefault="006D2B56" w:rsidP="00A17557">
            <w:pPr>
              <w:pStyle w:val="Tabletext"/>
              <w:jc w:val="center"/>
              <w:rPr>
                <w:position w:val="2"/>
              </w:rPr>
            </w:pPr>
            <w:r w:rsidRPr="006D2B56">
              <w:rPr>
                <w:position w:val="2"/>
                <w:rtl/>
              </w:rPr>
              <w:t>تشنغدو</w:t>
            </w:r>
            <w:r w:rsidR="00A17557" w:rsidRPr="004E4DB4">
              <w:rPr>
                <w:position w:val="2"/>
                <w:rtl/>
              </w:rPr>
              <w:t>، جمهورية الصين الشعبية</w:t>
            </w:r>
          </w:p>
        </w:tc>
        <w:tc>
          <w:tcPr>
            <w:tcW w:w="1031" w:type="pct"/>
            <w:tcBorders>
              <w:top w:val="single" w:sz="4" w:space="0" w:color="auto"/>
              <w:left w:val="single" w:sz="4" w:space="0" w:color="auto"/>
              <w:bottom w:val="single" w:sz="4" w:space="0" w:color="auto"/>
              <w:right w:val="single" w:sz="4" w:space="0" w:color="auto"/>
            </w:tcBorders>
            <w:vAlign w:val="center"/>
          </w:tcPr>
          <w:p w14:paraId="4B4F433F" w14:textId="0F1550A8" w:rsidR="00A17557" w:rsidRPr="00DB1FEA" w:rsidRDefault="00A17557" w:rsidP="00A17557">
            <w:pPr>
              <w:pStyle w:val="Tabletext"/>
              <w:jc w:val="center"/>
              <w:rPr>
                <w:position w:val="2"/>
              </w:rPr>
            </w:pPr>
            <w:r w:rsidRPr="00DB1FEA">
              <w:rPr>
                <w:position w:val="2"/>
                <w:rtl/>
              </w:rPr>
              <w:t>وزارة الصناعة وتكنولوجيا المعلومات</w:t>
            </w:r>
            <w:r w:rsidRPr="00DB1FEA">
              <w:rPr>
                <w:rFonts w:hint="eastAsia"/>
                <w:position w:val="2"/>
                <w:rtl/>
              </w:rPr>
              <w:t> </w:t>
            </w:r>
            <w:r w:rsidRPr="00DB1FEA">
              <w:rPr>
                <w:position w:val="2"/>
              </w:rPr>
              <w:t>(‎MIIT)</w:t>
            </w:r>
            <w:r w:rsidRPr="00DB1FEA">
              <w:rPr>
                <w:position w:val="2"/>
                <w:rtl/>
              </w:rPr>
              <w:t>، ‏الصين</w:t>
            </w:r>
          </w:p>
          <w:p w14:paraId="3AD3A1E0" w14:textId="4AC3A68C" w:rsidR="00A17557" w:rsidRPr="00DB1FEA" w:rsidRDefault="00A05578" w:rsidP="00A17557">
            <w:pPr>
              <w:pStyle w:val="Tabletext"/>
              <w:jc w:val="center"/>
              <w:rPr>
                <w:position w:val="2"/>
              </w:rPr>
            </w:pPr>
            <w:hyperlink r:id="rId73" w:history="1">
              <w:r w:rsidR="00A17557" w:rsidRPr="00DB1FEA">
                <w:rPr>
                  <w:rStyle w:val="Hyperlink"/>
                  <w:color w:val="auto"/>
                  <w:position w:val="2"/>
                  <w:u w:val="none"/>
                  <w:rtl/>
                </w:rPr>
                <w:t>جماعة آسيا والمحيط الهادئ للاتصالات</w:t>
              </w:r>
              <w:r w:rsidR="00A17557" w:rsidRPr="00DB1FEA">
                <w:rPr>
                  <w:rStyle w:val="Hyperlink"/>
                  <w:rFonts w:hint="cs"/>
                  <w:color w:val="auto"/>
                  <w:position w:val="2"/>
                  <w:u w:val="none"/>
                  <w:rtl/>
                </w:rPr>
                <w:t> </w:t>
              </w:r>
              <w:r w:rsidR="00A17557" w:rsidRPr="00DB1FEA">
                <w:rPr>
                  <w:rStyle w:val="Hyperlink"/>
                  <w:color w:val="auto"/>
                  <w:position w:val="2"/>
                  <w:u w:val="none"/>
                </w:rPr>
                <w:t>(APT)</w:t>
              </w:r>
            </w:hyperlink>
          </w:p>
          <w:p w14:paraId="63F5EDFB" w14:textId="72F559A2" w:rsidR="00A17557" w:rsidRPr="00DB1FEA" w:rsidRDefault="00A17557" w:rsidP="00A17557">
            <w:pPr>
              <w:pStyle w:val="Tabletext"/>
              <w:jc w:val="center"/>
              <w:rPr>
                <w:spacing w:val="-4"/>
                <w:position w:val="2"/>
              </w:rPr>
            </w:pPr>
            <w:r w:rsidRPr="00DB1FEA">
              <w:rPr>
                <w:spacing w:val="-4"/>
                <w:position w:val="2"/>
                <w:rtl/>
              </w:rPr>
              <w:t>مكتب الاتحاد</w:t>
            </w:r>
            <w:r w:rsidRPr="00DB1FEA">
              <w:rPr>
                <w:rFonts w:hint="cs"/>
                <w:spacing w:val="-4"/>
                <w:position w:val="2"/>
                <w:rtl/>
              </w:rPr>
              <w:t xml:space="preserve"> ل</w:t>
            </w:r>
            <w:r w:rsidRPr="00DB1FEA">
              <w:rPr>
                <w:spacing w:val="-4"/>
                <w:position w:val="2"/>
                <w:rtl/>
              </w:rPr>
              <w:t>جماعة آسيا والمحيط الهادئ</w:t>
            </w:r>
          </w:p>
        </w:tc>
        <w:tc>
          <w:tcPr>
            <w:tcW w:w="610" w:type="pct"/>
            <w:tcBorders>
              <w:top w:val="single" w:sz="4" w:space="0" w:color="auto"/>
              <w:left w:val="single" w:sz="4" w:space="0" w:color="auto"/>
              <w:bottom w:val="single" w:sz="4" w:space="0" w:color="auto"/>
              <w:right w:val="single" w:sz="4" w:space="0" w:color="auto"/>
            </w:tcBorders>
            <w:vAlign w:val="center"/>
          </w:tcPr>
          <w:p w14:paraId="6CB7ADB1" w14:textId="63CE1E18" w:rsidR="00A17557" w:rsidRPr="00A17557" w:rsidRDefault="00A17557" w:rsidP="00A17557">
            <w:pPr>
              <w:pStyle w:val="Tabletext"/>
              <w:jc w:val="center"/>
              <w:rPr>
                <w:b/>
                <w:position w:val="2"/>
              </w:rPr>
            </w:pPr>
            <w:r w:rsidRPr="00A17557">
              <w:rPr>
                <w:b/>
                <w:position w:val="2"/>
                <w:rtl/>
              </w:rPr>
              <w:t>أنظمة الاتصالات الراديوية الحديثة والموائد المستديرة بشأن جدول أعمال المؤتمر WRC-27</w:t>
            </w:r>
          </w:p>
        </w:tc>
        <w:tc>
          <w:tcPr>
            <w:tcW w:w="307" w:type="pct"/>
            <w:tcBorders>
              <w:top w:val="single" w:sz="4" w:space="0" w:color="auto"/>
              <w:left w:val="single" w:sz="4" w:space="0" w:color="auto"/>
              <w:bottom w:val="single" w:sz="4" w:space="0" w:color="auto"/>
              <w:right w:val="single" w:sz="4" w:space="0" w:color="auto"/>
            </w:tcBorders>
            <w:vAlign w:val="center"/>
          </w:tcPr>
          <w:p w14:paraId="5D8F54A3" w14:textId="77777777" w:rsidR="00A17557" w:rsidRPr="004E4DB4" w:rsidRDefault="00A17557" w:rsidP="00A17557">
            <w:pPr>
              <w:pStyle w:val="Tabletext"/>
              <w:jc w:val="center"/>
              <w:rPr>
                <w:position w:val="2"/>
              </w:rPr>
            </w:pPr>
            <w:r w:rsidRPr="004E4DB4">
              <w:rPr>
                <w:position w:val="2"/>
                <w:rtl/>
              </w:rPr>
              <w:t>الإنكليزية</w:t>
            </w:r>
          </w:p>
        </w:tc>
        <w:tc>
          <w:tcPr>
            <w:tcW w:w="558" w:type="pct"/>
            <w:tcBorders>
              <w:top w:val="single" w:sz="4" w:space="0" w:color="auto"/>
              <w:left w:val="single" w:sz="4" w:space="0" w:color="auto"/>
              <w:bottom w:val="single" w:sz="4" w:space="0" w:color="auto"/>
              <w:right w:val="single" w:sz="4" w:space="0" w:color="auto"/>
            </w:tcBorders>
            <w:vAlign w:val="center"/>
          </w:tcPr>
          <w:p w14:paraId="5EAEDC70" w14:textId="4B9EFADA" w:rsidR="00A17557" w:rsidRPr="004E4DB4" w:rsidRDefault="00A17557" w:rsidP="00A17557">
            <w:pPr>
              <w:pStyle w:val="Tabletext"/>
              <w:jc w:val="center"/>
              <w:rPr>
                <w:position w:val="2"/>
              </w:rPr>
            </w:pPr>
            <w:r>
              <w:rPr>
                <w:position w:val="2"/>
              </w:rPr>
              <w:t>127/25</w:t>
            </w:r>
          </w:p>
        </w:tc>
        <w:tc>
          <w:tcPr>
            <w:tcW w:w="587" w:type="pct"/>
            <w:tcBorders>
              <w:top w:val="single" w:sz="4" w:space="0" w:color="auto"/>
              <w:left w:val="single" w:sz="4" w:space="0" w:color="auto"/>
              <w:bottom w:val="single" w:sz="4" w:space="0" w:color="auto"/>
              <w:right w:val="single" w:sz="4" w:space="0" w:color="auto"/>
            </w:tcBorders>
            <w:vAlign w:val="center"/>
          </w:tcPr>
          <w:p w14:paraId="754B8BC0" w14:textId="77777777" w:rsidR="00A17557" w:rsidRPr="004E4DB4" w:rsidRDefault="00A17557" w:rsidP="00A17557">
            <w:pPr>
              <w:pStyle w:val="Tabletext"/>
              <w:jc w:val="center"/>
              <w:rPr>
                <w:position w:val="2"/>
              </w:rPr>
            </w:pPr>
            <w:r w:rsidRPr="004E4DB4">
              <w:rPr>
                <w:position w:val="2"/>
                <w:rtl/>
              </w:rPr>
              <w:t>تمول الحدث وزارة الصناعة وتكنولوجيا المعلومات في الصين، بما يشمل المنح الكاملة</w:t>
            </w:r>
            <w:r w:rsidRPr="004E4DB4">
              <w:rPr>
                <w:position w:val="2"/>
              </w:rPr>
              <w:t>:</w:t>
            </w:r>
            <w:r w:rsidRPr="004E4DB4">
              <w:rPr>
                <w:position w:val="2"/>
                <w:rtl/>
              </w:rPr>
              <w:t xml:space="preserve"> 12</w:t>
            </w:r>
          </w:p>
        </w:tc>
      </w:tr>
    </w:tbl>
    <w:p w14:paraId="4C2DC095" w14:textId="76C7ADAC" w:rsidR="00816C27" w:rsidRDefault="00674A3A" w:rsidP="00674A3A">
      <w:pPr>
        <w:rPr>
          <w:rtl/>
        </w:rPr>
      </w:pPr>
      <w:r>
        <w:rPr>
          <w:rtl/>
        </w:rPr>
        <w:t>قدم مكتب الاتصالات الراديوية بالتعاون مع الشركاء الإقليميين 48 منحة لحضور الحلقات الدراسية الإقليمية (</w:t>
      </w:r>
      <w:r>
        <w:t>RRS</w:t>
      </w:r>
      <w:r>
        <w:rPr>
          <w:rtl/>
        </w:rPr>
        <w:t>) (منحة واحدة فقط لكل إدارة من إدارات البلدان المؤهلة).</w:t>
      </w:r>
    </w:p>
    <w:p w14:paraId="40EF5F38" w14:textId="77777777" w:rsidR="006308B3" w:rsidRDefault="006308B3" w:rsidP="00674A3A">
      <w:pPr>
        <w:rPr>
          <w:rtl/>
        </w:rPr>
        <w:sectPr w:rsidR="006308B3" w:rsidSect="006308B3">
          <w:headerReference w:type="first" r:id="rId74"/>
          <w:pgSz w:w="16834" w:h="11907" w:orient="landscape" w:code="9"/>
          <w:pgMar w:top="851" w:right="851" w:bottom="851" w:left="851" w:header="567" w:footer="567" w:gutter="0"/>
          <w:cols w:space="720"/>
          <w:titlePg/>
          <w:bidi/>
          <w:rtlGutter/>
        </w:sectPr>
      </w:pPr>
    </w:p>
    <w:p w14:paraId="720DB85D" w14:textId="45598466" w:rsidR="00674A3A" w:rsidRDefault="00A17557" w:rsidP="00A17557">
      <w:pPr>
        <w:pStyle w:val="Heading3"/>
        <w:rPr>
          <w:rtl/>
        </w:rPr>
      </w:pPr>
      <w:bookmarkStart w:id="50" w:name="_Toc223962001"/>
      <w:r>
        <w:lastRenderedPageBreak/>
        <w:t>3.2.8</w:t>
      </w:r>
      <w:r w:rsidR="00674A3A">
        <w:rPr>
          <w:rtl/>
        </w:rPr>
        <w:tab/>
        <w:t>ورش عمل بشأن الجداول الوطنية لتوزيع نطاقات الترددات (</w:t>
      </w:r>
      <w:r w:rsidR="00674A3A">
        <w:t>NTFA</w:t>
      </w:r>
      <w:r w:rsidR="00674A3A">
        <w:rPr>
          <w:rtl/>
        </w:rPr>
        <w:t>)</w:t>
      </w:r>
      <w:bookmarkEnd w:id="50"/>
    </w:p>
    <w:p w14:paraId="1366ADEA" w14:textId="3C459075" w:rsidR="00674A3A" w:rsidRDefault="00674A3A" w:rsidP="00674A3A">
      <w:pPr>
        <w:rPr>
          <w:rtl/>
        </w:rPr>
      </w:pPr>
      <w:r>
        <w:rPr>
          <w:rtl/>
        </w:rPr>
        <w:t>تَقَرَّرَ أن هناك حاجة إلى استكمال الحلقات الدراسية العالمية/الإقليمية للاتصالات الراديوية (</w:t>
      </w:r>
      <w:r>
        <w:t>WRS/RRS</w:t>
      </w:r>
      <w:r>
        <w:rPr>
          <w:rtl/>
        </w:rPr>
        <w:t xml:space="preserve">) بتدريب مخصص للجداول </w:t>
      </w:r>
      <w:r w:rsidR="00A17557">
        <w:rPr>
          <w:rFonts w:hint="cs"/>
          <w:rtl/>
        </w:rPr>
        <w:t>الوطنية</w:t>
      </w:r>
      <w:r>
        <w:rPr>
          <w:rtl/>
        </w:rPr>
        <w:t xml:space="preserve"> لتوزيع نطاقات الترددات والتحديثات ذات الصلة بما يتماشى مع لوائح الراديو ومنشورات قطاع الاتصالات الراديوية. وتلبية لذلك، نظم مكتب الاتصالات الراديوية </w:t>
      </w:r>
      <w:hyperlink r:id="rId75" w:history="1">
        <w:r w:rsidRPr="00A17557">
          <w:rPr>
            <w:rStyle w:val="Hyperlink"/>
            <w:rtl/>
          </w:rPr>
          <w:t>ورش عمل بشأن الجداول الوطنية لتوزيع نطاقات الترددات (</w:t>
        </w:r>
        <w:r w:rsidRPr="00A17557">
          <w:rPr>
            <w:rStyle w:val="Hyperlink"/>
          </w:rPr>
          <w:t>NTFA</w:t>
        </w:r>
        <w:r w:rsidRPr="00A17557">
          <w:rPr>
            <w:rStyle w:val="Hyperlink"/>
            <w:rtl/>
          </w:rPr>
          <w:t>)</w:t>
        </w:r>
      </w:hyperlink>
      <w:r>
        <w:rPr>
          <w:rtl/>
        </w:rPr>
        <w:t xml:space="preserve"> (واحدة لكل إقليم من لوائح الراديو) عقب إصدار النسخة الجديدة من لوائح الراديو.</w:t>
      </w:r>
    </w:p>
    <w:p w14:paraId="652AB3A9" w14:textId="77777777" w:rsidR="00674A3A" w:rsidRPr="00A17557" w:rsidRDefault="00674A3A" w:rsidP="00674A3A">
      <w:pPr>
        <w:rPr>
          <w:spacing w:val="-2"/>
          <w:rtl/>
        </w:rPr>
      </w:pPr>
      <w:r w:rsidRPr="00A17557">
        <w:rPr>
          <w:spacing w:val="-2"/>
          <w:rtl/>
        </w:rPr>
        <w:t>وستُعقد السلسلة التالية من ورش العمل بشأن الجداول الوطنية لتوزيع نطاقات الترددات (</w:t>
      </w:r>
      <w:r w:rsidRPr="00A17557">
        <w:rPr>
          <w:spacing w:val="-2"/>
        </w:rPr>
        <w:t>NTFA</w:t>
      </w:r>
      <w:r w:rsidRPr="00A17557">
        <w:rPr>
          <w:spacing w:val="-2"/>
          <w:rtl/>
        </w:rPr>
        <w:t xml:space="preserve">) في الربع الثاني من عام 2028، بعد المؤتمر </w:t>
      </w:r>
      <w:r w:rsidRPr="00A17557">
        <w:rPr>
          <w:spacing w:val="-2"/>
        </w:rPr>
        <w:t>WRC-27</w:t>
      </w:r>
      <w:r w:rsidRPr="00A17557">
        <w:rPr>
          <w:spacing w:val="-2"/>
          <w:rtl/>
        </w:rPr>
        <w:t xml:space="preserve"> والإصدار اللاحق لإصدار طبعة 2028 من لوائح الراديو.</w:t>
      </w:r>
    </w:p>
    <w:p w14:paraId="323B4970" w14:textId="5DFE1479" w:rsidR="00674A3A" w:rsidRDefault="00A17557" w:rsidP="00D353B5">
      <w:pPr>
        <w:pStyle w:val="Heading2"/>
        <w:rPr>
          <w:rtl/>
        </w:rPr>
      </w:pPr>
      <w:bookmarkStart w:id="51" w:name="_Toc223962002"/>
      <w:r>
        <w:t>3.8</w:t>
      </w:r>
      <w:r w:rsidR="00674A3A">
        <w:rPr>
          <w:rtl/>
        </w:rPr>
        <w:tab/>
        <w:t>مساعدة الدول الأعضاء</w:t>
      </w:r>
      <w:bookmarkEnd w:id="51"/>
    </w:p>
    <w:p w14:paraId="21D0C163" w14:textId="5F29BA89" w:rsidR="00816C27" w:rsidRDefault="00674A3A" w:rsidP="00674A3A">
      <w:pPr>
        <w:rPr>
          <w:rtl/>
        </w:rPr>
      </w:pPr>
      <w:r>
        <w:rPr>
          <w:rtl/>
        </w:rPr>
        <w:t>يواصل المكتب تلقي العديد من طلبات المساعدة من الإدارات، سواءً فيما يتصل بالقضايا العامة لإدارة الطيف، أو عملية المؤتمر</w:t>
      </w:r>
      <w:r w:rsidR="00A17557">
        <w:rPr>
          <w:rFonts w:hint="eastAsia"/>
          <w:rtl/>
        </w:rPr>
        <w:t> </w:t>
      </w:r>
      <w:r>
        <w:t>WRC</w:t>
      </w:r>
      <w:r>
        <w:rPr>
          <w:rtl/>
        </w:rPr>
        <w:t>، أو المشاركة في لجان الدراسات وفرق العمل التابعة لقطاع الاتصالات الراديوية، فضلاً عن تسجيل تخصيصات الترددات لمحطات الأرض، أو المحطات الفضائية، أو المحطات الأرضية، أو محطات الفلك الراديوي.</w:t>
      </w:r>
    </w:p>
    <w:p w14:paraId="087BEB0B" w14:textId="05D6F063" w:rsidR="00674A3A" w:rsidRDefault="00674A3A" w:rsidP="00674A3A">
      <w:pPr>
        <w:rPr>
          <w:rtl/>
        </w:rPr>
      </w:pPr>
      <w:r>
        <w:rPr>
          <w:rtl/>
        </w:rPr>
        <w:t>ويسعى المكتب جاهداً إلى الرد على كل طلب في حدود موارده المتاحة، مع مراعاة تحقيق التوازن بين الموارد المخصصة لمعالجة بطاقات التبليغ المقدمة والرد على طلبات المساعدة. ومع ذلك، تجدر الإشارة إلى أن المكتب ليس في وضع يسمح له بتطبيق أحكام لوائح الراديو نيابةً عن الإدارات، بل يقتصر دوره على تقديم المشورة بشأن السبل الممكنة لتطبيق تلك الأحكام.</w:t>
      </w:r>
    </w:p>
    <w:p w14:paraId="14F4CA28" w14:textId="3224031E" w:rsidR="00674A3A" w:rsidRPr="00D353B5" w:rsidRDefault="00D353B5" w:rsidP="00D353B5">
      <w:pPr>
        <w:pStyle w:val="Heading3"/>
        <w:rPr>
          <w:rtl/>
        </w:rPr>
      </w:pPr>
      <w:bookmarkStart w:id="52" w:name="_Toc223962003"/>
      <w:r>
        <w:t>1.3.8</w:t>
      </w:r>
      <w:r w:rsidR="00674A3A" w:rsidRPr="00D353B5">
        <w:rPr>
          <w:rtl/>
        </w:rPr>
        <w:tab/>
        <w:t>مساعدة إدارات البلدان النامية</w:t>
      </w:r>
      <w:bookmarkEnd w:id="52"/>
    </w:p>
    <w:p w14:paraId="0DFC2D1D" w14:textId="77777777" w:rsidR="00674A3A" w:rsidRDefault="00674A3A" w:rsidP="00674A3A">
      <w:pPr>
        <w:rPr>
          <w:rtl/>
        </w:rPr>
      </w:pPr>
      <w:r>
        <w:rPr>
          <w:rtl/>
        </w:rPr>
        <w:t xml:space="preserve">منذ المؤتمر </w:t>
      </w:r>
      <w:r>
        <w:t>WRC-23</w:t>
      </w:r>
      <w:r>
        <w:rPr>
          <w:rtl/>
        </w:rPr>
        <w:t>، قدم المكتب المساعدة إلى إدارات البلدان النامية من خلال:</w:t>
      </w:r>
    </w:p>
    <w:p w14:paraId="1E5B5714" w14:textId="12C2D5F0" w:rsidR="00674A3A" w:rsidRDefault="00D353B5" w:rsidP="00D353B5">
      <w:pPr>
        <w:pStyle w:val="enumlev1"/>
        <w:rPr>
          <w:rtl/>
        </w:rPr>
      </w:pPr>
      <w:r>
        <w:sym w:font="Wingdings 2" w:char="F097"/>
      </w:r>
      <w:r w:rsidR="00674A3A">
        <w:rPr>
          <w:rtl/>
        </w:rPr>
        <w:tab/>
        <w:t>المشاركة في الحلقات الدراسية لبناء القدرات بشأن الاتصالات الساتلية؛</w:t>
      </w:r>
    </w:p>
    <w:p w14:paraId="31284DD1" w14:textId="0BA3C04D" w:rsidR="00674A3A" w:rsidRDefault="00D353B5" w:rsidP="00D353B5">
      <w:pPr>
        <w:pStyle w:val="enumlev1"/>
        <w:rPr>
          <w:rtl/>
        </w:rPr>
      </w:pPr>
      <w:r>
        <w:sym w:font="Wingdings 2" w:char="F097"/>
      </w:r>
      <w:r w:rsidR="00674A3A">
        <w:rPr>
          <w:rtl/>
        </w:rPr>
        <w:tab/>
        <w:t xml:space="preserve">تقديم المساعدة في إجراء التنسيق بموجب الأرقام </w:t>
      </w:r>
      <w:r w:rsidR="00674A3A" w:rsidRPr="00D353B5">
        <w:rPr>
          <w:b/>
          <w:bCs/>
          <w:rtl/>
        </w:rPr>
        <w:t>18.9</w:t>
      </w:r>
      <w:r w:rsidR="00674A3A">
        <w:rPr>
          <w:rtl/>
        </w:rPr>
        <w:t xml:space="preserve"> و</w:t>
      </w:r>
      <w:r w:rsidR="00674A3A" w:rsidRPr="00D353B5">
        <w:rPr>
          <w:b/>
          <w:bCs/>
          <w:rtl/>
        </w:rPr>
        <w:t>19.9</w:t>
      </w:r>
      <w:r w:rsidR="00674A3A">
        <w:rPr>
          <w:rtl/>
        </w:rPr>
        <w:t xml:space="preserve"> و</w:t>
      </w:r>
      <w:r w:rsidR="00674A3A" w:rsidRPr="00D353B5">
        <w:rPr>
          <w:b/>
          <w:bCs/>
        </w:rPr>
        <w:t>21.9</w:t>
      </w:r>
      <w:r w:rsidR="00674A3A">
        <w:rPr>
          <w:rtl/>
        </w:rPr>
        <w:t xml:space="preserve"> من لوائح الراديو؛</w:t>
      </w:r>
    </w:p>
    <w:p w14:paraId="723E2390" w14:textId="2530DC01" w:rsidR="00674A3A" w:rsidRDefault="00D353B5" w:rsidP="00D353B5">
      <w:pPr>
        <w:pStyle w:val="enumlev1"/>
        <w:rPr>
          <w:rtl/>
        </w:rPr>
      </w:pPr>
      <w:r>
        <w:sym w:font="Wingdings 2" w:char="F097"/>
      </w:r>
      <w:r w:rsidR="00674A3A">
        <w:rPr>
          <w:rtl/>
        </w:rPr>
        <w:tab/>
        <w:t>تقديم المساعدة في إجراءات تعديل الخطة بموجب الاتفاقات الإقليمية؛</w:t>
      </w:r>
    </w:p>
    <w:p w14:paraId="54E746F1" w14:textId="4288A740" w:rsidR="00674A3A" w:rsidRDefault="00D353B5" w:rsidP="00D353B5">
      <w:pPr>
        <w:pStyle w:val="enumlev1"/>
        <w:rPr>
          <w:rtl/>
        </w:rPr>
      </w:pPr>
      <w:r>
        <w:sym w:font="Wingdings 2" w:char="F097"/>
      </w:r>
      <w:r w:rsidR="00674A3A">
        <w:rPr>
          <w:rtl/>
        </w:rPr>
        <w:tab/>
        <w:t xml:space="preserve">تقديم المساعدة في تخصيصات الرموز الدليلية للنداء والهويات </w:t>
      </w:r>
      <w:r w:rsidR="00674A3A">
        <w:t>MMSI</w:t>
      </w:r>
      <w:r w:rsidR="00674A3A">
        <w:rPr>
          <w:rtl/>
        </w:rPr>
        <w:t>؛</w:t>
      </w:r>
    </w:p>
    <w:p w14:paraId="35156C02" w14:textId="5C2771A8" w:rsidR="00816C27" w:rsidRDefault="00D353B5" w:rsidP="00D353B5">
      <w:pPr>
        <w:pStyle w:val="enumlev1"/>
        <w:rPr>
          <w:rtl/>
        </w:rPr>
      </w:pPr>
      <w:r>
        <w:sym w:font="Wingdings 2" w:char="F097"/>
      </w:r>
      <w:r w:rsidR="00674A3A">
        <w:rPr>
          <w:rtl/>
        </w:rPr>
        <w:tab/>
        <w:t xml:space="preserve">تقديم المساعدة في تقديم بطاقات التبليغ بموجب </w:t>
      </w:r>
      <w:r w:rsidR="00CF32AE">
        <w:rPr>
          <w:rFonts w:hint="cs"/>
          <w:rtl/>
        </w:rPr>
        <w:t>المادة</w:t>
      </w:r>
      <w:r w:rsidR="00674A3A">
        <w:rPr>
          <w:rtl/>
        </w:rPr>
        <w:t xml:space="preserve"> </w:t>
      </w:r>
      <w:r w:rsidR="00674A3A" w:rsidRPr="00D353B5">
        <w:rPr>
          <w:b/>
          <w:bCs/>
          <w:rtl/>
        </w:rPr>
        <w:t>11</w:t>
      </w:r>
      <w:r w:rsidR="00674A3A">
        <w:rPr>
          <w:rtl/>
        </w:rPr>
        <w:t xml:space="preserve"> من لوائح الراديو؛</w:t>
      </w:r>
    </w:p>
    <w:p w14:paraId="73915810" w14:textId="54347812" w:rsidR="00816C27" w:rsidRDefault="00D353B5" w:rsidP="00D353B5">
      <w:pPr>
        <w:pStyle w:val="enumlev1"/>
        <w:rPr>
          <w:rtl/>
        </w:rPr>
      </w:pPr>
      <w:r>
        <w:sym w:font="Wingdings 2" w:char="F097"/>
      </w:r>
      <w:r w:rsidR="00674A3A">
        <w:rPr>
          <w:rtl/>
        </w:rPr>
        <w:tab/>
        <w:t>تقديم المساعدة في الإجراءات الفضائية؛</w:t>
      </w:r>
    </w:p>
    <w:p w14:paraId="32DA8C98" w14:textId="68CD4075" w:rsidR="00674A3A" w:rsidRDefault="00D353B5" w:rsidP="00D353B5">
      <w:pPr>
        <w:pStyle w:val="enumlev1"/>
        <w:rPr>
          <w:rtl/>
        </w:rPr>
      </w:pPr>
      <w:r>
        <w:sym w:font="Wingdings 2" w:char="F097"/>
      </w:r>
      <w:r w:rsidR="00674A3A">
        <w:rPr>
          <w:rtl/>
        </w:rPr>
        <w:tab/>
        <w:t xml:space="preserve">تقديم مساعدة مركَّزة في تنفيذ القرار </w:t>
      </w:r>
      <w:r w:rsidRPr="00D353B5">
        <w:rPr>
          <w:b/>
          <w:bCs/>
        </w:rPr>
        <w:t>170 (Rev.WRC-23)</w:t>
      </w:r>
      <w:r w:rsidR="00674A3A">
        <w:rPr>
          <w:rtl/>
        </w:rPr>
        <w:t>.</w:t>
      </w:r>
    </w:p>
    <w:p w14:paraId="0550605D" w14:textId="0D8073FC" w:rsidR="00674A3A" w:rsidRDefault="00D353B5" w:rsidP="00D353B5">
      <w:pPr>
        <w:pStyle w:val="Heading3"/>
        <w:rPr>
          <w:rtl/>
        </w:rPr>
      </w:pPr>
      <w:bookmarkStart w:id="53" w:name="_Toc223962004"/>
      <w:r>
        <w:t>2.3.8</w:t>
      </w:r>
      <w:r w:rsidR="00674A3A">
        <w:rPr>
          <w:rtl/>
        </w:rPr>
        <w:tab/>
        <w:t>مساعدة الأفرقة الإقليمية</w:t>
      </w:r>
      <w:bookmarkEnd w:id="53"/>
    </w:p>
    <w:p w14:paraId="778D8BA6" w14:textId="1DE18B06" w:rsidR="00674A3A" w:rsidRDefault="00D353B5" w:rsidP="00D353B5">
      <w:pPr>
        <w:pStyle w:val="Heading4"/>
        <w:rPr>
          <w:rtl/>
        </w:rPr>
      </w:pPr>
      <w:r>
        <w:t>1.2.3.8</w:t>
      </w:r>
      <w:r w:rsidR="00674A3A">
        <w:rPr>
          <w:rtl/>
        </w:rPr>
        <w:tab/>
        <w:t>مساعدة الجماعة الإنمائية للجنوب الإفريقي (</w:t>
      </w:r>
      <w:r w:rsidR="00674A3A">
        <w:t>SADC</w:t>
      </w:r>
      <w:r w:rsidR="00674A3A">
        <w:rPr>
          <w:rtl/>
        </w:rPr>
        <w:t>)</w:t>
      </w:r>
    </w:p>
    <w:p w14:paraId="0C336488" w14:textId="43D20DB4" w:rsidR="00674A3A" w:rsidRDefault="00674A3A" w:rsidP="00674A3A">
      <w:pPr>
        <w:rPr>
          <w:rtl/>
        </w:rPr>
      </w:pPr>
      <w:r>
        <w:rPr>
          <w:rtl/>
        </w:rPr>
        <w:t xml:space="preserve">في 3 سبتمبر 2025، تلقى المكتب ثمانية تبليغات تتعلق بتطبيق القرار </w:t>
      </w:r>
      <w:r w:rsidR="00D353B5" w:rsidRPr="00D353B5">
        <w:rPr>
          <w:b/>
          <w:bCs/>
        </w:rPr>
        <w:t>170 (Rev.WRC-23)</w:t>
      </w:r>
      <w:r>
        <w:rPr>
          <w:rtl/>
        </w:rPr>
        <w:t xml:space="preserve"> من إدارة</w:t>
      </w:r>
      <w:r w:rsidR="00D53FD1">
        <w:rPr>
          <w:rtl/>
        </w:rPr>
        <w:t xml:space="preserve"> </w:t>
      </w:r>
      <w:r>
        <w:rPr>
          <w:rtl/>
        </w:rPr>
        <w:t>جمهورية أنغولا باعتبارها إدارة مبلغة عن منظمة ساتلية حكومية دولية جديدة تسمى "الساتل التابع لجماعة جنوب إفريقيا" (</w:t>
      </w:r>
      <w:r>
        <w:t>AGL/SCS</w:t>
      </w:r>
      <w:r>
        <w:rPr>
          <w:rtl/>
        </w:rPr>
        <w:t>).</w:t>
      </w:r>
    </w:p>
    <w:p w14:paraId="2AA46763" w14:textId="563E81F2" w:rsidR="00674A3A" w:rsidRDefault="00674A3A" w:rsidP="00674A3A">
      <w:pPr>
        <w:rPr>
          <w:rtl/>
        </w:rPr>
      </w:pPr>
      <w:r>
        <w:rPr>
          <w:rtl/>
        </w:rPr>
        <w:t>ولمعالجة هذه التبليغات، أنشأ المكتب قسماً خاصاً جديداً (</w:t>
      </w:r>
      <w:r>
        <w:t>RES170/A6A</w:t>
      </w:r>
      <w:r>
        <w:rPr>
          <w:rtl/>
        </w:rPr>
        <w:t xml:space="preserve">) يتضمن المعلومات المقدمة بموجب الإجراء الخاص الوارد وصفة في المرفق 1 بالقرار </w:t>
      </w:r>
      <w:r w:rsidR="00D353B5" w:rsidRPr="00D353B5">
        <w:rPr>
          <w:b/>
          <w:bCs/>
        </w:rPr>
        <w:t>170 (Rev.WRC-23)</w:t>
      </w:r>
      <w:r>
        <w:rPr>
          <w:rtl/>
        </w:rPr>
        <w:t>. ويُستعمل هذا القسم الخاص منذ 3 فبراير 2026، على النحو المبين في مقدمة النشرة الإعلامية الدولية للترددات الصادرة عن مكتب الاتصالات الراديوية (</w:t>
      </w:r>
      <w:r>
        <w:t>BR IFIC</w:t>
      </w:r>
      <w:r>
        <w:rPr>
          <w:rtl/>
        </w:rPr>
        <w:t>) (الخدمات الفضائية).</w:t>
      </w:r>
    </w:p>
    <w:p w14:paraId="001EFA5D" w14:textId="65400603" w:rsidR="00674A3A" w:rsidRDefault="00674A3A" w:rsidP="00674A3A">
      <w:pPr>
        <w:rPr>
          <w:rtl/>
        </w:rPr>
      </w:pPr>
      <w:r>
        <w:rPr>
          <w:rtl/>
        </w:rPr>
        <w:t xml:space="preserve">ونُشِرت ثمانية أقسام خاصة تخضع للقرار </w:t>
      </w:r>
      <w:r w:rsidR="00D353B5" w:rsidRPr="00D353B5">
        <w:rPr>
          <w:b/>
          <w:bCs/>
        </w:rPr>
        <w:t>170 (Rev.WRC-23)</w:t>
      </w:r>
      <w:r>
        <w:rPr>
          <w:rtl/>
        </w:rPr>
        <w:t xml:space="preserve"> في النشرة الإعلامية الدولية للترددات رقم 3064 المؤرخة 3 فبراير 2026.</w:t>
      </w:r>
    </w:p>
    <w:p w14:paraId="65A393F5" w14:textId="4A2F0464" w:rsidR="00674A3A" w:rsidRDefault="00195204" w:rsidP="00195204">
      <w:pPr>
        <w:pStyle w:val="Heading2"/>
        <w:rPr>
          <w:rtl/>
        </w:rPr>
      </w:pPr>
      <w:bookmarkStart w:id="54" w:name="_Toc223962005"/>
      <w:r>
        <w:t>4.8</w:t>
      </w:r>
      <w:r w:rsidR="00674A3A">
        <w:rPr>
          <w:rtl/>
        </w:rPr>
        <w:tab/>
        <w:t>الشراكات الاستراتيجية والتعاون بين القطاعات</w:t>
      </w:r>
      <w:bookmarkEnd w:id="54"/>
    </w:p>
    <w:p w14:paraId="4F701836" w14:textId="4EB975F4" w:rsidR="00674A3A" w:rsidRDefault="00195204" w:rsidP="00195204">
      <w:pPr>
        <w:pStyle w:val="Heading3"/>
        <w:rPr>
          <w:rtl/>
        </w:rPr>
      </w:pPr>
      <w:bookmarkStart w:id="55" w:name="_Toc223962006"/>
      <w:r>
        <w:t>1.4.8</w:t>
      </w:r>
      <w:r w:rsidR="00674A3A">
        <w:rPr>
          <w:rtl/>
        </w:rPr>
        <w:tab/>
        <w:t>التعاون مع قطاع تنمية الاتصالات</w:t>
      </w:r>
      <w:bookmarkEnd w:id="55"/>
    </w:p>
    <w:p w14:paraId="1A5DB346" w14:textId="656507A2" w:rsidR="00674A3A" w:rsidRDefault="00674A3A" w:rsidP="00674A3A">
      <w:pPr>
        <w:rPr>
          <w:rtl/>
        </w:rPr>
      </w:pPr>
      <w:r>
        <w:rPr>
          <w:rtl/>
        </w:rPr>
        <w:t>حافظ مكتب الاتصالات الراديوية على تعاون وثيق مع مكتب تنمية الاتصالات بشأن مسائل ذات اهتمام مشترك مع</w:t>
      </w:r>
      <w:r w:rsidR="00D53FD1">
        <w:rPr>
          <w:rtl/>
        </w:rPr>
        <w:t xml:space="preserve"> </w:t>
      </w:r>
      <w:r>
        <w:rPr>
          <w:rtl/>
        </w:rPr>
        <w:t xml:space="preserve">قطاع الاتصالات الراديوية وقطاع تنمية الاتصالات في الاتحاد. وشارك المكتب بنشاط في اجتماعات لجنتَي دراسات قطاع تنمية الاتصالات لتقديم أحدث التطورات في أنشطة لجان دراسات قطاع الاتصالات الراديوية، بما في ذلك التوجيه وخارطة الارتباطات بشأن توصيات قطاع الاتصالات الراديوية وتقاريره وكتيباته التي تتسم بأهمية خاصة للبلدان النامية ‏والدراسات التي أعدتها لجنتا </w:t>
      </w:r>
      <w:r>
        <w:rPr>
          <w:rtl/>
        </w:rPr>
        <w:lastRenderedPageBreak/>
        <w:t xml:space="preserve">الدراسات </w:t>
      </w:r>
      <w:r>
        <w:rPr>
          <w:cs/>
        </w:rPr>
        <w:t>‎</w:t>
      </w:r>
      <w:r>
        <w:t>1</w:t>
      </w:r>
      <w:r>
        <w:rPr>
          <w:rtl/>
        </w:rPr>
        <w:t xml:space="preserve"> ‏و</w:t>
      </w:r>
      <w:r>
        <w:rPr>
          <w:cs/>
        </w:rPr>
        <w:t>‎</w:t>
      </w:r>
      <w:r>
        <w:t>2</w:t>
      </w:r>
      <w:r>
        <w:rPr>
          <w:rtl/>
        </w:rPr>
        <w:t xml:space="preserve"> ‏بقطاع تنمية الاتصالات.</w:t>
      </w:r>
      <w:r>
        <w:rPr>
          <w:cs/>
        </w:rPr>
        <w:t>‎</w:t>
      </w:r>
      <w:r>
        <w:rPr>
          <w:rtl/>
        </w:rPr>
        <w:t xml:space="preserve"> وبالإضافة إلى ذلك، استجابت لجان دراسات قطاع الاتصالات الراديوية أو فرق عملها للعديد من بيانات الاتصال من لجنتي دراسات قطاع تنمية الاتصالات فيما يتعلق بإعداد مشاريع تقارير قطاع تنمية الاتصالات لتقديمها إلى المؤتمر العالمي لتنمية الاتصالات لعام 2025 (</w:t>
      </w:r>
      <w:r>
        <w:t>WTDC-25</w:t>
      </w:r>
      <w:r>
        <w:rPr>
          <w:rtl/>
        </w:rPr>
        <w:t>) استجابة لمسائل قطاع تنمية الاتصالات الموافق عليها في المؤتمر العالمي لتنمية الاتصالات لعام 2022 (</w:t>
      </w:r>
      <w:r>
        <w:t>WTDC-22</w:t>
      </w:r>
      <w:r>
        <w:rPr>
          <w:rtl/>
        </w:rPr>
        <w:t>). وتابع ممثلو مكتب الاتصالات الراديوية أيضاً متابعة وثيقة أعمال المؤتمر العالمي لتنمية الاتصالات لعام 2025 (</w:t>
      </w:r>
      <w:r>
        <w:t>WTDC-25</w:t>
      </w:r>
      <w:r>
        <w:rPr>
          <w:rtl/>
        </w:rPr>
        <w:t>) وشاركوا فيه.</w:t>
      </w:r>
    </w:p>
    <w:p w14:paraId="17B34E3D" w14:textId="655A70DE" w:rsidR="00674A3A" w:rsidRDefault="00674A3A" w:rsidP="00674A3A">
      <w:pPr>
        <w:rPr>
          <w:rtl/>
        </w:rPr>
      </w:pPr>
      <w:r>
        <w:rPr>
          <w:rtl/>
        </w:rPr>
        <w:t xml:space="preserve">ولتسهيل التعاون باستعمال الآليات القائمة، تقدم دائرة لجان الدراسات التابعة لمكتب الاتصالات الراديوية ملخصات لإنجازات لجان الدراسات أو فرق العمل التي أنجزتها مؤخراً إلى لجان الدراسات ذات الصلة في قطاع تنمية الاتصالات من خلال تحديث جميع النواتج التي تمت الموافقة عليها مؤخراً. وتنشر هذه المعلومات على أساس منتظم في </w:t>
      </w:r>
      <w:hyperlink r:id="rId76" w:history="1">
        <w:r w:rsidRPr="00195204">
          <w:rPr>
            <w:rStyle w:val="Hyperlink"/>
            <w:rtl/>
          </w:rPr>
          <w:t>الموقع الإلكتروني للجان دراسات قطاع الاتصالات الراديوية</w:t>
        </w:r>
      </w:hyperlink>
      <w:r>
        <w:rPr>
          <w:rtl/>
        </w:rPr>
        <w:t>. ويحتوي الملف على قائمة بالنصوص التي تمت الموافقة عليها مؤخراً بترتيب زمني لفترة الدراسة</w:t>
      </w:r>
      <w:r w:rsidR="00195204">
        <w:rPr>
          <w:rFonts w:hint="eastAsia"/>
          <w:rtl/>
        </w:rPr>
        <w:t> </w:t>
      </w:r>
      <w:r w:rsidR="00195204">
        <w:t>2027-2023</w:t>
      </w:r>
      <w:r>
        <w:rPr>
          <w:rtl/>
        </w:rPr>
        <w:t xml:space="preserve"> فضلاً عن وصف موجز لمحتوى كل وثيقة. وحددت دائرة لجان الدراسات التابعة لمكتب الاتصالات الراديوية لجنة الدراسات التابعة لقطاع تنمية الاتصالات و/أو قطاع تقييس الاتصالات ومسألة الدراسة التي يمكن أن تكون كل وثيقة من وثائق قطاع الاتصالات الراديوية ذات صلة بها. ويساهم ذلك أيضاً في تجنب ازدواج الجهود والاستفادة من نتائج العمل الذي اضطلعت به لجان دراسات قطاع الاتصالات الراديوية. وتتوافر هذه المعلومات أيضاً لفترة الدراسة </w:t>
      </w:r>
      <w:r w:rsidR="00195204">
        <w:t>2023-2019</w:t>
      </w:r>
      <w:r>
        <w:rPr>
          <w:rtl/>
        </w:rPr>
        <w:t>.</w:t>
      </w:r>
    </w:p>
    <w:p w14:paraId="54CD2A6A" w14:textId="6CC607EC" w:rsidR="00674A3A" w:rsidRDefault="00674A3A" w:rsidP="00674A3A">
      <w:pPr>
        <w:rPr>
          <w:rtl/>
        </w:rPr>
      </w:pPr>
      <w:r>
        <w:rPr>
          <w:rtl/>
        </w:rPr>
        <w:t>واستجابة</w:t>
      </w:r>
      <w:r w:rsidR="001E0131">
        <w:rPr>
          <w:rFonts w:hint="cs"/>
          <w:rtl/>
        </w:rPr>
        <w:t>ً</w:t>
      </w:r>
      <w:r>
        <w:rPr>
          <w:rtl/>
        </w:rPr>
        <w:t xml:space="preserve"> لطلبات مكتب تنمية الاتصالات، شارك خبراء من قطاع الاتصالات الراديوية ومكتب الاتصالات الراديوية في الحلقات الدراسية وورش العمل التي نظمها قطاع تنمية الاتصالات.</w:t>
      </w:r>
    </w:p>
    <w:p w14:paraId="5DE0FD72" w14:textId="5FD7B050" w:rsidR="00674A3A" w:rsidRDefault="001E0131" w:rsidP="001E0131">
      <w:pPr>
        <w:pStyle w:val="Heading4"/>
        <w:rPr>
          <w:rtl/>
        </w:rPr>
      </w:pPr>
      <w:r>
        <w:t>1.1.4.8</w:t>
      </w:r>
      <w:r w:rsidR="00674A3A">
        <w:rPr>
          <w:rtl/>
        </w:rPr>
        <w:tab/>
        <w:t>الندوة العالمية لمنظمي الاتصالات (</w:t>
      </w:r>
      <w:r w:rsidR="00674A3A">
        <w:t>GSR</w:t>
      </w:r>
      <w:r w:rsidR="00674A3A">
        <w:rPr>
          <w:rtl/>
        </w:rPr>
        <w:t>)</w:t>
      </w:r>
    </w:p>
    <w:p w14:paraId="1B67EF8F" w14:textId="77777777" w:rsidR="00674A3A" w:rsidRDefault="00674A3A" w:rsidP="00674A3A">
      <w:pPr>
        <w:rPr>
          <w:rtl/>
        </w:rPr>
      </w:pPr>
      <w:r>
        <w:rPr>
          <w:rtl/>
        </w:rPr>
        <w:t>إقراراً بأهمية معلومات الخبراء للدول الأعضاء، يواصل مكتب الاتصالات الراديوية دعم مكتب تنمية الاتصالات من خلال تقديم الخبرة التقنية فيما يتعلق بإدارة الطيف والإذاعة الرقمية والمكاسب الرقمية.</w:t>
      </w:r>
    </w:p>
    <w:p w14:paraId="7D5DFF10" w14:textId="5B2020A9" w:rsidR="00674A3A" w:rsidRDefault="001E0131" w:rsidP="001E0131">
      <w:pPr>
        <w:pStyle w:val="Heading4"/>
        <w:rPr>
          <w:rtl/>
        </w:rPr>
      </w:pPr>
      <w:r>
        <w:t>2.1.4.8</w:t>
      </w:r>
      <w:r w:rsidR="000A15A4">
        <w:rPr>
          <w:rtl/>
        </w:rPr>
        <w:tab/>
      </w:r>
      <w:r w:rsidR="00674A3A">
        <w:rPr>
          <w:rtl/>
        </w:rPr>
        <w:t>برنامج التدريب على إدارة الطيف (</w:t>
      </w:r>
      <w:r w:rsidR="00674A3A">
        <w:t>SMTP</w:t>
      </w:r>
      <w:r w:rsidR="00674A3A">
        <w:rPr>
          <w:rtl/>
        </w:rPr>
        <w:t>)</w:t>
      </w:r>
    </w:p>
    <w:p w14:paraId="6A2D84A7" w14:textId="70401FEE" w:rsidR="00816C27" w:rsidRDefault="00674A3A" w:rsidP="00674A3A">
      <w:pPr>
        <w:rPr>
          <w:rtl/>
        </w:rPr>
      </w:pPr>
      <w:r>
        <w:rPr>
          <w:rtl/>
        </w:rPr>
        <w:t>منذ عام 2013، شارك مكتب الاتصالات الراديوية بنشاط في مشروع مشترك مع مكتب تنمية الاتصالات لوضع برنامج التدريب على إدارة الطيف (</w:t>
      </w:r>
      <w:r>
        <w:t>SMTP</w:t>
      </w:r>
      <w:r>
        <w:rPr>
          <w:rtl/>
        </w:rPr>
        <w:t>) من خلال مراحله المختلفة: التصميم وإعداد المواد واستعراض الأقران والاختبار التجريبي. وجرت عدة تحديثات على مر السنين وأجرى مكتب الاتصالات الراديوية، بناء</w:t>
      </w:r>
      <w:r w:rsidR="00CF32AE">
        <w:rPr>
          <w:rFonts w:hint="cs"/>
          <w:rtl/>
        </w:rPr>
        <w:t>ً</w:t>
      </w:r>
      <w:r>
        <w:rPr>
          <w:rtl/>
        </w:rPr>
        <w:t xml:space="preserve"> على طلب مكتب تنمية الاتصالات، استعراضاً منتظماً للمواد الواردة في برنامج التدريب الحالي على إدارة الطيف.</w:t>
      </w:r>
    </w:p>
    <w:p w14:paraId="4B6FABEE" w14:textId="5DE69AA4" w:rsidR="00674A3A" w:rsidRDefault="001E0131" w:rsidP="001E0131">
      <w:pPr>
        <w:pStyle w:val="Heading3"/>
        <w:rPr>
          <w:rtl/>
        </w:rPr>
      </w:pPr>
      <w:bookmarkStart w:id="56" w:name="_Toc223962007"/>
      <w:r>
        <w:t>2.4.8</w:t>
      </w:r>
      <w:r w:rsidR="00674A3A">
        <w:rPr>
          <w:rtl/>
        </w:rPr>
        <w:tab/>
        <w:t>التعاون مع قطاع تقييس الاتصالات</w:t>
      </w:r>
      <w:bookmarkEnd w:id="56"/>
    </w:p>
    <w:p w14:paraId="1623A686" w14:textId="4952D9C6" w:rsidR="00674A3A" w:rsidRDefault="00674A3A" w:rsidP="00674A3A">
      <w:pPr>
        <w:rPr>
          <w:rtl/>
        </w:rPr>
      </w:pPr>
      <w:r>
        <w:rPr>
          <w:rtl/>
        </w:rPr>
        <w:t>إضافةً إلى تغير المناخ واتصالات الطوارئ، تشمل المواضيع ذات الاهتمام المشترك، بين قطاع الاتصالات الراديوية وقطاع تقييس الاتصالات، بما في ذلك الاتصالات المتنقلة الدولية (</w:t>
      </w:r>
      <w:r>
        <w:t>IMT</w:t>
      </w:r>
      <w:r>
        <w:rPr>
          <w:rtl/>
        </w:rPr>
        <w:t>) وآثار التعرض البشري للترددات الراديوية وأنظمة الاتصالات عبر خطوط الكهرباء والشبكة الذكية والمدن الذكية والتوافق/التداخل الكهرمغنطيسي (</w:t>
      </w:r>
      <w:r>
        <w:t>EMC/EMI</w:t>
      </w:r>
      <w:r>
        <w:rPr>
          <w:rtl/>
        </w:rPr>
        <w:t>) وأنظمة النقل الذكية والذكاء الاصطناعي</w:t>
      </w:r>
      <w:r w:rsidR="001E0131">
        <w:rPr>
          <w:rFonts w:hint="cs"/>
          <w:rtl/>
        </w:rPr>
        <w:t xml:space="preserve"> </w:t>
      </w:r>
      <w:r w:rsidR="001E0131">
        <w:t>(AI)</w:t>
      </w:r>
      <w:r>
        <w:rPr>
          <w:rtl/>
        </w:rPr>
        <w:t xml:space="preserve"> وإمكانية النفاذ إلى الوسائط السمعية-المرئية والسياسة المشتركة لبراءات الاختراع وحقوق الملكية الفكرية.</w:t>
      </w:r>
    </w:p>
    <w:p w14:paraId="70B82D15" w14:textId="35F13B21" w:rsidR="00674A3A" w:rsidRDefault="001E0131" w:rsidP="001E0131">
      <w:pPr>
        <w:pStyle w:val="Heading3"/>
        <w:rPr>
          <w:rtl/>
        </w:rPr>
      </w:pPr>
      <w:bookmarkStart w:id="57" w:name="_Toc223962008"/>
      <w:r>
        <w:t>3.4.8</w:t>
      </w:r>
      <w:r w:rsidR="00674A3A">
        <w:rPr>
          <w:rtl/>
        </w:rPr>
        <w:tab/>
        <w:t>الأنشطة الأخرى المشتركة بين القطاعات</w:t>
      </w:r>
      <w:bookmarkEnd w:id="57"/>
    </w:p>
    <w:p w14:paraId="64A666A1" w14:textId="77777777" w:rsidR="00674A3A" w:rsidRDefault="00674A3A" w:rsidP="00674A3A">
      <w:pPr>
        <w:rPr>
          <w:rtl/>
        </w:rPr>
      </w:pPr>
      <w:r>
        <w:rPr>
          <w:rtl/>
        </w:rPr>
        <w:t>شارك مكتب الاتصالات الراديوية بنشاط في الأنشطة الأخرى المشتركة بين القطاعات ذات الصلة بعمل لجان دراسات قطاع الاتصالات الراديوية، على النحو الموضح أدناه:</w:t>
      </w:r>
    </w:p>
    <w:p w14:paraId="5EBC0CD2" w14:textId="40CF468F" w:rsidR="00674A3A" w:rsidRDefault="00370470" w:rsidP="00370470">
      <w:pPr>
        <w:pStyle w:val="enumlev1"/>
        <w:rPr>
          <w:rtl/>
        </w:rPr>
      </w:pPr>
      <w:r>
        <w:rPr>
          <w:rtl/>
        </w:rPr>
        <w:t>‒</w:t>
      </w:r>
      <w:r w:rsidR="00674A3A">
        <w:rPr>
          <w:rtl/>
        </w:rPr>
        <w:tab/>
        <w:t>تغير المناخ والاتصالات في حالات الطوارئ</w:t>
      </w:r>
    </w:p>
    <w:p w14:paraId="6F44C86D" w14:textId="19278491" w:rsidR="00674A3A" w:rsidRDefault="00370470" w:rsidP="00370470">
      <w:pPr>
        <w:pStyle w:val="enumlev1"/>
        <w:rPr>
          <w:rtl/>
        </w:rPr>
      </w:pPr>
      <w:r>
        <w:rPr>
          <w:rtl/>
        </w:rPr>
        <w:t>‒</w:t>
      </w:r>
      <w:r w:rsidR="00674A3A">
        <w:rPr>
          <w:rtl/>
        </w:rPr>
        <w:tab/>
        <w:t>النفاذ، المشاركة في التنسيق المشترك بشأن قابلية النفاذ والعوامل البشرية (</w:t>
      </w:r>
      <w:r w:rsidR="00674A3A">
        <w:t>ITU-T JCA-AHF</w:t>
      </w:r>
      <w:r w:rsidR="00674A3A">
        <w:rPr>
          <w:rtl/>
        </w:rPr>
        <w:t>)</w:t>
      </w:r>
    </w:p>
    <w:p w14:paraId="3CC9EC44" w14:textId="7CEFF1FD" w:rsidR="00674A3A" w:rsidRDefault="00370470" w:rsidP="00370470">
      <w:pPr>
        <w:pStyle w:val="enumlev1"/>
        <w:rPr>
          <w:rtl/>
        </w:rPr>
      </w:pPr>
      <w:r>
        <w:rPr>
          <w:rtl/>
        </w:rPr>
        <w:t>‒</w:t>
      </w:r>
      <w:r w:rsidR="00674A3A">
        <w:rPr>
          <w:rtl/>
        </w:rPr>
        <w:tab/>
        <w:t>القمة العالمية لمجتمع المعلومات وفريق العمل التابع للمجلس المعني بهذه القمة وأهداف التنمية المستدامة</w:t>
      </w:r>
    </w:p>
    <w:p w14:paraId="2979D17C" w14:textId="188EDA6C" w:rsidR="00674A3A" w:rsidRDefault="00370470" w:rsidP="00370470">
      <w:pPr>
        <w:pStyle w:val="enumlev1"/>
        <w:rPr>
          <w:rtl/>
        </w:rPr>
      </w:pPr>
      <w:r>
        <w:rPr>
          <w:rtl/>
        </w:rPr>
        <w:t>‒</w:t>
      </w:r>
      <w:r w:rsidR="00674A3A">
        <w:rPr>
          <w:rtl/>
        </w:rPr>
        <w:tab/>
        <w:t>دعم هام قُدِّم إلى مؤتمر المندوبين المفوضين ومجلس الاتحاد والجمعية العالمية لتقييس الاتصالات والمؤتمر العالمي لتنمية الاتصالات</w:t>
      </w:r>
    </w:p>
    <w:p w14:paraId="41664149" w14:textId="5C9268E2" w:rsidR="00674A3A" w:rsidRPr="002A2BA0" w:rsidRDefault="00674A3A" w:rsidP="00674A3A">
      <w:pPr>
        <w:rPr>
          <w:spacing w:val="-4"/>
          <w:rtl/>
        </w:rPr>
      </w:pPr>
      <w:r w:rsidRPr="002A2BA0">
        <w:rPr>
          <w:spacing w:val="-4"/>
          <w:rtl/>
        </w:rPr>
        <w:t xml:space="preserve">وتلبية لطلب القرار </w:t>
      </w:r>
      <w:hyperlink r:id="rId77" w:history="1">
        <w:r w:rsidR="002A2BA0" w:rsidRPr="002A2BA0">
          <w:rPr>
            <w:rStyle w:val="Hyperlink"/>
            <w:spacing w:val="-4"/>
          </w:rPr>
          <w:t>ITU-R 75</w:t>
        </w:r>
      </w:hyperlink>
      <w:r w:rsidRPr="002A2BA0">
        <w:rPr>
          <w:spacing w:val="-4"/>
          <w:rtl/>
        </w:rPr>
        <w:t xml:space="preserve"> عن "</w:t>
      </w:r>
      <w:r w:rsidR="002A2BA0" w:rsidRPr="002A2BA0">
        <w:rPr>
          <w:rFonts w:hint="cs"/>
          <w:spacing w:val="-4"/>
          <w:rtl/>
        </w:rPr>
        <w:t xml:space="preserve"> </w:t>
      </w:r>
      <w:r w:rsidRPr="002A2BA0">
        <w:rPr>
          <w:i/>
          <w:iCs/>
          <w:spacing w:val="-4"/>
          <w:rtl/>
        </w:rPr>
        <w:t xml:space="preserve">تعزيز التنسيق والتعاون </w:t>
      </w:r>
      <w:r w:rsidR="002A2BA0" w:rsidRPr="002A2BA0">
        <w:rPr>
          <w:rFonts w:hint="cs"/>
          <w:i/>
          <w:iCs/>
          <w:spacing w:val="-4"/>
          <w:rtl/>
        </w:rPr>
        <w:t>فيما بين ال</w:t>
      </w:r>
      <w:r w:rsidRPr="002A2BA0">
        <w:rPr>
          <w:i/>
          <w:iCs/>
          <w:spacing w:val="-4"/>
          <w:rtl/>
        </w:rPr>
        <w:t xml:space="preserve">قطاعات الثلاثة </w:t>
      </w:r>
      <w:r w:rsidR="002A2BA0" w:rsidRPr="002A2BA0">
        <w:rPr>
          <w:rFonts w:hint="cs"/>
          <w:i/>
          <w:iCs/>
          <w:spacing w:val="-4"/>
          <w:rtl/>
        </w:rPr>
        <w:t xml:space="preserve">للاتحاد الدولي للاتصالات </w:t>
      </w:r>
      <w:r w:rsidRPr="002A2BA0">
        <w:rPr>
          <w:i/>
          <w:iCs/>
          <w:spacing w:val="-4"/>
          <w:rtl/>
        </w:rPr>
        <w:t>بشأن المسائل ذات الاهتمام المشترك</w:t>
      </w:r>
      <w:r w:rsidRPr="002A2BA0">
        <w:rPr>
          <w:spacing w:val="-4"/>
          <w:rtl/>
        </w:rPr>
        <w:t>"، سيواصل مكتب الاتصالات الراديوية التعاون مع قطاعي تنمية الاتصالات وتقييس الاتصالات حسب الاقتضاء.</w:t>
      </w:r>
    </w:p>
    <w:p w14:paraId="0C86E310" w14:textId="3D99E705" w:rsidR="00816C27" w:rsidRDefault="00674A3A" w:rsidP="00674A3A">
      <w:pPr>
        <w:rPr>
          <w:rtl/>
        </w:rPr>
      </w:pPr>
      <w:r>
        <w:rPr>
          <w:rtl/>
        </w:rPr>
        <w:t>وهذه أمثلة جيدة على التعاون بين قطاعات الاتحاد امتثالاً للقرار 191 (المراجَع في بوخارست، 2022) لمؤتمر المندوبين المفوضين بشأن "</w:t>
      </w:r>
      <w:r w:rsidR="002A2BA0">
        <w:rPr>
          <w:rFonts w:hint="cs"/>
          <w:rtl/>
        </w:rPr>
        <w:t> </w:t>
      </w:r>
      <w:r w:rsidRPr="002A2BA0">
        <w:rPr>
          <w:i/>
          <w:iCs/>
          <w:rtl/>
        </w:rPr>
        <w:t>استراتيجية تنسيق الجهود بين قطاعات الاتحاد الثلاثة</w:t>
      </w:r>
      <w:r>
        <w:rPr>
          <w:rtl/>
        </w:rPr>
        <w:t>".</w:t>
      </w:r>
    </w:p>
    <w:p w14:paraId="52C171EB" w14:textId="62EF65AD" w:rsidR="00674A3A" w:rsidRDefault="002A2BA0" w:rsidP="002A2BA0">
      <w:pPr>
        <w:pStyle w:val="Heading3"/>
        <w:rPr>
          <w:rtl/>
        </w:rPr>
      </w:pPr>
      <w:bookmarkStart w:id="58" w:name="_Toc223962009"/>
      <w:r>
        <w:lastRenderedPageBreak/>
        <w:t>4.4.8</w:t>
      </w:r>
      <w:r w:rsidR="00674A3A">
        <w:rPr>
          <w:rtl/>
        </w:rPr>
        <w:tab/>
        <w:t>التعاون مع المنظمات الأخرى</w:t>
      </w:r>
      <w:bookmarkEnd w:id="58"/>
    </w:p>
    <w:p w14:paraId="623C270D" w14:textId="4ABFB2AC" w:rsidR="00674A3A" w:rsidRPr="008660B8" w:rsidRDefault="00674A3A" w:rsidP="00674A3A">
      <w:pPr>
        <w:rPr>
          <w:spacing w:val="-4"/>
          <w:rtl/>
        </w:rPr>
      </w:pPr>
      <w:r w:rsidRPr="008660B8">
        <w:rPr>
          <w:spacing w:val="-4"/>
          <w:rtl/>
        </w:rPr>
        <w:t xml:space="preserve">استمرت علاقات التعاون المناسبة بين لجان دراسات قطاع الاتصالات الراديوية ومنظمات أخرى، بالرجوع إلى القرار </w:t>
      </w:r>
      <w:hyperlink r:id="rId78" w:history="1">
        <w:r w:rsidRPr="008660B8">
          <w:rPr>
            <w:rStyle w:val="Hyperlink"/>
            <w:spacing w:val="-4"/>
          </w:rPr>
          <w:t>ITU-R 9</w:t>
        </w:r>
      </w:hyperlink>
      <w:r w:rsidRPr="008660B8">
        <w:rPr>
          <w:spacing w:val="-4"/>
          <w:rtl/>
        </w:rPr>
        <w:t xml:space="preserve"> على</w:t>
      </w:r>
      <w:r w:rsidR="008660B8" w:rsidRPr="008660B8">
        <w:rPr>
          <w:rFonts w:hint="eastAsia"/>
          <w:spacing w:val="-4"/>
          <w:rtl/>
        </w:rPr>
        <w:t> </w:t>
      </w:r>
      <w:r w:rsidRPr="008660B8">
        <w:rPr>
          <w:spacing w:val="-4"/>
          <w:rtl/>
        </w:rPr>
        <w:t xml:space="preserve">النحو الواجب حيثما اقتضى الأمر. ‏والمعلومات عن بيان البراءات وإعلان الترخيص لقطاع الاتصالات الراديوية متاحة </w:t>
      </w:r>
      <w:hyperlink r:id="rId79" w:history="1">
        <w:r w:rsidRPr="008660B8">
          <w:rPr>
            <w:rStyle w:val="Hyperlink"/>
            <w:spacing w:val="-4"/>
            <w:rtl/>
          </w:rPr>
          <w:t>على الإنترنت</w:t>
        </w:r>
      </w:hyperlink>
      <w:r w:rsidRPr="008660B8">
        <w:rPr>
          <w:spacing w:val="-4"/>
          <w:rtl/>
        </w:rPr>
        <w:t>.</w:t>
      </w:r>
      <w:r w:rsidRPr="008660B8">
        <w:rPr>
          <w:spacing w:val="-4"/>
          <w:cs/>
        </w:rPr>
        <w:t>‎</w:t>
      </w:r>
    </w:p>
    <w:p w14:paraId="38B30008" w14:textId="77777777" w:rsidR="00674A3A" w:rsidRDefault="00674A3A" w:rsidP="00674A3A">
      <w:pPr>
        <w:rPr>
          <w:rtl/>
        </w:rPr>
      </w:pPr>
      <w:r>
        <w:rPr>
          <w:rtl/>
        </w:rPr>
        <w:t>وواصل مكتب الاتصالات الراديوية التعاون عن كثب مع عدة منظمات لتحقيق الأهداف التالية:</w:t>
      </w:r>
    </w:p>
    <w:p w14:paraId="4614F25F" w14:textId="58E34AAA" w:rsidR="00674A3A" w:rsidRDefault="002A2BA0" w:rsidP="002A2BA0">
      <w:pPr>
        <w:pStyle w:val="enumlev1"/>
        <w:rPr>
          <w:rtl/>
        </w:rPr>
      </w:pPr>
      <w:r>
        <w:t>(1</w:t>
      </w:r>
      <w:r w:rsidR="00674A3A">
        <w:rPr>
          <w:rtl/>
        </w:rPr>
        <w:tab/>
        <w:t>تعزيز الحوار بين الهيئات ذات المصالح المشتركة؛</w:t>
      </w:r>
    </w:p>
    <w:p w14:paraId="78A357B4" w14:textId="06A2B519" w:rsidR="00816C27" w:rsidRDefault="002A2BA0" w:rsidP="002A2BA0">
      <w:pPr>
        <w:pStyle w:val="enumlev1"/>
        <w:rPr>
          <w:rtl/>
        </w:rPr>
      </w:pPr>
      <w:r>
        <w:t>(2</w:t>
      </w:r>
      <w:r w:rsidR="00674A3A">
        <w:rPr>
          <w:rtl/>
        </w:rPr>
        <w:tab/>
        <w:t>تحسين التنسيق الذي يؤدي إلى تحضير أكثر فعالية لأحداث مثل المؤتمرات العالمية للاتصالات الراديوية؛</w:t>
      </w:r>
    </w:p>
    <w:p w14:paraId="0373F854" w14:textId="752B73C3" w:rsidR="00674A3A" w:rsidRDefault="002A2BA0" w:rsidP="002A2BA0">
      <w:pPr>
        <w:pStyle w:val="enumlev1"/>
        <w:rPr>
          <w:rtl/>
        </w:rPr>
      </w:pPr>
      <w:r>
        <w:t>(3</w:t>
      </w:r>
      <w:r w:rsidR="00674A3A">
        <w:rPr>
          <w:rtl/>
        </w:rPr>
        <w:tab/>
        <w:t>إبقاء قطاع الاتصالات الراديوية على اطلاع متواصل على الأنشطة ذات الصلة في المنظمات الأخرى من أجل تخطيط أكثر استراتيجية لبرامج العمل.</w:t>
      </w:r>
    </w:p>
    <w:p w14:paraId="130A6BF6" w14:textId="77777777" w:rsidR="00674A3A" w:rsidRDefault="00674A3A" w:rsidP="00674A3A">
      <w:pPr>
        <w:rPr>
          <w:rtl/>
        </w:rPr>
      </w:pPr>
      <w:r>
        <w:rPr>
          <w:rtl/>
        </w:rPr>
        <w:t>ويواصل المكتب تعاونه الوثيق مع المنظمات الدولية والإقليمية ذات الصلة، بما فيها على سبيل المثال لا الحصر:</w:t>
      </w:r>
    </w:p>
    <w:p w14:paraId="11DC6DC0" w14:textId="3D39FDFB" w:rsidR="00674A3A" w:rsidRDefault="002A2BA0" w:rsidP="002A2BA0">
      <w:pPr>
        <w:pStyle w:val="enumlev1"/>
        <w:rPr>
          <w:rtl/>
        </w:rPr>
      </w:pPr>
      <w:r>
        <w:rPr>
          <w:rtl/>
        </w:rPr>
        <w:t>‒</w:t>
      </w:r>
      <w:r w:rsidR="00674A3A">
        <w:rPr>
          <w:rtl/>
        </w:rPr>
        <w:tab/>
        <w:t>اتحاد آسيا والمحيط الهادئ للاتصالات (</w:t>
      </w:r>
      <w:r w:rsidR="00674A3A">
        <w:t>APT</w:t>
      </w:r>
      <w:r w:rsidR="00674A3A">
        <w:rPr>
          <w:rtl/>
        </w:rPr>
        <w:t>)، وفريق إدارة الطيف في البلدان العربية (</w:t>
      </w:r>
      <w:r w:rsidR="00674A3A">
        <w:t>ASMG</w:t>
      </w:r>
      <w:r w:rsidR="00674A3A">
        <w:rPr>
          <w:rtl/>
        </w:rPr>
        <w:t>)، والاتحاد الإفريقي للاتصالات (</w:t>
      </w:r>
      <w:r w:rsidR="00674A3A">
        <w:t>ATU</w:t>
      </w:r>
      <w:r w:rsidR="00674A3A">
        <w:rPr>
          <w:rtl/>
        </w:rPr>
        <w:t>)، والمؤتمر الأوروبي لإدارات البريد والاتصالات (</w:t>
      </w:r>
      <w:r w:rsidR="00674A3A">
        <w:t>CEPT</w:t>
      </w:r>
      <w:r w:rsidR="00674A3A">
        <w:rPr>
          <w:rtl/>
        </w:rPr>
        <w:t>)، ولجنة البلدان الأمريكية للاتصالات (</w:t>
      </w:r>
      <w:r w:rsidR="00674A3A">
        <w:t>CITEL</w:t>
      </w:r>
      <w:r w:rsidR="00674A3A">
        <w:rPr>
          <w:rtl/>
        </w:rPr>
        <w:t>)، والكومنولث الإقليمي في مجال الاتصالات (</w:t>
      </w:r>
      <w:r w:rsidR="00674A3A">
        <w:t>RCC</w:t>
      </w:r>
      <w:r w:rsidR="00674A3A">
        <w:rPr>
          <w:rtl/>
        </w:rPr>
        <w:t>) للتنسيق الإقليمي؛</w:t>
      </w:r>
    </w:p>
    <w:p w14:paraId="506B06C3" w14:textId="06A6A8C2" w:rsidR="00674A3A" w:rsidRDefault="002A2BA0" w:rsidP="002A2BA0">
      <w:pPr>
        <w:pStyle w:val="enumlev1"/>
        <w:rPr>
          <w:rtl/>
        </w:rPr>
      </w:pPr>
      <w:r>
        <w:rPr>
          <w:rtl/>
        </w:rPr>
        <w:t>‒</w:t>
      </w:r>
      <w:r w:rsidR="00674A3A">
        <w:rPr>
          <w:rtl/>
        </w:rPr>
        <w:tab/>
        <w:t>اتحاد إذاعات آسيا والمحيط الهادئ (</w:t>
      </w:r>
      <w:r w:rsidR="00674A3A">
        <w:t>ABU</w:t>
      </w:r>
      <w:r w:rsidR="00674A3A">
        <w:rPr>
          <w:rtl/>
        </w:rPr>
        <w:t>) واتحاد إذاعات الدول العربية (</w:t>
      </w:r>
      <w:r w:rsidR="00674A3A">
        <w:t>ASBU</w:t>
      </w:r>
      <w:r w:rsidR="00674A3A">
        <w:rPr>
          <w:rtl/>
        </w:rPr>
        <w:t>) واتحاد الإذاعات الأوروبي (</w:t>
      </w:r>
      <w:r w:rsidR="00674A3A">
        <w:t>EBU</w:t>
      </w:r>
      <w:r w:rsidR="00674A3A">
        <w:rPr>
          <w:rtl/>
        </w:rPr>
        <w:t>) وبرنامج التدريب على إدارة الطيف (</w:t>
      </w:r>
      <w:r w:rsidR="00674A3A">
        <w:t>SMPT</w:t>
      </w:r>
      <w:r w:rsidR="00674A3A">
        <w:rPr>
          <w:rtl/>
        </w:rPr>
        <w:t>) والمعهد الأوروبي لمعايير الاتصالات (</w:t>
      </w:r>
      <w:r w:rsidR="00674A3A">
        <w:t>ETSI</w:t>
      </w:r>
      <w:r w:rsidR="00674A3A">
        <w:rPr>
          <w:rtl/>
        </w:rPr>
        <w:t>) ومؤتمر تنسيق البث على</w:t>
      </w:r>
      <w:r w:rsidR="00756F5C">
        <w:rPr>
          <w:rFonts w:hint="eastAsia"/>
          <w:rtl/>
        </w:rPr>
        <w:t> </w:t>
      </w:r>
      <w:r w:rsidR="00674A3A">
        <w:rPr>
          <w:rtl/>
        </w:rPr>
        <w:t>الموجات الديكامترية (</w:t>
      </w:r>
      <w:r w:rsidR="00674A3A">
        <w:t>HFCC</w:t>
      </w:r>
      <w:r w:rsidR="00674A3A">
        <w:rPr>
          <w:rtl/>
        </w:rPr>
        <w:t>) للشؤون الإذاعية؛</w:t>
      </w:r>
    </w:p>
    <w:p w14:paraId="34EF4088" w14:textId="20531008" w:rsidR="00674A3A" w:rsidRDefault="002A2BA0" w:rsidP="002A2BA0">
      <w:pPr>
        <w:pStyle w:val="enumlev1"/>
        <w:rPr>
          <w:rtl/>
        </w:rPr>
      </w:pPr>
      <w:r>
        <w:rPr>
          <w:rtl/>
        </w:rPr>
        <w:t>‒</w:t>
      </w:r>
      <w:r w:rsidR="00674A3A">
        <w:rPr>
          <w:rtl/>
        </w:rPr>
        <w:tab/>
        <w:t>المنظمة الدولية للاتصالات الساتلية (</w:t>
      </w:r>
      <w:r w:rsidR="00674A3A">
        <w:t>ITSO</w:t>
      </w:r>
      <w:r w:rsidR="00674A3A">
        <w:rPr>
          <w:rtl/>
        </w:rPr>
        <w:t>)، والرابطة الأوروبية لمشغلي السواتل (</w:t>
      </w:r>
      <w:r w:rsidR="00674A3A">
        <w:t>ESOA</w:t>
      </w:r>
      <w:r w:rsidR="00674A3A">
        <w:rPr>
          <w:rtl/>
        </w:rPr>
        <w:t>)، والمنتدى العالمي للمطاريف ذات الفتحات الصغيرة جداً (</w:t>
      </w:r>
      <w:r w:rsidR="00674A3A">
        <w:t>GVF</w:t>
      </w:r>
      <w:r w:rsidR="00674A3A">
        <w:rPr>
          <w:rtl/>
        </w:rPr>
        <w:t>)، ورابطة النظام العالمي للاتصالات المتنقلة (</w:t>
      </w:r>
      <w:r w:rsidR="00674A3A">
        <w:t>GSMA</w:t>
      </w:r>
      <w:r w:rsidR="00674A3A">
        <w:rPr>
          <w:rtl/>
        </w:rPr>
        <w:t>) بشأن استعمال أنظمة وخدمات اتصالات راديوية محددة؛</w:t>
      </w:r>
    </w:p>
    <w:p w14:paraId="598B6524" w14:textId="44E2F951" w:rsidR="00674A3A" w:rsidRDefault="002A2BA0" w:rsidP="002A2BA0">
      <w:pPr>
        <w:pStyle w:val="enumlev1"/>
        <w:rPr>
          <w:rtl/>
        </w:rPr>
      </w:pPr>
      <w:r>
        <w:rPr>
          <w:rtl/>
        </w:rPr>
        <w:t>‒</w:t>
      </w:r>
      <w:r w:rsidR="00674A3A">
        <w:rPr>
          <w:rtl/>
        </w:rPr>
        <w:tab/>
        <w:t xml:space="preserve">شراكة الجيل الثالث </w:t>
      </w:r>
      <w:r w:rsidR="00674A3A">
        <w:t>3G</w:t>
      </w:r>
      <w:r w:rsidR="00756F5C">
        <w:rPr>
          <w:rFonts w:hint="cs"/>
          <w:rtl/>
        </w:rPr>
        <w:t xml:space="preserve"> </w:t>
      </w:r>
      <w:r w:rsidR="00674A3A">
        <w:t>(3GPP)</w:t>
      </w:r>
      <w:r w:rsidR="00674A3A">
        <w:rPr>
          <w:rtl/>
        </w:rPr>
        <w:t xml:space="preserve"> ومعهد مهندسي الكهرباء والإلكترونيات (</w:t>
      </w:r>
      <w:r w:rsidR="00674A3A">
        <w:t>IEEE</w:t>
      </w:r>
      <w:r w:rsidR="00674A3A">
        <w:rPr>
          <w:rtl/>
        </w:rPr>
        <w:t>)، وعدة منظمات إقليمية معنية بالتقييس بشأن أنشطة ذات صلة بمنتدى التعاون العالمي للتقييس (</w:t>
      </w:r>
      <w:r w:rsidR="00674A3A">
        <w:t>GSC</w:t>
      </w:r>
      <w:r w:rsidR="00674A3A">
        <w:rPr>
          <w:rtl/>
        </w:rPr>
        <w:t>)؛</w:t>
      </w:r>
    </w:p>
    <w:p w14:paraId="53B3F7B5" w14:textId="6715EEDC" w:rsidR="00674A3A" w:rsidRPr="00756F5C" w:rsidRDefault="002A2BA0" w:rsidP="002A2BA0">
      <w:pPr>
        <w:pStyle w:val="enumlev1"/>
        <w:rPr>
          <w:spacing w:val="-2"/>
          <w:rtl/>
        </w:rPr>
      </w:pPr>
      <w:r w:rsidRPr="00756F5C">
        <w:rPr>
          <w:spacing w:val="-2"/>
          <w:rtl/>
        </w:rPr>
        <w:t>‒</w:t>
      </w:r>
      <w:r w:rsidR="00674A3A" w:rsidRPr="00756F5C">
        <w:rPr>
          <w:spacing w:val="-2"/>
          <w:rtl/>
        </w:rPr>
        <w:tab/>
        <w:t>المنظمة العالمية للأرصاد الجوية</w:t>
      </w:r>
      <w:r w:rsidR="00756F5C" w:rsidRPr="00756F5C">
        <w:rPr>
          <w:rFonts w:hint="cs"/>
          <w:spacing w:val="-2"/>
          <w:rtl/>
        </w:rPr>
        <w:t> </w:t>
      </w:r>
      <w:r w:rsidR="00674A3A" w:rsidRPr="00756F5C">
        <w:rPr>
          <w:spacing w:val="-2"/>
          <w:rtl/>
        </w:rPr>
        <w:t>(</w:t>
      </w:r>
      <w:r w:rsidR="00674A3A" w:rsidRPr="00756F5C">
        <w:rPr>
          <w:spacing w:val="-2"/>
        </w:rPr>
        <w:t>WMO</w:t>
      </w:r>
      <w:r w:rsidR="00674A3A" w:rsidRPr="00756F5C">
        <w:rPr>
          <w:spacing w:val="-2"/>
          <w:rtl/>
        </w:rPr>
        <w:t>)، ومنظمة الصحة العالمية (</w:t>
      </w:r>
      <w:r w:rsidR="00674A3A" w:rsidRPr="00756F5C">
        <w:rPr>
          <w:spacing w:val="-2"/>
        </w:rPr>
        <w:t>WHO</w:t>
      </w:r>
      <w:r w:rsidR="00674A3A" w:rsidRPr="00756F5C">
        <w:rPr>
          <w:spacing w:val="-2"/>
          <w:rtl/>
        </w:rPr>
        <w:t>)، ومنظمة التوحيد القياسي (</w:t>
      </w:r>
      <w:r w:rsidR="00674A3A" w:rsidRPr="00756F5C">
        <w:rPr>
          <w:spacing w:val="-2"/>
        </w:rPr>
        <w:t>ISO</w:t>
      </w:r>
      <w:r w:rsidR="00674A3A" w:rsidRPr="00756F5C">
        <w:rPr>
          <w:spacing w:val="-2"/>
          <w:rtl/>
        </w:rPr>
        <w:t>)، واللجنة الكهرتقنية الدولية</w:t>
      </w:r>
      <w:r w:rsidR="00756F5C" w:rsidRPr="00756F5C">
        <w:rPr>
          <w:rFonts w:hint="cs"/>
          <w:spacing w:val="-2"/>
          <w:rtl/>
        </w:rPr>
        <w:t> </w:t>
      </w:r>
      <w:r w:rsidR="00674A3A" w:rsidRPr="00756F5C">
        <w:rPr>
          <w:spacing w:val="-2"/>
          <w:rtl/>
        </w:rPr>
        <w:t>(</w:t>
      </w:r>
      <w:r w:rsidR="00674A3A" w:rsidRPr="00756F5C">
        <w:rPr>
          <w:spacing w:val="-2"/>
        </w:rPr>
        <w:t>IEC</w:t>
      </w:r>
      <w:r w:rsidR="00674A3A" w:rsidRPr="00756F5C">
        <w:rPr>
          <w:spacing w:val="-2"/>
          <w:rtl/>
        </w:rPr>
        <w:t xml:space="preserve">) (بما في ذلك اللجنة الدولية الخاصة المعنية بالتداخل الراديوي </w:t>
      </w:r>
      <w:r w:rsidR="00674A3A" w:rsidRPr="00756F5C">
        <w:rPr>
          <w:spacing w:val="-2"/>
        </w:rPr>
        <w:t>(CISPR)</w:t>
      </w:r>
      <w:r w:rsidR="00674A3A" w:rsidRPr="00756F5C">
        <w:rPr>
          <w:spacing w:val="-2"/>
          <w:rtl/>
        </w:rPr>
        <w:t>)، وفريق تنسيق الترددات الفضائية، والاتحاد الدولي لعلوم الراديو (</w:t>
      </w:r>
      <w:r w:rsidR="00674A3A" w:rsidRPr="00756F5C">
        <w:rPr>
          <w:spacing w:val="-2"/>
        </w:rPr>
        <w:t>URSI</w:t>
      </w:r>
      <w:r w:rsidR="00674A3A" w:rsidRPr="00756F5C">
        <w:rPr>
          <w:spacing w:val="-2"/>
          <w:rtl/>
        </w:rPr>
        <w:t>)، وعدة جهات أخرى حسب الحاجة، من أجل تبادل المعلومات المفيد فيما يتعلق بأنشطة لجان الدراسات؛</w:t>
      </w:r>
    </w:p>
    <w:p w14:paraId="3A32CE98" w14:textId="7D71BFB2" w:rsidR="00674A3A" w:rsidRDefault="002A2BA0" w:rsidP="002A2BA0">
      <w:pPr>
        <w:pStyle w:val="enumlev1"/>
        <w:rPr>
          <w:rtl/>
        </w:rPr>
      </w:pPr>
      <w:r>
        <w:rPr>
          <w:rtl/>
        </w:rPr>
        <w:t>‒</w:t>
      </w:r>
      <w:r w:rsidR="00674A3A">
        <w:rPr>
          <w:rtl/>
        </w:rPr>
        <w:tab/>
        <w:t>لجنة الأمم المتحدة لاستخدام الفضاء الخارجي في الأغراض السلمية (</w:t>
      </w:r>
      <w:r w:rsidR="00674A3A">
        <w:t>UN-COPUOS</w:t>
      </w:r>
      <w:r w:rsidR="00674A3A">
        <w:rPr>
          <w:rtl/>
        </w:rPr>
        <w:t>)، ولجنة الأمم المتحدة الاقتصادية لأوروبا (</w:t>
      </w:r>
      <w:r w:rsidR="00674A3A">
        <w:t>UNECE</w:t>
      </w:r>
      <w:r w:rsidR="00674A3A">
        <w:rPr>
          <w:rtl/>
        </w:rPr>
        <w:t>)؛ والمنظمة البحرية الدولية (</w:t>
      </w:r>
      <w:r w:rsidR="00674A3A">
        <w:t>IMO</w:t>
      </w:r>
      <w:r w:rsidR="00674A3A">
        <w:rPr>
          <w:rtl/>
        </w:rPr>
        <w:t>)، والمنظمة الدولية للاتصالات المتنقلة الساتلية</w:t>
      </w:r>
      <w:r w:rsidR="00756F5C">
        <w:rPr>
          <w:rFonts w:hint="cs"/>
          <w:rtl/>
        </w:rPr>
        <w:t> </w:t>
      </w:r>
      <w:r w:rsidR="00674A3A">
        <w:rPr>
          <w:rtl/>
        </w:rPr>
        <w:t>(</w:t>
      </w:r>
      <w:r w:rsidR="00674A3A">
        <w:t>IMSO</w:t>
      </w:r>
      <w:r w:rsidR="00674A3A">
        <w:rPr>
          <w:rtl/>
        </w:rPr>
        <w:t>)، والمكتب الدولي للأوزان والمقاييس (</w:t>
      </w:r>
      <w:r w:rsidR="00674A3A">
        <w:t>BIPM</w:t>
      </w:r>
      <w:r w:rsidR="00674A3A">
        <w:rPr>
          <w:rtl/>
        </w:rPr>
        <w:t>) والمنظمة الدولية للاتصالات الساتلية (</w:t>
      </w:r>
      <w:r w:rsidR="00674A3A">
        <w:t>ITSO</w:t>
      </w:r>
      <w:r w:rsidR="00674A3A">
        <w:rPr>
          <w:rtl/>
        </w:rPr>
        <w:t xml:space="preserve">)، والنظام الساتلي </w:t>
      </w:r>
      <w:r w:rsidR="00674A3A">
        <w:t>COSPAS-SARSAT</w:t>
      </w:r>
      <w:r w:rsidR="00674A3A">
        <w:rPr>
          <w:rtl/>
        </w:rPr>
        <w:t>، واللجنة الدولية للصليب الأحمر (</w:t>
      </w:r>
      <w:r w:rsidR="00674A3A">
        <w:t>CICR</w:t>
      </w:r>
      <w:r w:rsidR="00674A3A">
        <w:rPr>
          <w:rtl/>
        </w:rPr>
        <w:t>)، ومنظمة الطيران المدني الدولي</w:t>
      </w:r>
      <w:r w:rsidR="00756F5C">
        <w:rPr>
          <w:rFonts w:hint="cs"/>
          <w:rtl/>
        </w:rPr>
        <w:t> </w:t>
      </w:r>
      <w:r w:rsidR="00674A3A">
        <w:rPr>
          <w:rtl/>
        </w:rPr>
        <w:t>(</w:t>
      </w:r>
      <w:r w:rsidR="00674A3A">
        <w:t>ICAO</w:t>
      </w:r>
      <w:r w:rsidR="00674A3A">
        <w:rPr>
          <w:rtl/>
        </w:rPr>
        <w:t>)، فيما يتعلق بتطبيق النصوص التعاهدية للاتحاد.</w:t>
      </w:r>
    </w:p>
    <w:p w14:paraId="4A2C7004" w14:textId="087BD862" w:rsidR="00674A3A" w:rsidRDefault="002A2BA0" w:rsidP="002A2BA0">
      <w:pPr>
        <w:pStyle w:val="Heading2"/>
        <w:rPr>
          <w:rtl/>
        </w:rPr>
      </w:pPr>
      <w:bookmarkStart w:id="59" w:name="_Toc223962010"/>
      <w:r>
        <w:t>5.8</w:t>
      </w:r>
      <w:r w:rsidR="00674A3A">
        <w:rPr>
          <w:rtl/>
        </w:rPr>
        <w:tab/>
        <w:t>الأعضاء</w:t>
      </w:r>
      <w:bookmarkEnd w:id="59"/>
    </w:p>
    <w:p w14:paraId="25D21848" w14:textId="5D86CD21" w:rsidR="00674A3A" w:rsidRDefault="002A2BA0" w:rsidP="002A2BA0">
      <w:pPr>
        <w:pStyle w:val="Heading3"/>
        <w:rPr>
          <w:rtl/>
        </w:rPr>
      </w:pPr>
      <w:bookmarkStart w:id="60" w:name="_Toc223962011"/>
      <w:r>
        <w:t>1.5.8</w:t>
      </w:r>
      <w:r w:rsidR="00674A3A">
        <w:rPr>
          <w:rtl/>
        </w:rPr>
        <w:tab/>
        <w:t>أعضاء الاتحاد الدولي للاتصالات</w:t>
      </w:r>
      <w:bookmarkEnd w:id="60"/>
    </w:p>
    <w:p w14:paraId="07FA38EF" w14:textId="65C8E1BF" w:rsidR="00674A3A" w:rsidRDefault="00674A3A" w:rsidP="00674A3A">
      <w:pPr>
        <w:rPr>
          <w:rtl/>
        </w:rPr>
      </w:pPr>
      <w:r>
        <w:rPr>
          <w:rtl/>
        </w:rPr>
        <w:t xml:space="preserve">يبين الجدول </w:t>
      </w:r>
      <w:r w:rsidR="00756F5C">
        <w:t>1-1.5.8</w:t>
      </w:r>
      <w:r>
        <w:rPr>
          <w:rtl/>
        </w:rPr>
        <w:t xml:space="preserve"> عضوية الاتحاد في عام 2025 بحسب القطاع والمنطقة.</w:t>
      </w:r>
    </w:p>
    <w:p w14:paraId="2566D3D6" w14:textId="0BE563A4" w:rsidR="00674A3A" w:rsidRDefault="00674A3A" w:rsidP="00756F5C">
      <w:pPr>
        <w:pStyle w:val="TableNo"/>
        <w:rPr>
          <w:rtl/>
        </w:rPr>
      </w:pPr>
      <w:r>
        <w:rPr>
          <w:rtl/>
        </w:rPr>
        <w:lastRenderedPageBreak/>
        <w:t xml:space="preserve">الجدول </w:t>
      </w:r>
      <w:r w:rsidR="00756F5C">
        <w:t>1-1.5.8</w:t>
      </w:r>
    </w:p>
    <w:p w14:paraId="74D97641" w14:textId="77777777" w:rsidR="00674A3A" w:rsidRDefault="00674A3A" w:rsidP="00756F5C">
      <w:pPr>
        <w:pStyle w:val="Tabletitle"/>
        <w:rPr>
          <w:rtl/>
        </w:rPr>
      </w:pPr>
      <w:r>
        <w:rPr>
          <w:rtl/>
        </w:rPr>
        <w:t>عضوية الاتحاد في عام 2025 حسب القطاعات والمناطق</w:t>
      </w:r>
    </w:p>
    <w:p w14:paraId="39A2CFC2" w14:textId="360919EC" w:rsidR="00756F5C" w:rsidRDefault="00756F5C" w:rsidP="00756F5C">
      <w:pPr>
        <w:pStyle w:val="Figure"/>
      </w:pPr>
      <w:r w:rsidRPr="003851DE">
        <w:drawing>
          <wp:inline distT="0" distB="0" distL="0" distR="0" wp14:anchorId="16344169" wp14:editId="269355EC">
            <wp:extent cx="6120000" cy="1908000"/>
            <wp:effectExtent l="0" t="0" r="0" b="0"/>
            <wp:docPr id="180627678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76787" name="Picture 1" descr="A screenshot of a graph&#10;&#10;Description automatically generated"/>
                    <pic:cNvPicPr/>
                  </pic:nvPicPr>
                  <pic:blipFill>
                    <a:blip r:embed="rId80"/>
                    <a:stretch>
                      <a:fillRect/>
                    </a:stretch>
                  </pic:blipFill>
                  <pic:spPr>
                    <a:xfrm>
                      <a:off x="0" y="0"/>
                      <a:ext cx="6120000" cy="1908000"/>
                    </a:xfrm>
                    <a:prstGeom prst="rect">
                      <a:avLst/>
                    </a:prstGeom>
                  </pic:spPr>
                </pic:pic>
              </a:graphicData>
            </a:graphic>
          </wp:inline>
        </w:drawing>
      </w:r>
    </w:p>
    <w:p w14:paraId="5B90EBDC" w14:textId="042E98DA" w:rsidR="00674A3A" w:rsidRDefault="00756F5C" w:rsidP="00756F5C">
      <w:pPr>
        <w:pStyle w:val="Heading3"/>
        <w:rPr>
          <w:rtl/>
        </w:rPr>
      </w:pPr>
      <w:bookmarkStart w:id="61" w:name="_Toc223962012"/>
      <w:r>
        <w:t>2.5.8</w:t>
      </w:r>
      <w:r w:rsidR="00674A3A">
        <w:rPr>
          <w:rtl/>
        </w:rPr>
        <w:tab/>
        <w:t>أعضاء قطاع الاتصالات الراديوية في الاتحاد</w:t>
      </w:r>
      <w:bookmarkEnd w:id="61"/>
    </w:p>
    <w:p w14:paraId="61B54A4F" w14:textId="2FD0F584" w:rsidR="00674A3A" w:rsidRDefault="00674A3A" w:rsidP="00674A3A">
      <w:pPr>
        <w:rPr>
          <w:rtl/>
        </w:rPr>
      </w:pPr>
      <w:r>
        <w:rPr>
          <w:rtl/>
        </w:rPr>
        <w:t xml:space="preserve">يبين الجدول </w:t>
      </w:r>
      <w:r w:rsidR="00756F5C">
        <w:t>1-2.5.8</w:t>
      </w:r>
      <w:r>
        <w:rPr>
          <w:rtl/>
        </w:rPr>
        <w:t xml:space="preserve"> تطور عدد أعضاء قطاع الاتصالات الراديوية والمنتسبين إليه والهيئات الأكاديمية المنضمة إليه خلال الفترة من 2020 إلى 2025.</w:t>
      </w:r>
    </w:p>
    <w:p w14:paraId="02F0AE6A" w14:textId="5749D8E9" w:rsidR="00674A3A" w:rsidRDefault="00674A3A" w:rsidP="00756F5C">
      <w:pPr>
        <w:pStyle w:val="TableNo"/>
        <w:rPr>
          <w:rtl/>
        </w:rPr>
      </w:pPr>
      <w:r>
        <w:rPr>
          <w:rtl/>
        </w:rPr>
        <w:t xml:space="preserve">الجدول </w:t>
      </w:r>
      <w:r w:rsidR="00756F5C">
        <w:t>1-2.5.8</w:t>
      </w:r>
    </w:p>
    <w:p w14:paraId="665FD9B2" w14:textId="77777777" w:rsidR="00674A3A" w:rsidRDefault="00674A3A" w:rsidP="00756F5C">
      <w:pPr>
        <w:pStyle w:val="Tabletitle"/>
        <w:rPr>
          <w:rtl/>
        </w:rPr>
      </w:pPr>
      <w:r>
        <w:rPr>
          <w:rtl/>
        </w:rPr>
        <w:t>تطور عضوية قطاع الاتصالات الراديوية في الفترة من 2020 إلى 2025</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716"/>
        <w:gridCol w:w="717"/>
        <w:gridCol w:w="717"/>
        <w:gridCol w:w="717"/>
        <w:gridCol w:w="717"/>
        <w:gridCol w:w="717"/>
        <w:gridCol w:w="1332"/>
        <w:gridCol w:w="1839"/>
      </w:tblGrid>
      <w:tr w:rsidR="006308B3" w:rsidRPr="006308B3" w14:paraId="55864D14" w14:textId="77777777" w:rsidTr="00FF4125">
        <w:trPr>
          <w:trHeight w:val="300"/>
          <w:jc w:val="center"/>
        </w:trPr>
        <w:tc>
          <w:tcPr>
            <w:tcW w:w="2157" w:type="dxa"/>
            <w:vAlign w:val="center"/>
          </w:tcPr>
          <w:p w14:paraId="53152C00" w14:textId="77777777" w:rsidR="006308B3" w:rsidRPr="006308B3" w:rsidRDefault="006308B3" w:rsidP="00FF4125">
            <w:pPr>
              <w:pStyle w:val="Tablehead"/>
            </w:pPr>
          </w:p>
        </w:tc>
        <w:tc>
          <w:tcPr>
            <w:tcW w:w="716" w:type="dxa"/>
            <w:vAlign w:val="center"/>
          </w:tcPr>
          <w:p w14:paraId="6E45D157" w14:textId="77777777" w:rsidR="006308B3" w:rsidRPr="006308B3" w:rsidRDefault="006308B3" w:rsidP="00FF4125">
            <w:pPr>
              <w:pStyle w:val="Tablehead"/>
              <w:rPr>
                <w:lang w:bidi="ar-SA"/>
              </w:rPr>
            </w:pPr>
            <w:r w:rsidRPr="006308B3">
              <w:rPr>
                <w:rtl/>
              </w:rPr>
              <w:t>2020</w:t>
            </w:r>
          </w:p>
        </w:tc>
        <w:tc>
          <w:tcPr>
            <w:tcW w:w="717" w:type="dxa"/>
            <w:vAlign w:val="center"/>
          </w:tcPr>
          <w:p w14:paraId="077CF28A" w14:textId="77777777" w:rsidR="006308B3" w:rsidRPr="006308B3" w:rsidRDefault="006308B3" w:rsidP="00FF4125">
            <w:pPr>
              <w:pStyle w:val="Tablehead"/>
              <w:rPr>
                <w:lang w:bidi="ar-SA"/>
              </w:rPr>
            </w:pPr>
            <w:r w:rsidRPr="006308B3">
              <w:rPr>
                <w:rtl/>
              </w:rPr>
              <w:t>2021</w:t>
            </w:r>
          </w:p>
        </w:tc>
        <w:tc>
          <w:tcPr>
            <w:tcW w:w="717" w:type="dxa"/>
            <w:vAlign w:val="center"/>
          </w:tcPr>
          <w:p w14:paraId="5F715C64" w14:textId="77777777" w:rsidR="006308B3" w:rsidRPr="006308B3" w:rsidRDefault="006308B3" w:rsidP="00FF4125">
            <w:pPr>
              <w:pStyle w:val="Tablehead"/>
              <w:rPr>
                <w:lang w:bidi="ar-SA"/>
              </w:rPr>
            </w:pPr>
            <w:r w:rsidRPr="006308B3">
              <w:rPr>
                <w:rtl/>
              </w:rPr>
              <w:t>2022</w:t>
            </w:r>
          </w:p>
        </w:tc>
        <w:tc>
          <w:tcPr>
            <w:tcW w:w="717" w:type="dxa"/>
            <w:vAlign w:val="center"/>
          </w:tcPr>
          <w:p w14:paraId="1AF25461" w14:textId="77777777" w:rsidR="006308B3" w:rsidRPr="006308B3" w:rsidRDefault="006308B3" w:rsidP="00FF4125">
            <w:pPr>
              <w:pStyle w:val="Tablehead"/>
              <w:rPr>
                <w:lang w:bidi="ar-SA"/>
              </w:rPr>
            </w:pPr>
            <w:r w:rsidRPr="006308B3">
              <w:rPr>
                <w:rtl/>
              </w:rPr>
              <w:t>2023</w:t>
            </w:r>
          </w:p>
        </w:tc>
        <w:tc>
          <w:tcPr>
            <w:tcW w:w="717" w:type="dxa"/>
            <w:vAlign w:val="center"/>
          </w:tcPr>
          <w:p w14:paraId="5D9BBDDE" w14:textId="77777777" w:rsidR="006308B3" w:rsidRPr="006308B3" w:rsidRDefault="006308B3" w:rsidP="00FF4125">
            <w:pPr>
              <w:pStyle w:val="Tablehead"/>
              <w:rPr>
                <w:lang w:bidi="ar-SA"/>
              </w:rPr>
            </w:pPr>
            <w:r w:rsidRPr="006308B3">
              <w:rPr>
                <w:rtl/>
              </w:rPr>
              <w:t>2024</w:t>
            </w:r>
          </w:p>
        </w:tc>
        <w:tc>
          <w:tcPr>
            <w:tcW w:w="717" w:type="dxa"/>
            <w:vAlign w:val="center"/>
          </w:tcPr>
          <w:p w14:paraId="3ACFC311" w14:textId="77777777" w:rsidR="006308B3" w:rsidRPr="006308B3" w:rsidRDefault="006308B3" w:rsidP="00FF4125">
            <w:pPr>
              <w:pStyle w:val="Tablehead"/>
              <w:rPr>
                <w:lang w:bidi="ar-SA"/>
              </w:rPr>
            </w:pPr>
            <w:r w:rsidRPr="006308B3">
              <w:rPr>
                <w:rtl/>
              </w:rPr>
              <w:t>2025</w:t>
            </w:r>
          </w:p>
        </w:tc>
        <w:tc>
          <w:tcPr>
            <w:tcW w:w="1332" w:type="dxa"/>
            <w:shd w:val="clear" w:color="auto" w:fill="E4EBF4"/>
            <w:vAlign w:val="center"/>
          </w:tcPr>
          <w:p w14:paraId="4F7B3FB6" w14:textId="69BE4A7B" w:rsidR="006308B3" w:rsidRPr="00FF4125" w:rsidRDefault="006308B3" w:rsidP="00FF4125">
            <w:pPr>
              <w:pStyle w:val="Tablehead"/>
              <w:rPr>
                <w:spacing w:val="-4"/>
                <w:lang w:bidi="ar-SA"/>
              </w:rPr>
            </w:pPr>
            <w:r w:rsidRPr="00FF4125">
              <w:rPr>
                <w:spacing w:val="-4"/>
                <w:rtl/>
              </w:rPr>
              <w:t>2020</w:t>
            </w:r>
            <w:r w:rsidR="00D53FD1">
              <w:rPr>
                <w:spacing w:val="-4"/>
                <w:rtl/>
              </w:rPr>
              <w:t xml:space="preserve"> </w:t>
            </w:r>
            <w:r w:rsidRPr="00FF4125">
              <w:rPr>
                <w:spacing w:val="-4"/>
                <w:rtl/>
              </w:rPr>
              <w:t>مقابل</w:t>
            </w:r>
            <w:r w:rsidR="00FF4125">
              <w:rPr>
                <w:rFonts w:hint="eastAsia"/>
                <w:spacing w:val="-4"/>
                <w:rtl/>
                <w:lang w:bidi="ar-SA"/>
              </w:rPr>
              <w:t> </w:t>
            </w:r>
            <w:r w:rsidRPr="00FF4125">
              <w:rPr>
                <w:spacing w:val="-4"/>
                <w:rtl/>
              </w:rPr>
              <w:t>2025</w:t>
            </w:r>
          </w:p>
        </w:tc>
        <w:tc>
          <w:tcPr>
            <w:tcW w:w="1839" w:type="dxa"/>
            <w:shd w:val="clear" w:color="auto" w:fill="E4EBF4"/>
            <w:vAlign w:val="center"/>
          </w:tcPr>
          <w:p w14:paraId="46480F78" w14:textId="4100652B" w:rsidR="006308B3" w:rsidRPr="00FF4125" w:rsidRDefault="006308B3" w:rsidP="00FF4125">
            <w:pPr>
              <w:pStyle w:val="Tablehead"/>
              <w:rPr>
                <w:spacing w:val="-4"/>
                <w:lang w:bidi="ar-SA"/>
              </w:rPr>
            </w:pPr>
            <w:r w:rsidRPr="00FF4125">
              <w:rPr>
                <w:spacing w:val="-4"/>
                <w:rtl/>
              </w:rPr>
              <w:t>% الزيادة</w:t>
            </w:r>
            <w:r w:rsidR="00FF4125" w:rsidRPr="00FF4125">
              <w:rPr>
                <w:spacing w:val="-4"/>
                <w:rtl/>
              </w:rPr>
              <w:br/>
            </w:r>
            <w:r w:rsidRPr="00FF4125">
              <w:rPr>
                <w:spacing w:val="-4"/>
                <w:rtl/>
              </w:rPr>
              <w:t>في</w:t>
            </w:r>
            <w:r w:rsidR="00FF4125" w:rsidRPr="00FF4125">
              <w:rPr>
                <w:rFonts w:hint="cs"/>
                <w:spacing w:val="-4"/>
                <w:rtl/>
              </w:rPr>
              <w:t> </w:t>
            </w:r>
            <w:r w:rsidRPr="00FF4125">
              <w:rPr>
                <w:spacing w:val="-4"/>
                <w:rtl/>
              </w:rPr>
              <w:t>2020</w:t>
            </w:r>
            <w:r w:rsidR="00FF4125" w:rsidRPr="00FF4125">
              <w:rPr>
                <w:rFonts w:hint="eastAsia"/>
                <w:spacing w:val="-4"/>
                <w:rtl/>
              </w:rPr>
              <w:t> </w:t>
            </w:r>
            <w:r w:rsidRPr="00FF4125">
              <w:rPr>
                <w:spacing w:val="-4"/>
                <w:rtl/>
              </w:rPr>
              <w:t>مقابل</w:t>
            </w:r>
            <w:r w:rsidR="00FF4125" w:rsidRPr="00FF4125">
              <w:rPr>
                <w:rFonts w:hint="cs"/>
                <w:spacing w:val="-4"/>
                <w:rtl/>
              </w:rPr>
              <w:t> </w:t>
            </w:r>
            <w:r w:rsidRPr="00FF4125">
              <w:rPr>
                <w:spacing w:val="-4"/>
                <w:rtl/>
              </w:rPr>
              <w:t>2025</w:t>
            </w:r>
          </w:p>
        </w:tc>
      </w:tr>
      <w:tr w:rsidR="006308B3" w:rsidRPr="006308B3" w14:paraId="40D2CB9E" w14:textId="77777777" w:rsidTr="00FF4125">
        <w:trPr>
          <w:trHeight w:val="300"/>
          <w:jc w:val="center"/>
        </w:trPr>
        <w:tc>
          <w:tcPr>
            <w:tcW w:w="2157" w:type="dxa"/>
          </w:tcPr>
          <w:p w14:paraId="1C47D3FB" w14:textId="77777777" w:rsidR="006308B3" w:rsidRPr="00756F5C" w:rsidRDefault="006308B3" w:rsidP="00756F5C">
            <w:pPr>
              <w:pStyle w:val="Tabletext"/>
              <w:jc w:val="center"/>
              <w:rPr>
                <w:b/>
                <w:bCs/>
              </w:rPr>
            </w:pPr>
            <w:r w:rsidRPr="00756F5C">
              <w:rPr>
                <w:b/>
                <w:bCs/>
                <w:rtl/>
              </w:rPr>
              <w:t>أعضاء القطاعات</w:t>
            </w:r>
          </w:p>
        </w:tc>
        <w:tc>
          <w:tcPr>
            <w:tcW w:w="716" w:type="dxa"/>
          </w:tcPr>
          <w:p w14:paraId="0A9C0440" w14:textId="77777777" w:rsidR="006308B3" w:rsidRPr="006308B3" w:rsidRDefault="006308B3" w:rsidP="00FF4125">
            <w:pPr>
              <w:pStyle w:val="Tabletext"/>
              <w:jc w:val="center"/>
            </w:pPr>
            <w:r w:rsidRPr="006308B3">
              <w:t>275</w:t>
            </w:r>
          </w:p>
        </w:tc>
        <w:tc>
          <w:tcPr>
            <w:tcW w:w="717" w:type="dxa"/>
          </w:tcPr>
          <w:p w14:paraId="1E5BCA58" w14:textId="77777777" w:rsidR="006308B3" w:rsidRPr="006308B3" w:rsidRDefault="006308B3" w:rsidP="00FF4125">
            <w:pPr>
              <w:pStyle w:val="Tabletext"/>
              <w:jc w:val="center"/>
            </w:pPr>
            <w:r w:rsidRPr="006308B3">
              <w:t>278</w:t>
            </w:r>
          </w:p>
        </w:tc>
        <w:tc>
          <w:tcPr>
            <w:tcW w:w="717" w:type="dxa"/>
          </w:tcPr>
          <w:p w14:paraId="426E4332" w14:textId="77777777" w:rsidR="006308B3" w:rsidRPr="006308B3" w:rsidRDefault="006308B3" w:rsidP="00FF4125">
            <w:pPr>
              <w:pStyle w:val="Tabletext"/>
              <w:jc w:val="center"/>
            </w:pPr>
            <w:r w:rsidRPr="006308B3">
              <w:t>278</w:t>
            </w:r>
          </w:p>
        </w:tc>
        <w:tc>
          <w:tcPr>
            <w:tcW w:w="717" w:type="dxa"/>
          </w:tcPr>
          <w:p w14:paraId="1B14BBF8" w14:textId="77777777" w:rsidR="006308B3" w:rsidRPr="006308B3" w:rsidRDefault="006308B3" w:rsidP="00FF4125">
            <w:pPr>
              <w:pStyle w:val="Tabletext"/>
              <w:jc w:val="center"/>
            </w:pPr>
            <w:r w:rsidRPr="006308B3">
              <w:t>283</w:t>
            </w:r>
          </w:p>
        </w:tc>
        <w:tc>
          <w:tcPr>
            <w:tcW w:w="717" w:type="dxa"/>
          </w:tcPr>
          <w:p w14:paraId="057BD4AA" w14:textId="77777777" w:rsidR="006308B3" w:rsidRPr="006308B3" w:rsidRDefault="006308B3" w:rsidP="00FF4125">
            <w:pPr>
              <w:pStyle w:val="Tabletext"/>
              <w:jc w:val="center"/>
            </w:pPr>
            <w:r w:rsidRPr="006308B3">
              <w:t>285</w:t>
            </w:r>
          </w:p>
        </w:tc>
        <w:tc>
          <w:tcPr>
            <w:tcW w:w="717" w:type="dxa"/>
          </w:tcPr>
          <w:p w14:paraId="7A9A40BE" w14:textId="77777777" w:rsidR="006308B3" w:rsidRPr="006308B3" w:rsidRDefault="006308B3" w:rsidP="00FF4125">
            <w:pPr>
              <w:pStyle w:val="Tabletext"/>
              <w:jc w:val="center"/>
            </w:pPr>
            <w:r w:rsidRPr="006308B3">
              <w:t>280</w:t>
            </w:r>
          </w:p>
        </w:tc>
        <w:tc>
          <w:tcPr>
            <w:tcW w:w="1332" w:type="dxa"/>
            <w:shd w:val="clear" w:color="auto" w:fill="E4EBF4"/>
          </w:tcPr>
          <w:p w14:paraId="0AB2A1B4" w14:textId="2457C196" w:rsidR="006308B3" w:rsidRPr="006308B3" w:rsidRDefault="006308B3" w:rsidP="00FF4125">
            <w:pPr>
              <w:pStyle w:val="Tabletext"/>
              <w:jc w:val="center"/>
            </w:pPr>
            <w:r w:rsidRPr="006308B3">
              <w:t>5</w:t>
            </w:r>
          </w:p>
        </w:tc>
        <w:tc>
          <w:tcPr>
            <w:tcW w:w="1839" w:type="dxa"/>
            <w:shd w:val="clear" w:color="auto" w:fill="E4EBF4"/>
          </w:tcPr>
          <w:p w14:paraId="01F2206E" w14:textId="5B12BABA" w:rsidR="006308B3" w:rsidRPr="006308B3" w:rsidRDefault="00FF4125" w:rsidP="00FF4125">
            <w:pPr>
              <w:pStyle w:val="Tabletext"/>
              <w:jc w:val="center"/>
            </w:pPr>
            <w:r>
              <w:t>% 1,82</w:t>
            </w:r>
          </w:p>
        </w:tc>
      </w:tr>
      <w:tr w:rsidR="00FF4125" w:rsidRPr="006308B3" w14:paraId="025F0CB1" w14:textId="77777777" w:rsidTr="00FF4125">
        <w:trPr>
          <w:trHeight w:val="300"/>
          <w:jc w:val="center"/>
        </w:trPr>
        <w:tc>
          <w:tcPr>
            <w:tcW w:w="2157" w:type="dxa"/>
          </w:tcPr>
          <w:p w14:paraId="71DA33F4" w14:textId="77777777" w:rsidR="00FF4125" w:rsidRPr="00756F5C" w:rsidRDefault="00FF4125" w:rsidP="00FF4125">
            <w:pPr>
              <w:pStyle w:val="Tabletext"/>
              <w:jc w:val="center"/>
              <w:rPr>
                <w:b/>
                <w:bCs/>
              </w:rPr>
            </w:pPr>
            <w:r w:rsidRPr="00756F5C">
              <w:rPr>
                <w:b/>
                <w:bCs/>
                <w:rtl/>
              </w:rPr>
              <w:t>المنتسبون</w:t>
            </w:r>
          </w:p>
        </w:tc>
        <w:tc>
          <w:tcPr>
            <w:tcW w:w="716" w:type="dxa"/>
          </w:tcPr>
          <w:p w14:paraId="5B081A64" w14:textId="77777777" w:rsidR="00FF4125" w:rsidRPr="006308B3" w:rsidRDefault="00FF4125" w:rsidP="00FF4125">
            <w:pPr>
              <w:pStyle w:val="Tabletext"/>
              <w:jc w:val="center"/>
            </w:pPr>
            <w:r w:rsidRPr="006308B3">
              <w:t>22</w:t>
            </w:r>
          </w:p>
        </w:tc>
        <w:tc>
          <w:tcPr>
            <w:tcW w:w="717" w:type="dxa"/>
          </w:tcPr>
          <w:p w14:paraId="60E946D1" w14:textId="77777777" w:rsidR="00FF4125" w:rsidRPr="006308B3" w:rsidRDefault="00FF4125" w:rsidP="00FF4125">
            <w:pPr>
              <w:pStyle w:val="Tabletext"/>
              <w:jc w:val="center"/>
            </w:pPr>
            <w:r w:rsidRPr="006308B3">
              <w:t>28</w:t>
            </w:r>
          </w:p>
        </w:tc>
        <w:tc>
          <w:tcPr>
            <w:tcW w:w="717" w:type="dxa"/>
          </w:tcPr>
          <w:p w14:paraId="704EAD9E" w14:textId="77777777" w:rsidR="00FF4125" w:rsidRPr="006308B3" w:rsidRDefault="00FF4125" w:rsidP="00FF4125">
            <w:pPr>
              <w:pStyle w:val="Tabletext"/>
              <w:jc w:val="center"/>
            </w:pPr>
            <w:r w:rsidRPr="006308B3">
              <w:t>38</w:t>
            </w:r>
          </w:p>
        </w:tc>
        <w:tc>
          <w:tcPr>
            <w:tcW w:w="717" w:type="dxa"/>
          </w:tcPr>
          <w:p w14:paraId="1567839B" w14:textId="77777777" w:rsidR="00FF4125" w:rsidRPr="006308B3" w:rsidRDefault="00FF4125" w:rsidP="00FF4125">
            <w:pPr>
              <w:pStyle w:val="Tabletext"/>
              <w:jc w:val="center"/>
            </w:pPr>
            <w:r w:rsidRPr="006308B3">
              <w:t>44</w:t>
            </w:r>
          </w:p>
        </w:tc>
        <w:tc>
          <w:tcPr>
            <w:tcW w:w="717" w:type="dxa"/>
          </w:tcPr>
          <w:p w14:paraId="3F3098DE" w14:textId="77777777" w:rsidR="00FF4125" w:rsidRPr="006308B3" w:rsidRDefault="00FF4125" w:rsidP="00FF4125">
            <w:pPr>
              <w:pStyle w:val="Tabletext"/>
              <w:jc w:val="center"/>
            </w:pPr>
            <w:r w:rsidRPr="006308B3">
              <w:t>43</w:t>
            </w:r>
          </w:p>
        </w:tc>
        <w:tc>
          <w:tcPr>
            <w:tcW w:w="717" w:type="dxa"/>
          </w:tcPr>
          <w:p w14:paraId="46654208" w14:textId="77777777" w:rsidR="00FF4125" w:rsidRPr="006308B3" w:rsidRDefault="00FF4125" w:rsidP="00FF4125">
            <w:pPr>
              <w:pStyle w:val="Tabletext"/>
              <w:jc w:val="center"/>
            </w:pPr>
            <w:r w:rsidRPr="006308B3">
              <w:t>57</w:t>
            </w:r>
          </w:p>
        </w:tc>
        <w:tc>
          <w:tcPr>
            <w:tcW w:w="1332" w:type="dxa"/>
            <w:shd w:val="clear" w:color="auto" w:fill="E4EBF4"/>
          </w:tcPr>
          <w:p w14:paraId="35A30E64" w14:textId="55AA620B" w:rsidR="00FF4125" w:rsidRPr="006308B3" w:rsidRDefault="00FF4125" w:rsidP="00FF4125">
            <w:pPr>
              <w:pStyle w:val="Tabletext"/>
              <w:jc w:val="center"/>
            </w:pPr>
            <w:r w:rsidRPr="006308B3">
              <w:t>35</w:t>
            </w:r>
          </w:p>
        </w:tc>
        <w:tc>
          <w:tcPr>
            <w:tcW w:w="1839" w:type="dxa"/>
            <w:shd w:val="clear" w:color="auto" w:fill="E4EBF4"/>
          </w:tcPr>
          <w:p w14:paraId="4B6BD1DE" w14:textId="33DCF86C" w:rsidR="00FF4125" w:rsidRPr="006308B3" w:rsidRDefault="00FF4125" w:rsidP="00FF4125">
            <w:pPr>
              <w:pStyle w:val="Tabletext"/>
              <w:jc w:val="center"/>
            </w:pPr>
            <w:r>
              <w:t>% 159,1</w:t>
            </w:r>
          </w:p>
        </w:tc>
      </w:tr>
      <w:tr w:rsidR="00FF4125" w:rsidRPr="006308B3" w14:paraId="31C09799" w14:textId="77777777" w:rsidTr="00FF4125">
        <w:trPr>
          <w:trHeight w:val="300"/>
          <w:jc w:val="center"/>
        </w:trPr>
        <w:tc>
          <w:tcPr>
            <w:tcW w:w="2157" w:type="dxa"/>
          </w:tcPr>
          <w:p w14:paraId="13768A04" w14:textId="0FBE3B2B" w:rsidR="00FF4125" w:rsidRPr="00756F5C" w:rsidRDefault="00FF4125" w:rsidP="00FF4125">
            <w:pPr>
              <w:pStyle w:val="Tabletext"/>
              <w:jc w:val="center"/>
              <w:rPr>
                <w:b/>
                <w:bCs/>
              </w:rPr>
            </w:pPr>
            <w:r w:rsidRPr="00756F5C">
              <w:rPr>
                <w:b/>
                <w:bCs/>
                <w:rtl/>
              </w:rPr>
              <w:t>الهيئات الأكاديمية</w:t>
            </w:r>
            <w:r>
              <w:rPr>
                <w:rFonts w:hint="cs"/>
                <w:b/>
                <w:bCs/>
                <w:rtl/>
              </w:rPr>
              <w:t>*</w:t>
            </w:r>
          </w:p>
        </w:tc>
        <w:tc>
          <w:tcPr>
            <w:tcW w:w="716" w:type="dxa"/>
          </w:tcPr>
          <w:p w14:paraId="45997945" w14:textId="77777777" w:rsidR="00FF4125" w:rsidRPr="006308B3" w:rsidRDefault="00FF4125" w:rsidP="00FF4125">
            <w:pPr>
              <w:pStyle w:val="Tabletext"/>
              <w:jc w:val="center"/>
            </w:pPr>
            <w:r w:rsidRPr="006308B3">
              <w:t>161</w:t>
            </w:r>
          </w:p>
        </w:tc>
        <w:tc>
          <w:tcPr>
            <w:tcW w:w="717" w:type="dxa"/>
          </w:tcPr>
          <w:p w14:paraId="2BCE374A" w14:textId="77777777" w:rsidR="00FF4125" w:rsidRPr="006308B3" w:rsidRDefault="00FF4125" w:rsidP="00FF4125">
            <w:pPr>
              <w:pStyle w:val="Tabletext"/>
              <w:jc w:val="center"/>
            </w:pPr>
            <w:r w:rsidRPr="006308B3">
              <w:t>161</w:t>
            </w:r>
          </w:p>
        </w:tc>
        <w:tc>
          <w:tcPr>
            <w:tcW w:w="717" w:type="dxa"/>
          </w:tcPr>
          <w:p w14:paraId="212BE8F4" w14:textId="77777777" w:rsidR="00FF4125" w:rsidRPr="006308B3" w:rsidRDefault="00FF4125" w:rsidP="00FF4125">
            <w:pPr>
              <w:pStyle w:val="Tabletext"/>
              <w:jc w:val="center"/>
            </w:pPr>
            <w:r w:rsidRPr="006308B3">
              <w:t>171</w:t>
            </w:r>
          </w:p>
        </w:tc>
        <w:tc>
          <w:tcPr>
            <w:tcW w:w="717" w:type="dxa"/>
          </w:tcPr>
          <w:p w14:paraId="2C948EAA" w14:textId="77777777" w:rsidR="00FF4125" w:rsidRPr="006308B3" w:rsidRDefault="00FF4125" w:rsidP="00FF4125">
            <w:pPr>
              <w:pStyle w:val="Tabletext"/>
              <w:jc w:val="center"/>
            </w:pPr>
            <w:r w:rsidRPr="006308B3">
              <w:t>169</w:t>
            </w:r>
          </w:p>
        </w:tc>
        <w:tc>
          <w:tcPr>
            <w:tcW w:w="717" w:type="dxa"/>
          </w:tcPr>
          <w:p w14:paraId="5A31E82C" w14:textId="77777777" w:rsidR="00FF4125" w:rsidRPr="006308B3" w:rsidRDefault="00FF4125" w:rsidP="00FF4125">
            <w:pPr>
              <w:pStyle w:val="Tabletext"/>
              <w:jc w:val="center"/>
            </w:pPr>
            <w:r w:rsidRPr="006308B3">
              <w:t>170</w:t>
            </w:r>
          </w:p>
        </w:tc>
        <w:tc>
          <w:tcPr>
            <w:tcW w:w="717" w:type="dxa"/>
          </w:tcPr>
          <w:p w14:paraId="47A4C6B6" w14:textId="77777777" w:rsidR="00FF4125" w:rsidRPr="006308B3" w:rsidRDefault="00FF4125" w:rsidP="00FF4125">
            <w:pPr>
              <w:pStyle w:val="Tabletext"/>
              <w:jc w:val="center"/>
            </w:pPr>
            <w:r w:rsidRPr="006308B3">
              <w:t>181</w:t>
            </w:r>
          </w:p>
        </w:tc>
        <w:tc>
          <w:tcPr>
            <w:tcW w:w="1332" w:type="dxa"/>
            <w:shd w:val="clear" w:color="auto" w:fill="E4EBF4"/>
          </w:tcPr>
          <w:p w14:paraId="17680F15" w14:textId="048035F0" w:rsidR="00FF4125" w:rsidRPr="006308B3" w:rsidRDefault="00FF4125" w:rsidP="00FF4125">
            <w:pPr>
              <w:pStyle w:val="Tabletext"/>
              <w:jc w:val="center"/>
            </w:pPr>
            <w:r w:rsidRPr="006308B3">
              <w:t>20</w:t>
            </w:r>
          </w:p>
        </w:tc>
        <w:tc>
          <w:tcPr>
            <w:tcW w:w="1839" w:type="dxa"/>
            <w:shd w:val="clear" w:color="auto" w:fill="E4EBF4"/>
          </w:tcPr>
          <w:p w14:paraId="0E175FBD" w14:textId="7B2BB969" w:rsidR="00FF4125" w:rsidRPr="006308B3" w:rsidRDefault="00FF4125" w:rsidP="00FF4125">
            <w:pPr>
              <w:pStyle w:val="Tabletext"/>
              <w:jc w:val="center"/>
            </w:pPr>
            <w:r>
              <w:t>% 12,42</w:t>
            </w:r>
          </w:p>
        </w:tc>
      </w:tr>
    </w:tbl>
    <w:p w14:paraId="54BEDF81" w14:textId="2A2955D3" w:rsidR="00674A3A" w:rsidRPr="003B1662" w:rsidRDefault="00FF4125" w:rsidP="00CF32AE">
      <w:pPr>
        <w:pStyle w:val="Tablelegend"/>
        <w:spacing w:after="240"/>
        <w:rPr>
          <w:i/>
          <w:iCs/>
          <w:rtl/>
        </w:rPr>
      </w:pPr>
      <w:r w:rsidRPr="00FC6264">
        <w:rPr>
          <w:rFonts w:hint="cs"/>
          <w:rtl/>
        </w:rPr>
        <w:t>*</w:t>
      </w:r>
      <w:r w:rsidRPr="00FC6264">
        <w:rPr>
          <w:rtl/>
        </w:rPr>
        <w:tab/>
      </w:r>
      <w:r w:rsidR="00674A3A" w:rsidRPr="003B1662">
        <w:rPr>
          <w:i/>
          <w:iCs/>
          <w:rtl/>
        </w:rPr>
        <w:t>وفقاً لقرار مؤتمر المندوبين المفوضين لعام 2014، تشمل عضوية الهيئات الأكاديمية جميع قطاعات الاتحاد الثلاثة</w:t>
      </w:r>
    </w:p>
    <w:p w14:paraId="12DBF02D" w14:textId="5E988876" w:rsidR="00674A3A" w:rsidRDefault="00FF4125" w:rsidP="003B1662">
      <w:pPr>
        <w:pStyle w:val="Heading3"/>
        <w:spacing w:before="240"/>
        <w:rPr>
          <w:rtl/>
        </w:rPr>
      </w:pPr>
      <w:bookmarkStart w:id="62" w:name="_Toc223962013"/>
      <w:r>
        <w:t>6.8</w:t>
      </w:r>
      <w:r w:rsidR="00674A3A">
        <w:rPr>
          <w:rtl/>
        </w:rPr>
        <w:tab/>
        <w:t>التواصل والترويج</w:t>
      </w:r>
      <w:bookmarkEnd w:id="62"/>
    </w:p>
    <w:p w14:paraId="1A99B289" w14:textId="2450D521" w:rsidR="00674A3A" w:rsidRDefault="00FF4125" w:rsidP="00FF4125">
      <w:pPr>
        <w:pStyle w:val="Heading3"/>
        <w:rPr>
          <w:rtl/>
        </w:rPr>
      </w:pPr>
      <w:bookmarkStart w:id="63" w:name="_Toc223962014"/>
      <w:r>
        <w:t>1.6.8</w:t>
      </w:r>
      <w:r w:rsidR="00674A3A">
        <w:rPr>
          <w:rtl/>
        </w:rPr>
        <w:tab/>
        <w:t>المواقع الإلكترونية وقواعد البيانات</w:t>
      </w:r>
      <w:bookmarkEnd w:id="63"/>
    </w:p>
    <w:p w14:paraId="1562F07D" w14:textId="33B90C7E" w:rsidR="00674A3A" w:rsidRDefault="00674A3A" w:rsidP="00674A3A">
      <w:pPr>
        <w:rPr>
          <w:rtl/>
        </w:rPr>
      </w:pPr>
      <w:r>
        <w:rPr>
          <w:rtl/>
        </w:rPr>
        <w:t>يقوم فريق مكتب الاتصالات الراديوية (</w:t>
      </w:r>
      <w:hyperlink r:id="rId81" w:history="1">
        <w:r w:rsidR="00FF4125" w:rsidRPr="006A1FCB">
          <w:rPr>
            <w:rStyle w:val="Hyperlink"/>
          </w:rPr>
          <w:t>brweb@itu.int</w:t>
        </w:r>
      </w:hyperlink>
      <w:r>
        <w:rPr>
          <w:rtl/>
        </w:rPr>
        <w:t>) بصيانة أداء مواقع قطاع الاتصالات الراديوية على شبكة الويب، بما</w:t>
      </w:r>
      <w:r w:rsidR="00FF4125">
        <w:rPr>
          <w:rFonts w:hint="cs"/>
          <w:rtl/>
        </w:rPr>
        <w:t> </w:t>
      </w:r>
      <w:r>
        <w:rPr>
          <w:rtl/>
        </w:rPr>
        <w:t>في</w:t>
      </w:r>
      <w:r w:rsidR="00FF4125">
        <w:rPr>
          <w:rFonts w:hint="eastAsia"/>
          <w:rtl/>
        </w:rPr>
        <w:t> </w:t>
      </w:r>
      <w:r>
        <w:rPr>
          <w:rtl/>
        </w:rPr>
        <w:t>ذلك قواعد البيانات ذات الصلة وغيرها من أنظمة إدارة المعلومات.</w:t>
      </w:r>
    </w:p>
    <w:p w14:paraId="0E4170B6" w14:textId="5772F208" w:rsidR="00816C27" w:rsidRDefault="00674A3A" w:rsidP="00674A3A">
      <w:pPr>
        <w:rPr>
          <w:rtl/>
        </w:rPr>
      </w:pPr>
      <w:r>
        <w:rPr>
          <w:rtl/>
        </w:rPr>
        <w:t xml:space="preserve">ويرد في الإضافة 2 لهذه الوثيقة نظام إدارة المحتوى الجديد </w:t>
      </w:r>
      <w:r>
        <w:t>(CMS) WordPress</w:t>
      </w:r>
      <w:r>
        <w:rPr>
          <w:rtl/>
        </w:rPr>
        <w:t xml:space="preserve"> وحالة ترجمة الصفحات الإلكترونية لقطاع الاتصالات الراديوية.</w:t>
      </w:r>
    </w:p>
    <w:p w14:paraId="05FD19F1" w14:textId="578534E0" w:rsidR="00674A3A" w:rsidRPr="00FF4125" w:rsidRDefault="00FF4125" w:rsidP="00FF4125">
      <w:pPr>
        <w:pStyle w:val="Heading3"/>
        <w:rPr>
          <w:rtl/>
        </w:rPr>
      </w:pPr>
      <w:bookmarkStart w:id="64" w:name="_Toc223962015"/>
      <w:r>
        <w:t>2.6.8</w:t>
      </w:r>
      <w:r w:rsidR="00674A3A" w:rsidRPr="00FF4125">
        <w:rPr>
          <w:rtl/>
        </w:rPr>
        <w:tab/>
        <w:t>الترويج والعلاقات الإعلامية</w:t>
      </w:r>
      <w:bookmarkEnd w:id="64"/>
    </w:p>
    <w:p w14:paraId="59D8EC3F" w14:textId="77777777" w:rsidR="00674A3A" w:rsidRDefault="00674A3A" w:rsidP="00674A3A">
      <w:pPr>
        <w:rPr>
          <w:rtl/>
        </w:rPr>
      </w:pPr>
      <w:r>
        <w:rPr>
          <w:rtl/>
        </w:rPr>
        <w:t>نفذ نظام جديد لتدفق عمل مواد العلاقات العامة (</w:t>
      </w:r>
      <w:r>
        <w:t>PMS</w:t>
      </w:r>
      <w:r>
        <w:rPr>
          <w:rtl/>
        </w:rPr>
        <w:t>) في مكتب الاتصالات الراديوية لتنسيق إنتاج المواد الترويجية مع فرق العلامة التجارية والبرامج السمعية المرئية التابعة للأمانة.</w:t>
      </w:r>
    </w:p>
    <w:p w14:paraId="71EC017A" w14:textId="70738CB2" w:rsidR="00674A3A" w:rsidRPr="00FF4125" w:rsidRDefault="00FF4125" w:rsidP="00FF4125">
      <w:pPr>
        <w:pStyle w:val="Heading4"/>
        <w:rPr>
          <w:rtl/>
        </w:rPr>
      </w:pPr>
      <w:r>
        <w:t>1.2.6.8</w:t>
      </w:r>
      <w:r w:rsidR="00674A3A" w:rsidRPr="00FF4125">
        <w:rPr>
          <w:rtl/>
        </w:rPr>
        <w:tab/>
        <w:t>الأسئلة الشائعة بشأن التوعية الإعلامية والمعلومات الأساسية لوسائل الإعلام ومجلة أخبار الاتحاد ومدونات الإنترنت والمقالات</w:t>
      </w:r>
    </w:p>
    <w:p w14:paraId="794B36E7" w14:textId="77777777" w:rsidR="00816C27" w:rsidRDefault="00674A3A" w:rsidP="00674A3A">
      <w:pPr>
        <w:rPr>
          <w:rtl/>
        </w:rPr>
      </w:pPr>
      <w:r>
        <w:rPr>
          <w:rtl/>
        </w:rPr>
        <w:t>في عام 2025، نشر المكتب بانتظام، بالتعاون مع دائرة الاتصالات المؤسسية، على الموقع الإلكتروني لمكتب الاتصالات الراديوية ومن خلال مركز الاتحاد، المعلومات الأساسية لوسائل الإعلام، والمقالات الإخبارية، ومدونات مدير مكتب الاتصالات الراديوية وكبار موظفيه.</w:t>
      </w:r>
    </w:p>
    <w:p w14:paraId="08A23292" w14:textId="57DA3ACD" w:rsidR="00674A3A" w:rsidRDefault="00FF4125" w:rsidP="00674A3A">
      <w:pPr>
        <w:rPr>
          <w:rtl/>
        </w:rPr>
      </w:pPr>
      <w:r>
        <w:rPr>
          <w:rFonts w:hint="cs"/>
          <w:rtl/>
        </w:rPr>
        <w:lastRenderedPageBreak/>
        <w:t>ويمكن</w:t>
      </w:r>
      <w:r w:rsidR="00674A3A">
        <w:rPr>
          <w:rtl/>
        </w:rPr>
        <w:t xml:space="preserve"> الاطلاع على المقالات الإخبارية والمدونات التي أعدها مدير مكتب الاتصالات الراديوية وغيره من كبار موظفي مكتب الاتصالات الراديوية هنا </w:t>
      </w:r>
      <w:hyperlink r:id="rId82" w:anchor="/ar" w:history="1">
        <w:r w:rsidRPr="00FF4125">
          <w:rPr>
            <w:rStyle w:val="Hyperlink"/>
          </w:rPr>
          <w:t>https://www.itu.int/hub/?s=Maniewicz&amp;by_time=last_year</w:t>
        </w:r>
      </w:hyperlink>
      <w:r>
        <w:rPr>
          <w:rFonts w:hint="cs"/>
          <w:rtl/>
        </w:rPr>
        <w:t>.</w:t>
      </w:r>
    </w:p>
    <w:p w14:paraId="517ABF0A" w14:textId="340665EE" w:rsidR="00674A3A" w:rsidRDefault="00674A3A" w:rsidP="00674A3A">
      <w:pPr>
        <w:rPr>
          <w:rtl/>
        </w:rPr>
      </w:pPr>
      <w:r>
        <w:rPr>
          <w:rtl/>
        </w:rPr>
        <w:t>وحُدثت الأسئلة الشائعة</w:t>
      </w:r>
      <w:r w:rsidR="00304DF3">
        <w:rPr>
          <w:rFonts w:hint="cs"/>
          <w:rtl/>
        </w:rPr>
        <w:t xml:space="preserve"> </w:t>
      </w:r>
      <w:r>
        <w:rPr>
          <w:rtl/>
        </w:rPr>
        <w:t>(</w:t>
      </w:r>
      <w:r>
        <w:t>FAQ</w:t>
      </w:r>
      <w:r>
        <w:rPr>
          <w:rtl/>
        </w:rPr>
        <w:t xml:space="preserve">) بشأن أنشطة مكتب الاتصالات الراديوية عند الضرورة. والنسخة الأخيرة من الأسئلة الشائعة منشورة هنا: </w:t>
      </w:r>
      <w:hyperlink r:id="rId83" w:history="1">
        <w:r w:rsidR="00FF4125" w:rsidRPr="00FF4125">
          <w:rPr>
            <w:rStyle w:val="Hyperlink"/>
          </w:rPr>
          <w:t>https://www.itu.int/en/ITU-R/Pages/default.aspx</w:t>
        </w:r>
      </w:hyperlink>
      <w:r>
        <w:rPr>
          <w:rtl/>
        </w:rPr>
        <w:t>.</w:t>
      </w:r>
    </w:p>
    <w:p w14:paraId="1AD13699" w14:textId="68BC285C" w:rsidR="00816C27" w:rsidRDefault="00674A3A" w:rsidP="00674A3A">
      <w:pPr>
        <w:rPr>
          <w:rtl/>
        </w:rPr>
      </w:pPr>
      <w:r>
        <w:rPr>
          <w:rtl/>
        </w:rPr>
        <w:t xml:space="preserve">وتتاح </w:t>
      </w:r>
      <w:hyperlink r:id="rId84" w:anchor="/ar" w:history="1">
        <w:r w:rsidRPr="00FF4125">
          <w:rPr>
            <w:rStyle w:val="Hyperlink"/>
            <w:rtl/>
          </w:rPr>
          <w:t>معلومات أساسية كثيرة لوسائل الإعلام</w:t>
        </w:r>
      </w:hyperlink>
      <w:r>
        <w:rPr>
          <w:rtl/>
        </w:rPr>
        <w:t xml:space="preserve"> في الموقع الإلكتروني للاتحاد.</w:t>
      </w:r>
    </w:p>
    <w:p w14:paraId="2A447BC0" w14:textId="55864350" w:rsidR="00674A3A" w:rsidRDefault="00674A3A" w:rsidP="00674A3A">
      <w:pPr>
        <w:rPr>
          <w:rtl/>
        </w:rPr>
      </w:pPr>
      <w:r>
        <w:rPr>
          <w:rtl/>
        </w:rPr>
        <w:t>وفي عام 2025، تناول مكتب الاتصالات الراديوية 55 استعلاماً إعلامياً من المجلات التقنية المتخصصة ووسائط الإعلام، وقدم المعلومات المطلوبة بسرعة وعزز العلاقات الإيجابية مع المنافذ الإعلامية. وانصب تركيز الاستعلامات الإعلامية بشأن أنشطة قطاع الاتصالات الراديوية بشكل أساسي على بطاقات التبليغ عن الشبكات الساتلية، والتداخل الضار/تشويش نظام تحديد المواقع العالمي (</w:t>
      </w:r>
      <w:r>
        <w:t>GPS</w:t>
      </w:r>
      <w:r>
        <w:rPr>
          <w:rtl/>
        </w:rPr>
        <w:t>)، ولجنة لوائح الراديو (</w:t>
      </w:r>
      <w:r>
        <w:t>RRB</w:t>
      </w:r>
      <w:r>
        <w:rPr>
          <w:rtl/>
        </w:rPr>
        <w:t xml:space="preserve">)، والمؤتمر العالمي للاتصالات الراديوية لعام 2023، وشبكات الجيل الخامس </w:t>
      </w:r>
      <w:r>
        <w:t>(5G)</w:t>
      </w:r>
      <w:r>
        <w:rPr>
          <w:rtl/>
        </w:rPr>
        <w:t xml:space="preserve">/الجيل السادس </w:t>
      </w:r>
      <w:r>
        <w:t>(6G)</w:t>
      </w:r>
      <w:r>
        <w:rPr>
          <w:rtl/>
        </w:rPr>
        <w:t>.</w:t>
      </w:r>
    </w:p>
    <w:p w14:paraId="204C459A" w14:textId="77777777" w:rsidR="00674A3A" w:rsidRDefault="00674A3A" w:rsidP="00674A3A">
      <w:pPr>
        <w:rPr>
          <w:rtl/>
        </w:rPr>
      </w:pPr>
      <w:r>
        <w:rPr>
          <w:rtl/>
        </w:rPr>
        <w:t>وفي عام 2025، نشر المكتب منتجين صحفيين:</w:t>
      </w:r>
    </w:p>
    <w:p w14:paraId="0D361D91" w14:textId="6FF87EFA" w:rsidR="00816C27" w:rsidRDefault="00FF4125" w:rsidP="00FF4125">
      <w:pPr>
        <w:pStyle w:val="enumlev1"/>
        <w:rPr>
          <w:rtl/>
        </w:rPr>
      </w:pPr>
      <w:r>
        <w:sym w:font="Wingdings 2" w:char="F097"/>
      </w:r>
      <w:r w:rsidR="00674A3A">
        <w:rPr>
          <w:rtl/>
        </w:rPr>
        <w:tab/>
        <w:t>بيان مشترك للاتحاد الدولي للاتصالات ومنظمة الطيران المدني الدولي والمنظمة البحرية الدولية بشأن حماية الملاحة الساتلية من التداخل الضار</w:t>
      </w:r>
    </w:p>
    <w:p w14:paraId="6C6B198D" w14:textId="3E265ED6" w:rsidR="00674A3A" w:rsidRDefault="00FF4125" w:rsidP="00FF4125">
      <w:pPr>
        <w:pStyle w:val="enumlev1"/>
        <w:rPr>
          <w:rtl/>
        </w:rPr>
      </w:pPr>
      <w:r>
        <w:sym w:font="Wingdings 2" w:char="F097"/>
      </w:r>
      <w:r w:rsidR="00674A3A">
        <w:rPr>
          <w:rtl/>
        </w:rPr>
        <w:tab/>
      </w:r>
      <w:r w:rsidR="00CF32AE">
        <w:rPr>
          <w:rFonts w:hint="cs"/>
          <w:rtl/>
        </w:rPr>
        <w:t>و</w:t>
      </w:r>
      <w:r w:rsidR="00674A3A">
        <w:rPr>
          <w:rtl/>
        </w:rPr>
        <w:t xml:space="preserve">الصين تستضيف المؤتمر </w:t>
      </w:r>
      <w:r w:rsidR="00674A3A">
        <w:t>WRC-27</w:t>
      </w:r>
      <w:r w:rsidR="00674A3A">
        <w:rPr>
          <w:rtl/>
        </w:rPr>
        <w:t xml:space="preserve"> في شنغهاي.</w:t>
      </w:r>
    </w:p>
    <w:p w14:paraId="63C02437" w14:textId="77777777" w:rsidR="00674A3A" w:rsidRDefault="00674A3A" w:rsidP="00674A3A">
      <w:pPr>
        <w:rPr>
          <w:rtl/>
        </w:rPr>
      </w:pPr>
      <w:r>
        <w:rPr>
          <w:rtl/>
        </w:rPr>
        <w:t>وشملت أنشطة التوعية استعمال النشرات الصحفية، وبلاغات الأعضاء، ومدونات بوابة أخبار الاتحاد (</w:t>
      </w:r>
      <w:r>
        <w:t>ITUNews</w:t>
      </w:r>
      <w:r>
        <w:rPr>
          <w:rtl/>
        </w:rPr>
        <w:t>) الإلكترونية، وتسجيلات الفيديو، وإعداد علامة الحدث المميزة، والمنشورات على وسائل التواصل الاجتماعي.</w:t>
      </w:r>
    </w:p>
    <w:p w14:paraId="5D3A44B2" w14:textId="77777777" w:rsidR="00674A3A" w:rsidRDefault="00674A3A" w:rsidP="00674A3A">
      <w:pPr>
        <w:rPr>
          <w:rtl/>
        </w:rPr>
      </w:pPr>
      <w:r>
        <w:rPr>
          <w:rtl/>
        </w:rPr>
        <w:t>وفي عام 2025، شارك المكتب بنشاط في مختلف الأيام الدولية للأمم المتحدة ذات الصلة بعمله، من قبيل:</w:t>
      </w:r>
    </w:p>
    <w:p w14:paraId="07D45018" w14:textId="1360DAEA" w:rsidR="00816C27" w:rsidRDefault="00FF4125" w:rsidP="00FF4125">
      <w:pPr>
        <w:pStyle w:val="enumlev1"/>
        <w:rPr>
          <w:rtl/>
        </w:rPr>
      </w:pPr>
      <w:r>
        <w:sym w:font="Wingdings 2" w:char="F097"/>
      </w:r>
      <w:r w:rsidR="00674A3A">
        <w:rPr>
          <w:rtl/>
        </w:rPr>
        <w:tab/>
        <w:t>اليوم العالمي للإذاعة</w:t>
      </w:r>
      <w:r w:rsidR="00961F9E">
        <w:rPr>
          <w:rFonts w:hint="cs"/>
          <w:rtl/>
        </w:rPr>
        <w:t xml:space="preserve"> - </w:t>
      </w:r>
      <w:r w:rsidR="00674A3A">
        <w:rPr>
          <w:rtl/>
        </w:rPr>
        <w:t>13 فبراير</w:t>
      </w:r>
    </w:p>
    <w:p w14:paraId="71F92597" w14:textId="28CEA5A1" w:rsidR="00816C27" w:rsidRDefault="00FF4125" w:rsidP="00FF4125">
      <w:pPr>
        <w:pStyle w:val="enumlev1"/>
        <w:rPr>
          <w:rtl/>
        </w:rPr>
      </w:pPr>
      <w:r>
        <w:sym w:font="Wingdings 2" w:char="F097"/>
      </w:r>
      <w:r w:rsidR="00674A3A">
        <w:rPr>
          <w:rtl/>
        </w:rPr>
        <w:tab/>
        <w:t>اليوم العالمي للأرصاد الجوية</w:t>
      </w:r>
      <w:r w:rsidR="00961F9E">
        <w:rPr>
          <w:rFonts w:hint="cs"/>
          <w:rtl/>
        </w:rPr>
        <w:t xml:space="preserve"> - </w:t>
      </w:r>
      <w:r w:rsidR="00674A3A">
        <w:rPr>
          <w:rtl/>
        </w:rPr>
        <w:t>24 مارس</w:t>
      </w:r>
    </w:p>
    <w:p w14:paraId="460CBB45" w14:textId="0D90DCAB" w:rsidR="00816C27" w:rsidRDefault="00FF4125" w:rsidP="00FF4125">
      <w:pPr>
        <w:pStyle w:val="enumlev1"/>
        <w:rPr>
          <w:rtl/>
        </w:rPr>
      </w:pPr>
      <w:r>
        <w:sym w:font="Wingdings 2" w:char="F097"/>
      </w:r>
      <w:r w:rsidR="00674A3A">
        <w:rPr>
          <w:rtl/>
        </w:rPr>
        <w:tab/>
        <w:t>اليوم العالمي لهواة الراديو</w:t>
      </w:r>
      <w:r w:rsidR="00961F9E">
        <w:rPr>
          <w:rFonts w:hint="cs"/>
          <w:rtl/>
        </w:rPr>
        <w:t xml:space="preserve"> - </w:t>
      </w:r>
      <w:r w:rsidR="00674A3A">
        <w:rPr>
          <w:rtl/>
        </w:rPr>
        <w:t>18 أبريل</w:t>
      </w:r>
    </w:p>
    <w:p w14:paraId="4DB5E55E" w14:textId="7CC8F570" w:rsidR="00816C27" w:rsidRDefault="00FF4125" w:rsidP="00FF4125">
      <w:pPr>
        <w:pStyle w:val="enumlev1"/>
        <w:rPr>
          <w:rtl/>
        </w:rPr>
      </w:pPr>
      <w:r>
        <w:sym w:font="Wingdings 2" w:char="F097"/>
      </w:r>
      <w:r w:rsidR="00674A3A">
        <w:rPr>
          <w:rtl/>
        </w:rPr>
        <w:tab/>
        <w:t>اليوم العالمي للقمر</w:t>
      </w:r>
      <w:r w:rsidR="00961F9E">
        <w:rPr>
          <w:rFonts w:hint="cs"/>
          <w:rtl/>
        </w:rPr>
        <w:t xml:space="preserve"> - </w:t>
      </w:r>
      <w:r w:rsidR="00674A3A">
        <w:rPr>
          <w:rtl/>
        </w:rPr>
        <w:t>20 يوليو</w:t>
      </w:r>
    </w:p>
    <w:p w14:paraId="1E17C769" w14:textId="61D24547" w:rsidR="00816C27" w:rsidRDefault="00FF4125" w:rsidP="00FF4125">
      <w:pPr>
        <w:pStyle w:val="enumlev1"/>
        <w:rPr>
          <w:rtl/>
        </w:rPr>
      </w:pPr>
      <w:r>
        <w:sym w:font="Wingdings 2" w:char="F097"/>
      </w:r>
      <w:r w:rsidR="00674A3A">
        <w:rPr>
          <w:rtl/>
        </w:rPr>
        <w:tab/>
        <w:t>اليوم العالمي للتلفزيون</w:t>
      </w:r>
      <w:r w:rsidR="00961F9E">
        <w:rPr>
          <w:rFonts w:hint="cs"/>
          <w:rtl/>
        </w:rPr>
        <w:t xml:space="preserve"> - </w:t>
      </w:r>
      <w:r w:rsidR="00674A3A">
        <w:rPr>
          <w:rtl/>
        </w:rPr>
        <w:t>21 نوفمبر</w:t>
      </w:r>
    </w:p>
    <w:p w14:paraId="55DC682C" w14:textId="72FDE19E" w:rsidR="00816C27" w:rsidRDefault="00674A3A" w:rsidP="00674A3A">
      <w:pPr>
        <w:rPr>
          <w:rtl/>
        </w:rPr>
      </w:pPr>
      <w:r>
        <w:rPr>
          <w:rtl/>
        </w:rPr>
        <w:t xml:space="preserve">وساهم مدير مكتب الاتصالات الراديوية بانتظام في مقالات ومدونات وبودكاستات الاتحاد التي ظهرت في </w:t>
      </w:r>
      <w:hyperlink r:id="rId85" w:history="1">
        <w:r w:rsidRPr="00961F9E">
          <w:rPr>
            <w:rStyle w:val="Hyperlink"/>
            <w:rtl/>
          </w:rPr>
          <w:t>ركن مدير مكتب الاتصالات الراديوية</w:t>
        </w:r>
      </w:hyperlink>
      <w:r>
        <w:rPr>
          <w:rtl/>
        </w:rPr>
        <w:t>.</w:t>
      </w:r>
    </w:p>
    <w:p w14:paraId="568FD61A" w14:textId="755D9DE4" w:rsidR="00674A3A" w:rsidRDefault="00961F9E" w:rsidP="00961F9E">
      <w:pPr>
        <w:pStyle w:val="Heading4"/>
        <w:rPr>
          <w:rtl/>
        </w:rPr>
      </w:pPr>
      <w:r>
        <w:t>2.2.6.8</w:t>
      </w:r>
      <w:r w:rsidR="00674A3A">
        <w:rPr>
          <w:rtl/>
        </w:rPr>
        <w:tab/>
        <w:t>اتصالات العلامة المميزة والمبيعات والتسويق</w:t>
      </w:r>
    </w:p>
    <w:p w14:paraId="6715885F" w14:textId="416D8FA6" w:rsidR="00674A3A" w:rsidRDefault="00674A3A" w:rsidP="00961F9E">
      <w:pPr>
        <w:rPr>
          <w:rtl/>
        </w:rPr>
      </w:pPr>
      <w:r>
        <w:rPr>
          <w:rtl/>
        </w:rPr>
        <w:t>ركزت جهود العلامات المميزة والاتصالات على استعمال منصة</w:t>
      </w:r>
      <w:r w:rsidR="00961F9E">
        <w:rPr>
          <w:rFonts w:hint="cs"/>
          <w:rtl/>
        </w:rPr>
        <w:t xml:space="preserve"> </w:t>
      </w:r>
      <w:hyperlink r:id="rId86" w:anchor="/ar" w:history="1">
        <w:r w:rsidRPr="00961F9E">
          <w:rPr>
            <w:rStyle w:val="Hyperlink"/>
            <w:rtl/>
          </w:rPr>
          <w:t>مركز الأخبار للاتحاد</w:t>
        </w:r>
      </w:hyperlink>
      <w:r>
        <w:rPr>
          <w:rtl/>
        </w:rPr>
        <w:t xml:space="preserve"> </w:t>
      </w:r>
      <w:r w:rsidR="00961F9E">
        <w:rPr>
          <w:rFonts w:hint="cs"/>
          <w:rtl/>
        </w:rPr>
        <w:t xml:space="preserve">الجديدة </w:t>
      </w:r>
      <w:r>
        <w:rPr>
          <w:rtl/>
        </w:rPr>
        <w:t>بالتعاون مع فعاليات المبيعات والتسويق في الاتحاد للترويج الإلكتروني لمنشورات قطاع الاتصالات الراديوية وقواعد بياناته وبرمجياته المحددة، التي تضم هويات مرئية مصممة خصيصاً للتوعية.</w:t>
      </w:r>
    </w:p>
    <w:p w14:paraId="4A5F0802" w14:textId="36422E39" w:rsidR="00674A3A" w:rsidRDefault="00C30B89" w:rsidP="00961F9E">
      <w:pPr>
        <w:pStyle w:val="Heading2"/>
        <w:rPr>
          <w:rtl/>
        </w:rPr>
      </w:pPr>
      <w:bookmarkStart w:id="65" w:name="_Toc223962016"/>
      <w:r>
        <w:t>7.8</w:t>
      </w:r>
      <w:r w:rsidR="00674A3A">
        <w:rPr>
          <w:rtl/>
        </w:rPr>
        <w:tab/>
        <w:t>الإنصاف بين الجنسين</w:t>
      </w:r>
      <w:bookmarkEnd w:id="65"/>
    </w:p>
    <w:p w14:paraId="10A410A3" w14:textId="78A912F5" w:rsidR="00816C27" w:rsidRDefault="00674A3A" w:rsidP="00674A3A">
      <w:pPr>
        <w:rPr>
          <w:rtl/>
        </w:rPr>
      </w:pPr>
      <w:r>
        <w:rPr>
          <w:rtl/>
        </w:rPr>
        <w:t xml:space="preserve">يوضح الجدول </w:t>
      </w:r>
      <w:r w:rsidR="00961F9E">
        <w:t>1-7</w:t>
      </w:r>
      <w:r w:rsidR="00FC6264">
        <w:t>.</w:t>
      </w:r>
      <w:r w:rsidR="00961F9E">
        <w:t>8</w:t>
      </w:r>
      <w:r>
        <w:rPr>
          <w:rtl/>
        </w:rPr>
        <w:t xml:space="preserve"> زيادة عدد النساء المشاركات في فعاليات قطاع الاتصالات الراديوية منذ عام </w:t>
      </w:r>
      <w:r w:rsidR="00A80B39">
        <w:t>2019</w:t>
      </w:r>
      <w:r w:rsidR="00A80B39">
        <w:rPr>
          <w:rStyle w:val="FootnoteReference"/>
          <w:rtl/>
        </w:rPr>
        <w:footnoteReference w:id="2"/>
      </w:r>
      <w:r w:rsidR="00A80B39">
        <w:rPr>
          <w:rFonts w:hint="cs"/>
          <w:rtl/>
        </w:rPr>
        <w:t>.</w:t>
      </w:r>
    </w:p>
    <w:p w14:paraId="68E478E8" w14:textId="0BCEC7D6" w:rsidR="00674A3A" w:rsidRDefault="00674A3A" w:rsidP="00961F9E">
      <w:pPr>
        <w:pStyle w:val="TableNo"/>
        <w:rPr>
          <w:rtl/>
        </w:rPr>
      </w:pPr>
      <w:r>
        <w:rPr>
          <w:rtl/>
        </w:rPr>
        <w:lastRenderedPageBreak/>
        <w:t xml:space="preserve">الجدول </w:t>
      </w:r>
      <w:r w:rsidR="00FC6264">
        <w:t>1-7.8</w:t>
      </w:r>
    </w:p>
    <w:p w14:paraId="1FFF3BBE" w14:textId="475213C3" w:rsidR="00674A3A" w:rsidRDefault="00674A3A" w:rsidP="00961F9E">
      <w:pPr>
        <w:pStyle w:val="Tabletitle"/>
        <w:rPr>
          <w:rtl/>
        </w:rPr>
      </w:pPr>
      <w:r>
        <w:rPr>
          <w:rtl/>
        </w:rPr>
        <w:t>تطور مشاركة النساء في فعاليات قطاع الاتصالات الراديوية في الفترة منذ عام 2019</w:t>
      </w:r>
    </w:p>
    <w:p w14:paraId="2AECF404" w14:textId="12ED7635" w:rsidR="00674A3A" w:rsidRDefault="00FC6264" w:rsidP="00FC6264">
      <w:pPr>
        <w:pStyle w:val="Figure"/>
        <w:rPr>
          <w:rtl/>
        </w:rPr>
      </w:pPr>
      <w:r>
        <w:drawing>
          <wp:inline distT="0" distB="0" distL="0" distR="0" wp14:anchorId="3ADC7DA3" wp14:editId="7F5E13D2">
            <wp:extent cx="4468068" cy="1775361"/>
            <wp:effectExtent l="0" t="0" r="0" b="0"/>
            <wp:docPr id="1709590584" name="Picture 1" descr="A graph of numbers and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90584" name="Picture 1" descr="A graph of numbers and a number of people&#10;&#10;Description automatically generated"/>
                    <pic:cNvPicPr/>
                  </pic:nvPicPr>
                  <pic:blipFill>
                    <a:blip r:embed="rId87"/>
                    <a:stretch>
                      <a:fillRect/>
                    </a:stretch>
                  </pic:blipFill>
                  <pic:spPr>
                    <a:xfrm>
                      <a:off x="0" y="0"/>
                      <a:ext cx="4534705" cy="1801839"/>
                    </a:xfrm>
                    <a:prstGeom prst="rect">
                      <a:avLst/>
                    </a:prstGeom>
                  </pic:spPr>
                </pic:pic>
              </a:graphicData>
            </a:graphic>
          </wp:inline>
        </w:drawing>
      </w:r>
    </w:p>
    <w:p w14:paraId="27D30400" w14:textId="09D6A5BC" w:rsidR="00816C27" w:rsidRDefault="00FC6264" w:rsidP="00FC6264">
      <w:pPr>
        <w:pStyle w:val="Heading3"/>
        <w:rPr>
          <w:rtl/>
        </w:rPr>
      </w:pPr>
      <w:bookmarkStart w:id="66" w:name="_Toc223962017"/>
      <w:r>
        <w:t>1.7.8</w:t>
      </w:r>
      <w:r w:rsidR="00674A3A">
        <w:rPr>
          <w:rtl/>
        </w:rPr>
        <w:tab/>
        <w:t>قرار جمعية الاتصالات الراديوية لعام 2023 بشأن المساواة بين الجنسين</w:t>
      </w:r>
      <w:bookmarkEnd w:id="66"/>
    </w:p>
    <w:p w14:paraId="61B172B6" w14:textId="3FDC6AE4" w:rsidR="00816C27" w:rsidRDefault="00674A3A" w:rsidP="00674A3A">
      <w:pPr>
        <w:rPr>
          <w:rtl/>
        </w:rPr>
      </w:pPr>
      <w:r>
        <w:rPr>
          <w:rtl/>
        </w:rPr>
        <w:t xml:space="preserve">اعتمدت جمعية الاتصالات الراديوية لعام 2023 </w:t>
      </w:r>
      <w:hyperlink r:id="rId88" w:history="1">
        <w:r w:rsidRPr="00CF32AE">
          <w:rPr>
            <w:rStyle w:val="Hyperlink"/>
            <w:i/>
            <w:iCs/>
            <w:rtl/>
          </w:rPr>
          <w:t>قراراً جديداً بشأن المساواة بين الجنسين</w:t>
        </w:r>
      </w:hyperlink>
      <w:r>
        <w:rPr>
          <w:rtl/>
        </w:rPr>
        <w:t xml:space="preserve"> (القرار </w:t>
      </w:r>
      <w:r>
        <w:t>ITU-R 72</w:t>
      </w:r>
      <w:r>
        <w:rPr>
          <w:rtl/>
        </w:rPr>
        <w:t>) يهدف إلى مواصلة تعزيز وتسريع وزيادة المشاركة النشطة للمرأة في أعمال وأنشطة قطاع الاتصالات الراديوية (</w:t>
      </w:r>
      <w:r>
        <w:t>ITU-R</w:t>
      </w:r>
      <w:r>
        <w:rPr>
          <w:rtl/>
        </w:rPr>
        <w:t>).</w:t>
      </w:r>
    </w:p>
    <w:p w14:paraId="46676DB0" w14:textId="36AA4C27" w:rsidR="00674A3A" w:rsidRDefault="00674A3A" w:rsidP="00674A3A">
      <w:r>
        <w:rPr>
          <w:rtl/>
        </w:rPr>
        <w:t xml:space="preserve">ويستمر تطبيق القرار </w:t>
      </w:r>
      <w:r>
        <w:t>ITU-R 72</w:t>
      </w:r>
      <w:r>
        <w:rPr>
          <w:rtl/>
        </w:rPr>
        <w:t xml:space="preserve"> في جميع أعمال المكتب.</w:t>
      </w:r>
      <w:r w:rsidR="00A05578">
        <w:rPr>
          <w:rFonts w:hint="cs"/>
          <w:rtl/>
        </w:rPr>
        <w:t xml:space="preserve"> </w:t>
      </w:r>
    </w:p>
    <w:p w14:paraId="335C50D6" w14:textId="7A22A44E" w:rsidR="00816C27" w:rsidRDefault="00FC6264" w:rsidP="00FC6264">
      <w:pPr>
        <w:pStyle w:val="Heading3"/>
        <w:rPr>
          <w:rtl/>
        </w:rPr>
      </w:pPr>
      <w:bookmarkStart w:id="67" w:name="_Toc223962018"/>
      <w:r>
        <w:t>2.7.8</w:t>
      </w:r>
      <w:r w:rsidR="00674A3A">
        <w:rPr>
          <w:rtl/>
        </w:rPr>
        <w:tab/>
        <w:t>شبكة المرأة من أجل المؤتمر العالمي للاتصالات الراديوية لعام 2027</w:t>
      </w:r>
      <w:bookmarkEnd w:id="67"/>
    </w:p>
    <w:p w14:paraId="50151279" w14:textId="0FB581DB" w:rsidR="00816C27" w:rsidRDefault="00674A3A" w:rsidP="00674A3A">
      <w:pPr>
        <w:rPr>
          <w:rtl/>
        </w:rPr>
      </w:pPr>
      <w:r>
        <w:rPr>
          <w:rtl/>
        </w:rPr>
        <w:t xml:space="preserve">أُطلقت مبادرة </w:t>
      </w:r>
      <w:hyperlink r:id="rId89" w:anchor="/ar" w:history="1">
        <w:r w:rsidRPr="00FC6264">
          <w:rPr>
            <w:rStyle w:val="Hyperlink"/>
            <w:rtl/>
          </w:rPr>
          <w:t>شبكة المرأة من أجل المؤتمر العالمي للاتصالات الراديوية لعام 2027 (</w:t>
        </w:r>
        <w:r w:rsidRPr="00FC6264">
          <w:rPr>
            <w:rStyle w:val="Hyperlink"/>
          </w:rPr>
          <w:t>NOW4WRC27</w:t>
        </w:r>
        <w:r w:rsidRPr="00FC6264">
          <w:rPr>
            <w:rStyle w:val="Hyperlink"/>
            <w:rtl/>
          </w:rPr>
          <w:t>)</w:t>
        </w:r>
      </w:hyperlink>
      <w:r>
        <w:rPr>
          <w:rtl/>
        </w:rPr>
        <w:t xml:space="preserve"> رسمياً خلال المؤتمر العالمي للاتصالات الراديوية لعام 2023 (</w:t>
      </w:r>
      <w:r>
        <w:t>WRC-23</w:t>
      </w:r>
      <w:r>
        <w:rPr>
          <w:rtl/>
        </w:rPr>
        <w:t>)، بهدف تعزيز المساواة والإنصاف والتكافؤ بين الجنسين، وتمكين النساء والفتيات في مجال الاتصالات الراديوية، وتعزيز الشمولية والقيادة في أنشطة قطاع الاتصالات الراديوية بالاتحاد الدولي للاتصالات.</w:t>
      </w:r>
    </w:p>
    <w:p w14:paraId="6BD43128" w14:textId="77777777" w:rsidR="00816C27" w:rsidRDefault="00674A3A" w:rsidP="00674A3A">
      <w:pPr>
        <w:rPr>
          <w:rFonts w:hint="cs"/>
          <w:rtl/>
          <w:lang w:bidi="ar-EG"/>
        </w:rPr>
      </w:pPr>
      <w:r>
        <w:rPr>
          <w:rtl/>
        </w:rPr>
        <w:t xml:space="preserve">وبناءً على نجاح برنامج </w:t>
      </w:r>
      <w:r>
        <w:t>NOW4WRC23</w:t>
      </w:r>
      <w:r>
        <w:rPr>
          <w:rtl/>
        </w:rPr>
        <w:t xml:space="preserve">، تواصل هذه المبادرة تشجيع المشاركة الفعالة للمرأة طوال دورة الدراسة التي تسبق المؤتمر </w:t>
      </w:r>
      <w:r>
        <w:t>WRC-27</w:t>
      </w:r>
      <w:r>
        <w:rPr>
          <w:rtl/>
        </w:rPr>
        <w:t>.</w:t>
      </w:r>
    </w:p>
    <w:p w14:paraId="236DFE57" w14:textId="77777777" w:rsidR="00816C27" w:rsidRPr="00A80B39" w:rsidRDefault="00674A3A" w:rsidP="00674A3A">
      <w:pPr>
        <w:rPr>
          <w:spacing w:val="-4"/>
          <w:rtl/>
        </w:rPr>
      </w:pPr>
      <w:r w:rsidRPr="00A80B39">
        <w:rPr>
          <w:spacing w:val="-4"/>
          <w:rtl/>
        </w:rPr>
        <w:t xml:space="preserve">وتُكمل مبادرات قطاع الاتصالات الراديوية الأنشطة الإقليمية التي يقودها الرؤساء المشاركون الإقليميون للمبادرة </w:t>
      </w:r>
      <w:r w:rsidRPr="00A80B39">
        <w:rPr>
          <w:spacing w:val="-4"/>
        </w:rPr>
        <w:t>NOW4WRC27</w:t>
      </w:r>
      <w:r w:rsidRPr="00A80B39">
        <w:rPr>
          <w:spacing w:val="-4"/>
          <w:rtl/>
        </w:rPr>
        <w:t>.</w:t>
      </w:r>
    </w:p>
    <w:p w14:paraId="0422FE04" w14:textId="1E4FC8B9" w:rsidR="00674A3A" w:rsidRPr="00A022CF" w:rsidRDefault="00674A3A" w:rsidP="00674A3A">
      <w:pPr>
        <w:rPr>
          <w:rtl/>
        </w:rPr>
      </w:pPr>
      <w:r w:rsidRPr="00A022CF">
        <w:rPr>
          <w:rtl/>
        </w:rPr>
        <w:t xml:space="preserve">أُطلق </w:t>
      </w:r>
      <w:hyperlink r:id="rId90" w:anchor="/ar" w:history="1">
        <w:r w:rsidRPr="00A022CF">
          <w:rPr>
            <w:rStyle w:val="Hyperlink"/>
            <w:rtl/>
          </w:rPr>
          <w:t>برنامج التوجيه لمبادرة شبكة المرأة من أجل المؤتمر</w:t>
        </w:r>
        <w:r w:rsidR="00A80B39" w:rsidRPr="00A022CF">
          <w:rPr>
            <w:rStyle w:val="Hyperlink"/>
            <w:rFonts w:hint="cs"/>
            <w:rtl/>
          </w:rPr>
          <w:t xml:space="preserve"> العالمي للاتصالات الراديوية لعام 2027 </w:t>
        </w:r>
        <w:r w:rsidRPr="00A022CF">
          <w:rPr>
            <w:rStyle w:val="Hyperlink"/>
          </w:rPr>
          <w:t>(NOW4WRC27)</w:t>
        </w:r>
      </w:hyperlink>
      <w:r w:rsidRPr="00A022CF">
        <w:rPr>
          <w:rtl/>
        </w:rPr>
        <w:t xml:space="preserve"> في</w:t>
      </w:r>
      <w:r w:rsidR="00A022CF">
        <w:rPr>
          <w:rFonts w:hint="cs"/>
          <w:rtl/>
        </w:rPr>
        <w:t> </w:t>
      </w:r>
      <w:r w:rsidRPr="00A022CF">
        <w:rPr>
          <w:rtl/>
        </w:rPr>
        <w:t>فبراير</w:t>
      </w:r>
      <w:r w:rsidR="00A022CF">
        <w:rPr>
          <w:rFonts w:hint="cs"/>
          <w:rtl/>
        </w:rPr>
        <w:t> </w:t>
      </w:r>
      <w:r w:rsidRPr="00A022CF">
        <w:rPr>
          <w:rtl/>
        </w:rPr>
        <w:t xml:space="preserve">2025. ويهدف إلى تمكين المندوبات من خلال تعزيز فهمهن لأساليب عمل قطاع الاتصالات الراديوية، ولوائح الراديو، والعمليات الدولية للمؤتمر </w:t>
      </w:r>
      <w:r w:rsidRPr="00A022CF">
        <w:t>WRC-27</w:t>
      </w:r>
      <w:r w:rsidRPr="00A022CF">
        <w:rPr>
          <w:rtl/>
        </w:rPr>
        <w:t>.</w:t>
      </w:r>
    </w:p>
    <w:p w14:paraId="4D7795A0" w14:textId="460A17EA" w:rsidR="00674A3A" w:rsidRDefault="00674A3A" w:rsidP="00674A3A">
      <w:pPr>
        <w:rPr>
          <w:rtl/>
        </w:rPr>
      </w:pPr>
      <w:r>
        <w:rPr>
          <w:rtl/>
        </w:rPr>
        <w:t xml:space="preserve">يكتسي برنامج التوجيه أهمية بالغة في مساعدة المتدربين، ولا سيما المبتدئين في مؤتمر المؤتمر العالمي للاتصالات الراديوية، في فهم عمليات المؤتمر وبنود جدول الأعمال والتحديات. وفي إطار هذه الجهود لبناء القدرات وإقامة الشبكات، استضاف </w:t>
      </w:r>
      <w:hyperlink r:id="rId91" w:anchor="/ar" w:history="1">
        <w:r w:rsidR="00A80B39" w:rsidRPr="00A80B39">
          <w:rPr>
            <w:rStyle w:val="Hyperlink"/>
            <w:spacing w:val="-2"/>
            <w:rtl/>
          </w:rPr>
          <w:t>برنامج التوجيه لمبادرة شبكة المرأة من أجل المؤتمر</w:t>
        </w:r>
        <w:r w:rsidR="00A80B39">
          <w:rPr>
            <w:rStyle w:val="Hyperlink"/>
            <w:rFonts w:hint="cs"/>
            <w:spacing w:val="-2"/>
            <w:rtl/>
          </w:rPr>
          <w:t xml:space="preserve"> العالمي للاتصالات الراديوية لعام 2027 </w:t>
        </w:r>
        <w:r w:rsidR="00A80B39" w:rsidRPr="00A80B39">
          <w:rPr>
            <w:rStyle w:val="Hyperlink"/>
            <w:spacing w:val="-2"/>
          </w:rPr>
          <w:t>(NOW4WRC27)</w:t>
        </w:r>
      </w:hyperlink>
      <w:r>
        <w:rPr>
          <w:rtl/>
        </w:rPr>
        <w:t xml:space="preserve"> استراحة مخصصة لإقامة الشبكات، خلال الجلسة الإعلامية الأقاليمية الأولى (</w:t>
      </w:r>
      <w:r>
        <w:t>IRIS</w:t>
      </w:r>
      <w:r>
        <w:rPr>
          <w:rtl/>
        </w:rPr>
        <w:t xml:space="preserve">) للاتحاد بشأن الأعمال التحضيرية للمؤتمر </w:t>
      </w:r>
      <w:r>
        <w:t>WRC-27</w:t>
      </w:r>
      <w:r>
        <w:rPr>
          <w:rtl/>
        </w:rPr>
        <w:t xml:space="preserve"> في 3 ديسمبر 2025. وجمعت الجلسة مندوبات وموجِّهات ورؤساء مشاركين إقليميين وأفراد في قيادة الاتحاد في مكان غير رسمي ولكن هادف بغية التواصل وتبادل الخبرات وتشجيع مشاركة أقوى للمرأة في الأعمال التحضيرية لقطاع الاتصالات الراديوية. وتعرَّف المشاركون على منسقين وموجِّهين الرئيسيين، وركزت المناقشات على تعزيز القيادة النسائية، وترسيخ التعاون عبر المناطق، وتحفيز المندوبين على الاضطلاع بأدوار فعالة قبل انعقاد المؤتمر </w:t>
      </w:r>
      <w:r>
        <w:t>WRC-27</w:t>
      </w:r>
      <w:r>
        <w:rPr>
          <w:rtl/>
        </w:rPr>
        <w:t>.</w:t>
      </w:r>
    </w:p>
    <w:p w14:paraId="75283AC4" w14:textId="7FB40179" w:rsidR="00A03F63" w:rsidRDefault="00674A3A" w:rsidP="008523CE">
      <w:r>
        <w:rPr>
          <w:rtl/>
        </w:rPr>
        <w:t>وفي حين يركز البرنامج في المقام الأول على المندوبات الإناث، فإنه يرحب أيضاً بالمشاركين الذكور كمرشدين، مما يعزز التعاون والشمولية عبر مجتمع قطاع الاتصالات الراديوية. ورحَّب البرنامج حتى الآن بواحد وخمسين مرشداً ومائة وستة وثلاثين متدرباً من واحد وسبعين بلداً في ثلاث أقاليم.</w:t>
      </w:r>
    </w:p>
    <w:p w14:paraId="34FA82E2"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first" r:id="rId92"/>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3D2B" w14:textId="77777777" w:rsidR="004C7BFB" w:rsidRDefault="004C7BFB" w:rsidP="002919E1">
      <w:r>
        <w:separator/>
      </w:r>
    </w:p>
    <w:p w14:paraId="3FD7566A" w14:textId="77777777" w:rsidR="004C7BFB" w:rsidRDefault="004C7BFB" w:rsidP="002919E1"/>
    <w:p w14:paraId="431AF866" w14:textId="77777777" w:rsidR="004C7BFB" w:rsidRDefault="004C7BFB" w:rsidP="002919E1"/>
    <w:p w14:paraId="7CB83D5D" w14:textId="77777777" w:rsidR="004C7BFB" w:rsidRDefault="004C7BFB"/>
  </w:endnote>
  <w:endnote w:type="continuationSeparator" w:id="0">
    <w:p w14:paraId="66E48224" w14:textId="77777777" w:rsidR="004C7BFB" w:rsidRDefault="004C7BFB" w:rsidP="002919E1">
      <w:r>
        <w:continuationSeparator/>
      </w:r>
    </w:p>
    <w:p w14:paraId="676180A2" w14:textId="77777777" w:rsidR="004C7BFB" w:rsidRDefault="004C7BFB" w:rsidP="002919E1"/>
    <w:p w14:paraId="2290B3B9" w14:textId="77777777" w:rsidR="004C7BFB" w:rsidRDefault="004C7BFB" w:rsidP="002919E1"/>
    <w:p w14:paraId="244B9720" w14:textId="77777777" w:rsidR="004C7BFB" w:rsidRDefault="004C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27E4" w14:textId="77777777" w:rsidR="004C7BFB" w:rsidRDefault="004C7BFB" w:rsidP="002919E1">
      <w:r>
        <w:separator/>
      </w:r>
    </w:p>
  </w:footnote>
  <w:footnote w:type="continuationSeparator" w:id="0">
    <w:p w14:paraId="49EFBCA9" w14:textId="77777777" w:rsidR="004C7BFB" w:rsidRDefault="004C7BFB" w:rsidP="002919E1">
      <w:r>
        <w:continuationSeparator/>
      </w:r>
    </w:p>
    <w:p w14:paraId="0D25885F" w14:textId="77777777" w:rsidR="004C7BFB" w:rsidRDefault="004C7BFB" w:rsidP="002919E1"/>
    <w:p w14:paraId="73ED6A58" w14:textId="77777777" w:rsidR="004C7BFB" w:rsidRDefault="004C7BFB" w:rsidP="002919E1"/>
    <w:p w14:paraId="761596E5" w14:textId="77777777" w:rsidR="004C7BFB" w:rsidRDefault="004C7BFB"/>
  </w:footnote>
  <w:footnote w:id="1">
    <w:p w14:paraId="0A1465C9" w14:textId="728EB511" w:rsidR="006308B3" w:rsidRPr="008A555A" w:rsidRDefault="006308B3" w:rsidP="008A555A">
      <w:pPr>
        <w:pStyle w:val="FootnoteText"/>
        <w:rPr>
          <w:rtl/>
          <w:lang w:bidi="ar-SA"/>
        </w:rPr>
      </w:pPr>
      <w:r w:rsidRPr="008A555A">
        <w:rPr>
          <w:rStyle w:val="FootnoteReference"/>
        </w:rPr>
        <w:footnoteRef/>
      </w:r>
      <w:r w:rsidR="008A555A" w:rsidRPr="008A555A">
        <w:tab/>
      </w:r>
      <w:r w:rsidRPr="008A555A">
        <w:t xml:space="preserve">تقابل قيم عام 2025 البيانات المجموعة في الفترة من يناير إلى يونيو 2025 واستوفيت لتقديم تقدير عام كامل. وكان هذا التعديل مطلوباً بسبب تأثير نشاط البرمجيات الروبوتية بالذكاء الاصطناعي (AI) المُلاحَظ في النصف الثاني من عام 2025. والعمل جار لتوفير مجموعة بيانات مرشحة بواسطة البرمجيات </w:t>
      </w:r>
      <w:proofErr w:type="spellStart"/>
      <w:r w:rsidRPr="008A555A">
        <w:t>الروبوتية</w:t>
      </w:r>
      <w:proofErr w:type="spellEnd"/>
      <w:r w:rsidRPr="008A555A">
        <w:t xml:space="preserve"> </w:t>
      </w:r>
      <w:proofErr w:type="spellStart"/>
      <w:r w:rsidRPr="008A555A">
        <w:t>للدورة</w:t>
      </w:r>
      <w:proofErr w:type="spellEnd"/>
      <w:r w:rsidRPr="008A555A">
        <w:t xml:space="preserve"> </w:t>
      </w:r>
      <w:proofErr w:type="spellStart"/>
      <w:r w:rsidRPr="008A555A">
        <w:t>المقبلة</w:t>
      </w:r>
      <w:proofErr w:type="spellEnd"/>
      <w:r w:rsidRPr="008A555A">
        <w:t xml:space="preserve"> </w:t>
      </w:r>
      <w:proofErr w:type="spellStart"/>
      <w:r w:rsidRPr="008A555A">
        <w:t>للفريق</w:t>
      </w:r>
      <w:proofErr w:type="spellEnd"/>
      <w:r w:rsidRPr="008A555A">
        <w:t xml:space="preserve"> </w:t>
      </w:r>
      <w:proofErr w:type="spellStart"/>
      <w:r w:rsidRPr="008A555A">
        <w:t>الاستشاري</w:t>
      </w:r>
      <w:proofErr w:type="spellEnd"/>
      <w:r w:rsidRPr="008A555A">
        <w:t xml:space="preserve"> </w:t>
      </w:r>
      <w:proofErr w:type="spellStart"/>
      <w:r w:rsidRPr="008A555A">
        <w:t>للاتصالات</w:t>
      </w:r>
      <w:proofErr w:type="spellEnd"/>
      <w:r w:rsidRPr="008A555A">
        <w:t xml:space="preserve"> </w:t>
      </w:r>
      <w:proofErr w:type="spellStart"/>
      <w:r w:rsidRPr="008A555A">
        <w:t>الراديوية</w:t>
      </w:r>
      <w:proofErr w:type="spellEnd"/>
      <w:r w:rsidR="006636F3">
        <w:rPr>
          <w:rFonts w:hint="cs"/>
          <w:rtl/>
          <w:lang w:bidi="ar-SA"/>
        </w:rPr>
        <w:t>.</w:t>
      </w:r>
    </w:p>
  </w:footnote>
  <w:footnote w:id="2">
    <w:p w14:paraId="094932F9" w14:textId="13BB2766" w:rsidR="00A80B39" w:rsidRDefault="00A80B39">
      <w:pPr>
        <w:pStyle w:val="FootnoteText"/>
        <w:rPr>
          <w:lang w:bidi="ar-SA"/>
        </w:rPr>
      </w:pPr>
      <w:r>
        <w:rPr>
          <w:rStyle w:val="FootnoteReference"/>
        </w:rPr>
        <w:footnoteRef/>
      </w:r>
      <w:r>
        <w:rPr>
          <w:rtl/>
        </w:rPr>
        <w:tab/>
      </w:r>
      <w:r>
        <w:rPr>
          <w:rFonts w:hint="cs"/>
          <w:rtl/>
        </w:rPr>
        <w:t xml:space="preserve">المصدر: </w:t>
      </w:r>
      <w:hyperlink r:id="rId1" w:anchor="/ar" w:history="1">
        <w:r w:rsidRPr="00A80B39">
          <w:rPr>
            <w:rStyle w:val="Hyperlink"/>
          </w:rPr>
          <w:t>https://www.itu.int/initiatives/gender-equality/gender-dashboard/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82D2" w14:textId="77777777" w:rsidR="00281F5F" w:rsidRDefault="00281F5F" w:rsidP="002919E1"/>
  <w:p w14:paraId="046B9C9E" w14:textId="77777777" w:rsidR="00281F5F" w:rsidRDefault="00281F5F" w:rsidP="002919E1"/>
  <w:p w14:paraId="2F64033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ACDA" w14:textId="131223D5"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6E359D">
      <w:rPr>
        <w:rStyle w:val="PageNumber"/>
      </w:rPr>
      <w:t>58</w:t>
    </w:r>
    <w:r w:rsidR="00A809E8">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B889" w14:textId="75A95347" w:rsidR="006308B3" w:rsidRPr="006308B3" w:rsidRDefault="006308B3" w:rsidP="006308B3">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24</w:t>
    </w:r>
    <w:r w:rsidRPr="0088384B">
      <w:rPr>
        <w:rStyle w:val="PageNumber"/>
      </w:rPr>
      <w:fldChar w:fldCharType="end"/>
    </w:r>
    <w:r>
      <w:rPr>
        <w:rStyle w:val="PageNumber"/>
        <w:rtl/>
      </w:rPr>
      <w:br/>
    </w:r>
    <w:r>
      <w:rPr>
        <w:rStyle w:val="PageNumber"/>
      </w:rPr>
      <w:t>RAG/58-A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4360" w14:textId="565789D1" w:rsidR="006308B3" w:rsidRPr="006308B3" w:rsidRDefault="006308B3" w:rsidP="006308B3">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24</w:t>
    </w:r>
    <w:r w:rsidRPr="0088384B">
      <w:rPr>
        <w:rStyle w:val="PageNumber"/>
      </w:rPr>
      <w:fldChar w:fldCharType="end"/>
    </w:r>
    <w:r>
      <w:rPr>
        <w:rStyle w:val="PageNumber"/>
        <w:rtl/>
      </w:rPr>
      <w:br/>
    </w:r>
    <w:r>
      <w:rPr>
        <w:rStyle w:val="PageNumber"/>
      </w:rPr>
      <w:t>RAG/58-A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AAD1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C59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8A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94D8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AC5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9A"/>
    <w:rsid w:val="00002015"/>
    <w:rsid w:val="00003DE9"/>
    <w:rsid w:val="00011021"/>
    <w:rsid w:val="000114EC"/>
    <w:rsid w:val="00011F8C"/>
    <w:rsid w:val="00020C16"/>
    <w:rsid w:val="00022B74"/>
    <w:rsid w:val="0002327C"/>
    <w:rsid w:val="00034B65"/>
    <w:rsid w:val="00040C94"/>
    <w:rsid w:val="000425FC"/>
    <w:rsid w:val="00044D43"/>
    <w:rsid w:val="00051907"/>
    <w:rsid w:val="00055AA4"/>
    <w:rsid w:val="0006383E"/>
    <w:rsid w:val="00075A3F"/>
    <w:rsid w:val="00083ABE"/>
    <w:rsid w:val="00086023"/>
    <w:rsid w:val="00086C68"/>
    <w:rsid w:val="00097CE7"/>
    <w:rsid w:val="000A15A4"/>
    <w:rsid w:val="000A1B16"/>
    <w:rsid w:val="000A2653"/>
    <w:rsid w:val="000A5740"/>
    <w:rsid w:val="000B27D4"/>
    <w:rsid w:val="000B3896"/>
    <w:rsid w:val="000B3CF0"/>
    <w:rsid w:val="000B5404"/>
    <w:rsid w:val="000D1708"/>
    <w:rsid w:val="000E2AFC"/>
    <w:rsid w:val="000E57E5"/>
    <w:rsid w:val="000E6D30"/>
    <w:rsid w:val="000F05F5"/>
    <w:rsid w:val="000F518F"/>
    <w:rsid w:val="0010081C"/>
    <w:rsid w:val="001013E3"/>
    <w:rsid w:val="0010363F"/>
    <w:rsid w:val="00107744"/>
    <w:rsid w:val="00123AA6"/>
    <w:rsid w:val="00124688"/>
    <w:rsid w:val="0012545F"/>
    <w:rsid w:val="00125FA0"/>
    <w:rsid w:val="00131EAC"/>
    <w:rsid w:val="00136B82"/>
    <w:rsid w:val="0014246D"/>
    <w:rsid w:val="001464F2"/>
    <w:rsid w:val="00167364"/>
    <w:rsid w:val="00182143"/>
    <w:rsid w:val="00182AEF"/>
    <w:rsid w:val="001903B2"/>
    <w:rsid w:val="00195204"/>
    <w:rsid w:val="001A5C59"/>
    <w:rsid w:val="001A6EE7"/>
    <w:rsid w:val="001B5953"/>
    <w:rsid w:val="001D746E"/>
    <w:rsid w:val="001E0131"/>
    <w:rsid w:val="001E190C"/>
    <w:rsid w:val="001E51EE"/>
    <w:rsid w:val="001E54F6"/>
    <w:rsid w:val="001E5A8C"/>
    <w:rsid w:val="001E6923"/>
    <w:rsid w:val="00201A0A"/>
    <w:rsid w:val="002075D4"/>
    <w:rsid w:val="00211B2A"/>
    <w:rsid w:val="00223C6C"/>
    <w:rsid w:val="002333A0"/>
    <w:rsid w:val="00237E18"/>
    <w:rsid w:val="002543CF"/>
    <w:rsid w:val="0026062E"/>
    <w:rsid w:val="00260F50"/>
    <w:rsid w:val="00261EF7"/>
    <w:rsid w:val="0027069F"/>
    <w:rsid w:val="00280E04"/>
    <w:rsid w:val="00281F5F"/>
    <w:rsid w:val="002843E4"/>
    <w:rsid w:val="002917AB"/>
    <w:rsid w:val="002919E1"/>
    <w:rsid w:val="00294A60"/>
    <w:rsid w:val="00295917"/>
    <w:rsid w:val="00296071"/>
    <w:rsid w:val="002A1232"/>
    <w:rsid w:val="002A2BA0"/>
    <w:rsid w:val="002A4572"/>
    <w:rsid w:val="002A7E2E"/>
    <w:rsid w:val="002B12C5"/>
    <w:rsid w:val="002B16D8"/>
    <w:rsid w:val="002D5F64"/>
    <w:rsid w:val="002D6BB4"/>
    <w:rsid w:val="002D6FBF"/>
    <w:rsid w:val="002E48BF"/>
    <w:rsid w:val="002E61C2"/>
    <w:rsid w:val="002F3031"/>
    <w:rsid w:val="002F3E46"/>
    <w:rsid w:val="002F4B66"/>
    <w:rsid w:val="00304DF3"/>
    <w:rsid w:val="0030601A"/>
    <w:rsid w:val="00311E3F"/>
    <w:rsid w:val="00314B1E"/>
    <w:rsid w:val="0033737F"/>
    <w:rsid w:val="003422FB"/>
    <w:rsid w:val="00353652"/>
    <w:rsid w:val="003569E1"/>
    <w:rsid w:val="00370470"/>
    <w:rsid w:val="00372A01"/>
    <w:rsid w:val="003815E2"/>
    <w:rsid w:val="00381666"/>
    <w:rsid w:val="00381FAD"/>
    <w:rsid w:val="00382A66"/>
    <w:rsid w:val="003923B1"/>
    <w:rsid w:val="00394477"/>
    <w:rsid w:val="0039465C"/>
    <w:rsid w:val="003965FE"/>
    <w:rsid w:val="003B1662"/>
    <w:rsid w:val="003B27AD"/>
    <w:rsid w:val="003B4F23"/>
    <w:rsid w:val="003C12F6"/>
    <w:rsid w:val="003C3A13"/>
    <w:rsid w:val="003E02EF"/>
    <w:rsid w:val="003E1D90"/>
    <w:rsid w:val="00400CD4"/>
    <w:rsid w:val="004147B9"/>
    <w:rsid w:val="00422C04"/>
    <w:rsid w:val="00423006"/>
    <w:rsid w:val="00423A40"/>
    <w:rsid w:val="00426144"/>
    <w:rsid w:val="00451B89"/>
    <w:rsid w:val="004636E2"/>
    <w:rsid w:val="00464B03"/>
    <w:rsid w:val="0046790B"/>
    <w:rsid w:val="00470CBD"/>
    <w:rsid w:val="0047407D"/>
    <w:rsid w:val="00480AD7"/>
    <w:rsid w:val="004909DD"/>
    <w:rsid w:val="004A05E6"/>
    <w:rsid w:val="004A6230"/>
    <w:rsid w:val="004A6C66"/>
    <w:rsid w:val="004A7AA0"/>
    <w:rsid w:val="004C11BC"/>
    <w:rsid w:val="004C57F3"/>
    <w:rsid w:val="004C5C04"/>
    <w:rsid w:val="004C64E9"/>
    <w:rsid w:val="004C7BFB"/>
    <w:rsid w:val="004D0448"/>
    <w:rsid w:val="004D18B1"/>
    <w:rsid w:val="004D4AE6"/>
    <w:rsid w:val="004D7A82"/>
    <w:rsid w:val="004E4DB4"/>
    <w:rsid w:val="004F0BED"/>
    <w:rsid w:val="004F228C"/>
    <w:rsid w:val="00505FCA"/>
    <w:rsid w:val="00510C2D"/>
    <w:rsid w:val="00516042"/>
    <w:rsid w:val="005166A4"/>
    <w:rsid w:val="005169F4"/>
    <w:rsid w:val="005210D1"/>
    <w:rsid w:val="00523146"/>
    <w:rsid w:val="00523275"/>
    <w:rsid w:val="00524B2D"/>
    <w:rsid w:val="00531DC7"/>
    <w:rsid w:val="005350B0"/>
    <w:rsid w:val="00536921"/>
    <w:rsid w:val="005431B5"/>
    <w:rsid w:val="00546A99"/>
    <w:rsid w:val="00553411"/>
    <w:rsid w:val="00553F66"/>
    <w:rsid w:val="00554AE7"/>
    <w:rsid w:val="00564746"/>
    <w:rsid w:val="0056512C"/>
    <w:rsid w:val="00567F38"/>
    <w:rsid w:val="005730DF"/>
    <w:rsid w:val="0057610B"/>
    <w:rsid w:val="00576D0A"/>
    <w:rsid w:val="00576FCC"/>
    <w:rsid w:val="00584333"/>
    <w:rsid w:val="00594462"/>
    <w:rsid w:val="005953EC"/>
    <w:rsid w:val="00595E58"/>
    <w:rsid w:val="005A6A05"/>
    <w:rsid w:val="005B00A1"/>
    <w:rsid w:val="005C29C8"/>
    <w:rsid w:val="005C5D25"/>
    <w:rsid w:val="005D14A0"/>
    <w:rsid w:val="005D2606"/>
    <w:rsid w:val="005D6D48"/>
    <w:rsid w:val="005D72A4"/>
    <w:rsid w:val="005F05CC"/>
    <w:rsid w:val="005F1781"/>
    <w:rsid w:val="005F65DE"/>
    <w:rsid w:val="00613492"/>
    <w:rsid w:val="006308B3"/>
    <w:rsid w:val="00630905"/>
    <w:rsid w:val="00630A04"/>
    <w:rsid w:val="006315B5"/>
    <w:rsid w:val="00633962"/>
    <w:rsid w:val="00634041"/>
    <w:rsid w:val="0065562F"/>
    <w:rsid w:val="00656514"/>
    <w:rsid w:val="006577C0"/>
    <w:rsid w:val="006636F3"/>
    <w:rsid w:val="00664156"/>
    <w:rsid w:val="00674A3A"/>
    <w:rsid w:val="006779A4"/>
    <w:rsid w:val="00680465"/>
    <w:rsid w:val="00680A66"/>
    <w:rsid w:val="00681391"/>
    <w:rsid w:val="00693808"/>
    <w:rsid w:val="00694690"/>
    <w:rsid w:val="0069526C"/>
    <w:rsid w:val="006A093D"/>
    <w:rsid w:val="006A12AC"/>
    <w:rsid w:val="006A2162"/>
    <w:rsid w:val="006A720D"/>
    <w:rsid w:val="006B4B90"/>
    <w:rsid w:val="006B658C"/>
    <w:rsid w:val="006C01BF"/>
    <w:rsid w:val="006D2674"/>
    <w:rsid w:val="006D2B56"/>
    <w:rsid w:val="006E1764"/>
    <w:rsid w:val="006E359D"/>
    <w:rsid w:val="006E38D0"/>
    <w:rsid w:val="006E465B"/>
    <w:rsid w:val="006E48A2"/>
    <w:rsid w:val="006F70BF"/>
    <w:rsid w:val="0070596E"/>
    <w:rsid w:val="00716B1D"/>
    <w:rsid w:val="007248EC"/>
    <w:rsid w:val="00726744"/>
    <w:rsid w:val="00727F82"/>
    <w:rsid w:val="00731150"/>
    <w:rsid w:val="00731749"/>
    <w:rsid w:val="00734E41"/>
    <w:rsid w:val="007351CE"/>
    <w:rsid w:val="00736DCC"/>
    <w:rsid w:val="007371DD"/>
    <w:rsid w:val="00741855"/>
    <w:rsid w:val="00742B73"/>
    <w:rsid w:val="00751251"/>
    <w:rsid w:val="00754431"/>
    <w:rsid w:val="00756F5C"/>
    <w:rsid w:val="007610E7"/>
    <w:rsid w:val="00764079"/>
    <w:rsid w:val="00770AA0"/>
    <w:rsid w:val="00771F7E"/>
    <w:rsid w:val="00773E9C"/>
    <w:rsid w:val="00776F6B"/>
    <w:rsid w:val="00777694"/>
    <w:rsid w:val="00783FE1"/>
    <w:rsid w:val="00786A7E"/>
    <w:rsid w:val="00787D3A"/>
    <w:rsid w:val="007977BA"/>
    <w:rsid w:val="007A0802"/>
    <w:rsid w:val="007B1FCA"/>
    <w:rsid w:val="007C2C12"/>
    <w:rsid w:val="007C3CFA"/>
    <w:rsid w:val="007D08A1"/>
    <w:rsid w:val="007E0E8B"/>
    <w:rsid w:val="007E6847"/>
    <w:rsid w:val="007E6B0A"/>
    <w:rsid w:val="007F08CA"/>
    <w:rsid w:val="007F7FC3"/>
    <w:rsid w:val="00801238"/>
    <w:rsid w:val="00810482"/>
    <w:rsid w:val="00816C27"/>
    <w:rsid w:val="00817568"/>
    <w:rsid w:val="008204AC"/>
    <w:rsid w:val="008261C2"/>
    <w:rsid w:val="00827482"/>
    <w:rsid w:val="00830D96"/>
    <w:rsid w:val="008523CE"/>
    <w:rsid w:val="008529EB"/>
    <w:rsid w:val="0085569D"/>
    <w:rsid w:val="00855B59"/>
    <w:rsid w:val="0085774F"/>
    <w:rsid w:val="008579A5"/>
    <w:rsid w:val="008614B8"/>
    <w:rsid w:val="008657CB"/>
    <w:rsid w:val="008660B8"/>
    <w:rsid w:val="008668C4"/>
    <w:rsid w:val="00873481"/>
    <w:rsid w:val="00873A6F"/>
    <w:rsid w:val="0088384B"/>
    <w:rsid w:val="008859CE"/>
    <w:rsid w:val="00893E53"/>
    <w:rsid w:val="008A1137"/>
    <w:rsid w:val="008A1788"/>
    <w:rsid w:val="008A3E57"/>
    <w:rsid w:val="008A4185"/>
    <w:rsid w:val="008A555A"/>
    <w:rsid w:val="008A6552"/>
    <w:rsid w:val="008B4E93"/>
    <w:rsid w:val="008B52B7"/>
    <w:rsid w:val="008C3818"/>
    <w:rsid w:val="008D6ACC"/>
    <w:rsid w:val="008D7AF0"/>
    <w:rsid w:val="008E2CBE"/>
    <w:rsid w:val="008E32DD"/>
    <w:rsid w:val="008F4626"/>
    <w:rsid w:val="009004DF"/>
    <w:rsid w:val="00904AA5"/>
    <w:rsid w:val="00951718"/>
    <w:rsid w:val="00960962"/>
    <w:rsid w:val="00961F9E"/>
    <w:rsid w:val="00972CE0"/>
    <w:rsid w:val="00972DC7"/>
    <w:rsid w:val="0097558D"/>
    <w:rsid w:val="00992D51"/>
    <w:rsid w:val="00993F5C"/>
    <w:rsid w:val="009A3D30"/>
    <w:rsid w:val="009D1A8E"/>
    <w:rsid w:val="009D26DB"/>
    <w:rsid w:val="009D43A9"/>
    <w:rsid w:val="009D6348"/>
    <w:rsid w:val="009E5007"/>
    <w:rsid w:val="009E613F"/>
    <w:rsid w:val="009E6F62"/>
    <w:rsid w:val="009F042B"/>
    <w:rsid w:val="00A022CF"/>
    <w:rsid w:val="00A03F63"/>
    <w:rsid w:val="00A03FD6"/>
    <w:rsid w:val="00A04CF4"/>
    <w:rsid w:val="00A05578"/>
    <w:rsid w:val="00A116A8"/>
    <w:rsid w:val="00A17557"/>
    <w:rsid w:val="00A17E61"/>
    <w:rsid w:val="00A22AE9"/>
    <w:rsid w:val="00A26758"/>
    <w:rsid w:val="00A26785"/>
    <w:rsid w:val="00A26D0E"/>
    <w:rsid w:val="00A27205"/>
    <w:rsid w:val="00A27483"/>
    <w:rsid w:val="00A278E9"/>
    <w:rsid w:val="00A3451F"/>
    <w:rsid w:val="00A3584A"/>
    <w:rsid w:val="00A35E1F"/>
    <w:rsid w:val="00A36268"/>
    <w:rsid w:val="00A375BD"/>
    <w:rsid w:val="00A407AF"/>
    <w:rsid w:val="00A40B2C"/>
    <w:rsid w:val="00A42ADC"/>
    <w:rsid w:val="00A55AE3"/>
    <w:rsid w:val="00A6561D"/>
    <w:rsid w:val="00A65946"/>
    <w:rsid w:val="00A66D2B"/>
    <w:rsid w:val="00A809E8"/>
    <w:rsid w:val="00A80B39"/>
    <w:rsid w:val="00A85B65"/>
    <w:rsid w:val="00A870AD"/>
    <w:rsid w:val="00A90843"/>
    <w:rsid w:val="00A9218C"/>
    <w:rsid w:val="00A9645C"/>
    <w:rsid w:val="00AB2A33"/>
    <w:rsid w:val="00AC1275"/>
    <w:rsid w:val="00AC7395"/>
    <w:rsid w:val="00AD0C7A"/>
    <w:rsid w:val="00AD162B"/>
    <w:rsid w:val="00AD690F"/>
    <w:rsid w:val="00AD69DD"/>
    <w:rsid w:val="00AE6B26"/>
    <w:rsid w:val="00AF22C1"/>
    <w:rsid w:val="00AF3EFA"/>
    <w:rsid w:val="00AF41D1"/>
    <w:rsid w:val="00AF5BCA"/>
    <w:rsid w:val="00B01623"/>
    <w:rsid w:val="00B033DF"/>
    <w:rsid w:val="00B039AD"/>
    <w:rsid w:val="00B07CEE"/>
    <w:rsid w:val="00B12661"/>
    <w:rsid w:val="00B1358D"/>
    <w:rsid w:val="00B16045"/>
    <w:rsid w:val="00B1667D"/>
    <w:rsid w:val="00B16E21"/>
    <w:rsid w:val="00B1714C"/>
    <w:rsid w:val="00B357E9"/>
    <w:rsid w:val="00B4164D"/>
    <w:rsid w:val="00B425C1"/>
    <w:rsid w:val="00B43AC8"/>
    <w:rsid w:val="00B50A99"/>
    <w:rsid w:val="00B55C9A"/>
    <w:rsid w:val="00B55F1A"/>
    <w:rsid w:val="00B606BA"/>
    <w:rsid w:val="00B66817"/>
    <w:rsid w:val="00B71E3B"/>
    <w:rsid w:val="00B721D5"/>
    <w:rsid w:val="00B81CB5"/>
    <w:rsid w:val="00B8351F"/>
    <w:rsid w:val="00B86C44"/>
    <w:rsid w:val="00B9727C"/>
    <w:rsid w:val="00BA7D44"/>
    <w:rsid w:val="00BD6291"/>
    <w:rsid w:val="00BD6EF3"/>
    <w:rsid w:val="00BE6304"/>
    <w:rsid w:val="00BE69C3"/>
    <w:rsid w:val="00BF6922"/>
    <w:rsid w:val="00C1165E"/>
    <w:rsid w:val="00C203C6"/>
    <w:rsid w:val="00C2140C"/>
    <w:rsid w:val="00C22074"/>
    <w:rsid w:val="00C2377B"/>
    <w:rsid w:val="00C30B89"/>
    <w:rsid w:val="00C34E09"/>
    <w:rsid w:val="00C3693C"/>
    <w:rsid w:val="00C449F7"/>
    <w:rsid w:val="00C47BD0"/>
    <w:rsid w:val="00C53F6F"/>
    <w:rsid w:val="00C5489D"/>
    <w:rsid w:val="00C71759"/>
    <w:rsid w:val="00C8199C"/>
    <w:rsid w:val="00C83C11"/>
    <w:rsid w:val="00C84112"/>
    <w:rsid w:val="00C841EB"/>
    <w:rsid w:val="00C8665F"/>
    <w:rsid w:val="00C917B5"/>
    <w:rsid w:val="00C9252A"/>
    <w:rsid w:val="00C94DFA"/>
    <w:rsid w:val="00CA298C"/>
    <w:rsid w:val="00CB2BF9"/>
    <w:rsid w:val="00CB4300"/>
    <w:rsid w:val="00CB454E"/>
    <w:rsid w:val="00CC030E"/>
    <w:rsid w:val="00CC2722"/>
    <w:rsid w:val="00CC68C4"/>
    <w:rsid w:val="00CC79A4"/>
    <w:rsid w:val="00CD0FDE"/>
    <w:rsid w:val="00CD1574"/>
    <w:rsid w:val="00CE0E68"/>
    <w:rsid w:val="00CE5BA4"/>
    <w:rsid w:val="00CF32AE"/>
    <w:rsid w:val="00D0229E"/>
    <w:rsid w:val="00D15AE1"/>
    <w:rsid w:val="00D25120"/>
    <w:rsid w:val="00D353B5"/>
    <w:rsid w:val="00D36C5E"/>
    <w:rsid w:val="00D419CB"/>
    <w:rsid w:val="00D44350"/>
    <w:rsid w:val="00D44E3F"/>
    <w:rsid w:val="00D51BB8"/>
    <w:rsid w:val="00D525F5"/>
    <w:rsid w:val="00D535D0"/>
    <w:rsid w:val="00D53FD1"/>
    <w:rsid w:val="00D577D8"/>
    <w:rsid w:val="00D62C78"/>
    <w:rsid w:val="00D74688"/>
    <w:rsid w:val="00D81703"/>
    <w:rsid w:val="00D82929"/>
    <w:rsid w:val="00D84214"/>
    <w:rsid w:val="00D9291D"/>
    <w:rsid w:val="00D943E5"/>
    <w:rsid w:val="00DA1AE0"/>
    <w:rsid w:val="00DB1FEA"/>
    <w:rsid w:val="00DB6B9E"/>
    <w:rsid w:val="00DC29DD"/>
    <w:rsid w:val="00DC7C0E"/>
    <w:rsid w:val="00DD58C1"/>
    <w:rsid w:val="00DE7387"/>
    <w:rsid w:val="00DF2A6A"/>
    <w:rsid w:val="00DF3B72"/>
    <w:rsid w:val="00E10821"/>
    <w:rsid w:val="00E2489D"/>
    <w:rsid w:val="00E26520"/>
    <w:rsid w:val="00E26732"/>
    <w:rsid w:val="00E343A3"/>
    <w:rsid w:val="00E36B4F"/>
    <w:rsid w:val="00E40826"/>
    <w:rsid w:val="00E47277"/>
    <w:rsid w:val="00E51BFA"/>
    <w:rsid w:val="00E57CDF"/>
    <w:rsid w:val="00E6129E"/>
    <w:rsid w:val="00E621A3"/>
    <w:rsid w:val="00E72ABC"/>
    <w:rsid w:val="00E815DB"/>
    <w:rsid w:val="00E819EE"/>
    <w:rsid w:val="00E833BC"/>
    <w:rsid w:val="00E8417B"/>
    <w:rsid w:val="00E8580E"/>
    <w:rsid w:val="00E97E21"/>
    <w:rsid w:val="00EA1B76"/>
    <w:rsid w:val="00EA77D7"/>
    <w:rsid w:val="00EC09B9"/>
    <w:rsid w:val="00ED048C"/>
    <w:rsid w:val="00EE60E9"/>
    <w:rsid w:val="00EF38AF"/>
    <w:rsid w:val="00EF48D8"/>
    <w:rsid w:val="00F00143"/>
    <w:rsid w:val="00F055F8"/>
    <w:rsid w:val="00F10CB4"/>
    <w:rsid w:val="00F11B3D"/>
    <w:rsid w:val="00F146AC"/>
    <w:rsid w:val="00F14763"/>
    <w:rsid w:val="00F16212"/>
    <w:rsid w:val="00F16602"/>
    <w:rsid w:val="00F25B80"/>
    <w:rsid w:val="00F2685F"/>
    <w:rsid w:val="00F31BB4"/>
    <w:rsid w:val="00F33A34"/>
    <w:rsid w:val="00F350C8"/>
    <w:rsid w:val="00F52E75"/>
    <w:rsid w:val="00F574F6"/>
    <w:rsid w:val="00F84613"/>
    <w:rsid w:val="00F8654D"/>
    <w:rsid w:val="00F900C9"/>
    <w:rsid w:val="00F92C96"/>
    <w:rsid w:val="00F97D1C"/>
    <w:rsid w:val="00FA0D4E"/>
    <w:rsid w:val="00FA7207"/>
    <w:rsid w:val="00FB0753"/>
    <w:rsid w:val="00FB5CC8"/>
    <w:rsid w:val="00FC2CD0"/>
    <w:rsid w:val="00FC6264"/>
    <w:rsid w:val="00FC64A8"/>
    <w:rsid w:val="00FD0594"/>
    <w:rsid w:val="00FF4125"/>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97632"/>
  <w15:docId w15:val="{EF06DEF4-A1BE-4F0D-AE22-C938881E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BF6922"/>
    <w:pPr>
      <w:tabs>
        <w:tab w:val="clear" w:pos="794"/>
        <w:tab w:val="left" w:pos="1701"/>
        <w:tab w:val="left" w:leader="dot" w:pos="9072"/>
        <w:tab w:val="right" w:pos="9639"/>
      </w:tabs>
      <w:spacing w:before="80" w:after="80"/>
      <w:ind w:left="1701" w:right="567" w:hanging="567"/>
    </w:pPr>
  </w:style>
  <w:style w:type="paragraph" w:styleId="TOC2">
    <w:name w:val="toc 2"/>
    <w:basedOn w:val="Normal"/>
    <w:autoRedefine/>
    <w:uiPriority w:val="39"/>
    <w:rsid w:val="00BF6922"/>
    <w:pPr>
      <w:keepLines/>
      <w:tabs>
        <w:tab w:val="clear" w:pos="794"/>
        <w:tab w:val="left" w:pos="1134"/>
        <w:tab w:val="left" w:leader="dot" w:pos="9072"/>
        <w:tab w:val="right" w:pos="9639"/>
      </w:tabs>
      <w:spacing w:before="80" w:after="80"/>
      <w:ind w:left="1134" w:right="567" w:hanging="567"/>
    </w:pPr>
  </w:style>
  <w:style w:type="paragraph" w:styleId="TOC1">
    <w:name w:val="toc 1"/>
    <w:basedOn w:val="Normal"/>
    <w:uiPriority w:val="39"/>
    <w:rsid w:val="00BF6922"/>
    <w:pPr>
      <w:tabs>
        <w:tab w:val="clear" w:pos="794"/>
        <w:tab w:val="left" w:pos="567"/>
        <w:tab w:val="left" w:leader="dot" w:pos="9072"/>
        <w:tab w:val="right" w:pos="9639"/>
      </w:tabs>
      <w:spacing w:before="80" w:after="80"/>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8A555A"/>
    <w:pPr>
      <w:keepLines/>
      <w:tabs>
        <w:tab w:val="left" w:pos="372"/>
      </w:tabs>
      <w:spacing w:before="60" w:after="60"/>
      <w:ind w:left="374" w:hanging="374"/>
    </w:pPr>
    <w:rPr>
      <w:sz w:val="18"/>
      <w:szCs w:val="18"/>
      <w:lang w:bidi="ar-EG"/>
    </w:rPr>
  </w:style>
  <w:style w:type="character" w:customStyle="1" w:styleId="FootnoteTextChar">
    <w:name w:val="Footnote Text Char"/>
    <w:basedOn w:val="DefaultParagraphFont"/>
    <w:link w:val="FootnoteText"/>
    <w:rsid w:val="008A555A"/>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086C68"/>
    <w:pPr>
      <w:tabs>
        <w:tab w:val="clear" w:pos="794"/>
      </w:tabs>
      <w:spacing w:before="80" w:after="80"/>
      <w:ind w:left="794" w:hanging="794"/>
    </w:pPr>
  </w:style>
  <w:style w:type="character" w:customStyle="1" w:styleId="enumlev1Char">
    <w:name w:val="enumlev1 Char"/>
    <w:basedOn w:val="DefaultParagraphFont"/>
    <w:link w:val="enumlev1"/>
    <w:rsid w:val="00086C68"/>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qFormat/>
    <w:rsid w:val="00B1358D"/>
    <w:pPr>
      <w:spacing w:after="100" w:afterAutospacing="1" w:line="240" w:lineRule="auto"/>
      <w:jc w:val="center"/>
    </w:pPr>
    <w:rPr>
      <w:noProof/>
    </w:rPr>
  </w:style>
  <w:style w:type="paragraph" w:customStyle="1" w:styleId="a">
    <w:name w:val="ب"/>
    <w:basedOn w:val="Normal"/>
    <w:qFormat/>
    <w:rsid w:val="002A1232"/>
    <w:rPr>
      <w:noProof/>
    </w:rPr>
  </w:style>
  <w:style w:type="table" w:styleId="GridTable5Dark-Accent1">
    <w:name w:val="Grid Table 5 Dark Accent 1"/>
    <w:basedOn w:val="TableNormal"/>
    <w:uiPriority w:val="50"/>
    <w:rsid w:val="006308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general-secretariat/ICT-Services/remoteparticipation/Pages/default.aspx" TargetMode="External"/><Relationship Id="rId21" Type="http://schemas.openxmlformats.org/officeDocument/2006/relationships/hyperlink" Target="https://www.itu.int/md/S26-CWGFHR22-C-0021/en" TargetMode="External"/><Relationship Id="rId42" Type="http://schemas.openxmlformats.org/officeDocument/2006/relationships/hyperlink" Target="http://www.itu.int/go/rcpm-wrc-27-studies" TargetMode="External"/><Relationship Id="rId47" Type="http://schemas.openxmlformats.org/officeDocument/2006/relationships/hyperlink" Target="https://www.itu.int/iris-wrc-27/2025/" TargetMode="External"/><Relationship Id="rId63" Type="http://schemas.openxmlformats.org/officeDocument/2006/relationships/hyperlink" Target="https://www.itu.int/ITU-R/BR-GeoCatalogue/?.language=en" TargetMode="External"/><Relationship Id="rId68" Type="http://schemas.openxmlformats.org/officeDocument/2006/relationships/hyperlink" Target="https://communication.gouv.dj/" TargetMode="External"/><Relationship Id="rId84" Type="http://schemas.openxmlformats.org/officeDocument/2006/relationships/hyperlink" Target="https://www.itu.int/en/mediacentre/backgrounders/Pages/default.aspx" TargetMode="External"/><Relationship Id="rId89" Type="http://schemas.openxmlformats.org/officeDocument/2006/relationships/hyperlink" Target="https://www.itu.int/now4wrc27/" TargetMode="External"/><Relationship Id="rId16" Type="http://schemas.openxmlformats.org/officeDocument/2006/relationships/hyperlink" Target="https://www.itu.int/md/S26-CWGFHR22-C-0036/en" TargetMode="External"/><Relationship Id="rId11" Type="http://schemas.openxmlformats.org/officeDocument/2006/relationships/endnotes" Target="endnotes.xml"/><Relationship Id="rId32" Type="http://schemas.openxmlformats.org/officeDocument/2006/relationships/hyperlink" Target="https://www.itu.int/md/S26-CWGFHR22-C-0013/en" TargetMode="External"/><Relationship Id="rId37" Type="http://schemas.openxmlformats.org/officeDocument/2006/relationships/hyperlink" Target="https://www.itu.int/md/S25-CL-C-0118/en" TargetMode="External"/><Relationship Id="rId53" Type="http://schemas.openxmlformats.org/officeDocument/2006/relationships/hyperlink" Target="https://www.itu.int/md/S25-CL-C-0115/en" TargetMode="External"/><Relationship Id="rId58" Type="http://schemas.openxmlformats.org/officeDocument/2006/relationships/hyperlink" Target="https://www.itu.int/md/R00-CR-CIR-0526" TargetMode="External"/><Relationship Id="rId74" Type="http://schemas.openxmlformats.org/officeDocument/2006/relationships/header" Target="header3.xml"/><Relationship Id="rId79" Type="http://schemas.openxmlformats.org/officeDocument/2006/relationships/hyperlink" Target="https://www.itu.int/en/ITU-R/study-groups/Pages/itu-r-patent-information.aspx" TargetMode="External"/><Relationship Id="rId5" Type="http://schemas.openxmlformats.org/officeDocument/2006/relationships/customXml" Target="../customXml/item5.xml"/><Relationship Id="rId90" Type="http://schemas.openxmlformats.org/officeDocument/2006/relationships/hyperlink" Target="https://www.itu.int/now4wrc27/mentoring-programme/" TargetMode="External"/><Relationship Id="rId22" Type="http://schemas.openxmlformats.org/officeDocument/2006/relationships/image" Target="media/image5.png"/><Relationship Id="rId27" Type="http://schemas.openxmlformats.org/officeDocument/2006/relationships/hyperlink" Target="https://www.itu.int/md/S24-CL-C-0139/en" TargetMode="External"/><Relationship Id="rId43" Type="http://schemas.openxmlformats.org/officeDocument/2006/relationships/hyperlink" Target="http://www.itu.int/en/ITU-R/study-groups/rcpm/Pages/wrc-31-preliminary-studies.aspx" TargetMode="External"/><Relationship Id="rId48" Type="http://schemas.openxmlformats.org/officeDocument/2006/relationships/hyperlink" Target="https://www.itu.int/iris-wrc-27/2025/" TargetMode="External"/><Relationship Id="rId64" Type="http://schemas.openxmlformats.org/officeDocument/2006/relationships/hyperlink" Target="https://www.itu.int/pub/R-REG-RR-2020" TargetMode="External"/><Relationship Id="rId69" Type="http://schemas.openxmlformats.org/officeDocument/2006/relationships/hyperlink" Target="https://atuuat.africa/" TargetMode="External"/><Relationship Id="rId8" Type="http://schemas.openxmlformats.org/officeDocument/2006/relationships/settings" Target="settings.xml"/><Relationship Id="rId51" Type="http://schemas.openxmlformats.org/officeDocument/2006/relationships/hyperlink" Target="https://www.itu.int/en/ITU-R/study-groups/rcpm/Pages/cpm-27.aspx" TargetMode="External"/><Relationship Id="rId72" Type="http://schemas.openxmlformats.org/officeDocument/2006/relationships/hyperlink" Target="https://ctu.int/" TargetMode="External"/><Relationship Id="rId80" Type="http://schemas.openxmlformats.org/officeDocument/2006/relationships/image" Target="media/image7.png"/><Relationship Id="rId85" Type="http://schemas.openxmlformats.org/officeDocument/2006/relationships/hyperlink" Target="https://www.itu.int/ar/ITU-R/Director/Pages/default.aspx"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S23-CL-C-0115/en" TargetMode="External"/><Relationship Id="rId25" Type="http://schemas.openxmlformats.org/officeDocument/2006/relationships/hyperlink" Target="https://www.itu.int/md/S26-RCLCWGLANG17-C-0009/en" TargetMode="External"/><Relationship Id="rId33" Type="http://schemas.openxmlformats.org/officeDocument/2006/relationships/hyperlink" Target="https://www.itu.int/md/S24-CL-C-0063/en" TargetMode="External"/><Relationship Id="rId38" Type="http://schemas.openxmlformats.org/officeDocument/2006/relationships/hyperlink" Target="https://www.itu.int/md/S24-CL-C-0125/en" TargetMode="External"/><Relationship Id="rId46" Type="http://schemas.openxmlformats.org/officeDocument/2006/relationships/hyperlink" Target="http://www.itu.int/en/ITU-R/conferences/wrc/2027/Pages/reg-prep.aspx" TargetMode="External"/><Relationship Id="rId59" Type="http://schemas.openxmlformats.org/officeDocument/2006/relationships/hyperlink" Target="https://www.itu.int/space-argus/" TargetMode="External"/><Relationship Id="rId67" Type="http://schemas.openxmlformats.org/officeDocument/2006/relationships/header" Target="header2.xml"/><Relationship Id="rId20" Type="http://schemas.openxmlformats.org/officeDocument/2006/relationships/image" Target="media/image4.emf"/><Relationship Id="rId41" Type="http://schemas.openxmlformats.org/officeDocument/2006/relationships/hyperlink" Target="http://www.itu.int/wrc-27/" TargetMode="External"/><Relationship Id="rId54" Type="http://schemas.openxmlformats.org/officeDocument/2006/relationships/hyperlink" Target="https://www.itu.int/md/R23-RAG-C-0062/en" TargetMode="External"/><Relationship Id="rId62" Type="http://schemas.openxmlformats.org/officeDocument/2006/relationships/hyperlink" Target="file:///C:\Users\riz\Downloads\CR\511" TargetMode="External"/><Relationship Id="rId70" Type="http://schemas.openxmlformats.org/officeDocument/2006/relationships/hyperlink" Target="https://www.oas.org/ext/en/main/oas/our-structure/agencies-and-entities/citel" TargetMode="External"/><Relationship Id="rId75" Type="http://schemas.openxmlformats.org/officeDocument/2006/relationships/hyperlink" Target="https://www.itu.int/en/ITU-R/seminars/ntfa/Pages/default.aspx" TargetMode="External"/><Relationship Id="rId83" Type="http://schemas.openxmlformats.org/officeDocument/2006/relationships/hyperlink" Target="https://www.itu.int/ar/ITU-R/Pages/default.aspx" TargetMode="External"/><Relationship Id="rId88" Type="http://schemas.openxmlformats.org/officeDocument/2006/relationships/hyperlink" Target="https://www.itu.int/pub/R-RES-R.72/ar" TargetMode="External"/><Relationship Id="rId91" Type="http://schemas.openxmlformats.org/officeDocument/2006/relationships/hyperlink" Target="https://www.itu.int/now4wrc27/mentoring-programm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S25-CL-C-0016/en" TargetMode="External"/><Relationship Id="rId23" Type="http://schemas.openxmlformats.org/officeDocument/2006/relationships/hyperlink" Target="https://www.itu.int/md/S25-CL-C-0012/en" TargetMode="External"/><Relationship Id="rId28" Type="http://schemas.openxmlformats.org/officeDocument/2006/relationships/hyperlink" Target="https://www.itu.int/md/R23-RAG-C-0051/en" TargetMode="External"/><Relationship Id="rId36" Type="http://schemas.openxmlformats.org/officeDocument/2006/relationships/hyperlink" Target="https://www.itu.int/md/S24-CL-C-0109/en" TargetMode="External"/><Relationship Id="rId49" Type="http://schemas.openxmlformats.org/officeDocument/2006/relationships/hyperlink" Target="https://www.itu.int/iris-wrc-27/2025/" TargetMode="External"/><Relationship Id="rId57" Type="http://schemas.openxmlformats.org/officeDocument/2006/relationships/hyperlink" Target="https://www.itu.int/md/R00-CR-CIR-0516/en" TargetMode="External"/><Relationship Id="rId10" Type="http://schemas.openxmlformats.org/officeDocument/2006/relationships/footnotes" Target="footnotes.xml"/><Relationship Id="rId31" Type="http://schemas.openxmlformats.org/officeDocument/2006/relationships/hyperlink" Target="http://www.itu.int/md/S26-SG-CIR-0006/en" TargetMode="External"/><Relationship Id="rId44" Type="http://schemas.openxmlformats.org/officeDocument/2006/relationships/hyperlink" Target="https://www.itu.int/md/R23-WP4A-C-0840/en" TargetMode="External"/><Relationship Id="rId52" Type="http://schemas.openxmlformats.org/officeDocument/2006/relationships/hyperlink" Target="https://www.itu.int/md/S25-CL-C-0028/en" TargetMode="External"/><Relationship Id="rId60" Type="http://schemas.openxmlformats.org/officeDocument/2006/relationships/hyperlink" Target="https://www.itu.int/md/R23-WP4A-C-0343/en" TargetMode="External"/><Relationship Id="rId65" Type="http://schemas.openxmlformats.org/officeDocument/2006/relationships/hyperlink" Target="https://www.itu.int/en/publications/ITU-R/pages/publications.aspx?parent=R-REG-RR-2024&amp;media=electronic" TargetMode="External"/><Relationship Id="rId73" Type="http://schemas.openxmlformats.org/officeDocument/2006/relationships/hyperlink" Target="https://www.apt.int/" TargetMode="External"/><Relationship Id="rId78" Type="http://schemas.openxmlformats.org/officeDocument/2006/relationships/hyperlink" Target="https://www.itu.int/pub/R-RES-R.9" TargetMode="External"/><Relationship Id="rId81" Type="http://schemas.openxmlformats.org/officeDocument/2006/relationships/hyperlink" Target="mailto:brweb@itu.int" TargetMode="External"/><Relationship Id="rId86" Type="http://schemas.openxmlformats.org/officeDocument/2006/relationships/hyperlink" Target="https://www.itu.int/hub/pubs/itu-news-magazine/"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R00-CA-CIR-0280/en" TargetMode="External"/><Relationship Id="rId18" Type="http://schemas.openxmlformats.org/officeDocument/2006/relationships/image" Target="media/image2.emf"/><Relationship Id="rId39" Type="http://schemas.openxmlformats.org/officeDocument/2006/relationships/hyperlink" Target="https://www.itu.int/md/S24-SG-CIR-0038/en" TargetMode="External"/><Relationship Id="rId34" Type="http://schemas.openxmlformats.org/officeDocument/2006/relationships/image" Target="media/image6.emf"/><Relationship Id="rId50" Type="http://schemas.openxmlformats.org/officeDocument/2006/relationships/hyperlink" Target="https://www.itu.int/iris-wrc-27/" TargetMode="External"/><Relationship Id="rId55" Type="http://schemas.openxmlformats.org/officeDocument/2006/relationships/hyperlink" Target="https://www.itu.int/ITU-R/terrasys" TargetMode="External"/><Relationship Id="rId76" Type="http://schemas.openxmlformats.org/officeDocument/2006/relationships/hyperlink" Target="https://www.itu.int/dms_pub/itu-r/oth/0a/0e/R0A0E0000EC0001PDFE.pdf" TargetMode="External"/><Relationship Id="rId7" Type="http://schemas.openxmlformats.org/officeDocument/2006/relationships/styles" Target="styles.xml"/><Relationship Id="rId71" Type="http://schemas.openxmlformats.org/officeDocument/2006/relationships/hyperlink" Target="https://www.sica.int/comtelca" TargetMode="External"/><Relationship Id="rId92"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hyperlink" Target="https://www.itu.int/md/S26-CWGSFP4-C-0006/en" TargetMode="External"/><Relationship Id="rId24" Type="http://schemas.openxmlformats.org/officeDocument/2006/relationships/hyperlink" Target="https://www.itu.int/md/S25-CL-INF-0007/en" TargetMode="External"/><Relationship Id="rId40" Type="http://schemas.openxmlformats.org/officeDocument/2006/relationships/hyperlink" Target="https://www.itu.int/md/S24-SG-CIR-0049/en" TargetMode="External"/><Relationship Id="rId45" Type="http://schemas.openxmlformats.org/officeDocument/2006/relationships/hyperlink" Target="https://www.itu.int/net4/proposals/CPI/WRC27" TargetMode="External"/><Relationship Id="rId66" Type="http://schemas.openxmlformats.org/officeDocument/2006/relationships/header" Target="header1.xml"/><Relationship Id="rId87" Type="http://schemas.openxmlformats.org/officeDocument/2006/relationships/image" Target="media/image8.png"/><Relationship Id="rId61" Type="http://schemas.openxmlformats.org/officeDocument/2006/relationships/hyperlink" Target="https://www.itu.int/md/R23-WP4A-C-0830/en" TargetMode="External"/><Relationship Id="rId82" Type="http://schemas.openxmlformats.org/officeDocument/2006/relationships/hyperlink" Target="https://www.itu.int/hub/?s=Maniewicz&amp;by_time=last_year" TargetMode="External"/><Relationship Id="rId19" Type="http://schemas.openxmlformats.org/officeDocument/2006/relationships/image" Target="media/image3.png"/><Relationship Id="rId14" Type="http://schemas.openxmlformats.org/officeDocument/2006/relationships/hyperlink" Target="https://council.itu.int/2025/en/" TargetMode="External"/><Relationship Id="rId30" Type="http://schemas.openxmlformats.org/officeDocument/2006/relationships/hyperlink" Target="https://www.itu.int/md/R23-RAG-C-0055/en" TargetMode="External"/><Relationship Id="rId35" Type="http://schemas.openxmlformats.org/officeDocument/2006/relationships/hyperlink" Target="https://www.itu.int/md/S24-CL-C-0134/en" TargetMode="External"/><Relationship Id="rId56" Type="http://schemas.openxmlformats.org/officeDocument/2006/relationships/hyperlink" Target="https://www.itu.int/ITU-R/terrasys/docs" TargetMode="External"/><Relationship Id="rId77" Type="http://schemas.openxmlformats.org/officeDocument/2006/relationships/hyperlink" Target="https://www.itu.int/pub/R-RES-R.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nitiatives/gender-equality/gender-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PA_RAG25.dotx</Template>
  <TotalTime>1277</TotalTime>
  <Pages>31</Pages>
  <Words>11868</Words>
  <Characters>74968</Characters>
  <Application>Microsoft Office Word</Application>
  <DocSecurity>0</DocSecurity>
  <Lines>624</Lines>
  <Paragraphs>173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Arabic_I.R</cp:lastModifiedBy>
  <cp:revision>39</cp:revision>
  <cp:lastPrinted>2019-06-26T10:10:00Z</cp:lastPrinted>
  <dcterms:created xsi:type="dcterms:W3CDTF">2026-03-09T15:25:00Z</dcterms:created>
  <dcterms:modified xsi:type="dcterms:W3CDTF">2026-03-10T14:13:00Z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