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766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443261" w14:paraId="54D3ABB4" w14:textId="77777777" w:rsidTr="00443261">
        <w:trPr>
          <w:cantSplit/>
        </w:trPr>
        <w:tc>
          <w:tcPr>
            <w:tcW w:w="6771" w:type="dxa"/>
            <w:vAlign w:val="center"/>
          </w:tcPr>
          <w:p w14:paraId="1996C3B8" w14:textId="77777777" w:rsidR="00443261" w:rsidRPr="002D238A" w:rsidRDefault="00443261" w:rsidP="007711EA">
            <w:pPr>
              <w:shd w:val="solid" w:color="FFFFFF" w:fill="FFFFFF"/>
              <w:spacing w:before="360" w:after="240"/>
              <w:rPr>
                <w:rFonts w:ascii="Verdana" w:hAnsi="Verdana"/>
                <w:b/>
                <w:bCs/>
              </w:rPr>
            </w:pPr>
            <w:r w:rsidRPr="002D238A">
              <w:rPr>
                <w:rFonts w:ascii="Verdana" w:hAnsi="Verdana" w:cs="Times New Roman Bold"/>
                <w:b/>
                <w:sz w:val="25"/>
                <w:szCs w:val="25"/>
              </w:rPr>
              <w:t>Groupe Consultatif des Radiocommunications</w:t>
            </w:r>
            <w:r w:rsidRPr="002D238A">
              <w:rPr>
                <w:rFonts w:ascii="Verdana" w:hAnsi="Verdana"/>
                <w:b/>
                <w:sz w:val="25"/>
                <w:szCs w:val="25"/>
              </w:rPr>
              <w:br/>
            </w:r>
          </w:p>
        </w:tc>
        <w:tc>
          <w:tcPr>
            <w:tcW w:w="3118" w:type="dxa"/>
          </w:tcPr>
          <w:p w14:paraId="47DF1920" w14:textId="77777777" w:rsidR="00443261" w:rsidRDefault="007711EA" w:rsidP="004E76DF">
            <w:pPr>
              <w:shd w:val="solid" w:color="FFFFFF" w:fill="FFFFFF"/>
              <w:spacing w:before="0" w:line="240" w:lineRule="atLeas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645B12D5" wp14:editId="14EE5CE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38A" w:rsidRPr="0051782D" w14:paraId="22581FFB" w14:textId="77777777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576EF261" w14:textId="77777777" w:rsidR="002D238A" w:rsidRPr="0051782D" w:rsidRDefault="002D238A" w:rsidP="00773E5E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565552D9" w14:textId="77777777" w:rsidR="002D238A" w:rsidRPr="0051782D" w:rsidRDefault="002D238A" w:rsidP="00773E5E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D238A" w:rsidRPr="00710D66" w14:paraId="78DC0F6F" w14:textId="77777777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9CFAF29" w14:textId="77777777" w:rsidR="002D238A" w:rsidRPr="0051782D" w:rsidRDefault="002D238A" w:rsidP="00773E5E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1F7F7C9B" w14:textId="77777777" w:rsidR="002D238A" w:rsidRPr="002D238A" w:rsidRDefault="002D238A" w:rsidP="00773E5E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2D238A" w:rsidRPr="002A127E" w14:paraId="13728F00" w14:textId="77777777">
        <w:trPr>
          <w:cantSplit/>
        </w:trPr>
        <w:tc>
          <w:tcPr>
            <w:tcW w:w="6771" w:type="dxa"/>
            <w:vMerge w:val="restart"/>
          </w:tcPr>
          <w:p w14:paraId="2D492051" w14:textId="77777777" w:rsidR="002D238A" w:rsidRPr="005031C8" w:rsidRDefault="002D238A" w:rsidP="005031C8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69699B2A" w14:textId="249F0F5B" w:rsidR="002D238A" w:rsidRPr="005142BD" w:rsidRDefault="005142BD" w:rsidP="005142BD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 RAG/52-F</w:t>
            </w:r>
          </w:p>
        </w:tc>
      </w:tr>
      <w:tr w:rsidR="002D238A" w:rsidRPr="002A127E" w14:paraId="1EBC80E2" w14:textId="77777777">
        <w:trPr>
          <w:cantSplit/>
        </w:trPr>
        <w:tc>
          <w:tcPr>
            <w:tcW w:w="6771" w:type="dxa"/>
            <w:vMerge/>
          </w:tcPr>
          <w:p w14:paraId="2CE4A654" w14:textId="77777777" w:rsidR="002D238A" w:rsidRDefault="002D238A" w:rsidP="00773E5E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5ACDA840" w14:textId="4F395DE9" w:rsidR="002D238A" w:rsidRPr="005142BD" w:rsidRDefault="005142BD" w:rsidP="005142BD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7 novembre 2025</w:t>
            </w:r>
          </w:p>
        </w:tc>
      </w:tr>
      <w:tr w:rsidR="002D238A" w:rsidRPr="002A127E" w14:paraId="676B2623" w14:textId="77777777">
        <w:trPr>
          <w:cantSplit/>
        </w:trPr>
        <w:tc>
          <w:tcPr>
            <w:tcW w:w="6771" w:type="dxa"/>
            <w:vMerge/>
          </w:tcPr>
          <w:p w14:paraId="40A92B94" w14:textId="77777777" w:rsidR="002D238A" w:rsidRDefault="002D238A" w:rsidP="00773E5E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34F99F90" w14:textId="266E2D99" w:rsidR="002D238A" w:rsidRPr="005142BD" w:rsidRDefault="005142BD" w:rsidP="005142BD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2D238A" w14:paraId="48F22191" w14:textId="77777777">
        <w:trPr>
          <w:cantSplit/>
        </w:trPr>
        <w:tc>
          <w:tcPr>
            <w:tcW w:w="9889" w:type="dxa"/>
            <w:gridSpan w:val="2"/>
          </w:tcPr>
          <w:p w14:paraId="14A2E9DB" w14:textId="5C319DEE" w:rsidR="002D238A" w:rsidRDefault="00BC1A2B" w:rsidP="00773E5E">
            <w:pPr>
              <w:pStyle w:val="Source"/>
            </w:pPr>
            <w:bookmarkStart w:id="3" w:name="dsource" w:colFirst="0" w:colLast="0"/>
            <w:bookmarkEnd w:id="2"/>
            <w:r w:rsidRPr="00BC1A2B">
              <w:t>Directeur du Bureau des radiocommunications</w:t>
            </w:r>
          </w:p>
        </w:tc>
      </w:tr>
      <w:tr w:rsidR="002D238A" w14:paraId="41A2754C" w14:textId="77777777">
        <w:trPr>
          <w:cantSplit/>
        </w:trPr>
        <w:tc>
          <w:tcPr>
            <w:tcW w:w="9889" w:type="dxa"/>
            <w:gridSpan w:val="2"/>
          </w:tcPr>
          <w:p w14:paraId="0BFE9B8F" w14:textId="546E4D26" w:rsidR="002D238A" w:rsidRDefault="00BC1A2B" w:rsidP="00773E5E">
            <w:pPr>
              <w:pStyle w:val="Title1"/>
            </w:pPr>
            <w:bookmarkStart w:id="4" w:name="dtitle1" w:colFirst="0" w:colLast="0"/>
            <w:bookmarkEnd w:id="3"/>
            <w:r w:rsidRPr="00BC1A2B">
              <w:t>COMMENTAIRES DU BUREAU CONCERNANT LA PROPOSITION D</w:t>
            </w:r>
            <w:r>
              <w:t>'</w:t>
            </w:r>
            <w:r w:rsidRPr="00BC1A2B">
              <w:t>UN INDICATEUR DE SUIVI DU NOMBRE D</w:t>
            </w:r>
            <w:r>
              <w:t>'</w:t>
            </w:r>
            <w:r w:rsidRPr="00BC1A2B">
              <w:t xml:space="preserve">ASSIGNATIONS DE </w:t>
            </w:r>
            <w:r>
              <w:br/>
            </w:r>
            <w:r w:rsidRPr="00BC1A2B">
              <w:t xml:space="preserve">FRÉQUENCE QUI ONT ÉTÉ SUPPRIMÉES </w:t>
            </w:r>
            <w:r>
              <w:br/>
            </w:r>
            <w:r w:rsidRPr="00BC1A2B">
              <w:t>DU FICHIER DE RÉFÉRENCE</w:t>
            </w:r>
          </w:p>
        </w:tc>
      </w:tr>
    </w:tbl>
    <w:bookmarkEnd w:id="4"/>
    <w:p w14:paraId="1D87A529" w14:textId="77777777" w:rsidR="00BC1A2B" w:rsidRPr="0082340E" w:rsidRDefault="00BC1A2B" w:rsidP="00BC1A2B">
      <w:pPr>
        <w:pStyle w:val="Headingb"/>
        <w:spacing w:before="480"/>
      </w:pPr>
      <w:r w:rsidRPr="0082340E">
        <w:t xml:space="preserve">Contexte </w:t>
      </w:r>
    </w:p>
    <w:p w14:paraId="77D7CF49" w14:textId="5D2888EC" w:rsidR="00BC1A2B" w:rsidRPr="0082340E" w:rsidRDefault="00BC1A2B" w:rsidP="00BC1A2B">
      <w:r w:rsidRPr="0082340E">
        <w:t xml:space="preserve">Dans le Document </w:t>
      </w:r>
      <w:hyperlink r:id="rId7">
        <w:r w:rsidRPr="0082340E">
          <w:rPr>
            <w:rStyle w:val="Hyperlink"/>
          </w:rPr>
          <w:t>RAG/51</w:t>
        </w:r>
      </w:hyperlink>
      <w:r w:rsidRPr="0082340E">
        <w:t>, intitulé «Rapport du Groupe de travail par correspondance du GCR sur le Plan stratégique de l</w:t>
      </w:r>
      <w:r>
        <w:t>'</w:t>
      </w:r>
      <w:r w:rsidRPr="0082340E">
        <w:t>UIT pour la période 2028-2031 à la séance spéciale du GCR», figurent les propositions d</w:t>
      </w:r>
      <w:r>
        <w:t>'</w:t>
      </w:r>
      <w:r w:rsidRPr="0082340E">
        <w:t xml:space="preserve">indicateur ci-après: </w:t>
      </w:r>
    </w:p>
    <w:p w14:paraId="5E8878E6" w14:textId="7719BB4B" w:rsidR="00BC1A2B" w:rsidRPr="00BC1A2B" w:rsidRDefault="00BC1A2B" w:rsidP="00BC1A2B">
      <w:pPr>
        <w:pStyle w:val="enumlev1"/>
        <w:rPr>
          <w:i/>
          <w:iCs/>
        </w:rPr>
      </w:pPr>
      <w:r>
        <w:rPr>
          <w:i/>
          <w:iCs/>
        </w:rPr>
        <w:tab/>
      </w:r>
      <w:r w:rsidRPr="00BC1A2B">
        <w:rPr>
          <w:i/>
          <w:iCs/>
        </w:rPr>
        <w:t>Nombre d</w:t>
      </w:r>
      <w:r>
        <w:rPr>
          <w:i/>
          <w:iCs/>
        </w:rPr>
        <w:t>'</w:t>
      </w:r>
      <w:r w:rsidRPr="00BC1A2B">
        <w:rPr>
          <w:i/>
          <w:iCs/>
        </w:rPr>
        <w:t>assignations de fréquence qui ont été supprimées du fichier de référence international des fréquences</w:t>
      </w:r>
      <w:r>
        <w:rPr>
          <w:i/>
          <w:iCs/>
        </w:rPr>
        <w:t>:</w:t>
      </w:r>
    </w:p>
    <w:p w14:paraId="34930259" w14:textId="2ECC1068" w:rsidR="00BC1A2B" w:rsidRPr="00BC1A2B" w:rsidRDefault="00BC1A2B" w:rsidP="00BC1A2B">
      <w:pPr>
        <w:pStyle w:val="enumlev2"/>
        <w:rPr>
          <w:rFonts w:eastAsiaTheme="minorEastAsia"/>
          <w:i/>
          <w:iCs/>
        </w:rPr>
      </w:pPr>
      <w:r w:rsidRPr="00BC1A2B">
        <w:rPr>
          <w:rFonts w:eastAsiaTheme="minorEastAsia"/>
        </w:rPr>
        <w:t>–</w:t>
      </w:r>
      <w:r>
        <w:rPr>
          <w:rFonts w:eastAsiaTheme="minorEastAsia"/>
        </w:rPr>
        <w:tab/>
      </w:r>
      <w:r w:rsidRPr="00BC1A2B">
        <w:rPr>
          <w:rFonts w:eastAsiaTheme="minorEastAsia"/>
          <w:i/>
          <w:iCs/>
        </w:rPr>
        <w:t>en raison d</w:t>
      </w:r>
      <w:r>
        <w:rPr>
          <w:rFonts w:eastAsiaTheme="minorEastAsia"/>
          <w:i/>
          <w:iCs/>
        </w:rPr>
        <w:t>'</w:t>
      </w:r>
      <w:r w:rsidRPr="00BC1A2B">
        <w:rPr>
          <w:rFonts w:eastAsiaTheme="minorEastAsia"/>
          <w:i/>
          <w:iCs/>
        </w:rPr>
        <w:t>une non-conformité au RR;</w:t>
      </w:r>
    </w:p>
    <w:p w14:paraId="06CDCE4D" w14:textId="32A90879" w:rsidR="00BC1A2B" w:rsidRPr="00BC1A2B" w:rsidRDefault="00BC1A2B" w:rsidP="00BC1A2B">
      <w:pPr>
        <w:pStyle w:val="enumlev2"/>
        <w:rPr>
          <w:rFonts w:eastAsiaTheme="minorEastAsia"/>
          <w:i/>
          <w:iCs/>
        </w:rPr>
      </w:pPr>
      <w:r w:rsidRPr="00BC1A2B">
        <w:rPr>
          <w:rFonts w:eastAsiaTheme="minorEastAsia"/>
        </w:rPr>
        <w:t>–</w:t>
      </w:r>
      <w:r>
        <w:rPr>
          <w:rFonts w:eastAsiaTheme="minorEastAsia"/>
        </w:rPr>
        <w:tab/>
      </w:r>
      <w:r w:rsidRPr="00BC1A2B">
        <w:rPr>
          <w:rFonts w:eastAsiaTheme="minorEastAsia"/>
          <w:i/>
          <w:iCs/>
        </w:rPr>
        <w:t>à l</w:t>
      </w:r>
      <w:r>
        <w:rPr>
          <w:rFonts w:eastAsiaTheme="minorEastAsia"/>
          <w:i/>
          <w:iCs/>
        </w:rPr>
        <w:t>'</w:t>
      </w:r>
      <w:r w:rsidRPr="00BC1A2B">
        <w:rPr>
          <w:rFonts w:eastAsiaTheme="minorEastAsia"/>
          <w:i/>
          <w:iCs/>
        </w:rPr>
        <w:t>initiative d</w:t>
      </w:r>
      <w:r>
        <w:rPr>
          <w:rFonts w:eastAsiaTheme="minorEastAsia"/>
          <w:i/>
          <w:iCs/>
        </w:rPr>
        <w:t>'</w:t>
      </w:r>
      <w:r w:rsidRPr="00BC1A2B">
        <w:rPr>
          <w:rFonts w:eastAsiaTheme="minorEastAsia"/>
          <w:i/>
          <w:iCs/>
        </w:rPr>
        <w:t>une administration notificatrice.</w:t>
      </w:r>
    </w:p>
    <w:p w14:paraId="20701BC5" w14:textId="18287C77" w:rsidR="00BC1A2B" w:rsidRPr="00BC1A2B" w:rsidRDefault="00BC1A2B" w:rsidP="00BC1A2B">
      <w:pPr>
        <w:pStyle w:val="enumlev1"/>
        <w:rPr>
          <w:i/>
          <w:iCs/>
        </w:rPr>
      </w:pPr>
      <w:r>
        <w:rPr>
          <w:i/>
          <w:iCs/>
        </w:rPr>
        <w:tab/>
      </w:r>
      <w:r w:rsidRPr="00BC1A2B">
        <w:rPr>
          <w:i/>
          <w:iCs/>
        </w:rPr>
        <w:t>Tenue à jour du Fichier de référence pour tenir compte de l</w:t>
      </w:r>
      <w:r>
        <w:rPr>
          <w:i/>
          <w:iCs/>
        </w:rPr>
        <w:t>'</w:t>
      </w:r>
      <w:r w:rsidRPr="00BC1A2B">
        <w:rPr>
          <w:i/>
          <w:iCs/>
        </w:rPr>
        <w:t>utilisation réelle conformément aux caractéristiques/paramètres publiés:</w:t>
      </w:r>
    </w:p>
    <w:p w14:paraId="07E60619" w14:textId="5D36124A" w:rsidR="00BC1A2B" w:rsidRPr="0082340E" w:rsidRDefault="00BC1A2B" w:rsidP="00BC1A2B">
      <w:pPr>
        <w:pStyle w:val="enumlev2"/>
        <w:rPr>
          <w:rFonts w:eastAsiaTheme="minorEastAsia"/>
        </w:rPr>
      </w:pPr>
      <w:r w:rsidRPr="00BC1A2B">
        <w:rPr>
          <w:rFonts w:eastAsiaTheme="minorEastAsia"/>
        </w:rPr>
        <w:t>–</w:t>
      </w:r>
      <w:r>
        <w:rPr>
          <w:rFonts w:eastAsiaTheme="minorEastAsia"/>
        </w:rPr>
        <w:tab/>
      </w:r>
      <w:r w:rsidRPr="00BC1A2B">
        <w:rPr>
          <w:rFonts w:eastAsiaTheme="minorEastAsia"/>
          <w:i/>
          <w:iCs/>
        </w:rPr>
        <w:t>services spatiaux;</w:t>
      </w:r>
    </w:p>
    <w:p w14:paraId="1E84A308" w14:textId="6AB6B50A" w:rsidR="00BC1A2B" w:rsidRPr="0082340E" w:rsidRDefault="00BC1A2B" w:rsidP="00BC1A2B">
      <w:pPr>
        <w:pStyle w:val="enumlev2"/>
        <w:rPr>
          <w:rFonts w:eastAsiaTheme="minorEastAsia"/>
        </w:rPr>
      </w:pPr>
      <w:r w:rsidRPr="00BC1A2B">
        <w:rPr>
          <w:rFonts w:eastAsiaTheme="minorEastAsia"/>
        </w:rPr>
        <w:t>–</w:t>
      </w:r>
      <w:r>
        <w:rPr>
          <w:rFonts w:eastAsiaTheme="minorEastAsia"/>
        </w:rPr>
        <w:tab/>
      </w:r>
      <w:r w:rsidRPr="00BC1A2B">
        <w:rPr>
          <w:rFonts w:eastAsiaTheme="minorEastAsia"/>
          <w:i/>
          <w:iCs/>
        </w:rPr>
        <w:t>services de Terre.</w:t>
      </w:r>
    </w:p>
    <w:p w14:paraId="0344D68C" w14:textId="5EFAFBF2" w:rsidR="00BC1A2B" w:rsidRPr="0082340E" w:rsidRDefault="00BC1A2B" w:rsidP="00BC1A2B">
      <w:r w:rsidRPr="0082340E">
        <w:t>Ces projets d</w:t>
      </w:r>
      <w:r>
        <w:t>'</w:t>
      </w:r>
      <w:r w:rsidRPr="0082340E">
        <w:t xml:space="preserve">indicateurs ont été élaborés au cours de la réunion, le BR ayant été invité à réfléchir aux données qui pourraient servir au suivi des progrès accomplis pour parvenir aux résultats escomptés. </w:t>
      </w:r>
    </w:p>
    <w:p w14:paraId="02E76D17" w14:textId="77777777" w:rsidR="00BC1A2B" w:rsidRPr="0082340E" w:rsidRDefault="00BC1A2B" w:rsidP="00BC1A2B">
      <w:r w:rsidRPr="0082340E">
        <w:t>Il est possible à ce stade de fournir des données pour le premier indicateur relatif à la suppression des assignations de fréquence.</w:t>
      </w:r>
    </w:p>
    <w:p w14:paraId="496E544D" w14:textId="77777777" w:rsidR="00BC1A2B" w:rsidRPr="0082340E" w:rsidRDefault="00BC1A2B" w:rsidP="00BC1A2B">
      <w:pPr>
        <w:pStyle w:val="Headingb"/>
      </w:pPr>
      <w:r w:rsidRPr="0082340E">
        <w:t>Département des services spatiaux</w:t>
      </w:r>
    </w:p>
    <w:p w14:paraId="28A4F59E" w14:textId="77777777" w:rsidR="00BC1A2B" w:rsidRPr="0082340E" w:rsidRDefault="00BC1A2B" w:rsidP="00BC1A2B">
      <w:r w:rsidRPr="0082340E">
        <w:t xml:space="preserve">Le Département des services spatiaux (SSD) publie déjà des données concernant les suppressions de fiches de notification de réseaux à satellite dans le § 5 du Rapport du Directeur élaboré avant chaque réunion du Comité du Règlement des radiocommunications (RRB), par exemple le Document </w:t>
      </w:r>
      <w:hyperlink r:id="rId8" w:history="1">
        <w:r w:rsidRPr="0082340E">
          <w:rPr>
            <w:rStyle w:val="Hyperlink"/>
          </w:rPr>
          <w:t>RRB25-3/11</w:t>
        </w:r>
      </w:hyperlink>
      <w:r w:rsidRPr="0082340E">
        <w:t xml:space="preserve">. </w:t>
      </w:r>
    </w:p>
    <w:p w14:paraId="5B6F7162" w14:textId="69DB0656" w:rsidR="00BC1A2B" w:rsidRPr="0082340E" w:rsidRDefault="00BC1A2B" w:rsidP="00BC1A2B">
      <w:r w:rsidRPr="0082340E">
        <w:t>Il est possible d</w:t>
      </w:r>
      <w:r>
        <w:t>'</w:t>
      </w:r>
      <w:r w:rsidRPr="0082340E">
        <w:t>utiliser un sous-ensemble des statistiques figurant dans le Rapport du Directeur au</w:t>
      </w:r>
      <w:r w:rsidR="002E4C2C">
        <w:t> </w:t>
      </w:r>
      <w:r w:rsidRPr="0082340E">
        <w:t>RRB afin de déterminer l</w:t>
      </w:r>
      <w:r>
        <w:t>'</w:t>
      </w:r>
      <w:r w:rsidRPr="0082340E">
        <w:t>indicateur qu</w:t>
      </w:r>
      <w:r>
        <w:t>'</w:t>
      </w:r>
      <w:r w:rsidRPr="0082340E">
        <w:t>il est proposé d</w:t>
      </w:r>
      <w:r>
        <w:t>'</w:t>
      </w:r>
      <w:r w:rsidRPr="0082340E">
        <w:t>utiliser pour suivre le nombre d</w:t>
      </w:r>
      <w:r>
        <w:t>'</w:t>
      </w:r>
      <w:r w:rsidRPr="0082340E">
        <w:t xml:space="preserve">assignations de fréquence qui ont été supprimées du fichier de référence, par exemple: le Tableau 5-1 (suppressions concernant les réseaux à satellite et les systèmes à satellites qui ne </w:t>
      </w:r>
      <w:r w:rsidRPr="0082340E">
        <w:lastRenderedPageBreak/>
        <w:t>relèvent pas d</w:t>
      </w:r>
      <w:r>
        <w:t>'</w:t>
      </w:r>
      <w:r w:rsidRPr="0082340E">
        <w:t>un Plan pour les services spatiaux)</w:t>
      </w:r>
      <w:r w:rsidR="002E4C2C">
        <w:t>;</w:t>
      </w:r>
      <w:r w:rsidRPr="0082340E">
        <w:t xml:space="preserve"> le Tableau 5-2 (suppressions concernant les réseaux à satellite soumis au SRS et aux Plans des liaisons de connexion du SRS des Appendices </w:t>
      </w:r>
      <w:r w:rsidRPr="00BC1A2B">
        <w:rPr>
          <w:b/>
          <w:bCs/>
        </w:rPr>
        <w:t>30</w:t>
      </w:r>
      <w:r w:rsidRPr="0082340E">
        <w:t xml:space="preserve"> et </w:t>
      </w:r>
      <w:r w:rsidRPr="00BC1A2B">
        <w:rPr>
          <w:b/>
          <w:bCs/>
        </w:rPr>
        <w:t>30A</w:t>
      </w:r>
      <w:r w:rsidRPr="0082340E">
        <w:t xml:space="preserve"> du Règlement des radiocommunications)</w:t>
      </w:r>
      <w:r w:rsidR="002E4C2C">
        <w:t>;</w:t>
      </w:r>
      <w:r w:rsidRPr="0082340E">
        <w:t xml:space="preserve"> et le Tableau 5-3 (suppressions concernant les réseaux à satellite soumis au Plan du SFS de l</w:t>
      </w:r>
      <w:r>
        <w:t>'</w:t>
      </w:r>
      <w:r w:rsidRPr="0082340E">
        <w:t>Appendice </w:t>
      </w:r>
      <w:r w:rsidRPr="00BC1A2B">
        <w:rPr>
          <w:b/>
          <w:bCs/>
        </w:rPr>
        <w:t>30B</w:t>
      </w:r>
      <w:r w:rsidRPr="0082340E">
        <w:t xml:space="preserve"> du Règlement des radiocommunications).</w:t>
      </w:r>
    </w:p>
    <w:p w14:paraId="6C9A651D" w14:textId="77777777" w:rsidR="00BC1A2B" w:rsidRPr="0082340E" w:rsidRDefault="00BC1A2B" w:rsidP="00BC1A2B">
      <w:pPr>
        <w:pStyle w:val="Headingb"/>
      </w:pPr>
      <w:r w:rsidRPr="0082340E">
        <w:t>Département des services de Terre</w:t>
      </w:r>
    </w:p>
    <w:p w14:paraId="7A25FEF2" w14:textId="77777777" w:rsidR="00BC1A2B" w:rsidRDefault="00BC1A2B" w:rsidP="00BC1A2B">
      <w:r w:rsidRPr="0082340E">
        <w:t>Le Département des services de Terre (TSD) communiquera le nombre de suppressions, en utilisant pour cela les données de la BR IFIC.</w:t>
      </w:r>
    </w:p>
    <w:p w14:paraId="056A2D0C" w14:textId="77777777" w:rsidR="00BC1A2B" w:rsidRDefault="00BC1A2B">
      <w:pPr>
        <w:jc w:val="center"/>
      </w:pPr>
      <w:r>
        <w:t>______________</w:t>
      </w:r>
    </w:p>
    <w:sectPr w:rsidR="00BC1A2B">
      <w:headerReference w:type="even" r:id="rId9"/>
      <w:headerReference w:type="default" r:id="rId10"/>
      <w:footerReference w:type="even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91ED" w14:textId="77777777" w:rsidR="005142BD" w:rsidRDefault="005142BD">
      <w:r>
        <w:separator/>
      </w:r>
    </w:p>
  </w:endnote>
  <w:endnote w:type="continuationSeparator" w:id="0">
    <w:p w14:paraId="510B6E05" w14:textId="77777777" w:rsidR="005142BD" w:rsidRDefault="0051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5246" w14:textId="415872BE" w:rsidR="00847AAC" w:rsidRDefault="00A9055C">
    <w:pPr>
      <w:pStyle w:val="Footer"/>
      <w:rPr>
        <w:lang w:val="en-US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5142BD">
      <w:rPr>
        <w:lang w:val="en-US"/>
      </w:rPr>
      <w:t>Document1</w:t>
    </w:r>
    <w:r>
      <w:rPr>
        <w:lang w:val="en-US"/>
      </w:rPr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savedate \@ dd.MM.yy </w:instrText>
    </w:r>
    <w:r w:rsidR="00847AAC">
      <w:fldChar w:fldCharType="separate"/>
    </w:r>
    <w:r w:rsidR="00E63650">
      <w:t>10.11.25</w:t>
    </w:r>
    <w:r w:rsidR="00847AAC"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printdate \@ dd.MM.yy </w:instrText>
    </w:r>
    <w:r w:rsidR="00847AAC">
      <w:fldChar w:fldCharType="separate"/>
    </w:r>
    <w:r w:rsidR="005142BD">
      <w:t>11.10.99</w:t>
    </w:r>
    <w:r w:rsidR="00847AA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DCCD" w14:textId="77777777" w:rsidR="005142BD" w:rsidRDefault="005142BD">
      <w:r>
        <w:t>____________________</w:t>
      </w:r>
    </w:p>
  </w:footnote>
  <w:footnote w:type="continuationSeparator" w:id="0">
    <w:p w14:paraId="11523FBB" w14:textId="77777777" w:rsidR="005142BD" w:rsidRDefault="00514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CF82" w14:textId="77777777" w:rsidR="00847AAC" w:rsidRDefault="00847AAC">
    <w:pPr>
      <w:pStyle w:val="Header"/>
    </w:pPr>
    <w:r>
      <w:rPr>
        <w:lang w:val="es-ES"/>
      </w:rPr>
      <w:t xml:space="preserve">- </w:t>
    </w:r>
    <w:r w:rsidR="00A9055C">
      <w:fldChar w:fldCharType="begin"/>
    </w:r>
    <w:r w:rsidR="00A9055C">
      <w:instrText xml:space="preserve"> PAGE </w:instrText>
    </w:r>
    <w:r w:rsidR="00A9055C">
      <w:fldChar w:fldCharType="separate"/>
    </w:r>
    <w:r>
      <w:rPr>
        <w:noProof/>
      </w:rPr>
      <w:t>2</w:t>
    </w:r>
    <w:r w:rsidR="00A9055C">
      <w:rPr>
        <w:noProof/>
      </w:rPr>
      <w:fldChar w:fldCharType="end"/>
    </w:r>
    <w:r>
      <w:rPr>
        <w:lang w:val="es-ES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9D54" w14:textId="77777777" w:rsidR="00847AAC" w:rsidRDefault="00A9055C" w:rsidP="00925627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7711EA">
      <w:rPr>
        <w:noProof/>
      </w:rPr>
      <w:t>2</w:t>
    </w:r>
    <w:r>
      <w:rPr>
        <w:noProof/>
      </w:rPr>
      <w:fldChar w:fldCharType="end"/>
    </w:r>
  </w:p>
  <w:p w14:paraId="194C7C21" w14:textId="4A5772D5" w:rsidR="00847AAC" w:rsidRDefault="0097156E" w:rsidP="007711EA">
    <w:pPr>
      <w:pStyle w:val="Header"/>
      <w:rPr>
        <w:lang w:val="es-ES"/>
      </w:rPr>
    </w:pPr>
    <w:r>
      <w:rPr>
        <w:lang w:val="es-ES"/>
      </w:rPr>
      <w:t>RAG</w:t>
    </w:r>
    <w:r w:rsidR="00847AAC">
      <w:rPr>
        <w:lang w:val="es-ES"/>
      </w:rPr>
      <w:t>/</w:t>
    </w:r>
    <w:r w:rsidR="003164AA">
      <w:rPr>
        <w:lang w:val="es-ES"/>
      </w:rPr>
      <w:t>52</w:t>
    </w:r>
    <w:r w:rsidR="00AF2EDC">
      <w:rPr>
        <w:lang w:val="es-ES"/>
      </w:rPr>
      <w:t>-</w:t>
    </w:r>
    <w:r w:rsidR="00847AAC">
      <w:rPr>
        <w:lang w:val="es-ES"/>
      </w:rPr>
      <w:t>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BD"/>
    <w:rsid w:val="000C06D8"/>
    <w:rsid w:val="00140AE6"/>
    <w:rsid w:val="001E4C0E"/>
    <w:rsid w:val="00222A1C"/>
    <w:rsid w:val="002D238A"/>
    <w:rsid w:val="002E4C2C"/>
    <w:rsid w:val="003164AA"/>
    <w:rsid w:val="003A6CEE"/>
    <w:rsid w:val="00405FBE"/>
    <w:rsid w:val="00443261"/>
    <w:rsid w:val="0045337F"/>
    <w:rsid w:val="004E1CCF"/>
    <w:rsid w:val="004E76DF"/>
    <w:rsid w:val="005031C8"/>
    <w:rsid w:val="005142BD"/>
    <w:rsid w:val="005207F5"/>
    <w:rsid w:val="005430E4"/>
    <w:rsid w:val="005F0658"/>
    <w:rsid w:val="0067019B"/>
    <w:rsid w:val="00677EE5"/>
    <w:rsid w:val="00694DEF"/>
    <w:rsid w:val="007711EA"/>
    <w:rsid w:val="00773E5E"/>
    <w:rsid w:val="008069E9"/>
    <w:rsid w:val="00847AAC"/>
    <w:rsid w:val="008B3BE5"/>
    <w:rsid w:val="008E450E"/>
    <w:rsid w:val="00902253"/>
    <w:rsid w:val="00925627"/>
    <w:rsid w:val="0093101F"/>
    <w:rsid w:val="00945D9E"/>
    <w:rsid w:val="0097156E"/>
    <w:rsid w:val="00A9055C"/>
    <w:rsid w:val="00AB7F92"/>
    <w:rsid w:val="00AC39EE"/>
    <w:rsid w:val="00AF2EDC"/>
    <w:rsid w:val="00B04D34"/>
    <w:rsid w:val="00B41D84"/>
    <w:rsid w:val="00B669A6"/>
    <w:rsid w:val="00BA0C7B"/>
    <w:rsid w:val="00BC1A2B"/>
    <w:rsid w:val="00BC4591"/>
    <w:rsid w:val="00C72A86"/>
    <w:rsid w:val="00CC5B9E"/>
    <w:rsid w:val="00CC7208"/>
    <w:rsid w:val="00CE6184"/>
    <w:rsid w:val="00CF3E95"/>
    <w:rsid w:val="00D228F7"/>
    <w:rsid w:val="00D34E1C"/>
    <w:rsid w:val="00D95965"/>
    <w:rsid w:val="00DD55EB"/>
    <w:rsid w:val="00E2659D"/>
    <w:rsid w:val="00E63650"/>
    <w:rsid w:val="00EC0F12"/>
    <w:rsid w:val="00ED59FA"/>
    <w:rsid w:val="00F7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4FAD9"/>
  <w15:docId w15:val="{E450B01D-B6FA-4042-9FEC-08F0033E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超?级链ïÈ,õ±?级链,õ±链ïÈ1,õ±???"/>
    <w:basedOn w:val="DefaultParagraphFont"/>
    <w:qFormat/>
    <w:rsid w:val="00BC1A2B"/>
    <w:rPr>
      <w:color w:val="0000FF"/>
      <w:u w:val="single"/>
    </w:rPr>
  </w:style>
  <w:style w:type="paragraph" w:customStyle="1" w:styleId="Reasons">
    <w:name w:val="Reasons"/>
    <w:basedOn w:val="Normal"/>
    <w:qFormat/>
    <w:rsid w:val="00BC1A2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BC1A2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C1A2B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25-RRB25.3-C-0011/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R23-RAG-C-0051/e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onge\AppData\Roaming\Microsoft\Templates\POOL%20F%20-%20ITU\BR\PF_RA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PF_RAG.dotm</Template>
  <TotalTime>0</TotalTime>
  <Pages>2</Pages>
  <Words>372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COMMENTAIRES DU BUREAU CONCERNANT LA PROPOSITION D'UN INDICATEUR DE SUIVI DU NOMBRE D'ASSIGNATIONS DE FRÉQUENCE QUI ONT ÉTÉ SUPPRIMÉES DU FICHIER DE RÉFÉRENCE</vt:lpstr>
    </vt:vector>
  </TitlesOfParts>
  <Manager>General Secretariat - Pool</Manager>
  <Company>International Telecommunication Union (ITU)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GROUPE CONSULTATIF DES RADIOCOMMUNICATIONS</dc:subject>
  <dc:creator>Directeur du Bureau des radiocommunications</dc:creator>
  <cp:keywords/>
  <dc:description/>
  <cp:lastModifiedBy>Xue, Kun</cp:lastModifiedBy>
  <cp:revision>2</cp:revision>
  <cp:lastPrinted>1999-10-11T14:58:00Z</cp:lastPrinted>
  <dcterms:created xsi:type="dcterms:W3CDTF">2025-11-10T10:58:00Z</dcterms:created>
  <dcterms:modified xsi:type="dcterms:W3CDTF">2025-11-10T10:58:00Z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RAG/52-F</vt:lpwstr>
  </property>
  <property fmtid="{D5CDD505-2E9C-101B-9397-08002B2CF9AE}" pid="3" name="Docdate">
    <vt:lpwstr>7 novembre 2025</vt:lpwstr>
  </property>
  <property fmtid="{D5CDD505-2E9C-101B-9397-08002B2CF9AE}" pid="4" name="Docorlang">
    <vt:lpwstr>Original: anglais</vt:lpwstr>
  </property>
  <property fmtid="{D5CDD505-2E9C-101B-9397-08002B2CF9AE}" pid="5" name="Docauthor">
    <vt:lpwstr>Directeur du Bureau des radiocommunications</vt:lpwstr>
  </property>
</Properties>
</file>