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15B5872" w14:textId="77777777" w:rsidTr="00553F66">
        <w:trPr>
          <w:cantSplit/>
          <w:trHeight w:val="20"/>
        </w:trPr>
        <w:tc>
          <w:tcPr>
            <w:tcW w:w="6619" w:type="dxa"/>
          </w:tcPr>
          <w:p w14:paraId="415E8FB9" w14:textId="77777777" w:rsidR="00280E04" w:rsidRPr="00136B82" w:rsidRDefault="0057610B" w:rsidP="00827482">
            <w:pPr>
              <w:pStyle w:val="LOGO"/>
              <w:framePr w:hSpace="0" w:wrap="auto" w:xAlign="left" w:yAlign="inline"/>
              <w:spacing w:before="480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</w:tc>
        <w:tc>
          <w:tcPr>
            <w:tcW w:w="3053" w:type="dxa"/>
          </w:tcPr>
          <w:p w14:paraId="63BC7EDA" w14:textId="77777777" w:rsidR="00280E04" w:rsidRDefault="00553F66" w:rsidP="00F52E75">
            <w:pPr>
              <w:spacing w:before="0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440AF2C2" wp14:editId="730FC322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25BCF12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85CF2CB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0DB265E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01E407C7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723C719" w14:textId="77777777"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299D097" w14:textId="77777777"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0601A" w14:paraId="3012602C" w14:textId="77777777" w:rsidTr="00553F66">
        <w:trPr>
          <w:cantSplit/>
        </w:trPr>
        <w:tc>
          <w:tcPr>
            <w:tcW w:w="6619" w:type="dxa"/>
            <w:vMerge w:val="restart"/>
          </w:tcPr>
          <w:p w14:paraId="240B0562" w14:textId="77777777" w:rsidR="0030601A" w:rsidRPr="0012545F" w:rsidRDefault="0030601A" w:rsidP="0030601A">
            <w:pPr>
              <w:pStyle w:val="Committee"/>
              <w:framePr w:hSpace="0" w:wrap="auto" w:hAnchor="text" w:yAlign="inline"/>
              <w:bidi/>
              <w:spacing w:before="2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5DA3AE6" w14:textId="2B4D1E3F" w:rsidR="0030601A" w:rsidRPr="0012545F" w:rsidRDefault="0030601A" w:rsidP="0030601A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>
              <w:t>RAG/</w:t>
            </w:r>
            <w:r w:rsidR="00D705EF">
              <w:t>52</w:t>
            </w:r>
            <w:r w:rsidRPr="0012545F">
              <w:t>-A</w:t>
            </w:r>
          </w:p>
        </w:tc>
      </w:tr>
      <w:tr w:rsidR="0030601A" w14:paraId="3E9D9BDB" w14:textId="77777777" w:rsidTr="00553F66">
        <w:trPr>
          <w:cantSplit/>
        </w:trPr>
        <w:tc>
          <w:tcPr>
            <w:tcW w:w="6619" w:type="dxa"/>
            <w:vMerge/>
          </w:tcPr>
          <w:p w14:paraId="4C0050ED" w14:textId="77777777" w:rsidR="0030601A" w:rsidRPr="0012545F" w:rsidRDefault="0030601A" w:rsidP="0030601A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432D5EE0" w14:textId="3DDBC400" w:rsidR="0030601A" w:rsidRPr="0012545F" w:rsidRDefault="00D705EF" w:rsidP="0030601A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  <w:r>
              <w:t>7</w:t>
            </w:r>
            <w:r w:rsidR="0030601A" w:rsidRPr="0012545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نوفمبر</w:t>
            </w:r>
            <w:r w:rsidR="0030601A" w:rsidRPr="0012545F">
              <w:rPr>
                <w:rFonts w:hint="cs"/>
                <w:rtl/>
              </w:rPr>
              <w:t xml:space="preserve"> </w:t>
            </w:r>
            <w:r w:rsidR="001E6923">
              <w:rPr>
                <w:rFonts w:hint="cs"/>
                <w:rtl/>
              </w:rPr>
              <w:t>2025</w:t>
            </w:r>
          </w:p>
        </w:tc>
      </w:tr>
      <w:tr w:rsidR="0030601A" w14:paraId="415D8678" w14:textId="77777777" w:rsidTr="00553F66">
        <w:trPr>
          <w:cantSplit/>
        </w:trPr>
        <w:tc>
          <w:tcPr>
            <w:tcW w:w="6619" w:type="dxa"/>
            <w:vMerge/>
          </w:tcPr>
          <w:p w14:paraId="3F70EA4A" w14:textId="77777777" w:rsidR="0030601A" w:rsidRPr="0012545F" w:rsidRDefault="0030601A" w:rsidP="0030601A">
            <w:pPr>
              <w:pStyle w:val="Adress"/>
              <w:framePr w:hSpace="0" w:wrap="auto" w:xAlign="left" w:yAlign="inline"/>
              <w:spacing w:before="20" w:after="2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9D8E888" w14:textId="77777777" w:rsidR="0030601A" w:rsidRPr="0012545F" w:rsidRDefault="0030601A" w:rsidP="0030601A">
            <w:pPr>
              <w:pStyle w:val="Adress"/>
              <w:framePr w:hSpace="0" w:wrap="auto" w:xAlign="left" w:yAlign="inline"/>
              <w:spacing w:before="20" w:after="2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>الأصل: بالإنكليزية</w:t>
            </w:r>
          </w:p>
        </w:tc>
      </w:tr>
      <w:tr w:rsidR="00764079" w14:paraId="5EFAE5A3" w14:textId="77777777" w:rsidTr="00553F66">
        <w:trPr>
          <w:cantSplit/>
        </w:trPr>
        <w:tc>
          <w:tcPr>
            <w:tcW w:w="9672" w:type="dxa"/>
            <w:gridSpan w:val="2"/>
          </w:tcPr>
          <w:p w14:paraId="3BFC7400" w14:textId="6E0E190F" w:rsidR="00764079" w:rsidRPr="00E621A3" w:rsidRDefault="00D705EF" w:rsidP="00D705EF">
            <w:pPr>
              <w:pStyle w:val="Source"/>
              <w:rPr>
                <w:rtl/>
              </w:rPr>
            </w:pPr>
            <w:r w:rsidRPr="00D705EF">
              <w:rPr>
                <w:rFonts w:hint="cs"/>
                <w:rtl/>
                <w:lang w:bidi="ar-SA"/>
              </w:rPr>
              <w:t>مدير مكتب الاتصالات الراديوية</w:t>
            </w:r>
          </w:p>
        </w:tc>
      </w:tr>
      <w:tr w:rsidR="00764079" w14:paraId="29DEFB00" w14:textId="77777777" w:rsidTr="00553F66">
        <w:trPr>
          <w:cantSplit/>
        </w:trPr>
        <w:tc>
          <w:tcPr>
            <w:tcW w:w="9672" w:type="dxa"/>
            <w:gridSpan w:val="2"/>
          </w:tcPr>
          <w:p w14:paraId="5A487C8C" w14:textId="36DDB56B" w:rsidR="00764079" w:rsidRPr="00BD6EF3" w:rsidRDefault="00D705EF" w:rsidP="00D705EF">
            <w:pPr>
              <w:pStyle w:val="Title1"/>
              <w:spacing w:before="240"/>
              <w:rPr>
                <w:rtl/>
              </w:rPr>
            </w:pPr>
            <w:r w:rsidRPr="00D705EF">
              <w:rPr>
                <w:rFonts w:hint="cs"/>
                <w:rtl/>
                <w:lang w:bidi="ar-SA"/>
              </w:rPr>
              <w:t xml:space="preserve">تعليقات من المكتب </w:t>
            </w:r>
            <w:r w:rsidRPr="00D705EF">
              <w:rPr>
                <w:rFonts w:hint="cs"/>
                <w:rtl/>
                <w:lang w:bidi="ar-SY"/>
              </w:rPr>
              <w:t>بشأن</w:t>
            </w:r>
            <w:r w:rsidRPr="00D705EF">
              <w:rPr>
                <w:rFonts w:hint="cs"/>
                <w:rtl/>
                <w:lang w:bidi="ar-SA"/>
              </w:rPr>
              <w:t xml:space="preserve"> المؤشر المقترح لعدد تخصيصات التردد</w:t>
            </w:r>
            <w:r w:rsidRPr="00D705EF">
              <w:rPr>
                <w:rFonts w:hint="cs"/>
                <w:rtl/>
                <w:lang w:bidi="ar-SY"/>
              </w:rPr>
              <w:t>ات</w:t>
            </w:r>
            <w:r w:rsidRPr="00D705EF">
              <w:rPr>
                <w:rFonts w:hint="cs"/>
                <w:rtl/>
                <w:lang w:bidi="ar-SA"/>
              </w:rPr>
              <w:t xml:space="preserve"> </w:t>
            </w:r>
            <w:r w:rsidR="00921452">
              <w:rPr>
                <w:rtl/>
                <w:lang w:bidi="ar-SA"/>
              </w:rPr>
              <w:br/>
            </w:r>
            <w:r w:rsidRPr="00D705EF">
              <w:rPr>
                <w:rFonts w:hint="cs"/>
                <w:rtl/>
                <w:lang w:bidi="ar-SA"/>
              </w:rPr>
              <w:t>التي أُلغيت من السجل الأساسي الدولي للترددات</w:t>
            </w:r>
          </w:p>
        </w:tc>
      </w:tr>
      <w:tr w:rsidR="0012545F" w14:paraId="18CF500B" w14:textId="77777777" w:rsidTr="00553F66">
        <w:trPr>
          <w:cantSplit/>
        </w:trPr>
        <w:tc>
          <w:tcPr>
            <w:tcW w:w="9672" w:type="dxa"/>
            <w:gridSpan w:val="2"/>
          </w:tcPr>
          <w:p w14:paraId="6A4FF74E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070B61DF" w14:textId="77777777" w:rsidR="00D705EF" w:rsidRPr="00D705EF" w:rsidRDefault="00D705EF" w:rsidP="00D16D28">
      <w:pPr>
        <w:pStyle w:val="Headingb"/>
      </w:pPr>
      <w:r w:rsidRPr="00D705EF">
        <w:rPr>
          <w:rtl/>
        </w:rPr>
        <w:t xml:space="preserve">معلومات أساسية </w:t>
      </w:r>
    </w:p>
    <w:p w14:paraId="5AB64B9A" w14:textId="6AC7E99F" w:rsidR="00D705EF" w:rsidRPr="00D705EF" w:rsidRDefault="00D705EF" w:rsidP="00D16D28">
      <w:pPr>
        <w:rPr>
          <w:rtl/>
          <w:lang w:bidi="ar-EG"/>
        </w:rPr>
      </w:pPr>
      <w:r w:rsidRPr="00D705EF">
        <w:rPr>
          <w:rtl/>
          <w:lang w:bidi="ar-EG"/>
        </w:rPr>
        <w:t xml:space="preserve">تتضمن الوثيقة </w:t>
      </w:r>
      <w:hyperlink r:id="rId13">
        <w:r w:rsidR="00D16D28" w:rsidRPr="00D16D28">
          <w:rPr>
            <w:rStyle w:val="Hyperlink"/>
            <w:lang w:val="en-GB" w:bidi="ar-EG"/>
          </w:rPr>
          <w:t>RAG/51</w:t>
        </w:r>
      </w:hyperlink>
      <w:r w:rsidRPr="00D705EF">
        <w:rPr>
          <w:rtl/>
          <w:lang w:bidi="ar-EG"/>
        </w:rPr>
        <w:t xml:space="preserve"> "تقرير فريق </w:t>
      </w:r>
      <w:r w:rsidRPr="00D705EF">
        <w:rPr>
          <w:rFonts w:hint="cs"/>
          <w:rtl/>
          <w:lang w:bidi="ar-EG"/>
        </w:rPr>
        <w:t>العمل ب</w:t>
      </w:r>
      <w:r w:rsidRPr="00D705EF">
        <w:rPr>
          <w:rtl/>
          <w:lang w:bidi="ar-EG"/>
        </w:rPr>
        <w:t xml:space="preserve">المراسلة التابع للفريق الاستشاري </w:t>
      </w:r>
      <w:r w:rsidRPr="00D705EF">
        <w:rPr>
          <w:rFonts w:hint="cs"/>
          <w:rtl/>
          <w:lang w:bidi="ar-EG"/>
        </w:rPr>
        <w:t>والمعني</w:t>
      </w:r>
      <w:r w:rsidRPr="00D705EF">
        <w:rPr>
          <w:rtl/>
          <w:lang w:bidi="ar-EG"/>
        </w:rPr>
        <w:t xml:space="preserve"> </w:t>
      </w:r>
      <w:r w:rsidRPr="00D705EF">
        <w:rPr>
          <w:rFonts w:hint="cs"/>
          <w:rtl/>
          <w:lang w:bidi="ar-EG"/>
        </w:rPr>
        <w:t>ب</w:t>
      </w:r>
      <w:r w:rsidRPr="00D705EF">
        <w:rPr>
          <w:rtl/>
          <w:lang w:bidi="ar-EG"/>
        </w:rPr>
        <w:t xml:space="preserve">الخطة الاستراتيجية للاتحاد </w:t>
      </w:r>
      <w:r w:rsidRPr="00D705EF">
        <w:rPr>
          <w:rFonts w:hint="cs"/>
          <w:rtl/>
          <w:lang w:bidi="ar-EG"/>
        </w:rPr>
        <w:t>للفترة</w:t>
      </w:r>
      <w:r w:rsidR="00D16D28">
        <w:rPr>
          <w:rFonts w:hint="eastAsia"/>
          <w:rtl/>
          <w:lang w:bidi="ar-EG"/>
        </w:rPr>
        <w:t> </w:t>
      </w:r>
      <w:r w:rsidR="00D16D28">
        <w:rPr>
          <w:lang w:bidi="ar-EG"/>
        </w:rPr>
        <w:t>2031-2028</w:t>
      </w:r>
      <w:r w:rsidRPr="00D705EF">
        <w:rPr>
          <w:rtl/>
          <w:lang w:bidi="ar-EG"/>
        </w:rPr>
        <w:t xml:space="preserve"> إلى الاجتماع الخاص للفريق الاستشاري للاتصالات</w:t>
      </w:r>
      <w:r w:rsidRPr="00D705EF">
        <w:rPr>
          <w:rFonts w:hint="cs"/>
          <w:rtl/>
          <w:lang w:bidi="ar-EG"/>
        </w:rPr>
        <w:t xml:space="preserve"> الراديوية</w:t>
      </w:r>
      <w:r w:rsidRPr="00D705EF">
        <w:rPr>
          <w:rtl/>
          <w:lang w:bidi="ar-EG"/>
        </w:rPr>
        <w:t>"</w:t>
      </w:r>
      <w:r w:rsidRPr="00D705EF">
        <w:rPr>
          <w:rFonts w:hint="cs"/>
          <w:rtl/>
          <w:lang w:bidi="ar-EG"/>
        </w:rPr>
        <w:t xml:space="preserve">، </w:t>
      </w:r>
      <w:r w:rsidRPr="00D705EF">
        <w:rPr>
          <w:rtl/>
          <w:lang w:bidi="ar-EG"/>
        </w:rPr>
        <w:t>المؤشرات المقترحة التالية:</w:t>
      </w:r>
    </w:p>
    <w:p w14:paraId="1E7F3780" w14:textId="77777777" w:rsidR="00D705EF" w:rsidRPr="00D705EF" w:rsidRDefault="00D705EF" w:rsidP="00D705EF">
      <w:pPr>
        <w:rPr>
          <w:i/>
          <w:iCs/>
          <w:rtl/>
        </w:rPr>
      </w:pPr>
      <w:r w:rsidRPr="00D705EF">
        <w:rPr>
          <w:i/>
          <w:iCs/>
          <w:rtl/>
        </w:rPr>
        <w:t>عدد تخصيصات التردد</w:t>
      </w:r>
      <w:r w:rsidRPr="00D705EF">
        <w:rPr>
          <w:rFonts w:hint="cs"/>
          <w:i/>
          <w:iCs/>
          <w:rtl/>
        </w:rPr>
        <w:t>ات</w:t>
      </w:r>
      <w:r w:rsidRPr="00D705EF">
        <w:rPr>
          <w:i/>
          <w:iCs/>
          <w:rtl/>
        </w:rPr>
        <w:t xml:space="preserve"> التي ألغيت من السجل الأساسي الدولي</w:t>
      </w:r>
      <w:r w:rsidRPr="00D705EF">
        <w:rPr>
          <w:rFonts w:hint="cs"/>
          <w:i/>
          <w:iCs/>
          <w:rtl/>
        </w:rPr>
        <w:t> </w:t>
      </w:r>
      <w:r w:rsidRPr="00D705EF">
        <w:rPr>
          <w:i/>
          <w:iCs/>
          <w:rtl/>
        </w:rPr>
        <w:t>للترددات</w:t>
      </w:r>
    </w:p>
    <w:p w14:paraId="1180FA33" w14:textId="621E12F8" w:rsidR="00D705EF" w:rsidRPr="00353646" w:rsidRDefault="00D705EF" w:rsidP="00353646">
      <w:pPr>
        <w:pStyle w:val="enumlev1"/>
        <w:rPr>
          <w:i/>
          <w:iCs/>
          <w:rtl/>
        </w:rPr>
      </w:pPr>
      <w:r w:rsidRPr="00D705EF">
        <w:rPr>
          <w:rFonts w:hint="cs"/>
          <w:rtl/>
        </w:rPr>
        <w:t>-</w:t>
      </w:r>
      <w:r w:rsidRPr="00D705EF">
        <w:rPr>
          <w:rtl/>
        </w:rPr>
        <w:tab/>
      </w:r>
      <w:r w:rsidRPr="00353646">
        <w:rPr>
          <w:i/>
          <w:iCs/>
          <w:rtl/>
        </w:rPr>
        <w:t>بسبب عدم الامتثال للوائح الراديو</w:t>
      </w:r>
    </w:p>
    <w:p w14:paraId="1C0B420F" w14:textId="36CA938E" w:rsidR="00D705EF" w:rsidRPr="00353646" w:rsidRDefault="00D705EF" w:rsidP="00353646">
      <w:pPr>
        <w:pStyle w:val="enumlev1"/>
        <w:rPr>
          <w:i/>
          <w:iCs/>
          <w:rtl/>
        </w:rPr>
      </w:pPr>
      <w:r w:rsidRPr="00D705EF">
        <w:rPr>
          <w:rFonts w:hint="cs"/>
          <w:rtl/>
        </w:rPr>
        <w:t>-</w:t>
      </w:r>
      <w:r w:rsidRPr="00D705EF">
        <w:rPr>
          <w:rtl/>
        </w:rPr>
        <w:tab/>
      </w:r>
      <w:r w:rsidRPr="00353646">
        <w:rPr>
          <w:i/>
          <w:iCs/>
          <w:rtl/>
        </w:rPr>
        <w:t>بناء على مبادرة الإدارة المبلغة</w:t>
      </w:r>
    </w:p>
    <w:p w14:paraId="76F1F085" w14:textId="77777777" w:rsidR="00D705EF" w:rsidRPr="00D705EF" w:rsidRDefault="00D705EF" w:rsidP="00D705EF">
      <w:pPr>
        <w:rPr>
          <w:i/>
          <w:iCs/>
          <w:rtl/>
        </w:rPr>
      </w:pPr>
      <w:r w:rsidRPr="00D705EF">
        <w:rPr>
          <w:i/>
          <w:iCs/>
          <w:rtl/>
        </w:rPr>
        <w:t>تحديث للسجل الأساسي الدولي للترددات، كي يعكس الاستخدام الفعلي طبقاً للخصائص/المعلمات المنشورة</w:t>
      </w:r>
    </w:p>
    <w:p w14:paraId="3AA50B90" w14:textId="148B71CD" w:rsidR="00D705EF" w:rsidRPr="00353646" w:rsidRDefault="00D705EF" w:rsidP="00353646">
      <w:pPr>
        <w:pStyle w:val="enumlev1"/>
        <w:rPr>
          <w:i/>
          <w:iCs/>
          <w:rtl/>
        </w:rPr>
      </w:pPr>
      <w:r w:rsidRPr="00D705EF">
        <w:rPr>
          <w:rFonts w:hint="cs"/>
          <w:rtl/>
        </w:rPr>
        <w:t>-</w:t>
      </w:r>
      <w:r w:rsidRPr="00D705EF">
        <w:rPr>
          <w:rtl/>
        </w:rPr>
        <w:tab/>
      </w:r>
      <w:r w:rsidRPr="00353646">
        <w:rPr>
          <w:i/>
          <w:iCs/>
          <w:rtl/>
        </w:rPr>
        <w:t>الخدمات الفضائية</w:t>
      </w:r>
    </w:p>
    <w:p w14:paraId="68B966DB" w14:textId="694C707E" w:rsidR="00D705EF" w:rsidRPr="00353646" w:rsidRDefault="00D705EF" w:rsidP="00353646">
      <w:pPr>
        <w:pStyle w:val="enumlev1"/>
        <w:rPr>
          <w:i/>
          <w:iCs/>
          <w:rtl/>
        </w:rPr>
      </w:pPr>
      <w:r w:rsidRPr="00D705EF">
        <w:rPr>
          <w:rFonts w:hint="cs"/>
          <w:rtl/>
        </w:rPr>
        <w:t>-</w:t>
      </w:r>
      <w:r w:rsidR="00D16D28">
        <w:tab/>
      </w:r>
      <w:r w:rsidRPr="00353646">
        <w:rPr>
          <w:i/>
          <w:iCs/>
          <w:rtl/>
        </w:rPr>
        <w:t>خدمات الأرض</w:t>
      </w:r>
    </w:p>
    <w:p w14:paraId="2BABCDB4" w14:textId="77777777" w:rsidR="00D705EF" w:rsidRPr="00D705EF" w:rsidRDefault="00D705EF" w:rsidP="00D705EF">
      <w:pPr>
        <w:rPr>
          <w:rtl/>
          <w:lang w:bidi="ar-EG"/>
        </w:rPr>
      </w:pPr>
      <w:r w:rsidRPr="00D705EF">
        <w:rPr>
          <w:rFonts w:hint="cs"/>
          <w:rtl/>
          <w:lang w:bidi="ar-EG"/>
        </w:rPr>
        <w:t xml:space="preserve">وقد </w:t>
      </w:r>
      <w:r w:rsidRPr="00D705EF">
        <w:rPr>
          <w:rtl/>
          <w:lang w:bidi="ar-EG"/>
        </w:rPr>
        <w:t xml:space="preserve">صيغت هذه المؤشرات المقترحة خلال الاجتماع، </w:t>
      </w:r>
      <w:r w:rsidRPr="00D705EF">
        <w:rPr>
          <w:rFonts w:hint="cs"/>
          <w:rtl/>
          <w:lang w:bidi="ar-EG"/>
        </w:rPr>
        <w:t xml:space="preserve">ودُعي </w:t>
      </w:r>
      <w:r w:rsidRPr="00D705EF">
        <w:rPr>
          <w:rtl/>
          <w:lang w:bidi="ar-EG"/>
        </w:rPr>
        <w:t xml:space="preserve">مكتب الاتصالات الراديوية </w:t>
      </w:r>
      <w:r w:rsidRPr="00D705EF">
        <w:rPr>
          <w:rFonts w:hint="cs"/>
          <w:rtl/>
          <w:lang w:bidi="ar-EG"/>
        </w:rPr>
        <w:t>إلى ا</w:t>
      </w:r>
      <w:r w:rsidRPr="00D705EF">
        <w:rPr>
          <w:rtl/>
          <w:lang w:bidi="ar-EG"/>
        </w:rPr>
        <w:t>لنظر في</w:t>
      </w:r>
      <w:r w:rsidRPr="00D705EF">
        <w:rPr>
          <w:rFonts w:hint="cs"/>
          <w:rtl/>
          <w:lang w:bidi="ar-EG"/>
        </w:rPr>
        <w:t xml:space="preserve"> أي</w:t>
      </w:r>
      <w:r w:rsidRPr="00D705EF">
        <w:rPr>
          <w:rtl/>
          <w:lang w:bidi="ar-EG"/>
        </w:rPr>
        <w:t xml:space="preserve"> بيانات يمكن تقديمها للمساعدة في تتبع التقدم</w:t>
      </w:r>
      <w:r w:rsidRPr="00D705EF">
        <w:rPr>
          <w:rFonts w:hint="cs"/>
          <w:rtl/>
          <w:lang w:bidi="ar-EG"/>
        </w:rPr>
        <w:t xml:space="preserve"> </w:t>
      </w:r>
      <w:r w:rsidRPr="00D705EF">
        <w:rPr>
          <w:rtl/>
          <w:lang w:bidi="ar-EG"/>
        </w:rPr>
        <w:t xml:space="preserve">نحو تحقيق النتائج </w:t>
      </w:r>
      <w:r w:rsidRPr="00D705EF">
        <w:rPr>
          <w:rFonts w:hint="cs"/>
          <w:rtl/>
          <w:lang w:bidi="ar-EG"/>
        </w:rPr>
        <w:t>المتوخاة</w:t>
      </w:r>
      <w:r w:rsidRPr="00D705EF">
        <w:rPr>
          <w:rtl/>
          <w:lang w:bidi="ar-EG"/>
        </w:rPr>
        <w:t xml:space="preserve">. </w:t>
      </w:r>
    </w:p>
    <w:p w14:paraId="78FF4CAD" w14:textId="77777777" w:rsidR="00D705EF" w:rsidRPr="00D705EF" w:rsidRDefault="00D705EF" w:rsidP="00D705EF">
      <w:pPr>
        <w:rPr>
          <w:rtl/>
          <w:lang w:bidi="ar-EG"/>
        </w:rPr>
      </w:pPr>
      <w:r w:rsidRPr="00D705EF">
        <w:rPr>
          <w:rFonts w:hint="cs"/>
          <w:rtl/>
          <w:lang w:bidi="ar-EG"/>
        </w:rPr>
        <w:t>و</w:t>
      </w:r>
      <w:r w:rsidRPr="00D705EF">
        <w:rPr>
          <w:rtl/>
          <w:lang w:bidi="ar-EG"/>
        </w:rPr>
        <w:t>في هذه المرحلة، يمكن تقديم بيانات للمؤشر الأول المتعلق بإلغاء تخصيصات التردد</w:t>
      </w:r>
      <w:r w:rsidRPr="00D705EF">
        <w:rPr>
          <w:rFonts w:hint="cs"/>
          <w:rtl/>
          <w:lang w:bidi="ar-EG"/>
        </w:rPr>
        <w:t>ات</w:t>
      </w:r>
      <w:r w:rsidRPr="00D705EF">
        <w:rPr>
          <w:rtl/>
          <w:lang w:bidi="ar-EG"/>
        </w:rPr>
        <w:t>.</w:t>
      </w:r>
    </w:p>
    <w:p w14:paraId="752D8454" w14:textId="77777777" w:rsidR="00D705EF" w:rsidRPr="00D705EF" w:rsidRDefault="00D705EF" w:rsidP="00D16D28">
      <w:pPr>
        <w:pStyle w:val="Headingb"/>
      </w:pPr>
      <w:r w:rsidRPr="00D705EF">
        <w:rPr>
          <w:rFonts w:hint="cs"/>
          <w:rtl/>
        </w:rPr>
        <w:t>دائرة الخدمات الفضائية</w:t>
      </w:r>
    </w:p>
    <w:p w14:paraId="6E3A718A" w14:textId="26239302" w:rsidR="00D705EF" w:rsidRPr="00D705EF" w:rsidRDefault="00D705EF" w:rsidP="00D16D28">
      <w:pPr>
        <w:rPr>
          <w:rtl/>
        </w:rPr>
      </w:pPr>
      <w:r w:rsidRPr="00D705EF">
        <w:rPr>
          <w:rFonts w:hint="cs"/>
          <w:rtl/>
        </w:rPr>
        <w:t>أفادت</w:t>
      </w:r>
      <w:r w:rsidRPr="00D705EF">
        <w:rPr>
          <w:rtl/>
        </w:rPr>
        <w:t xml:space="preserve"> </w:t>
      </w:r>
      <w:r w:rsidRPr="00D705EF">
        <w:rPr>
          <w:rFonts w:hint="cs"/>
          <w:rtl/>
        </w:rPr>
        <w:t>دائرة</w:t>
      </w:r>
      <w:r w:rsidRPr="00D705EF">
        <w:rPr>
          <w:rtl/>
        </w:rPr>
        <w:t xml:space="preserve"> خدمات الفضاء (</w:t>
      </w:r>
      <w:r w:rsidRPr="00D705EF">
        <w:rPr>
          <w:lang w:bidi="ar-EG"/>
        </w:rPr>
        <w:t>SSD</w:t>
      </w:r>
      <w:r w:rsidRPr="00D705EF">
        <w:rPr>
          <w:rtl/>
        </w:rPr>
        <w:t xml:space="preserve">) بالفعل عن </w:t>
      </w:r>
      <w:r w:rsidRPr="00D705EF">
        <w:rPr>
          <w:rFonts w:hint="cs"/>
          <w:rtl/>
        </w:rPr>
        <w:t>إلغاء بطاقات التبليغ عن السواتل</w:t>
      </w:r>
      <w:r w:rsidRPr="00D705EF">
        <w:rPr>
          <w:rtl/>
        </w:rPr>
        <w:t xml:space="preserve"> في القسم 5 من تقرير المدير الصادر قبل كل اجتماع للجنة لوائح الراديو، مثل الوثيقة </w:t>
      </w:r>
      <w:hyperlink r:id="rId14" w:history="1">
        <w:r w:rsidR="00D16D28" w:rsidRPr="00D16D28">
          <w:rPr>
            <w:rStyle w:val="Hyperlink"/>
            <w:lang w:val="en-GB" w:bidi="ar-EG"/>
          </w:rPr>
          <w:t>RRB25-3/11</w:t>
        </w:r>
      </w:hyperlink>
      <w:r w:rsidRPr="00D705EF">
        <w:rPr>
          <w:rtl/>
        </w:rPr>
        <w:t>.</w:t>
      </w:r>
    </w:p>
    <w:p w14:paraId="643E6E44" w14:textId="5322B20B" w:rsidR="00EE60E9" w:rsidRDefault="00D705EF" w:rsidP="00D705EF">
      <w:pPr>
        <w:rPr>
          <w:lang w:bidi="ar-EG"/>
        </w:rPr>
      </w:pPr>
      <w:r w:rsidRPr="00D705EF">
        <w:rPr>
          <w:rFonts w:hint="cs"/>
          <w:rtl/>
        </w:rPr>
        <w:t>و</w:t>
      </w:r>
      <w:r w:rsidRPr="00D705EF">
        <w:rPr>
          <w:rtl/>
        </w:rPr>
        <w:t xml:space="preserve">يمكن إعادة استخدام جزء من الإحصاءات الواردة في تقرير المدير </w:t>
      </w:r>
      <w:r w:rsidRPr="00D705EF">
        <w:rPr>
          <w:rFonts w:hint="cs"/>
          <w:rtl/>
        </w:rPr>
        <w:t xml:space="preserve"> المقدم </w:t>
      </w:r>
      <w:r w:rsidRPr="00D705EF">
        <w:rPr>
          <w:rtl/>
        </w:rPr>
        <w:t xml:space="preserve">إلى لجنة لوائح الراديو للإبلاغ عن المؤشر المقترح المتعلق بتخصيصات الترددات التي </w:t>
      </w:r>
      <w:r w:rsidRPr="00D705EF">
        <w:rPr>
          <w:rFonts w:hint="cs"/>
          <w:rtl/>
        </w:rPr>
        <w:t>أُلغيت</w:t>
      </w:r>
      <w:r w:rsidRPr="00D705EF">
        <w:rPr>
          <w:rtl/>
        </w:rPr>
        <w:t xml:space="preserve"> من السجل الأساسي</w:t>
      </w:r>
      <w:r w:rsidRPr="00D705EF">
        <w:rPr>
          <w:rFonts w:hint="cs"/>
          <w:rtl/>
        </w:rPr>
        <w:t xml:space="preserve"> الدولي</w:t>
      </w:r>
      <w:r w:rsidRPr="00D705EF">
        <w:rPr>
          <w:rtl/>
        </w:rPr>
        <w:t xml:space="preserve"> للترددات (</w:t>
      </w:r>
      <w:r w:rsidRPr="00D705EF">
        <w:rPr>
          <w:lang w:bidi="ar-EG"/>
        </w:rPr>
        <w:t>MIFR</w:t>
      </w:r>
      <w:r w:rsidRPr="00D705EF">
        <w:rPr>
          <w:rtl/>
        </w:rPr>
        <w:t xml:space="preserve">)، على سبيل المثال، </w:t>
      </w:r>
      <w:r w:rsidRPr="00D705EF">
        <w:rPr>
          <w:rFonts w:hint="cs"/>
          <w:rtl/>
        </w:rPr>
        <w:t>الجداول 5-1</w:t>
      </w:r>
      <w:r w:rsidRPr="00D705EF">
        <w:rPr>
          <w:rtl/>
        </w:rPr>
        <w:t xml:space="preserve"> (</w:t>
      </w:r>
      <w:r w:rsidRPr="00D705EF">
        <w:rPr>
          <w:rFonts w:hint="cs"/>
          <w:rtl/>
        </w:rPr>
        <w:t>إلغاء ال</w:t>
      </w:r>
      <w:r w:rsidRPr="00D705EF">
        <w:rPr>
          <w:rtl/>
        </w:rPr>
        <w:t xml:space="preserve">شبكات </w:t>
      </w:r>
      <w:r w:rsidRPr="00D705EF">
        <w:rPr>
          <w:rFonts w:hint="cs"/>
          <w:rtl/>
        </w:rPr>
        <w:t>والأنظمة الساتلية</w:t>
      </w:r>
      <w:r w:rsidRPr="00D705EF">
        <w:rPr>
          <w:rtl/>
        </w:rPr>
        <w:t xml:space="preserve"> غير الخاضعة لخطة فضائية)، </w:t>
      </w:r>
      <w:r w:rsidRPr="00D705EF">
        <w:rPr>
          <w:rFonts w:hint="cs"/>
          <w:rtl/>
        </w:rPr>
        <w:t>و</w:t>
      </w:r>
      <w:r w:rsidRPr="00D705EF">
        <w:rPr>
          <w:rtl/>
        </w:rPr>
        <w:t>5-2 (</w:t>
      </w:r>
      <w:r w:rsidRPr="00D705EF">
        <w:rPr>
          <w:rFonts w:hint="cs"/>
          <w:rtl/>
        </w:rPr>
        <w:t>إلغاء</w:t>
      </w:r>
      <w:r w:rsidRPr="00D705EF">
        <w:rPr>
          <w:rtl/>
        </w:rPr>
        <w:t xml:space="preserve"> </w:t>
      </w:r>
      <w:r w:rsidRPr="00D705EF">
        <w:rPr>
          <w:rFonts w:hint="cs"/>
          <w:rtl/>
        </w:rPr>
        <w:t>ال</w:t>
      </w:r>
      <w:r w:rsidRPr="00D705EF">
        <w:rPr>
          <w:rtl/>
        </w:rPr>
        <w:t xml:space="preserve">شبكات </w:t>
      </w:r>
      <w:r w:rsidRPr="00D705EF">
        <w:rPr>
          <w:rFonts w:hint="cs"/>
          <w:rtl/>
        </w:rPr>
        <w:t>الساتلية</w:t>
      </w:r>
      <w:r w:rsidRPr="00D705EF">
        <w:rPr>
          <w:rtl/>
        </w:rPr>
        <w:t xml:space="preserve"> الخاضعة لخطط الخدمة الإذاعية الساتلية (</w:t>
      </w:r>
      <w:r w:rsidRPr="00D705EF">
        <w:rPr>
          <w:lang w:bidi="ar-EG"/>
        </w:rPr>
        <w:t>BSS</w:t>
      </w:r>
      <w:r w:rsidRPr="00D705EF">
        <w:rPr>
          <w:rtl/>
        </w:rPr>
        <w:t xml:space="preserve">) ووصلات التغذية </w:t>
      </w:r>
      <w:r w:rsidRPr="00D705EF">
        <w:rPr>
          <w:rFonts w:hint="cs"/>
          <w:rtl/>
        </w:rPr>
        <w:t>الخاصة بها،</w:t>
      </w:r>
      <w:r w:rsidRPr="00D705EF">
        <w:rPr>
          <w:rtl/>
        </w:rPr>
        <w:t xml:space="preserve"> الواردة في </w:t>
      </w:r>
      <w:r w:rsidRPr="00D705EF">
        <w:rPr>
          <w:rFonts w:hint="cs"/>
          <w:rtl/>
        </w:rPr>
        <w:t xml:space="preserve">التذييلين </w:t>
      </w:r>
      <w:r w:rsidRPr="00D705EF">
        <w:rPr>
          <w:rFonts w:hint="cs"/>
          <w:b/>
          <w:bCs/>
          <w:rtl/>
        </w:rPr>
        <w:t>30</w:t>
      </w:r>
      <w:r w:rsidRPr="00D705EF">
        <w:rPr>
          <w:rFonts w:hint="cs"/>
          <w:rtl/>
        </w:rPr>
        <w:t xml:space="preserve"> و</w:t>
      </w:r>
      <w:r w:rsidRPr="00D705EF">
        <w:rPr>
          <w:b/>
          <w:bCs/>
          <w:lang w:val="de-CH" w:bidi="ar-EG"/>
        </w:rPr>
        <w:t>30A</w:t>
      </w:r>
      <w:r w:rsidRPr="00D705EF">
        <w:rPr>
          <w:rtl/>
        </w:rPr>
        <w:t xml:space="preserve"> من لوائح الراديو)، و5-3 (</w:t>
      </w:r>
      <w:r w:rsidRPr="00D705EF">
        <w:rPr>
          <w:rFonts w:hint="cs"/>
          <w:rtl/>
        </w:rPr>
        <w:t>إزالة</w:t>
      </w:r>
      <w:r w:rsidRPr="00D705EF">
        <w:rPr>
          <w:rtl/>
        </w:rPr>
        <w:t xml:space="preserve"> شبكات </w:t>
      </w:r>
      <w:r w:rsidRPr="00D705EF">
        <w:rPr>
          <w:rFonts w:hint="cs"/>
          <w:rtl/>
        </w:rPr>
        <w:t xml:space="preserve">السواتل </w:t>
      </w:r>
      <w:r w:rsidRPr="00D705EF">
        <w:rPr>
          <w:rtl/>
        </w:rPr>
        <w:t>الخاضعة لخطة الخدمة الثابتة الساتلية (</w:t>
      </w:r>
      <w:r w:rsidRPr="00D705EF">
        <w:rPr>
          <w:lang w:bidi="ar-EG"/>
        </w:rPr>
        <w:t>FSS</w:t>
      </w:r>
      <w:r w:rsidRPr="00D705EF">
        <w:rPr>
          <w:rtl/>
        </w:rPr>
        <w:t xml:space="preserve">) الواردة في الملحق </w:t>
      </w:r>
      <w:r w:rsidRPr="00D705EF">
        <w:rPr>
          <w:b/>
          <w:bCs/>
          <w:lang w:val="de-CH" w:bidi="ar-EG"/>
        </w:rPr>
        <w:t>30B</w:t>
      </w:r>
      <w:r w:rsidRPr="00D705EF">
        <w:rPr>
          <w:rFonts w:hint="cs"/>
          <w:rtl/>
          <w:lang w:bidi="ar-SY"/>
        </w:rPr>
        <w:t xml:space="preserve"> </w:t>
      </w:r>
      <w:r w:rsidRPr="00D705EF">
        <w:rPr>
          <w:rtl/>
        </w:rPr>
        <w:t>من لوائح الراديو).</w:t>
      </w:r>
    </w:p>
    <w:p w14:paraId="0889A161" w14:textId="77777777" w:rsidR="00D705EF" w:rsidRPr="00D705EF" w:rsidRDefault="00D705EF" w:rsidP="00D16D28">
      <w:pPr>
        <w:pStyle w:val="Headingb"/>
        <w:rPr>
          <w:rtl/>
        </w:rPr>
      </w:pPr>
      <w:r w:rsidRPr="00D705EF">
        <w:rPr>
          <w:rFonts w:hint="cs"/>
          <w:rtl/>
        </w:rPr>
        <w:lastRenderedPageBreak/>
        <w:t>دائرة خدمات الأرض</w:t>
      </w:r>
    </w:p>
    <w:p w14:paraId="7B9ADFF0" w14:textId="2300AB2E" w:rsidR="0012545F" w:rsidRDefault="00D705EF" w:rsidP="00D705EF">
      <w:pPr>
        <w:rPr>
          <w:rtl/>
          <w:lang w:bidi="ar-EG"/>
        </w:rPr>
      </w:pPr>
      <w:r w:rsidRPr="00D705EF">
        <w:rPr>
          <w:rtl/>
          <w:lang w:bidi="ar-EG"/>
        </w:rPr>
        <w:t>ستُبلغ إدارة خدمات الأرض (</w:t>
      </w:r>
      <w:r w:rsidRPr="00D705EF">
        <w:rPr>
          <w:lang w:bidi="ar-EG"/>
        </w:rPr>
        <w:t>TSD</w:t>
      </w:r>
      <w:r w:rsidRPr="00D705EF">
        <w:rPr>
          <w:rtl/>
          <w:lang w:bidi="ar-EG"/>
        </w:rPr>
        <w:t xml:space="preserve">) عن عدد </w:t>
      </w:r>
      <w:r w:rsidRPr="00D705EF">
        <w:rPr>
          <w:rFonts w:hint="cs"/>
          <w:rtl/>
          <w:lang w:bidi="ar-EG"/>
        </w:rPr>
        <w:t>الإلغاءات</w:t>
      </w:r>
      <w:r w:rsidRPr="00D705EF">
        <w:rPr>
          <w:rtl/>
          <w:lang w:bidi="ar-EG"/>
        </w:rPr>
        <w:t xml:space="preserve">. ولهذا الغرض، ستُستخدم بيانات </w:t>
      </w:r>
      <w:r w:rsidRPr="00D705EF">
        <w:rPr>
          <w:rtl/>
        </w:rPr>
        <w:t>النشرة الإعلامية الدولية للترددات الصادرة عن مكتب الاتصالات الرادي</w:t>
      </w:r>
      <w:proofErr w:type="spellStart"/>
      <w:r w:rsidRPr="00D705EF">
        <w:rPr>
          <w:rFonts w:hint="cs"/>
          <w:rtl/>
          <w:lang w:bidi="ar-SY"/>
        </w:rPr>
        <w:t>وية</w:t>
      </w:r>
      <w:proofErr w:type="spellEnd"/>
      <w:r w:rsidRPr="00D705EF">
        <w:rPr>
          <w:rFonts w:hint="cs"/>
          <w:rtl/>
          <w:lang w:bidi="ar-SY"/>
        </w:rPr>
        <w:t xml:space="preserve"> (</w:t>
      </w:r>
      <w:r w:rsidRPr="00D705EF">
        <w:rPr>
          <w:lang w:val="de-CH" w:bidi="ar-EG"/>
        </w:rPr>
        <w:t>BRIFIC</w:t>
      </w:r>
      <w:r w:rsidRPr="00D705EF">
        <w:rPr>
          <w:rFonts w:hint="cs"/>
          <w:rtl/>
          <w:lang w:bidi="ar-SY"/>
        </w:rPr>
        <w:t>).</w:t>
      </w:r>
    </w:p>
    <w:p w14:paraId="7D265EAC" w14:textId="77777777" w:rsidR="0039465C" w:rsidRPr="0039465C" w:rsidRDefault="0039465C" w:rsidP="0039465C">
      <w:pPr>
        <w:spacing w:before="600"/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5"/>
      <w:headerReference w:type="defaul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3F44" w14:textId="77777777" w:rsidR="00A87658" w:rsidRDefault="00A87658" w:rsidP="002919E1">
      <w:r>
        <w:separator/>
      </w:r>
    </w:p>
    <w:p w14:paraId="3001E587" w14:textId="77777777" w:rsidR="00A87658" w:rsidRDefault="00A87658" w:rsidP="002919E1"/>
    <w:p w14:paraId="53CF2D01" w14:textId="77777777" w:rsidR="00A87658" w:rsidRDefault="00A87658" w:rsidP="002919E1"/>
    <w:p w14:paraId="4DFE6BB6" w14:textId="77777777" w:rsidR="00A87658" w:rsidRDefault="00A87658"/>
  </w:endnote>
  <w:endnote w:type="continuationSeparator" w:id="0">
    <w:p w14:paraId="522025B2" w14:textId="77777777" w:rsidR="00A87658" w:rsidRDefault="00A87658" w:rsidP="002919E1">
      <w:r>
        <w:continuationSeparator/>
      </w:r>
    </w:p>
    <w:p w14:paraId="3652FBB3" w14:textId="77777777" w:rsidR="00A87658" w:rsidRDefault="00A87658" w:rsidP="002919E1"/>
    <w:p w14:paraId="288EDA4B" w14:textId="77777777" w:rsidR="00A87658" w:rsidRDefault="00A87658" w:rsidP="002919E1"/>
    <w:p w14:paraId="0B59480A" w14:textId="77777777" w:rsidR="00A87658" w:rsidRDefault="00A87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800D9" w14:textId="77777777" w:rsidR="00A87658" w:rsidRDefault="00A87658" w:rsidP="002919E1">
      <w:r>
        <w:separator/>
      </w:r>
    </w:p>
  </w:footnote>
  <w:footnote w:type="continuationSeparator" w:id="0">
    <w:p w14:paraId="2B440F15" w14:textId="77777777" w:rsidR="00A87658" w:rsidRDefault="00A87658" w:rsidP="002919E1">
      <w:r>
        <w:continuationSeparator/>
      </w:r>
    </w:p>
    <w:p w14:paraId="6D036E1F" w14:textId="77777777" w:rsidR="00A87658" w:rsidRDefault="00A87658" w:rsidP="002919E1"/>
    <w:p w14:paraId="37A47EC4" w14:textId="77777777" w:rsidR="00A87658" w:rsidRDefault="00A87658" w:rsidP="002919E1"/>
    <w:p w14:paraId="3CA0076F" w14:textId="77777777" w:rsidR="00A87658" w:rsidRDefault="00A87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3357" w14:textId="77777777" w:rsidR="00281F5F" w:rsidRDefault="00281F5F" w:rsidP="002919E1"/>
  <w:p w14:paraId="44504B80" w14:textId="77777777" w:rsidR="00281F5F" w:rsidRDefault="00281F5F" w:rsidP="002919E1"/>
  <w:p w14:paraId="576D3E7F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FC16" w14:textId="6FB1A059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57610B">
      <w:rPr>
        <w:rStyle w:val="PageNumber"/>
      </w:rPr>
      <w:t>AG</w:t>
    </w:r>
    <w:r w:rsidR="00A809E8">
      <w:rPr>
        <w:rStyle w:val="PageNumber"/>
      </w:rPr>
      <w:t>/</w:t>
    </w:r>
    <w:r w:rsidR="00D705EF">
      <w:rPr>
        <w:rStyle w:val="PageNumber"/>
      </w:rPr>
      <w:t>52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4C50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B8A3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642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1AC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E4A8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941254747">
    <w:abstractNumId w:val="9"/>
  </w:num>
  <w:num w:numId="2" w16cid:durableId="27415678">
    <w:abstractNumId w:val="11"/>
  </w:num>
  <w:num w:numId="3" w16cid:durableId="2143887854">
    <w:abstractNumId w:val="10"/>
  </w:num>
  <w:num w:numId="4" w16cid:durableId="755978698">
    <w:abstractNumId w:val="12"/>
  </w:num>
  <w:num w:numId="5" w16cid:durableId="149101363">
    <w:abstractNumId w:val="7"/>
  </w:num>
  <w:num w:numId="6" w16cid:durableId="1707294372">
    <w:abstractNumId w:val="6"/>
  </w:num>
  <w:num w:numId="7" w16cid:durableId="115569023">
    <w:abstractNumId w:val="5"/>
  </w:num>
  <w:num w:numId="8" w16cid:durableId="542986002">
    <w:abstractNumId w:val="4"/>
  </w:num>
  <w:num w:numId="9" w16cid:durableId="78447913">
    <w:abstractNumId w:val="8"/>
  </w:num>
  <w:num w:numId="10" w16cid:durableId="1325746273">
    <w:abstractNumId w:val="3"/>
  </w:num>
  <w:num w:numId="11" w16cid:durableId="1545017302">
    <w:abstractNumId w:val="2"/>
  </w:num>
  <w:num w:numId="12" w16cid:durableId="58022769">
    <w:abstractNumId w:val="1"/>
  </w:num>
  <w:num w:numId="13" w16cid:durableId="85762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CF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14113"/>
    <w:rsid w:val="00123AA6"/>
    <w:rsid w:val="0012545F"/>
    <w:rsid w:val="00136B82"/>
    <w:rsid w:val="001464F2"/>
    <w:rsid w:val="0015266B"/>
    <w:rsid w:val="00167364"/>
    <w:rsid w:val="001903B2"/>
    <w:rsid w:val="001B5953"/>
    <w:rsid w:val="001D746E"/>
    <w:rsid w:val="001E190C"/>
    <w:rsid w:val="001E51EE"/>
    <w:rsid w:val="001E54F6"/>
    <w:rsid w:val="001E5A8C"/>
    <w:rsid w:val="001E6923"/>
    <w:rsid w:val="00201A0A"/>
    <w:rsid w:val="0020319D"/>
    <w:rsid w:val="002075D4"/>
    <w:rsid w:val="00211B2A"/>
    <w:rsid w:val="00217C14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7AB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0601A"/>
    <w:rsid w:val="00311E3F"/>
    <w:rsid w:val="00314B1E"/>
    <w:rsid w:val="0033737F"/>
    <w:rsid w:val="00353646"/>
    <w:rsid w:val="00353652"/>
    <w:rsid w:val="003569E1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64B03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F0BED"/>
    <w:rsid w:val="00505FCA"/>
    <w:rsid w:val="00510C2D"/>
    <w:rsid w:val="00516042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3F66"/>
    <w:rsid w:val="00554AE7"/>
    <w:rsid w:val="00564746"/>
    <w:rsid w:val="0056512C"/>
    <w:rsid w:val="00567F38"/>
    <w:rsid w:val="005730DF"/>
    <w:rsid w:val="0057610B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77C0"/>
    <w:rsid w:val="006779A4"/>
    <w:rsid w:val="00680A66"/>
    <w:rsid w:val="00681391"/>
    <w:rsid w:val="00694690"/>
    <w:rsid w:val="0069526C"/>
    <w:rsid w:val="006A093D"/>
    <w:rsid w:val="006A12AC"/>
    <w:rsid w:val="006A2162"/>
    <w:rsid w:val="006B4B90"/>
    <w:rsid w:val="006B658C"/>
    <w:rsid w:val="006D2674"/>
    <w:rsid w:val="006E38D0"/>
    <w:rsid w:val="006E465B"/>
    <w:rsid w:val="006F70BF"/>
    <w:rsid w:val="00716B1D"/>
    <w:rsid w:val="007248EC"/>
    <w:rsid w:val="00726744"/>
    <w:rsid w:val="00731150"/>
    <w:rsid w:val="00731749"/>
    <w:rsid w:val="00734E41"/>
    <w:rsid w:val="007351CE"/>
    <w:rsid w:val="00736DCC"/>
    <w:rsid w:val="00737DCF"/>
    <w:rsid w:val="00741855"/>
    <w:rsid w:val="00742B73"/>
    <w:rsid w:val="00751251"/>
    <w:rsid w:val="0075443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5A65"/>
    <w:rsid w:val="007E0E8B"/>
    <w:rsid w:val="007E6847"/>
    <w:rsid w:val="007E6B0A"/>
    <w:rsid w:val="007F08CA"/>
    <w:rsid w:val="007F7FC3"/>
    <w:rsid w:val="00801238"/>
    <w:rsid w:val="00810482"/>
    <w:rsid w:val="00817568"/>
    <w:rsid w:val="008204AC"/>
    <w:rsid w:val="008261C2"/>
    <w:rsid w:val="00827482"/>
    <w:rsid w:val="00830D96"/>
    <w:rsid w:val="0085569D"/>
    <w:rsid w:val="00855B59"/>
    <w:rsid w:val="0085774F"/>
    <w:rsid w:val="008579A5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F4626"/>
    <w:rsid w:val="009004DF"/>
    <w:rsid w:val="00904AA5"/>
    <w:rsid w:val="00921452"/>
    <w:rsid w:val="00951718"/>
    <w:rsid w:val="00960962"/>
    <w:rsid w:val="00972CE0"/>
    <w:rsid w:val="009A3D30"/>
    <w:rsid w:val="009D6348"/>
    <w:rsid w:val="009E5007"/>
    <w:rsid w:val="009E613F"/>
    <w:rsid w:val="009F042B"/>
    <w:rsid w:val="00A03F63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809E8"/>
    <w:rsid w:val="00A85B65"/>
    <w:rsid w:val="00A870AD"/>
    <w:rsid w:val="00A87658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21B75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4E09"/>
    <w:rsid w:val="00C3693C"/>
    <w:rsid w:val="00C449F7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1574"/>
    <w:rsid w:val="00CE0E68"/>
    <w:rsid w:val="00CE5BA4"/>
    <w:rsid w:val="00D16D28"/>
    <w:rsid w:val="00D25120"/>
    <w:rsid w:val="00D36C5E"/>
    <w:rsid w:val="00D419CB"/>
    <w:rsid w:val="00D44350"/>
    <w:rsid w:val="00D44E3F"/>
    <w:rsid w:val="00D51BB8"/>
    <w:rsid w:val="00D525F5"/>
    <w:rsid w:val="00D535D0"/>
    <w:rsid w:val="00D577D8"/>
    <w:rsid w:val="00D62C78"/>
    <w:rsid w:val="00D705EF"/>
    <w:rsid w:val="00D81703"/>
    <w:rsid w:val="00D82929"/>
    <w:rsid w:val="00D84214"/>
    <w:rsid w:val="00D943E5"/>
    <w:rsid w:val="00DA1AE0"/>
    <w:rsid w:val="00DC29DD"/>
    <w:rsid w:val="00DC7C0E"/>
    <w:rsid w:val="00DE7387"/>
    <w:rsid w:val="00DF2A6A"/>
    <w:rsid w:val="00DF3B72"/>
    <w:rsid w:val="00E10821"/>
    <w:rsid w:val="00E2489D"/>
    <w:rsid w:val="00E26520"/>
    <w:rsid w:val="00E26732"/>
    <w:rsid w:val="00E343A3"/>
    <w:rsid w:val="00E47277"/>
    <w:rsid w:val="00E51BFA"/>
    <w:rsid w:val="00E6129E"/>
    <w:rsid w:val="00E621A3"/>
    <w:rsid w:val="00E833BC"/>
    <w:rsid w:val="00E8580E"/>
    <w:rsid w:val="00E97E21"/>
    <w:rsid w:val="00EA1B76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52E75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181D84"/>
  <w15:docId w15:val="{FDFB0969-67FF-4B15-8D43-82120DB7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43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731749"/>
    <w:pPr>
      <w:keepNext/>
      <w:spacing w:before="280"/>
      <w:ind w:left="794" w:hanging="79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85B65"/>
    <w:pPr>
      <w:tabs>
        <w:tab w:val="clear" w:pos="794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A85B6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85B65"/>
    <w:pPr>
      <w:ind w:left="1588"/>
    </w:pPr>
  </w:style>
  <w:style w:type="character" w:customStyle="1" w:styleId="enumlev2Char">
    <w:name w:val="enumlev2 Char"/>
    <w:basedOn w:val="enumlev1Char"/>
    <w:link w:val="enumlev2"/>
    <w:rsid w:val="00A85B6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85B65"/>
    <w:pPr>
      <w:ind w:left="2382"/>
    </w:pPr>
  </w:style>
  <w:style w:type="character" w:customStyle="1" w:styleId="enumlev3Char">
    <w:name w:val="enumlev3 Char"/>
    <w:basedOn w:val="enumlev2Char"/>
    <w:link w:val="enumlev3"/>
    <w:rsid w:val="00A85B6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R23-RAG-C-0051/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R25-RRB25.3-C-0011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04%20Fourth%20Contract%20Work%20(13-10-2025%20---%2028-11-2025)\11%20November\10\2502656A\Typing\PA_RAG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93A09B-EEE6-4C53-B7B9-57B7D6E662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FC4C3-DC4A-4907-A9BB-98121FAC99D6}">
  <ds:schemaRefs>
    <ds:schemaRef ds:uri="996b2e75-67fd-4955-a3b0-5ab9934cb50b"/>
    <ds:schemaRef ds:uri="http://purl.org/dc/elements/1.1/"/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PA_RAG25.dotx</Template>
  <TotalTime>1</TotalTime>
  <Pages>2</Pages>
  <Words>276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Arabic_AA</dc:creator>
  <cp:keywords/>
  <cp:lastModifiedBy>Xue, Kun</cp:lastModifiedBy>
  <cp:revision>2</cp:revision>
  <cp:lastPrinted>2019-06-26T10:10:00Z</cp:lastPrinted>
  <dcterms:created xsi:type="dcterms:W3CDTF">2025-11-12T09:32:00Z</dcterms:created>
  <dcterms:modified xsi:type="dcterms:W3CDTF">2025-11-12T09:32:00Z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