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6B68ECD" w14:textId="77777777" w:rsidTr="001B4810">
        <w:trPr>
          <w:cantSplit/>
        </w:trPr>
        <w:tc>
          <w:tcPr>
            <w:tcW w:w="6771" w:type="dxa"/>
            <w:vAlign w:val="center"/>
          </w:tcPr>
          <w:p w14:paraId="60390450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06675F10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EA2CEAB" wp14:editId="16DF3942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92DB48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4912BD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04B70A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127F4FA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743EB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0B95F25B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5436CF3C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39203F51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2529EB5B" w14:textId="4D647B05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097E2C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03C44D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55B90E15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375E1AF0" w14:textId="0FC0BF74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31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3DA4879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329321D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2E7445BF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65B76C3D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BF30944" w14:textId="581793E7" w:rsidR="00426448" w:rsidRPr="00D872CB" w:rsidRDefault="00097E2C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bCs/>
                <w:color w:val="000000"/>
                <w:lang w:val="zh-CN" w:eastAsia="zh-CN"/>
              </w:rPr>
              <w:t>埃及（阿拉伯共和国）</w:t>
            </w:r>
          </w:p>
        </w:tc>
      </w:tr>
      <w:tr w:rsidR="00BC195C" w:rsidRPr="00D872CB" w14:paraId="138ECBE1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8C047C9" w14:textId="74A1969E" w:rsidR="00E130B3" w:rsidRPr="00726BD1" w:rsidRDefault="00097E2C" w:rsidP="000A4F34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4" w:name="dtitle1" w:colFirst="0" w:colLast="0"/>
            <w:bookmarkEnd w:id="3"/>
            <w:r w:rsidRPr="00097E2C">
              <w:rPr>
                <w:sz w:val="28"/>
                <w:szCs w:val="28"/>
                <w:lang w:val="zh-CN" w:eastAsia="zh-CN"/>
              </w:rPr>
              <w:t>在日内瓦以外</w:t>
            </w:r>
            <w:r w:rsidRPr="00097E2C">
              <w:rPr>
                <w:rFonts w:hint="eastAsia"/>
                <w:sz w:val="28"/>
                <w:szCs w:val="28"/>
                <w:lang w:val="zh-CN" w:eastAsia="zh-CN"/>
              </w:rPr>
              <w:t>承</w:t>
            </w:r>
            <w:r w:rsidRPr="00097E2C">
              <w:rPr>
                <w:sz w:val="28"/>
                <w:szCs w:val="28"/>
                <w:lang w:val="zh-CN" w:eastAsia="zh-CN"/>
              </w:rPr>
              <w:t>办</w:t>
            </w:r>
            <w:r w:rsidRPr="00097E2C">
              <w:rPr>
                <w:sz w:val="28"/>
                <w:szCs w:val="28"/>
                <w:lang w:val="zh-CN" w:eastAsia="zh-CN"/>
              </w:rPr>
              <w:t>ITU-R</w:t>
            </w:r>
            <w:r w:rsidRPr="00097E2C">
              <w:rPr>
                <w:sz w:val="28"/>
                <w:szCs w:val="28"/>
                <w:lang w:val="zh-CN" w:eastAsia="zh-CN"/>
              </w:rPr>
              <w:t>会议的程序</w:t>
            </w:r>
          </w:p>
        </w:tc>
      </w:tr>
    </w:tbl>
    <w:bookmarkEnd w:id="4"/>
    <w:p w14:paraId="4E08529D" w14:textId="77777777" w:rsidR="00097E2C" w:rsidRPr="00191F35" w:rsidRDefault="00097E2C" w:rsidP="00097E2C">
      <w:pPr>
        <w:pStyle w:val="Heading1"/>
        <w:rPr>
          <w:sz w:val="25"/>
          <w:szCs w:val="25"/>
          <w:lang w:eastAsia="zh-CN"/>
        </w:rPr>
      </w:pPr>
      <w:r>
        <w:rPr>
          <w:bCs/>
          <w:lang w:val="zh-CN" w:eastAsia="zh-CN"/>
        </w:rPr>
        <w:t>介绍</w:t>
      </w:r>
    </w:p>
    <w:p w14:paraId="30562B53" w14:textId="77777777" w:rsidR="00097E2C" w:rsidRPr="00191F35" w:rsidRDefault="00097E2C" w:rsidP="00097E2C">
      <w:pPr>
        <w:ind w:firstLineChars="200" w:firstLine="480"/>
        <w:rPr>
          <w:lang w:eastAsia="zh-CN"/>
        </w:rPr>
      </w:pPr>
      <w:r>
        <w:rPr>
          <w:lang w:val="zh-CN" w:eastAsia="zh-CN"/>
        </w:rPr>
        <w:t>埃及认识到有必要</w:t>
      </w:r>
      <w:r>
        <w:rPr>
          <w:rFonts w:hint="eastAsia"/>
          <w:lang w:val="zh-CN" w:eastAsia="zh-CN"/>
        </w:rPr>
        <w:t>通过</w:t>
      </w:r>
      <w:r>
        <w:rPr>
          <w:lang w:val="zh-CN" w:eastAsia="zh-CN"/>
        </w:rPr>
        <w:t>结构化的程序管理在日内瓦以外</w:t>
      </w:r>
      <w:r>
        <w:rPr>
          <w:rFonts w:hint="eastAsia"/>
          <w:lang w:val="zh-CN" w:eastAsia="zh-CN"/>
        </w:rPr>
        <w:t>承</w:t>
      </w:r>
      <w:r>
        <w:rPr>
          <w:lang w:val="zh-CN" w:eastAsia="zh-CN"/>
        </w:rPr>
        <w:t>办</w:t>
      </w:r>
      <w:r>
        <w:rPr>
          <w:lang w:val="zh-CN" w:eastAsia="zh-CN"/>
        </w:rPr>
        <w:t>ITU-R</w:t>
      </w:r>
      <w:r>
        <w:rPr>
          <w:lang w:val="zh-CN" w:eastAsia="zh-CN"/>
        </w:rPr>
        <w:t>会议，特别是</w:t>
      </w:r>
      <w:r>
        <w:rPr>
          <w:rFonts w:hint="eastAsia"/>
          <w:lang w:val="zh-CN" w:eastAsia="zh-CN"/>
        </w:rPr>
        <w:t>要</w:t>
      </w:r>
      <w:r>
        <w:rPr>
          <w:lang w:val="zh-CN" w:eastAsia="zh-CN"/>
        </w:rPr>
        <w:t>考虑到国际电联总部办公楼项目以及许多成员国需要对其后勤和</w:t>
      </w:r>
      <w:r>
        <w:rPr>
          <w:rFonts w:hint="eastAsia"/>
          <w:lang w:val="zh-CN" w:eastAsia="zh-CN"/>
        </w:rPr>
        <w:t>资金需求</w:t>
      </w:r>
      <w:r>
        <w:rPr>
          <w:lang w:val="zh-CN" w:eastAsia="zh-CN"/>
        </w:rPr>
        <w:t>做出规划。明确的邀请时间表、磋商和接受程序机制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对确保</w:t>
      </w:r>
      <w:r>
        <w:rPr>
          <w:rFonts w:hint="eastAsia"/>
          <w:lang w:val="zh-CN" w:eastAsia="zh-CN"/>
        </w:rPr>
        <w:t>会议的</w:t>
      </w:r>
      <w:r>
        <w:rPr>
          <w:lang w:val="zh-CN" w:eastAsia="zh-CN"/>
        </w:rPr>
        <w:t>透明度、可预测性和所有成员国的有效参与至关重要。</w:t>
      </w:r>
    </w:p>
    <w:p w14:paraId="74C8E445" w14:textId="77777777" w:rsidR="00097E2C" w:rsidRPr="00191F35" w:rsidRDefault="00097E2C" w:rsidP="00097E2C">
      <w:pPr>
        <w:pStyle w:val="Heading1"/>
        <w:rPr>
          <w:lang w:eastAsia="zh-CN"/>
        </w:rPr>
      </w:pPr>
      <w:r>
        <w:rPr>
          <w:bCs/>
          <w:lang w:val="zh-CN" w:eastAsia="zh-CN"/>
        </w:rPr>
        <w:t>讨论</w:t>
      </w:r>
    </w:p>
    <w:p w14:paraId="59EA1217" w14:textId="77777777" w:rsidR="00097E2C" w:rsidRPr="00191F35" w:rsidRDefault="00097E2C" w:rsidP="00097E2C">
      <w:pPr>
        <w:ind w:firstLineChars="200" w:firstLine="480"/>
        <w:rPr>
          <w:lang w:eastAsia="zh-CN"/>
        </w:rPr>
      </w:pPr>
      <w:r>
        <w:rPr>
          <w:lang w:val="zh-CN" w:eastAsia="zh-CN"/>
        </w:rPr>
        <w:t>全权代表大会第</w:t>
      </w:r>
      <w:r>
        <w:rPr>
          <w:lang w:val="zh-CN" w:eastAsia="zh-CN"/>
        </w:rPr>
        <w:t>5</w:t>
      </w:r>
      <w:r>
        <w:rPr>
          <w:lang w:val="zh-CN" w:eastAsia="zh-CN"/>
        </w:rPr>
        <w:t>号决议（</w:t>
      </w:r>
      <w:r>
        <w:rPr>
          <w:lang w:val="zh-CN" w:eastAsia="zh-CN"/>
        </w:rPr>
        <w:t>1994</w:t>
      </w:r>
      <w:r>
        <w:rPr>
          <w:lang w:val="zh-CN" w:eastAsia="zh-CN"/>
        </w:rPr>
        <w:t>年，京都）和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1-9</w:t>
      </w:r>
      <w:r>
        <w:rPr>
          <w:lang w:val="zh-CN" w:eastAsia="zh-CN"/>
        </w:rPr>
        <w:t>号决议规定了在日内瓦以外</w:t>
      </w:r>
      <w:r>
        <w:rPr>
          <w:rFonts w:hint="eastAsia"/>
          <w:lang w:val="zh-CN" w:eastAsia="zh-CN"/>
        </w:rPr>
        <w:t>承</w:t>
      </w:r>
      <w:r>
        <w:rPr>
          <w:lang w:val="zh-CN" w:eastAsia="zh-CN"/>
        </w:rPr>
        <w:t>办</w:t>
      </w:r>
      <w:r>
        <w:rPr>
          <w:lang w:val="zh-CN" w:eastAsia="zh-CN"/>
        </w:rPr>
        <w:t>ITU-R</w:t>
      </w:r>
      <w:r>
        <w:rPr>
          <w:lang w:val="zh-CN" w:eastAsia="zh-CN"/>
        </w:rPr>
        <w:t>会议的条件，包括</w:t>
      </w:r>
      <w:r>
        <w:rPr>
          <w:rFonts w:hint="eastAsia"/>
          <w:lang w:val="zh-CN" w:eastAsia="zh-CN"/>
        </w:rPr>
        <w:t>要求</w:t>
      </w:r>
      <w:r>
        <w:rPr>
          <w:lang w:val="zh-CN" w:eastAsia="zh-CN"/>
        </w:rPr>
        <w:t>东道国政府支付费用和提供充足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设施。然而，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决议并未</w:t>
      </w:r>
      <w:r>
        <w:rPr>
          <w:rFonts w:hint="eastAsia"/>
          <w:lang w:val="zh-CN" w:eastAsia="zh-CN"/>
        </w:rPr>
        <w:t>确定</w:t>
      </w:r>
      <w:r>
        <w:rPr>
          <w:lang w:val="zh-CN" w:eastAsia="zh-CN"/>
        </w:rPr>
        <w:t>提交、审查和接受邀请的明确程序，</w:t>
      </w:r>
      <w:r>
        <w:rPr>
          <w:rFonts w:hint="eastAsia"/>
          <w:lang w:val="zh-CN" w:eastAsia="zh-CN"/>
        </w:rPr>
        <w:t>亦未</w:t>
      </w:r>
      <w:r>
        <w:rPr>
          <w:lang w:val="zh-CN" w:eastAsia="zh-CN"/>
        </w:rPr>
        <w:t>明确规定与成员国磋商的时间表。缺乏结构化的程序可能会</w:t>
      </w:r>
      <w:r>
        <w:rPr>
          <w:rFonts w:hint="eastAsia"/>
          <w:lang w:val="zh-CN" w:eastAsia="zh-CN"/>
        </w:rPr>
        <w:t>造成</w:t>
      </w:r>
      <w:r>
        <w:rPr>
          <w:lang w:val="zh-CN" w:eastAsia="zh-CN"/>
        </w:rPr>
        <w:t>不确定性，</w:t>
      </w:r>
      <w:r>
        <w:rPr>
          <w:rFonts w:hint="eastAsia"/>
          <w:lang w:val="zh-CN" w:eastAsia="zh-CN"/>
        </w:rPr>
        <w:t>从而</w:t>
      </w:r>
      <w:r>
        <w:rPr>
          <w:lang w:val="zh-CN" w:eastAsia="zh-CN"/>
        </w:rPr>
        <w:t>使</w:t>
      </w:r>
      <w:r>
        <w:rPr>
          <w:rFonts w:hint="eastAsia"/>
          <w:lang w:val="zh-CN" w:eastAsia="zh-CN"/>
        </w:rPr>
        <w:t>部分</w:t>
      </w:r>
      <w:r>
        <w:rPr>
          <w:lang w:val="zh-CN" w:eastAsia="zh-CN"/>
        </w:rPr>
        <w:t>主管部门难以规划与会、额外差旅预算</w:t>
      </w:r>
      <w:r>
        <w:rPr>
          <w:rFonts w:hint="eastAsia"/>
          <w:lang w:val="zh-CN" w:eastAsia="zh-CN"/>
        </w:rPr>
        <w:t>以及</w:t>
      </w:r>
      <w:r>
        <w:rPr>
          <w:lang w:val="zh-CN" w:eastAsia="zh-CN"/>
        </w:rPr>
        <w:t>管理签证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要求，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不同国家的情况各不相同。</w:t>
      </w:r>
    </w:p>
    <w:p w14:paraId="03C4F345" w14:textId="77777777" w:rsidR="00097E2C" w:rsidRPr="00191F35" w:rsidRDefault="00097E2C" w:rsidP="00097E2C">
      <w:pPr>
        <w:ind w:firstLineChars="200" w:firstLine="480"/>
        <w:rPr>
          <w:lang w:eastAsia="zh-CN"/>
        </w:rPr>
      </w:pPr>
      <w:r>
        <w:rPr>
          <w:lang w:val="zh-CN" w:eastAsia="zh-CN"/>
        </w:rPr>
        <w:t>为应对这些挑战，应尽早提交有关在日内瓦以外承办</w:t>
      </w:r>
      <w:r>
        <w:rPr>
          <w:lang w:val="zh-CN" w:eastAsia="zh-CN"/>
        </w:rPr>
        <w:t>ITU-R</w:t>
      </w:r>
      <w:r>
        <w:rPr>
          <w:lang w:val="zh-CN" w:eastAsia="zh-CN"/>
        </w:rPr>
        <w:t>会议的邀请，最好至少</w:t>
      </w:r>
      <w:r>
        <w:rPr>
          <w:rFonts w:hint="eastAsia"/>
          <w:lang w:val="zh-CN" w:eastAsia="zh-CN"/>
        </w:rPr>
        <w:t>是</w:t>
      </w:r>
      <w:r>
        <w:rPr>
          <w:lang w:val="zh-CN" w:eastAsia="zh-CN"/>
        </w:rPr>
        <w:t>在拟议会期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一年</w:t>
      </w:r>
      <w:r>
        <w:rPr>
          <w:rFonts w:hint="eastAsia"/>
          <w:lang w:val="zh-CN" w:eastAsia="zh-CN"/>
        </w:rPr>
        <w:t>之</w:t>
      </w:r>
      <w:r>
        <w:rPr>
          <w:lang w:val="zh-CN" w:eastAsia="zh-CN"/>
        </w:rPr>
        <w:t>前提交。</w:t>
      </w:r>
      <w:r>
        <w:rPr>
          <w:rFonts w:hint="eastAsia"/>
          <w:lang w:val="zh-CN" w:eastAsia="zh-CN"/>
        </w:rPr>
        <w:t>如有</w:t>
      </w:r>
      <w:r>
        <w:rPr>
          <w:lang w:val="zh-CN" w:eastAsia="zh-CN"/>
        </w:rPr>
        <w:t>可能，应在</w:t>
      </w:r>
      <w:r>
        <w:rPr>
          <w:rFonts w:hint="eastAsia"/>
          <w:lang w:val="zh-CN" w:eastAsia="zh-CN"/>
        </w:rPr>
        <w:t>此</w:t>
      </w:r>
      <w:r>
        <w:rPr>
          <w:lang w:val="zh-CN" w:eastAsia="zh-CN"/>
        </w:rPr>
        <w:t>前的研究组或工作组会议上讨论这些邀请。如果这种讨论不可行，</w:t>
      </w:r>
      <w:r>
        <w:rPr>
          <w:rFonts w:hint="eastAsia"/>
          <w:lang w:val="zh-CN" w:eastAsia="zh-CN"/>
        </w:rPr>
        <w:t>则</w:t>
      </w:r>
      <w:r>
        <w:rPr>
          <w:lang w:val="zh-CN" w:eastAsia="zh-CN"/>
        </w:rPr>
        <w:t>无线电通信局可以开展书面磋商，以便在做出最终决定之前收集成员国的反馈意见。</w:t>
      </w:r>
      <w:r>
        <w:rPr>
          <w:rFonts w:hint="eastAsia"/>
          <w:lang w:val="zh-CN" w:eastAsia="zh-CN"/>
        </w:rPr>
        <w:t>此</w:t>
      </w:r>
      <w:r>
        <w:rPr>
          <w:lang w:val="zh-CN" w:eastAsia="zh-CN"/>
        </w:rPr>
        <w:t>方法将</w:t>
      </w:r>
      <w:r>
        <w:rPr>
          <w:rFonts w:hint="eastAsia"/>
          <w:lang w:val="zh-CN" w:eastAsia="zh-CN"/>
        </w:rPr>
        <w:t>使</w:t>
      </w:r>
      <w:r>
        <w:rPr>
          <w:lang w:val="zh-CN" w:eastAsia="zh-CN"/>
        </w:rPr>
        <w:t>主管部门</w:t>
      </w:r>
      <w:r>
        <w:rPr>
          <w:rFonts w:hint="eastAsia"/>
          <w:lang w:val="zh-CN" w:eastAsia="zh-CN"/>
        </w:rPr>
        <w:t>能够</w:t>
      </w:r>
      <w:r>
        <w:rPr>
          <w:lang w:val="zh-CN" w:eastAsia="zh-CN"/>
        </w:rPr>
        <w:t>及时评估后勤、</w:t>
      </w:r>
      <w:r>
        <w:rPr>
          <w:rFonts w:hint="eastAsia"/>
          <w:lang w:val="zh-CN" w:eastAsia="zh-CN"/>
        </w:rPr>
        <w:t>资金</w:t>
      </w:r>
      <w:r>
        <w:rPr>
          <w:lang w:val="zh-CN" w:eastAsia="zh-CN"/>
        </w:rPr>
        <w:t>和签证</w:t>
      </w:r>
      <w:r>
        <w:rPr>
          <w:rFonts w:hint="eastAsia"/>
          <w:lang w:val="zh-CN" w:eastAsia="zh-CN"/>
        </w:rPr>
        <w:t>方面的</w:t>
      </w:r>
      <w:r>
        <w:rPr>
          <w:lang w:val="zh-CN" w:eastAsia="zh-CN"/>
        </w:rPr>
        <w:t>影响，确保</w:t>
      </w:r>
      <w:r>
        <w:rPr>
          <w:rFonts w:hint="eastAsia"/>
          <w:lang w:val="zh-CN" w:eastAsia="zh-CN"/>
        </w:rPr>
        <w:t>会议具有</w:t>
      </w:r>
      <w:r>
        <w:rPr>
          <w:lang w:val="zh-CN" w:eastAsia="zh-CN"/>
        </w:rPr>
        <w:t>包容性</w:t>
      </w:r>
      <w:r>
        <w:rPr>
          <w:rFonts w:hint="eastAsia"/>
          <w:lang w:val="zh-CN" w:eastAsia="zh-CN"/>
        </w:rPr>
        <w:t>且与会代表</w:t>
      </w:r>
      <w:r>
        <w:rPr>
          <w:lang w:val="zh-CN" w:eastAsia="zh-CN"/>
        </w:rPr>
        <w:t>准备充分。</w:t>
      </w:r>
    </w:p>
    <w:p w14:paraId="35B55BA9" w14:textId="77777777" w:rsidR="00097E2C" w:rsidRPr="00191F35" w:rsidRDefault="00097E2C" w:rsidP="00097E2C">
      <w:pPr>
        <w:pStyle w:val="Heading1"/>
        <w:rPr>
          <w:lang w:eastAsia="zh-CN"/>
        </w:rPr>
      </w:pPr>
      <w:r>
        <w:rPr>
          <w:bCs/>
          <w:lang w:val="zh-CN" w:eastAsia="zh-CN"/>
        </w:rPr>
        <w:t>建议</w:t>
      </w:r>
    </w:p>
    <w:p w14:paraId="098A21B6" w14:textId="77777777" w:rsidR="00097E2C" w:rsidRPr="00191F35" w:rsidRDefault="00097E2C" w:rsidP="00097E2C">
      <w:pPr>
        <w:ind w:firstLineChars="200" w:firstLine="480"/>
        <w:rPr>
          <w:lang w:eastAsia="zh-CN"/>
        </w:rPr>
      </w:pPr>
      <w:r>
        <w:rPr>
          <w:lang w:val="zh-CN" w:eastAsia="zh-CN"/>
        </w:rPr>
        <w:t>埃及建议</w:t>
      </w:r>
      <w:r>
        <w:rPr>
          <w:lang w:val="zh-CN" w:eastAsia="zh-CN"/>
        </w:rPr>
        <w:t>RAG</w:t>
      </w:r>
      <w:r>
        <w:rPr>
          <w:lang w:val="zh-CN" w:eastAsia="zh-CN"/>
        </w:rPr>
        <w:t>就在日内瓦以外</w:t>
      </w:r>
      <w:r>
        <w:rPr>
          <w:rFonts w:hint="eastAsia"/>
          <w:lang w:val="zh-CN" w:eastAsia="zh-CN"/>
        </w:rPr>
        <w:t>承</w:t>
      </w:r>
      <w:r>
        <w:rPr>
          <w:lang w:val="zh-CN" w:eastAsia="zh-CN"/>
        </w:rPr>
        <w:t>办</w:t>
      </w:r>
      <w:r>
        <w:rPr>
          <w:lang w:val="zh-CN" w:eastAsia="zh-CN"/>
        </w:rPr>
        <w:t>ITU-R</w:t>
      </w:r>
      <w:r>
        <w:rPr>
          <w:lang w:val="zh-CN" w:eastAsia="zh-CN"/>
        </w:rPr>
        <w:t>会议的</w:t>
      </w:r>
      <w:r>
        <w:rPr>
          <w:rFonts w:hint="eastAsia"/>
          <w:lang w:val="zh-CN" w:eastAsia="zh-CN"/>
        </w:rPr>
        <w:t>管理</w:t>
      </w:r>
      <w:r>
        <w:rPr>
          <w:lang w:val="zh-CN" w:eastAsia="zh-CN"/>
        </w:rPr>
        <w:t>程序</w:t>
      </w:r>
      <w:r>
        <w:rPr>
          <w:rFonts w:hint="eastAsia"/>
          <w:lang w:val="zh-CN" w:eastAsia="zh-CN"/>
        </w:rPr>
        <w:t>，为</w:t>
      </w:r>
      <w:r>
        <w:rPr>
          <w:lang w:val="zh-CN" w:eastAsia="zh-CN"/>
        </w:rPr>
        <w:t>无线电通信局提供指导，确保至少提前一年提交邀请并</w:t>
      </w:r>
      <w:r>
        <w:rPr>
          <w:rFonts w:hint="eastAsia"/>
          <w:lang w:val="zh-CN" w:eastAsia="zh-CN"/>
        </w:rPr>
        <w:t>对邀请进行</w:t>
      </w:r>
      <w:r>
        <w:rPr>
          <w:lang w:val="zh-CN" w:eastAsia="zh-CN"/>
        </w:rPr>
        <w:t>审议。这些邀请应在</w:t>
      </w:r>
      <w:r>
        <w:rPr>
          <w:rFonts w:hint="eastAsia"/>
          <w:lang w:val="zh-CN" w:eastAsia="zh-CN"/>
        </w:rPr>
        <w:t>此前的</w:t>
      </w:r>
      <w:r>
        <w:rPr>
          <w:lang w:val="zh-CN" w:eastAsia="zh-CN"/>
        </w:rPr>
        <w:t>研究组或工作组会议上讨论，或在必要时通过与成员国的书面磋商程序</w:t>
      </w:r>
      <w:r>
        <w:rPr>
          <w:rFonts w:hint="eastAsia"/>
          <w:lang w:val="zh-CN" w:eastAsia="zh-CN"/>
        </w:rPr>
        <w:t>开展</w:t>
      </w:r>
      <w:r>
        <w:rPr>
          <w:lang w:val="zh-CN" w:eastAsia="zh-CN"/>
        </w:rPr>
        <w:t>讨论。此外，应鼓励有意</w:t>
      </w:r>
      <w:r>
        <w:rPr>
          <w:rFonts w:hint="eastAsia"/>
          <w:lang w:val="zh-CN" w:eastAsia="zh-CN"/>
        </w:rPr>
        <w:t>承</w:t>
      </w:r>
      <w:r>
        <w:rPr>
          <w:lang w:val="zh-CN" w:eastAsia="zh-CN"/>
        </w:rPr>
        <w:t>办会议的成员国尽早表达意向，以促进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协调和决策。实施</w:t>
      </w:r>
      <w:r>
        <w:rPr>
          <w:rFonts w:hint="eastAsia"/>
          <w:lang w:val="zh-CN" w:eastAsia="zh-CN"/>
        </w:rPr>
        <w:t>此类</w:t>
      </w:r>
      <w:r>
        <w:rPr>
          <w:lang w:val="zh-CN" w:eastAsia="zh-CN"/>
        </w:rPr>
        <w:t>措施将提高透明度、可预测性和包容性，</w:t>
      </w:r>
      <w:r>
        <w:rPr>
          <w:rFonts w:hint="eastAsia"/>
          <w:lang w:val="zh-CN" w:eastAsia="zh-CN"/>
        </w:rPr>
        <w:t>并</w:t>
      </w:r>
      <w:r>
        <w:rPr>
          <w:lang w:val="zh-CN" w:eastAsia="zh-CN"/>
        </w:rPr>
        <w:t>确保无论在哪里</w:t>
      </w:r>
      <w:r>
        <w:rPr>
          <w:rFonts w:hint="eastAsia"/>
          <w:lang w:val="zh-CN" w:eastAsia="zh-CN"/>
        </w:rPr>
        <w:t>举办，</w:t>
      </w:r>
      <w:r>
        <w:rPr>
          <w:lang w:val="zh-CN" w:eastAsia="zh-CN"/>
        </w:rPr>
        <w:t>ITU-R</w:t>
      </w:r>
      <w:r>
        <w:rPr>
          <w:lang w:val="zh-CN" w:eastAsia="zh-CN"/>
        </w:rPr>
        <w:t>会议</w:t>
      </w:r>
      <w:r>
        <w:rPr>
          <w:rFonts w:hint="eastAsia"/>
          <w:lang w:val="zh-CN" w:eastAsia="zh-CN"/>
        </w:rPr>
        <w:t>的组织工作</w:t>
      </w:r>
      <w:r>
        <w:rPr>
          <w:lang w:val="zh-CN" w:eastAsia="zh-CN"/>
        </w:rPr>
        <w:t>都能</w:t>
      </w:r>
      <w:r>
        <w:rPr>
          <w:rFonts w:hint="eastAsia"/>
          <w:lang w:val="zh-CN" w:eastAsia="zh-CN"/>
        </w:rPr>
        <w:t>始终保持</w:t>
      </w:r>
      <w:r>
        <w:rPr>
          <w:lang w:val="zh-CN" w:eastAsia="zh-CN"/>
        </w:rPr>
        <w:t>有效。</w:t>
      </w:r>
    </w:p>
    <w:p w14:paraId="4642529F" w14:textId="659405BB" w:rsidR="00A30B26" w:rsidRPr="00097E2C" w:rsidRDefault="00097E2C" w:rsidP="00097E2C">
      <w:pPr>
        <w:spacing w:before="360"/>
        <w:jc w:val="center"/>
        <w:rPr>
          <w:sz w:val="22"/>
          <w:szCs w:val="22"/>
        </w:rPr>
      </w:pPr>
      <w:r>
        <w:rPr>
          <w:lang w:val="zh-CN"/>
        </w:rPr>
        <w:t>______________</w:t>
      </w:r>
    </w:p>
    <w:sectPr w:rsidR="00A30B26" w:rsidRPr="00097E2C" w:rsidSect="00A5181E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FAE3" w14:textId="77777777" w:rsidR="00C53738" w:rsidRDefault="00C53738">
      <w:r>
        <w:separator/>
      </w:r>
    </w:p>
  </w:endnote>
  <w:endnote w:type="continuationSeparator" w:id="0">
    <w:p w14:paraId="2D8D6BBF" w14:textId="77777777" w:rsidR="00C53738" w:rsidRDefault="00C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0DF7" w14:textId="77777777" w:rsidR="00C53738" w:rsidRDefault="00C53738">
      <w:r>
        <w:t>____________________</w:t>
      </w:r>
    </w:p>
  </w:footnote>
  <w:footnote w:type="continuationSeparator" w:id="0">
    <w:p w14:paraId="26FC7319" w14:textId="77777777" w:rsidR="00C53738" w:rsidRDefault="00C5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C30A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0E261880" w14:textId="35CC2CEC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A30B26">
      <w:rPr>
        <w:rFonts w:hint="eastAsia"/>
        <w:lang w:eastAsia="zh-CN"/>
      </w:rPr>
      <w:t>42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9BF67BC"/>
    <w:multiLevelType w:val="hybridMultilevel"/>
    <w:tmpl w:val="7BB653FC"/>
    <w:lvl w:ilvl="0" w:tplc="E6D63E88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271">
    <w:abstractNumId w:val="9"/>
  </w:num>
  <w:num w:numId="2" w16cid:durableId="427165315">
    <w:abstractNumId w:val="7"/>
  </w:num>
  <w:num w:numId="3" w16cid:durableId="712920319">
    <w:abstractNumId w:val="6"/>
  </w:num>
  <w:num w:numId="4" w16cid:durableId="651837810">
    <w:abstractNumId w:val="5"/>
  </w:num>
  <w:num w:numId="5" w16cid:durableId="1060250915">
    <w:abstractNumId w:val="4"/>
  </w:num>
  <w:num w:numId="6" w16cid:durableId="1068184036">
    <w:abstractNumId w:val="8"/>
  </w:num>
  <w:num w:numId="7" w16cid:durableId="1279602119">
    <w:abstractNumId w:val="3"/>
  </w:num>
  <w:num w:numId="8" w16cid:durableId="829561960">
    <w:abstractNumId w:val="2"/>
  </w:num>
  <w:num w:numId="9" w16cid:durableId="748113882">
    <w:abstractNumId w:val="1"/>
  </w:num>
  <w:num w:numId="10" w16cid:durableId="396975565">
    <w:abstractNumId w:val="0"/>
  </w:num>
  <w:num w:numId="11" w16cid:durableId="1797605209">
    <w:abstractNumId w:val="15"/>
  </w:num>
  <w:num w:numId="12" w16cid:durableId="377634568">
    <w:abstractNumId w:val="24"/>
  </w:num>
  <w:num w:numId="13" w16cid:durableId="654455796">
    <w:abstractNumId w:val="26"/>
  </w:num>
  <w:num w:numId="14" w16cid:durableId="832378278">
    <w:abstractNumId w:val="23"/>
  </w:num>
  <w:num w:numId="15" w16cid:durableId="982809005">
    <w:abstractNumId w:val="20"/>
  </w:num>
  <w:num w:numId="16" w16cid:durableId="240457358">
    <w:abstractNumId w:val="25"/>
  </w:num>
  <w:num w:numId="17" w16cid:durableId="831290283">
    <w:abstractNumId w:val="19"/>
  </w:num>
  <w:num w:numId="18" w16cid:durableId="585110719">
    <w:abstractNumId w:val="10"/>
  </w:num>
  <w:num w:numId="19" w16cid:durableId="789976166">
    <w:abstractNumId w:val="13"/>
  </w:num>
  <w:num w:numId="20" w16cid:durableId="113255943">
    <w:abstractNumId w:val="14"/>
  </w:num>
  <w:num w:numId="21" w16cid:durableId="1551452620">
    <w:abstractNumId w:val="17"/>
  </w:num>
  <w:num w:numId="22" w16cid:durableId="218594623">
    <w:abstractNumId w:val="27"/>
  </w:num>
  <w:num w:numId="23" w16cid:durableId="1360857731">
    <w:abstractNumId w:val="21"/>
  </w:num>
  <w:num w:numId="24" w16cid:durableId="1828741614">
    <w:abstractNumId w:val="22"/>
  </w:num>
  <w:num w:numId="25" w16cid:durableId="691538770">
    <w:abstractNumId w:val="11"/>
  </w:num>
  <w:num w:numId="26" w16cid:durableId="1883857725">
    <w:abstractNumId w:val="18"/>
  </w:num>
  <w:num w:numId="27" w16cid:durableId="810363706">
    <w:abstractNumId w:val="12"/>
  </w:num>
  <w:num w:numId="28" w16cid:durableId="1128007206">
    <w:abstractNumId w:val="16"/>
  </w:num>
  <w:num w:numId="29" w16cid:durableId="12420633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38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97E2C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0148"/>
    <w:rsid w:val="00450E11"/>
    <w:rsid w:val="0045496A"/>
    <w:rsid w:val="004557A7"/>
    <w:rsid w:val="00460615"/>
    <w:rsid w:val="0046370D"/>
    <w:rsid w:val="00465D72"/>
    <w:rsid w:val="004673F1"/>
    <w:rsid w:val="00474CCC"/>
    <w:rsid w:val="0047532E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06EE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9787B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0B26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53738"/>
    <w:rsid w:val="00C60AC9"/>
    <w:rsid w:val="00C77784"/>
    <w:rsid w:val="00C94697"/>
    <w:rsid w:val="00CA29A4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DF5777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04252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3536F"/>
  <w15:docId w15:val="{41691A9B-4105-496B-9E68-52CB7DD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97E2C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PC_RAG.dotx</Template>
  <TotalTime>0</TotalTime>
  <Pages>1</Pages>
  <Words>701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792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LING-C(JL)</dc:creator>
  <cp:keywords>RAG03-1</cp:keywords>
  <dc:description>Document RAG08-1/1-E  For: _x000d_Document date: 12 December 2007_x000d_Saved by JJF44233 at 15:38:46 on 18/12/2007</dc:description>
  <cp:lastModifiedBy>Xue, Kun</cp:lastModifiedBy>
  <cp:revision>2</cp:revision>
  <cp:lastPrinted>2011-05-04T08:20:00Z</cp:lastPrinted>
  <dcterms:created xsi:type="dcterms:W3CDTF">2025-04-04T09:18:00Z</dcterms:created>
  <dcterms:modified xsi:type="dcterms:W3CDTF">2025-04-04T09:18:00Z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