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57299A7" w14:textId="77777777" w:rsidTr="00553F66">
        <w:trPr>
          <w:cantSplit/>
          <w:trHeight w:val="20"/>
        </w:trPr>
        <w:tc>
          <w:tcPr>
            <w:tcW w:w="6619" w:type="dxa"/>
          </w:tcPr>
          <w:p w14:paraId="4F8571D3"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4D6C7934"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0C19163E" wp14:editId="3976F97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7F59040C" w14:textId="77777777" w:rsidTr="00553F66">
        <w:trPr>
          <w:cantSplit/>
          <w:trHeight w:val="20"/>
        </w:trPr>
        <w:tc>
          <w:tcPr>
            <w:tcW w:w="6619" w:type="dxa"/>
            <w:tcBorders>
              <w:bottom w:val="single" w:sz="12" w:space="0" w:color="auto"/>
            </w:tcBorders>
          </w:tcPr>
          <w:p w14:paraId="287D8CBD"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738CE5CE" w14:textId="77777777" w:rsidR="00280E04" w:rsidRPr="00A9645C" w:rsidRDefault="00280E04" w:rsidP="002F3031">
            <w:pPr>
              <w:spacing w:before="0" w:line="120" w:lineRule="auto"/>
              <w:rPr>
                <w:lang w:bidi="ar-EG"/>
              </w:rPr>
            </w:pPr>
          </w:p>
        </w:tc>
      </w:tr>
      <w:tr w:rsidR="00280E04" w14:paraId="7647851C" w14:textId="77777777" w:rsidTr="00553F66">
        <w:trPr>
          <w:cantSplit/>
          <w:trHeight w:val="20"/>
        </w:trPr>
        <w:tc>
          <w:tcPr>
            <w:tcW w:w="6619" w:type="dxa"/>
            <w:tcBorders>
              <w:top w:val="single" w:sz="12" w:space="0" w:color="auto"/>
            </w:tcBorders>
          </w:tcPr>
          <w:p w14:paraId="14FD3613"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110382A" w14:textId="77777777" w:rsidR="00280E04" w:rsidRPr="00BD6EF3" w:rsidRDefault="00280E04" w:rsidP="00D44350">
            <w:pPr>
              <w:pStyle w:val="Adress"/>
              <w:framePr w:hSpace="0" w:wrap="auto" w:xAlign="left" w:yAlign="inline"/>
            </w:pPr>
          </w:p>
        </w:tc>
      </w:tr>
      <w:tr w:rsidR="0030601A" w14:paraId="27D19AA8" w14:textId="77777777" w:rsidTr="00553F66">
        <w:trPr>
          <w:cantSplit/>
        </w:trPr>
        <w:tc>
          <w:tcPr>
            <w:tcW w:w="6619" w:type="dxa"/>
            <w:vMerge w:val="restart"/>
          </w:tcPr>
          <w:p w14:paraId="30CA8BEB"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65667CE0" w14:textId="1AC442CE"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777545">
              <w:t>44</w:t>
            </w:r>
            <w:r w:rsidRPr="0012545F">
              <w:t>-A</w:t>
            </w:r>
          </w:p>
        </w:tc>
      </w:tr>
      <w:tr w:rsidR="0030601A" w14:paraId="30BCB796" w14:textId="77777777" w:rsidTr="00553F66">
        <w:trPr>
          <w:cantSplit/>
        </w:trPr>
        <w:tc>
          <w:tcPr>
            <w:tcW w:w="6619" w:type="dxa"/>
            <w:vMerge/>
          </w:tcPr>
          <w:p w14:paraId="2F26ED7C"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03716858" w14:textId="4374305F" w:rsidR="0030601A" w:rsidRPr="0012545F" w:rsidRDefault="00AB1558" w:rsidP="00AB1558">
            <w:pPr>
              <w:pStyle w:val="Adress"/>
              <w:framePr w:hSpace="0" w:wrap="auto" w:xAlign="left" w:yAlign="inline"/>
              <w:spacing w:before="20" w:after="20"/>
              <w:rPr>
                <w:rtl/>
              </w:rPr>
            </w:pPr>
            <w:r>
              <w:rPr>
                <w:lang w:bidi="ar-SA"/>
              </w:rPr>
              <w:t>31</w:t>
            </w:r>
            <w:r w:rsidRPr="00AB1558">
              <w:rPr>
                <w:rtl/>
                <w:lang w:bidi="ar-SA"/>
              </w:rPr>
              <w:t xml:space="preserve"> مارس</w:t>
            </w:r>
            <w:r w:rsidRPr="00AB1558">
              <w:rPr>
                <w:rFonts w:hint="cs"/>
                <w:rtl/>
                <w:lang w:bidi="ar-SA"/>
              </w:rPr>
              <w:t xml:space="preserve"> </w:t>
            </w:r>
            <w:r w:rsidR="001E6923">
              <w:rPr>
                <w:rFonts w:hint="cs"/>
                <w:rtl/>
              </w:rPr>
              <w:t>2025</w:t>
            </w:r>
          </w:p>
        </w:tc>
      </w:tr>
      <w:tr w:rsidR="0030601A" w14:paraId="6D0E65AC" w14:textId="77777777" w:rsidTr="00553F66">
        <w:trPr>
          <w:cantSplit/>
        </w:trPr>
        <w:tc>
          <w:tcPr>
            <w:tcW w:w="6619" w:type="dxa"/>
            <w:vMerge/>
          </w:tcPr>
          <w:p w14:paraId="52DBB122"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512755AB"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5420BC76" w14:textId="77777777" w:rsidTr="00553F66">
        <w:trPr>
          <w:cantSplit/>
        </w:trPr>
        <w:tc>
          <w:tcPr>
            <w:tcW w:w="9672" w:type="dxa"/>
            <w:gridSpan w:val="2"/>
          </w:tcPr>
          <w:p w14:paraId="5C5F6E8B" w14:textId="113E11CC" w:rsidR="00764079" w:rsidRPr="00E621A3" w:rsidRDefault="00777545" w:rsidP="00AF69CC">
            <w:pPr>
              <w:pStyle w:val="Source"/>
              <w:rPr>
                <w:rtl/>
              </w:rPr>
            </w:pPr>
            <w:r w:rsidRPr="00777545">
              <w:rPr>
                <w:rtl/>
                <w:lang w:bidi="ar-SA"/>
              </w:rPr>
              <w:t>جمهورية مصر العربية</w:t>
            </w:r>
          </w:p>
        </w:tc>
      </w:tr>
      <w:tr w:rsidR="00764079" w14:paraId="7B844330" w14:textId="77777777" w:rsidTr="00553F66">
        <w:trPr>
          <w:cantSplit/>
        </w:trPr>
        <w:tc>
          <w:tcPr>
            <w:tcW w:w="9672" w:type="dxa"/>
            <w:gridSpan w:val="2"/>
          </w:tcPr>
          <w:p w14:paraId="06EADF46" w14:textId="26821B4E" w:rsidR="00764079" w:rsidRPr="00BD6EF3" w:rsidRDefault="00777545" w:rsidP="00777545">
            <w:pPr>
              <w:pStyle w:val="Title1"/>
              <w:spacing w:before="240"/>
              <w:rPr>
                <w:rtl/>
              </w:rPr>
            </w:pPr>
            <w:r w:rsidRPr="00777545">
              <w:rPr>
                <w:rtl/>
                <w:lang w:bidi="ar-SA"/>
              </w:rPr>
              <w:t>إجراءات استضافة اجتماعات قطاع الاتصالات الراديوية خارج جنيف</w:t>
            </w:r>
          </w:p>
        </w:tc>
      </w:tr>
      <w:tr w:rsidR="0012545F" w14:paraId="0D27F7E1" w14:textId="77777777" w:rsidTr="00553F66">
        <w:trPr>
          <w:cantSplit/>
        </w:trPr>
        <w:tc>
          <w:tcPr>
            <w:tcW w:w="9672" w:type="dxa"/>
            <w:gridSpan w:val="2"/>
          </w:tcPr>
          <w:p w14:paraId="1C128293" w14:textId="77777777" w:rsidR="0012545F" w:rsidRDefault="0012545F" w:rsidP="0012545F">
            <w:pPr>
              <w:rPr>
                <w:rtl/>
              </w:rPr>
            </w:pPr>
          </w:p>
        </w:tc>
      </w:tr>
    </w:tbl>
    <w:p w14:paraId="46E0B697" w14:textId="77777777" w:rsidR="00AB1558" w:rsidRPr="00AB1558" w:rsidRDefault="00AB1558" w:rsidP="00E15124">
      <w:pPr>
        <w:pStyle w:val="Headingb"/>
        <w:rPr>
          <w:lang w:val="en-GB"/>
        </w:rPr>
      </w:pPr>
      <w:r w:rsidRPr="00AB1558">
        <w:rPr>
          <w:rtl/>
        </w:rPr>
        <w:t>مقدمة</w:t>
      </w:r>
    </w:p>
    <w:p w14:paraId="35C98CDB" w14:textId="6561503A" w:rsidR="00AB1558" w:rsidRPr="00AB1558" w:rsidRDefault="00AB1558" w:rsidP="00AB1558">
      <w:pPr>
        <w:rPr>
          <w:lang w:val="en-GB" w:bidi="ar-EG"/>
        </w:rPr>
      </w:pPr>
      <w:r w:rsidRPr="00AB1558">
        <w:rPr>
          <w:rtl/>
        </w:rPr>
        <w:t xml:space="preserve">تدرك مصر الحاجة إلى إجراءات </w:t>
      </w:r>
      <w:r w:rsidRPr="00AB1558">
        <w:rPr>
          <w:rFonts w:hint="cs"/>
          <w:rtl/>
        </w:rPr>
        <w:t>مهيكلة</w:t>
      </w:r>
      <w:r w:rsidRPr="00AB1558">
        <w:rPr>
          <w:rtl/>
        </w:rPr>
        <w:t xml:space="preserve"> لتنظيم استضافة اجتماعات قطاع الاتصالات الراديوية خارج جنيف، خاصة في ضوء مشروع مبنى مقر الاتحاد وحاجة العديد من الدول الأعضاء إلى التخطيط لمتطلباته اللوجستية والمالية. </w:t>
      </w:r>
      <w:r w:rsidRPr="00AB1558">
        <w:rPr>
          <w:rFonts w:hint="cs"/>
          <w:rtl/>
        </w:rPr>
        <w:t>و</w:t>
      </w:r>
      <w:r w:rsidRPr="00AB1558">
        <w:rPr>
          <w:rtl/>
        </w:rPr>
        <w:t>تعد الآليات الواضحة للجداول الزمنية للدعوات والتشاور وإجراءات القبول ضرورية لضمان الشفافية والقدرة على التنبؤ والمشاركة الفع</w:t>
      </w:r>
      <w:r w:rsidR="009D5AA9">
        <w:rPr>
          <w:rFonts w:hint="cs"/>
          <w:rtl/>
        </w:rPr>
        <w:t>ّ</w:t>
      </w:r>
      <w:r w:rsidRPr="00AB1558">
        <w:rPr>
          <w:rtl/>
        </w:rPr>
        <w:t xml:space="preserve">الة من </w:t>
      </w:r>
      <w:r w:rsidRPr="00AB1558">
        <w:rPr>
          <w:rFonts w:hint="cs"/>
          <w:rtl/>
        </w:rPr>
        <w:t>جانب</w:t>
      </w:r>
      <w:r w:rsidRPr="00AB1558">
        <w:rPr>
          <w:rtl/>
        </w:rPr>
        <w:t xml:space="preserve"> الدول الأعضاء جميع</w:t>
      </w:r>
      <w:r w:rsidRPr="00AB1558">
        <w:rPr>
          <w:rFonts w:hint="cs"/>
          <w:rtl/>
        </w:rPr>
        <w:t>ها</w:t>
      </w:r>
      <w:r w:rsidRPr="00AB1558">
        <w:rPr>
          <w:rtl/>
        </w:rPr>
        <w:t>.</w:t>
      </w:r>
    </w:p>
    <w:p w14:paraId="102D8AC6" w14:textId="77777777" w:rsidR="00AB1558" w:rsidRPr="00AB1558" w:rsidRDefault="00AB1558" w:rsidP="00E15124">
      <w:pPr>
        <w:pStyle w:val="Headingb"/>
        <w:rPr>
          <w:lang w:val="en-GB"/>
        </w:rPr>
      </w:pPr>
      <w:r w:rsidRPr="00AB1558">
        <w:rPr>
          <w:rtl/>
        </w:rPr>
        <w:t>مناقشة</w:t>
      </w:r>
    </w:p>
    <w:p w14:paraId="3E317FE8" w14:textId="3891AFF4" w:rsidR="00AB1558" w:rsidRPr="00AB1558" w:rsidRDefault="00AB1558" w:rsidP="00AB1558">
      <w:pPr>
        <w:rPr>
          <w:lang w:val="en-GB" w:bidi="ar-EG"/>
        </w:rPr>
      </w:pPr>
      <w:r w:rsidRPr="00AB1558">
        <w:rPr>
          <w:rtl/>
        </w:rPr>
        <w:t>يحد</w:t>
      </w:r>
      <w:r w:rsidR="009D5AA9">
        <w:rPr>
          <w:rFonts w:hint="cs"/>
          <w:rtl/>
        </w:rPr>
        <w:t>ِّ</w:t>
      </w:r>
      <w:r w:rsidRPr="00AB1558">
        <w:rPr>
          <w:rtl/>
        </w:rPr>
        <w:t xml:space="preserve">د القرار 5 (كيوتو، 1994) </w:t>
      </w:r>
      <w:r w:rsidRPr="00AB1558">
        <w:rPr>
          <w:rFonts w:hint="cs"/>
          <w:rtl/>
        </w:rPr>
        <w:t>الصادر عن</w:t>
      </w:r>
      <w:r w:rsidRPr="00AB1558">
        <w:rPr>
          <w:rtl/>
        </w:rPr>
        <w:t xml:space="preserve"> مؤتمر المندوبين المفوضين والقرار ITU-R 1-9 شروط استضافة اجتماعات قطاع الاتصالات الراديوية خارج جنيف، بما في ذلك تغطية التكاليف </w:t>
      </w:r>
      <w:r w:rsidRPr="00AB1558">
        <w:rPr>
          <w:rFonts w:hint="cs"/>
          <w:rtl/>
        </w:rPr>
        <w:t>وتقديم</w:t>
      </w:r>
      <w:r w:rsidRPr="00AB1558">
        <w:rPr>
          <w:rtl/>
        </w:rPr>
        <w:t xml:space="preserve"> التسهيلات الكافية من جانب الحكومة المضيفة. </w:t>
      </w:r>
      <w:r w:rsidRPr="00AB1558">
        <w:rPr>
          <w:rFonts w:hint="cs"/>
          <w:rtl/>
        </w:rPr>
        <w:t>ولكن</w:t>
      </w:r>
      <w:r w:rsidRPr="00AB1558">
        <w:rPr>
          <w:rtl/>
        </w:rPr>
        <w:t xml:space="preserve"> هذ</w:t>
      </w:r>
      <w:r w:rsidRPr="00AB1558">
        <w:rPr>
          <w:rFonts w:hint="cs"/>
          <w:rtl/>
        </w:rPr>
        <w:t>ين</w:t>
      </w:r>
      <w:r w:rsidRPr="00AB1558">
        <w:rPr>
          <w:rtl/>
        </w:rPr>
        <w:t xml:space="preserve"> القرار</w:t>
      </w:r>
      <w:r w:rsidRPr="00AB1558">
        <w:rPr>
          <w:rFonts w:hint="cs"/>
          <w:rtl/>
        </w:rPr>
        <w:t>ين</w:t>
      </w:r>
      <w:r w:rsidRPr="00AB1558">
        <w:rPr>
          <w:rtl/>
        </w:rPr>
        <w:t xml:space="preserve"> لا</w:t>
      </w:r>
      <w:r w:rsidR="000D6299">
        <w:rPr>
          <w:rFonts w:hint="cs"/>
          <w:rtl/>
        </w:rPr>
        <w:t> </w:t>
      </w:r>
      <w:r w:rsidRPr="00AB1558">
        <w:rPr>
          <w:rFonts w:hint="cs"/>
          <w:rtl/>
        </w:rPr>
        <w:t>ي</w:t>
      </w:r>
      <w:r w:rsidRPr="00AB1558">
        <w:rPr>
          <w:rtl/>
        </w:rPr>
        <w:t>حدد</w:t>
      </w:r>
      <w:r w:rsidRPr="00AB1558">
        <w:rPr>
          <w:rFonts w:hint="cs"/>
          <w:rtl/>
        </w:rPr>
        <w:t>ان</w:t>
      </w:r>
      <w:r w:rsidRPr="00AB1558">
        <w:rPr>
          <w:rtl/>
        </w:rPr>
        <w:t xml:space="preserve"> عملية واضحة لتقديم الدعوات </w:t>
      </w:r>
      <w:r w:rsidRPr="00AB1558">
        <w:rPr>
          <w:rFonts w:hint="cs"/>
          <w:rtl/>
        </w:rPr>
        <w:t>واستعراضها</w:t>
      </w:r>
      <w:r w:rsidRPr="00AB1558">
        <w:rPr>
          <w:rtl/>
        </w:rPr>
        <w:t xml:space="preserve"> وقبولها، ولا</w:t>
      </w:r>
      <w:r w:rsidR="000D6299">
        <w:rPr>
          <w:rFonts w:hint="cs"/>
          <w:rtl/>
        </w:rPr>
        <w:t> </w:t>
      </w:r>
      <w:r w:rsidRPr="00AB1558">
        <w:rPr>
          <w:rFonts w:hint="cs"/>
          <w:rtl/>
        </w:rPr>
        <w:t>ي</w:t>
      </w:r>
      <w:r w:rsidRPr="00AB1558">
        <w:rPr>
          <w:rtl/>
        </w:rPr>
        <w:t>حدد</w:t>
      </w:r>
      <w:r w:rsidRPr="00AB1558">
        <w:rPr>
          <w:rFonts w:hint="cs"/>
          <w:rtl/>
        </w:rPr>
        <w:t>ان</w:t>
      </w:r>
      <w:r w:rsidRPr="00AB1558">
        <w:rPr>
          <w:rtl/>
        </w:rPr>
        <w:t xml:space="preserve"> جدولا</w:t>
      </w:r>
      <w:r w:rsidR="004B24E0">
        <w:rPr>
          <w:rFonts w:hint="cs"/>
          <w:rtl/>
        </w:rPr>
        <w:t>ً</w:t>
      </w:r>
      <w:r w:rsidRPr="00AB1558">
        <w:rPr>
          <w:rtl/>
        </w:rPr>
        <w:t xml:space="preserve"> زمنيا</w:t>
      </w:r>
      <w:r w:rsidR="004B24E0">
        <w:rPr>
          <w:rFonts w:hint="cs"/>
          <w:rtl/>
        </w:rPr>
        <w:t>ً</w:t>
      </w:r>
      <w:r w:rsidRPr="00AB1558">
        <w:rPr>
          <w:rtl/>
        </w:rPr>
        <w:t xml:space="preserve"> للتشاور مع الدول الأعضاء. ويمكن أن يؤدي غياب الإجراءات المنظمة إلى عدم اليقين، مما </w:t>
      </w:r>
      <w:r w:rsidRPr="00AB1558">
        <w:rPr>
          <w:rFonts w:hint="cs"/>
          <w:rtl/>
        </w:rPr>
        <w:t>ي</w:t>
      </w:r>
      <w:r w:rsidRPr="00AB1558">
        <w:rPr>
          <w:rtl/>
        </w:rPr>
        <w:t>صع</w:t>
      </w:r>
      <w:r w:rsidRPr="00AB1558">
        <w:rPr>
          <w:rFonts w:hint="cs"/>
          <w:rtl/>
        </w:rPr>
        <w:t>ِّ</w:t>
      </w:r>
      <w:r w:rsidRPr="00AB1558">
        <w:rPr>
          <w:rtl/>
        </w:rPr>
        <w:t>ب على بعض الإدارات التخطيط للمشاركة، وتأمين ميزانيات سفر إضافية، وإدارة متطلبات التأشيرة، التي تختلف باختلاف البلدان.</w:t>
      </w:r>
    </w:p>
    <w:p w14:paraId="0C04C70B" w14:textId="6031CFD2" w:rsidR="00AB1558" w:rsidRPr="00AB1558" w:rsidRDefault="00AB1558" w:rsidP="00AB1558">
      <w:pPr>
        <w:rPr>
          <w:lang w:val="en-GB" w:bidi="ar-EG"/>
        </w:rPr>
      </w:pPr>
      <w:r w:rsidRPr="00AB1558">
        <w:rPr>
          <w:rtl/>
        </w:rPr>
        <w:t>ولمواجهة هذه التحديات، ينبغي تقديم الدعوات لاستضافة اجتماعات قطاع الاتصالات الراديوية خارج جنيف في وقت مبكر</w:t>
      </w:r>
      <w:r w:rsidRPr="00AB1558">
        <w:rPr>
          <w:rFonts w:hint="cs"/>
          <w:rtl/>
        </w:rPr>
        <w:t xml:space="preserve"> بما</w:t>
      </w:r>
      <w:r w:rsidR="009D5AA9">
        <w:rPr>
          <w:rFonts w:hint="eastAsia"/>
        </w:rPr>
        <w:t> </w:t>
      </w:r>
      <w:r w:rsidRPr="00AB1558">
        <w:rPr>
          <w:rFonts w:hint="cs"/>
          <w:rtl/>
        </w:rPr>
        <w:t>يكفي</w:t>
      </w:r>
      <w:r w:rsidRPr="00AB1558">
        <w:rPr>
          <w:rtl/>
        </w:rPr>
        <w:t>، ويفض</w:t>
      </w:r>
      <w:r w:rsidRPr="00AB1558">
        <w:rPr>
          <w:rFonts w:hint="cs"/>
          <w:rtl/>
        </w:rPr>
        <w:t>َّ</w:t>
      </w:r>
      <w:r w:rsidRPr="00AB1558">
        <w:rPr>
          <w:rtl/>
        </w:rPr>
        <w:t>ل أ</w:t>
      </w:r>
      <w:r w:rsidRPr="00AB1558">
        <w:rPr>
          <w:rFonts w:hint="cs"/>
          <w:rtl/>
        </w:rPr>
        <w:t>لا يقل عن</w:t>
      </w:r>
      <w:r w:rsidRPr="00AB1558">
        <w:rPr>
          <w:rtl/>
        </w:rPr>
        <w:t xml:space="preserve"> سنة واحدة قبل تاريخ الاجتماع المقترح. و</w:t>
      </w:r>
      <w:r w:rsidRPr="00AB1558">
        <w:rPr>
          <w:rFonts w:hint="cs"/>
          <w:rtl/>
        </w:rPr>
        <w:t>ت</w:t>
      </w:r>
      <w:r w:rsidRPr="00AB1558">
        <w:rPr>
          <w:rtl/>
        </w:rPr>
        <w:t xml:space="preserve">نبغي، كلما أمكن، مناقشة هذه الدعوات في اجتماع سابق </w:t>
      </w:r>
      <w:r w:rsidRPr="00AB1558">
        <w:rPr>
          <w:rFonts w:hint="cs"/>
          <w:rtl/>
        </w:rPr>
        <w:t>ل</w:t>
      </w:r>
      <w:r w:rsidRPr="00AB1558">
        <w:rPr>
          <w:rtl/>
        </w:rPr>
        <w:t xml:space="preserve">لجنة دراسات أو فرقة </w:t>
      </w:r>
      <w:r w:rsidR="009D5AA9">
        <w:rPr>
          <w:rFonts w:hint="cs"/>
          <w:rtl/>
        </w:rPr>
        <w:t>عمل</w:t>
      </w:r>
      <w:r w:rsidRPr="00AB1558">
        <w:rPr>
          <w:rtl/>
        </w:rPr>
        <w:t xml:space="preserve">. وإذا لم تكن هذه المناقشة مجدية، يمكن لمكتب الاتصالات الراديوية إجراء عملية تشاور مكتوبة لجمع </w:t>
      </w:r>
      <w:r w:rsidRPr="00AB1558">
        <w:rPr>
          <w:rFonts w:hint="cs"/>
          <w:rtl/>
        </w:rPr>
        <w:t>التعقيبات</w:t>
      </w:r>
      <w:r w:rsidRPr="00AB1558">
        <w:rPr>
          <w:rtl/>
        </w:rPr>
        <w:t xml:space="preserve"> من الدول الأعضاء قبل اتخاذ قرار نهائي. وسيسمح هذا النهج للإدارات بتقييم </w:t>
      </w:r>
      <w:r w:rsidRPr="00AB1558">
        <w:rPr>
          <w:rFonts w:hint="cs"/>
          <w:rtl/>
        </w:rPr>
        <w:t>المستحقات</w:t>
      </w:r>
      <w:r w:rsidRPr="00AB1558">
        <w:rPr>
          <w:rtl/>
        </w:rPr>
        <w:t xml:space="preserve"> اللوجستية والمالية </w:t>
      </w:r>
      <w:r w:rsidRPr="00AB1558">
        <w:rPr>
          <w:rFonts w:hint="cs"/>
          <w:rtl/>
        </w:rPr>
        <w:t>وتلك</w:t>
      </w:r>
      <w:r w:rsidRPr="00AB1558">
        <w:rPr>
          <w:rtl/>
        </w:rPr>
        <w:t xml:space="preserve"> المتعلقة بالتأشيرات في الوقت المناسب، مما يضمن مشاركة شاملة </w:t>
      </w:r>
      <w:r w:rsidRPr="00AB1558">
        <w:rPr>
          <w:rFonts w:hint="cs"/>
          <w:rtl/>
        </w:rPr>
        <w:t>حُضِّر لها جيداً</w:t>
      </w:r>
      <w:r w:rsidRPr="00AB1558">
        <w:rPr>
          <w:rtl/>
        </w:rPr>
        <w:t>.</w:t>
      </w:r>
    </w:p>
    <w:p w14:paraId="2E54A9B8" w14:textId="4CB06FE0" w:rsidR="00AB1558" w:rsidRPr="00AB1558" w:rsidRDefault="00DF353F" w:rsidP="00E15124">
      <w:pPr>
        <w:pStyle w:val="Headingb"/>
        <w:rPr>
          <w:lang w:val="en-GB"/>
        </w:rPr>
      </w:pPr>
      <w:r>
        <w:rPr>
          <w:rFonts w:hint="cs"/>
          <w:rtl/>
        </w:rPr>
        <w:t>ال</w:t>
      </w:r>
      <w:r w:rsidR="00AB1558" w:rsidRPr="00AB1558">
        <w:rPr>
          <w:rFonts w:hint="cs"/>
          <w:rtl/>
        </w:rPr>
        <w:t>مقترح</w:t>
      </w:r>
    </w:p>
    <w:p w14:paraId="1A8685D8" w14:textId="3A10892D" w:rsidR="00A17E61" w:rsidRDefault="00AB1558" w:rsidP="00E15124">
      <w:pPr>
        <w:rPr>
          <w:rtl/>
        </w:rPr>
      </w:pPr>
      <w:r w:rsidRPr="00AB1558">
        <w:rPr>
          <w:rtl/>
        </w:rPr>
        <w:t xml:space="preserve">تقترح مصر أن يقدم الفريق الاستشاري </w:t>
      </w:r>
      <w:r w:rsidRPr="00AB1558">
        <w:rPr>
          <w:rFonts w:hint="cs"/>
          <w:rtl/>
        </w:rPr>
        <w:t>ل</w:t>
      </w:r>
      <w:r w:rsidRPr="00AB1558">
        <w:rPr>
          <w:rtl/>
        </w:rPr>
        <w:t>لاتصالات الراديوية إرشادات إلى مكتب الاتصالات الراديوية بشأن وضع إجراء إداري لاستضافة اجتماعات قطاع الاتصالات الراديوية خارج جنيف، وضمان تقديم الدعوات واستعراضها قبل سنة واحدة على الأقل. و</w:t>
      </w:r>
      <w:r w:rsidRPr="00AB1558">
        <w:rPr>
          <w:rFonts w:hint="cs"/>
          <w:rtl/>
        </w:rPr>
        <w:t>ت</w:t>
      </w:r>
      <w:r w:rsidRPr="00AB1558">
        <w:rPr>
          <w:rtl/>
        </w:rPr>
        <w:t xml:space="preserve">نبغي مناقشة هذه الدعوات في اجتماع سابق </w:t>
      </w:r>
      <w:r w:rsidRPr="00AB1558">
        <w:rPr>
          <w:rFonts w:hint="cs"/>
          <w:rtl/>
        </w:rPr>
        <w:t>ل</w:t>
      </w:r>
      <w:r w:rsidRPr="00AB1558">
        <w:rPr>
          <w:rtl/>
        </w:rPr>
        <w:t>لجنة دراسات أو فرقة عمل أو، إذا لزم الأمر، من خلال عملية تشاور مكتوبة مع الدول الأعضاء. وبالإضافة إلى ذلك، ينبغي تشجيع الدول الأعضاء الراغبة في استضافة الاجتماعات على الإعراب عن اهتمامها في</w:t>
      </w:r>
      <w:r w:rsidR="004B24E0">
        <w:rPr>
          <w:rFonts w:hint="cs"/>
          <w:rtl/>
        </w:rPr>
        <w:t> </w:t>
      </w:r>
      <w:r w:rsidRPr="00AB1558">
        <w:rPr>
          <w:rtl/>
        </w:rPr>
        <w:t>وقت مبكر لتسهيل التنسيق واتخاذ القرارات. وسيؤدي تنفيذ هذه التدابير إلى تعزيز الشفافية والقدرة على التنبؤ والشمولية مع ضمان استمرار تنظيم اجتماعات قطاع الاتصالات الراديوية بفعالية بغض النظر عن الموقع.</w:t>
      </w:r>
    </w:p>
    <w:p w14:paraId="35C971A2"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F879A" w14:textId="77777777" w:rsidR="005C277F" w:rsidRDefault="005C277F" w:rsidP="002919E1">
      <w:r>
        <w:separator/>
      </w:r>
    </w:p>
    <w:p w14:paraId="4D21F244" w14:textId="77777777" w:rsidR="005C277F" w:rsidRDefault="005C277F" w:rsidP="002919E1"/>
    <w:p w14:paraId="2A57F3F2" w14:textId="77777777" w:rsidR="005C277F" w:rsidRDefault="005C277F" w:rsidP="002919E1"/>
    <w:p w14:paraId="0B364B35" w14:textId="77777777" w:rsidR="005C277F" w:rsidRDefault="005C277F"/>
  </w:endnote>
  <w:endnote w:type="continuationSeparator" w:id="0">
    <w:p w14:paraId="592018B1" w14:textId="77777777" w:rsidR="005C277F" w:rsidRDefault="005C277F" w:rsidP="002919E1">
      <w:r>
        <w:continuationSeparator/>
      </w:r>
    </w:p>
    <w:p w14:paraId="3F60263A" w14:textId="77777777" w:rsidR="005C277F" w:rsidRDefault="005C277F" w:rsidP="002919E1"/>
    <w:p w14:paraId="66A7566F" w14:textId="77777777" w:rsidR="005C277F" w:rsidRDefault="005C277F" w:rsidP="002919E1"/>
    <w:p w14:paraId="3CABD896" w14:textId="77777777" w:rsidR="005C277F" w:rsidRDefault="005C2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6A1AF" w14:textId="77777777" w:rsidR="005C277F" w:rsidRDefault="005C277F" w:rsidP="002919E1">
      <w:r>
        <w:separator/>
      </w:r>
    </w:p>
  </w:footnote>
  <w:footnote w:type="continuationSeparator" w:id="0">
    <w:p w14:paraId="79BAB284" w14:textId="77777777" w:rsidR="005C277F" w:rsidRDefault="005C277F" w:rsidP="002919E1">
      <w:r>
        <w:continuationSeparator/>
      </w:r>
    </w:p>
    <w:p w14:paraId="0A5F7CE0" w14:textId="77777777" w:rsidR="005C277F" w:rsidRDefault="005C277F" w:rsidP="002919E1"/>
    <w:p w14:paraId="0C4647DD" w14:textId="77777777" w:rsidR="005C277F" w:rsidRDefault="005C277F" w:rsidP="002919E1"/>
    <w:p w14:paraId="7F3F9C62" w14:textId="77777777" w:rsidR="005C277F" w:rsidRDefault="005C2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002E" w14:textId="77777777" w:rsidR="00281F5F" w:rsidRDefault="00281F5F" w:rsidP="002919E1"/>
  <w:p w14:paraId="6438DEFE" w14:textId="77777777" w:rsidR="00281F5F" w:rsidRDefault="00281F5F" w:rsidP="002919E1"/>
  <w:p w14:paraId="74CFA0E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C44D"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/x-A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8444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C077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6AC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C8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4CD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2507759">
    <w:abstractNumId w:val="9"/>
  </w:num>
  <w:num w:numId="2" w16cid:durableId="1184977320">
    <w:abstractNumId w:val="11"/>
  </w:num>
  <w:num w:numId="3" w16cid:durableId="1848713282">
    <w:abstractNumId w:val="10"/>
  </w:num>
  <w:num w:numId="4" w16cid:durableId="324826651">
    <w:abstractNumId w:val="12"/>
  </w:num>
  <w:num w:numId="5" w16cid:durableId="1927424017">
    <w:abstractNumId w:val="7"/>
  </w:num>
  <w:num w:numId="6" w16cid:durableId="1049187381">
    <w:abstractNumId w:val="6"/>
  </w:num>
  <w:num w:numId="7" w16cid:durableId="671444831">
    <w:abstractNumId w:val="5"/>
  </w:num>
  <w:num w:numId="8" w16cid:durableId="443577163">
    <w:abstractNumId w:val="4"/>
  </w:num>
  <w:num w:numId="9" w16cid:durableId="1830974127">
    <w:abstractNumId w:val="8"/>
  </w:num>
  <w:num w:numId="10" w16cid:durableId="659621718">
    <w:abstractNumId w:val="3"/>
  </w:num>
  <w:num w:numId="11" w16cid:durableId="1170681095">
    <w:abstractNumId w:val="2"/>
  </w:num>
  <w:num w:numId="12" w16cid:durableId="23068674">
    <w:abstractNumId w:val="1"/>
  </w:num>
  <w:num w:numId="13" w16cid:durableId="182570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17"/>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D6299"/>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1E6923"/>
    <w:rsid w:val="00201A0A"/>
    <w:rsid w:val="002075D4"/>
    <w:rsid w:val="00211B2A"/>
    <w:rsid w:val="00223C6C"/>
    <w:rsid w:val="002333A0"/>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64B03"/>
    <w:rsid w:val="00470CBD"/>
    <w:rsid w:val="0047407D"/>
    <w:rsid w:val="004909DD"/>
    <w:rsid w:val="004A05E6"/>
    <w:rsid w:val="004A6230"/>
    <w:rsid w:val="004A6C66"/>
    <w:rsid w:val="004A7AA0"/>
    <w:rsid w:val="004B24E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77F"/>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4103"/>
    <w:rsid w:val="006F70BF"/>
    <w:rsid w:val="00716B1D"/>
    <w:rsid w:val="007248EC"/>
    <w:rsid w:val="00726744"/>
    <w:rsid w:val="00731150"/>
    <w:rsid w:val="00731749"/>
    <w:rsid w:val="00734E41"/>
    <w:rsid w:val="007351CE"/>
    <w:rsid w:val="00736DCC"/>
    <w:rsid w:val="00741855"/>
    <w:rsid w:val="00742B73"/>
    <w:rsid w:val="00751251"/>
    <w:rsid w:val="007610E7"/>
    <w:rsid w:val="00764079"/>
    <w:rsid w:val="00770AA0"/>
    <w:rsid w:val="00771F7E"/>
    <w:rsid w:val="00773E9C"/>
    <w:rsid w:val="00776F6B"/>
    <w:rsid w:val="00777545"/>
    <w:rsid w:val="00777694"/>
    <w:rsid w:val="00786A7E"/>
    <w:rsid w:val="007A0802"/>
    <w:rsid w:val="007B1FCA"/>
    <w:rsid w:val="007C2C12"/>
    <w:rsid w:val="007C3CFA"/>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5AA9"/>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4359E"/>
    <w:rsid w:val="00A66D2B"/>
    <w:rsid w:val="00A809E8"/>
    <w:rsid w:val="00A85B65"/>
    <w:rsid w:val="00A870AD"/>
    <w:rsid w:val="00A90843"/>
    <w:rsid w:val="00A9645C"/>
    <w:rsid w:val="00AB1558"/>
    <w:rsid w:val="00AB2A33"/>
    <w:rsid w:val="00AC1275"/>
    <w:rsid w:val="00AC7395"/>
    <w:rsid w:val="00AD162B"/>
    <w:rsid w:val="00AD690F"/>
    <w:rsid w:val="00AD69DD"/>
    <w:rsid w:val="00AE6B26"/>
    <w:rsid w:val="00AF22C1"/>
    <w:rsid w:val="00AF3EFA"/>
    <w:rsid w:val="00AF41D1"/>
    <w:rsid w:val="00AF69CC"/>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36C5E"/>
    <w:rsid w:val="00D419CB"/>
    <w:rsid w:val="00D42743"/>
    <w:rsid w:val="00D44350"/>
    <w:rsid w:val="00D44E3F"/>
    <w:rsid w:val="00D51BB8"/>
    <w:rsid w:val="00D525F5"/>
    <w:rsid w:val="00D535D0"/>
    <w:rsid w:val="00D577D8"/>
    <w:rsid w:val="00D62C78"/>
    <w:rsid w:val="00D81703"/>
    <w:rsid w:val="00D82929"/>
    <w:rsid w:val="00D84214"/>
    <w:rsid w:val="00D90D17"/>
    <w:rsid w:val="00D943E5"/>
    <w:rsid w:val="00DA1AE0"/>
    <w:rsid w:val="00DC29DD"/>
    <w:rsid w:val="00DC7C0E"/>
    <w:rsid w:val="00DE7387"/>
    <w:rsid w:val="00DF2A6A"/>
    <w:rsid w:val="00DF353F"/>
    <w:rsid w:val="00DF3B72"/>
    <w:rsid w:val="00E10821"/>
    <w:rsid w:val="00E15124"/>
    <w:rsid w:val="00E2489D"/>
    <w:rsid w:val="00E26520"/>
    <w:rsid w:val="00E26732"/>
    <w:rsid w:val="00E343A3"/>
    <w:rsid w:val="00E47277"/>
    <w:rsid w:val="00E51BFA"/>
    <w:rsid w:val="00E6129E"/>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52E75"/>
    <w:rsid w:val="00F70EB2"/>
    <w:rsid w:val="00F82FCA"/>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AA7C69"/>
  <w15:docId w15:val="{FD5D7EC3-650F-47BE-B209-60880A9B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B65"/>
    <w:pPr>
      <w:tabs>
        <w:tab w:val="left" w:pos="794"/>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731749"/>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A85B65"/>
    <w:pPr>
      <w:tabs>
        <w:tab w:val="clear" w:pos="794"/>
      </w:tabs>
      <w:spacing w:before="80"/>
      <w:ind w:left="794" w:hanging="794"/>
    </w:pPr>
  </w:style>
  <w:style w:type="character" w:customStyle="1" w:styleId="enumlev1Char">
    <w:name w:val="enumlev1 Char"/>
    <w:basedOn w:val="DefaultParagraphFont"/>
    <w:link w:val="enumlev1"/>
    <w:rsid w:val="00A85B65"/>
    <w:rPr>
      <w:rFonts w:ascii="Dubai" w:hAnsi="Dubai" w:cs="Dubai"/>
      <w:sz w:val="22"/>
      <w:szCs w:val="22"/>
      <w:lang w:eastAsia="en-US"/>
    </w:rPr>
  </w:style>
  <w:style w:type="paragraph" w:customStyle="1" w:styleId="enumlev2">
    <w:name w:val="enumlev2"/>
    <w:basedOn w:val="enumlev1"/>
    <w:next w:val="Normal"/>
    <w:link w:val="enumlev2Char"/>
    <w:qFormat/>
    <w:rsid w:val="00A85B65"/>
    <w:pPr>
      <w:ind w:left="1588"/>
    </w:pPr>
  </w:style>
  <w:style w:type="character" w:customStyle="1" w:styleId="enumlev2Char">
    <w:name w:val="enumlev2 Char"/>
    <w:basedOn w:val="enumlev1Char"/>
    <w:link w:val="enumlev2"/>
    <w:rsid w:val="00A85B65"/>
    <w:rPr>
      <w:rFonts w:ascii="Dubai" w:hAnsi="Dubai" w:cs="Dubai"/>
      <w:sz w:val="22"/>
      <w:szCs w:val="22"/>
      <w:lang w:eastAsia="en-US"/>
    </w:rPr>
  </w:style>
  <w:style w:type="paragraph" w:customStyle="1" w:styleId="enumlev3">
    <w:name w:val="enumlev3"/>
    <w:basedOn w:val="enumlev2"/>
    <w:next w:val="Normal"/>
    <w:link w:val="enumlev3Char"/>
    <w:qFormat/>
    <w:rsid w:val="00A85B65"/>
    <w:pPr>
      <w:ind w:left="2382"/>
    </w:pPr>
  </w:style>
  <w:style w:type="character" w:customStyle="1" w:styleId="enumlev3Char">
    <w:name w:val="enumlev3 Char"/>
    <w:basedOn w:val="enumlev2Char"/>
    <w:link w:val="enumlev3"/>
    <w:rsid w:val="00A85B6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Revision">
    <w:name w:val="Revision"/>
    <w:hidden/>
    <w:uiPriority w:val="99"/>
    <w:semiHidden/>
    <w:rsid w:val="009D5AA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4\1\2500737%5bA%5d\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PA_RAG25.dotx</Template>
  <TotalTime>1</TotalTime>
  <Pages>1</Pages>
  <Words>347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MMAS</dc:creator>
  <cp:keywords>WRC-12</cp:keywords>
  <cp:lastModifiedBy>Xue, Kun</cp:lastModifiedBy>
  <cp:revision>2</cp:revision>
  <cp:lastPrinted>2019-06-26T10:10:00Z</cp:lastPrinted>
  <dcterms:created xsi:type="dcterms:W3CDTF">2025-04-02T13:59:00Z</dcterms:created>
  <dcterms:modified xsi:type="dcterms:W3CDTF">2025-04-02T13:59:00Z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