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458A39F4" w14:textId="77777777" w:rsidTr="00E32F4C">
        <w:trPr>
          <w:cantSplit/>
        </w:trPr>
        <w:tc>
          <w:tcPr>
            <w:tcW w:w="6772" w:type="dxa"/>
            <w:vAlign w:val="center"/>
          </w:tcPr>
          <w:p w14:paraId="52A81BEB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1643E3E3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837C005" wp14:editId="1DCE4D72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08017C1E" w14:textId="77777777" w:rsidTr="00E32F4C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62DE3236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01392307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5A4E00AC" w14:textId="77777777" w:rsidTr="00E32F4C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3C0343B2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6448DCDD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E32F4C" w:rsidRPr="002A127E" w14:paraId="62DF0DA1" w14:textId="77777777" w:rsidTr="00E32F4C">
        <w:trPr>
          <w:cantSplit/>
        </w:trPr>
        <w:tc>
          <w:tcPr>
            <w:tcW w:w="6772" w:type="dxa"/>
            <w:vMerge w:val="restart"/>
          </w:tcPr>
          <w:p w14:paraId="7D7CA005" w14:textId="77777777" w:rsidR="00E32F4C" w:rsidRDefault="00E32F4C" w:rsidP="00E32F4C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3113E258" w14:textId="611EBD42" w:rsidR="00E32F4C" w:rsidRPr="00786266" w:rsidRDefault="00E32F4C" w:rsidP="00E32F4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50A80">
              <w:rPr>
                <w:rFonts w:ascii="Verdana" w:eastAsia="SimSun" w:hAnsi="Verdana"/>
                <w:b/>
                <w:sz w:val="20"/>
              </w:rPr>
              <w:t>Document</w:t>
            </w:r>
            <w:r>
              <w:rPr>
                <w:rFonts w:ascii="Verdana" w:eastAsia="SimSun" w:hAnsi="Verdana"/>
                <w:b/>
                <w:sz w:val="20"/>
              </w:rPr>
              <w:t>o</w:t>
            </w:r>
            <w:r w:rsidRPr="00250A80">
              <w:rPr>
                <w:rFonts w:ascii="Verdana" w:eastAsia="SimSun" w:hAnsi="Verdana"/>
                <w:b/>
                <w:sz w:val="20"/>
              </w:rPr>
              <w:t xml:space="preserve"> RAG/43-</w:t>
            </w:r>
            <w:r>
              <w:rPr>
                <w:rFonts w:ascii="Verdana" w:eastAsia="SimSun" w:hAnsi="Verdana"/>
                <w:b/>
                <w:sz w:val="20"/>
              </w:rPr>
              <w:t>S</w:t>
            </w:r>
          </w:p>
        </w:tc>
      </w:tr>
      <w:tr w:rsidR="00E32F4C" w:rsidRPr="002A127E" w14:paraId="7FE2EA9F" w14:textId="77777777" w:rsidTr="00E32F4C">
        <w:trPr>
          <w:cantSplit/>
        </w:trPr>
        <w:tc>
          <w:tcPr>
            <w:tcW w:w="6772" w:type="dxa"/>
            <w:vMerge/>
          </w:tcPr>
          <w:p w14:paraId="221AB427" w14:textId="77777777" w:rsidR="00E32F4C" w:rsidRDefault="00E32F4C" w:rsidP="00E32F4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757E0DC3" w14:textId="734F7739" w:rsidR="00E32F4C" w:rsidRPr="00786266" w:rsidRDefault="00E32F4C" w:rsidP="00E32F4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50A80">
              <w:rPr>
                <w:rFonts w:ascii="Verdana" w:eastAsia="SimSun" w:hAnsi="Verdana"/>
                <w:b/>
                <w:sz w:val="20"/>
              </w:rPr>
              <w:t xml:space="preserve">31 </w:t>
            </w:r>
            <w:r>
              <w:rPr>
                <w:rFonts w:ascii="Verdana" w:eastAsia="SimSun" w:hAnsi="Verdana"/>
                <w:b/>
                <w:sz w:val="20"/>
              </w:rPr>
              <w:t>de marzo de</w:t>
            </w:r>
            <w:r w:rsidRPr="00250A80">
              <w:rPr>
                <w:rFonts w:ascii="Verdana" w:eastAsia="SimSun" w:hAnsi="Verdana"/>
                <w:b/>
                <w:sz w:val="20"/>
              </w:rPr>
              <w:t xml:space="preserve"> 2025</w:t>
            </w:r>
          </w:p>
        </w:tc>
      </w:tr>
      <w:tr w:rsidR="00E32F4C" w:rsidRPr="002A127E" w14:paraId="5F45699C" w14:textId="77777777" w:rsidTr="00E32F4C">
        <w:trPr>
          <w:cantSplit/>
        </w:trPr>
        <w:tc>
          <w:tcPr>
            <w:tcW w:w="6772" w:type="dxa"/>
            <w:vMerge/>
          </w:tcPr>
          <w:p w14:paraId="3F4FCE79" w14:textId="77777777" w:rsidR="00E32F4C" w:rsidRDefault="00E32F4C" w:rsidP="00E32F4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73B0C368" w14:textId="4A9DB546" w:rsidR="00E32F4C" w:rsidRPr="00786266" w:rsidRDefault="00E32F4C" w:rsidP="00E32F4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250A80">
              <w:rPr>
                <w:rFonts w:ascii="Verdana" w:eastAsia="SimSun" w:hAnsi="Verdana"/>
                <w:b/>
                <w:sz w:val="20"/>
              </w:rPr>
              <w:t xml:space="preserve">Original: </w:t>
            </w:r>
            <w:r>
              <w:rPr>
                <w:rFonts w:ascii="Verdana" w:eastAsia="SimSun" w:hAnsi="Verdana"/>
                <w:b/>
                <w:sz w:val="20"/>
              </w:rPr>
              <w:t>inglés</w:t>
            </w:r>
          </w:p>
        </w:tc>
      </w:tr>
      <w:tr w:rsidR="00E32F4C" w14:paraId="3E764D65" w14:textId="77777777" w:rsidTr="008F0106">
        <w:trPr>
          <w:cantSplit/>
        </w:trPr>
        <w:tc>
          <w:tcPr>
            <w:tcW w:w="9889" w:type="dxa"/>
            <w:gridSpan w:val="2"/>
          </w:tcPr>
          <w:p w14:paraId="04F17731" w14:textId="7170C4B2" w:rsidR="00E32F4C" w:rsidRDefault="00E32F4C" w:rsidP="00E32F4C">
            <w:pPr>
              <w:pStyle w:val="Source"/>
            </w:pPr>
            <w:bookmarkStart w:id="3" w:name="dsource" w:colFirst="0" w:colLast="0"/>
            <w:bookmarkEnd w:id="2"/>
            <w:r>
              <w:rPr>
                <w:rFonts w:eastAsia="SimSun"/>
              </w:rPr>
              <w:t xml:space="preserve">Arabia </w:t>
            </w:r>
            <w:r w:rsidRPr="00250A80">
              <w:rPr>
                <w:rFonts w:eastAsia="SimSun"/>
              </w:rPr>
              <w:t>Saudi</w:t>
            </w:r>
            <w:r>
              <w:rPr>
                <w:rFonts w:eastAsia="SimSun"/>
              </w:rPr>
              <w:t>ta (Reino de</w:t>
            </w:r>
            <w:r w:rsidRPr="00250A80">
              <w:rPr>
                <w:rFonts w:eastAsia="SimSun"/>
              </w:rPr>
              <w:t>)</w:t>
            </w:r>
          </w:p>
        </w:tc>
      </w:tr>
      <w:tr w:rsidR="00E32F4C" w14:paraId="70AE713B" w14:textId="77777777" w:rsidTr="008F0106">
        <w:trPr>
          <w:cantSplit/>
        </w:trPr>
        <w:tc>
          <w:tcPr>
            <w:tcW w:w="9889" w:type="dxa"/>
            <w:gridSpan w:val="2"/>
          </w:tcPr>
          <w:p w14:paraId="5B83F72D" w14:textId="7CF0A0AB" w:rsidR="00E32F4C" w:rsidRDefault="00E32F4C" w:rsidP="00E32F4C">
            <w:pPr>
              <w:pStyle w:val="Title1"/>
            </w:pPr>
            <w:bookmarkStart w:id="4" w:name="_Hlk160577334"/>
            <w:bookmarkStart w:id="5" w:name="dtitle1" w:colFirst="0" w:colLast="0"/>
            <w:bookmarkEnd w:id="3"/>
            <w:r w:rsidRPr="005F73AC">
              <w:rPr>
                <w:lang w:val="es-ES"/>
              </w:rPr>
              <w:t>Examen detallado de la estructura y los métodos</w:t>
            </w:r>
            <w:r w:rsidR="00D81DB7">
              <w:rPr>
                <w:lang w:val="es-ES"/>
              </w:rPr>
              <w:br/>
            </w:r>
            <w:r w:rsidRPr="005F73AC">
              <w:rPr>
                <w:lang w:val="es-ES"/>
              </w:rPr>
              <w:t>de trabajo actuales de las Comi</w:t>
            </w:r>
            <w:r>
              <w:rPr>
                <w:lang w:val="es-ES"/>
              </w:rPr>
              <w:t>siones de estudio del UIT-R</w:t>
            </w:r>
            <w:r w:rsidRPr="005F73AC">
              <w:rPr>
                <w:lang w:val="es-ES"/>
              </w:rPr>
              <w:t xml:space="preserve"> </w:t>
            </w:r>
            <w:bookmarkEnd w:id="4"/>
          </w:p>
        </w:tc>
      </w:tr>
    </w:tbl>
    <w:bookmarkEnd w:id="5"/>
    <w:p w14:paraId="3278373C" w14:textId="77777777" w:rsidR="00E32F4C" w:rsidRPr="00785894" w:rsidRDefault="00E32F4C" w:rsidP="00E32F4C">
      <w:pPr>
        <w:pStyle w:val="Heading1"/>
        <w:rPr>
          <w:lang w:val="es-ES"/>
        </w:rPr>
      </w:pPr>
      <w:r w:rsidRPr="00785894">
        <w:rPr>
          <w:lang w:val="es-ES"/>
        </w:rPr>
        <w:t>1</w:t>
      </w:r>
      <w:r w:rsidRPr="00785894">
        <w:rPr>
          <w:lang w:val="es-ES"/>
        </w:rPr>
        <w:tab/>
        <w:t>Antecedentes</w:t>
      </w:r>
    </w:p>
    <w:p w14:paraId="48EBD4BC" w14:textId="77777777" w:rsidR="00E32F4C" w:rsidRDefault="00E32F4C" w:rsidP="00E32F4C">
      <w:r w:rsidRPr="00285BD1">
        <w:rPr>
          <w:lang w:val="es-ES"/>
        </w:rPr>
        <w:t>Las radiocomunicaciones están experimentando una profunda transformación derivada de</w:t>
      </w:r>
      <w:r>
        <w:rPr>
          <w:lang w:val="es-ES"/>
        </w:rPr>
        <w:t xml:space="preserve"> </w:t>
      </w:r>
      <w:r w:rsidRPr="00285BD1">
        <w:rPr>
          <w:lang w:val="es-ES"/>
        </w:rPr>
        <w:t>la rápida evolución de las tecno</w:t>
      </w:r>
      <w:r>
        <w:rPr>
          <w:lang w:val="es-ES"/>
        </w:rPr>
        <w:t>logías terrenales y no terrenales, que se traduce en la aparición de todo un abanico de nuevos sistemas y servicios, que influyen en una amplia gama de servicios verticales y entornos de usuario y plantean demandas de espectro, normas y marcos reglamentarios sin precedentes. Estas tecnologías no son sólo disruptivas, sino que representan los cimientos de la futura conectividad mundial. Como ejemplos destacados pueden citarse los siguientes</w:t>
      </w:r>
      <w:r>
        <w:t>:</w:t>
      </w:r>
    </w:p>
    <w:p w14:paraId="1A4D0545" w14:textId="3CF783F0" w:rsidR="00E32F4C" w:rsidRPr="00285BD1" w:rsidRDefault="00983A69" w:rsidP="00983A69">
      <w:pPr>
        <w:pStyle w:val="enumlev1"/>
        <w:rPr>
          <w:lang w:val="es-ES"/>
        </w:rPr>
      </w:pPr>
      <w:r w:rsidRPr="00983A69">
        <w:rPr>
          <w:lang w:val="es-ES"/>
        </w:rPr>
        <w:t>•</w:t>
      </w:r>
      <w:r>
        <w:rPr>
          <w:lang w:val="es-ES"/>
        </w:rPr>
        <w:tab/>
      </w:r>
      <w:r w:rsidR="00E32F4C" w:rsidRPr="00285BD1">
        <w:rPr>
          <w:lang w:val="es-ES"/>
        </w:rPr>
        <w:t>Redes no terrenales</w:t>
      </w:r>
      <w:r w:rsidR="00E32F4C" w:rsidRPr="00285BD1">
        <w:rPr>
          <w:rFonts w:eastAsia="SimSun"/>
          <w:lang w:val="es-ES"/>
        </w:rPr>
        <w:t xml:space="preserve"> (</w:t>
      </w:r>
      <w:r w:rsidR="00E32F4C" w:rsidRPr="00285BD1">
        <w:rPr>
          <w:lang w:val="es-ES"/>
        </w:rPr>
        <w:t>NTN), que integran satélites, plataformas aéreas (HAPS/HIBS) e infraestructura terrenal para ofrecer una cobertura mundial sin límites y soportan servicios de banda ancha ubicuos, en particu</w:t>
      </w:r>
      <w:r w:rsidR="00E32F4C">
        <w:rPr>
          <w:lang w:val="es-ES"/>
        </w:rPr>
        <w:t>lar en zonas remotas e insuficientemente atendidas</w:t>
      </w:r>
      <w:r w:rsidR="00E32F4C" w:rsidRPr="00285BD1">
        <w:rPr>
          <w:lang w:val="es-ES"/>
        </w:rPr>
        <w:t>.</w:t>
      </w:r>
    </w:p>
    <w:p w14:paraId="17CFDACC" w14:textId="6DB4BD1F" w:rsidR="00E32F4C" w:rsidRPr="00285BD1" w:rsidRDefault="00983A69" w:rsidP="00983A69">
      <w:pPr>
        <w:pStyle w:val="enumlev1"/>
        <w:rPr>
          <w:lang w:val="es-ES"/>
        </w:rPr>
      </w:pPr>
      <w:r w:rsidRPr="00983A69">
        <w:rPr>
          <w:lang w:val="es-ES"/>
        </w:rPr>
        <w:t>•</w:t>
      </w:r>
      <w:r>
        <w:rPr>
          <w:lang w:val="es-ES"/>
        </w:rPr>
        <w:tab/>
      </w:r>
      <w:r w:rsidR="00E32F4C" w:rsidRPr="00285BD1">
        <w:rPr>
          <w:lang w:val="es-ES"/>
        </w:rPr>
        <w:t>Conectividad directa a dispositivo o directa a celular (D2D/D2C), que permite la conexión directa de dispos</w:t>
      </w:r>
      <w:r w:rsidR="00E32F4C">
        <w:rPr>
          <w:lang w:val="es-ES"/>
        </w:rPr>
        <w:t xml:space="preserve">itivos móviles comerciales y dispositivos IoT a las constelaciones de satélites. </w:t>
      </w:r>
      <w:r w:rsidR="00E32F4C" w:rsidRPr="00285BD1">
        <w:rPr>
          <w:lang w:val="es-ES"/>
        </w:rPr>
        <w:t>Este paradigma une las redes terrenales con las espaciales y plantea problemas complejos de</w:t>
      </w:r>
      <w:r w:rsidR="00E32F4C">
        <w:rPr>
          <w:lang w:val="es-ES"/>
        </w:rPr>
        <w:t xml:space="preserve"> compartición de espectro, interoperabilidad y coordinación</w:t>
      </w:r>
      <w:r w:rsidR="00E32F4C" w:rsidRPr="00285BD1">
        <w:rPr>
          <w:lang w:val="es-ES"/>
        </w:rPr>
        <w:t>.</w:t>
      </w:r>
    </w:p>
    <w:p w14:paraId="1C097677" w14:textId="49C83537" w:rsidR="00E32F4C" w:rsidRPr="00285BD1" w:rsidRDefault="00983A69" w:rsidP="00983A69">
      <w:pPr>
        <w:pStyle w:val="enumlev1"/>
        <w:rPr>
          <w:lang w:val="es-ES"/>
        </w:rPr>
      </w:pPr>
      <w:r w:rsidRPr="00983A69">
        <w:rPr>
          <w:lang w:val="es-ES"/>
        </w:rPr>
        <w:t>•</w:t>
      </w:r>
      <w:r>
        <w:rPr>
          <w:lang w:val="es-ES"/>
        </w:rPr>
        <w:tab/>
      </w:r>
      <w:r w:rsidR="00E32F4C" w:rsidRPr="00285BD1">
        <w:rPr>
          <w:lang w:val="es-ES"/>
        </w:rPr>
        <w:t>Plataformas de Internet de las cosas (IoT) terrenales y satelitales, que exigen una conectividad ultrafia</w:t>
      </w:r>
      <w:r w:rsidR="00E32F4C">
        <w:rPr>
          <w:lang w:val="es-ES"/>
        </w:rPr>
        <w:t xml:space="preserve">ble, con frecuencia a lo largo y ancho de grandes huellas geográficas y en entornos extremos. </w:t>
      </w:r>
      <w:r w:rsidR="00E32F4C" w:rsidRPr="00285BD1">
        <w:rPr>
          <w:lang w:val="es-ES"/>
        </w:rPr>
        <w:t xml:space="preserve">Estos sistemas son cada vez más dependientes de arquitecturas híbridas y nuevas formas de </w:t>
      </w:r>
      <w:r w:rsidR="00E32F4C">
        <w:rPr>
          <w:lang w:val="es-ES"/>
        </w:rPr>
        <w:t>onda que ponen a prueba los modelos de atribución e interferencia tradicionales</w:t>
      </w:r>
      <w:r w:rsidR="00E32F4C" w:rsidRPr="00285BD1">
        <w:rPr>
          <w:lang w:val="es-ES"/>
        </w:rPr>
        <w:t>.</w:t>
      </w:r>
    </w:p>
    <w:p w14:paraId="3212691B" w14:textId="20AE48A3" w:rsidR="00E32F4C" w:rsidRPr="00285BD1" w:rsidRDefault="00983A69" w:rsidP="00983A69">
      <w:pPr>
        <w:pStyle w:val="enumlev1"/>
        <w:rPr>
          <w:lang w:val="es-ES"/>
        </w:rPr>
      </w:pPr>
      <w:r w:rsidRPr="00983A69">
        <w:rPr>
          <w:lang w:val="es-ES"/>
        </w:rPr>
        <w:t>•</w:t>
      </w:r>
      <w:r>
        <w:rPr>
          <w:lang w:val="es-ES"/>
        </w:rPr>
        <w:tab/>
      </w:r>
      <w:r w:rsidR="00E32F4C" w:rsidRPr="00285BD1">
        <w:rPr>
          <w:lang w:val="es-ES"/>
        </w:rPr>
        <w:t xml:space="preserve">Radiocomunicaciones asistidas por IA/ML para la detección </w:t>
      </w:r>
      <w:r w:rsidR="00E32F4C">
        <w:rPr>
          <w:lang w:val="es-ES"/>
        </w:rPr>
        <w:t xml:space="preserve">espectral, la reducción de la interferencia, la atribución dinámica y la optimización de la red. </w:t>
      </w:r>
      <w:r w:rsidR="00E32F4C" w:rsidRPr="00285BD1">
        <w:rPr>
          <w:lang w:val="es-ES"/>
        </w:rPr>
        <w:t>Estas capacidades necesitan nuevos marcos de evaluación de</w:t>
      </w:r>
      <w:r w:rsidR="00E32F4C">
        <w:rPr>
          <w:lang w:val="es-ES"/>
        </w:rPr>
        <w:t xml:space="preserve"> la calidad de funcionamiento, la transparencia de modelos y la toma de decisiones en tiempo real</w:t>
      </w:r>
      <w:r w:rsidR="00E32F4C" w:rsidRPr="00285BD1">
        <w:rPr>
          <w:lang w:val="es-ES"/>
        </w:rPr>
        <w:t>.</w:t>
      </w:r>
    </w:p>
    <w:p w14:paraId="0756FB4B" w14:textId="59255DE5" w:rsidR="00E32F4C" w:rsidRPr="008610F0" w:rsidRDefault="00983A69" w:rsidP="00983A69">
      <w:pPr>
        <w:pStyle w:val="enumlev1"/>
        <w:rPr>
          <w:lang w:val="es-ES"/>
        </w:rPr>
      </w:pPr>
      <w:r w:rsidRPr="00983A69">
        <w:rPr>
          <w:lang w:val="es-ES"/>
        </w:rPr>
        <w:t>•</w:t>
      </w:r>
      <w:r>
        <w:rPr>
          <w:lang w:val="es-ES"/>
        </w:rPr>
        <w:tab/>
      </w:r>
      <w:r w:rsidR="00E32F4C" w:rsidRPr="008610F0">
        <w:rPr>
          <w:lang w:val="es-ES"/>
        </w:rPr>
        <w:t xml:space="preserve">Las superficies inteligentes reconfigurables (RIS), la interconexión de redes en malla y los enlaces cuánticos son ámbitos cada vez más </w:t>
      </w:r>
      <w:r w:rsidR="00E32F4C">
        <w:rPr>
          <w:lang w:val="es-ES"/>
        </w:rPr>
        <w:t>presentes en la investigación y el desarrollo que hay que estudiar desde nuevos enfoques que trascienden los límites de los servicios heredados</w:t>
      </w:r>
      <w:r w:rsidR="00E32F4C" w:rsidRPr="008610F0">
        <w:rPr>
          <w:lang w:val="es-ES"/>
        </w:rPr>
        <w:t>.</w:t>
      </w:r>
    </w:p>
    <w:p w14:paraId="2EF30E7D" w14:textId="77777777" w:rsidR="00E32F4C" w:rsidRPr="008610F0" w:rsidRDefault="00E32F4C" w:rsidP="00E32F4C">
      <w:pPr>
        <w:rPr>
          <w:lang w:val="es-ES"/>
        </w:rPr>
      </w:pPr>
      <w:r w:rsidRPr="008610F0">
        <w:rPr>
          <w:lang w:val="es-ES"/>
        </w:rPr>
        <w:t>Estas tecnologías son inherentemente transversales, atañen a múltiples Comisiones de Estudio y servicios y suelen exigir una ágil coordinación</w:t>
      </w:r>
      <w:r>
        <w:rPr>
          <w:lang w:val="es-ES"/>
        </w:rPr>
        <w:t xml:space="preserve"> multidisciplinaria que pueda seguir el ritmo de la innovación</w:t>
      </w:r>
      <w:r w:rsidRPr="008610F0">
        <w:rPr>
          <w:lang w:val="es-ES"/>
        </w:rPr>
        <w:t>. El tradicional enfoque estanco de los estudios se ve cada vez más amenazado por la velo</w:t>
      </w:r>
      <w:r>
        <w:rPr>
          <w:lang w:val="es-ES"/>
        </w:rPr>
        <w:t>cidad, la complejidad y la naturaleza interconectada de esta evolución</w:t>
      </w:r>
      <w:r w:rsidRPr="008610F0">
        <w:rPr>
          <w:lang w:val="es-ES"/>
        </w:rPr>
        <w:t>.</w:t>
      </w:r>
    </w:p>
    <w:p w14:paraId="3D7FABA0" w14:textId="77777777" w:rsidR="00E32F4C" w:rsidRPr="008610F0" w:rsidRDefault="00E32F4C" w:rsidP="00E32F4C">
      <w:pPr>
        <w:rPr>
          <w:lang w:val="es-ES"/>
        </w:rPr>
      </w:pPr>
      <w:r>
        <w:rPr>
          <w:lang w:val="es-ES"/>
        </w:rPr>
        <w:lastRenderedPageBreak/>
        <w:t xml:space="preserve">Esto queda patente en el orden del día de la CMR-27, muchos de cuyos puntos exigen estudios transversales y la estrecha coordinación de múltiples Comisiones de Estudio y Grupos de Trabajo. </w:t>
      </w:r>
      <w:r w:rsidRPr="008610F0">
        <w:rPr>
          <w:lang w:val="es-ES"/>
        </w:rPr>
        <w:t>Sin una estructura cohesiva y unos mé</w:t>
      </w:r>
      <w:r>
        <w:rPr>
          <w:lang w:val="es-ES"/>
        </w:rPr>
        <w:t>todos de trabajo armonizados se corre el riesgo de duplicar las actividades, obtener resultados fragmentados y generar retrasos en la compleción de los estudios y los preparativos reglamentarios necesarios para la toma de decisiones en la CMR</w:t>
      </w:r>
      <w:r w:rsidRPr="008610F0">
        <w:rPr>
          <w:lang w:val="es-ES"/>
        </w:rPr>
        <w:t>.</w:t>
      </w:r>
    </w:p>
    <w:p w14:paraId="65E7E746" w14:textId="77777777" w:rsidR="00E32F4C" w:rsidRPr="008610F0" w:rsidRDefault="00E32F4C" w:rsidP="00E32F4C">
      <w:pPr>
        <w:rPr>
          <w:lang w:val="es-ES"/>
        </w:rPr>
      </w:pPr>
      <w:r w:rsidRPr="008610F0">
        <w:rPr>
          <w:lang w:val="es-ES"/>
        </w:rPr>
        <w:t xml:space="preserve">Al mismo tiempo, en el Documento </w:t>
      </w:r>
      <w:hyperlink r:id="rId8" w:history="1">
        <w:r>
          <w:rPr>
            <w:rStyle w:val="Hyperlink"/>
            <w:lang w:val="es-ES"/>
          </w:rPr>
          <w:t>RAG/30(Add.1)-S</w:t>
        </w:r>
      </w:hyperlink>
      <w:r w:rsidRPr="008610F0">
        <w:rPr>
          <w:lang w:val="es-ES"/>
        </w:rPr>
        <w:t xml:space="preserve"> el Director de la Oficina de Radiocomunicaciones destaca la notable carga de trabajo que gestionan las Comisiones de Estudio y Grupos de Trab</w:t>
      </w:r>
      <w:r>
        <w:rPr>
          <w:lang w:val="es-ES"/>
        </w:rPr>
        <w:t>ajo existentes, así como las dificultades logísticas encontradas al planificar las reuniones, entre las que se cuentan los elevados niveles de participación, la complejidad y volumen crecientes de las contribuciones, el solapamiento de los calendarios de reunión, las limitaciones relativas al lugar de celebración de las reuniones,</w:t>
      </w:r>
      <w:r w:rsidRPr="008610F0">
        <w:rPr>
          <w:lang w:val="es-ES"/>
        </w:rPr>
        <w:t xml:space="preserve"> etc.</w:t>
      </w:r>
    </w:p>
    <w:p w14:paraId="0CA05395" w14:textId="77777777" w:rsidR="00E32F4C" w:rsidRPr="006E0556" w:rsidRDefault="00E32F4C" w:rsidP="00E32F4C">
      <w:pPr>
        <w:rPr>
          <w:lang w:val="es-ES"/>
        </w:rPr>
      </w:pPr>
      <w:r w:rsidRPr="006E0556">
        <w:rPr>
          <w:lang w:val="es-ES"/>
        </w:rPr>
        <w:t>En este contexto, habida cuenta de que la actual estructura de las Comisiones de Estudio del UIT-R no se ha revisado sustantivamente desde 2007, es oportuno y esencial revisar la estructura y los métodos de trabajo actuales de las Comisiones de Estudio a fin de</w:t>
      </w:r>
      <w:r>
        <w:rPr>
          <w:lang w:val="es-ES"/>
        </w:rPr>
        <w:t xml:space="preserve"> garantizar que el UIT-R pueda seguir siendo la plataforma mundial de armonización de las soluciones de radiocomunicaciones en esta nueva era tecnológica</w:t>
      </w:r>
      <w:r w:rsidRPr="006E0556">
        <w:rPr>
          <w:lang w:val="es-ES"/>
        </w:rPr>
        <w:t>.</w:t>
      </w:r>
    </w:p>
    <w:p w14:paraId="7DB324DC" w14:textId="003265C5" w:rsidR="00E32F4C" w:rsidRPr="006E0556" w:rsidRDefault="00E32F4C" w:rsidP="00E32F4C">
      <w:pPr>
        <w:rPr>
          <w:lang w:val="es-ES"/>
        </w:rPr>
      </w:pPr>
      <w:r w:rsidRPr="006E0556">
        <w:rPr>
          <w:lang w:val="es-ES"/>
        </w:rPr>
        <w:t>El Grupo Asesor de Radiocomunicaciones (G</w:t>
      </w:r>
      <w:r w:rsidR="00F450B5">
        <w:rPr>
          <w:lang w:val="es-ES"/>
        </w:rPr>
        <w:t>A</w:t>
      </w:r>
      <w:r w:rsidRPr="006E0556">
        <w:rPr>
          <w:lang w:val="es-ES"/>
        </w:rPr>
        <w:t>R) desemp</w:t>
      </w:r>
      <w:r>
        <w:rPr>
          <w:lang w:val="es-ES"/>
        </w:rPr>
        <w:t xml:space="preserve">eña un papel único y central dentro del Sector de Radiocomunicaciones de la UIT. </w:t>
      </w:r>
      <w:r w:rsidRPr="006E0556">
        <w:rPr>
          <w:lang w:val="es-ES"/>
        </w:rPr>
        <w:t>Su ámbito de competencia y radio de acción están claramente definidos en el Artículo 11A del Convenio de la Unión Internacional de Radiocomunicaciones, que confiere al GAR competencias para examinar las ac</w:t>
      </w:r>
      <w:r>
        <w:rPr>
          <w:lang w:val="es-ES"/>
        </w:rPr>
        <w:t>tividades de las Comisiones de Estudio, recomendar medidas para mejorar la coordinación de los trabajos y proporcionar directrices para la labor de las Comisiones de Estudio (números</w:t>
      </w:r>
      <w:r w:rsidRPr="006E0556">
        <w:rPr>
          <w:lang w:val="es-ES"/>
        </w:rPr>
        <w:t xml:space="preserve"> </w:t>
      </w:r>
      <w:hyperlink r:id="rId9" w:history="1">
        <w:r w:rsidRPr="006E0556">
          <w:rPr>
            <w:rStyle w:val="Hyperlink"/>
            <w:spacing w:val="-2"/>
            <w:lang w:val="es-ES"/>
          </w:rPr>
          <w:t>160C PP-98 PP-02</w:t>
        </w:r>
      </w:hyperlink>
      <w:r w:rsidRPr="006E0556">
        <w:rPr>
          <w:spacing w:val="-2"/>
          <w:lang w:val="es-ES"/>
        </w:rPr>
        <w:t xml:space="preserve">, </w:t>
      </w:r>
      <w:hyperlink r:id="rId10" w:history="1">
        <w:r w:rsidRPr="006E0556">
          <w:rPr>
            <w:rStyle w:val="Hyperlink"/>
            <w:spacing w:val="-2"/>
            <w:lang w:val="es-ES"/>
          </w:rPr>
          <w:t>160E PP-98</w:t>
        </w:r>
      </w:hyperlink>
      <w:r w:rsidRPr="006E0556">
        <w:rPr>
          <w:spacing w:val="-2"/>
          <w:lang w:val="es-ES"/>
        </w:rPr>
        <w:t xml:space="preserve">). Estas disposiciones se refuerzan y amplían en la </w:t>
      </w:r>
      <w:hyperlink r:id="rId11" w:history="1">
        <w:r w:rsidRPr="006E0556">
          <w:rPr>
            <w:rStyle w:val="Hyperlink"/>
            <w:spacing w:val="-2"/>
            <w:lang w:val="es-ES"/>
          </w:rPr>
          <w:t>Resolució</w:t>
        </w:r>
        <w:r>
          <w:rPr>
            <w:rStyle w:val="Hyperlink"/>
            <w:spacing w:val="-2"/>
            <w:lang w:val="es-ES"/>
          </w:rPr>
          <w:t>n</w:t>
        </w:r>
        <w:r w:rsidRPr="006E0556">
          <w:rPr>
            <w:rStyle w:val="Hyperlink"/>
            <w:spacing w:val="-2"/>
            <w:lang w:val="es-ES"/>
          </w:rPr>
          <w:t xml:space="preserve"> U</w:t>
        </w:r>
        <w:r>
          <w:rPr>
            <w:rStyle w:val="Hyperlink"/>
            <w:spacing w:val="-2"/>
            <w:lang w:val="es-ES"/>
          </w:rPr>
          <w:t>IT</w:t>
        </w:r>
        <w:r w:rsidRPr="006E0556">
          <w:rPr>
            <w:rStyle w:val="Hyperlink"/>
            <w:spacing w:val="-2"/>
            <w:lang w:val="es-ES"/>
          </w:rPr>
          <w:t>-R 52-1</w:t>
        </w:r>
      </w:hyperlink>
      <w:r w:rsidRPr="006E0556">
        <w:rPr>
          <w:lang w:val="es-ES"/>
        </w:rPr>
        <w:t xml:space="preserve"> </w:t>
      </w:r>
      <w:r>
        <w:rPr>
          <w:lang w:val="es-ES"/>
        </w:rPr>
        <w:t>de la Asamblea de Radiocomunicaciones de la UIT</w:t>
      </w:r>
      <w:r w:rsidRPr="006E0556">
        <w:rPr>
          <w:lang w:val="es-ES"/>
        </w:rPr>
        <w:t>.</w:t>
      </w:r>
    </w:p>
    <w:p w14:paraId="5C9A12CB" w14:textId="77777777" w:rsidR="00E32F4C" w:rsidRPr="006E0556" w:rsidRDefault="00E32F4C" w:rsidP="00E32F4C">
      <w:pPr>
        <w:rPr>
          <w:lang w:val="es-ES"/>
        </w:rPr>
      </w:pPr>
      <w:r w:rsidRPr="006E0556">
        <w:rPr>
          <w:lang w:val="es-ES"/>
        </w:rPr>
        <w:t xml:space="preserve">Consideradas en conjunto, estas disposiciones jurídicas y realidades operativas confirman que el GAR no sólo tiene el mandato, sino también la responsabilidad y competencia, para emprender un examen integral de la estructura y los métodos de </w:t>
      </w:r>
      <w:r>
        <w:rPr>
          <w:lang w:val="es-ES"/>
        </w:rPr>
        <w:t>trabajo de las Comisiones de Estudio del UIT-R a fin de garantizar que el Sector sigue siendo adecuado para lograr sus objetivos ante la cada vez mayor complejidad tecnológica y procesal</w:t>
      </w:r>
      <w:r w:rsidRPr="006E0556">
        <w:rPr>
          <w:lang w:val="es-ES"/>
        </w:rPr>
        <w:t>.</w:t>
      </w:r>
    </w:p>
    <w:p w14:paraId="1DCFCDCA" w14:textId="77777777" w:rsidR="00E32F4C" w:rsidRPr="00785894" w:rsidRDefault="00E32F4C" w:rsidP="00983A69">
      <w:pPr>
        <w:pStyle w:val="Heading1"/>
        <w:spacing w:before="240"/>
        <w:rPr>
          <w:lang w:val="es-ES"/>
        </w:rPr>
      </w:pPr>
      <w:r w:rsidRPr="00785894">
        <w:rPr>
          <w:lang w:val="es-ES"/>
        </w:rPr>
        <w:t>2</w:t>
      </w:r>
      <w:r w:rsidRPr="00785894">
        <w:rPr>
          <w:lang w:val="es-ES"/>
        </w:rPr>
        <w:tab/>
        <w:t>Propuesta</w:t>
      </w:r>
    </w:p>
    <w:p w14:paraId="48168245" w14:textId="77777777" w:rsidR="00E32F4C" w:rsidRPr="007D520E" w:rsidRDefault="00E32F4C" w:rsidP="00E32F4C">
      <w:pPr>
        <w:rPr>
          <w:lang w:val="es-ES"/>
        </w:rPr>
      </w:pPr>
      <w:r w:rsidRPr="007D520E">
        <w:rPr>
          <w:lang w:val="es-ES"/>
        </w:rPr>
        <w:t>De conformidad con su mandato, se invita al GAR a considerar la posibilidad de iniciar un examen integral de la estructura y los métodos de trabajo actuales de las Comisiones de Estudio del UIT-R, que co</w:t>
      </w:r>
      <w:r>
        <w:rPr>
          <w:lang w:val="es-ES"/>
        </w:rPr>
        <w:t>nsista</w:t>
      </w:r>
      <w:r w:rsidRPr="007D520E">
        <w:rPr>
          <w:lang w:val="es-ES"/>
        </w:rPr>
        <w:t xml:space="preserve">, entre otras cosas, </w:t>
      </w:r>
      <w:r>
        <w:rPr>
          <w:lang w:val="es-ES"/>
        </w:rPr>
        <w:t xml:space="preserve">en </w:t>
      </w:r>
      <w:r w:rsidRPr="007D520E">
        <w:rPr>
          <w:lang w:val="es-ES"/>
        </w:rPr>
        <w:t>lo si</w:t>
      </w:r>
      <w:r>
        <w:rPr>
          <w:lang w:val="es-ES"/>
        </w:rPr>
        <w:t>guiente</w:t>
      </w:r>
      <w:r w:rsidRPr="007D520E">
        <w:rPr>
          <w:lang w:val="es-ES"/>
        </w:rPr>
        <w:t>:</w:t>
      </w:r>
    </w:p>
    <w:p w14:paraId="22905A46" w14:textId="6197751B" w:rsidR="00E32F4C" w:rsidRPr="007D520E" w:rsidRDefault="00983A69" w:rsidP="00983A69">
      <w:pPr>
        <w:pStyle w:val="enumlev1"/>
        <w:spacing w:before="60"/>
        <w:rPr>
          <w:lang w:val="es-ES"/>
        </w:rPr>
      </w:pPr>
      <w:r w:rsidRPr="00983A69">
        <w:rPr>
          <w:lang w:val="es-ES"/>
        </w:rPr>
        <w:t>–</w:t>
      </w:r>
      <w:r>
        <w:rPr>
          <w:lang w:val="es-ES"/>
        </w:rPr>
        <w:tab/>
      </w:r>
      <w:r w:rsidR="00E32F4C" w:rsidRPr="007D520E">
        <w:rPr>
          <w:lang w:val="es-ES"/>
        </w:rPr>
        <w:t xml:space="preserve">Evaluar si los ámbitos de competencia actuales de </w:t>
      </w:r>
      <w:r w:rsidR="00E32F4C">
        <w:rPr>
          <w:lang w:val="es-ES"/>
        </w:rPr>
        <w:t>las CE están armonizados con los ecosistemas de radiocomunicaciones en evolución</w:t>
      </w:r>
      <w:r>
        <w:rPr>
          <w:lang w:val="es-ES"/>
        </w:rPr>
        <w:t>.</w:t>
      </w:r>
    </w:p>
    <w:p w14:paraId="16E3F4AB" w14:textId="14943E3B" w:rsidR="00E32F4C" w:rsidRPr="007D520E" w:rsidRDefault="00983A69" w:rsidP="00983A69">
      <w:pPr>
        <w:pStyle w:val="enumlev1"/>
        <w:spacing w:before="60"/>
        <w:rPr>
          <w:lang w:val="es-ES"/>
        </w:rPr>
      </w:pPr>
      <w:r w:rsidRPr="00983A69">
        <w:rPr>
          <w:lang w:val="es-ES"/>
        </w:rPr>
        <w:t>–</w:t>
      </w:r>
      <w:r>
        <w:rPr>
          <w:lang w:val="es-ES"/>
        </w:rPr>
        <w:tab/>
      </w:r>
      <w:r w:rsidR="00E32F4C" w:rsidRPr="007D520E">
        <w:rPr>
          <w:lang w:val="es-ES"/>
        </w:rPr>
        <w:t xml:space="preserve">Identificar duplicaciones, solapamientos o carencias en el alcance de </w:t>
      </w:r>
      <w:r w:rsidR="00E32F4C">
        <w:rPr>
          <w:lang w:val="es-ES"/>
        </w:rPr>
        <w:t>los estudios</w:t>
      </w:r>
      <w:r w:rsidR="00E32F4C" w:rsidRPr="007D520E">
        <w:rPr>
          <w:lang w:val="es-ES"/>
        </w:rPr>
        <w:t>;</w:t>
      </w:r>
    </w:p>
    <w:p w14:paraId="422DF14E" w14:textId="2EBAFE2B" w:rsidR="00E32F4C" w:rsidRPr="007D520E" w:rsidRDefault="00983A69" w:rsidP="00983A69">
      <w:pPr>
        <w:pStyle w:val="enumlev1"/>
        <w:spacing w:before="60"/>
        <w:rPr>
          <w:lang w:val="es-ES"/>
        </w:rPr>
      </w:pPr>
      <w:r w:rsidRPr="00983A69">
        <w:rPr>
          <w:lang w:val="es-ES"/>
        </w:rPr>
        <w:t>–</w:t>
      </w:r>
      <w:r>
        <w:rPr>
          <w:lang w:val="es-ES"/>
        </w:rPr>
        <w:tab/>
      </w:r>
      <w:r w:rsidR="00E32F4C" w:rsidRPr="007D520E">
        <w:rPr>
          <w:lang w:val="es-ES"/>
        </w:rPr>
        <w:t xml:space="preserve">Evaluar la viabilidad de crear Grupos </w:t>
      </w:r>
      <w:r w:rsidR="00E32F4C">
        <w:rPr>
          <w:lang w:val="es-ES"/>
        </w:rPr>
        <w:t xml:space="preserve">de Tareas </w:t>
      </w:r>
      <w:r w:rsidR="00E32F4C" w:rsidRPr="007D520E">
        <w:rPr>
          <w:lang w:val="es-ES"/>
        </w:rPr>
        <w:t xml:space="preserve">Especiales o Grupos </w:t>
      </w:r>
      <w:r w:rsidR="00E32F4C">
        <w:rPr>
          <w:lang w:val="es-ES"/>
        </w:rPr>
        <w:t xml:space="preserve">de Tareas </w:t>
      </w:r>
      <w:r w:rsidR="00E32F4C" w:rsidRPr="007D520E">
        <w:rPr>
          <w:lang w:val="es-ES"/>
        </w:rPr>
        <w:t>Especiales Mixtos para el estudio de ámbi</w:t>
      </w:r>
      <w:r w:rsidR="00E32F4C">
        <w:rPr>
          <w:lang w:val="es-ES"/>
        </w:rPr>
        <w:t>tos de rápida evolución</w:t>
      </w:r>
      <w:r>
        <w:rPr>
          <w:lang w:val="es-ES"/>
        </w:rPr>
        <w:t>.</w:t>
      </w:r>
    </w:p>
    <w:p w14:paraId="778F051D" w14:textId="0BA34FAF" w:rsidR="00E32F4C" w:rsidRPr="007D520E" w:rsidRDefault="00983A69" w:rsidP="00983A69">
      <w:pPr>
        <w:pStyle w:val="enumlev1"/>
        <w:spacing w:before="60"/>
        <w:rPr>
          <w:lang w:val="es-ES"/>
        </w:rPr>
      </w:pPr>
      <w:r w:rsidRPr="00983A69">
        <w:rPr>
          <w:lang w:val="es-ES"/>
        </w:rPr>
        <w:t>–</w:t>
      </w:r>
      <w:r>
        <w:rPr>
          <w:lang w:val="es-ES"/>
        </w:rPr>
        <w:tab/>
      </w:r>
      <w:r w:rsidR="00E32F4C" w:rsidRPr="007D520E">
        <w:rPr>
          <w:lang w:val="es-ES"/>
        </w:rPr>
        <w:t>Racionalizar el procesamiento de los documentos y los fl</w:t>
      </w:r>
      <w:r w:rsidR="00E32F4C">
        <w:rPr>
          <w:lang w:val="es-ES"/>
        </w:rPr>
        <w:t>ujos de aprobación para reducir la latencia</w:t>
      </w:r>
      <w:r>
        <w:rPr>
          <w:lang w:val="es-ES"/>
        </w:rPr>
        <w:t>.</w:t>
      </w:r>
    </w:p>
    <w:p w14:paraId="44C42A30" w14:textId="66EC8D5F" w:rsidR="00E32F4C" w:rsidRPr="007D520E" w:rsidRDefault="00983A69" w:rsidP="00983A69">
      <w:pPr>
        <w:pStyle w:val="enumlev1"/>
        <w:spacing w:before="60"/>
        <w:rPr>
          <w:lang w:val="es-ES"/>
        </w:rPr>
      </w:pPr>
      <w:r w:rsidRPr="00983A69">
        <w:rPr>
          <w:lang w:val="es-ES"/>
        </w:rPr>
        <w:t>–</w:t>
      </w:r>
      <w:r>
        <w:rPr>
          <w:lang w:val="es-ES"/>
        </w:rPr>
        <w:tab/>
      </w:r>
      <w:r w:rsidR="00E32F4C" w:rsidRPr="007D520E">
        <w:rPr>
          <w:lang w:val="es-ES"/>
        </w:rPr>
        <w:t xml:space="preserve">Dar protagonismo a los Grupos por Correspondencia y los Grupos de </w:t>
      </w:r>
      <w:r w:rsidR="00E32F4C">
        <w:rPr>
          <w:lang w:val="es-ES"/>
        </w:rPr>
        <w:t>Relator en los periodos entre reuniones de las CE</w:t>
      </w:r>
      <w:r>
        <w:rPr>
          <w:lang w:val="es-ES"/>
        </w:rPr>
        <w:t>.</w:t>
      </w:r>
    </w:p>
    <w:p w14:paraId="349348A2" w14:textId="135DE32E" w:rsidR="00E32F4C" w:rsidRPr="007D520E" w:rsidRDefault="00983A69" w:rsidP="00983A69">
      <w:pPr>
        <w:pStyle w:val="enumlev1"/>
        <w:spacing w:before="60"/>
        <w:rPr>
          <w:lang w:val="es-ES"/>
        </w:rPr>
      </w:pPr>
      <w:r w:rsidRPr="00983A69">
        <w:rPr>
          <w:lang w:val="es-ES"/>
        </w:rPr>
        <w:t>–</w:t>
      </w:r>
      <w:r>
        <w:rPr>
          <w:lang w:val="es-ES"/>
        </w:rPr>
        <w:tab/>
      </w:r>
      <w:r w:rsidR="00E32F4C" w:rsidRPr="007D520E">
        <w:rPr>
          <w:lang w:val="es-ES"/>
        </w:rPr>
        <w:t>Estudiar herramientas colaborativas modernas y modelos de reun</w:t>
      </w:r>
      <w:r w:rsidR="00E32F4C">
        <w:rPr>
          <w:lang w:val="es-ES"/>
        </w:rPr>
        <w:t>ión híbridos a fin de aumentar la participación y la eficacia</w:t>
      </w:r>
      <w:r w:rsidR="001253B8">
        <w:rPr>
          <w:lang w:val="es-ES"/>
        </w:rPr>
        <w:t>.</w:t>
      </w:r>
    </w:p>
    <w:p w14:paraId="25E0DF7D" w14:textId="77777777" w:rsidR="00983A69" w:rsidRPr="001253B8" w:rsidRDefault="00983A69" w:rsidP="00411C49">
      <w:pPr>
        <w:pStyle w:val="Reasons"/>
        <w:rPr>
          <w:lang w:val="es-ES"/>
        </w:rPr>
      </w:pPr>
    </w:p>
    <w:p w14:paraId="3EEA7BDA" w14:textId="77777777" w:rsidR="00983A69" w:rsidRDefault="00983A69" w:rsidP="00983A69">
      <w:pPr>
        <w:spacing w:before="0"/>
        <w:jc w:val="center"/>
      </w:pPr>
      <w:r>
        <w:t>______________</w:t>
      </w:r>
    </w:p>
    <w:sectPr w:rsidR="00983A69" w:rsidSect="004D6C09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45DE" w14:textId="77777777" w:rsidR="00E32F4C" w:rsidRDefault="00E32F4C">
      <w:r>
        <w:separator/>
      </w:r>
    </w:p>
  </w:endnote>
  <w:endnote w:type="continuationSeparator" w:id="0">
    <w:p w14:paraId="48ED7DFF" w14:textId="77777777" w:rsidR="00E32F4C" w:rsidRDefault="00E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6D21" w14:textId="77777777" w:rsidR="00616601" w:rsidRDefault="00E72EA7" w:rsidP="00AB4BAD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E32F4C">
      <w:rPr>
        <w:lang w:val="en-US"/>
      </w:rPr>
      <w:t>Document1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2AD4" w14:textId="77777777" w:rsidR="00E32F4C" w:rsidRDefault="00E32F4C">
      <w:r>
        <w:t>____________________</w:t>
      </w:r>
    </w:p>
  </w:footnote>
  <w:footnote w:type="continuationSeparator" w:id="0">
    <w:p w14:paraId="7E4FBBC8" w14:textId="77777777" w:rsidR="00E32F4C" w:rsidRDefault="00E3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E8A7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E2444F" w14:textId="508EC3C5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983A69">
      <w:rPr>
        <w:lang w:val="es-ES"/>
      </w:rPr>
      <w:t>43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46D4"/>
    <w:multiLevelType w:val="hybridMultilevel"/>
    <w:tmpl w:val="E196BD02"/>
    <w:lvl w:ilvl="0" w:tplc="542A655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1D7A"/>
    <w:multiLevelType w:val="hybridMultilevel"/>
    <w:tmpl w:val="035A1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6758">
    <w:abstractNumId w:val="1"/>
  </w:num>
  <w:num w:numId="2" w16cid:durableId="263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4C"/>
    <w:rsid w:val="00016B5B"/>
    <w:rsid w:val="000C62BA"/>
    <w:rsid w:val="000D756D"/>
    <w:rsid w:val="001253B8"/>
    <w:rsid w:val="0012592F"/>
    <w:rsid w:val="0016127C"/>
    <w:rsid w:val="00193FB5"/>
    <w:rsid w:val="001D58FB"/>
    <w:rsid w:val="001F2F50"/>
    <w:rsid w:val="0031432E"/>
    <w:rsid w:val="003203D8"/>
    <w:rsid w:val="0034043B"/>
    <w:rsid w:val="003D7BB9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1B12"/>
    <w:rsid w:val="00663829"/>
    <w:rsid w:val="006A42AB"/>
    <w:rsid w:val="006B5313"/>
    <w:rsid w:val="006E291F"/>
    <w:rsid w:val="00810D63"/>
    <w:rsid w:val="008506C9"/>
    <w:rsid w:val="008B4078"/>
    <w:rsid w:val="008F0106"/>
    <w:rsid w:val="00924B63"/>
    <w:rsid w:val="00982618"/>
    <w:rsid w:val="00983A69"/>
    <w:rsid w:val="009C205E"/>
    <w:rsid w:val="00A0579C"/>
    <w:rsid w:val="00A7663C"/>
    <w:rsid w:val="00AB4BAD"/>
    <w:rsid w:val="00B32E51"/>
    <w:rsid w:val="00C837F0"/>
    <w:rsid w:val="00CB7A43"/>
    <w:rsid w:val="00CD67FF"/>
    <w:rsid w:val="00CF4CAC"/>
    <w:rsid w:val="00D51E1E"/>
    <w:rsid w:val="00D81DB7"/>
    <w:rsid w:val="00DE77E6"/>
    <w:rsid w:val="00DF1216"/>
    <w:rsid w:val="00E32F4C"/>
    <w:rsid w:val="00E72EA7"/>
    <w:rsid w:val="00EA4101"/>
    <w:rsid w:val="00F23715"/>
    <w:rsid w:val="00F450B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EBC54"/>
  <w15:docId w15:val="{8A53F68E-2247-4D6E-AE90-261ED38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E32F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32F4C"/>
    <w:rPr>
      <w:rFonts w:ascii="Times New Roman" w:hAnsi="Times New Roman"/>
      <w:b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E32F4C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983A69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83A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AG-C-0030/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RES-R.52/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s/opb/conf/S-CONF-PLEN-2022-PDF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s/opb/conf/S-CONF-PLEN-2022-PDF-E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1</TotalTime>
  <Pages>2</Pages>
  <Words>934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DETALLADO DE LA ESTRUCTURA Y LOS MÉTODOS DE TRABAJO ACTUALES DE LAS COMISIONES DE ESTUDIO DEL UIT-R</vt:lpstr>
    </vt:vector>
  </TitlesOfParts>
  <Manager>General Secretariat - Pool</Manager>
  <Company>International Telecommunication Union (ITU)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Arabia Saudita (Reino de)</dc:creator>
  <cp:keywords/>
  <dc:description/>
  <cp:lastModifiedBy>Xue, Kun</cp:lastModifiedBy>
  <cp:revision>3</cp:revision>
  <cp:lastPrinted>1993-02-18T11:12:00Z</cp:lastPrinted>
  <dcterms:created xsi:type="dcterms:W3CDTF">2025-04-03T08:14:00Z</dcterms:created>
  <dcterms:modified xsi:type="dcterms:W3CDTF">2025-04-03T08:14:00Z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RAG/43-S</vt:lpwstr>
  </property>
  <property fmtid="{D5CDD505-2E9C-101B-9397-08002B2CF9AE}" pid="3" name="Docdate">
    <vt:lpwstr>31 de marzo de 2025</vt:lpwstr>
  </property>
  <property fmtid="{D5CDD505-2E9C-101B-9397-08002B2CF9AE}" pid="4" name="Docorlang">
    <vt:lpwstr>Original: inglés</vt:lpwstr>
  </property>
  <property fmtid="{D5CDD505-2E9C-101B-9397-08002B2CF9AE}" pid="5" name="Docauthor">
    <vt:lpwstr>Arabia Saudita (Reino de)</vt:lpwstr>
  </property>
</Properties>
</file>