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6DA6621A" w14:textId="77777777" w:rsidTr="0020275A">
        <w:trPr>
          <w:cantSplit/>
        </w:trPr>
        <w:tc>
          <w:tcPr>
            <w:tcW w:w="6771" w:type="dxa"/>
            <w:vAlign w:val="center"/>
          </w:tcPr>
          <w:p w14:paraId="294D3DB8" w14:textId="6BEB7288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13458906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E2D4888" wp14:editId="0A44795A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708EBE3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30E5EC2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955EDBF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158D0169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2F23E0FB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7ABC0D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00B267C3" w14:textId="77777777" w:rsidTr="00675D35">
        <w:trPr>
          <w:cantSplit/>
        </w:trPr>
        <w:tc>
          <w:tcPr>
            <w:tcW w:w="6771" w:type="dxa"/>
            <w:vMerge w:val="restart"/>
          </w:tcPr>
          <w:p w14:paraId="5D7BE5F2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53155B8" w14:textId="3A19FDA8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EB7C98">
              <w:rPr>
                <w:rFonts w:ascii="Verdana" w:hAnsi="Verdana"/>
                <w:b/>
                <w:sz w:val="18"/>
                <w:szCs w:val="18"/>
                <w:lang w:val="en-US"/>
              </w:rPr>
              <w:t>43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4B99F3EF" w14:textId="77777777" w:rsidTr="00675D35">
        <w:trPr>
          <w:cantSplit/>
        </w:trPr>
        <w:tc>
          <w:tcPr>
            <w:tcW w:w="6771" w:type="dxa"/>
            <w:vMerge/>
          </w:tcPr>
          <w:p w14:paraId="57435751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D799019" w14:textId="20C7B340" w:rsidR="0051782D" w:rsidRPr="00EB6F34" w:rsidRDefault="003536BA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536BA">
              <w:rPr>
                <w:rFonts w:ascii="Verdana" w:hAnsi="Verdana"/>
                <w:b/>
                <w:sz w:val="18"/>
                <w:szCs w:val="18"/>
              </w:rPr>
              <w:t>11 марта 2025 года</w:t>
            </w:r>
          </w:p>
        </w:tc>
      </w:tr>
      <w:tr w:rsidR="0051782D" w:rsidRPr="00FB6D5F" w14:paraId="7D7D3603" w14:textId="77777777" w:rsidTr="00675D35">
        <w:trPr>
          <w:cantSplit/>
        </w:trPr>
        <w:tc>
          <w:tcPr>
            <w:tcW w:w="6771" w:type="dxa"/>
            <w:vMerge/>
          </w:tcPr>
          <w:p w14:paraId="6C300465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925781A" w14:textId="232E3243" w:rsidR="0051782D" w:rsidRPr="00FB6D5F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3536BA" w:rsidRPr="003536BA">
              <w:rPr>
                <w:rFonts w:ascii="Verdana" w:hAnsi="Verdana"/>
                <w:b/>
                <w:sz w:val="18"/>
                <w:szCs w:val="18"/>
                <w:lang w:val="en-US"/>
              </w:rPr>
              <w:t>английский</w:t>
            </w:r>
          </w:p>
        </w:tc>
      </w:tr>
      <w:tr w:rsidR="00093C73" w:rsidRPr="00FB6D5F" w14:paraId="310652E3" w14:textId="77777777" w:rsidTr="00675D35">
        <w:trPr>
          <w:cantSplit/>
        </w:trPr>
        <w:tc>
          <w:tcPr>
            <w:tcW w:w="9889" w:type="dxa"/>
            <w:gridSpan w:val="2"/>
          </w:tcPr>
          <w:p w14:paraId="478E169D" w14:textId="78347C57" w:rsidR="00093C73" w:rsidRPr="00EB6F34" w:rsidRDefault="00EB7C98" w:rsidP="000252AA">
            <w:pPr>
              <w:pStyle w:val="Source"/>
            </w:pPr>
            <w:bookmarkStart w:id="3" w:name="dsource" w:colFirst="0" w:colLast="0"/>
            <w:bookmarkEnd w:id="2"/>
            <w:r>
              <w:rPr>
                <w:bCs/>
                <w:color w:val="000000"/>
              </w:rPr>
              <w:t>Королевство Саудовская Аравия</w:t>
            </w:r>
          </w:p>
        </w:tc>
      </w:tr>
      <w:tr w:rsidR="00093C73" w:rsidRPr="00FB6D5F" w14:paraId="44FE3C3E" w14:textId="77777777" w:rsidTr="00675D35">
        <w:trPr>
          <w:cantSplit/>
        </w:trPr>
        <w:tc>
          <w:tcPr>
            <w:tcW w:w="9889" w:type="dxa"/>
            <w:gridSpan w:val="2"/>
          </w:tcPr>
          <w:p w14:paraId="5AA69DBD" w14:textId="33C47936" w:rsidR="00093C73" w:rsidRPr="00EB6F34" w:rsidRDefault="00EB7C98" w:rsidP="000252AA">
            <w:pPr>
              <w:pStyle w:val="Title1"/>
            </w:pPr>
            <w:bookmarkStart w:id="4" w:name="_Hlk160577334"/>
            <w:bookmarkStart w:id="5" w:name="dtitle1" w:colFirst="0" w:colLast="0"/>
            <w:bookmarkEnd w:id="3"/>
            <w:r>
              <w:rPr>
                <w:color w:val="000000"/>
              </w:rPr>
              <w:t>ВСЕОБЪЕМЛЮЩИЙ ОБЗОР СУЩЕСТВУЮЩЕЙ СТРУКТУРЫ И МЕТОДОВ РАБОТЫ ИССЛЕДОВАТЕЛЬСКИХ КОМИССИЙ МСЭ-R</w:t>
            </w:r>
            <w:bookmarkEnd w:id="4"/>
          </w:p>
        </w:tc>
      </w:tr>
    </w:tbl>
    <w:bookmarkEnd w:id="5"/>
    <w:p w14:paraId="1596029A" w14:textId="77777777" w:rsidR="00EB7C98" w:rsidRPr="00386086" w:rsidRDefault="00EB7C98" w:rsidP="00EB7C98">
      <w:pPr>
        <w:pStyle w:val="Heading1"/>
        <w:spacing w:before="600"/>
      </w:pPr>
      <w:r>
        <w:t>1</w:t>
      </w:r>
      <w:r>
        <w:tab/>
      </w:r>
      <w:r w:rsidRPr="00EB7C98">
        <w:t>Базовая</w:t>
      </w:r>
      <w:r>
        <w:t xml:space="preserve"> информация</w:t>
      </w:r>
    </w:p>
    <w:p w14:paraId="36EE9940" w14:textId="77777777" w:rsidR="00EB7C98" w:rsidRDefault="00EB7C98" w:rsidP="00EB7C98">
      <w:r>
        <w:t>Радиосвязь претерпевает глубокие преобразования, обусловленные стремительным развитием как наземных, так и неназемных технологий. Наступает новый период стремительного развития систем и услуг, охватывающих широкий спектр вертикально ориентированных отраслей и пользовательских сред, что порождает беспрецедентный спрос на спектр, стандарты и нормативно-правовую базу. Эти технологии не только носят революционный характер, но и играют основополагающую роль в обеспечении глобальной возможности установления соединений в будущем. В число ключевых примеров входят:</w:t>
      </w:r>
    </w:p>
    <w:p w14:paraId="7A79F4C7" w14:textId="7BB7DE62" w:rsidR="00EB7C98" w:rsidRPr="00EB7C98" w:rsidRDefault="00EB7C98" w:rsidP="00EB7C98">
      <w:pPr>
        <w:pStyle w:val="enumlev1"/>
      </w:pPr>
      <w:r>
        <w:t>•</w:t>
      </w:r>
      <w:r w:rsidRPr="00EB7C98">
        <w:tab/>
      </w:r>
      <w:r>
        <w:t xml:space="preserve">Неназемные сети (NTN), объединяющие спутниковую, воздушную платформы (HAPS/HIBS) и </w:t>
      </w:r>
      <w:r w:rsidRPr="00EB7C98">
        <w:t>наземную инфраструктуру для обеспечения непрерывного глобального покрытия и поддержки повсеместно распространенных услуг широкополосной связи, особенно в отдаленных и обслуживаемых в недостаточной степени районах.</w:t>
      </w:r>
    </w:p>
    <w:p w14:paraId="33B06FE7" w14:textId="4E851B05" w:rsidR="00EB7C98" w:rsidRPr="00EB7C98" w:rsidRDefault="00EB7C98" w:rsidP="00EB7C98">
      <w:pPr>
        <w:pStyle w:val="enumlev1"/>
      </w:pPr>
      <w:r>
        <w:t>•</w:t>
      </w:r>
      <w:r w:rsidRPr="00EB7C98">
        <w:tab/>
        <w:t>Установление прямой связи с устройством или с сотовым телефоном (D2D/D2C), позволяющее стандартным мобильным телефонам и устройствам IoT напрямую подключаться к группировкам спутников. Данный подход позволяет соединить наземные и космические сети и порождает сложные задачи в области использования спектра, функциональной совместимости и координации.</w:t>
      </w:r>
    </w:p>
    <w:p w14:paraId="12C1C344" w14:textId="636A691A" w:rsidR="00EB7C98" w:rsidRPr="00EB7C98" w:rsidRDefault="00EB7C98" w:rsidP="00EB7C98">
      <w:pPr>
        <w:pStyle w:val="enumlev1"/>
      </w:pPr>
      <w:r>
        <w:t>•</w:t>
      </w:r>
      <w:r w:rsidRPr="00EB7C98">
        <w:tab/>
        <w:t>Платформы интернета вещей (IoT) на базе наземных или спутниковых систем, для которых требуются сверхнадежные соединения, часто охватывают обширные географические зоны и функционируют в экстремальных условиях. Эти системы все чаще опираются на гибридную архитектуру и новые формы сигнала, для которых традиционные модели распределения частот и помех плохо приспособлены.</w:t>
      </w:r>
    </w:p>
    <w:p w14:paraId="2E6CD315" w14:textId="044F05EE" w:rsidR="00EB7C98" w:rsidRPr="00EB7C98" w:rsidRDefault="00EB7C98" w:rsidP="00EB7C98">
      <w:pPr>
        <w:pStyle w:val="enumlev1"/>
      </w:pPr>
      <w:r>
        <w:t>•</w:t>
      </w:r>
      <w:r w:rsidRPr="00EB7C98">
        <w:tab/>
        <w:t>Для зондирования спектра, смягчения влияния помех, динамического распределения и оптимизации сетей используется радиосвязь на базе технологий ИИ/МО. Эти возможности требуют новых рамок для оценки эффективности, прозрачности моделей и принятия решений в режиме реального времени.</w:t>
      </w:r>
    </w:p>
    <w:p w14:paraId="1FEA9C21" w14:textId="66A33C1F" w:rsidR="00EB7C98" w:rsidRPr="00386086" w:rsidRDefault="00EB7C98" w:rsidP="00EB7C98">
      <w:pPr>
        <w:pStyle w:val="enumlev1"/>
      </w:pPr>
      <w:r>
        <w:t>•</w:t>
      </w:r>
      <w:r w:rsidRPr="00EB7C98">
        <w:tab/>
        <w:t>Все более активная исследовательская деятельность и развертывание также наблюдаются в таких областях, как реконфигурируемые интеллектуальные поверхности (RIS), ячеистые сети и линии связи с применением квантовых технологий, что требует новых подходов к исследованиям</w:t>
      </w:r>
      <w:r>
        <w:t>, выходящих за рамки традиционных услуг.</w:t>
      </w:r>
    </w:p>
    <w:p w14:paraId="06746D1E" w14:textId="77777777" w:rsidR="00EB7C98" w:rsidRPr="00386086" w:rsidRDefault="00EB7C98" w:rsidP="00EB7C98">
      <w:r>
        <w:t>Эти технологии по своей сути носят межотраслевой характер, затрагивают целый ряд исследовательских комиссий и служб и часто требуют гибкой междисциплинарной координации для успешного поддержания темпа развития инноваций. Применение традиционного изолированного подхода к исследованиям все чаще сопряжено с такими сложностями, как скорость, комплексный характер и взаимосвязанность этих разработок.</w:t>
      </w:r>
    </w:p>
    <w:p w14:paraId="3B8AC42F" w14:textId="77777777" w:rsidR="00EB7C98" w:rsidRPr="00386086" w:rsidRDefault="00EB7C98" w:rsidP="00EB7C98">
      <w:r>
        <w:lastRenderedPageBreak/>
        <w:t>Это находит отражение в повестке дня ВКР-27. Многие пункты повестки дня требуют проведения сквозных исследований и тесной координации между многочисленными исследовательскими комиссиями и рабочими группами. Без наличия слаженной структуры и согласованных методов работы существует риск задвоения, раздробленности результатов и задержек в завершении исследований и подготовки регламентарной базы, необходимой для процесса принятия решений на ВКР.</w:t>
      </w:r>
    </w:p>
    <w:p w14:paraId="5594FFF6" w14:textId="52248186" w:rsidR="00EB7C98" w:rsidRPr="00386086" w:rsidRDefault="00EB7C98" w:rsidP="00EB7C98">
      <w:r>
        <w:t xml:space="preserve">В то же время Директор Бюро радиосвязи указал в Документе </w:t>
      </w:r>
      <w:hyperlink r:id="rId8" w:history="1">
        <w:r>
          <w:rPr>
            <w:rStyle w:val="Hyperlink"/>
          </w:rPr>
          <w:t>RAG/30(Add.1)</w:t>
        </w:r>
      </w:hyperlink>
      <w:r>
        <w:t xml:space="preserve"> на существенный объем работы, выполняемый существующими исследовательскими комиссиями и рабочими группами, а также на проблемы материально-технического обеспечения при планировании собраний, в том числе в связи с высоким уровнем участия, возрастающими сложностью и объемом вкладов, совпадением графиков собраний, ограничениями по месту проведения и т. д.</w:t>
      </w:r>
    </w:p>
    <w:p w14:paraId="502C65BF" w14:textId="77777777" w:rsidR="00EB7C98" w:rsidRPr="00386086" w:rsidRDefault="00EB7C98" w:rsidP="00EB7C98">
      <w:r>
        <w:t>В связи с этим, а также с учетом того, что существующая структура исследовательских комиссий МСЭ-R не претерпела существенных изменений со времени ее последнего обновления в 2007 году, новый обзор существующей структуры и методов работы исследовательских комиссий является своевременным и необходимым для обеспечения того, чтобы МСЭ-R мог продолжать служить в качестве глобальной платформы для согласованных решений в области радиосвязи в эту новую технологическую эру.</w:t>
      </w:r>
    </w:p>
    <w:p w14:paraId="52482102" w14:textId="14B0A1E2" w:rsidR="00EB7C98" w:rsidRPr="00386086" w:rsidRDefault="00EB7C98" w:rsidP="00EB7C98">
      <w:r>
        <w:t>Консультативная группа по радиосвязи (КГР) играет уникальную и ключевую роль в рамках Сектора радиосвязи МСЭ. Ее компетенция и сфера деятельности четко определены в Статье 11А Конвенции Международного союза электросвязи, согласно которой КГР наделена правом рассматривать деятельность исследовательских комиссий по радиосвязи, рекомендовать меры по улучшению координации работы и предоставлять руководящие указания для работы исследовательских комиссий (</w:t>
      </w:r>
      <w:hyperlink r:id="rId9" w:history="1">
        <w:r w:rsidRPr="00C2529E">
          <w:rPr>
            <w:rStyle w:val="Hyperlink"/>
          </w:rPr>
          <w:t>160С ПК-98 ПК-02</w:t>
        </w:r>
      </w:hyperlink>
      <w:r>
        <w:t xml:space="preserve">, </w:t>
      </w:r>
      <w:hyperlink r:id="rId10" w:history="1">
        <w:r w:rsidRPr="00C2529E">
          <w:rPr>
            <w:rStyle w:val="Hyperlink"/>
          </w:rPr>
          <w:t>160Е ПК-98</w:t>
        </w:r>
      </w:hyperlink>
      <w:r>
        <w:t xml:space="preserve">). Эти положения подкрепляются и расширяются </w:t>
      </w:r>
      <w:hyperlink r:id="rId11" w:history="1">
        <w:r w:rsidRPr="00C2529E">
          <w:rPr>
            <w:rStyle w:val="Hyperlink"/>
          </w:rPr>
          <w:t>Резолюцией МСЭ</w:t>
        </w:r>
        <w:r w:rsidRPr="00EB7C98">
          <w:rPr>
            <w:rStyle w:val="Hyperlink"/>
          </w:rPr>
          <w:noBreakHyphen/>
        </w:r>
        <w:r w:rsidRPr="00C2529E">
          <w:rPr>
            <w:rStyle w:val="Hyperlink"/>
          </w:rPr>
          <w:t>R 52-1</w:t>
        </w:r>
      </w:hyperlink>
      <w:r>
        <w:t xml:space="preserve"> Ассамблеи радиосвязи МСЭ.</w:t>
      </w:r>
    </w:p>
    <w:p w14:paraId="342734A6" w14:textId="79A4891E" w:rsidR="00EB7C98" w:rsidRPr="00386086" w:rsidRDefault="00EB7C98" w:rsidP="00EB7C98">
      <w:r>
        <w:t>Опираясь на эти правовые положения и реалии операционных условий, можно заключить, что КГР не только наделена полномочиями, но и несет ответственность и обладает достаточной квалификацией для проведения всеобъемлющей оценки структуры и рабочих процессов исследовательских комиссий МСЭ-R, чтобы обеспечить соответствие Сектора поставленным задачам в условиях</w:t>
      </w:r>
      <w:r w:rsidRPr="00EB7C98">
        <w:t xml:space="preserve"> </w:t>
      </w:r>
      <w:r>
        <w:t>стремительно возрастающей технологической и процедурной сложности.</w:t>
      </w:r>
    </w:p>
    <w:p w14:paraId="5F1BA5DC" w14:textId="77777777" w:rsidR="00EB7C98" w:rsidRPr="00386086" w:rsidRDefault="00EB7C98" w:rsidP="00EB7C98">
      <w:pPr>
        <w:pStyle w:val="Heading1"/>
      </w:pPr>
      <w:r>
        <w:rPr>
          <w:bCs/>
        </w:rPr>
        <w:t>2</w:t>
      </w:r>
      <w:r>
        <w:tab/>
      </w:r>
      <w:r>
        <w:rPr>
          <w:bCs/>
        </w:rPr>
        <w:t>Предложения</w:t>
      </w:r>
    </w:p>
    <w:p w14:paraId="42B6D5CB" w14:textId="77777777" w:rsidR="00EB7C98" w:rsidRPr="00386086" w:rsidRDefault="00EB7C98" w:rsidP="00EB7C98">
      <w:r>
        <w:t>В соответствии с ее мандатом КГР предлагается рассмотреть вопрос о проведении всеобъемлющего пересмотра существующей структуры и методов работы исследовательских комиссий МСЭ-R, включая, в том числе:</w:t>
      </w:r>
    </w:p>
    <w:p w14:paraId="7B34A3A9" w14:textId="54B83278" w:rsidR="00EB7C98" w:rsidRPr="00EB7C98" w:rsidRDefault="00EB7C98" w:rsidP="00EB7C98">
      <w:pPr>
        <w:pStyle w:val="enumlev1"/>
      </w:pPr>
      <w:r>
        <w:t>–</w:t>
      </w:r>
      <w:r w:rsidRPr="00EB7C98">
        <w:tab/>
        <w:t>оценку соответствия текущей сферы деятельности ИК развитию экосистем радиосвязи;</w:t>
      </w:r>
    </w:p>
    <w:p w14:paraId="2D777F36" w14:textId="22AB2996" w:rsidR="00EB7C98" w:rsidRPr="00EB7C98" w:rsidRDefault="00EB7C98" w:rsidP="00EB7C98">
      <w:pPr>
        <w:pStyle w:val="enumlev1"/>
      </w:pPr>
      <w:r>
        <w:t>–</w:t>
      </w:r>
      <w:r w:rsidRPr="00EB7C98">
        <w:tab/>
        <w:t>выявление областей, которые характеризуются дублированием, частичным совпадением или намечающимися пробелами в рамках исследуемой тематики;</w:t>
      </w:r>
    </w:p>
    <w:p w14:paraId="5C57F4FC" w14:textId="1B6724A7" w:rsidR="00EB7C98" w:rsidRPr="00EB7C98" w:rsidRDefault="00EB7C98" w:rsidP="00EB7C98">
      <w:pPr>
        <w:pStyle w:val="enumlev1"/>
      </w:pPr>
      <w:r>
        <w:t>–</w:t>
      </w:r>
      <w:r w:rsidRPr="00EB7C98">
        <w:tab/>
        <w:t>оценку целесообразности создания межотраслевых целевых групп или объединенных целевых групп для быстро развивающихся областей;</w:t>
      </w:r>
    </w:p>
    <w:p w14:paraId="355E547E" w14:textId="5EF5E73E" w:rsidR="00EB7C98" w:rsidRPr="00EB7C98" w:rsidRDefault="00EB7C98" w:rsidP="00EB7C98">
      <w:pPr>
        <w:pStyle w:val="enumlev1"/>
      </w:pPr>
      <w:r>
        <w:t>–</w:t>
      </w:r>
      <w:r w:rsidRPr="00EB7C98">
        <w:tab/>
        <w:t>оптимизацию процессов обработки документов и утверждения для сокращения задержек;</w:t>
      </w:r>
    </w:p>
    <w:p w14:paraId="7EDC43A8" w14:textId="1AB527CB" w:rsidR="00EB7C98" w:rsidRPr="00EB7C98" w:rsidRDefault="00EB7C98" w:rsidP="00EB7C98">
      <w:pPr>
        <w:pStyle w:val="enumlev1"/>
      </w:pPr>
      <w:r>
        <w:t>–</w:t>
      </w:r>
      <w:r w:rsidRPr="00EB7C98">
        <w:tab/>
        <w:t>повышение роли групп, работающих по переписке, и групп докладчиков в период между собраниями ИК;</w:t>
      </w:r>
    </w:p>
    <w:p w14:paraId="631C74B9" w14:textId="32C44A4C" w:rsidR="00EB7C98" w:rsidRPr="00EB7C98" w:rsidRDefault="00EB7C98" w:rsidP="00EB7C98">
      <w:pPr>
        <w:pStyle w:val="enumlev1"/>
      </w:pPr>
      <w:r>
        <w:t>–</w:t>
      </w:r>
      <w:r w:rsidRPr="00EB7C98">
        <w:tab/>
        <w:t>изучение современных инструментов совместной работы и гибридных моделей собраний для повышения уровня участия и эффективности.</w:t>
      </w:r>
    </w:p>
    <w:p w14:paraId="39D54CB2" w14:textId="77777777" w:rsidR="003536BA" w:rsidRDefault="003536BA" w:rsidP="003536BA">
      <w:pPr>
        <w:spacing w:before="720"/>
        <w:jc w:val="center"/>
      </w:pPr>
      <w:r>
        <w:t>______________</w:t>
      </w:r>
    </w:p>
    <w:sectPr w:rsidR="003536BA" w:rsidSect="005409F7">
      <w:headerReference w:type="defaul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AC7C" w14:textId="77777777" w:rsidR="00EA1B24" w:rsidRDefault="00EA1B24">
      <w:r>
        <w:separator/>
      </w:r>
    </w:p>
  </w:endnote>
  <w:endnote w:type="continuationSeparator" w:id="0">
    <w:p w14:paraId="7C89B3E0" w14:textId="77777777" w:rsidR="00EA1B24" w:rsidRDefault="00E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63B9" w14:textId="77777777" w:rsidR="00EA1B24" w:rsidRDefault="00EA1B24">
      <w:r>
        <w:t>____________________</w:t>
      </w:r>
    </w:p>
  </w:footnote>
  <w:footnote w:type="continuationSeparator" w:id="0">
    <w:p w14:paraId="75094A0C" w14:textId="77777777" w:rsidR="00EA1B24" w:rsidRDefault="00EA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8D6C" w14:textId="66AA1939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EB7C98">
      <w:rPr>
        <w:lang w:val="es-ES"/>
      </w:rPr>
      <w:t>43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46D4"/>
    <w:multiLevelType w:val="hybridMultilevel"/>
    <w:tmpl w:val="E196BD02"/>
    <w:lvl w:ilvl="0" w:tplc="542A655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3AD287E"/>
    <w:multiLevelType w:val="hybridMultilevel"/>
    <w:tmpl w:val="E5BAB994"/>
    <w:lvl w:ilvl="0" w:tplc="AF6069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D1DC4"/>
    <w:multiLevelType w:val="hybridMultilevel"/>
    <w:tmpl w:val="238AE35A"/>
    <w:lvl w:ilvl="0" w:tplc="6582A2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71D7A"/>
    <w:multiLevelType w:val="hybridMultilevel"/>
    <w:tmpl w:val="035A1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1347002">
    <w:abstractNumId w:val="9"/>
  </w:num>
  <w:num w:numId="2" w16cid:durableId="555357932">
    <w:abstractNumId w:val="7"/>
  </w:num>
  <w:num w:numId="3" w16cid:durableId="1018585873">
    <w:abstractNumId w:val="6"/>
  </w:num>
  <w:num w:numId="4" w16cid:durableId="1526745102">
    <w:abstractNumId w:val="5"/>
  </w:num>
  <w:num w:numId="5" w16cid:durableId="864644">
    <w:abstractNumId w:val="4"/>
  </w:num>
  <w:num w:numId="6" w16cid:durableId="1537696630">
    <w:abstractNumId w:val="8"/>
  </w:num>
  <w:num w:numId="7" w16cid:durableId="648094050">
    <w:abstractNumId w:val="3"/>
  </w:num>
  <w:num w:numId="8" w16cid:durableId="238447409">
    <w:abstractNumId w:val="2"/>
  </w:num>
  <w:num w:numId="9" w16cid:durableId="1017774569">
    <w:abstractNumId w:val="1"/>
  </w:num>
  <w:num w:numId="10" w16cid:durableId="162672698">
    <w:abstractNumId w:val="0"/>
  </w:num>
  <w:num w:numId="11" w16cid:durableId="558982202">
    <w:abstractNumId w:val="18"/>
  </w:num>
  <w:num w:numId="12" w16cid:durableId="936326520">
    <w:abstractNumId w:val="37"/>
  </w:num>
  <w:num w:numId="13" w16cid:durableId="1204559990">
    <w:abstractNumId w:val="39"/>
  </w:num>
  <w:num w:numId="14" w16cid:durableId="1368290099">
    <w:abstractNumId w:val="32"/>
  </w:num>
  <w:num w:numId="15" w16cid:durableId="2094931448">
    <w:abstractNumId w:val="27"/>
  </w:num>
  <w:num w:numId="16" w16cid:durableId="762729136">
    <w:abstractNumId w:val="38"/>
  </w:num>
  <w:num w:numId="17" w16cid:durableId="1056247412">
    <w:abstractNumId w:val="26"/>
  </w:num>
  <w:num w:numId="18" w16cid:durableId="2038114634">
    <w:abstractNumId w:val="10"/>
  </w:num>
  <w:num w:numId="19" w16cid:durableId="1017192828">
    <w:abstractNumId w:val="16"/>
  </w:num>
  <w:num w:numId="20" w16cid:durableId="5714252">
    <w:abstractNumId w:val="17"/>
  </w:num>
  <w:num w:numId="21" w16cid:durableId="1499996615">
    <w:abstractNumId w:val="23"/>
  </w:num>
  <w:num w:numId="22" w16cid:durableId="1002313626">
    <w:abstractNumId w:val="41"/>
  </w:num>
  <w:num w:numId="23" w16cid:durableId="2062944077">
    <w:abstractNumId w:val="28"/>
  </w:num>
  <w:num w:numId="24" w16cid:durableId="1622684974">
    <w:abstractNumId w:val="30"/>
  </w:num>
  <w:num w:numId="25" w16cid:durableId="483618472">
    <w:abstractNumId w:val="13"/>
  </w:num>
  <w:num w:numId="26" w16cid:durableId="1512379260">
    <w:abstractNumId w:val="25"/>
  </w:num>
  <w:num w:numId="27" w16cid:durableId="1300187411">
    <w:abstractNumId w:val="15"/>
  </w:num>
  <w:num w:numId="28" w16cid:durableId="1382827319">
    <w:abstractNumId w:val="44"/>
  </w:num>
  <w:num w:numId="29" w16cid:durableId="1257979425">
    <w:abstractNumId w:val="21"/>
  </w:num>
  <w:num w:numId="30" w16cid:durableId="911737016">
    <w:abstractNumId w:val="35"/>
  </w:num>
  <w:num w:numId="31" w16cid:durableId="925649385">
    <w:abstractNumId w:val="40"/>
  </w:num>
  <w:num w:numId="32" w16cid:durableId="1210799017">
    <w:abstractNumId w:val="22"/>
  </w:num>
  <w:num w:numId="33" w16cid:durableId="117072587">
    <w:abstractNumId w:val="20"/>
  </w:num>
  <w:num w:numId="34" w16cid:durableId="114911049">
    <w:abstractNumId w:val="43"/>
  </w:num>
  <w:num w:numId="35" w16cid:durableId="933320712">
    <w:abstractNumId w:val="36"/>
  </w:num>
  <w:num w:numId="36" w16cid:durableId="13389951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6044084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1594239">
    <w:abstractNumId w:val="14"/>
  </w:num>
  <w:num w:numId="39" w16cid:durableId="1697193372">
    <w:abstractNumId w:val="42"/>
  </w:num>
  <w:num w:numId="40" w16cid:durableId="715930928">
    <w:abstractNumId w:val="11"/>
  </w:num>
  <w:num w:numId="41" w16cid:durableId="1941523061">
    <w:abstractNumId w:val="34"/>
  </w:num>
  <w:num w:numId="42" w16cid:durableId="1117214479">
    <w:abstractNumId w:val="29"/>
  </w:num>
  <w:num w:numId="43" w16cid:durableId="1369572764">
    <w:abstractNumId w:val="24"/>
  </w:num>
  <w:num w:numId="44" w16cid:durableId="1152796758">
    <w:abstractNumId w:val="31"/>
  </w:num>
  <w:num w:numId="45" w16cid:durableId="2634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4BE5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149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3837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739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36BA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6AF2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1C57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C37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633E9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6FB5"/>
    <w:rsid w:val="007C1EBA"/>
    <w:rsid w:val="007C3994"/>
    <w:rsid w:val="007C4F8B"/>
    <w:rsid w:val="007D1EFB"/>
    <w:rsid w:val="007D4763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356EA"/>
    <w:rsid w:val="009456BE"/>
    <w:rsid w:val="00950560"/>
    <w:rsid w:val="00951324"/>
    <w:rsid w:val="0095144B"/>
    <w:rsid w:val="00953AF7"/>
    <w:rsid w:val="009540C3"/>
    <w:rsid w:val="00955D7F"/>
    <w:rsid w:val="0095722A"/>
    <w:rsid w:val="009650D7"/>
    <w:rsid w:val="009670B0"/>
    <w:rsid w:val="0098015B"/>
    <w:rsid w:val="00981E62"/>
    <w:rsid w:val="00982915"/>
    <w:rsid w:val="0098698E"/>
    <w:rsid w:val="00990B31"/>
    <w:rsid w:val="009A1A7D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60C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2124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0C0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2FE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3B77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042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1B24"/>
    <w:rsid w:val="00EA3A88"/>
    <w:rsid w:val="00EA45CD"/>
    <w:rsid w:val="00EA7EA7"/>
    <w:rsid w:val="00EB27F8"/>
    <w:rsid w:val="00EB6F34"/>
    <w:rsid w:val="00EB7C98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015F2"/>
  <w15:docId w15:val="{BA8B9228-31D0-44DB-B304-98EF58FD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qFormat/>
    <w:rsid w:val="003536B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B7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AG-C-0030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RES-R.52/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tu.int/dms_pub/itu-s/opb/conf/S-CONF-PLEN-2022-PDF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opb/conf/S-CONF-PLEN-2022-PDF-r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0</TotalTime>
  <Pages>2</Pages>
  <Words>727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6336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ADVISORY GROUP</dc:subject>
  <dc:creator>SV</dc:creator>
  <cp:keywords/>
  <dc:description/>
  <cp:lastModifiedBy>Xue, Kun</cp:lastModifiedBy>
  <cp:revision>2</cp:revision>
  <cp:lastPrinted>2011-05-23T08:58:00Z</cp:lastPrinted>
  <dcterms:created xsi:type="dcterms:W3CDTF">2025-04-07T13:44:00Z</dcterms:created>
  <dcterms:modified xsi:type="dcterms:W3CDTF">2025-04-07T13:44:00Z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