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46B68ECD" w14:textId="77777777" w:rsidTr="001B4810">
        <w:trPr>
          <w:cantSplit/>
        </w:trPr>
        <w:tc>
          <w:tcPr>
            <w:tcW w:w="6771" w:type="dxa"/>
            <w:vAlign w:val="center"/>
          </w:tcPr>
          <w:p w14:paraId="60390450"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06675F10"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0EA2CEAB" wp14:editId="16DF3942">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592DB48C" w14:textId="77777777" w:rsidTr="001D2E57">
        <w:trPr>
          <w:gridAfter w:val="1"/>
          <w:wAfter w:w="28" w:type="dxa"/>
          <w:cantSplit/>
        </w:trPr>
        <w:tc>
          <w:tcPr>
            <w:tcW w:w="6771" w:type="dxa"/>
            <w:tcBorders>
              <w:bottom w:val="single" w:sz="12" w:space="0" w:color="auto"/>
            </w:tcBorders>
          </w:tcPr>
          <w:p w14:paraId="64912BD5"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304B70A8" w14:textId="77777777" w:rsidR="0051782D" w:rsidRPr="00D872CB" w:rsidRDefault="0051782D" w:rsidP="000A4F34">
            <w:pPr>
              <w:shd w:val="solid" w:color="FFFFFF" w:fill="FFFFFF"/>
              <w:spacing w:before="0" w:after="48"/>
              <w:rPr>
                <w:sz w:val="22"/>
                <w:szCs w:val="22"/>
              </w:rPr>
            </w:pPr>
          </w:p>
        </w:tc>
      </w:tr>
      <w:tr w:rsidR="0051782D" w:rsidRPr="00D872CB" w14:paraId="127F4FAC" w14:textId="77777777" w:rsidTr="001D2E57">
        <w:trPr>
          <w:gridAfter w:val="1"/>
          <w:wAfter w:w="28" w:type="dxa"/>
          <w:cantSplit/>
        </w:trPr>
        <w:tc>
          <w:tcPr>
            <w:tcW w:w="6771" w:type="dxa"/>
            <w:tcBorders>
              <w:top w:val="single" w:sz="12" w:space="0" w:color="auto"/>
            </w:tcBorders>
          </w:tcPr>
          <w:p w14:paraId="49743EB1"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0B95F25B" w14:textId="77777777" w:rsidR="0051782D" w:rsidRPr="00D872CB" w:rsidRDefault="0051782D" w:rsidP="000A4F34">
            <w:pPr>
              <w:shd w:val="solid" w:color="FFFFFF" w:fill="FFFFFF"/>
              <w:spacing w:before="0" w:after="48"/>
            </w:pPr>
          </w:p>
        </w:tc>
      </w:tr>
      <w:tr w:rsidR="0051782D" w:rsidRPr="00D872CB" w14:paraId="5436CF3C" w14:textId="77777777" w:rsidTr="001D2E57">
        <w:trPr>
          <w:gridAfter w:val="1"/>
          <w:wAfter w:w="28" w:type="dxa"/>
          <w:cantSplit/>
        </w:trPr>
        <w:tc>
          <w:tcPr>
            <w:tcW w:w="6771" w:type="dxa"/>
            <w:vMerge w:val="restart"/>
          </w:tcPr>
          <w:p w14:paraId="39203F51"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2529EB5B" w14:textId="5BAABA16"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A30B26">
              <w:rPr>
                <w:rFonts w:ascii="Verdana" w:hAnsi="Verdana" w:hint="eastAsia"/>
                <w:b/>
                <w:sz w:val="20"/>
                <w:lang w:eastAsia="zh-CN"/>
              </w:rPr>
              <w:t>4</w:t>
            </w:r>
            <w:r w:rsidR="005604A1">
              <w:rPr>
                <w:rFonts w:ascii="Verdana" w:hAnsi="Verdana" w:hint="eastAsia"/>
                <w:b/>
                <w:sz w:val="20"/>
                <w:lang w:eastAsia="zh-CN"/>
              </w:rPr>
              <w:t>3</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303C44D3" w14:textId="77777777" w:rsidTr="001D2E57">
        <w:trPr>
          <w:gridAfter w:val="1"/>
          <w:wAfter w:w="28" w:type="dxa"/>
          <w:cantSplit/>
        </w:trPr>
        <w:tc>
          <w:tcPr>
            <w:tcW w:w="6771" w:type="dxa"/>
            <w:vMerge/>
          </w:tcPr>
          <w:p w14:paraId="55B90E15"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375E1AF0" w14:textId="0FC0BF74"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A30B26">
              <w:rPr>
                <w:rFonts w:ascii="Verdana" w:hAnsi="Verdana" w:hint="eastAsia"/>
                <w:b/>
                <w:sz w:val="20"/>
                <w:lang w:eastAsia="zh-CN"/>
              </w:rPr>
              <w:t>5</w:t>
            </w:r>
            <w:r w:rsidR="00426448" w:rsidRPr="000A4F34">
              <w:rPr>
                <w:rFonts w:ascii="Verdana" w:hAnsi="SimSun"/>
                <w:b/>
                <w:sz w:val="20"/>
                <w:lang w:eastAsia="zh-CN"/>
              </w:rPr>
              <w:t>年</w:t>
            </w:r>
            <w:r w:rsidR="00A30B26">
              <w:rPr>
                <w:rFonts w:ascii="Verdana" w:hAnsi="Verdana" w:hint="eastAsia"/>
                <w:b/>
                <w:sz w:val="20"/>
                <w:lang w:eastAsia="zh-CN"/>
              </w:rPr>
              <w:t>3</w:t>
            </w:r>
            <w:r w:rsidR="00426448" w:rsidRPr="000A4F34">
              <w:rPr>
                <w:rFonts w:ascii="Verdana" w:hAnsi="SimSun"/>
                <w:b/>
                <w:sz w:val="20"/>
                <w:lang w:eastAsia="zh-CN"/>
              </w:rPr>
              <w:t>月</w:t>
            </w:r>
            <w:r w:rsidR="00A30B26">
              <w:rPr>
                <w:rFonts w:ascii="Verdana" w:hAnsi="Verdana" w:hint="eastAsia"/>
                <w:b/>
                <w:sz w:val="20"/>
                <w:lang w:eastAsia="zh-CN"/>
              </w:rPr>
              <w:t>31</w:t>
            </w:r>
            <w:r w:rsidR="00426448" w:rsidRPr="000A4F34">
              <w:rPr>
                <w:rFonts w:ascii="Verdana" w:hAnsi="SimSun"/>
                <w:b/>
                <w:sz w:val="20"/>
                <w:lang w:eastAsia="zh-CN"/>
              </w:rPr>
              <w:t>日</w:t>
            </w:r>
          </w:p>
        </w:tc>
      </w:tr>
      <w:tr w:rsidR="0051782D" w:rsidRPr="00D872CB" w14:paraId="3DA4879B" w14:textId="77777777" w:rsidTr="001D2E57">
        <w:trPr>
          <w:gridAfter w:val="1"/>
          <w:wAfter w:w="28" w:type="dxa"/>
          <w:cantSplit/>
        </w:trPr>
        <w:tc>
          <w:tcPr>
            <w:tcW w:w="6771" w:type="dxa"/>
            <w:vMerge/>
          </w:tcPr>
          <w:p w14:paraId="1329321D"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2E7445BF"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14:paraId="65B76C3D" w14:textId="77777777" w:rsidTr="001D2E57">
        <w:trPr>
          <w:gridAfter w:val="1"/>
          <w:wAfter w:w="28" w:type="dxa"/>
          <w:cantSplit/>
        </w:trPr>
        <w:tc>
          <w:tcPr>
            <w:tcW w:w="9894" w:type="dxa"/>
            <w:gridSpan w:val="2"/>
          </w:tcPr>
          <w:p w14:paraId="6BF30944" w14:textId="6B51608F" w:rsidR="00426448" w:rsidRPr="00D872CB" w:rsidRDefault="005604A1" w:rsidP="000A4F34">
            <w:pPr>
              <w:pStyle w:val="Source"/>
              <w:rPr>
                <w:lang w:eastAsia="zh-CN"/>
              </w:rPr>
            </w:pPr>
            <w:bookmarkStart w:id="3" w:name="dsource" w:colFirst="0" w:colLast="0"/>
            <w:bookmarkEnd w:id="2"/>
            <w:proofErr w:type="spellStart"/>
            <w:r>
              <w:rPr>
                <w:bCs/>
                <w:color w:val="000000"/>
                <w:lang w:val="zh-CN"/>
              </w:rPr>
              <w:t>沙特阿拉伯（王国</w:t>
            </w:r>
            <w:proofErr w:type="spellEnd"/>
            <w:r>
              <w:rPr>
                <w:bCs/>
                <w:color w:val="000000"/>
                <w:lang w:val="zh-CN"/>
              </w:rPr>
              <w:t>）</w:t>
            </w:r>
          </w:p>
        </w:tc>
      </w:tr>
      <w:tr w:rsidR="00BC195C" w:rsidRPr="00D872CB" w14:paraId="138ECBE1" w14:textId="77777777" w:rsidTr="001D2E57">
        <w:trPr>
          <w:gridAfter w:val="1"/>
          <w:wAfter w:w="28" w:type="dxa"/>
          <w:cantSplit/>
        </w:trPr>
        <w:tc>
          <w:tcPr>
            <w:tcW w:w="9894" w:type="dxa"/>
            <w:gridSpan w:val="2"/>
          </w:tcPr>
          <w:p w14:paraId="48C047C9" w14:textId="7207D58F" w:rsidR="00E130B3" w:rsidRPr="00726BD1" w:rsidRDefault="005604A1" w:rsidP="000A4F34">
            <w:pPr>
              <w:tabs>
                <w:tab w:val="left" w:pos="851"/>
                <w:tab w:val="left" w:pos="5670"/>
              </w:tabs>
              <w:spacing w:before="240" w:after="240"/>
              <w:jc w:val="center"/>
              <w:rPr>
                <w:sz w:val="28"/>
                <w:szCs w:val="28"/>
                <w:lang w:val="fr-CH" w:eastAsia="zh-CN"/>
              </w:rPr>
            </w:pPr>
            <w:bookmarkStart w:id="4" w:name="_Hlk160577334"/>
            <w:bookmarkStart w:id="5" w:name="dtitle1" w:colFirst="0" w:colLast="0"/>
            <w:bookmarkEnd w:id="3"/>
            <w:r w:rsidRPr="005604A1">
              <w:rPr>
                <w:sz w:val="28"/>
                <w:szCs w:val="28"/>
                <w:lang w:val="zh-CN" w:eastAsia="zh-CN"/>
              </w:rPr>
              <w:t>对现行</w:t>
            </w:r>
            <w:r w:rsidRPr="005604A1">
              <w:rPr>
                <w:sz w:val="28"/>
                <w:szCs w:val="28"/>
                <w:lang w:val="zh-CN" w:eastAsia="zh-CN"/>
              </w:rPr>
              <w:t>ITU-R</w:t>
            </w:r>
            <w:r w:rsidRPr="005604A1">
              <w:rPr>
                <w:sz w:val="28"/>
                <w:szCs w:val="28"/>
                <w:lang w:val="zh-CN" w:eastAsia="zh-CN"/>
              </w:rPr>
              <w:t>研究组结构和工作方法的全面审议</w:t>
            </w:r>
            <w:bookmarkEnd w:id="4"/>
          </w:p>
        </w:tc>
      </w:tr>
    </w:tbl>
    <w:bookmarkEnd w:id="5"/>
    <w:p w14:paraId="11136FE8" w14:textId="77777777" w:rsidR="005604A1" w:rsidRPr="00C3209B" w:rsidRDefault="005604A1" w:rsidP="005604A1">
      <w:pPr>
        <w:pStyle w:val="Heading1"/>
        <w:rPr>
          <w:lang w:eastAsia="zh-CN"/>
        </w:rPr>
      </w:pPr>
      <w:r>
        <w:rPr>
          <w:bCs/>
          <w:lang w:val="zh-CN" w:eastAsia="zh-CN"/>
        </w:rPr>
        <w:t>1</w:t>
      </w:r>
      <w:r>
        <w:rPr>
          <w:bCs/>
          <w:lang w:eastAsia="zh-CN"/>
        </w:rPr>
        <w:tab/>
      </w:r>
      <w:r>
        <w:rPr>
          <w:bCs/>
          <w:lang w:val="zh-CN" w:eastAsia="zh-CN"/>
        </w:rPr>
        <w:t>背景</w:t>
      </w:r>
    </w:p>
    <w:p w14:paraId="31B8CBF5" w14:textId="4573DFA7" w:rsidR="005604A1" w:rsidRDefault="005604A1" w:rsidP="005604A1">
      <w:pPr>
        <w:ind w:firstLineChars="200" w:firstLine="480"/>
        <w:rPr>
          <w:lang w:eastAsia="zh-CN"/>
        </w:rPr>
      </w:pPr>
      <w:r>
        <w:rPr>
          <w:lang w:val="zh-CN" w:eastAsia="zh-CN"/>
        </w:rPr>
        <w:t>由于地面和非地面技术的快速发展，无线电通信正在经历</w:t>
      </w:r>
      <w:r w:rsidR="00383C3C">
        <w:rPr>
          <w:rFonts w:hint="eastAsia"/>
          <w:lang w:val="zh-CN" w:eastAsia="zh-CN"/>
        </w:rPr>
        <w:t>一场</w:t>
      </w:r>
      <w:r>
        <w:rPr>
          <w:lang w:val="zh-CN" w:eastAsia="zh-CN"/>
        </w:rPr>
        <w:t>深刻变革。新一轮的系统和服务浪潮正在兴起，跨越了广泛的垂直行业和用户环境，对频谱、标准和监管框架提出了前所未有的需求。这些技术不仅具有颠覆性而且是未来全球互联互通的基础。</w:t>
      </w:r>
      <w:r w:rsidR="00D512CE">
        <w:rPr>
          <w:rFonts w:hint="eastAsia"/>
          <w:lang w:val="zh-CN" w:eastAsia="zh-CN"/>
        </w:rPr>
        <w:t>其</w:t>
      </w:r>
      <w:r>
        <w:rPr>
          <w:lang w:val="zh-CN" w:eastAsia="zh-CN"/>
        </w:rPr>
        <w:t>主要示例包括：</w:t>
      </w:r>
    </w:p>
    <w:p w14:paraId="19754415" w14:textId="6227D1D7" w:rsidR="005604A1" w:rsidRPr="00907E90" w:rsidRDefault="005604A1" w:rsidP="005604A1">
      <w:pPr>
        <w:pStyle w:val="enumlev1"/>
        <w:rPr>
          <w:lang w:eastAsia="zh-CN"/>
        </w:rPr>
      </w:pPr>
      <w:r w:rsidRPr="005604A1">
        <w:rPr>
          <w:lang w:val="zh-CN" w:eastAsia="zh-CN"/>
        </w:rPr>
        <w:t>•</w:t>
      </w:r>
      <w:r>
        <w:rPr>
          <w:lang w:val="zh-CN" w:eastAsia="zh-CN"/>
        </w:rPr>
        <w:tab/>
      </w:r>
      <w:r>
        <w:rPr>
          <w:lang w:val="zh-CN" w:eastAsia="zh-CN"/>
        </w:rPr>
        <w:t>非地面网络（</w:t>
      </w:r>
      <w:r>
        <w:rPr>
          <w:lang w:val="zh-CN" w:eastAsia="zh-CN"/>
        </w:rPr>
        <w:t>NTN</w:t>
      </w:r>
      <w:r>
        <w:rPr>
          <w:lang w:val="zh-CN" w:eastAsia="zh-CN"/>
        </w:rPr>
        <w:t>）整合了卫星、空中平台（</w:t>
      </w:r>
      <w:r>
        <w:rPr>
          <w:lang w:val="zh-CN" w:eastAsia="zh-CN"/>
        </w:rPr>
        <w:t>HAPS/HIBS</w:t>
      </w:r>
      <w:r>
        <w:rPr>
          <w:lang w:val="zh-CN" w:eastAsia="zh-CN"/>
        </w:rPr>
        <w:t>）和地面基础设施，可提供无缝全球覆盖并支持无处不在的宽带服务，特别是在服务不足和偏远地区。</w:t>
      </w:r>
    </w:p>
    <w:p w14:paraId="42C19772" w14:textId="1069FE4E" w:rsidR="005604A1" w:rsidRPr="00907E90" w:rsidRDefault="005604A1" w:rsidP="005604A1">
      <w:pPr>
        <w:pStyle w:val="enumlev1"/>
        <w:rPr>
          <w:lang w:eastAsia="zh-CN"/>
        </w:rPr>
      </w:pPr>
      <w:r w:rsidRPr="005604A1">
        <w:rPr>
          <w:lang w:val="zh-CN" w:eastAsia="zh-CN"/>
        </w:rPr>
        <w:t>•</w:t>
      </w:r>
      <w:r>
        <w:rPr>
          <w:lang w:val="zh-CN" w:eastAsia="zh-CN"/>
        </w:rPr>
        <w:tab/>
      </w:r>
      <w:r>
        <w:rPr>
          <w:lang w:val="zh-CN" w:eastAsia="zh-CN"/>
        </w:rPr>
        <w:t>直接到设备或直接到小区（</w:t>
      </w:r>
      <w:r>
        <w:rPr>
          <w:lang w:val="zh-CN" w:eastAsia="zh-CN"/>
        </w:rPr>
        <w:t>D2D/D2C</w:t>
      </w:r>
      <w:r>
        <w:rPr>
          <w:lang w:val="zh-CN" w:eastAsia="zh-CN"/>
        </w:rPr>
        <w:t>）连接，使现成的移动手机和</w:t>
      </w:r>
      <w:proofErr w:type="gramStart"/>
      <w:r>
        <w:rPr>
          <w:lang w:val="zh-CN" w:eastAsia="zh-CN"/>
        </w:rPr>
        <w:t>物联网</w:t>
      </w:r>
      <w:proofErr w:type="gramEnd"/>
      <w:r>
        <w:rPr>
          <w:lang w:val="zh-CN" w:eastAsia="zh-CN"/>
        </w:rPr>
        <w:t>设备能够直接连接到卫星星座。这一范式将地面和空间网络连接起来，对频谱共用、互作性和协调提出了复杂的挑战。</w:t>
      </w:r>
    </w:p>
    <w:p w14:paraId="17DBC4A3" w14:textId="21C87D38" w:rsidR="005604A1" w:rsidRPr="00907E90" w:rsidRDefault="005604A1" w:rsidP="005604A1">
      <w:pPr>
        <w:pStyle w:val="enumlev1"/>
        <w:rPr>
          <w:lang w:eastAsia="zh-CN"/>
        </w:rPr>
      </w:pPr>
      <w:r w:rsidRPr="005604A1">
        <w:rPr>
          <w:lang w:val="zh-CN" w:eastAsia="zh-CN"/>
        </w:rPr>
        <w:t>•</w:t>
      </w:r>
      <w:r>
        <w:rPr>
          <w:lang w:val="zh-CN" w:eastAsia="zh-CN"/>
        </w:rPr>
        <w:tab/>
      </w:r>
      <w:r>
        <w:rPr>
          <w:lang w:val="zh-CN" w:eastAsia="zh-CN"/>
        </w:rPr>
        <w:t>需要超可靠连接的地面和基于卫星的物联网（</w:t>
      </w:r>
      <w:r>
        <w:rPr>
          <w:lang w:val="zh-CN" w:eastAsia="zh-CN"/>
        </w:rPr>
        <w:t>IoT</w:t>
      </w:r>
      <w:r>
        <w:rPr>
          <w:lang w:val="zh-CN" w:eastAsia="zh-CN"/>
        </w:rPr>
        <w:t>）平台，通常跨越广泛的地理</w:t>
      </w:r>
      <w:r w:rsidR="009F11AC">
        <w:rPr>
          <w:rFonts w:hint="eastAsia"/>
          <w:lang w:val="zh-CN" w:eastAsia="zh-CN"/>
        </w:rPr>
        <w:t>范围和</w:t>
      </w:r>
      <w:r>
        <w:rPr>
          <w:lang w:val="zh-CN" w:eastAsia="zh-CN"/>
        </w:rPr>
        <w:t>极端环境。这些系统越来越依赖强调传统分配和干扰模型的混合架构和新形</w:t>
      </w:r>
      <w:r w:rsidR="00D512CE">
        <w:rPr>
          <w:rFonts w:hint="eastAsia"/>
          <w:lang w:val="zh-CN" w:eastAsia="zh-CN"/>
        </w:rPr>
        <w:t>态</w:t>
      </w:r>
      <w:r>
        <w:rPr>
          <w:lang w:val="zh-CN" w:eastAsia="zh-CN"/>
        </w:rPr>
        <w:t>。</w:t>
      </w:r>
    </w:p>
    <w:p w14:paraId="65135AFC" w14:textId="38DFB212" w:rsidR="005604A1" w:rsidRPr="00907E90" w:rsidRDefault="005604A1" w:rsidP="005604A1">
      <w:pPr>
        <w:pStyle w:val="enumlev1"/>
        <w:rPr>
          <w:lang w:eastAsia="zh-CN"/>
        </w:rPr>
      </w:pPr>
      <w:r w:rsidRPr="005604A1">
        <w:rPr>
          <w:lang w:val="zh-CN" w:eastAsia="zh-CN"/>
        </w:rPr>
        <w:t>•</w:t>
      </w:r>
      <w:r>
        <w:rPr>
          <w:lang w:val="zh-CN" w:eastAsia="zh-CN"/>
        </w:rPr>
        <w:tab/>
        <w:t>AI/ML</w:t>
      </w:r>
      <w:r>
        <w:rPr>
          <w:lang w:val="zh-CN" w:eastAsia="zh-CN"/>
        </w:rPr>
        <w:t>辅助的无线电通信用于频谱感知、干扰缓解、动态划分和网络优化。这些能力需要新的绩效评估、模型透明度和实时决策框架。</w:t>
      </w:r>
    </w:p>
    <w:p w14:paraId="3296511C" w14:textId="2611080F" w:rsidR="005604A1" w:rsidRDefault="005604A1" w:rsidP="005604A1">
      <w:pPr>
        <w:pStyle w:val="enumlev1"/>
        <w:rPr>
          <w:lang w:eastAsia="zh-CN"/>
        </w:rPr>
      </w:pPr>
      <w:r w:rsidRPr="005604A1">
        <w:rPr>
          <w:lang w:val="zh-CN" w:eastAsia="zh-CN"/>
        </w:rPr>
        <w:t>•</w:t>
      </w:r>
      <w:r>
        <w:rPr>
          <w:lang w:val="zh-CN" w:eastAsia="zh-CN"/>
        </w:rPr>
        <w:tab/>
      </w:r>
      <w:r w:rsidR="00383C3C">
        <w:rPr>
          <w:lang w:val="zh-CN" w:eastAsia="zh-CN"/>
        </w:rPr>
        <w:t>作为活跃的研究和部署领域</w:t>
      </w:r>
      <w:r w:rsidR="00383C3C">
        <w:rPr>
          <w:rFonts w:hint="eastAsia"/>
          <w:lang w:val="zh-CN" w:eastAsia="zh-CN"/>
        </w:rPr>
        <w:t>，</w:t>
      </w:r>
      <w:r>
        <w:rPr>
          <w:lang w:val="zh-CN" w:eastAsia="zh-CN"/>
        </w:rPr>
        <w:t>可重构智能表面（</w:t>
      </w:r>
      <w:r>
        <w:rPr>
          <w:lang w:val="zh-CN" w:eastAsia="zh-CN"/>
        </w:rPr>
        <w:t>RIS</w:t>
      </w:r>
      <w:r>
        <w:rPr>
          <w:lang w:val="zh-CN" w:eastAsia="zh-CN"/>
        </w:rPr>
        <w:t>）、网状网络和量子增强链路也正脱颖而出，</w:t>
      </w:r>
      <w:r w:rsidR="00383C3C">
        <w:rPr>
          <w:rFonts w:hint="eastAsia"/>
          <w:lang w:val="zh-CN" w:eastAsia="zh-CN"/>
        </w:rPr>
        <w:t>因此</w:t>
      </w:r>
      <w:r>
        <w:rPr>
          <w:lang w:val="zh-CN" w:eastAsia="zh-CN"/>
        </w:rPr>
        <w:t>需要超越传统业务边界的全新研究方法。</w:t>
      </w:r>
    </w:p>
    <w:p w14:paraId="4BB277A9" w14:textId="23789953" w:rsidR="005604A1" w:rsidRDefault="005604A1" w:rsidP="005604A1">
      <w:pPr>
        <w:ind w:firstLineChars="200" w:firstLine="480"/>
        <w:rPr>
          <w:lang w:eastAsia="zh-CN"/>
        </w:rPr>
      </w:pPr>
      <w:r>
        <w:rPr>
          <w:lang w:val="zh-CN" w:eastAsia="zh-CN"/>
        </w:rPr>
        <w:t>这些技术本质上是跨领域的，影响到多个研究组和业务，往往需要敏捷的多学科协调，以跟上创新的步伐。传统的孤立式研究方法</w:t>
      </w:r>
      <w:r w:rsidR="00383C3C">
        <w:rPr>
          <w:rFonts w:hint="eastAsia"/>
          <w:lang w:val="zh-CN" w:eastAsia="zh-CN"/>
        </w:rPr>
        <w:t>在</w:t>
      </w:r>
      <w:r>
        <w:rPr>
          <w:lang w:val="zh-CN" w:eastAsia="zh-CN"/>
        </w:rPr>
        <w:t>发展速度、复杂性和相互关联性</w:t>
      </w:r>
      <w:r w:rsidR="00383C3C">
        <w:rPr>
          <w:rFonts w:hint="eastAsia"/>
          <w:lang w:val="zh-CN" w:eastAsia="zh-CN"/>
        </w:rPr>
        <w:t>方面，正</w:t>
      </w:r>
      <w:r w:rsidR="00383C3C">
        <w:rPr>
          <w:lang w:val="zh-CN" w:eastAsia="zh-CN"/>
        </w:rPr>
        <w:t>日益受到</w:t>
      </w:r>
      <w:r>
        <w:rPr>
          <w:lang w:val="zh-CN" w:eastAsia="zh-CN"/>
        </w:rPr>
        <w:t>的挑战。</w:t>
      </w:r>
    </w:p>
    <w:p w14:paraId="18A57C18" w14:textId="36AD8858" w:rsidR="005604A1" w:rsidRDefault="005604A1" w:rsidP="005604A1">
      <w:pPr>
        <w:ind w:firstLineChars="200" w:firstLine="480"/>
        <w:rPr>
          <w:lang w:eastAsia="zh-CN"/>
        </w:rPr>
      </w:pPr>
      <w:r>
        <w:rPr>
          <w:lang w:val="zh-CN" w:eastAsia="zh-CN"/>
        </w:rPr>
        <w:t>这一点在</w:t>
      </w:r>
      <w:r>
        <w:rPr>
          <w:lang w:val="zh-CN" w:eastAsia="zh-CN"/>
        </w:rPr>
        <w:t>WRC-27</w:t>
      </w:r>
      <w:r>
        <w:rPr>
          <w:lang w:val="zh-CN" w:eastAsia="zh-CN"/>
        </w:rPr>
        <w:t>的议程中表现得淋漓尽致。许多议项需要开展跨领域研究并在多个研究组和工作组之间进行密切协调。如果没有统一的结构和</w:t>
      </w:r>
      <w:r w:rsidR="00D512CE">
        <w:rPr>
          <w:rFonts w:hint="eastAsia"/>
          <w:lang w:val="zh-CN" w:eastAsia="zh-CN"/>
        </w:rPr>
        <w:t>一致</w:t>
      </w:r>
      <w:r>
        <w:rPr>
          <w:lang w:val="zh-CN" w:eastAsia="zh-CN"/>
        </w:rPr>
        <w:t>的工作方法，就存在重复</w:t>
      </w:r>
      <w:r w:rsidR="00D512CE">
        <w:rPr>
          <w:rFonts w:hint="eastAsia"/>
          <w:lang w:val="zh-CN" w:eastAsia="zh-CN"/>
        </w:rPr>
        <w:t>劳动</w:t>
      </w:r>
      <w:r>
        <w:rPr>
          <w:lang w:val="zh-CN" w:eastAsia="zh-CN"/>
        </w:rPr>
        <w:t>、结果碎片化的风险，并延误完成</w:t>
      </w:r>
      <w:r>
        <w:rPr>
          <w:lang w:val="zh-CN" w:eastAsia="zh-CN"/>
        </w:rPr>
        <w:t>WRC</w:t>
      </w:r>
      <w:r>
        <w:rPr>
          <w:lang w:val="zh-CN" w:eastAsia="zh-CN"/>
        </w:rPr>
        <w:t>决策过程所需的研究和规则</w:t>
      </w:r>
      <w:proofErr w:type="gramStart"/>
      <w:r>
        <w:rPr>
          <w:lang w:val="zh-CN" w:eastAsia="zh-CN"/>
        </w:rPr>
        <w:t>性准备</w:t>
      </w:r>
      <w:proofErr w:type="gramEnd"/>
      <w:r>
        <w:rPr>
          <w:lang w:val="zh-CN" w:eastAsia="zh-CN"/>
        </w:rPr>
        <w:t>工作。</w:t>
      </w:r>
    </w:p>
    <w:p w14:paraId="1F965533" w14:textId="2D491E08" w:rsidR="005604A1" w:rsidRDefault="005604A1" w:rsidP="005604A1">
      <w:pPr>
        <w:ind w:firstLineChars="200" w:firstLine="480"/>
        <w:rPr>
          <w:lang w:eastAsia="zh-CN"/>
        </w:rPr>
      </w:pPr>
      <w:r>
        <w:rPr>
          <w:lang w:val="zh-CN" w:eastAsia="zh-CN"/>
        </w:rPr>
        <w:t>与此同时，无线电通信局主任在</w:t>
      </w:r>
      <w:hyperlink r:id="rId8" w:history="1">
        <w:r w:rsidRPr="005604A1">
          <w:rPr>
            <w:rStyle w:val="Hyperlink"/>
            <w:lang w:val="zh-CN" w:eastAsia="zh-CN"/>
          </w:rPr>
          <w:t>RAG/30</w:t>
        </w:r>
        <w:r>
          <w:rPr>
            <w:rStyle w:val="Hyperlink"/>
            <w:rFonts w:hint="eastAsia"/>
            <w:lang w:val="zh-CN" w:eastAsia="zh-CN"/>
          </w:rPr>
          <w:t>(</w:t>
        </w:r>
        <w:r w:rsidRPr="005604A1">
          <w:rPr>
            <w:rStyle w:val="Hyperlink"/>
            <w:lang w:val="zh-CN" w:eastAsia="zh-CN"/>
          </w:rPr>
          <w:t>Add.1</w:t>
        </w:r>
        <w:r>
          <w:rPr>
            <w:rStyle w:val="Hyperlink"/>
            <w:rFonts w:hint="eastAsia"/>
            <w:lang w:val="zh-CN" w:eastAsia="zh-CN"/>
          </w:rPr>
          <w:t>)</w:t>
        </w:r>
      </w:hyperlink>
      <w:r>
        <w:rPr>
          <w:lang w:val="zh-CN" w:eastAsia="zh-CN"/>
        </w:rPr>
        <w:t>号文件中强调了现有研究组和工作组管理的工作量</w:t>
      </w:r>
      <w:r w:rsidR="00D512CE">
        <w:rPr>
          <w:lang w:val="zh-CN" w:eastAsia="zh-CN"/>
        </w:rPr>
        <w:t>巨大</w:t>
      </w:r>
      <w:proofErr w:type="gramStart"/>
      <w:r w:rsidR="00D512CE">
        <w:rPr>
          <w:rFonts w:hint="eastAsia"/>
          <w:lang w:val="zh-CN" w:eastAsia="zh-CN"/>
        </w:rPr>
        <w:t>且</w:t>
      </w:r>
      <w:r>
        <w:rPr>
          <w:lang w:val="zh-CN" w:eastAsia="zh-CN"/>
        </w:rPr>
        <w:t>会议</w:t>
      </w:r>
      <w:proofErr w:type="gramEnd"/>
      <w:r w:rsidR="00D512CE">
        <w:rPr>
          <w:lang w:val="zh-CN" w:eastAsia="zh-CN"/>
        </w:rPr>
        <w:t>规划</w:t>
      </w:r>
      <w:r>
        <w:rPr>
          <w:lang w:val="zh-CN" w:eastAsia="zh-CN"/>
        </w:rPr>
        <w:t>的后勤挑战包括：</w:t>
      </w:r>
      <w:r w:rsidR="00D512CE">
        <w:rPr>
          <w:rFonts w:hint="eastAsia"/>
          <w:lang w:val="zh-CN" w:eastAsia="zh-CN"/>
        </w:rPr>
        <w:t>与会人</w:t>
      </w:r>
      <w:r>
        <w:rPr>
          <w:lang w:val="zh-CN" w:eastAsia="zh-CN"/>
        </w:rPr>
        <w:t>数多、文稿的复杂性和数量不断增加、会议时间表重叠、地点限制等。</w:t>
      </w:r>
    </w:p>
    <w:p w14:paraId="654F4D02" w14:textId="0F52CCC6" w:rsidR="005604A1" w:rsidRDefault="005604A1" w:rsidP="005604A1">
      <w:pPr>
        <w:ind w:firstLineChars="200" w:firstLine="480"/>
        <w:rPr>
          <w:lang w:eastAsia="zh-CN"/>
        </w:rPr>
      </w:pPr>
      <w:r>
        <w:rPr>
          <w:lang w:val="zh-CN" w:eastAsia="zh-CN"/>
        </w:rPr>
        <w:lastRenderedPageBreak/>
        <w:t>在此背景下，</w:t>
      </w:r>
      <w:r w:rsidR="00D512CE">
        <w:rPr>
          <w:rFonts w:hint="eastAsia"/>
          <w:lang w:val="zh-CN" w:eastAsia="zh-CN"/>
        </w:rPr>
        <w:t>我们</w:t>
      </w:r>
      <w:r>
        <w:rPr>
          <w:lang w:val="zh-CN" w:eastAsia="zh-CN"/>
        </w:rPr>
        <w:t>注意到</w:t>
      </w:r>
      <w:r>
        <w:rPr>
          <w:lang w:val="zh-CN" w:eastAsia="zh-CN"/>
        </w:rPr>
        <w:t>ITU-R</w:t>
      </w:r>
      <w:r>
        <w:rPr>
          <w:lang w:val="zh-CN" w:eastAsia="zh-CN"/>
        </w:rPr>
        <w:t>研究组的现有结构自</w:t>
      </w:r>
      <w:r>
        <w:rPr>
          <w:lang w:val="zh-CN" w:eastAsia="zh-CN"/>
        </w:rPr>
        <w:t>2007</w:t>
      </w:r>
      <w:r>
        <w:rPr>
          <w:lang w:val="zh-CN" w:eastAsia="zh-CN"/>
        </w:rPr>
        <w:t>年上次更新以来没有进行过重大修订，因此对现有研究组结构和工作方法进行新的审查</w:t>
      </w:r>
      <w:r w:rsidR="00D512CE">
        <w:rPr>
          <w:rFonts w:hint="eastAsia"/>
          <w:lang w:val="zh-CN" w:eastAsia="zh-CN"/>
        </w:rPr>
        <w:t>，</w:t>
      </w:r>
      <w:r>
        <w:rPr>
          <w:lang w:val="zh-CN" w:eastAsia="zh-CN"/>
        </w:rPr>
        <w:t>对确保</w:t>
      </w:r>
      <w:r>
        <w:rPr>
          <w:lang w:val="zh-CN" w:eastAsia="zh-CN"/>
        </w:rPr>
        <w:t>ITU-R</w:t>
      </w:r>
      <w:r>
        <w:rPr>
          <w:lang w:val="zh-CN" w:eastAsia="zh-CN"/>
        </w:rPr>
        <w:t>能在新技术时代继续作为统一的</w:t>
      </w:r>
      <w:r w:rsidR="00D512CE">
        <w:rPr>
          <w:lang w:val="zh-CN" w:eastAsia="zh-CN"/>
        </w:rPr>
        <w:t>全球</w:t>
      </w:r>
      <w:r>
        <w:rPr>
          <w:lang w:val="zh-CN" w:eastAsia="zh-CN"/>
        </w:rPr>
        <w:t>无线电通信解决方案平台</w:t>
      </w:r>
      <w:r w:rsidR="00D512CE">
        <w:rPr>
          <w:rFonts w:hint="eastAsia"/>
          <w:lang w:val="zh-CN" w:eastAsia="zh-CN"/>
        </w:rPr>
        <w:t>，</w:t>
      </w:r>
      <w:r>
        <w:rPr>
          <w:lang w:val="zh-CN" w:eastAsia="zh-CN"/>
        </w:rPr>
        <w:t>是及时</w:t>
      </w:r>
      <w:proofErr w:type="gramStart"/>
      <w:r w:rsidR="00D512CE">
        <w:rPr>
          <w:rFonts w:hint="eastAsia"/>
          <w:lang w:val="zh-CN" w:eastAsia="zh-CN"/>
        </w:rPr>
        <w:t>且</w:t>
      </w:r>
      <w:r>
        <w:rPr>
          <w:lang w:val="zh-CN" w:eastAsia="zh-CN"/>
        </w:rPr>
        <w:t>必要</w:t>
      </w:r>
      <w:proofErr w:type="gramEnd"/>
      <w:r>
        <w:rPr>
          <w:lang w:val="zh-CN" w:eastAsia="zh-CN"/>
        </w:rPr>
        <w:t>的。</w:t>
      </w:r>
    </w:p>
    <w:p w14:paraId="2E4A2A82" w14:textId="6E51F8CB" w:rsidR="005604A1" w:rsidRDefault="005604A1" w:rsidP="005604A1">
      <w:pPr>
        <w:ind w:firstLineChars="200" w:firstLine="480"/>
        <w:rPr>
          <w:lang w:eastAsia="zh-CN"/>
        </w:rPr>
      </w:pPr>
      <w:r>
        <w:rPr>
          <w:lang w:val="zh-CN" w:eastAsia="zh-CN"/>
        </w:rPr>
        <w:t>无线电通信顾问组（</w:t>
      </w:r>
      <w:r>
        <w:rPr>
          <w:lang w:val="zh-CN" w:eastAsia="zh-CN"/>
        </w:rPr>
        <w:t>RAG</w:t>
      </w:r>
      <w:r>
        <w:rPr>
          <w:lang w:val="zh-CN" w:eastAsia="zh-CN"/>
        </w:rPr>
        <w:t>）在国际电联无线电通信部门发挥着独特</w:t>
      </w:r>
      <w:r w:rsidR="00D512CE">
        <w:rPr>
          <w:rFonts w:hint="eastAsia"/>
          <w:lang w:val="zh-CN" w:eastAsia="zh-CN"/>
        </w:rPr>
        <w:t>且</w:t>
      </w:r>
      <w:r>
        <w:rPr>
          <w:lang w:val="zh-CN" w:eastAsia="zh-CN"/>
        </w:rPr>
        <w:t>关键的作用。国际电信联盟《公约》第</w:t>
      </w:r>
      <w:r>
        <w:rPr>
          <w:lang w:val="zh-CN" w:eastAsia="zh-CN"/>
        </w:rPr>
        <w:t>11A</w:t>
      </w:r>
      <w:r>
        <w:rPr>
          <w:lang w:val="zh-CN" w:eastAsia="zh-CN"/>
        </w:rPr>
        <w:t>条明确规定了无线电通信顾问组的工作权限和范围，授权无线电通信顾问组审议无线电通信研究组的活动，为改进工作协调提出措施建议并为研究组的工作提供指导（</w:t>
      </w:r>
      <w:hyperlink r:id="rId9" w:history="1">
        <w:r w:rsidR="007403C7" w:rsidRPr="007403C7">
          <w:rPr>
            <w:rStyle w:val="Hyperlink"/>
            <w:spacing w:val="-2"/>
            <w:lang w:eastAsia="zh-CN"/>
          </w:rPr>
          <w:t>160C PP-98 PP-02</w:t>
        </w:r>
      </w:hyperlink>
      <w:r w:rsidR="007403C7">
        <w:rPr>
          <w:rFonts w:hint="eastAsia"/>
          <w:lang w:eastAsia="zh-CN"/>
        </w:rPr>
        <w:t>、</w:t>
      </w:r>
      <w:hyperlink r:id="rId10" w:history="1">
        <w:r w:rsidRPr="005604A1">
          <w:rPr>
            <w:rStyle w:val="Hyperlink"/>
            <w:lang w:val="zh-CN" w:eastAsia="zh-CN"/>
          </w:rPr>
          <w:t>160E PP-98</w:t>
        </w:r>
      </w:hyperlink>
      <w:r>
        <w:rPr>
          <w:lang w:val="zh-CN" w:eastAsia="zh-CN"/>
        </w:rPr>
        <w:t>）。国际电联无线电通信全会通过的</w:t>
      </w:r>
      <w:hyperlink r:id="rId11" w:history="1">
        <w:r w:rsidRPr="005604A1">
          <w:rPr>
            <w:rStyle w:val="Hyperlink"/>
            <w:lang w:val="zh-CN" w:eastAsia="zh-CN"/>
          </w:rPr>
          <w:t>ITU-R</w:t>
        </w:r>
        <w:r w:rsidRPr="005604A1">
          <w:rPr>
            <w:rStyle w:val="Hyperlink"/>
            <w:lang w:val="zh-CN" w:eastAsia="zh-CN"/>
          </w:rPr>
          <w:t>第</w:t>
        </w:r>
        <w:r w:rsidRPr="005604A1">
          <w:rPr>
            <w:rStyle w:val="Hyperlink"/>
            <w:lang w:val="zh-CN" w:eastAsia="zh-CN"/>
          </w:rPr>
          <w:t>52-1</w:t>
        </w:r>
        <w:r w:rsidRPr="005604A1">
          <w:rPr>
            <w:rStyle w:val="Hyperlink"/>
            <w:lang w:val="zh-CN" w:eastAsia="zh-CN"/>
          </w:rPr>
          <w:t>号决议</w:t>
        </w:r>
      </w:hyperlink>
      <w:r>
        <w:rPr>
          <w:lang w:val="zh-CN" w:eastAsia="zh-CN"/>
        </w:rPr>
        <w:t>强</w:t>
      </w:r>
      <w:r w:rsidR="00D512CE">
        <w:rPr>
          <w:rFonts w:hint="eastAsia"/>
          <w:lang w:val="zh-CN" w:eastAsia="zh-CN"/>
        </w:rPr>
        <w:t>化</w:t>
      </w:r>
      <w:r>
        <w:rPr>
          <w:lang w:val="zh-CN" w:eastAsia="zh-CN"/>
        </w:rPr>
        <w:t>并扩展了这些条款。</w:t>
      </w:r>
    </w:p>
    <w:p w14:paraId="6E4D7C77" w14:textId="2D5A0496" w:rsidR="005604A1" w:rsidRPr="009F0126" w:rsidRDefault="005604A1" w:rsidP="005604A1">
      <w:pPr>
        <w:ind w:firstLineChars="200" w:firstLine="480"/>
        <w:rPr>
          <w:lang w:eastAsia="zh-CN"/>
        </w:rPr>
      </w:pPr>
      <w:r>
        <w:rPr>
          <w:lang w:val="zh-CN" w:eastAsia="zh-CN"/>
        </w:rPr>
        <w:t>总而言之，这些法律规定和</w:t>
      </w:r>
      <w:r w:rsidR="00D512CE">
        <w:rPr>
          <w:rFonts w:hint="eastAsia"/>
          <w:lang w:val="zh-CN" w:eastAsia="zh-CN"/>
        </w:rPr>
        <w:t>实践</w:t>
      </w:r>
      <w:r>
        <w:rPr>
          <w:lang w:val="zh-CN" w:eastAsia="zh-CN"/>
        </w:rPr>
        <w:t>证明</w:t>
      </w:r>
      <w:r>
        <w:rPr>
          <w:lang w:val="zh-CN" w:eastAsia="zh-CN"/>
        </w:rPr>
        <w:t>RAG</w:t>
      </w:r>
      <w:r>
        <w:rPr>
          <w:lang w:val="zh-CN" w:eastAsia="zh-CN"/>
        </w:rPr>
        <w:t>不仅有职权，而且有责任和能力对</w:t>
      </w:r>
      <w:r>
        <w:rPr>
          <w:lang w:val="zh-CN" w:eastAsia="zh-CN"/>
        </w:rPr>
        <w:t>ITU-R</w:t>
      </w:r>
      <w:r>
        <w:rPr>
          <w:lang w:val="zh-CN" w:eastAsia="zh-CN"/>
        </w:rPr>
        <w:t>研究组的结构和工作方法进行全面审查，以确保该部门在技术和程序日益复杂的情况下保持应有的宗旨。</w:t>
      </w:r>
    </w:p>
    <w:p w14:paraId="2DACC6C2" w14:textId="28825730" w:rsidR="005604A1" w:rsidRPr="00C3209B" w:rsidRDefault="005604A1" w:rsidP="005604A1">
      <w:pPr>
        <w:pStyle w:val="Heading1"/>
        <w:rPr>
          <w:lang w:eastAsia="zh-CN"/>
        </w:rPr>
      </w:pPr>
      <w:r>
        <w:rPr>
          <w:bCs/>
          <w:lang w:val="zh-CN" w:eastAsia="zh-CN"/>
        </w:rPr>
        <w:t>2</w:t>
      </w:r>
      <w:r>
        <w:rPr>
          <w:bCs/>
          <w:lang w:val="zh-CN" w:eastAsia="zh-CN"/>
        </w:rPr>
        <w:tab/>
      </w:r>
      <w:r>
        <w:rPr>
          <w:bCs/>
          <w:lang w:val="zh-CN" w:eastAsia="zh-CN"/>
        </w:rPr>
        <w:t>建议</w:t>
      </w:r>
    </w:p>
    <w:p w14:paraId="5851DF1C" w14:textId="1394BFFB" w:rsidR="005604A1" w:rsidRPr="000F7C55" w:rsidRDefault="00D512CE" w:rsidP="005604A1">
      <w:pPr>
        <w:ind w:firstLineChars="200" w:firstLine="480"/>
        <w:rPr>
          <w:lang w:eastAsia="zh-CN"/>
        </w:rPr>
      </w:pPr>
      <w:r>
        <w:rPr>
          <w:lang w:val="zh-CN" w:eastAsia="zh-CN"/>
        </w:rPr>
        <w:t>请</w:t>
      </w:r>
      <w:r>
        <w:rPr>
          <w:lang w:val="zh-CN" w:eastAsia="zh-CN"/>
        </w:rPr>
        <w:t>RAG</w:t>
      </w:r>
      <w:r w:rsidR="005604A1">
        <w:rPr>
          <w:lang w:val="zh-CN" w:eastAsia="zh-CN"/>
        </w:rPr>
        <w:t>根据其职责范围，考虑对目前的</w:t>
      </w:r>
      <w:r w:rsidR="005604A1">
        <w:rPr>
          <w:lang w:val="zh-CN" w:eastAsia="zh-CN"/>
        </w:rPr>
        <w:t>ITU-R</w:t>
      </w:r>
      <w:r w:rsidR="005604A1">
        <w:rPr>
          <w:lang w:val="zh-CN" w:eastAsia="zh-CN"/>
        </w:rPr>
        <w:t>研究组结构和工作方法进行全面审查，其中包括但不限于：</w:t>
      </w:r>
    </w:p>
    <w:p w14:paraId="57E91ED2" w14:textId="0E2BA15A" w:rsidR="005604A1" w:rsidRDefault="005604A1" w:rsidP="005604A1">
      <w:pPr>
        <w:pStyle w:val="enumlev1"/>
        <w:rPr>
          <w:lang w:eastAsia="zh-CN"/>
        </w:rPr>
      </w:pPr>
      <w:r w:rsidRPr="005604A1">
        <w:rPr>
          <w:lang w:val="zh-CN" w:eastAsia="zh-CN"/>
        </w:rPr>
        <w:t>–</w:t>
      </w:r>
      <w:r>
        <w:rPr>
          <w:lang w:val="zh-CN" w:eastAsia="zh-CN"/>
        </w:rPr>
        <w:tab/>
      </w:r>
      <w:r w:rsidRPr="005604A1">
        <w:rPr>
          <w:lang w:eastAsia="zh-CN"/>
        </w:rPr>
        <w:t>评估</w:t>
      </w:r>
      <w:r>
        <w:rPr>
          <w:lang w:val="zh-CN" w:eastAsia="zh-CN"/>
        </w:rPr>
        <w:t>目前研究组的职责范围是否与不断发展的无线电通信生态系统相一致</w:t>
      </w:r>
      <w:r w:rsidR="00044C2D">
        <w:rPr>
          <w:rFonts w:hint="eastAsia"/>
          <w:lang w:val="zh-CN" w:eastAsia="zh-CN"/>
        </w:rPr>
        <w:t>；</w:t>
      </w:r>
    </w:p>
    <w:p w14:paraId="25503C7A" w14:textId="4ABE6F33" w:rsidR="005604A1" w:rsidRDefault="005604A1" w:rsidP="005604A1">
      <w:pPr>
        <w:pStyle w:val="enumlev1"/>
        <w:rPr>
          <w:lang w:eastAsia="zh-CN"/>
        </w:rPr>
      </w:pPr>
      <w:r w:rsidRPr="005604A1">
        <w:rPr>
          <w:lang w:val="zh-CN" w:eastAsia="zh-CN"/>
        </w:rPr>
        <w:t>–</w:t>
      </w:r>
      <w:r>
        <w:rPr>
          <w:lang w:val="zh-CN" w:eastAsia="zh-CN"/>
        </w:rPr>
        <w:tab/>
      </w:r>
      <w:r>
        <w:rPr>
          <w:lang w:val="zh-CN" w:eastAsia="zh-CN"/>
        </w:rPr>
        <w:t>确定研究范围</w:t>
      </w:r>
      <w:r w:rsidR="00D512CE">
        <w:rPr>
          <w:rFonts w:hint="eastAsia"/>
          <w:lang w:val="zh-CN" w:eastAsia="zh-CN"/>
        </w:rPr>
        <w:t>内</w:t>
      </w:r>
      <w:r>
        <w:rPr>
          <w:lang w:val="zh-CN" w:eastAsia="zh-CN"/>
        </w:rPr>
        <w:t>存在重复、重叠或新出现差距的领域</w:t>
      </w:r>
      <w:r w:rsidR="00044C2D">
        <w:rPr>
          <w:rFonts w:hint="eastAsia"/>
          <w:lang w:val="zh-CN" w:eastAsia="zh-CN"/>
        </w:rPr>
        <w:t>；</w:t>
      </w:r>
    </w:p>
    <w:p w14:paraId="122CD42A" w14:textId="171199CB" w:rsidR="005604A1" w:rsidRDefault="005604A1" w:rsidP="005604A1">
      <w:pPr>
        <w:pStyle w:val="enumlev1"/>
        <w:rPr>
          <w:lang w:eastAsia="zh-CN"/>
        </w:rPr>
      </w:pPr>
      <w:r w:rsidRPr="005604A1">
        <w:rPr>
          <w:lang w:val="zh-CN" w:eastAsia="zh-CN"/>
        </w:rPr>
        <w:t>–</w:t>
      </w:r>
      <w:r>
        <w:rPr>
          <w:lang w:val="zh-CN" w:eastAsia="zh-CN"/>
        </w:rPr>
        <w:tab/>
      </w:r>
      <w:r>
        <w:rPr>
          <w:lang w:val="zh-CN" w:eastAsia="zh-CN"/>
        </w:rPr>
        <w:t>评估为快速发展的领域创建跨领域任务组或联合任务组的可行性</w:t>
      </w:r>
      <w:r w:rsidR="00044C2D">
        <w:rPr>
          <w:rFonts w:hint="eastAsia"/>
          <w:lang w:val="zh-CN" w:eastAsia="zh-CN"/>
        </w:rPr>
        <w:t>；</w:t>
      </w:r>
    </w:p>
    <w:p w14:paraId="5CD3F971" w14:textId="25363CD1" w:rsidR="005604A1" w:rsidRDefault="005604A1" w:rsidP="005604A1">
      <w:pPr>
        <w:pStyle w:val="enumlev1"/>
        <w:rPr>
          <w:lang w:eastAsia="zh-CN"/>
        </w:rPr>
      </w:pPr>
      <w:r w:rsidRPr="005604A1">
        <w:rPr>
          <w:lang w:val="zh-CN" w:eastAsia="zh-CN"/>
        </w:rPr>
        <w:t>–</w:t>
      </w:r>
      <w:r>
        <w:rPr>
          <w:lang w:val="zh-CN" w:eastAsia="zh-CN"/>
        </w:rPr>
        <w:tab/>
      </w:r>
      <w:r>
        <w:rPr>
          <w:lang w:val="zh-CN" w:eastAsia="zh-CN"/>
        </w:rPr>
        <w:t>简化文件</w:t>
      </w:r>
      <w:r w:rsidR="00D512CE">
        <w:rPr>
          <w:rFonts w:hint="eastAsia"/>
          <w:lang w:val="zh-CN" w:eastAsia="zh-CN"/>
        </w:rPr>
        <w:t>的</w:t>
      </w:r>
      <w:r>
        <w:rPr>
          <w:lang w:val="zh-CN" w:eastAsia="zh-CN"/>
        </w:rPr>
        <w:t>处理和审批流程，</w:t>
      </w:r>
      <w:r w:rsidR="00D512CE">
        <w:rPr>
          <w:rFonts w:hint="eastAsia"/>
          <w:lang w:val="zh-CN" w:eastAsia="zh-CN"/>
        </w:rPr>
        <w:t>以</w:t>
      </w:r>
      <w:r>
        <w:rPr>
          <w:lang w:val="zh-CN" w:eastAsia="zh-CN"/>
        </w:rPr>
        <w:t>减少延迟</w:t>
      </w:r>
      <w:r w:rsidR="00044C2D">
        <w:rPr>
          <w:rFonts w:hint="eastAsia"/>
          <w:lang w:val="zh-CN" w:eastAsia="zh-CN"/>
        </w:rPr>
        <w:t>；</w:t>
      </w:r>
    </w:p>
    <w:p w14:paraId="4B154801" w14:textId="0B4B707A" w:rsidR="005604A1" w:rsidRDefault="005604A1" w:rsidP="005604A1">
      <w:pPr>
        <w:pStyle w:val="enumlev1"/>
        <w:rPr>
          <w:lang w:eastAsia="zh-CN"/>
        </w:rPr>
      </w:pPr>
      <w:r w:rsidRPr="005604A1">
        <w:rPr>
          <w:lang w:val="zh-CN" w:eastAsia="zh-CN"/>
        </w:rPr>
        <w:t>–</w:t>
      </w:r>
      <w:r>
        <w:rPr>
          <w:lang w:val="zh-CN" w:eastAsia="zh-CN"/>
        </w:rPr>
        <w:tab/>
      </w:r>
      <w:r>
        <w:rPr>
          <w:lang w:val="zh-CN" w:eastAsia="zh-CN"/>
        </w:rPr>
        <w:t>在研究组会议休会期间加强信函</w:t>
      </w:r>
      <w:proofErr w:type="gramStart"/>
      <w:r>
        <w:rPr>
          <w:lang w:val="zh-CN" w:eastAsia="zh-CN"/>
        </w:rPr>
        <w:t>通信组</w:t>
      </w:r>
      <w:proofErr w:type="gramEnd"/>
      <w:r>
        <w:rPr>
          <w:lang w:val="zh-CN" w:eastAsia="zh-CN"/>
        </w:rPr>
        <w:t>和报告人组的作用</w:t>
      </w:r>
      <w:r w:rsidR="00044C2D">
        <w:rPr>
          <w:rFonts w:hint="eastAsia"/>
          <w:lang w:val="zh-CN" w:eastAsia="zh-CN"/>
        </w:rPr>
        <w:t>；</w:t>
      </w:r>
    </w:p>
    <w:p w14:paraId="0A78340B" w14:textId="2A916FFF" w:rsidR="005604A1" w:rsidRDefault="005604A1" w:rsidP="005604A1">
      <w:pPr>
        <w:pStyle w:val="enumlev1"/>
        <w:rPr>
          <w:lang w:eastAsia="zh-CN"/>
        </w:rPr>
      </w:pPr>
      <w:r w:rsidRPr="005604A1">
        <w:rPr>
          <w:lang w:val="zh-CN" w:eastAsia="zh-CN"/>
        </w:rPr>
        <w:t>–</w:t>
      </w:r>
      <w:r>
        <w:rPr>
          <w:lang w:val="zh-CN" w:eastAsia="zh-CN"/>
        </w:rPr>
        <w:tab/>
      </w:r>
      <w:r>
        <w:rPr>
          <w:lang w:val="zh-CN" w:eastAsia="zh-CN"/>
        </w:rPr>
        <w:t>探索现代协作工具和混合会议模式，以提高参与度和效率。</w:t>
      </w:r>
    </w:p>
    <w:p w14:paraId="561BDC6D" w14:textId="77777777" w:rsidR="005604A1" w:rsidRPr="0014540C" w:rsidRDefault="005604A1" w:rsidP="005604A1">
      <w:pPr>
        <w:rPr>
          <w:lang w:eastAsia="zh-CN"/>
        </w:rPr>
      </w:pPr>
    </w:p>
    <w:p w14:paraId="05E424A8" w14:textId="77777777" w:rsidR="005604A1" w:rsidRDefault="005604A1" w:rsidP="005604A1">
      <w:pPr>
        <w:jc w:val="center"/>
      </w:pPr>
      <w:r>
        <w:rPr>
          <w:lang w:val="zh-CN"/>
        </w:rPr>
        <w:t>______________</w:t>
      </w:r>
    </w:p>
    <w:sectPr w:rsidR="005604A1" w:rsidSect="00A5181E">
      <w:headerReference w:type="defaul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0FAE3" w14:textId="77777777" w:rsidR="00C53738" w:rsidRDefault="00C53738">
      <w:r>
        <w:separator/>
      </w:r>
    </w:p>
  </w:endnote>
  <w:endnote w:type="continuationSeparator" w:id="0">
    <w:p w14:paraId="2D8D6BBF" w14:textId="77777777" w:rsidR="00C53738" w:rsidRDefault="00C5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10DF7" w14:textId="77777777" w:rsidR="00C53738" w:rsidRDefault="00C53738">
      <w:r>
        <w:t>____________________</w:t>
      </w:r>
    </w:p>
  </w:footnote>
  <w:footnote w:type="continuationSeparator" w:id="0">
    <w:p w14:paraId="26FC7319" w14:textId="77777777" w:rsidR="00C53738" w:rsidRDefault="00C53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C30A" w14:textId="77777777" w:rsidR="005E6891" w:rsidRPr="00AF0B82" w:rsidRDefault="005E6891" w:rsidP="000A4F34">
    <w:pPr>
      <w:pStyle w:val="Header"/>
    </w:pPr>
    <w:r>
      <w:fldChar w:fldCharType="begin"/>
    </w:r>
    <w:r>
      <w:instrText xml:space="preserve"> PAGE </w:instrText>
    </w:r>
    <w:r>
      <w:fldChar w:fldCharType="separate"/>
    </w:r>
    <w:r w:rsidR="00767544">
      <w:rPr>
        <w:noProof/>
      </w:rPr>
      <w:t>2</w:t>
    </w:r>
    <w:r>
      <w:fldChar w:fldCharType="end"/>
    </w:r>
  </w:p>
  <w:p w14:paraId="0E261880" w14:textId="43D4B328" w:rsidR="005E6891" w:rsidRPr="00AF0B82" w:rsidRDefault="005E6891" w:rsidP="00767544">
    <w:pPr>
      <w:pStyle w:val="Header"/>
      <w:rPr>
        <w:lang w:eastAsia="zh-CN"/>
      </w:rPr>
    </w:pPr>
    <w:r w:rsidRPr="00AF0B82">
      <w:t>RAG/</w:t>
    </w:r>
    <w:r w:rsidR="00A30B26">
      <w:rPr>
        <w:rFonts w:hint="eastAsia"/>
        <w:lang w:eastAsia="zh-CN"/>
      </w:rPr>
      <w:t>4</w:t>
    </w:r>
    <w:r w:rsidR="007403C7">
      <w:rPr>
        <w:rFonts w:hint="eastAsia"/>
        <w:lang w:eastAsia="zh-CN"/>
      </w:rPr>
      <w:t>3</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7E46D4"/>
    <w:multiLevelType w:val="hybridMultilevel"/>
    <w:tmpl w:val="E196BD02"/>
    <w:lvl w:ilvl="0" w:tplc="542A655A">
      <w:start w:val="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A71D7A"/>
    <w:multiLevelType w:val="hybridMultilevel"/>
    <w:tmpl w:val="035A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9BF67BC"/>
    <w:multiLevelType w:val="hybridMultilevel"/>
    <w:tmpl w:val="7BB653FC"/>
    <w:lvl w:ilvl="0" w:tplc="E6D63E88">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934271">
    <w:abstractNumId w:val="9"/>
  </w:num>
  <w:num w:numId="2" w16cid:durableId="427165315">
    <w:abstractNumId w:val="7"/>
  </w:num>
  <w:num w:numId="3" w16cid:durableId="712920319">
    <w:abstractNumId w:val="6"/>
  </w:num>
  <w:num w:numId="4" w16cid:durableId="651837810">
    <w:abstractNumId w:val="5"/>
  </w:num>
  <w:num w:numId="5" w16cid:durableId="1060250915">
    <w:abstractNumId w:val="4"/>
  </w:num>
  <w:num w:numId="6" w16cid:durableId="1068184036">
    <w:abstractNumId w:val="8"/>
  </w:num>
  <w:num w:numId="7" w16cid:durableId="1279602119">
    <w:abstractNumId w:val="3"/>
  </w:num>
  <w:num w:numId="8" w16cid:durableId="829561960">
    <w:abstractNumId w:val="2"/>
  </w:num>
  <w:num w:numId="9" w16cid:durableId="748113882">
    <w:abstractNumId w:val="1"/>
  </w:num>
  <w:num w:numId="10" w16cid:durableId="396975565">
    <w:abstractNumId w:val="0"/>
  </w:num>
  <w:num w:numId="11" w16cid:durableId="1797605209">
    <w:abstractNumId w:val="16"/>
  </w:num>
  <w:num w:numId="12" w16cid:durableId="377634568">
    <w:abstractNumId w:val="26"/>
  </w:num>
  <w:num w:numId="13" w16cid:durableId="654455796">
    <w:abstractNumId w:val="28"/>
  </w:num>
  <w:num w:numId="14" w16cid:durableId="832378278">
    <w:abstractNumId w:val="25"/>
  </w:num>
  <w:num w:numId="15" w16cid:durableId="982809005">
    <w:abstractNumId w:val="21"/>
  </w:num>
  <w:num w:numId="16" w16cid:durableId="240457358">
    <w:abstractNumId w:val="27"/>
  </w:num>
  <w:num w:numId="17" w16cid:durableId="831290283">
    <w:abstractNumId w:val="20"/>
  </w:num>
  <w:num w:numId="18" w16cid:durableId="585110719">
    <w:abstractNumId w:val="10"/>
  </w:num>
  <w:num w:numId="19" w16cid:durableId="789976166">
    <w:abstractNumId w:val="14"/>
  </w:num>
  <w:num w:numId="20" w16cid:durableId="113255943">
    <w:abstractNumId w:val="15"/>
  </w:num>
  <w:num w:numId="21" w16cid:durableId="1551452620">
    <w:abstractNumId w:val="18"/>
  </w:num>
  <w:num w:numId="22" w16cid:durableId="218594623">
    <w:abstractNumId w:val="29"/>
  </w:num>
  <w:num w:numId="23" w16cid:durableId="1360857731">
    <w:abstractNumId w:val="22"/>
  </w:num>
  <w:num w:numId="24" w16cid:durableId="1828741614">
    <w:abstractNumId w:val="23"/>
  </w:num>
  <w:num w:numId="25" w16cid:durableId="691538770">
    <w:abstractNumId w:val="12"/>
  </w:num>
  <w:num w:numId="26" w16cid:durableId="1883857725">
    <w:abstractNumId w:val="19"/>
  </w:num>
  <w:num w:numId="27" w16cid:durableId="810363706">
    <w:abstractNumId w:val="13"/>
  </w:num>
  <w:num w:numId="28" w16cid:durableId="1128007206">
    <w:abstractNumId w:val="17"/>
  </w:num>
  <w:num w:numId="29" w16cid:durableId="1242063300">
    <w:abstractNumId w:val="30"/>
  </w:num>
  <w:num w:numId="30" w16cid:durableId="1152796758">
    <w:abstractNumId w:val="24"/>
    <w:lvlOverride w:ilvl="0">
      <w:lvl w:ilvl="0" w:tplc="08090001">
        <w:start w:val="1"/>
        <w:numFmt w:val="bullet"/>
        <w:lvlText w:val=""/>
        <w:lvlJc w:val="left"/>
        <w:pPr>
          <w:ind w:left="720" w:hanging="360"/>
        </w:pPr>
        <w:rPr>
          <w:rFonts w:ascii="Symbol" w:hAnsi="Symbol" w:hint="default"/>
        </w:rPr>
      </w:lvl>
    </w:lvlOverride>
  </w:num>
  <w:num w:numId="31" w16cid:durableId="2634892">
    <w:abstractNumId w:val="11"/>
    <w:lvlOverride w:ilvl="0">
      <w:lvl w:ilvl="0" w:tplc="542A655A">
        <w:start w:val="42"/>
        <w:numFmt w:val="bullet"/>
        <w:lvlText w:val="-"/>
        <w:lvlJc w:val="left"/>
        <w:pPr>
          <w:ind w:left="720" w:hanging="360"/>
        </w:pPr>
        <w:rPr>
          <w:rFonts w:ascii="Times New Roman" w:eastAsia="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38"/>
    <w:rsid w:val="00020106"/>
    <w:rsid w:val="00021007"/>
    <w:rsid w:val="00034C59"/>
    <w:rsid w:val="00044C2D"/>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653BC"/>
    <w:rsid w:val="00370DA9"/>
    <w:rsid w:val="00371A3D"/>
    <w:rsid w:val="00383C3C"/>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0148"/>
    <w:rsid w:val="00450E11"/>
    <w:rsid w:val="0045496A"/>
    <w:rsid w:val="004557A7"/>
    <w:rsid w:val="00460615"/>
    <w:rsid w:val="0046370D"/>
    <w:rsid w:val="00465D72"/>
    <w:rsid w:val="004673F1"/>
    <w:rsid w:val="00474CCC"/>
    <w:rsid w:val="00491D13"/>
    <w:rsid w:val="00492483"/>
    <w:rsid w:val="004974DE"/>
    <w:rsid w:val="004976C5"/>
    <w:rsid w:val="004A07A2"/>
    <w:rsid w:val="004B468C"/>
    <w:rsid w:val="004C0DA2"/>
    <w:rsid w:val="004C1105"/>
    <w:rsid w:val="004D08EB"/>
    <w:rsid w:val="004E5C65"/>
    <w:rsid w:val="004F3435"/>
    <w:rsid w:val="0050528F"/>
    <w:rsid w:val="00507D0A"/>
    <w:rsid w:val="00513BEA"/>
    <w:rsid w:val="0051782D"/>
    <w:rsid w:val="005205CD"/>
    <w:rsid w:val="00522272"/>
    <w:rsid w:val="0053462E"/>
    <w:rsid w:val="00552474"/>
    <w:rsid w:val="0055452F"/>
    <w:rsid w:val="005604A1"/>
    <w:rsid w:val="00561A8F"/>
    <w:rsid w:val="00562977"/>
    <w:rsid w:val="0057042F"/>
    <w:rsid w:val="00576A0F"/>
    <w:rsid w:val="00584584"/>
    <w:rsid w:val="00585978"/>
    <w:rsid w:val="00587D68"/>
    <w:rsid w:val="00591E9F"/>
    <w:rsid w:val="005A7A9C"/>
    <w:rsid w:val="005B1147"/>
    <w:rsid w:val="005C0B5E"/>
    <w:rsid w:val="005C190E"/>
    <w:rsid w:val="005C6906"/>
    <w:rsid w:val="005C78A9"/>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B3756"/>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403C7"/>
    <w:rsid w:val="0074537E"/>
    <w:rsid w:val="00747D24"/>
    <w:rsid w:val="0075704C"/>
    <w:rsid w:val="00757BB1"/>
    <w:rsid w:val="007669B2"/>
    <w:rsid w:val="00767544"/>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519"/>
    <w:rsid w:val="00861C2D"/>
    <w:rsid w:val="0087115D"/>
    <w:rsid w:val="0088263F"/>
    <w:rsid w:val="0088755C"/>
    <w:rsid w:val="008954AA"/>
    <w:rsid w:val="008A56A5"/>
    <w:rsid w:val="008B06FC"/>
    <w:rsid w:val="008C1346"/>
    <w:rsid w:val="008C34A4"/>
    <w:rsid w:val="008C7B07"/>
    <w:rsid w:val="008D0120"/>
    <w:rsid w:val="008D06A4"/>
    <w:rsid w:val="008E11BE"/>
    <w:rsid w:val="008F1F07"/>
    <w:rsid w:val="008F50C1"/>
    <w:rsid w:val="008F60D1"/>
    <w:rsid w:val="00903039"/>
    <w:rsid w:val="0091120B"/>
    <w:rsid w:val="00912356"/>
    <w:rsid w:val="00915949"/>
    <w:rsid w:val="00920D5A"/>
    <w:rsid w:val="0092390D"/>
    <w:rsid w:val="00924B9F"/>
    <w:rsid w:val="009322FA"/>
    <w:rsid w:val="009345BB"/>
    <w:rsid w:val="009369E5"/>
    <w:rsid w:val="009456BE"/>
    <w:rsid w:val="00951886"/>
    <w:rsid w:val="009540C3"/>
    <w:rsid w:val="009545D0"/>
    <w:rsid w:val="00954917"/>
    <w:rsid w:val="00964285"/>
    <w:rsid w:val="00970FDC"/>
    <w:rsid w:val="0097307C"/>
    <w:rsid w:val="0098015B"/>
    <w:rsid w:val="009A13C5"/>
    <w:rsid w:val="009A3FE6"/>
    <w:rsid w:val="009B51E5"/>
    <w:rsid w:val="009B5FCA"/>
    <w:rsid w:val="009C0DC9"/>
    <w:rsid w:val="009C16F8"/>
    <w:rsid w:val="009C521B"/>
    <w:rsid w:val="009F11AC"/>
    <w:rsid w:val="009F6C40"/>
    <w:rsid w:val="00A038FA"/>
    <w:rsid w:val="00A054E3"/>
    <w:rsid w:val="00A05E32"/>
    <w:rsid w:val="00A06654"/>
    <w:rsid w:val="00A07083"/>
    <w:rsid w:val="00A16CB2"/>
    <w:rsid w:val="00A177BA"/>
    <w:rsid w:val="00A23E26"/>
    <w:rsid w:val="00A25EC7"/>
    <w:rsid w:val="00A27ECF"/>
    <w:rsid w:val="00A30B26"/>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587"/>
    <w:rsid w:val="00B41DCB"/>
    <w:rsid w:val="00B523C6"/>
    <w:rsid w:val="00B52992"/>
    <w:rsid w:val="00B57898"/>
    <w:rsid w:val="00B62CF3"/>
    <w:rsid w:val="00B651DB"/>
    <w:rsid w:val="00B76AE3"/>
    <w:rsid w:val="00B77421"/>
    <w:rsid w:val="00B865B8"/>
    <w:rsid w:val="00B9093E"/>
    <w:rsid w:val="00B90D98"/>
    <w:rsid w:val="00B925F8"/>
    <w:rsid w:val="00BA5299"/>
    <w:rsid w:val="00BA5EA2"/>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53738"/>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12CE"/>
    <w:rsid w:val="00D57861"/>
    <w:rsid w:val="00D6793C"/>
    <w:rsid w:val="00D72A39"/>
    <w:rsid w:val="00D769B3"/>
    <w:rsid w:val="00D77F6A"/>
    <w:rsid w:val="00D80A4C"/>
    <w:rsid w:val="00D8149F"/>
    <w:rsid w:val="00D83981"/>
    <w:rsid w:val="00D872CB"/>
    <w:rsid w:val="00D91C7F"/>
    <w:rsid w:val="00D935B8"/>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04252"/>
    <w:rsid w:val="00F1110E"/>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3536F"/>
  <w15:docId w15:val="{41691A9B-4105-496B-9E68-52CB7DD1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eading1Char">
    <w:name w:val="Heading 1 Char"/>
    <w:basedOn w:val="DefaultParagraphFont"/>
    <w:link w:val="Heading1"/>
    <w:rsid w:val="005604A1"/>
    <w:rPr>
      <w:rFonts w:ascii="Times New Roman" w:hAnsi="Times New Roman"/>
      <w:b/>
      <w:sz w:val="24"/>
      <w:lang w:val="en-GB" w:eastAsia="en-US"/>
    </w:rPr>
  </w:style>
  <w:style w:type="character" w:styleId="UnresolvedMention">
    <w:name w:val="Unresolved Mention"/>
    <w:basedOn w:val="DefaultParagraphFont"/>
    <w:uiPriority w:val="99"/>
    <w:semiHidden/>
    <w:unhideWhenUsed/>
    <w:rsid w:val="00560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tu.int/md/R23-RAG-C-0030/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S-R.52" TargetMode="External"/><Relationship Id="rId5" Type="http://schemas.openxmlformats.org/officeDocument/2006/relationships/footnotes" Target="footnotes.xml"/><Relationship Id="rId10" Type="http://schemas.openxmlformats.org/officeDocument/2006/relationships/hyperlink" Target="https://www.itu.int/dms_pub/itu-s/opb/conf/S-CONF-PLEN-2022-PDF-C.pdf" TargetMode="External"/><Relationship Id="rId4" Type="http://schemas.openxmlformats.org/officeDocument/2006/relationships/webSettings" Target="webSettings.xml"/><Relationship Id="rId9" Type="http://schemas.openxmlformats.org/officeDocument/2006/relationships/hyperlink" Target="https://www.itu.int/dms_pub/itu-s/opb/conf/S-CONF-PLEN-2022-PDF-C.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BR\PC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PC_RAG.dotx</Template>
  <TotalTime>0</TotalTime>
  <Pages>2</Pages>
  <Words>1332</Words>
  <Characters>474</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1803</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LING-C(JL)</dc:creator>
  <cp:keywords>RAG03-1</cp:keywords>
  <dc:description>Document RAG08-1/1-E  For: _x000d_Document date: 12 December 2007_x000d_Saved by JJF44233 at 15:38:46 on 18/12/2007</dc:description>
  <cp:lastModifiedBy>Xue, Kun</cp:lastModifiedBy>
  <cp:revision>2</cp:revision>
  <cp:lastPrinted>2011-05-04T08:20:00Z</cp:lastPrinted>
  <dcterms:created xsi:type="dcterms:W3CDTF">2025-04-04T09:10:00Z</dcterms:created>
  <dcterms:modified xsi:type="dcterms:W3CDTF">2025-04-04T09:10:00Z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