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tblpY="-858"/>
        <w:tblW w:w="9889" w:type="dxa"/>
        <w:tblLayout w:type="fixed"/>
        <w:tblLook w:val="0000" w:firstRow="0" w:lastRow="0" w:firstColumn="0" w:lastColumn="0" w:noHBand="0" w:noVBand="0"/>
      </w:tblPr>
      <w:tblGrid>
        <w:gridCol w:w="6772"/>
        <w:gridCol w:w="3117"/>
      </w:tblGrid>
      <w:tr w:rsidR="0057336B" w14:paraId="1934CC3E" w14:textId="77777777" w:rsidTr="005A4E8D">
        <w:trPr>
          <w:cantSplit/>
        </w:trPr>
        <w:tc>
          <w:tcPr>
            <w:tcW w:w="6772" w:type="dxa"/>
            <w:vAlign w:val="center"/>
          </w:tcPr>
          <w:p w14:paraId="0DE68EA5" w14:textId="77777777" w:rsidR="0057336B" w:rsidRPr="008F0106" w:rsidRDefault="0057336B" w:rsidP="00AB4BAD">
            <w:pPr>
              <w:shd w:val="solid" w:color="FFFFFF" w:fill="FFFFFF"/>
              <w:tabs>
                <w:tab w:val="left" w:pos="568"/>
              </w:tabs>
              <w:spacing w:before="360" w:after="240"/>
              <w:rPr>
                <w:b/>
                <w:caps/>
                <w:sz w:val="32"/>
              </w:rPr>
            </w:pPr>
            <w:r w:rsidRPr="006E291F">
              <w:rPr>
                <w:rFonts w:ascii="Verdana" w:hAnsi="Verdana" w:cs="Times New Roman Bold"/>
                <w:b/>
                <w:sz w:val="26"/>
                <w:szCs w:val="26"/>
              </w:rPr>
              <w:t>Grupo Asesor de Radiocomunicaciones</w:t>
            </w:r>
            <w:r>
              <w:rPr>
                <w:b/>
                <w:caps/>
                <w:sz w:val="32"/>
              </w:rPr>
              <w:br/>
            </w:r>
          </w:p>
        </w:tc>
        <w:tc>
          <w:tcPr>
            <w:tcW w:w="3117" w:type="dxa"/>
            <w:vAlign w:val="center"/>
          </w:tcPr>
          <w:p w14:paraId="60FB067D" w14:textId="77777777" w:rsidR="0057336B" w:rsidRDefault="00AB4BAD" w:rsidP="00A7663C">
            <w:pPr>
              <w:shd w:val="solid" w:color="FFFFFF" w:fill="FFFFFF"/>
              <w:spacing w:before="0"/>
            </w:pPr>
            <w:r w:rsidRPr="00C126C1">
              <w:rPr>
                <w:noProof/>
                <w:lang w:val="en-US" w:eastAsia="zh-CN"/>
              </w:rPr>
              <w:drawing>
                <wp:inline distT="0" distB="0" distL="0" distR="0" wp14:anchorId="6156B6C9" wp14:editId="56AF3487">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6E291F" w:rsidRPr="0051782D" w14:paraId="0644A430" w14:textId="77777777" w:rsidTr="005A4E8D">
        <w:trPr>
          <w:cantSplit/>
        </w:trPr>
        <w:tc>
          <w:tcPr>
            <w:tcW w:w="6772" w:type="dxa"/>
            <w:tcBorders>
              <w:bottom w:val="single" w:sz="12" w:space="0" w:color="auto"/>
            </w:tcBorders>
          </w:tcPr>
          <w:p w14:paraId="198C3068" w14:textId="77777777" w:rsidR="006E291F" w:rsidRPr="0051782D" w:rsidRDefault="006E291F" w:rsidP="00CB7A43">
            <w:pPr>
              <w:shd w:val="solid" w:color="FFFFFF" w:fill="FFFFFF"/>
              <w:spacing w:before="0" w:after="48"/>
              <w:rPr>
                <w:rFonts w:ascii="Verdana" w:hAnsi="Verdana" w:cs="Times New Roman Bold"/>
                <w:b/>
                <w:sz w:val="22"/>
                <w:szCs w:val="22"/>
              </w:rPr>
            </w:pPr>
          </w:p>
        </w:tc>
        <w:tc>
          <w:tcPr>
            <w:tcW w:w="3117" w:type="dxa"/>
            <w:tcBorders>
              <w:bottom w:val="single" w:sz="12" w:space="0" w:color="auto"/>
            </w:tcBorders>
          </w:tcPr>
          <w:p w14:paraId="3229BD01" w14:textId="77777777" w:rsidR="006E291F" w:rsidRPr="0051782D" w:rsidRDefault="006E291F" w:rsidP="00CB7A43">
            <w:pPr>
              <w:shd w:val="solid" w:color="FFFFFF" w:fill="FFFFFF"/>
              <w:spacing w:before="0" w:after="48" w:line="240" w:lineRule="atLeast"/>
              <w:rPr>
                <w:sz w:val="22"/>
                <w:szCs w:val="22"/>
                <w:lang w:val="en-US"/>
              </w:rPr>
            </w:pPr>
          </w:p>
        </w:tc>
      </w:tr>
      <w:tr w:rsidR="006E291F" w:rsidRPr="00710D66" w14:paraId="22982C08" w14:textId="77777777" w:rsidTr="005A4E8D">
        <w:trPr>
          <w:cantSplit/>
        </w:trPr>
        <w:tc>
          <w:tcPr>
            <w:tcW w:w="6772" w:type="dxa"/>
            <w:tcBorders>
              <w:top w:val="single" w:sz="12" w:space="0" w:color="auto"/>
            </w:tcBorders>
          </w:tcPr>
          <w:p w14:paraId="125B6A3B" w14:textId="77777777" w:rsidR="006E291F" w:rsidRPr="0051782D" w:rsidRDefault="006E291F" w:rsidP="00CB7A43">
            <w:pPr>
              <w:shd w:val="solid" w:color="FFFFFF" w:fill="FFFFFF"/>
              <w:spacing w:before="0" w:after="48"/>
              <w:rPr>
                <w:rFonts w:ascii="Verdana" w:hAnsi="Verdana" w:cs="Times New Roman Bold"/>
                <w:bCs/>
                <w:sz w:val="22"/>
                <w:szCs w:val="22"/>
              </w:rPr>
            </w:pPr>
          </w:p>
        </w:tc>
        <w:tc>
          <w:tcPr>
            <w:tcW w:w="3117" w:type="dxa"/>
            <w:tcBorders>
              <w:top w:val="single" w:sz="12" w:space="0" w:color="auto"/>
            </w:tcBorders>
          </w:tcPr>
          <w:p w14:paraId="58071407" w14:textId="77777777" w:rsidR="006E291F" w:rsidRPr="002D238A" w:rsidRDefault="006E291F" w:rsidP="00CB7A43">
            <w:pPr>
              <w:shd w:val="solid" w:color="FFFFFF" w:fill="FFFFFF"/>
              <w:spacing w:before="0" w:after="48" w:line="240" w:lineRule="atLeast"/>
              <w:rPr>
                <w:rFonts w:ascii="Verdana" w:hAnsi="Verdana"/>
                <w:sz w:val="22"/>
                <w:szCs w:val="22"/>
                <w:lang w:val="en-US"/>
              </w:rPr>
            </w:pPr>
          </w:p>
        </w:tc>
      </w:tr>
      <w:tr w:rsidR="006E291F" w:rsidRPr="002A127E" w14:paraId="339783FA" w14:textId="77777777" w:rsidTr="005A4E8D">
        <w:trPr>
          <w:cantSplit/>
        </w:trPr>
        <w:tc>
          <w:tcPr>
            <w:tcW w:w="6772" w:type="dxa"/>
            <w:vMerge w:val="restart"/>
          </w:tcPr>
          <w:p w14:paraId="42DE006E" w14:textId="77777777" w:rsidR="006E291F" w:rsidRDefault="006E291F" w:rsidP="00CB7A43">
            <w:pPr>
              <w:shd w:val="solid" w:color="FFFFFF" w:fill="FFFFFF"/>
              <w:spacing w:after="240"/>
              <w:rPr>
                <w:sz w:val="20"/>
              </w:rPr>
            </w:pPr>
            <w:bookmarkStart w:id="0" w:name="dnum" w:colFirst="1" w:colLast="1"/>
          </w:p>
        </w:tc>
        <w:tc>
          <w:tcPr>
            <w:tcW w:w="3117" w:type="dxa"/>
          </w:tcPr>
          <w:p w14:paraId="59C3476A" w14:textId="214DB3D9" w:rsidR="006E291F" w:rsidRPr="005A4E8D" w:rsidRDefault="005A4E8D" w:rsidP="00CB7A43">
            <w:pPr>
              <w:shd w:val="solid" w:color="FFFFFF" w:fill="FFFFFF"/>
              <w:spacing w:before="0" w:line="240" w:lineRule="atLeast"/>
              <w:rPr>
                <w:rFonts w:ascii="Verdana" w:hAnsi="Verdana"/>
                <w:b/>
                <w:bCs/>
                <w:sz w:val="20"/>
              </w:rPr>
            </w:pPr>
            <w:r w:rsidRPr="005A4E8D">
              <w:rPr>
                <w:rFonts w:ascii="Verdana" w:hAnsi="Verdana"/>
                <w:b/>
                <w:bCs/>
                <w:sz w:val="20"/>
              </w:rPr>
              <w:t>Documento RAG</w:t>
            </w:r>
            <w:r>
              <w:rPr>
                <w:rFonts w:ascii="Verdana" w:hAnsi="Verdana"/>
                <w:b/>
                <w:bCs/>
                <w:sz w:val="20"/>
              </w:rPr>
              <w:t>/42-S</w:t>
            </w:r>
          </w:p>
        </w:tc>
      </w:tr>
      <w:tr w:rsidR="006E291F" w:rsidRPr="002A127E" w14:paraId="5FD14F36" w14:textId="77777777" w:rsidTr="005A4E8D">
        <w:trPr>
          <w:cantSplit/>
        </w:trPr>
        <w:tc>
          <w:tcPr>
            <w:tcW w:w="6772" w:type="dxa"/>
            <w:vMerge/>
          </w:tcPr>
          <w:p w14:paraId="56AED8D3" w14:textId="77777777" w:rsidR="006E291F" w:rsidRDefault="006E291F" w:rsidP="00CB7A43">
            <w:pPr>
              <w:spacing w:before="60"/>
              <w:jc w:val="center"/>
              <w:rPr>
                <w:b/>
                <w:smallCaps/>
                <w:sz w:val="32"/>
              </w:rPr>
            </w:pPr>
            <w:bookmarkStart w:id="1" w:name="ddate" w:colFirst="1" w:colLast="1"/>
            <w:bookmarkEnd w:id="0"/>
          </w:p>
        </w:tc>
        <w:tc>
          <w:tcPr>
            <w:tcW w:w="3117" w:type="dxa"/>
          </w:tcPr>
          <w:p w14:paraId="0CC0E9AD" w14:textId="4B9C5B81" w:rsidR="006E291F" w:rsidRPr="005A4E8D" w:rsidRDefault="005A4E8D" w:rsidP="00CB7A43">
            <w:pPr>
              <w:shd w:val="solid" w:color="FFFFFF" w:fill="FFFFFF"/>
              <w:spacing w:before="0" w:line="240" w:lineRule="atLeast"/>
              <w:rPr>
                <w:rFonts w:ascii="Verdana" w:hAnsi="Verdana"/>
                <w:b/>
                <w:bCs/>
                <w:sz w:val="20"/>
              </w:rPr>
            </w:pPr>
            <w:r w:rsidRPr="005A4E8D">
              <w:rPr>
                <w:rFonts w:ascii="Verdana" w:hAnsi="Verdana"/>
                <w:b/>
                <w:bCs/>
                <w:sz w:val="20"/>
              </w:rPr>
              <w:t>31 de marzo de 2025</w:t>
            </w:r>
          </w:p>
        </w:tc>
      </w:tr>
      <w:tr w:rsidR="006E291F" w:rsidRPr="002A127E" w14:paraId="6E2EC90F" w14:textId="77777777" w:rsidTr="005A4E8D">
        <w:trPr>
          <w:cantSplit/>
        </w:trPr>
        <w:tc>
          <w:tcPr>
            <w:tcW w:w="6772" w:type="dxa"/>
            <w:vMerge/>
          </w:tcPr>
          <w:p w14:paraId="7BD8C1C0" w14:textId="77777777" w:rsidR="006E291F" w:rsidRDefault="006E291F" w:rsidP="00CB7A43">
            <w:pPr>
              <w:spacing w:before="60"/>
              <w:jc w:val="center"/>
              <w:rPr>
                <w:b/>
                <w:smallCaps/>
                <w:sz w:val="32"/>
              </w:rPr>
            </w:pPr>
            <w:bookmarkStart w:id="2" w:name="dorlang" w:colFirst="1" w:colLast="1"/>
            <w:bookmarkEnd w:id="1"/>
          </w:p>
        </w:tc>
        <w:tc>
          <w:tcPr>
            <w:tcW w:w="3117" w:type="dxa"/>
          </w:tcPr>
          <w:p w14:paraId="458DDB9C" w14:textId="35BC6400" w:rsidR="006E291F" w:rsidRPr="005A4E8D" w:rsidRDefault="005A4E8D" w:rsidP="00CB7A43">
            <w:pPr>
              <w:shd w:val="solid" w:color="FFFFFF" w:fill="FFFFFF"/>
              <w:spacing w:before="0" w:after="120" w:line="240" w:lineRule="atLeast"/>
              <w:rPr>
                <w:rFonts w:ascii="Verdana" w:hAnsi="Verdana"/>
                <w:b/>
                <w:bCs/>
                <w:sz w:val="18"/>
                <w:szCs w:val="18"/>
              </w:rPr>
            </w:pPr>
            <w:r w:rsidRPr="005A4E8D">
              <w:rPr>
                <w:rFonts w:ascii="Verdana" w:hAnsi="Verdana"/>
                <w:b/>
                <w:bCs/>
                <w:sz w:val="20"/>
              </w:rPr>
              <w:t>Original: inglés</w:t>
            </w:r>
          </w:p>
        </w:tc>
      </w:tr>
      <w:tr w:rsidR="006E291F" w14:paraId="356D0063" w14:textId="77777777" w:rsidTr="008F0106">
        <w:trPr>
          <w:cantSplit/>
        </w:trPr>
        <w:tc>
          <w:tcPr>
            <w:tcW w:w="9889" w:type="dxa"/>
            <w:gridSpan w:val="2"/>
          </w:tcPr>
          <w:p w14:paraId="13E4390A" w14:textId="7C58E8B9" w:rsidR="006E291F" w:rsidRDefault="005A4E8D" w:rsidP="00CB7A43">
            <w:pPr>
              <w:pStyle w:val="Source"/>
            </w:pPr>
            <w:bookmarkStart w:id="3" w:name="dsource" w:colFirst="0" w:colLast="0"/>
            <w:bookmarkEnd w:id="2"/>
            <w:r>
              <w:rPr>
                <w:bCs/>
                <w:color w:val="000000"/>
                <w:lang w:val="es-ES"/>
              </w:rPr>
              <w:t>Canadá</w:t>
            </w:r>
          </w:p>
        </w:tc>
      </w:tr>
      <w:tr w:rsidR="006E291F" w14:paraId="79B57B6E" w14:textId="77777777" w:rsidTr="008F0106">
        <w:trPr>
          <w:cantSplit/>
        </w:trPr>
        <w:tc>
          <w:tcPr>
            <w:tcW w:w="9889" w:type="dxa"/>
            <w:gridSpan w:val="2"/>
          </w:tcPr>
          <w:p w14:paraId="31B4A1F1" w14:textId="36881F62" w:rsidR="006E291F" w:rsidRDefault="005A4E8D" w:rsidP="00CB7A43">
            <w:pPr>
              <w:pStyle w:val="Title1"/>
            </w:pPr>
            <w:bookmarkStart w:id="4" w:name="dtitle1" w:colFirst="0" w:colLast="0"/>
            <w:bookmarkEnd w:id="3"/>
            <w:r>
              <w:rPr>
                <w:color w:val="000000"/>
                <w:lang w:val="es-ES"/>
              </w:rPr>
              <w:t>PROPUESTAS RELATIVAS A LA CONTINUACIÓN DEL GRUPO POR CORRESPONDENCIA DEL GAR SOBRE LA MEJORA DEL PROCESO</w:t>
            </w:r>
            <w:r>
              <w:rPr>
                <w:color w:val="000000"/>
                <w:lang w:val="es-ES"/>
              </w:rPr>
              <w:br/>
            </w:r>
            <w:r>
              <w:rPr>
                <w:color w:val="000000"/>
                <w:lang w:val="es-ES"/>
              </w:rPr>
              <w:t>DE LA REUNIÓN PREPARATORIA DE LA CONFERENCIA</w:t>
            </w:r>
          </w:p>
        </w:tc>
      </w:tr>
    </w:tbl>
    <w:bookmarkEnd w:id="4"/>
    <w:p w14:paraId="0B8BBAD0" w14:textId="77777777" w:rsidR="005A4E8D" w:rsidRPr="00490374" w:rsidRDefault="005A4E8D" w:rsidP="005A4E8D">
      <w:pPr>
        <w:pStyle w:val="Heading1"/>
        <w:rPr>
          <w:lang w:val="es-ES"/>
        </w:rPr>
      </w:pPr>
      <w:r>
        <w:rPr>
          <w:bCs/>
          <w:lang w:val="es-ES"/>
        </w:rPr>
        <w:t>1</w:t>
      </w:r>
      <w:r>
        <w:rPr>
          <w:lang w:val="es-ES"/>
        </w:rPr>
        <w:tab/>
      </w:r>
      <w:r>
        <w:rPr>
          <w:bCs/>
          <w:lang w:val="es-ES"/>
        </w:rPr>
        <w:t>Antecedentes y discusión</w:t>
      </w:r>
    </w:p>
    <w:p w14:paraId="0A8A76BD" w14:textId="77777777" w:rsidR="005A4E8D" w:rsidRPr="00490374" w:rsidRDefault="005A4E8D" w:rsidP="005A4E8D">
      <w:pPr>
        <w:rPr>
          <w:lang w:val="es-ES"/>
        </w:rPr>
      </w:pPr>
      <w:r>
        <w:rPr>
          <w:lang w:val="es-ES"/>
        </w:rPr>
        <w:t>En la 31ª reunión del GAR, celebrada en Ginebra del 25 al 27 de marzo de 2024, el GAR creó un Grupo por Correspondencia sobre la mejora del proceso de la Reunión Preparatoria de la Conferencia (RPC) (GC-RPC del GAR) con el mandato que figura en el Anexo 2 de la Circular Administrativa CA/273, a saber:</w:t>
      </w:r>
    </w:p>
    <w:p w14:paraId="7CF9D479" w14:textId="77777777" w:rsidR="005A4E8D" w:rsidRPr="00711662" w:rsidRDefault="005A4E8D" w:rsidP="005A4E8D">
      <w:pPr>
        <w:pStyle w:val="enumlev1"/>
        <w:rPr>
          <w:lang w:val="es-ES"/>
        </w:rPr>
      </w:pPr>
      <w:r>
        <w:rPr>
          <w:lang w:val="es-ES"/>
        </w:rPr>
        <w:t>−</w:t>
      </w:r>
      <w:r>
        <w:rPr>
          <w:lang w:val="es-ES"/>
        </w:rPr>
        <w:tab/>
      </w:r>
      <w:r w:rsidRPr="00711662">
        <w:rPr>
          <w:lang w:val="es-ES"/>
        </w:rPr>
        <w:t xml:space="preserve">Realizar un examen pormenorizado de la </w:t>
      </w:r>
      <w:r>
        <w:rPr>
          <w:lang w:val="es-ES"/>
        </w:rPr>
        <w:t>2ª</w:t>
      </w:r>
      <w:r w:rsidRPr="00711662">
        <w:rPr>
          <w:lang w:val="es-ES"/>
        </w:rPr>
        <w:t xml:space="preserve"> sesión de la RPC, con miras a identificar posibles mejoras del procedimiento de elaboración del Informe de la RPC.</w:t>
      </w:r>
    </w:p>
    <w:p w14:paraId="17591F6B" w14:textId="77777777" w:rsidR="005A4E8D" w:rsidRPr="00490374" w:rsidRDefault="005A4E8D" w:rsidP="005A4E8D">
      <w:pPr>
        <w:rPr>
          <w:lang w:val="es-ES"/>
        </w:rPr>
      </w:pPr>
      <w:bookmarkStart w:id="5" w:name="_Hlk187954263"/>
      <w:r>
        <w:rPr>
          <w:lang w:val="es-ES"/>
        </w:rPr>
        <w:t>Las diversas actividades y resultados de los trabajos del GC-RPC del GAR se resumen en el Documento RAG/36-E. Cabe señalar que se han presentado contribuciones al GC-RPC del GAR en las que se identifican los temas que podrían abordarse con miras a mejorar la 2ª sesión de la RPC, así como los preparativos para dicha reunión.</w:t>
      </w:r>
    </w:p>
    <w:p w14:paraId="51171048" w14:textId="77777777" w:rsidR="005A4E8D" w:rsidRPr="00490374" w:rsidRDefault="005A4E8D" w:rsidP="005A4E8D">
      <w:pPr>
        <w:rPr>
          <w:lang w:val="es-ES"/>
        </w:rPr>
      </w:pPr>
      <w:r>
        <w:rPr>
          <w:lang w:val="es-ES"/>
        </w:rPr>
        <w:t xml:space="preserve">Como se indica acertadamente en el Documento RAG/36-E, el GC-RPC del GAR no recibió ninguna contribución con modificaciones específicas a la Resolución UIT-R 2-9. Esta situación podría explicarse por la naturaleza del mandato del GC-RPC del GAR, en el que no se indica que el GC pueda considerar también modificaciones específicas de la Resolución UIT-R 2-9. En el mandato del GC-RPC del GAR aprobado en la 31ª reunión del GAR se pide que se identifiquen </w:t>
      </w:r>
      <w:r w:rsidRPr="00711662">
        <w:rPr>
          <w:i/>
          <w:iCs/>
          <w:lang w:val="es-ES"/>
        </w:rPr>
        <w:t>posibles mejoras de los procedimientos de cara a la finalización del informe de dicha Reunión</w:t>
      </w:r>
      <w:r>
        <w:rPr>
          <w:i/>
          <w:iCs/>
          <w:lang w:val="es-ES"/>
        </w:rPr>
        <w:t xml:space="preserve">. </w:t>
      </w:r>
      <w:r>
        <w:rPr>
          <w:lang w:val="es-ES"/>
        </w:rPr>
        <w:t xml:space="preserve">De hecho, Canadá había entendido que la 31ª reunión del GAR había tomado la decisión consciente de limitar el alcance de los trabajos del GC a la identificación de posibles problemas en la Resolución UIT-R 2-9. En ese contexto, es comprensible que no se hayan presentado al GC-RPC del GAR contribuciones con propuestas concretas de modificación de la Resolución UIT-R 2-9. </w:t>
      </w:r>
    </w:p>
    <w:p w14:paraId="7CD86DC6" w14:textId="20D8F7D9" w:rsidR="005A4E8D" w:rsidRPr="00490374" w:rsidRDefault="005A4E8D" w:rsidP="005A4E8D">
      <w:pPr>
        <w:rPr>
          <w:lang w:val="es-ES"/>
        </w:rPr>
      </w:pPr>
      <w:r>
        <w:rPr>
          <w:lang w:val="es-ES"/>
        </w:rPr>
        <w:t>Esta situación no debe interpretarse como una falta de interés por parte de los miembros del GAR para seguir considerando posibles modificaciones de la Resolución UIT-R 2-9, incluidas, entre otras, la preparación y organización de la 2ª sesión de la RPC. A tal efecto, cabe destacar la contribución de la CITEL, tal y como figura en el Documento RAG/34-E presentada a la 32ª reunión del GAR con propuestas específicas de modificación de la Resolución UIT-R 2-9. Esto, junto con las contribuciones presentadas al GC-RPC del GAR, indica claramente el interés de parte de los miembros del GAR por continuar el debate y los trabajos sobre la posible modificación de la Resolución UIT-R 2-9.</w:t>
      </w:r>
    </w:p>
    <w:p w14:paraId="15F83A0C" w14:textId="77777777" w:rsidR="005A4E8D" w:rsidRPr="00F92E46" w:rsidRDefault="005A4E8D" w:rsidP="005A4E8D">
      <w:pPr>
        <w:rPr>
          <w:lang w:val="es-ES"/>
        </w:rPr>
      </w:pPr>
      <w:r>
        <w:rPr>
          <w:lang w:val="es-ES"/>
        </w:rPr>
        <w:lastRenderedPageBreak/>
        <w:t xml:space="preserve">También cabe señalar que, si bien ninguna de las contribuciones presentadas al GC-RPC del GAR propone modificaciones específicas a la Resolución UIT-R 2-9, en varias contribuciones se describen en términos generales posibles mejoras del proceso de la RPC. Éstas se resumen en el Documento RAG/36-E. </w:t>
      </w:r>
    </w:p>
    <w:p w14:paraId="6ED78E3C" w14:textId="77777777" w:rsidR="005A4E8D" w:rsidRPr="00490374" w:rsidRDefault="005A4E8D" w:rsidP="005A4E8D">
      <w:pPr>
        <w:rPr>
          <w:lang w:val="es-ES"/>
        </w:rPr>
      </w:pPr>
      <w:r>
        <w:rPr>
          <w:lang w:val="es-ES"/>
        </w:rPr>
        <w:t>En este contexto, es posible que la 32ª reunión del GAR desee aprobar la continuación del GC-RPC del GAR sobre la base de un nuevo mandato que permita considerar propuestas específicas de modificación de la Resolución UIT-R 2-9. En la Sección 2 se presenta un proyecto de texto para un nuevo mandato propuesto, y se sugieren para su consideración varios cambios en la 2ª sesión de la RPC que Canadá considera que probablemente mejorarán el proceso de la RPC.</w:t>
      </w:r>
    </w:p>
    <w:bookmarkEnd w:id="5"/>
    <w:p w14:paraId="5E78969F" w14:textId="77777777" w:rsidR="005A4E8D" w:rsidRPr="00490374" w:rsidRDefault="005A4E8D" w:rsidP="005A4E8D">
      <w:pPr>
        <w:pStyle w:val="Heading1"/>
        <w:rPr>
          <w:lang w:val="es-ES"/>
        </w:rPr>
      </w:pPr>
      <w:r>
        <w:rPr>
          <w:bCs/>
          <w:lang w:val="es-ES"/>
        </w:rPr>
        <w:t>2</w:t>
      </w:r>
      <w:r>
        <w:rPr>
          <w:lang w:val="es-ES"/>
        </w:rPr>
        <w:tab/>
      </w:r>
      <w:r>
        <w:rPr>
          <w:bCs/>
          <w:lang w:val="es-ES"/>
        </w:rPr>
        <w:t>Propuesta de nuevo mandato para el GC-RPC del GAR</w:t>
      </w:r>
    </w:p>
    <w:p w14:paraId="5337314B" w14:textId="77777777" w:rsidR="005A4E8D" w:rsidRPr="00490374" w:rsidRDefault="005A4E8D" w:rsidP="005A4E8D">
      <w:pPr>
        <w:rPr>
          <w:lang w:val="es-ES"/>
        </w:rPr>
      </w:pPr>
      <w:r>
        <w:rPr>
          <w:lang w:val="es-ES"/>
        </w:rPr>
        <w:t>Canadá propone que la 32ª reunión del GAR continúe las actividades del GC-RPC del GAR, con un mandato revisado para invitar a presentar propuestas específicas de modificación de la Resolución UIT-R 2-9 que contemplan mejoras en la 2ª sesión de la RPC, como se indica a continuación:</w:t>
      </w:r>
    </w:p>
    <w:p w14:paraId="076AFACB" w14:textId="77777777" w:rsidR="005A4E8D" w:rsidRPr="00490374" w:rsidRDefault="005A4E8D" w:rsidP="005A4E8D">
      <w:pPr>
        <w:pStyle w:val="enumlev1"/>
        <w:rPr>
          <w:lang w:val="es-ES"/>
        </w:rPr>
      </w:pPr>
      <w:bookmarkStart w:id="6" w:name="_Hlk192773353"/>
      <w:r>
        <w:rPr>
          <w:lang w:val="es-ES"/>
        </w:rPr>
        <w:t>−</w:t>
      </w:r>
      <w:r>
        <w:rPr>
          <w:lang w:val="es-ES"/>
        </w:rPr>
        <w:tab/>
        <w:t>Desarrollar opciones para modificar la Resolución UIT-R 2-9 con miras a mejorar el proceso y los objetivos de la 2ª sesión de la RPC, incluida la preparación del Informe de la RPC, de manera que apoyen más eficazmente los preparativos de las Conferencias Mundiales de Radiocomunicaciones.</w:t>
      </w:r>
    </w:p>
    <w:p w14:paraId="2E23EA7B" w14:textId="77777777" w:rsidR="005A4E8D" w:rsidRPr="00490374" w:rsidRDefault="005A4E8D" w:rsidP="005A4E8D">
      <w:pPr>
        <w:pStyle w:val="enumlev1"/>
        <w:rPr>
          <w:lang w:val="es-ES"/>
        </w:rPr>
      </w:pPr>
      <w:r>
        <w:rPr>
          <w:lang w:val="es-ES"/>
        </w:rPr>
        <w:t>−</w:t>
      </w:r>
      <w:r>
        <w:rPr>
          <w:lang w:val="es-ES"/>
        </w:rPr>
        <w:tab/>
        <w:t>Considerar los cambios consiguientes a la Resolución UIT-R 2-9 resultantes de las modificaciones introducidas en los objetivos de la 2ª sesión.</w:t>
      </w:r>
    </w:p>
    <w:bookmarkEnd w:id="6"/>
    <w:p w14:paraId="32E73505" w14:textId="77777777" w:rsidR="005A4E8D" w:rsidRPr="00490374" w:rsidRDefault="005A4E8D" w:rsidP="005A4E8D">
      <w:pPr>
        <w:rPr>
          <w:lang w:val="es-ES"/>
        </w:rPr>
      </w:pPr>
      <w:r>
        <w:rPr>
          <w:lang w:val="es-ES"/>
        </w:rPr>
        <w:t>Sin perjuicio de otras propuestas, se invita al GC-RPC del GAR a considerar cambios en los siguientes aspectos de la 2ª sesión de la RPC:</w:t>
      </w:r>
    </w:p>
    <w:p w14:paraId="6AE9CD77" w14:textId="77777777" w:rsidR="005A4E8D" w:rsidRDefault="005A4E8D" w:rsidP="005A4E8D">
      <w:pPr>
        <w:rPr>
          <w:lang w:val="es-ES"/>
        </w:rPr>
      </w:pPr>
      <w:r>
        <w:rPr>
          <w:lang w:val="es-ES"/>
        </w:rPr>
        <w:t>1)</w:t>
      </w:r>
      <w:r>
        <w:rPr>
          <w:lang w:val="es-ES"/>
        </w:rPr>
        <w:tab/>
        <w:t>Enfoques para racionalizar el examen y la aprobación del Informe de la RPC en la 2ª sesión de la RPC. Por ejemplo:</w:t>
      </w:r>
    </w:p>
    <w:p w14:paraId="267C4777" w14:textId="77777777" w:rsidR="005A4E8D" w:rsidRPr="00490374" w:rsidRDefault="005A4E8D" w:rsidP="005A4E8D">
      <w:pPr>
        <w:pStyle w:val="enumlev1"/>
        <w:rPr>
          <w:lang w:val="es-ES"/>
        </w:rPr>
      </w:pPr>
      <w:r>
        <w:rPr>
          <w:lang w:val="es-ES"/>
        </w:rPr>
        <w:t>−</w:t>
      </w:r>
      <w:r>
        <w:rPr>
          <w:lang w:val="es-ES"/>
        </w:rPr>
        <w:tab/>
        <w:t>Elaborar un proceso sencillo para la incorporación de las «opiniones» sobre los puntos del orden del día, tal como se reciben, en un Anexo al Informe de la RPC a fin de evitar largos debates de opiniones en la RPC-2.</w:t>
      </w:r>
    </w:p>
    <w:p w14:paraId="08CE762D" w14:textId="77777777" w:rsidR="005A4E8D" w:rsidRPr="007E7BFE" w:rsidRDefault="005A4E8D" w:rsidP="005A4E8D">
      <w:pPr>
        <w:rPr>
          <w:lang w:val="es-ES"/>
        </w:rPr>
      </w:pPr>
      <w:r>
        <w:rPr>
          <w:lang w:val="es-ES"/>
        </w:rPr>
        <w:t>2)</w:t>
      </w:r>
      <w:r>
        <w:rPr>
          <w:lang w:val="es-ES"/>
        </w:rPr>
        <w:tab/>
        <w:t xml:space="preserve">Objetivos adicionales para la segunda sesión de la RPC, a fin de aprovechar eficazmente el tiempo adicional disponible racionalizando el examen y la aprobación del Informe de la RPC. Por ejemplo: </w:t>
      </w:r>
    </w:p>
    <w:p w14:paraId="73985CEF" w14:textId="77777777" w:rsidR="005A4E8D" w:rsidRPr="00490374" w:rsidRDefault="005A4E8D" w:rsidP="005A4E8D">
      <w:pPr>
        <w:pStyle w:val="enumlev1"/>
        <w:rPr>
          <w:lang w:val="es-ES"/>
        </w:rPr>
      </w:pPr>
      <w:r>
        <w:rPr>
          <w:lang w:val="es-ES"/>
        </w:rPr>
        <w:t>−</w:t>
      </w:r>
      <w:r>
        <w:rPr>
          <w:lang w:val="es-ES"/>
        </w:rPr>
        <w:tab/>
        <w:t>Organizar sesiones para proporcionar información detallada y contexto sobre la naturaleza de los temas y los debates asociados en el seno del UIT-R, para apoyar a las administraciones que no han participado activamente en el proceso preparatorio.</w:t>
      </w:r>
    </w:p>
    <w:p w14:paraId="37322CB1" w14:textId="77777777" w:rsidR="005A4E8D" w:rsidRPr="00490374" w:rsidRDefault="005A4E8D" w:rsidP="005A4E8D">
      <w:pPr>
        <w:pStyle w:val="enumlev1"/>
        <w:rPr>
          <w:lang w:val="es-ES"/>
        </w:rPr>
      </w:pPr>
      <w:r>
        <w:rPr>
          <w:lang w:val="es-ES"/>
        </w:rPr>
        <w:t>−</w:t>
      </w:r>
      <w:r>
        <w:rPr>
          <w:lang w:val="es-ES"/>
        </w:rPr>
        <w:tab/>
        <w:t>Centrarse en la evolución y las posiciones regionales, con miras a identificar posibilidades de convergencia hacia posiciones comunes.</w:t>
      </w:r>
    </w:p>
    <w:p w14:paraId="1AE9637C" w14:textId="77777777" w:rsidR="005A4E8D" w:rsidRPr="00490374" w:rsidRDefault="005A4E8D" w:rsidP="005A4E8D">
      <w:pPr>
        <w:pStyle w:val="enumlev1"/>
        <w:rPr>
          <w:lang w:val="es-ES"/>
        </w:rPr>
      </w:pPr>
      <w:r>
        <w:rPr>
          <w:lang w:val="es-ES"/>
        </w:rPr>
        <w:t>−</w:t>
      </w:r>
      <w:r>
        <w:rPr>
          <w:lang w:val="es-ES"/>
        </w:rPr>
        <w:tab/>
        <w:t>Permitir debates preparatorios sobre futuros puntos del orden del día, posiblemente limitados a los puntos preliminares del orden del día previstos para la siguiente CMR.</w:t>
      </w:r>
    </w:p>
    <w:p w14:paraId="069A5614" w14:textId="77777777" w:rsidR="005A4E8D" w:rsidRPr="009161F4" w:rsidRDefault="005A4E8D" w:rsidP="005A4E8D">
      <w:pPr>
        <w:pStyle w:val="Reasons"/>
        <w:rPr>
          <w:lang w:val="es-ES"/>
        </w:rPr>
      </w:pPr>
    </w:p>
    <w:p w14:paraId="4E18149D" w14:textId="2F75F8D8" w:rsidR="00494752" w:rsidRPr="005A4E8D" w:rsidRDefault="005A4E8D" w:rsidP="005A4E8D">
      <w:pPr>
        <w:jc w:val="center"/>
      </w:pPr>
      <w:r>
        <w:t>______________</w:t>
      </w:r>
    </w:p>
    <w:sectPr w:rsidR="00494752" w:rsidRPr="005A4E8D" w:rsidSect="004D6C09">
      <w:headerReference w:type="default" r:id="rId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2B35C" w14:textId="77777777" w:rsidR="006231CC" w:rsidRDefault="006231CC">
      <w:r>
        <w:separator/>
      </w:r>
    </w:p>
  </w:endnote>
  <w:endnote w:type="continuationSeparator" w:id="0">
    <w:p w14:paraId="33B94B5F" w14:textId="77777777" w:rsidR="006231CC" w:rsidRDefault="00623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6863F" w14:textId="77777777" w:rsidR="006231CC" w:rsidRDefault="006231CC">
      <w:r>
        <w:t>____________________</w:t>
      </w:r>
    </w:p>
  </w:footnote>
  <w:footnote w:type="continuationSeparator" w:id="0">
    <w:p w14:paraId="5E4115EA" w14:textId="77777777" w:rsidR="006231CC" w:rsidRDefault="00623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6D503" w14:textId="77777777"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AB4BAD">
      <w:rPr>
        <w:rStyle w:val="PageNumber"/>
        <w:noProof/>
      </w:rPr>
      <w:t>2</w:t>
    </w:r>
    <w:r>
      <w:rPr>
        <w:rStyle w:val="PageNumber"/>
      </w:rPr>
      <w:fldChar w:fldCharType="end"/>
    </w:r>
  </w:p>
  <w:p w14:paraId="4156AD08" w14:textId="7D1625F9" w:rsidR="00616601" w:rsidRDefault="0034043B" w:rsidP="00AB4BAD">
    <w:pPr>
      <w:pStyle w:val="Header"/>
      <w:rPr>
        <w:lang w:val="es-ES"/>
      </w:rPr>
    </w:pPr>
    <w:r>
      <w:rPr>
        <w:lang w:val="es-ES"/>
      </w:rPr>
      <w:t>RAG</w:t>
    </w:r>
    <w:r w:rsidR="00616601">
      <w:rPr>
        <w:lang w:val="es-ES"/>
      </w:rPr>
      <w:t>/</w:t>
    </w:r>
    <w:r w:rsidR="005A4E8D">
      <w:rPr>
        <w:lang w:val="es-ES"/>
      </w:rPr>
      <w:t>42</w:t>
    </w:r>
    <w:r w:rsidR="00616601">
      <w:rPr>
        <w:lang w:val="es-ES"/>
      </w:rP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formsDesig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0E1"/>
    <w:rsid w:val="000C62BA"/>
    <w:rsid w:val="000D756D"/>
    <w:rsid w:val="0012592F"/>
    <w:rsid w:val="001F2F50"/>
    <w:rsid w:val="00242565"/>
    <w:rsid w:val="0031432E"/>
    <w:rsid w:val="0034043B"/>
    <w:rsid w:val="00414D8B"/>
    <w:rsid w:val="00482905"/>
    <w:rsid w:val="00494752"/>
    <w:rsid w:val="004D6C09"/>
    <w:rsid w:val="0057336B"/>
    <w:rsid w:val="005A2195"/>
    <w:rsid w:val="005A4E8D"/>
    <w:rsid w:val="005D3E02"/>
    <w:rsid w:val="00610642"/>
    <w:rsid w:val="00616601"/>
    <w:rsid w:val="006231CC"/>
    <w:rsid w:val="00646EEF"/>
    <w:rsid w:val="00663829"/>
    <w:rsid w:val="006A42AB"/>
    <w:rsid w:val="006B5313"/>
    <w:rsid w:val="006E291F"/>
    <w:rsid w:val="008506C9"/>
    <w:rsid w:val="008F0106"/>
    <w:rsid w:val="00924B63"/>
    <w:rsid w:val="009367AE"/>
    <w:rsid w:val="00982618"/>
    <w:rsid w:val="009C205E"/>
    <w:rsid w:val="00A0579C"/>
    <w:rsid w:val="00A7663C"/>
    <w:rsid w:val="00AB4BAD"/>
    <w:rsid w:val="00B32E51"/>
    <w:rsid w:val="00C470E1"/>
    <w:rsid w:val="00C837F0"/>
    <w:rsid w:val="00CB7A43"/>
    <w:rsid w:val="00CF4CAC"/>
    <w:rsid w:val="00D51E1E"/>
    <w:rsid w:val="00DE77E6"/>
    <w:rsid w:val="00E72EA7"/>
    <w:rsid w:val="00EA4101"/>
    <w:rsid w:val="00F23715"/>
    <w:rsid w:val="00F77D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2FC2F"/>
  <w15:docId w15:val="{7AB5D451-8E0C-48AA-A5E1-EE0494CF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link w:val="enumlev1Char"/>
    <w:qFormat/>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sid w:val="004D6C09"/>
    <w:rPr>
      <w:position w:val="6"/>
      <w:sz w:val="18"/>
    </w:rPr>
  </w:style>
  <w:style w:type="paragraph" w:styleId="FootnoteText">
    <w:name w:val="footnote text"/>
    <w:basedOn w:val="Note"/>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character" w:customStyle="1" w:styleId="enumlev1Char">
    <w:name w:val="enumlev1 Char"/>
    <w:link w:val="enumlev1"/>
    <w:locked/>
    <w:rsid w:val="005A4E8D"/>
    <w:rPr>
      <w:rFonts w:ascii="Times New Roman" w:hAnsi="Times New Roman"/>
      <w:sz w:val="24"/>
      <w:lang w:val="es-ES_tradnl" w:eastAsia="en-US"/>
    </w:rPr>
  </w:style>
  <w:style w:type="paragraph" w:customStyle="1" w:styleId="Reasons">
    <w:name w:val="Reasons"/>
    <w:basedOn w:val="Normal"/>
    <w:qFormat/>
    <w:rsid w:val="005A4E8D"/>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llaescusa\AppData\Roaming\Microsoft\Templates\POOL%20S%20-%20ITU\BR\PS_RA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PS_RAG.dotm</Template>
  <TotalTime>1</TotalTime>
  <Pages>2</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GRUPO ASESOR DE RADIOCOMUNICACIONES</dc:subject>
  <dc:creator>Villaescusa Cerezo, Sara</dc:creator>
  <cp:keywords>RAG03-1</cp:keywords>
  <dc:description/>
  <cp:lastModifiedBy>Villaescusa Cerezo, Sara</cp:lastModifiedBy>
  <cp:revision>2</cp:revision>
  <cp:lastPrinted>1993-02-18T11:12:00Z</cp:lastPrinted>
  <dcterms:created xsi:type="dcterms:W3CDTF">2025-04-03T07:46:00Z</dcterms:created>
  <dcterms:modified xsi:type="dcterms:W3CDTF">2025-04-03T07:46:00Z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PS_RAG21.dotm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