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6DA6621A" w14:textId="77777777" w:rsidTr="0020275A">
        <w:trPr>
          <w:cantSplit/>
        </w:trPr>
        <w:tc>
          <w:tcPr>
            <w:tcW w:w="6771" w:type="dxa"/>
            <w:vAlign w:val="center"/>
          </w:tcPr>
          <w:p w14:paraId="294D3DB8" w14:textId="59FBA74F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13458906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E2D4888" wp14:editId="0A44795A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708EBE3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30E5EC2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955EDBF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158D0169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2F23E0FB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7ABC0D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00B267C3" w14:textId="77777777" w:rsidTr="00675D35">
        <w:trPr>
          <w:cantSplit/>
        </w:trPr>
        <w:tc>
          <w:tcPr>
            <w:tcW w:w="6771" w:type="dxa"/>
            <w:vMerge w:val="restart"/>
          </w:tcPr>
          <w:p w14:paraId="5D7BE5F2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53155B8" w14:textId="7FEF7BE7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FD4A77">
              <w:rPr>
                <w:rFonts w:ascii="Verdana" w:hAnsi="Verdana"/>
                <w:b/>
                <w:sz w:val="18"/>
                <w:szCs w:val="18"/>
                <w:lang w:val="en-US"/>
              </w:rPr>
              <w:t>42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4B99F3EF" w14:textId="77777777" w:rsidTr="00675D35">
        <w:trPr>
          <w:cantSplit/>
        </w:trPr>
        <w:tc>
          <w:tcPr>
            <w:tcW w:w="6771" w:type="dxa"/>
            <w:vMerge/>
          </w:tcPr>
          <w:p w14:paraId="57435751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D799019" w14:textId="30B88229" w:rsidR="0051782D" w:rsidRPr="00EB6F34" w:rsidRDefault="00E6194E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31</w:t>
            </w:r>
            <w:r w:rsidR="003536BA" w:rsidRPr="003536BA">
              <w:rPr>
                <w:rFonts w:ascii="Verdana" w:hAnsi="Verdana"/>
                <w:b/>
                <w:sz w:val="18"/>
                <w:szCs w:val="18"/>
              </w:rPr>
              <w:t xml:space="preserve"> марта 2025 года</w:t>
            </w:r>
          </w:p>
        </w:tc>
      </w:tr>
      <w:tr w:rsidR="0051782D" w:rsidRPr="00FB6D5F" w14:paraId="7D7D3603" w14:textId="77777777" w:rsidTr="00675D35">
        <w:trPr>
          <w:cantSplit/>
        </w:trPr>
        <w:tc>
          <w:tcPr>
            <w:tcW w:w="6771" w:type="dxa"/>
            <w:vMerge/>
          </w:tcPr>
          <w:p w14:paraId="6C300465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925781A" w14:textId="232E3243" w:rsidR="0051782D" w:rsidRPr="00FB6D5F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3536BA" w:rsidRPr="003536BA">
              <w:rPr>
                <w:rFonts w:ascii="Verdana" w:hAnsi="Verdana"/>
                <w:b/>
                <w:sz w:val="18"/>
                <w:szCs w:val="18"/>
                <w:lang w:val="en-US"/>
              </w:rPr>
              <w:t>английский</w:t>
            </w:r>
          </w:p>
        </w:tc>
      </w:tr>
      <w:tr w:rsidR="00093C73" w:rsidRPr="00FB6D5F" w14:paraId="310652E3" w14:textId="77777777" w:rsidTr="00675D35">
        <w:trPr>
          <w:cantSplit/>
        </w:trPr>
        <w:tc>
          <w:tcPr>
            <w:tcW w:w="9889" w:type="dxa"/>
            <w:gridSpan w:val="2"/>
          </w:tcPr>
          <w:p w14:paraId="478E169D" w14:textId="54FE2728" w:rsidR="00093C73" w:rsidRPr="00EB6F34" w:rsidRDefault="00FD4A77" w:rsidP="002716C8">
            <w:pPr>
              <w:pStyle w:val="Source"/>
            </w:pPr>
            <w:bookmarkStart w:id="3" w:name="dsource" w:colFirst="0" w:colLast="0"/>
            <w:bookmarkEnd w:id="2"/>
            <w:r w:rsidRPr="002716C8">
              <w:t>Канада</w:t>
            </w:r>
          </w:p>
        </w:tc>
      </w:tr>
      <w:tr w:rsidR="00093C73" w:rsidRPr="00FB6D5F" w14:paraId="44FE3C3E" w14:textId="77777777" w:rsidTr="00675D35">
        <w:trPr>
          <w:cantSplit/>
        </w:trPr>
        <w:tc>
          <w:tcPr>
            <w:tcW w:w="9889" w:type="dxa"/>
            <w:gridSpan w:val="2"/>
          </w:tcPr>
          <w:p w14:paraId="5AA69DBD" w14:textId="4DBD3FC7" w:rsidR="00093C73" w:rsidRPr="00EB6F34" w:rsidRDefault="00FD4A77" w:rsidP="002716C8">
            <w:pPr>
              <w:pStyle w:val="Title1"/>
            </w:pPr>
            <w:bookmarkStart w:id="4" w:name="dtitle1" w:colFirst="0" w:colLast="0"/>
            <w:bookmarkEnd w:id="3"/>
            <w:r>
              <w:rPr>
                <w:shd w:val="clear" w:color="auto" w:fill="FFFFFF"/>
              </w:rPr>
              <w:t xml:space="preserve">ПРЕДЛОЖЕНИЯ, КАСАЮЩИЕСЯ </w:t>
            </w:r>
            <w:r w:rsidRPr="002716C8">
              <w:t>ДАЛЬНЕЙШЕГО</w:t>
            </w:r>
            <w:r>
              <w:rPr>
                <w:shd w:val="clear" w:color="auto" w:fill="FFFFFF"/>
              </w:rPr>
              <w:t xml:space="preserve"> СОВЕРШЕНСТВОВАНИЯ</w:t>
            </w:r>
            <w:r w:rsidRPr="00500271">
              <w:rPr>
                <w:shd w:val="clear" w:color="auto" w:fill="FFFFFF"/>
              </w:rPr>
              <w:t xml:space="preserve"> ПРОЦЕССА ПОДГОТОВИТЕЛЬНОГО СОБРАНИЯ К КОНФЕРЕНЦИИ ГРУПП</w:t>
            </w:r>
            <w:r>
              <w:rPr>
                <w:shd w:val="clear" w:color="auto" w:fill="FFFFFF"/>
              </w:rPr>
              <w:t>ОЙ</w:t>
            </w:r>
            <w:r>
              <w:rPr>
                <w:shd w:val="clear" w:color="auto" w:fill="FFFFFF"/>
                <w:lang w:val="en-US"/>
              </w:rPr>
              <w:t> </w:t>
            </w:r>
            <w:r w:rsidRPr="00500271">
              <w:rPr>
                <w:shd w:val="clear" w:color="auto" w:fill="FFFFFF"/>
              </w:rPr>
              <w:t>КГР, РАБОТАЮЩЕЙ ПО ПЕРЕПИСКЕ</w:t>
            </w:r>
          </w:p>
        </w:tc>
      </w:tr>
    </w:tbl>
    <w:bookmarkEnd w:id="4"/>
    <w:p w14:paraId="3652ADA2" w14:textId="77777777" w:rsidR="00FD4A77" w:rsidRPr="00500271" w:rsidRDefault="00FD4A77" w:rsidP="00FD4A77">
      <w:pPr>
        <w:pStyle w:val="Heading1"/>
        <w:spacing w:before="480"/>
      </w:pPr>
      <w:r>
        <w:t>1</w:t>
      </w:r>
      <w:r>
        <w:tab/>
        <w:t xml:space="preserve">Базовая </w:t>
      </w:r>
      <w:r w:rsidRPr="00FD4A77">
        <w:t>информация</w:t>
      </w:r>
      <w:r>
        <w:t xml:space="preserve"> и обсуждение</w:t>
      </w:r>
    </w:p>
    <w:p w14:paraId="1CDBF6EC" w14:textId="77777777" w:rsidR="00FD4A77" w:rsidRPr="00500271" w:rsidRDefault="00FD4A77" w:rsidP="00FD4A77">
      <w:r>
        <w:t>На 31-м собрании КГР, состоявшемся в Женеве 25−27 марта 2024 года, была создана Группа КГР, работающая по переписке, по совершенствованию процесса Подготовительного собрания к Конференции (ПСК) (ГП-ПСК КГР) со следующим кругом ведения, изложенным в Приложении 2 к Административному циркуляру CA/273:</w:t>
      </w:r>
    </w:p>
    <w:p w14:paraId="3D9C71C2" w14:textId="77777777" w:rsidR="00FD4A77" w:rsidRPr="00500271" w:rsidRDefault="00FD4A77" w:rsidP="00FD4A77">
      <w:pPr>
        <w:pStyle w:val="enumlev1"/>
      </w:pPr>
      <w:r>
        <w:t>−</w:t>
      </w:r>
      <w:r>
        <w:tab/>
        <w:t>провести подробное рассмотрение второй сессии ПСК, с тем чтобы определить области совершенствования процедур при подготовке Отчета ПСК.</w:t>
      </w:r>
    </w:p>
    <w:p w14:paraId="35C4F7E5" w14:textId="41020419" w:rsidR="00FD4A77" w:rsidRPr="00500271" w:rsidRDefault="00FD4A77" w:rsidP="00FD4A77">
      <w:bookmarkStart w:id="5" w:name="_Hlk187954263"/>
      <w:r>
        <w:t>Различные виды деятельности и результаты работы ГП-ПСК КГР кратко изложены в Документе RAG/36. Следует отметить, что на рассмотрение ГП-ПСК КГР были представлены вклады, в которых определялись вопросы, требующие возможного рассмотрения, с целью совершенствования 2-й сессии ПСК, а также подготовки к этому собранию.</w:t>
      </w:r>
    </w:p>
    <w:p w14:paraId="6066CC8E" w14:textId="5A4DE4DB" w:rsidR="00FD4A77" w:rsidRPr="00E6194E" w:rsidRDefault="00FD4A77" w:rsidP="00FD4A77">
      <w:pPr>
        <w:rPr>
          <w:lang w:val="en-US"/>
        </w:rPr>
      </w:pPr>
      <w:r>
        <w:t xml:space="preserve">Как справедливо отмечено в Документе RAG/36, ГП-ПСК КГР не получила никакого вклада с конкретными изменениями к Резолюции МСЭ-R 2-9. Данное положение дел можно объяснить характером круга ведения ГП-ПСК КГР, в котором отсутствуют указания на то, что ГП может также рассмотреть внесение конкретных изменений в Резолюцию МСЭ-R 2-9. В круге ведения ГП-ПСК КГР, утвержденном на 31-м собрании КГР, содержится призыв </w:t>
      </w:r>
      <w:r w:rsidRPr="00E415A1">
        <w:rPr>
          <w:i/>
          <w:iCs/>
        </w:rPr>
        <w:t>определить области для совершенствования процесса подготовки Отчета ПСК</w:t>
      </w:r>
      <w:r>
        <w:t>. Насколько поняли представители от Канады, на 31-м собрании КГР было принято сознательное решение ограничить сферу деятельности ГП только определением потенциальных проблем, указанных в Резолюции МСЭ-R 2-9. В этом контексте объяснимо, что на рассмотрение ГП-ПСК КГР не было представлено ни одного вклада с конкретными предложениями о внесении поправок в Резолюцию МСЭ-R 2-9.</w:t>
      </w:r>
    </w:p>
    <w:p w14:paraId="62C23E8C" w14:textId="4B3FE7CC" w:rsidR="00FD4A77" w:rsidRPr="00500271" w:rsidRDefault="00FD4A77" w:rsidP="00FD4A77">
      <w:r>
        <w:t xml:space="preserve">Данную ситуацию не следует понимать как отсутствие интереса со стороны членов КГР к дальнейшему рассмотрению возможных изменений к Резолюции МСЭ-R 2-9, включая, в том числе, подготовку и организацию второй сессии ПСК. В связи с этим следует обратить внимание на вклад СИТЕЛ, содержащийся в Документе RAG/34, представленном 32-му собранию КГР, где содержатся конкретные предложения о внесении поправок в Резолюцию МСЭ-R 2-9. Это, наряду с вкладами, представленными ГП-ПСК КГР, ясно указывает на заинтересованность части членов КГР в продолжении обсуждения и работы над возможным изменением Резолюции МСЭ-R 2-9. </w:t>
      </w:r>
    </w:p>
    <w:p w14:paraId="50E66E54" w14:textId="08AFED05" w:rsidR="00FD4A77" w:rsidRDefault="00FD4A77" w:rsidP="00FD4A77">
      <w:r>
        <w:t xml:space="preserve">Также стоит отметить, что хотя ни в одном из представленных на рассмотрение КГР ГП-ПСК вкладов не предлагались конкретные изменения к Резолюции МСЭ-R 2-9, в некоторых вкладах в общих чертах излагались возможные усовершенствования процесса ПСК. Эти предложения кратко изложены в Документе RAG/36. </w:t>
      </w:r>
    </w:p>
    <w:p w14:paraId="332374D1" w14:textId="77777777" w:rsidR="00FD4A77" w:rsidRPr="00500271" w:rsidRDefault="00FD4A77" w:rsidP="00FD4A77">
      <w:r>
        <w:lastRenderedPageBreak/>
        <w:t>В этих условиях 32-е собрание КГР, возможно, пожелает утвердить продолжение работы ГП-ПСК КГР на основе нового круга ведения, с тем чтобы обеспечить возможность рассмотрения конкретных предложений о внесении поправок в Резолюцию МСЭ-R 2-9. В разделе 2 приводится проект текста предлагаемого нового круга ведения и предлагается для рассмотрения несколько изменений ко 2-й сессии ПСК, которые, по мнению Канады, могут усовершенствовать процесс ПСК.</w:t>
      </w:r>
    </w:p>
    <w:bookmarkEnd w:id="5"/>
    <w:p w14:paraId="724549C5" w14:textId="77777777" w:rsidR="00FD4A77" w:rsidRPr="00500271" w:rsidRDefault="00FD4A77" w:rsidP="00FD4A77">
      <w:pPr>
        <w:pStyle w:val="Heading1"/>
      </w:pPr>
      <w:r>
        <w:rPr>
          <w:bCs/>
        </w:rPr>
        <w:t>2</w:t>
      </w:r>
      <w:r>
        <w:tab/>
      </w:r>
      <w:r>
        <w:rPr>
          <w:bCs/>
        </w:rPr>
        <w:t>Предлагаемый новый круг ведения ГП-ПСК КГР</w:t>
      </w:r>
    </w:p>
    <w:p w14:paraId="672BEE38" w14:textId="77777777" w:rsidR="00FD4A77" w:rsidRPr="00625778" w:rsidRDefault="00FD4A77" w:rsidP="00FD4A77">
      <w:r>
        <w:t>Канада предлагает 32-му собранию КГР продолжить деятельность ГП-ПСК КГР с пересмотренным кругом ведения, чтобы предложить представить конкретные предложения по изменениям к Резолюции МСЭ-R 2-9, касающимся усовершенствований 2-й сессии ПСК, как показано ниже:</w:t>
      </w:r>
    </w:p>
    <w:p w14:paraId="1B5ECAAA" w14:textId="77777777" w:rsidR="00FD4A77" w:rsidRPr="00500271" w:rsidRDefault="00FD4A77" w:rsidP="00FD4A77">
      <w:pPr>
        <w:pStyle w:val="enumlev1"/>
      </w:pPr>
      <w:bookmarkStart w:id="6" w:name="_Hlk192773353"/>
      <w:r>
        <w:t>−</w:t>
      </w:r>
      <w:r>
        <w:tab/>
        <w:t>разработать варианты внесения изменений в Резолюцию МСЭ-R 2-9 с целью совершенствования процесса и задач 2-й сессии ПСК, включая подготовку Отчета ПСК, с тем чтобы они более эффективно помогали подготовке к всемирным конференциям радиосвязи; и</w:t>
      </w:r>
    </w:p>
    <w:p w14:paraId="1E9199F3" w14:textId="630140B3" w:rsidR="00FD4A77" w:rsidRPr="00FD4A77" w:rsidRDefault="00FD4A77" w:rsidP="00FD4A77">
      <w:pPr>
        <w:pStyle w:val="enumlev1"/>
        <w:rPr>
          <w:lang w:val="en-US"/>
        </w:rPr>
      </w:pPr>
      <w:r>
        <w:t>−</w:t>
      </w:r>
      <w:r>
        <w:tab/>
        <w:t>рассмотреть любые вытекающие из этого изменения к Резолюции МСЭ-R 2-9, являющиеся следствием изменений, внесенных в задачи второй сессии.</w:t>
      </w:r>
    </w:p>
    <w:bookmarkEnd w:id="6"/>
    <w:p w14:paraId="52CBCFF9" w14:textId="77777777" w:rsidR="00FD4A77" w:rsidRPr="00500271" w:rsidRDefault="00FD4A77" w:rsidP="00FD4A77">
      <w:r>
        <w:t>Не исключая других предложений, ГП-ПСК КГР предлагается рассмотреть изменения, касающиеся следующих аспектов 2-й сессии ПСК:</w:t>
      </w:r>
    </w:p>
    <w:p w14:paraId="6FF67558" w14:textId="77777777" w:rsidR="00FD4A77" w:rsidRPr="00500271" w:rsidRDefault="00FD4A77" w:rsidP="00FD4A77">
      <w:r>
        <w:t>1</w:t>
      </w:r>
      <w:r>
        <w:tab/>
        <w:t>Подходы к упорядочению рассмотрения и утверждения Отчета ПСК на второй сессии ПСК. Например:</w:t>
      </w:r>
    </w:p>
    <w:p w14:paraId="5D00B4C4" w14:textId="3BA05969" w:rsidR="00FD4A77" w:rsidRPr="00500271" w:rsidRDefault="00FD4A77" w:rsidP="00FD4A77">
      <w:pPr>
        <w:pStyle w:val="enumlev1"/>
      </w:pPr>
      <w:r>
        <w:t>•</w:t>
      </w:r>
      <w:r>
        <w:tab/>
        <w:t>разработать простой процесс включения "мнений" по пунктам повестки дня в том виде, в котором они получены, в Приложение к Отчету ПСК во избежание длительного обсуждения мнений на ПСК-2.</w:t>
      </w:r>
    </w:p>
    <w:p w14:paraId="7F23B085" w14:textId="77777777" w:rsidR="00FD4A77" w:rsidRPr="00625778" w:rsidRDefault="00FD4A77" w:rsidP="00FD4A77">
      <w:r>
        <w:t>2</w:t>
      </w:r>
      <w:r>
        <w:tab/>
        <w:t xml:space="preserve">Дополнительные задачи для 2-й сессии ПСК: эффективно использовать любое дополнительное время, которое будет предоставлено, путем упорядочения рассмотрения и утверждения Отчета ПСК. Например: </w:t>
      </w:r>
    </w:p>
    <w:p w14:paraId="1737DF0C" w14:textId="602495E2" w:rsidR="00FD4A77" w:rsidRPr="00E6194E" w:rsidRDefault="00FD4A77" w:rsidP="00FD4A77">
      <w:pPr>
        <w:pStyle w:val="enumlev1"/>
        <w:rPr>
          <w:lang w:val="en-US"/>
        </w:rPr>
      </w:pPr>
      <w:r>
        <w:t>•</w:t>
      </w:r>
      <w:r>
        <w:tab/>
        <w:t>проводить сессии для предоставления подробной информации и контекста относительно характера вопросов и соответствующих обсуждений в рамках МСЭ-R в целях оказания поддержки администрациям, не принимавшим активного участия в подготовительном процессе;</w:t>
      </w:r>
    </w:p>
    <w:p w14:paraId="5574853B" w14:textId="67B94C9F" w:rsidR="00FD4A77" w:rsidRPr="00500271" w:rsidRDefault="00FD4A77" w:rsidP="00FD4A77">
      <w:pPr>
        <w:pStyle w:val="enumlev1"/>
      </w:pPr>
      <w:r>
        <w:t>•</w:t>
      </w:r>
      <w:r>
        <w:tab/>
        <w:t>уделять особое внимание региональным наработкам и позициям с целью выявления возможностей для сближения с общими позициями;</w:t>
      </w:r>
    </w:p>
    <w:p w14:paraId="72281946" w14:textId="5DFD9537" w:rsidR="00FD4A77" w:rsidRPr="00500271" w:rsidRDefault="00FD4A77" w:rsidP="00FD4A77">
      <w:pPr>
        <w:pStyle w:val="enumlev1"/>
      </w:pPr>
      <w:r>
        <w:t>•</w:t>
      </w:r>
      <w:r>
        <w:tab/>
        <w:t>предусмотреть возможность проведения подготовительных обсуждений по пунктам повестки дня будущих конференций, которые могут быть ограничены пунктами предварительной повестки дня, предназначенными для последующей ВКР.</w:t>
      </w:r>
    </w:p>
    <w:p w14:paraId="39D54CB2" w14:textId="77777777" w:rsidR="003536BA" w:rsidRDefault="003536BA" w:rsidP="00FD4A77">
      <w:pPr>
        <w:spacing w:before="720"/>
        <w:jc w:val="center"/>
      </w:pPr>
      <w:r>
        <w:t>______________</w:t>
      </w:r>
    </w:p>
    <w:sectPr w:rsidR="003536BA" w:rsidSect="005409F7">
      <w:headerReference w:type="default" r:id="rId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C01C" w14:textId="77777777" w:rsidR="004F1C57" w:rsidRDefault="004F1C57">
      <w:r>
        <w:separator/>
      </w:r>
    </w:p>
  </w:endnote>
  <w:endnote w:type="continuationSeparator" w:id="0">
    <w:p w14:paraId="2485AA64" w14:textId="77777777" w:rsidR="004F1C57" w:rsidRDefault="004F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5E00" w14:textId="77777777" w:rsidR="004F1C57" w:rsidRDefault="004F1C57">
      <w:r>
        <w:t>____________________</w:t>
      </w:r>
    </w:p>
  </w:footnote>
  <w:footnote w:type="continuationSeparator" w:id="0">
    <w:p w14:paraId="534BC6D9" w14:textId="77777777" w:rsidR="004F1C57" w:rsidRDefault="004F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8D6C" w14:textId="54BFE7B3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FD4A77">
      <w:rPr>
        <w:lang w:val="es-ES"/>
      </w:rPr>
      <w:t>42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3AD287E"/>
    <w:multiLevelType w:val="hybridMultilevel"/>
    <w:tmpl w:val="E5BAB994"/>
    <w:lvl w:ilvl="0" w:tplc="AF6069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D1DC4"/>
    <w:multiLevelType w:val="hybridMultilevel"/>
    <w:tmpl w:val="238AE35A"/>
    <w:lvl w:ilvl="0" w:tplc="6582A2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1347002">
    <w:abstractNumId w:val="9"/>
  </w:num>
  <w:num w:numId="2" w16cid:durableId="555357932">
    <w:abstractNumId w:val="7"/>
  </w:num>
  <w:num w:numId="3" w16cid:durableId="1018585873">
    <w:abstractNumId w:val="6"/>
  </w:num>
  <w:num w:numId="4" w16cid:durableId="1526745102">
    <w:abstractNumId w:val="5"/>
  </w:num>
  <w:num w:numId="5" w16cid:durableId="864644">
    <w:abstractNumId w:val="4"/>
  </w:num>
  <w:num w:numId="6" w16cid:durableId="1537696630">
    <w:abstractNumId w:val="8"/>
  </w:num>
  <w:num w:numId="7" w16cid:durableId="648094050">
    <w:abstractNumId w:val="3"/>
  </w:num>
  <w:num w:numId="8" w16cid:durableId="238447409">
    <w:abstractNumId w:val="2"/>
  </w:num>
  <w:num w:numId="9" w16cid:durableId="1017774569">
    <w:abstractNumId w:val="1"/>
  </w:num>
  <w:num w:numId="10" w16cid:durableId="162672698">
    <w:abstractNumId w:val="0"/>
  </w:num>
  <w:num w:numId="11" w16cid:durableId="558982202">
    <w:abstractNumId w:val="17"/>
  </w:num>
  <w:num w:numId="12" w16cid:durableId="936326520">
    <w:abstractNumId w:val="35"/>
  </w:num>
  <w:num w:numId="13" w16cid:durableId="1204559990">
    <w:abstractNumId w:val="37"/>
  </w:num>
  <w:num w:numId="14" w16cid:durableId="1368290099">
    <w:abstractNumId w:val="30"/>
  </w:num>
  <w:num w:numId="15" w16cid:durableId="2094931448">
    <w:abstractNumId w:val="26"/>
  </w:num>
  <w:num w:numId="16" w16cid:durableId="762729136">
    <w:abstractNumId w:val="36"/>
  </w:num>
  <w:num w:numId="17" w16cid:durableId="1056247412">
    <w:abstractNumId w:val="25"/>
  </w:num>
  <w:num w:numId="18" w16cid:durableId="2038114634">
    <w:abstractNumId w:val="10"/>
  </w:num>
  <w:num w:numId="19" w16cid:durableId="1017192828">
    <w:abstractNumId w:val="15"/>
  </w:num>
  <w:num w:numId="20" w16cid:durableId="5714252">
    <w:abstractNumId w:val="16"/>
  </w:num>
  <w:num w:numId="21" w16cid:durableId="1499996615">
    <w:abstractNumId w:val="22"/>
  </w:num>
  <w:num w:numId="22" w16cid:durableId="1002313626">
    <w:abstractNumId w:val="39"/>
  </w:num>
  <w:num w:numId="23" w16cid:durableId="2062944077">
    <w:abstractNumId w:val="27"/>
  </w:num>
  <w:num w:numId="24" w16cid:durableId="1622684974">
    <w:abstractNumId w:val="29"/>
  </w:num>
  <w:num w:numId="25" w16cid:durableId="483618472">
    <w:abstractNumId w:val="12"/>
  </w:num>
  <w:num w:numId="26" w16cid:durableId="1512379260">
    <w:abstractNumId w:val="24"/>
  </w:num>
  <w:num w:numId="27" w16cid:durableId="1300187411">
    <w:abstractNumId w:val="14"/>
  </w:num>
  <w:num w:numId="28" w16cid:durableId="1382827319">
    <w:abstractNumId w:val="42"/>
  </w:num>
  <w:num w:numId="29" w16cid:durableId="1257979425">
    <w:abstractNumId w:val="20"/>
  </w:num>
  <w:num w:numId="30" w16cid:durableId="911737016">
    <w:abstractNumId w:val="33"/>
  </w:num>
  <w:num w:numId="31" w16cid:durableId="925649385">
    <w:abstractNumId w:val="38"/>
  </w:num>
  <w:num w:numId="32" w16cid:durableId="1210799017">
    <w:abstractNumId w:val="21"/>
  </w:num>
  <w:num w:numId="33" w16cid:durableId="117072587">
    <w:abstractNumId w:val="19"/>
  </w:num>
  <w:num w:numId="34" w16cid:durableId="114911049">
    <w:abstractNumId w:val="41"/>
  </w:num>
  <w:num w:numId="35" w16cid:durableId="933320712">
    <w:abstractNumId w:val="34"/>
  </w:num>
  <w:num w:numId="36" w16cid:durableId="1338995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6044084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1594239">
    <w:abstractNumId w:val="13"/>
  </w:num>
  <w:num w:numId="39" w16cid:durableId="1697193372">
    <w:abstractNumId w:val="40"/>
  </w:num>
  <w:num w:numId="40" w16cid:durableId="715930928">
    <w:abstractNumId w:val="11"/>
  </w:num>
  <w:num w:numId="41" w16cid:durableId="1941523061">
    <w:abstractNumId w:val="32"/>
  </w:num>
  <w:num w:numId="42" w16cid:durableId="1117214479">
    <w:abstractNumId w:val="28"/>
  </w:num>
  <w:num w:numId="43" w16cid:durableId="1369572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149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0C38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16C8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36BA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B9A"/>
    <w:rsid w:val="00410C2C"/>
    <w:rsid w:val="00410DC4"/>
    <w:rsid w:val="00411DE5"/>
    <w:rsid w:val="004124E3"/>
    <w:rsid w:val="00416AF2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1C57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6FB5"/>
    <w:rsid w:val="007C1EBA"/>
    <w:rsid w:val="007C3994"/>
    <w:rsid w:val="007C4F8B"/>
    <w:rsid w:val="007D1EFB"/>
    <w:rsid w:val="007D4763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5D7F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60C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2124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2FE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042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6194E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4A77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015F2"/>
  <w15:docId w15:val="{BA8B9228-31D0-44DB-B304-98EF58FD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35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5</TotalTime>
  <Pages>2</Pages>
  <Words>679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5154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SV</dc:creator>
  <cp:keywords>RAG03-1</cp:keywords>
  <dc:description>Document RAG08-1/1-E  For: _x000d_Document date: 12 December 2007_x000d_Saved by JJF44233 at 15:38:46 on 18/12/2007</dc:description>
  <cp:lastModifiedBy>FE</cp:lastModifiedBy>
  <cp:revision>4</cp:revision>
  <cp:lastPrinted>2011-05-23T08:58:00Z</cp:lastPrinted>
  <dcterms:created xsi:type="dcterms:W3CDTF">2025-04-07T08:33:00Z</dcterms:created>
  <dcterms:modified xsi:type="dcterms:W3CDTF">2025-04-07T08:39:00Z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