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68D33831" w14:textId="77777777" w:rsidTr="00553F66">
        <w:trPr>
          <w:cantSplit/>
          <w:trHeight w:val="20"/>
        </w:trPr>
        <w:tc>
          <w:tcPr>
            <w:tcW w:w="6619" w:type="dxa"/>
          </w:tcPr>
          <w:p w14:paraId="215B8B5D" w14:textId="77777777" w:rsidR="00280E04" w:rsidRPr="00136B82" w:rsidRDefault="0057610B" w:rsidP="00827482">
            <w:pPr>
              <w:pStyle w:val="LOGO"/>
              <w:framePr w:hSpace="0" w:wrap="auto" w:xAlign="left" w:yAlign="inline"/>
              <w:spacing w:before="480"/>
              <w:rPr>
                <w:rtl/>
              </w:rPr>
            </w:pPr>
            <w:r>
              <w:rPr>
                <w:rFonts w:hint="cs"/>
                <w:rtl/>
              </w:rPr>
              <w:t>الفريق الاستشاري للاتصالات الراديوية</w:t>
            </w:r>
          </w:p>
        </w:tc>
        <w:tc>
          <w:tcPr>
            <w:tcW w:w="3053" w:type="dxa"/>
          </w:tcPr>
          <w:p w14:paraId="4FFE4613" w14:textId="77777777" w:rsidR="00280E04" w:rsidRDefault="00553F66" w:rsidP="00F52E75">
            <w:pPr>
              <w:spacing w:before="0"/>
              <w:jc w:val="left"/>
              <w:rPr>
                <w:rtl/>
                <w:lang w:bidi="ar-EG"/>
              </w:rPr>
            </w:pPr>
            <w:bookmarkStart w:id="0" w:name="ditulogo"/>
            <w:bookmarkEnd w:id="0"/>
            <w:r w:rsidRPr="00C126C1">
              <w:rPr>
                <w:noProof/>
                <w:lang w:eastAsia="zh-CN"/>
              </w:rPr>
              <w:drawing>
                <wp:inline distT="0" distB="0" distL="0" distR="0" wp14:anchorId="75AD8EED" wp14:editId="1E512338">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80E04" w14:paraId="40C95EC7" w14:textId="77777777" w:rsidTr="00553F66">
        <w:trPr>
          <w:cantSplit/>
          <w:trHeight w:val="20"/>
        </w:trPr>
        <w:tc>
          <w:tcPr>
            <w:tcW w:w="6619" w:type="dxa"/>
            <w:tcBorders>
              <w:bottom w:val="single" w:sz="12" w:space="0" w:color="auto"/>
            </w:tcBorders>
          </w:tcPr>
          <w:p w14:paraId="0A1FA238" w14:textId="77777777" w:rsidR="00280E04" w:rsidRPr="00960962" w:rsidRDefault="00280E04" w:rsidP="002F3031">
            <w:pPr>
              <w:spacing w:before="0" w:line="120" w:lineRule="auto"/>
              <w:rPr>
                <w:rtl/>
                <w:lang w:bidi="ar-EG"/>
              </w:rPr>
            </w:pPr>
          </w:p>
        </w:tc>
        <w:tc>
          <w:tcPr>
            <w:tcW w:w="3053" w:type="dxa"/>
            <w:tcBorders>
              <w:bottom w:val="single" w:sz="12" w:space="0" w:color="auto"/>
            </w:tcBorders>
          </w:tcPr>
          <w:p w14:paraId="7A9EFFD4" w14:textId="77777777" w:rsidR="00280E04" w:rsidRPr="00A9645C" w:rsidRDefault="00280E04" w:rsidP="002F3031">
            <w:pPr>
              <w:spacing w:before="0" w:line="120" w:lineRule="auto"/>
              <w:rPr>
                <w:lang w:bidi="ar-EG"/>
              </w:rPr>
            </w:pPr>
          </w:p>
        </w:tc>
      </w:tr>
      <w:tr w:rsidR="00280E04" w14:paraId="4866F509" w14:textId="77777777" w:rsidTr="00553F66">
        <w:trPr>
          <w:cantSplit/>
          <w:trHeight w:val="20"/>
        </w:trPr>
        <w:tc>
          <w:tcPr>
            <w:tcW w:w="6619" w:type="dxa"/>
            <w:tcBorders>
              <w:top w:val="single" w:sz="12" w:space="0" w:color="auto"/>
            </w:tcBorders>
          </w:tcPr>
          <w:p w14:paraId="0845CE64" w14:textId="77777777" w:rsidR="00280E04" w:rsidRPr="00BD6EF3" w:rsidRDefault="00280E04" w:rsidP="00D44350">
            <w:pPr>
              <w:pStyle w:val="Adress"/>
              <w:framePr w:hSpace="0" w:wrap="auto" w:xAlign="left" w:yAlign="inline"/>
              <w:rPr>
                <w:rtl/>
              </w:rPr>
            </w:pPr>
          </w:p>
        </w:tc>
        <w:tc>
          <w:tcPr>
            <w:tcW w:w="3053" w:type="dxa"/>
            <w:tcBorders>
              <w:top w:val="single" w:sz="12" w:space="0" w:color="auto"/>
            </w:tcBorders>
          </w:tcPr>
          <w:p w14:paraId="790B7A7D" w14:textId="77777777" w:rsidR="00280E04" w:rsidRPr="00BD6EF3" w:rsidRDefault="00280E04" w:rsidP="00D44350">
            <w:pPr>
              <w:pStyle w:val="Adress"/>
              <w:framePr w:hSpace="0" w:wrap="auto" w:xAlign="left" w:yAlign="inline"/>
            </w:pPr>
          </w:p>
        </w:tc>
      </w:tr>
      <w:tr w:rsidR="0030601A" w14:paraId="0BB9CF0E" w14:textId="77777777" w:rsidTr="00553F66">
        <w:trPr>
          <w:cantSplit/>
        </w:trPr>
        <w:tc>
          <w:tcPr>
            <w:tcW w:w="6619" w:type="dxa"/>
            <w:vMerge w:val="restart"/>
          </w:tcPr>
          <w:p w14:paraId="30D33C34" w14:textId="77777777" w:rsidR="0030601A" w:rsidRPr="0012545F" w:rsidRDefault="0030601A" w:rsidP="0030601A">
            <w:pPr>
              <w:pStyle w:val="Committee"/>
              <w:framePr w:hSpace="0" w:wrap="auto" w:hAnchor="text" w:yAlign="inline"/>
              <w:bidi/>
              <w:spacing w:before="20" w:after="20"/>
              <w:rPr>
                <w:rtl/>
              </w:rPr>
            </w:pPr>
          </w:p>
        </w:tc>
        <w:tc>
          <w:tcPr>
            <w:tcW w:w="3053" w:type="dxa"/>
            <w:vAlign w:val="center"/>
          </w:tcPr>
          <w:p w14:paraId="32B959E1" w14:textId="6A2BBBE4" w:rsidR="0030601A" w:rsidRPr="0012545F" w:rsidRDefault="0030601A" w:rsidP="0030601A">
            <w:pPr>
              <w:pStyle w:val="Adress"/>
              <w:framePr w:hSpace="0" w:wrap="auto" w:xAlign="left" w:yAlign="inline"/>
              <w:spacing w:before="20" w:after="20"/>
              <w:rPr>
                <w:rtl/>
              </w:rPr>
            </w:pPr>
            <w:r w:rsidRPr="0012545F">
              <w:rPr>
                <w:rtl/>
              </w:rPr>
              <w:t>ا</w:t>
            </w:r>
            <w:r w:rsidRPr="0012545F">
              <w:rPr>
                <w:rFonts w:hint="cs"/>
                <w:rtl/>
              </w:rPr>
              <w:t>ل</w:t>
            </w:r>
            <w:r w:rsidRPr="0012545F">
              <w:rPr>
                <w:rtl/>
              </w:rPr>
              <w:t>و</w:t>
            </w:r>
            <w:r w:rsidRPr="0012545F">
              <w:rPr>
                <w:rFonts w:hint="cs"/>
                <w:rtl/>
              </w:rPr>
              <w:t xml:space="preserve">ثيقة </w:t>
            </w:r>
            <w:r>
              <w:t>RAG/</w:t>
            </w:r>
            <w:r w:rsidR="001D3AD2">
              <w:t>41</w:t>
            </w:r>
            <w:r w:rsidRPr="0012545F">
              <w:t>-A</w:t>
            </w:r>
          </w:p>
        </w:tc>
      </w:tr>
      <w:tr w:rsidR="0030601A" w14:paraId="3D53FCE6" w14:textId="77777777" w:rsidTr="00553F66">
        <w:trPr>
          <w:cantSplit/>
        </w:trPr>
        <w:tc>
          <w:tcPr>
            <w:tcW w:w="6619" w:type="dxa"/>
            <w:vMerge/>
          </w:tcPr>
          <w:p w14:paraId="7248F60B" w14:textId="77777777" w:rsidR="0030601A" w:rsidRPr="0012545F" w:rsidRDefault="0030601A" w:rsidP="0030601A">
            <w:pPr>
              <w:pStyle w:val="Adress"/>
              <w:framePr w:hSpace="0" w:wrap="auto" w:xAlign="left" w:yAlign="inline"/>
              <w:spacing w:before="20" w:after="20"/>
              <w:rPr>
                <w:rtl/>
              </w:rPr>
            </w:pPr>
          </w:p>
        </w:tc>
        <w:tc>
          <w:tcPr>
            <w:tcW w:w="3053" w:type="dxa"/>
            <w:vAlign w:val="center"/>
          </w:tcPr>
          <w:p w14:paraId="7413F968" w14:textId="3E8FB530" w:rsidR="0030601A" w:rsidRPr="0012545F" w:rsidRDefault="006C5C6B" w:rsidP="006C5C6B">
            <w:pPr>
              <w:pStyle w:val="Adress"/>
              <w:framePr w:hSpace="0" w:wrap="auto" w:xAlign="left" w:yAlign="inline"/>
              <w:spacing w:before="20" w:after="20"/>
              <w:rPr>
                <w:rtl/>
              </w:rPr>
            </w:pPr>
            <w:r>
              <w:t>28</w:t>
            </w:r>
            <w:r w:rsidR="0030601A" w:rsidRPr="0012545F">
              <w:rPr>
                <w:rFonts w:hint="cs"/>
                <w:rtl/>
              </w:rPr>
              <w:t xml:space="preserve"> </w:t>
            </w:r>
            <w:r w:rsidRPr="006C5C6B">
              <w:rPr>
                <w:rtl/>
                <w:lang w:bidi="ar-SA"/>
              </w:rPr>
              <w:t>مارس</w:t>
            </w:r>
            <w:r w:rsidR="0030601A" w:rsidRPr="0012545F">
              <w:rPr>
                <w:rFonts w:hint="cs"/>
                <w:rtl/>
              </w:rPr>
              <w:t xml:space="preserve"> </w:t>
            </w:r>
            <w:r w:rsidR="001E6923">
              <w:rPr>
                <w:rFonts w:hint="cs"/>
                <w:rtl/>
              </w:rPr>
              <w:t>2025</w:t>
            </w:r>
          </w:p>
        </w:tc>
      </w:tr>
      <w:tr w:rsidR="0030601A" w14:paraId="1155D64C" w14:textId="77777777" w:rsidTr="00553F66">
        <w:trPr>
          <w:cantSplit/>
        </w:trPr>
        <w:tc>
          <w:tcPr>
            <w:tcW w:w="6619" w:type="dxa"/>
            <w:vMerge/>
          </w:tcPr>
          <w:p w14:paraId="5A19CF9B" w14:textId="77777777" w:rsidR="0030601A" w:rsidRPr="0012545F" w:rsidRDefault="0030601A" w:rsidP="0030601A">
            <w:pPr>
              <w:pStyle w:val="Adress"/>
              <w:framePr w:hSpace="0" w:wrap="auto" w:xAlign="left" w:yAlign="inline"/>
              <w:spacing w:before="20" w:after="20"/>
              <w:rPr>
                <w:rFonts w:eastAsia="SimSun"/>
                <w:rtl/>
              </w:rPr>
            </w:pPr>
          </w:p>
        </w:tc>
        <w:tc>
          <w:tcPr>
            <w:tcW w:w="3053" w:type="dxa"/>
            <w:vAlign w:val="center"/>
          </w:tcPr>
          <w:p w14:paraId="2B3E5529" w14:textId="77777777" w:rsidR="0030601A" w:rsidRPr="0012545F" w:rsidRDefault="0030601A" w:rsidP="0030601A">
            <w:pPr>
              <w:pStyle w:val="Adress"/>
              <w:framePr w:hSpace="0" w:wrap="auto" w:xAlign="left" w:yAlign="inline"/>
              <w:spacing w:before="20" w:after="20"/>
              <w:rPr>
                <w:rFonts w:eastAsia="SimSun"/>
              </w:rPr>
            </w:pPr>
            <w:r w:rsidRPr="0012545F">
              <w:rPr>
                <w:rFonts w:hint="cs"/>
                <w:rtl/>
              </w:rPr>
              <w:t>الأصل: بالإنكليزية</w:t>
            </w:r>
          </w:p>
        </w:tc>
      </w:tr>
      <w:tr w:rsidR="00764079" w14:paraId="2B0AE543" w14:textId="77777777" w:rsidTr="00553F66">
        <w:trPr>
          <w:cantSplit/>
        </w:trPr>
        <w:tc>
          <w:tcPr>
            <w:tcW w:w="9672" w:type="dxa"/>
            <w:gridSpan w:val="2"/>
          </w:tcPr>
          <w:p w14:paraId="250AD144" w14:textId="7F72E750" w:rsidR="00764079" w:rsidRPr="00E621A3" w:rsidRDefault="006C5C6B" w:rsidP="006C5C6B">
            <w:pPr>
              <w:pStyle w:val="Source"/>
              <w:rPr>
                <w:rtl/>
              </w:rPr>
            </w:pPr>
            <w:r w:rsidRPr="006C5C6B">
              <w:rPr>
                <w:rtl/>
                <w:lang w:bidi="ar-SA"/>
              </w:rPr>
              <w:t>جمهورية الهند</w:t>
            </w:r>
          </w:p>
        </w:tc>
      </w:tr>
      <w:tr w:rsidR="00764079" w14:paraId="06CA9AB1" w14:textId="77777777" w:rsidTr="00553F66">
        <w:trPr>
          <w:cantSplit/>
        </w:trPr>
        <w:tc>
          <w:tcPr>
            <w:tcW w:w="9672" w:type="dxa"/>
            <w:gridSpan w:val="2"/>
          </w:tcPr>
          <w:p w14:paraId="5C0A00B9" w14:textId="7065B75F" w:rsidR="00764079" w:rsidRPr="00BD6EF3" w:rsidRDefault="006C5C6B" w:rsidP="006C5C6B">
            <w:pPr>
              <w:pStyle w:val="Title1"/>
              <w:spacing w:before="240"/>
              <w:rPr>
                <w:rtl/>
              </w:rPr>
            </w:pPr>
            <w:r w:rsidRPr="006C5C6B">
              <w:rPr>
                <w:rtl/>
                <w:lang w:bidi="ar-SA"/>
              </w:rPr>
              <w:t xml:space="preserve">مقترح يدعو مكتب الاتصالات الراديوية </w:t>
            </w:r>
            <w:r w:rsidRPr="006C5C6B">
              <w:rPr>
                <w:rFonts w:hint="cs"/>
                <w:rtl/>
                <w:lang w:bidi="ar-SA"/>
              </w:rPr>
              <w:t>با</w:t>
            </w:r>
            <w:r w:rsidRPr="006C5C6B">
              <w:rPr>
                <w:rtl/>
                <w:lang w:bidi="ar-SA"/>
              </w:rPr>
              <w:t xml:space="preserve">لاتحاد الدولي للاتصالات </w:t>
            </w:r>
            <w:r w:rsidR="00294468">
              <w:rPr>
                <w:rtl/>
                <w:lang w:bidi="ar-SA"/>
              </w:rPr>
              <w:br/>
            </w:r>
            <w:r w:rsidRPr="006C5C6B">
              <w:rPr>
                <w:rtl/>
                <w:lang w:bidi="ar-SA"/>
              </w:rPr>
              <w:t>إلى تنظيم حلقات دراسية دون إقليمية للاتصالات الراديوية</w:t>
            </w:r>
          </w:p>
        </w:tc>
      </w:tr>
      <w:tr w:rsidR="0012545F" w14:paraId="1B740E25" w14:textId="77777777" w:rsidTr="00553F66">
        <w:trPr>
          <w:cantSplit/>
        </w:trPr>
        <w:tc>
          <w:tcPr>
            <w:tcW w:w="9672" w:type="dxa"/>
            <w:gridSpan w:val="2"/>
          </w:tcPr>
          <w:p w14:paraId="259D37D8" w14:textId="77777777" w:rsidR="0012545F" w:rsidRDefault="0012545F" w:rsidP="0012545F">
            <w:pPr>
              <w:rPr>
                <w:rtl/>
              </w:rPr>
            </w:pPr>
          </w:p>
        </w:tc>
      </w:tr>
    </w:tbl>
    <w:p w14:paraId="1909DAEF" w14:textId="28F0A7B8" w:rsidR="0041424B" w:rsidRPr="0041424B" w:rsidRDefault="0041424B" w:rsidP="0041424B">
      <w:pPr>
        <w:pStyle w:val="Heading1"/>
        <w:rPr>
          <w:lang w:val="en-GB"/>
        </w:rPr>
      </w:pPr>
      <w:r>
        <w:t>1</w:t>
      </w:r>
      <w:r>
        <w:rPr>
          <w:rtl/>
        </w:rPr>
        <w:tab/>
      </w:r>
      <w:r w:rsidRPr="0041424B">
        <w:rPr>
          <w:rtl/>
        </w:rPr>
        <w:t>مقدمة</w:t>
      </w:r>
    </w:p>
    <w:p w14:paraId="2A20B4CE" w14:textId="5FD03561" w:rsidR="0041424B" w:rsidRPr="0041424B" w:rsidRDefault="0041424B" w:rsidP="0041424B">
      <w:pPr>
        <w:rPr>
          <w:lang w:bidi="ar-EG"/>
        </w:rPr>
      </w:pPr>
      <w:r w:rsidRPr="0041424B">
        <w:rPr>
          <w:rtl/>
        </w:rPr>
        <w:t xml:space="preserve">تعد </w:t>
      </w:r>
      <w:r w:rsidRPr="0041424B">
        <w:rPr>
          <w:rFonts w:hint="cs"/>
          <w:rtl/>
        </w:rPr>
        <w:t>بلدان</w:t>
      </w:r>
      <w:r w:rsidRPr="0041424B">
        <w:rPr>
          <w:rtl/>
        </w:rPr>
        <w:t xml:space="preserve"> جنوب آسيا من بين أكثر المناطق كثافة سكانية في العالم. </w:t>
      </w:r>
      <w:r w:rsidRPr="0041424B">
        <w:rPr>
          <w:rFonts w:hint="cs"/>
          <w:rtl/>
        </w:rPr>
        <w:t>و</w:t>
      </w:r>
      <w:r w:rsidRPr="0041424B">
        <w:rPr>
          <w:rtl/>
        </w:rPr>
        <w:t>تشترك هذه البلدان في حدود برية واسعة مكتظة بالسكان على كلا الجانبين. ونظرا</w:t>
      </w:r>
      <w:r w:rsidR="00DD7F45">
        <w:rPr>
          <w:rFonts w:hint="cs"/>
          <w:rtl/>
        </w:rPr>
        <w:t>ً</w:t>
      </w:r>
      <w:r w:rsidRPr="0041424B">
        <w:rPr>
          <w:rtl/>
        </w:rPr>
        <w:t xml:space="preserve"> لصعوبة التضاريس، حيث لا تكون وسائل الاتصال الأخرى مجدية اقتصاديا</w:t>
      </w:r>
      <w:r w:rsidR="00DD7F45">
        <w:rPr>
          <w:rFonts w:hint="cs"/>
          <w:rtl/>
        </w:rPr>
        <w:t>ً</w:t>
      </w:r>
      <w:r w:rsidRPr="0041424B">
        <w:rPr>
          <w:rtl/>
        </w:rPr>
        <w:t>، يعتمد عدد كبير من السكان في المناطق الحدودية على التوصيلية اللاسلكية.</w:t>
      </w:r>
    </w:p>
    <w:p w14:paraId="43C4FC3B" w14:textId="02EA7273" w:rsidR="0041424B" w:rsidRPr="0041424B" w:rsidRDefault="0041424B" w:rsidP="0041424B">
      <w:pPr>
        <w:rPr>
          <w:lang w:val="en-GB" w:bidi="ar-EG"/>
        </w:rPr>
      </w:pPr>
      <w:r w:rsidRPr="0041424B">
        <w:rPr>
          <w:rtl/>
        </w:rPr>
        <w:t xml:space="preserve">أدى الاستخدام المتزايد للتطبيقات اللاسلكية في السنوات الأخيرة إلى زيادة خطر انتشار الإشارات الراديوية عبر الحدود والتداخل </w:t>
      </w:r>
      <w:r w:rsidRPr="0041424B">
        <w:rPr>
          <w:rFonts w:hint="cs"/>
          <w:rtl/>
        </w:rPr>
        <w:t>على</w:t>
      </w:r>
      <w:r w:rsidRPr="0041424B">
        <w:rPr>
          <w:rtl/>
        </w:rPr>
        <w:t xml:space="preserve"> نطاقات تردد</w:t>
      </w:r>
      <w:r w:rsidRPr="0041424B">
        <w:rPr>
          <w:rFonts w:hint="cs"/>
          <w:rtl/>
        </w:rPr>
        <w:t>ات</w:t>
      </w:r>
      <w:r w:rsidRPr="0041424B">
        <w:rPr>
          <w:rtl/>
        </w:rPr>
        <w:t xml:space="preserve"> حيوية. </w:t>
      </w:r>
      <w:r w:rsidRPr="0041424B">
        <w:rPr>
          <w:rFonts w:hint="cs"/>
          <w:rtl/>
        </w:rPr>
        <w:t>و</w:t>
      </w:r>
      <w:r w:rsidRPr="0041424B">
        <w:rPr>
          <w:rtl/>
        </w:rPr>
        <w:t xml:space="preserve">في الماضي، كانت هناك حالات، على طول الحدود، لرسوم تجوال غير مقصودة بسبب توصيل الجهاز بإشارة </w:t>
      </w:r>
      <w:r w:rsidRPr="0041424B">
        <w:rPr>
          <w:rFonts w:hint="cs"/>
          <w:rtl/>
        </w:rPr>
        <w:t xml:space="preserve">اتصالات </w:t>
      </w:r>
      <w:r w:rsidRPr="0041424B">
        <w:rPr>
          <w:rtl/>
        </w:rPr>
        <w:t>متنقلة من بلد أجنبي.</w:t>
      </w:r>
    </w:p>
    <w:p w14:paraId="770D4284" w14:textId="286F3FC8" w:rsidR="0041424B" w:rsidRPr="0041424B" w:rsidRDefault="0041424B" w:rsidP="0041424B">
      <w:pPr>
        <w:rPr>
          <w:lang w:bidi="ar-EG"/>
        </w:rPr>
      </w:pPr>
      <w:r w:rsidRPr="0041424B">
        <w:rPr>
          <w:rtl/>
        </w:rPr>
        <w:t xml:space="preserve">ومن المتوقع أن تزداد هذه </w:t>
      </w:r>
      <w:r w:rsidRPr="0041424B">
        <w:rPr>
          <w:rFonts w:hint="cs"/>
          <w:rtl/>
        </w:rPr>
        <w:t>الإشكالات</w:t>
      </w:r>
      <w:r w:rsidRPr="0041424B">
        <w:rPr>
          <w:rtl/>
        </w:rPr>
        <w:t xml:space="preserve"> في المستقبل مع اعتماد تكنولوجيات جديدة مثل المحطات الأرضية المتحركة، والتوصيل</w:t>
      </w:r>
      <w:r w:rsidRPr="0041424B">
        <w:rPr>
          <w:rFonts w:hint="cs"/>
          <w:rtl/>
        </w:rPr>
        <w:t>ية</w:t>
      </w:r>
      <w:r w:rsidRPr="0041424B">
        <w:rPr>
          <w:rtl/>
        </w:rPr>
        <w:t xml:space="preserve"> المباشر</w:t>
      </w:r>
      <w:r w:rsidRPr="0041424B">
        <w:rPr>
          <w:rFonts w:hint="cs"/>
          <w:rtl/>
        </w:rPr>
        <w:t>ة</w:t>
      </w:r>
      <w:r w:rsidRPr="0041424B">
        <w:rPr>
          <w:rtl/>
        </w:rPr>
        <w:t xml:space="preserve"> بالأجهزة، والشبكات غير الأرضية (</w:t>
      </w:r>
      <w:r w:rsidRPr="0041424B">
        <w:rPr>
          <w:lang w:val="en-GB" w:bidi="ar-EG"/>
        </w:rPr>
        <w:t>NTN</w:t>
      </w:r>
      <w:r w:rsidRPr="0041424B">
        <w:rPr>
          <w:rtl/>
        </w:rPr>
        <w:t xml:space="preserve">) وما إلى ذلك. وفي هذا السياق، يمكن </w:t>
      </w:r>
      <w:r w:rsidRPr="0041424B">
        <w:rPr>
          <w:rFonts w:hint="cs"/>
          <w:rtl/>
        </w:rPr>
        <w:t>ل</w:t>
      </w:r>
      <w:r w:rsidRPr="0041424B">
        <w:rPr>
          <w:rtl/>
        </w:rPr>
        <w:t>لتبليغ عن تخصيصات التردد</w:t>
      </w:r>
      <w:r w:rsidRPr="0041424B">
        <w:rPr>
          <w:rFonts w:hint="cs"/>
          <w:rtl/>
          <w:lang w:bidi="ar-EG"/>
        </w:rPr>
        <w:t>ات</w:t>
      </w:r>
      <w:r w:rsidRPr="0041424B">
        <w:rPr>
          <w:rtl/>
        </w:rPr>
        <w:t xml:space="preserve"> في</w:t>
      </w:r>
      <w:r w:rsidR="00DD7F45">
        <w:rPr>
          <w:rFonts w:hint="cs"/>
          <w:rtl/>
        </w:rPr>
        <w:t> </w:t>
      </w:r>
      <w:r w:rsidRPr="0041424B">
        <w:rPr>
          <w:rtl/>
        </w:rPr>
        <w:t xml:space="preserve">السجل الأساسي الدولي للترددات (MIFR) أن يساعد </w:t>
      </w:r>
      <w:r w:rsidRPr="0041424B">
        <w:rPr>
          <w:rFonts w:hint="cs"/>
          <w:rtl/>
        </w:rPr>
        <w:t>ا</w:t>
      </w:r>
      <w:r w:rsidRPr="0041424B">
        <w:rPr>
          <w:rtl/>
        </w:rPr>
        <w:t>لبلدان على تحقيق أقصى قدر من الكفاءة في استخدام مواردها من</w:t>
      </w:r>
      <w:r w:rsidR="008A6D0D">
        <w:rPr>
          <w:rFonts w:hint="cs"/>
          <w:rtl/>
        </w:rPr>
        <w:t> </w:t>
      </w:r>
      <w:r w:rsidRPr="0041424B">
        <w:rPr>
          <w:rtl/>
        </w:rPr>
        <w:t xml:space="preserve">الطيف اللاسلكي. </w:t>
      </w:r>
      <w:r w:rsidRPr="0041424B">
        <w:rPr>
          <w:rFonts w:hint="cs"/>
          <w:rtl/>
        </w:rPr>
        <w:t>ولكن</w:t>
      </w:r>
      <w:r w:rsidRPr="0041424B">
        <w:rPr>
          <w:rtl/>
        </w:rPr>
        <w:t xml:space="preserve"> يشير تحليل السجل الأساسي الدولي للترددات إلى أن التبليغ عن تخصيصات التردد</w:t>
      </w:r>
      <w:r w:rsidRPr="0041424B">
        <w:rPr>
          <w:rFonts w:hint="cs"/>
          <w:rtl/>
        </w:rPr>
        <w:t>ات</w:t>
      </w:r>
      <w:r w:rsidRPr="0041424B">
        <w:rPr>
          <w:rtl/>
        </w:rPr>
        <w:t xml:space="preserve"> قد لا </w:t>
      </w:r>
      <w:r w:rsidRPr="0041424B">
        <w:rPr>
          <w:rFonts w:hint="cs"/>
          <w:rtl/>
        </w:rPr>
        <w:t>ينفَّذ</w:t>
      </w:r>
      <w:r w:rsidRPr="0041424B">
        <w:rPr>
          <w:rtl/>
        </w:rPr>
        <w:t xml:space="preserve"> على نطاق واسع من جانب بعض هذه البلدان.</w:t>
      </w:r>
    </w:p>
    <w:p w14:paraId="52BDAF0C" w14:textId="3FE578FF" w:rsidR="0041424B" w:rsidRPr="008C69B8" w:rsidRDefault="0041424B" w:rsidP="0041424B">
      <w:pPr>
        <w:rPr>
          <w:spacing w:val="-2"/>
          <w:lang w:bidi="ar-EG"/>
        </w:rPr>
      </w:pPr>
      <w:r w:rsidRPr="008C69B8">
        <w:rPr>
          <w:spacing w:val="-2"/>
          <w:rtl/>
        </w:rPr>
        <w:t>وتجدر الإشارة إلى أن الاتحاد الدولي للاتصالات (</w:t>
      </w:r>
      <w:r w:rsidRPr="008C69B8">
        <w:rPr>
          <w:spacing w:val="-2"/>
          <w:lang w:bidi="ar-EG"/>
        </w:rPr>
        <w:t>ITU</w:t>
      </w:r>
      <w:r w:rsidRPr="008C69B8">
        <w:rPr>
          <w:spacing w:val="-2"/>
          <w:rtl/>
        </w:rPr>
        <w:t>) ينظم حلقات دراسية عالمية وإقليمية للاتصالات الراديوية (</w:t>
      </w:r>
      <w:r w:rsidR="00E2361D" w:rsidRPr="008C69B8">
        <w:rPr>
          <w:spacing w:val="-2"/>
        </w:rPr>
        <w:t>WRS/RRS</w:t>
      </w:r>
      <w:r w:rsidRPr="008C69B8">
        <w:rPr>
          <w:spacing w:val="-2"/>
          <w:rtl/>
        </w:rPr>
        <w:t xml:space="preserve">) تركز على تطبيق أحكام لوائح الراديو </w:t>
      </w:r>
      <w:r w:rsidRPr="008C69B8">
        <w:rPr>
          <w:rFonts w:hint="eastAsia"/>
          <w:spacing w:val="-2"/>
          <w:rtl/>
        </w:rPr>
        <w:t>ل</w:t>
      </w:r>
      <w:r w:rsidRPr="008C69B8">
        <w:rPr>
          <w:spacing w:val="-2"/>
          <w:rtl/>
        </w:rPr>
        <w:t xml:space="preserve">لاتحاد، بما في ذلك التدريب العملي على إجراءات التبليغ </w:t>
      </w:r>
      <w:r w:rsidRPr="008C69B8">
        <w:rPr>
          <w:rFonts w:hint="eastAsia"/>
          <w:spacing w:val="-2"/>
          <w:rtl/>
        </w:rPr>
        <w:t>إلى</w:t>
      </w:r>
      <w:r w:rsidRPr="008C69B8">
        <w:rPr>
          <w:spacing w:val="-2"/>
          <w:rtl/>
        </w:rPr>
        <w:t xml:space="preserve"> الاتحاد واستخدام أدوات برمجيات الاتحاد، مما يعزز قدرة الدول الأعضاء على إدارة موارد الطيف بفعالية.</w:t>
      </w:r>
    </w:p>
    <w:p w14:paraId="51F14B2E" w14:textId="77777777" w:rsidR="0041424B" w:rsidRPr="008C69B8" w:rsidRDefault="0041424B" w:rsidP="0041424B">
      <w:pPr>
        <w:rPr>
          <w:spacing w:val="-2"/>
          <w:lang w:bidi="ar-EG"/>
        </w:rPr>
      </w:pPr>
      <w:r w:rsidRPr="008C69B8">
        <w:rPr>
          <w:rFonts w:hint="eastAsia"/>
          <w:spacing w:val="-2"/>
          <w:rtl/>
        </w:rPr>
        <w:t>ولكن</w:t>
      </w:r>
      <w:r w:rsidRPr="008C69B8">
        <w:rPr>
          <w:spacing w:val="-2"/>
          <w:rtl/>
        </w:rPr>
        <w:t xml:space="preserve"> قد </w:t>
      </w:r>
      <w:r w:rsidRPr="008C69B8">
        <w:rPr>
          <w:rFonts w:hint="eastAsia"/>
          <w:spacing w:val="-2"/>
          <w:rtl/>
        </w:rPr>
        <w:t>تقتضي</w:t>
      </w:r>
      <w:r w:rsidRPr="008C69B8">
        <w:rPr>
          <w:spacing w:val="-2"/>
          <w:rtl/>
        </w:rPr>
        <w:t xml:space="preserve"> الضرور</w:t>
      </w:r>
      <w:r w:rsidRPr="008C69B8">
        <w:rPr>
          <w:rFonts w:hint="eastAsia"/>
          <w:spacing w:val="-2"/>
          <w:rtl/>
        </w:rPr>
        <w:t>ة</w:t>
      </w:r>
      <w:r w:rsidRPr="008C69B8">
        <w:rPr>
          <w:spacing w:val="-2"/>
          <w:rtl/>
        </w:rPr>
        <w:t xml:space="preserve">، بالإضافة إلى هذه الحلقات الدراسية العالمية والإقليمية للاتصالات الراديوية، توسيع نطاق الجهود لتنظيم حلقات دراسية للاتصالات الراديوية على المستوى دون الإقليمي، لتحقيق تأثير أكبر. ويمكن أن تركز هذه الحلقات الدراسية على إجراءات الاتحاد للتبليغ والتسجيل، والحلول للمشاكل/التحديات التي تواجهها تلك البلدان في مجال التنسيق. وسيعزز هذا النهج الخبرة التقنية، ويشجع </w:t>
      </w:r>
      <w:r w:rsidRPr="008C69B8">
        <w:rPr>
          <w:rFonts w:hint="eastAsia"/>
          <w:spacing w:val="-2"/>
          <w:rtl/>
        </w:rPr>
        <w:t>الالتزام</w:t>
      </w:r>
      <w:r w:rsidRPr="008C69B8">
        <w:rPr>
          <w:spacing w:val="-2"/>
          <w:rtl/>
        </w:rPr>
        <w:t xml:space="preserve"> التنظيمي، ويتصدى للتحديات الفريدة التي تواجهها البلدان في إدارة مواردها من الطيف.</w:t>
      </w:r>
    </w:p>
    <w:p w14:paraId="30DE0C2A" w14:textId="5130CDF6" w:rsidR="0041424B" w:rsidRPr="0041424B" w:rsidRDefault="0041424B" w:rsidP="0041424B">
      <w:pPr>
        <w:pStyle w:val="Heading1"/>
        <w:rPr>
          <w:lang w:val="en-GB"/>
        </w:rPr>
      </w:pPr>
      <w:r w:rsidRPr="0041424B">
        <w:rPr>
          <w:rtl/>
        </w:rPr>
        <w:t>2</w:t>
      </w:r>
      <w:r w:rsidRPr="0041424B">
        <w:rPr>
          <w:rtl/>
        </w:rPr>
        <w:tab/>
      </w:r>
      <w:r w:rsidR="00FA2803">
        <w:rPr>
          <w:rFonts w:hint="cs"/>
          <w:rtl/>
        </w:rPr>
        <w:t>ال</w:t>
      </w:r>
      <w:r w:rsidRPr="0041424B">
        <w:rPr>
          <w:rFonts w:hint="cs"/>
          <w:rtl/>
        </w:rPr>
        <w:t>مقترح</w:t>
      </w:r>
    </w:p>
    <w:p w14:paraId="518562AD" w14:textId="77777777" w:rsidR="0041424B" w:rsidRPr="0041424B" w:rsidRDefault="0041424B" w:rsidP="0041424B">
      <w:pPr>
        <w:rPr>
          <w:spacing w:val="-2"/>
          <w:lang w:bidi="ar-EG"/>
        </w:rPr>
      </w:pPr>
      <w:r w:rsidRPr="0041424B">
        <w:rPr>
          <w:spacing w:val="-2"/>
          <w:rtl/>
        </w:rPr>
        <w:t>تقترح إدارة الهند أن ينظم مكتب الاتصالات الراديوية للاتحاد حلقة دراسية دون إقليمية للاتصالات الراديوية كل سنتين/أربع سنوات تركز على</w:t>
      </w:r>
      <w:r w:rsidRPr="0041424B">
        <w:rPr>
          <w:rFonts w:hint="cs"/>
          <w:spacing w:val="-2"/>
          <w:rtl/>
        </w:rPr>
        <w:t xml:space="preserve"> ما يلي</w:t>
      </w:r>
      <w:r w:rsidRPr="0041424B">
        <w:rPr>
          <w:spacing w:val="-2"/>
          <w:rtl/>
        </w:rPr>
        <w:t>:</w:t>
      </w:r>
    </w:p>
    <w:p w14:paraId="05276244" w14:textId="5C7B50C7" w:rsidR="0041424B" w:rsidRPr="0041424B" w:rsidRDefault="003C2B9F" w:rsidP="003C2B9F">
      <w:pPr>
        <w:pStyle w:val="enumlev1"/>
        <w:rPr>
          <w:lang w:bidi="ar-EG"/>
        </w:rPr>
      </w:pPr>
      <w:r>
        <w:sym w:font="Symbol" w:char="F0B7"/>
      </w:r>
      <w:r>
        <w:rPr>
          <w:rtl/>
        </w:rPr>
        <w:tab/>
      </w:r>
      <w:r w:rsidR="0041424B" w:rsidRPr="0041424B">
        <w:rPr>
          <w:rtl/>
        </w:rPr>
        <w:t>إجراءات الاتحاد للتبليغ والتسجيل واستخدام برمجيات الاتحاد.</w:t>
      </w:r>
    </w:p>
    <w:p w14:paraId="52F16EE5" w14:textId="5C11CDFF" w:rsidR="0041424B" w:rsidRPr="0041424B" w:rsidRDefault="003C2B9F" w:rsidP="003C2B9F">
      <w:pPr>
        <w:pStyle w:val="enumlev1"/>
        <w:rPr>
          <w:lang w:bidi="ar-EG"/>
        </w:rPr>
      </w:pPr>
      <w:r>
        <w:sym w:font="Symbol" w:char="F0B7"/>
      </w:r>
      <w:r>
        <w:rPr>
          <w:rtl/>
        </w:rPr>
        <w:tab/>
      </w:r>
      <w:r w:rsidR="0041424B" w:rsidRPr="0041424B">
        <w:rPr>
          <w:rtl/>
        </w:rPr>
        <w:t>تبادل المعلومات بشأن السياسات واللوائح والتدابير التقنية للتحكم في التداخل عبر الحدود/</w:t>
      </w:r>
      <w:r w:rsidR="0041424B" w:rsidRPr="0041424B">
        <w:rPr>
          <w:rFonts w:hint="cs"/>
          <w:rtl/>
        </w:rPr>
        <w:t>طفح</w:t>
      </w:r>
      <w:r w:rsidR="0041424B" w:rsidRPr="0041424B">
        <w:rPr>
          <w:rtl/>
        </w:rPr>
        <w:t xml:space="preserve"> الإشارات الراديوية.</w:t>
      </w:r>
    </w:p>
    <w:p w14:paraId="133816C5" w14:textId="372897F0" w:rsidR="0041424B" w:rsidRPr="0041424B" w:rsidRDefault="003C2B9F" w:rsidP="003C2B9F">
      <w:pPr>
        <w:pStyle w:val="enumlev1"/>
        <w:rPr>
          <w:lang w:bidi="ar-EG"/>
        </w:rPr>
      </w:pPr>
      <w:r>
        <w:sym w:font="Symbol" w:char="F0B7"/>
      </w:r>
      <w:r>
        <w:rPr>
          <w:rtl/>
        </w:rPr>
        <w:tab/>
      </w:r>
      <w:r w:rsidR="0041424B" w:rsidRPr="0041424B">
        <w:rPr>
          <w:rtl/>
        </w:rPr>
        <w:t>إطار نموذجي للترتيبات الخاصة.</w:t>
      </w:r>
    </w:p>
    <w:p w14:paraId="69CE334B" w14:textId="3218A4D3" w:rsidR="0041424B" w:rsidRPr="0041424B" w:rsidRDefault="003C2B9F" w:rsidP="003C2B9F">
      <w:pPr>
        <w:pStyle w:val="enumlev1"/>
        <w:rPr>
          <w:lang w:bidi="ar-EG"/>
        </w:rPr>
      </w:pPr>
      <w:r>
        <w:lastRenderedPageBreak/>
        <w:sym w:font="Symbol" w:char="F0B7"/>
      </w:r>
      <w:r>
        <w:rPr>
          <w:rtl/>
        </w:rPr>
        <w:tab/>
      </w:r>
      <w:r w:rsidR="0041424B" w:rsidRPr="0041424B">
        <w:rPr>
          <w:rtl/>
        </w:rPr>
        <w:t>تيسير تبادل الخبرات الحديثة للإدارات/الهيئات التنظيمية في إدارة التداخل عبر الحدود/</w:t>
      </w:r>
      <w:r w:rsidR="0041424B" w:rsidRPr="0041424B">
        <w:rPr>
          <w:rFonts w:hint="cs"/>
          <w:rtl/>
        </w:rPr>
        <w:t>طفح</w:t>
      </w:r>
      <w:r w:rsidR="0041424B" w:rsidRPr="0041424B">
        <w:rPr>
          <w:rtl/>
        </w:rPr>
        <w:t xml:space="preserve"> الإشارات الراديوية.</w:t>
      </w:r>
    </w:p>
    <w:p w14:paraId="2692B923" w14:textId="1AF5B249" w:rsidR="0041424B" w:rsidRPr="0041424B" w:rsidRDefault="003C2B9F" w:rsidP="003C2B9F">
      <w:pPr>
        <w:pStyle w:val="enumlev1"/>
        <w:rPr>
          <w:lang w:bidi="ar-EG"/>
        </w:rPr>
      </w:pPr>
      <w:r>
        <w:sym w:font="Symbol" w:char="F0B7"/>
      </w:r>
      <w:r>
        <w:rPr>
          <w:rtl/>
        </w:rPr>
        <w:tab/>
      </w:r>
      <w:r w:rsidR="0041424B" w:rsidRPr="0041424B">
        <w:rPr>
          <w:rtl/>
        </w:rPr>
        <w:t>أي موضوع آخر ذي صلة يراه مكتب الاتصالات الراديوية مناسبا</w:t>
      </w:r>
      <w:r w:rsidR="00512607">
        <w:rPr>
          <w:rFonts w:hint="cs"/>
          <w:rtl/>
        </w:rPr>
        <w:t>ً</w:t>
      </w:r>
      <w:r w:rsidR="0041424B" w:rsidRPr="0041424B">
        <w:rPr>
          <w:rtl/>
        </w:rPr>
        <w:t>.</w:t>
      </w:r>
    </w:p>
    <w:p w14:paraId="4E4F6F84" w14:textId="65D534FA" w:rsidR="00EE60E9" w:rsidRDefault="0041424B" w:rsidP="0041424B">
      <w:pPr>
        <w:rPr>
          <w:lang w:bidi="ar-EG"/>
        </w:rPr>
      </w:pPr>
      <w:r w:rsidRPr="0041424B">
        <w:rPr>
          <w:rFonts w:hint="cs"/>
          <w:b/>
          <w:rtl/>
        </w:rPr>
        <w:t>وسيعود</w:t>
      </w:r>
      <w:r w:rsidRPr="0041424B">
        <w:rPr>
          <w:b/>
          <w:rtl/>
        </w:rPr>
        <w:t xml:space="preserve"> تبادل المعارف والمعلومات هذا </w:t>
      </w:r>
      <w:r w:rsidRPr="0041424B">
        <w:rPr>
          <w:rFonts w:hint="cs"/>
          <w:b/>
          <w:rtl/>
        </w:rPr>
        <w:t>بالنفع</w:t>
      </w:r>
      <w:r w:rsidRPr="0041424B">
        <w:rPr>
          <w:b/>
          <w:rtl/>
        </w:rPr>
        <w:t xml:space="preserve"> </w:t>
      </w:r>
      <w:r w:rsidRPr="0041424B">
        <w:rPr>
          <w:rFonts w:hint="cs"/>
          <w:b/>
          <w:rtl/>
        </w:rPr>
        <w:t>على ا</w:t>
      </w:r>
      <w:r w:rsidRPr="0041424B">
        <w:rPr>
          <w:b/>
          <w:rtl/>
        </w:rPr>
        <w:t xml:space="preserve">لبلدان النامية في تخطيط شبكاتها </w:t>
      </w:r>
      <w:r w:rsidRPr="0041424B">
        <w:rPr>
          <w:rFonts w:hint="cs"/>
          <w:b/>
          <w:rtl/>
        </w:rPr>
        <w:t>وسيساعدها</w:t>
      </w:r>
      <w:r w:rsidRPr="0041424B">
        <w:rPr>
          <w:b/>
          <w:rtl/>
        </w:rPr>
        <w:t xml:space="preserve"> في تنسيق شبكاتها والتحكم في قضايا </w:t>
      </w:r>
      <w:r w:rsidRPr="0041424B">
        <w:rPr>
          <w:rFonts w:hint="cs"/>
          <w:b/>
          <w:rtl/>
        </w:rPr>
        <w:t>طفح</w:t>
      </w:r>
      <w:r w:rsidRPr="0041424B">
        <w:rPr>
          <w:b/>
          <w:rtl/>
        </w:rPr>
        <w:t xml:space="preserve"> الإشارات الراديوية عبر الحدود، وبالتالي تعزيز الاستخدام الفعال للطيف الراديوي.</w:t>
      </w:r>
    </w:p>
    <w:p w14:paraId="67B3BEDA" w14:textId="43EB62F5" w:rsidR="0039465C" w:rsidRPr="0039465C" w:rsidRDefault="0039465C" w:rsidP="0039465C">
      <w:pPr>
        <w:spacing w:before="600"/>
        <w:jc w:val="center"/>
      </w:pPr>
      <w:r w:rsidRPr="0039465C">
        <w:rPr>
          <w:rFonts w:hint="cs"/>
          <w:rtl/>
          <w:lang w:bidi="ar-EG"/>
        </w:rPr>
        <w:t>ــــــــــــــــــــــــــــــــــــــــــــــــــــــــــــــــــــــــــــــــــــــــــــــــ</w:t>
      </w:r>
    </w:p>
    <w:sectPr w:rsidR="0039465C" w:rsidRPr="0039465C" w:rsidSect="004D4AE6">
      <w:headerReference w:type="even" r:id="rId13"/>
      <w:headerReference w:type="default" r:id="rId14"/>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D523B8" w14:textId="77777777" w:rsidR="00E1670E" w:rsidRDefault="00E1670E" w:rsidP="002919E1">
      <w:r>
        <w:separator/>
      </w:r>
    </w:p>
    <w:p w14:paraId="16C7F801" w14:textId="77777777" w:rsidR="00E1670E" w:rsidRDefault="00E1670E" w:rsidP="002919E1"/>
    <w:p w14:paraId="1081EDA5" w14:textId="77777777" w:rsidR="00E1670E" w:rsidRDefault="00E1670E" w:rsidP="002919E1"/>
    <w:p w14:paraId="63869E05" w14:textId="77777777" w:rsidR="00E1670E" w:rsidRDefault="00E1670E"/>
  </w:endnote>
  <w:endnote w:type="continuationSeparator" w:id="0">
    <w:p w14:paraId="5D2A6171" w14:textId="77777777" w:rsidR="00E1670E" w:rsidRDefault="00E1670E" w:rsidP="002919E1">
      <w:r>
        <w:continuationSeparator/>
      </w:r>
    </w:p>
    <w:p w14:paraId="3DE92390" w14:textId="77777777" w:rsidR="00E1670E" w:rsidRDefault="00E1670E" w:rsidP="002919E1"/>
    <w:p w14:paraId="34061A4A" w14:textId="77777777" w:rsidR="00E1670E" w:rsidRDefault="00E1670E" w:rsidP="002919E1"/>
    <w:p w14:paraId="692B4D97" w14:textId="77777777" w:rsidR="00E1670E" w:rsidRDefault="00E167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6838F" w14:textId="77777777" w:rsidR="00E1670E" w:rsidRDefault="00E1670E" w:rsidP="002919E1">
      <w:r>
        <w:separator/>
      </w:r>
    </w:p>
  </w:footnote>
  <w:footnote w:type="continuationSeparator" w:id="0">
    <w:p w14:paraId="7B46E25B" w14:textId="77777777" w:rsidR="00E1670E" w:rsidRDefault="00E1670E" w:rsidP="002919E1">
      <w:r>
        <w:continuationSeparator/>
      </w:r>
    </w:p>
    <w:p w14:paraId="6966A5F5" w14:textId="77777777" w:rsidR="00E1670E" w:rsidRDefault="00E1670E" w:rsidP="002919E1"/>
    <w:p w14:paraId="21F98D3C" w14:textId="77777777" w:rsidR="00E1670E" w:rsidRDefault="00E1670E" w:rsidP="002919E1"/>
    <w:p w14:paraId="7DABF97B" w14:textId="77777777" w:rsidR="00E1670E" w:rsidRDefault="00E167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69AC7" w14:textId="77777777" w:rsidR="00281F5F" w:rsidRDefault="00281F5F" w:rsidP="002919E1"/>
  <w:p w14:paraId="5CEC851B" w14:textId="77777777" w:rsidR="00281F5F" w:rsidRDefault="00281F5F" w:rsidP="002919E1"/>
  <w:p w14:paraId="78BB3B37"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C3E9E" w14:textId="53B1D10F" w:rsidR="00281F5F" w:rsidRPr="0088384B" w:rsidRDefault="00281F5F" w:rsidP="005730DF">
    <w:pPr>
      <w:bidi w:val="0"/>
      <w:spacing w:after="240"/>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Pr>
        <w:rStyle w:val="PageNumber"/>
        <w:rtl/>
      </w:rPr>
      <w:br/>
    </w:r>
    <w:r w:rsidR="002F3031">
      <w:rPr>
        <w:rStyle w:val="PageNumber"/>
      </w:rPr>
      <w:t>R</w:t>
    </w:r>
    <w:r w:rsidR="0057610B">
      <w:rPr>
        <w:rStyle w:val="PageNumber"/>
      </w:rPr>
      <w:t>AG</w:t>
    </w:r>
    <w:r w:rsidR="00A809E8">
      <w:rPr>
        <w:rStyle w:val="PageNumber"/>
      </w:rPr>
      <w:t>/</w:t>
    </w:r>
    <w:r w:rsidR="000F6139">
      <w:rPr>
        <w:rStyle w:val="PageNumber"/>
        <w:rFonts w:hint="cs"/>
        <w:rtl/>
      </w:rPr>
      <w:t>41</w:t>
    </w:r>
    <w:r w:rsidR="00A809E8">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064F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9A44E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7E214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B043BF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1C5D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163A69FD"/>
    <w:multiLevelType w:val="hybridMultilevel"/>
    <w:tmpl w:val="384C126E"/>
    <w:lvl w:ilvl="0" w:tplc="DDFE0F52">
      <w:start w:val="1"/>
      <w:numFmt w:val="decimalFullWidth"/>
      <w:lvlText w:val="%1"/>
      <w:lvlJc w:val="left"/>
      <w:pPr>
        <w:ind w:left="1155" w:hanging="795"/>
      </w:pPr>
      <w:rPr>
        <w:rFonts w:hint="default"/>
      </w:rPr>
    </w:lvl>
    <w:lvl w:ilvl="1" w:tplc="04090019" w:tentative="1">
      <w:start w:val="1"/>
      <w:numFmt w:val="arabicAlpha"/>
      <w:lvlText w:val="%2."/>
      <w:lvlJc w:val="left"/>
      <w:pPr>
        <w:ind w:left="1440" w:hanging="360"/>
      </w:pPr>
    </w:lvl>
    <w:lvl w:ilvl="2" w:tplc="0409001B" w:tentative="1">
      <w:start w:val="1"/>
      <w:numFmt w:val="arabicAbjad"/>
      <w:lvlText w:val="%3."/>
      <w:lvlJc w:val="right"/>
      <w:pPr>
        <w:ind w:left="2160" w:hanging="180"/>
      </w:pPr>
    </w:lvl>
    <w:lvl w:ilvl="3" w:tplc="0409000F" w:tentative="1">
      <w:start w:val="1"/>
      <w:numFmt w:val="decimalFullWidth"/>
      <w:lvlText w:val="%4."/>
      <w:lvlJc w:val="left"/>
      <w:pPr>
        <w:ind w:left="2880" w:hanging="360"/>
      </w:pPr>
    </w:lvl>
    <w:lvl w:ilvl="4" w:tplc="04090019" w:tentative="1">
      <w:start w:val="1"/>
      <w:numFmt w:val="arabicAlpha"/>
      <w:lvlText w:val="%5."/>
      <w:lvlJc w:val="left"/>
      <w:pPr>
        <w:ind w:left="3600" w:hanging="360"/>
      </w:pPr>
    </w:lvl>
    <w:lvl w:ilvl="5" w:tplc="0409001B" w:tentative="1">
      <w:start w:val="1"/>
      <w:numFmt w:val="arabicAbjad"/>
      <w:lvlText w:val="%6."/>
      <w:lvlJc w:val="right"/>
      <w:pPr>
        <w:ind w:left="4320" w:hanging="180"/>
      </w:pPr>
    </w:lvl>
    <w:lvl w:ilvl="6" w:tplc="0409000F" w:tentative="1">
      <w:start w:val="1"/>
      <w:numFmt w:val="decimalFullWidth"/>
      <w:lvlText w:val="%7."/>
      <w:lvlJc w:val="left"/>
      <w:pPr>
        <w:ind w:left="5040" w:hanging="360"/>
      </w:pPr>
    </w:lvl>
    <w:lvl w:ilvl="7" w:tplc="04090019" w:tentative="1">
      <w:start w:val="1"/>
      <w:numFmt w:val="arabicAlpha"/>
      <w:lvlText w:val="%8."/>
      <w:lvlJc w:val="left"/>
      <w:pPr>
        <w:ind w:left="5760" w:hanging="360"/>
      </w:pPr>
    </w:lvl>
    <w:lvl w:ilvl="8" w:tplc="0409001B" w:tentative="1">
      <w:start w:val="1"/>
      <w:numFmt w:val="arabicAbjad"/>
      <w:lvlText w:val="%9."/>
      <w:lvlJc w:val="right"/>
      <w:pPr>
        <w:ind w:left="6480" w:hanging="180"/>
      </w:pPr>
    </w:lvl>
  </w:abstractNum>
  <w:abstractNum w:abstractNumId="12" w15:restartNumberingAfterBreak="0">
    <w:nsid w:val="33132F08"/>
    <w:multiLevelType w:val="hybridMultilevel"/>
    <w:tmpl w:val="01707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748380059">
    <w:abstractNumId w:val="9"/>
  </w:num>
  <w:num w:numId="2" w16cid:durableId="2108650629">
    <w:abstractNumId w:val="13"/>
  </w:num>
  <w:num w:numId="3" w16cid:durableId="1059552143">
    <w:abstractNumId w:val="10"/>
  </w:num>
  <w:num w:numId="4" w16cid:durableId="752242440">
    <w:abstractNumId w:val="14"/>
  </w:num>
  <w:num w:numId="5" w16cid:durableId="1414357304">
    <w:abstractNumId w:val="7"/>
  </w:num>
  <w:num w:numId="6" w16cid:durableId="2083523398">
    <w:abstractNumId w:val="6"/>
  </w:num>
  <w:num w:numId="7" w16cid:durableId="2030331263">
    <w:abstractNumId w:val="5"/>
  </w:num>
  <w:num w:numId="8" w16cid:durableId="132602675">
    <w:abstractNumId w:val="4"/>
  </w:num>
  <w:num w:numId="9" w16cid:durableId="1935168254">
    <w:abstractNumId w:val="8"/>
  </w:num>
  <w:num w:numId="10" w16cid:durableId="1998143605">
    <w:abstractNumId w:val="3"/>
  </w:num>
  <w:num w:numId="11" w16cid:durableId="1164472857">
    <w:abstractNumId w:val="2"/>
  </w:num>
  <w:num w:numId="12" w16cid:durableId="576792933">
    <w:abstractNumId w:val="1"/>
  </w:num>
  <w:num w:numId="13" w16cid:durableId="1886986834">
    <w:abstractNumId w:val="0"/>
  </w:num>
  <w:num w:numId="14" w16cid:durableId="694963459">
    <w:abstractNumId w:val="11"/>
  </w:num>
  <w:num w:numId="15" w16cid:durableId="10600102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9F"/>
    <w:rsid w:val="00011021"/>
    <w:rsid w:val="000114EC"/>
    <w:rsid w:val="00011F8C"/>
    <w:rsid w:val="00022B74"/>
    <w:rsid w:val="0002327C"/>
    <w:rsid w:val="00034B65"/>
    <w:rsid w:val="00040C94"/>
    <w:rsid w:val="000425FC"/>
    <w:rsid w:val="00044D43"/>
    <w:rsid w:val="00051907"/>
    <w:rsid w:val="00075A3F"/>
    <w:rsid w:val="000A1B16"/>
    <w:rsid w:val="000B3896"/>
    <w:rsid w:val="000B5404"/>
    <w:rsid w:val="000D1708"/>
    <w:rsid w:val="000E2AFC"/>
    <w:rsid w:val="000E6D30"/>
    <w:rsid w:val="000F05F5"/>
    <w:rsid w:val="000F518F"/>
    <w:rsid w:val="000F6139"/>
    <w:rsid w:val="0010081C"/>
    <w:rsid w:val="001013E3"/>
    <w:rsid w:val="0010363F"/>
    <w:rsid w:val="00123AA6"/>
    <w:rsid w:val="0012545F"/>
    <w:rsid w:val="001277C9"/>
    <w:rsid w:val="00136B82"/>
    <w:rsid w:val="001464F2"/>
    <w:rsid w:val="00167364"/>
    <w:rsid w:val="001903B2"/>
    <w:rsid w:val="001B5953"/>
    <w:rsid w:val="001D3AD2"/>
    <w:rsid w:val="001D746E"/>
    <w:rsid w:val="001E190C"/>
    <w:rsid w:val="001E518D"/>
    <w:rsid w:val="001E51EE"/>
    <w:rsid w:val="001E54F6"/>
    <w:rsid w:val="001E5A8C"/>
    <w:rsid w:val="001E6923"/>
    <w:rsid w:val="00201A0A"/>
    <w:rsid w:val="002075D4"/>
    <w:rsid w:val="00211B2A"/>
    <w:rsid w:val="00223C6C"/>
    <w:rsid w:val="002333A0"/>
    <w:rsid w:val="002543CF"/>
    <w:rsid w:val="0026062E"/>
    <w:rsid w:val="00260F50"/>
    <w:rsid w:val="00261EF7"/>
    <w:rsid w:val="0027069F"/>
    <w:rsid w:val="00280E04"/>
    <w:rsid w:val="00281F5F"/>
    <w:rsid w:val="002843E4"/>
    <w:rsid w:val="002917AB"/>
    <w:rsid w:val="002919E1"/>
    <w:rsid w:val="00293E9F"/>
    <w:rsid w:val="00294468"/>
    <w:rsid w:val="00295917"/>
    <w:rsid w:val="00296071"/>
    <w:rsid w:val="002A4572"/>
    <w:rsid w:val="002A7E2E"/>
    <w:rsid w:val="002B12C5"/>
    <w:rsid w:val="002B16D8"/>
    <w:rsid w:val="002D5F64"/>
    <w:rsid w:val="002D6BB4"/>
    <w:rsid w:val="002D6FBF"/>
    <w:rsid w:val="002E48BF"/>
    <w:rsid w:val="002E61C2"/>
    <w:rsid w:val="002F3031"/>
    <w:rsid w:val="002F3E46"/>
    <w:rsid w:val="0030601A"/>
    <w:rsid w:val="00311E3F"/>
    <w:rsid w:val="00314B1E"/>
    <w:rsid w:val="0033737F"/>
    <w:rsid w:val="00353652"/>
    <w:rsid w:val="003569E1"/>
    <w:rsid w:val="003815E2"/>
    <w:rsid w:val="00381FAD"/>
    <w:rsid w:val="00382A66"/>
    <w:rsid w:val="003923B1"/>
    <w:rsid w:val="0039465C"/>
    <w:rsid w:val="003965FE"/>
    <w:rsid w:val="003B27AD"/>
    <w:rsid w:val="003B4F23"/>
    <w:rsid w:val="003C011E"/>
    <w:rsid w:val="003C12F6"/>
    <w:rsid w:val="003C2B9F"/>
    <w:rsid w:val="003C3A13"/>
    <w:rsid w:val="003E02EF"/>
    <w:rsid w:val="003E1D90"/>
    <w:rsid w:val="00400CD4"/>
    <w:rsid w:val="0041424B"/>
    <w:rsid w:val="004147B9"/>
    <w:rsid w:val="00422C04"/>
    <w:rsid w:val="00423A40"/>
    <w:rsid w:val="00426144"/>
    <w:rsid w:val="004636E2"/>
    <w:rsid w:val="00464B03"/>
    <w:rsid w:val="00470CBD"/>
    <w:rsid w:val="0047407D"/>
    <w:rsid w:val="004909DD"/>
    <w:rsid w:val="004A05E6"/>
    <w:rsid w:val="004A6230"/>
    <w:rsid w:val="004A6C66"/>
    <w:rsid w:val="004A7AA0"/>
    <w:rsid w:val="004C11BC"/>
    <w:rsid w:val="004C5C04"/>
    <w:rsid w:val="004D0448"/>
    <w:rsid w:val="004D4AE6"/>
    <w:rsid w:val="004F0BED"/>
    <w:rsid w:val="00505FCA"/>
    <w:rsid w:val="00510C2D"/>
    <w:rsid w:val="00512607"/>
    <w:rsid w:val="00516042"/>
    <w:rsid w:val="005166A4"/>
    <w:rsid w:val="005169F4"/>
    <w:rsid w:val="005210D1"/>
    <w:rsid w:val="00523146"/>
    <w:rsid w:val="00523275"/>
    <w:rsid w:val="00531DC7"/>
    <w:rsid w:val="005350B0"/>
    <w:rsid w:val="005431B5"/>
    <w:rsid w:val="00546A99"/>
    <w:rsid w:val="005516D1"/>
    <w:rsid w:val="00553411"/>
    <w:rsid w:val="00553F66"/>
    <w:rsid w:val="00554AE7"/>
    <w:rsid w:val="00564746"/>
    <w:rsid w:val="0056512C"/>
    <w:rsid w:val="00567F38"/>
    <w:rsid w:val="005730DF"/>
    <w:rsid w:val="0057610B"/>
    <w:rsid w:val="00576D0A"/>
    <w:rsid w:val="00576FCC"/>
    <w:rsid w:val="00584333"/>
    <w:rsid w:val="005953EC"/>
    <w:rsid w:val="005B00A1"/>
    <w:rsid w:val="005C29C8"/>
    <w:rsid w:val="005C5D25"/>
    <w:rsid w:val="005D2606"/>
    <w:rsid w:val="005D6D48"/>
    <w:rsid w:val="005D72A4"/>
    <w:rsid w:val="005F05CC"/>
    <w:rsid w:val="005F65DE"/>
    <w:rsid w:val="00613492"/>
    <w:rsid w:val="00630905"/>
    <w:rsid w:val="006315B5"/>
    <w:rsid w:val="00637EB2"/>
    <w:rsid w:val="0065562F"/>
    <w:rsid w:val="006577C0"/>
    <w:rsid w:val="006779A4"/>
    <w:rsid w:val="00680A66"/>
    <w:rsid w:val="00681391"/>
    <w:rsid w:val="00694690"/>
    <w:rsid w:val="0069526C"/>
    <w:rsid w:val="006A093D"/>
    <w:rsid w:val="006A12AC"/>
    <w:rsid w:val="006A2162"/>
    <w:rsid w:val="006B4B90"/>
    <w:rsid w:val="006B658C"/>
    <w:rsid w:val="006C5C6B"/>
    <w:rsid w:val="006D2674"/>
    <w:rsid w:val="006E38D0"/>
    <w:rsid w:val="006E465B"/>
    <w:rsid w:val="006F70BF"/>
    <w:rsid w:val="00716B1D"/>
    <w:rsid w:val="00722242"/>
    <w:rsid w:val="007248EC"/>
    <w:rsid w:val="00726744"/>
    <w:rsid w:val="00731150"/>
    <w:rsid w:val="00731749"/>
    <w:rsid w:val="00734E41"/>
    <w:rsid w:val="007351CE"/>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E6847"/>
    <w:rsid w:val="007E6B0A"/>
    <w:rsid w:val="007F08CA"/>
    <w:rsid w:val="007F7FC3"/>
    <w:rsid w:val="00801238"/>
    <w:rsid w:val="00810482"/>
    <w:rsid w:val="00817568"/>
    <w:rsid w:val="008204AC"/>
    <w:rsid w:val="008261C2"/>
    <w:rsid w:val="00827482"/>
    <w:rsid w:val="00830D96"/>
    <w:rsid w:val="0085569D"/>
    <w:rsid w:val="00855B59"/>
    <w:rsid w:val="0085774F"/>
    <w:rsid w:val="008579A5"/>
    <w:rsid w:val="008614B8"/>
    <w:rsid w:val="008657CB"/>
    <w:rsid w:val="00873A6F"/>
    <w:rsid w:val="0088384B"/>
    <w:rsid w:val="00893E53"/>
    <w:rsid w:val="008A1137"/>
    <w:rsid w:val="008A1788"/>
    <w:rsid w:val="008A3E57"/>
    <w:rsid w:val="008A4185"/>
    <w:rsid w:val="008A6552"/>
    <w:rsid w:val="008A6D0D"/>
    <w:rsid w:val="008B4E93"/>
    <w:rsid w:val="008B52B7"/>
    <w:rsid w:val="008C3818"/>
    <w:rsid w:val="008C69B8"/>
    <w:rsid w:val="008D6ACC"/>
    <w:rsid w:val="008D7AF0"/>
    <w:rsid w:val="008E2CBE"/>
    <w:rsid w:val="008E32DD"/>
    <w:rsid w:val="008F4626"/>
    <w:rsid w:val="009004DF"/>
    <w:rsid w:val="00904AA5"/>
    <w:rsid w:val="00951718"/>
    <w:rsid w:val="00960962"/>
    <w:rsid w:val="00972CE0"/>
    <w:rsid w:val="009753EB"/>
    <w:rsid w:val="009A3D30"/>
    <w:rsid w:val="009D6348"/>
    <w:rsid w:val="009E046E"/>
    <w:rsid w:val="009E5007"/>
    <w:rsid w:val="009E613F"/>
    <w:rsid w:val="009F042B"/>
    <w:rsid w:val="00A03F63"/>
    <w:rsid w:val="00A03FD6"/>
    <w:rsid w:val="00A04CF4"/>
    <w:rsid w:val="00A116A8"/>
    <w:rsid w:val="00A17E61"/>
    <w:rsid w:val="00A22AE9"/>
    <w:rsid w:val="00A261FF"/>
    <w:rsid w:val="00A26758"/>
    <w:rsid w:val="00A26D0E"/>
    <w:rsid w:val="00A27205"/>
    <w:rsid w:val="00A278E9"/>
    <w:rsid w:val="00A3451F"/>
    <w:rsid w:val="00A3584A"/>
    <w:rsid w:val="00A35E1F"/>
    <w:rsid w:val="00A36268"/>
    <w:rsid w:val="00A375BD"/>
    <w:rsid w:val="00A40B2C"/>
    <w:rsid w:val="00A42ADC"/>
    <w:rsid w:val="00A66D2B"/>
    <w:rsid w:val="00A809E8"/>
    <w:rsid w:val="00A85B65"/>
    <w:rsid w:val="00A870AD"/>
    <w:rsid w:val="00A90843"/>
    <w:rsid w:val="00A9645C"/>
    <w:rsid w:val="00AB2A33"/>
    <w:rsid w:val="00AC1275"/>
    <w:rsid w:val="00AC7395"/>
    <w:rsid w:val="00AD162B"/>
    <w:rsid w:val="00AD690F"/>
    <w:rsid w:val="00AD69DD"/>
    <w:rsid w:val="00AE6B26"/>
    <w:rsid w:val="00AF22C1"/>
    <w:rsid w:val="00AF3EFA"/>
    <w:rsid w:val="00AF41D1"/>
    <w:rsid w:val="00B01623"/>
    <w:rsid w:val="00B033DF"/>
    <w:rsid w:val="00B039AD"/>
    <w:rsid w:val="00B07CEE"/>
    <w:rsid w:val="00B12661"/>
    <w:rsid w:val="00B16045"/>
    <w:rsid w:val="00B1667D"/>
    <w:rsid w:val="00B1714C"/>
    <w:rsid w:val="00B357E9"/>
    <w:rsid w:val="00B4164D"/>
    <w:rsid w:val="00B425C1"/>
    <w:rsid w:val="00B606BA"/>
    <w:rsid w:val="00B66817"/>
    <w:rsid w:val="00B71E3B"/>
    <w:rsid w:val="00B721D5"/>
    <w:rsid w:val="00B7393C"/>
    <w:rsid w:val="00B81CB5"/>
    <w:rsid w:val="00B8351F"/>
    <w:rsid w:val="00B86C44"/>
    <w:rsid w:val="00B9727C"/>
    <w:rsid w:val="00BA7D44"/>
    <w:rsid w:val="00BD6291"/>
    <w:rsid w:val="00BD6EF3"/>
    <w:rsid w:val="00BE69C3"/>
    <w:rsid w:val="00C1165E"/>
    <w:rsid w:val="00C22074"/>
    <w:rsid w:val="00C2377B"/>
    <w:rsid w:val="00C32B79"/>
    <w:rsid w:val="00C34E09"/>
    <w:rsid w:val="00C3693C"/>
    <w:rsid w:val="00C449F7"/>
    <w:rsid w:val="00C53F6F"/>
    <w:rsid w:val="00C5489D"/>
    <w:rsid w:val="00C71759"/>
    <w:rsid w:val="00C8199C"/>
    <w:rsid w:val="00C84112"/>
    <w:rsid w:val="00C841EB"/>
    <w:rsid w:val="00C8665F"/>
    <w:rsid w:val="00C917B5"/>
    <w:rsid w:val="00C94DFA"/>
    <w:rsid w:val="00CA298C"/>
    <w:rsid w:val="00CB02B7"/>
    <w:rsid w:val="00CB2BF9"/>
    <w:rsid w:val="00CB4300"/>
    <w:rsid w:val="00CB454E"/>
    <w:rsid w:val="00CC030E"/>
    <w:rsid w:val="00CC68C4"/>
    <w:rsid w:val="00CC79A4"/>
    <w:rsid w:val="00CD0FDE"/>
    <w:rsid w:val="00CD1574"/>
    <w:rsid w:val="00CE0E68"/>
    <w:rsid w:val="00CE5BA4"/>
    <w:rsid w:val="00CF2B0A"/>
    <w:rsid w:val="00D25120"/>
    <w:rsid w:val="00D36C5E"/>
    <w:rsid w:val="00D419CB"/>
    <w:rsid w:val="00D44350"/>
    <w:rsid w:val="00D44E3F"/>
    <w:rsid w:val="00D51BB8"/>
    <w:rsid w:val="00D525F5"/>
    <w:rsid w:val="00D535D0"/>
    <w:rsid w:val="00D577D8"/>
    <w:rsid w:val="00D62C78"/>
    <w:rsid w:val="00D81703"/>
    <w:rsid w:val="00D82929"/>
    <w:rsid w:val="00D84214"/>
    <w:rsid w:val="00D943E5"/>
    <w:rsid w:val="00DA1AE0"/>
    <w:rsid w:val="00DC29DD"/>
    <w:rsid w:val="00DC7C0E"/>
    <w:rsid w:val="00DD7F45"/>
    <w:rsid w:val="00DE7387"/>
    <w:rsid w:val="00DF2A6A"/>
    <w:rsid w:val="00DF3B72"/>
    <w:rsid w:val="00E10821"/>
    <w:rsid w:val="00E1670E"/>
    <w:rsid w:val="00E2361D"/>
    <w:rsid w:val="00E2489D"/>
    <w:rsid w:val="00E26520"/>
    <w:rsid w:val="00E26732"/>
    <w:rsid w:val="00E343A3"/>
    <w:rsid w:val="00E47277"/>
    <w:rsid w:val="00E51BFA"/>
    <w:rsid w:val="00E6129E"/>
    <w:rsid w:val="00E621A3"/>
    <w:rsid w:val="00E833BC"/>
    <w:rsid w:val="00E8580E"/>
    <w:rsid w:val="00E97E21"/>
    <w:rsid w:val="00EA1B76"/>
    <w:rsid w:val="00EA77D7"/>
    <w:rsid w:val="00EC09B9"/>
    <w:rsid w:val="00ED048C"/>
    <w:rsid w:val="00EE60E9"/>
    <w:rsid w:val="00EF38AF"/>
    <w:rsid w:val="00F00143"/>
    <w:rsid w:val="00F055F8"/>
    <w:rsid w:val="00F10CB4"/>
    <w:rsid w:val="00F11B3D"/>
    <w:rsid w:val="00F146AC"/>
    <w:rsid w:val="00F14763"/>
    <w:rsid w:val="00F16212"/>
    <w:rsid w:val="00F16602"/>
    <w:rsid w:val="00F25B80"/>
    <w:rsid w:val="00F2685F"/>
    <w:rsid w:val="00F33A34"/>
    <w:rsid w:val="00F350C8"/>
    <w:rsid w:val="00F52E75"/>
    <w:rsid w:val="00F84613"/>
    <w:rsid w:val="00F8654D"/>
    <w:rsid w:val="00F900C9"/>
    <w:rsid w:val="00F92C96"/>
    <w:rsid w:val="00F97D1C"/>
    <w:rsid w:val="00FA0D4E"/>
    <w:rsid w:val="00FA2803"/>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952DF40"/>
  <w15:docId w15:val="{D2C593B4-E5F7-4D8A-839C-1CE4AAA37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5B65"/>
    <w:pPr>
      <w:tabs>
        <w:tab w:val="left" w:pos="794"/>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731749"/>
    <w:pPr>
      <w:keepNext/>
      <w:spacing w:before="280"/>
      <w:ind w:left="794" w:hanging="79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6577C0"/>
    <w:pPr>
      <w:keepLines/>
      <w:tabs>
        <w:tab w:val="left" w:pos="372"/>
      </w:tabs>
      <w:spacing w:before="60"/>
    </w:pPr>
    <w:rPr>
      <w:sz w:val="18"/>
      <w:szCs w:val="18"/>
      <w:lang w:bidi="ar-EG"/>
    </w:rPr>
  </w:style>
  <w:style w:type="character" w:customStyle="1" w:styleId="FootnoteTextChar">
    <w:name w:val="Footnote Text Char"/>
    <w:basedOn w:val="DefaultParagraphFont"/>
    <w:link w:val="FootnoteText"/>
    <w:rsid w:val="006577C0"/>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D51BB8"/>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A27205"/>
    <w:pPr>
      <w:keepNext/>
      <w:keepLines/>
      <w:spacing w:before="180"/>
      <w:ind w:firstLine="1134"/>
    </w:pPr>
    <w:rPr>
      <w:i/>
      <w:iCs/>
    </w:rPr>
  </w:style>
  <w:style w:type="character" w:customStyle="1" w:styleId="CallChar">
    <w:name w:val="Call Char"/>
    <w:basedOn w:val="DefaultParagraphFont"/>
    <w:link w:val="Call"/>
    <w:locked/>
    <w:rsid w:val="00A27205"/>
    <w:rPr>
      <w:rFonts w:ascii="Dubai" w:hAnsi="Dubai" w:cs="Dubai"/>
      <w:i/>
      <w:iCs/>
      <w:sz w:val="22"/>
      <w:szCs w:val="22"/>
      <w:lang w:eastAsia="en-US"/>
    </w:rPr>
  </w:style>
  <w:style w:type="paragraph" w:customStyle="1" w:styleId="enumlev1">
    <w:name w:val="enumlev1"/>
    <w:basedOn w:val="Normal"/>
    <w:next w:val="Normal"/>
    <w:link w:val="enumlev1Char"/>
    <w:qFormat/>
    <w:rsid w:val="00A85B65"/>
    <w:pPr>
      <w:tabs>
        <w:tab w:val="clear" w:pos="794"/>
      </w:tabs>
      <w:spacing w:before="80"/>
      <w:ind w:left="794" w:hanging="794"/>
    </w:pPr>
  </w:style>
  <w:style w:type="character" w:customStyle="1" w:styleId="enumlev1Char">
    <w:name w:val="enumlev1 Char"/>
    <w:basedOn w:val="DefaultParagraphFont"/>
    <w:link w:val="enumlev1"/>
    <w:rsid w:val="00A85B65"/>
    <w:rPr>
      <w:rFonts w:ascii="Dubai" w:hAnsi="Dubai" w:cs="Dubai"/>
      <w:sz w:val="22"/>
      <w:szCs w:val="22"/>
      <w:lang w:eastAsia="en-US"/>
    </w:rPr>
  </w:style>
  <w:style w:type="paragraph" w:customStyle="1" w:styleId="enumlev2">
    <w:name w:val="enumlev2"/>
    <w:basedOn w:val="enumlev1"/>
    <w:next w:val="Normal"/>
    <w:link w:val="enumlev2Char"/>
    <w:qFormat/>
    <w:rsid w:val="00A85B65"/>
    <w:pPr>
      <w:ind w:left="1588"/>
    </w:pPr>
  </w:style>
  <w:style w:type="character" w:customStyle="1" w:styleId="enumlev2Char">
    <w:name w:val="enumlev2 Char"/>
    <w:basedOn w:val="enumlev1Char"/>
    <w:link w:val="enumlev2"/>
    <w:rsid w:val="00A85B65"/>
    <w:rPr>
      <w:rFonts w:ascii="Dubai" w:hAnsi="Dubai" w:cs="Dubai"/>
      <w:sz w:val="22"/>
      <w:szCs w:val="22"/>
      <w:lang w:eastAsia="en-US"/>
    </w:rPr>
  </w:style>
  <w:style w:type="paragraph" w:customStyle="1" w:styleId="enumlev3">
    <w:name w:val="enumlev3"/>
    <w:basedOn w:val="enumlev2"/>
    <w:next w:val="Normal"/>
    <w:link w:val="enumlev3Char"/>
    <w:qFormat/>
    <w:rsid w:val="00A85B65"/>
    <w:pPr>
      <w:ind w:left="2382"/>
    </w:pPr>
  </w:style>
  <w:style w:type="character" w:customStyle="1" w:styleId="enumlev3Char">
    <w:name w:val="enumlev3 Char"/>
    <w:basedOn w:val="enumlev2Char"/>
    <w:link w:val="enumlev3"/>
    <w:rsid w:val="00A85B65"/>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F97D1C"/>
    <w:pPr>
      <w:keepNext/>
      <w:keepLine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tabs>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tabs>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8614B8"/>
    <w:pPr>
      <w:spacing w:after="360"/>
    </w:pPr>
  </w:style>
  <w:style w:type="paragraph" w:customStyle="1" w:styleId="Equationlegend">
    <w:name w:val="Equation_legend"/>
    <w:basedOn w:val="NormalIndent"/>
    <w:rsid w:val="002D6BB4"/>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1985"/>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rPr>
      <w:szCs w:val="20"/>
    </w:r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styleId="Revision">
    <w:name w:val="Revision"/>
    <w:hidden/>
    <w:uiPriority w:val="99"/>
    <w:semiHidden/>
    <w:rsid w:val="00294468"/>
    <w:rPr>
      <w:rFonts w:ascii="Dubai" w:hAnsi="Dubai" w:cs="Duba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ITU\2025\Work\3\27\2500726%5bA%5d\PA_RAG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EFC4C3-DC4A-4907-A9BB-98121FAC99D6}">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2893A09B-EEE6-4C53-B7B9-57B7D6E6621E}">
  <ds:schemaRefs>
    <ds:schemaRef ds:uri="http://schemas.openxmlformats.org/officeDocument/2006/bibliography"/>
  </ds:schemaRefs>
</ds:datastoreItem>
</file>

<file path=customXml/itemProps5.xml><?xml version="1.0" encoding="utf-8"?>
<ds:datastoreItem xmlns:ds="http://schemas.openxmlformats.org/officeDocument/2006/customXml" ds:itemID="{A777C84E-4930-46FD-BC04-07845C361F6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PA_RAG25.dotx</Template>
  <TotalTime>1</TotalTime>
  <Pages>2</Pages>
  <Words>415</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MMAS</dc:creator>
  <cp:keywords>WRC-12</cp:keywords>
  <cp:lastModifiedBy>Xue, Kun</cp:lastModifiedBy>
  <cp:revision>2</cp:revision>
  <cp:lastPrinted>2019-06-26T10:10:00Z</cp:lastPrinted>
  <dcterms:created xsi:type="dcterms:W3CDTF">2025-04-02T10:03:00Z</dcterms:created>
  <dcterms:modified xsi:type="dcterms:W3CDTF">2025-04-02T10:03:00Z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