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0222E584" w14:textId="77777777" w:rsidTr="001B4810">
        <w:trPr>
          <w:cantSplit/>
        </w:trPr>
        <w:tc>
          <w:tcPr>
            <w:tcW w:w="6771" w:type="dxa"/>
            <w:vAlign w:val="center"/>
          </w:tcPr>
          <w:p w14:paraId="4185297E"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2C959932"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7240ED49" wp14:editId="3FDBF80A">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44086759" w14:textId="77777777" w:rsidTr="001D2E57">
        <w:trPr>
          <w:gridAfter w:val="1"/>
          <w:wAfter w:w="28" w:type="dxa"/>
          <w:cantSplit/>
        </w:trPr>
        <w:tc>
          <w:tcPr>
            <w:tcW w:w="6771" w:type="dxa"/>
            <w:tcBorders>
              <w:bottom w:val="single" w:sz="12" w:space="0" w:color="auto"/>
            </w:tcBorders>
          </w:tcPr>
          <w:p w14:paraId="0FCB9DF9"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11780299" w14:textId="77777777" w:rsidR="0051782D" w:rsidRPr="00D872CB" w:rsidRDefault="0051782D" w:rsidP="000A4F34">
            <w:pPr>
              <w:shd w:val="solid" w:color="FFFFFF" w:fill="FFFFFF"/>
              <w:spacing w:before="0" w:after="48"/>
              <w:rPr>
                <w:sz w:val="22"/>
                <w:szCs w:val="22"/>
              </w:rPr>
            </w:pPr>
          </w:p>
        </w:tc>
      </w:tr>
      <w:tr w:rsidR="0051782D" w:rsidRPr="00D872CB" w14:paraId="0FBB1C26" w14:textId="77777777" w:rsidTr="001D2E57">
        <w:trPr>
          <w:gridAfter w:val="1"/>
          <w:wAfter w:w="28" w:type="dxa"/>
          <w:cantSplit/>
        </w:trPr>
        <w:tc>
          <w:tcPr>
            <w:tcW w:w="6771" w:type="dxa"/>
            <w:tcBorders>
              <w:top w:val="single" w:sz="12" w:space="0" w:color="auto"/>
            </w:tcBorders>
          </w:tcPr>
          <w:p w14:paraId="11718AEA"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4BEAF4B8" w14:textId="77777777" w:rsidR="0051782D" w:rsidRPr="00D872CB" w:rsidRDefault="0051782D" w:rsidP="000A4F34">
            <w:pPr>
              <w:shd w:val="solid" w:color="FFFFFF" w:fill="FFFFFF"/>
              <w:spacing w:before="0" w:after="48"/>
            </w:pPr>
          </w:p>
        </w:tc>
      </w:tr>
      <w:tr w:rsidR="0051782D" w:rsidRPr="00D872CB" w14:paraId="36B6360B" w14:textId="77777777" w:rsidTr="001D2E57">
        <w:trPr>
          <w:gridAfter w:val="1"/>
          <w:wAfter w:w="28" w:type="dxa"/>
          <w:cantSplit/>
        </w:trPr>
        <w:tc>
          <w:tcPr>
            <w:tcW w:w="6771" w:type="dxa"/>
            <w:vMerge w:val="restart"/>
          </w:tcPr>
          <w:p w14:paraId="1833A776"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10AC228D" w14:textId="55E30B4F"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E87941">
              <w:rPr>
                <w:rFonts w:ascii="Verdana" w:hAnsi="Verdana"/>
                <w:b/>
                <w:sz w:val="20"/>
                <w:lang w:eastAsia="zh-CN"/>
              </w:rPr>
              <w:t>39</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60F7B0F7" w14:textId="77777777" w:rsidTr="001D2E57">
        <w:trPr>
          <w:gridAfter w:val="1"/>
          <w:wAfter w:w="28" w:type="dxa"/>
          <w:cantSplit/>
        </w:trPr>
        <w:tc>
          <w:tcPr>
            <w:tcW w:w="6771" w:type="dxa"/>
            <w:vMerge/>
          </w:tcPr>
          <w:p w14:paraId="07440E07"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58DAE7B3" w14:textId="2E3352D5"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E87941">
              <w:rPr>
                <w:rFonts w:ascii="Verdana" w:hAnsi="Verdana"/>
                <w:b/>
                <w:sz w:val="20"/>
                <w:lang w:eastAsia="zh-CN"/>
              </w:rPr>
              <w:t>5</w:t>
            </w:r>
            <w:r w:rsidR="00426448" w:rsidRPr="000A4F34">
              <w:rPr>
                <w:rFonts w:ascii="Verdana" w:hAnsi="SimSun"/>
                <w:b/>
                <w:sz w:val="20"/>
                <w:lang w:eastAsia="zh-CN"/>
              </w:rPr>
              <w:t>年</w:t>
            </w:r>
            <w:r w:rsidR="00E87941">
              <w:rPr>
                <w:rFonts w:ascii="Verdana" w:hAnsi="Verdana"/>
                <w:b/>
                <w:sz w:val="20"/>
                <w:lang w:eastAsia="zh-CN"/>
              </w:rPr>
              <w:t>3</w:t>
            </w:r>
            <w:r w:rsidR="00426448" w:rsidRPr="000A4F34">
              <w:rPr>
                <w:rFonts w:ascii="Verdana" w:hAnsi="SimSun"/>
                <w:b/>
                <w:sz w:val="20"/>
                <w:lang w:eastAsia="zh-CN"/>
              </w:rPr>
              <w:t>月</w:t>
            </w:r>
            <w:r w:rsidR="00E87941">
              <w:rPr>
                <w:rFonts w:ascii="Verdana" w:hAnsi="Verdana"/>
                <w:b/>
                <w:sz w:val="20"/>
                <w:lang w:eastAsia="zh-CN"/>
              </w:rPr>
              <w:t>11</w:t>
            </w:r>
            <w:r w:rsidR="00426448" w:rsidRPr="000A4F34">
              <w:rPr>
                <w:rFonts w:ascii="Verdana" w:hAnsi="SimSun"/>
                <w:b/>
                <w:sz w:val="20"/>
                <w:lang w:eastAsia="zh-CN"/>
              </w:rPr>
              <w:t>日</w:t>
            </w:r>
          </w:p>
        </w:tc>
      </w:tr>
      <w:tr w:rsidR="0051782D" w:rsidRPr="00D872CB" w14:paraId="0E7F96DE" w14:textId="77777777" w:rsidTr="001D2E57">
        <w:trPr>
          <w:gridAfter w:val="1"/>
          <w:wAfter w:w="28" w:type="dxa"/>
          <w:cantSplit/>
        </w:trPr>
        <w:tc>
          <w:tcPr>
            <w:tcW w:w="6771" w:type="dxa"/>
            <w:vMerge/>
          </w:tcPr>
          <w:p w14:paraId="194CE600"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3620418D"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4AD0232F" w14:textId="77777777" w:rsidTr="001D2E57">
        <w:trPr>
          <w:gridAfter w:val="1"/>
          <w:wAfter w:w="28" w:type="dxa"/>
          <w:cantSplit/>
        </w:trPr>
        <w:tc>
          <w:tcPr>
            <w:tcW w:w="9894" w:type="dxa"/>
            <w:gridSpan w:val="2"/>
          </w:tcPr>
          <w:p w14:paraId="4FCB718E" w14:textId="22EEC762" w:rsidR="00426448" w:rsidRPr="00D872CB" w:rsidRDefault="00E87941" w:rsidP="000A4F34">
            <w:pPr>
              <w:pStyle w:val="Source"/>
              <w:rPr>
                <w:lang w:eastAsia="zh-CN"/>
              </w:rPr>
            </w:pPr>
            <w:bookmarkStart w:id="3" w:name="dsource" w:colFirst="0" w:colLast="0"/>
            <w:bookmarkEnd w:id="2"/>
            <w:r w:rsidRPr="00E87941">
              <w:rPr>
                <w:rFonts w:hint="eastAsia"/>
                <w:lang w:eastAsia="zh-CN"/>
              </w:rPr>
              <w:t>跨部门协调组（</w:t>
            </w:r>
            <w:r w:rsidRPr="00E87941">
              <w:rPr>
                <w:rFonts w:hint="eastAsia"/>
                <w:lang w:eastAsia="zh-CN"/>
              </w:rPr>
              <w:t>ISCG</w:t>
            </w:r>
            <w:r w:rsidRPr="00E87941">
              <w:rPr>
                <w:rFonts w:hint="eastAsia"/>
                <w:lang w:eastAsia="zh-CN"/>
              </w:rPr>
              <w:t>）</w:t>
            </w:r>
          </w:p>
        </w:tc>
      </w:tr>
      <w:tr w:rsidR="00BC195C" w:rsidRPr="00D872CB" w14:paraId="6CA06DDB" w14:textId="77777777" w:rsidTr="001D2E57">
        <w:trPr>
          <w:gridAfter w:val="1"/>
          <w:wAfter w:w="28" w:type="dxa"/>
          <w:cantSplit/>
        </w:trPr>
        <w:tc>
          <w:tcPr>
            <w:tcW w:w="9894" w:type="dxa"/>
            <w:gridSpan w:val="2"/>
          </w:tcPr>
          <w:p w14:paraId="2DE2B0AB" w14:textId="6BCB48EE" w:rsidR="00E130B3" w:rsidRPr="00726BD1" w:rsidRDefault="00E87941" w:rsidP="00E97F5F">
            <w:pPr>
              <w:pStyle w:val="Title1"/>
              <w:spacing w:after="120"/>
              <w:rPr>
                <w:lang w:val="fr-CH"/>
              </w:rPr>
            </w:pPr>
            <w:bookmarkStart w:id="4" w:name="dtitle1" w:colFirst="0" w:colLast="0"/>
            <w:bookmarkEnd w:id="3"/>
            <w:proofErr w:type="spellStart"/>
            <w:r w:rsidRPr="00E87941">
              <w:t>进度报告</w:t>
            </w:r>
            <w:proofErr w:type="spellEnd"/>
          </w:p>
        </w:tc>
      </w:tr>
    </w:tbl>
    <w:bookmarkEnd w:id="4"/>
    <w:p w14:paraId="75814288" w14:textId="77777777" w:rsidR="00E87941" w:rsidRPr="00C21C8C" w:rsidRDefault="00E87941" w:rsidP="00E87941">
      <w:pPr>
        <w:pStyle w:val="Headingb"/>
      </w:pPr>
      <w:proofErr w:type="spellStart"/>
      <w:r>
        <w:rPr>
          <w:rFonts w:hint="eastAsia"/>
          <w:bCs/>
          <w:lang w:val="zh-CN"/>
        </w:rPr>
        <w:t>引言</w:t>
      </w:r>
      <w:proofErr w:type="spellEnd"/>
    </w:p>
    <w:p w14:paraId="7AE26160" w14:textId="77777777" w:rsidR="00E87941" w:rsidRPr="00C21C8C" w:rsidRDefault="00E87941" w:rsidP="00EA4B69">
      <w:pPr>
        <w:ind w:firstLineChars="200" w:firstLine="480"/>
        <w:rPr>
          <w:lang w:eastAsia="zh-CN"/>
        </w:rPr>
      </w:pPr>
      <w:r>
        <w:rPr>
          <w:lang w:val="zh-CN" w:eastAsia="zh-CN"/>
        </w:rPr>
        <w:t>共同关心问题跨部门协调组（</w:t>
      </w:r>
      <w:r>
        <w:rPr>
          <w:lang w:val="zh-CN" w:eastAsia="zh-CN"/>
        </w:rPr>
        <w:t>ISCG</w:t>
      </w:r>
      <w:r>
        <w:rPr>
          <w:lang w:val="zh-CN" w:eastAsia="zh-CN"/>
        </w:rPr>
        <w:t>）主席</w:t>
      </w:r>
      <w:r>
        <w:rPr>
          <w:lang w:val="zh-CN" w:eastAsia="zh-CN"/>
        </w:rPr>
        <w:t>Fabio Bigi</w:t>
      </w:r>
      <w:r>
        <w:rPr>
          <w:lang w:val="zh-CN" w:eastAsia="zh-CN"/>
        </w:rPr>
        <w:t>先生希望向无线电通信顾问组（</w:t>
      </w:r>
      <w:r>
        <w:rPr>
          <w:lang w:val="zh-CN" w:eastAsia="zh-CN"/>
        </w:rPr>
        <w:t>RAG</w:t>
      </w:r>
      <w:r>
        <w:rPr>
          <w:lang w:val="zh-CN" w:eastAsia="zh-CN"/>
        </w:rPr>
        <w:t>）介绍自</w:t>
      </w:r>
      <w:r>
        <w:rPr>
          <w:lang w:val="zh-CN" w:eastAsia="zh-CN"/>
        </w:rPr>
        <w:t>2024</w:t>
      </w:r>
      <w:r>
        <w:rPr>
          <w:lang w:val="zh-CN" w:eastAsia="zh-CN"/>
        </w:rPr>
        <w:t>年</w:t>
      </w:r>
      <w:r>
        <w:rPr>
          <w:lang w:val="zh-CN" w:eastAsia="zh-CN"/>
        </w:rPr>
        <w:t>5</w:t>
      </w:r>
      <w:r>
        <w:rPr>
          <w:lang w:val="zh-CN" w:eastAsia="zh-CN"/>
        </w:rPr>
        <w:t>月上次会议以来该部门协调组的工作进展情况。</w:t>
      </w:r>
    </w:p>
    <w:p w14:paraId="59BE9762" w14:textId="34565A30" w:rsidR="00E87941" w:rsidRPr="00C21C8C" w:rsidRDefault="00E87941" w:rsidP="00EA4B69">
      <w:pPr>
        <w:ind w:firstLineChars="200" w:firstLine="480"/>
        <w:rPr>
          <w:lang w:eastAsia="zh-CN"/>
        </w:rPr>
      </w:pPr>
      <w:r>
        <w:rPr>
          <w:lang w:val="zh-CN" w:eastAsia="zh-CN"/>
        </w:rPr>
        <w:t>ISCG</w:t>
      </w:r>
      <w:r>
        <w:rPr>
          <w:lang w:val="zh-CN" w:eastAsia="zh-CN"/>
        </w:rPr>
        <w:t>主席</w:t>
      </w:r>
      <w:r>
        <w:rPr>
          <w:rFonts w:hint="eastAsia"/>
          <w:lang w:val="zh-CN" w:eastAsia="zh-CN"/>
        </w:rPr>
        <w:t>亦</w:t>
      </w:r>
      <w:r>
        <w:rPr>
          <w:lang w:val="zh-CN" w:eastAsia="zh-CN"/>
        </w:rPr>
        <w:t>希望通报，该组的职责范围已在</w:t>
      </w:r>
      <w:r>
        <w:rPr>
          <w:lang w:val="zh-CN" w:eastAsia="zh-CN"/>
        </w:rPr>
        <w:t>2025</w:t>
      </w:r>
      <w:r>
        <w:rPr>
          <w:lang w:val="zh-CN" w:eastAsia="zh-CN"/>
        </w:rPr>
        <w:t>年</w:t>
      </w:r>
      <w:r>
        <w:rPr>
          <w:lang w:val="zh-CN" w:eastAsia="zh-CN"/>
        </w:rPr>
        <w:t>2</w:t>
      </w:r>
      <w:r>
        <w:rPr>
          <w:lang w:val="zh-CN" w:eastAsia="zh-CN"/>
        </w:rPr>
        <w:t>月</w:t>
      </w:r>
      <w:r>
        <w:rPr>
          <w:lang w:val="zh-CN" w:eastAsia="zh-CN"/>
        </w:rPr>
        <w:t>12</w:t>
      </w:r>
      <w:r>
        <w:rPr>
          <w:lang w:val="zh-CN" w:eastAsia="zh-CN"/>
        </w:rPr>
        <w:t>日举行的上次会议上更新并获得批准。</w:t>
      </w:r>
      <w:r>
        <w:rPr>
          <w:rFonts w:hint="eastAsia"/>
          <w:lang w:val="zh-CN" w:eastAsia="zh-CN"/>
        </w:rPr>
        <w:t>现已</w:t>
      </w:r>
      <w:r>
        <w:rPr>
          <w:lang w:val="zh-CN" w:eastAsia="zh-CN"/>
        </w:rPr>
        <w:t>向各部门顾问</w:t>
      </w:r>
      <w:proofErr w:type="gramStart"/>
      <w:r>
        <w:rPr>
          <w:lang w:val="zh-CN" w:eastAsia="zh-CN"/>
        </w:rPr>
        <w:t>组发出</w:t>
      </w:r>
      <w:proofErr w:type="gramEnd"/>
      <w:r>
        <w:rPr>
          <w:lang w:val="zh-CN" w:eastAsia="zh-CN"/>
        </w:rPr>
        <w:t>了联络声明，供其参考（见</w:t>
      </w:r>
      <w:hyperlink r:id="rId8" w:history="1">
        <w:r w:rsidRPr="00C21C8C">
          <w:rPr>
            <w:color w:val="0000FF"/>
            <w:u w:val="single"/>
            <w:lang w:eastAsia="zh-CN"/>
          </w:rPr>
          <w:t>RAG/34-E</w:t>
        </w:r>
      </w:hyperlink>
      <w:r>
        <w:rPr>
          <w:lang w:val="zh-CN" w:eastAsia="zh-CN"/>
        </w:rPr>
        <w:t>号文件）。</w:t>
      </w:r>
    </w:p>
    <w:p w14:paraId="7FC28003" w14:textId="15EB19E3" w:rsidR="00E87941" w:rsidRPr="00C21C8C" w:rsidRDefault="00E87941" w:rsidP="00EA4B69">
      <w:pPr>
        <w:ind w:firstLineChars="200" w:firstLine="480"/>
        <w:rPr>
          <w:lang w:eastAsia="zh-CN"/>
        </w:rPr>
      </w:pPr>
      <w:r>
        <w:rPr>
          <w:lang w:val="zh-CN" w:eastAsia="zh-CN"/>
        </w:rPr>
        <w:t>ISCG</w:t>
      </w:r>
      <w:r>
        <w:rPr>
          <w:lang w:val="zh-CN" w:eastAsia="zh-CN"/>
        </w:rPr>
        <w:t>会议期间介绍和讨论的所有文件都可以通过</w:t>
      </w:r>
      <w:hyperlink r:id="rId9" w:history="1">
        <w:r w:rsidRPr="00651A53">
          <w:rPr>
            <w:rStyle w:val="Hyperlink"/>
            <w:lang w:val="zh-CN" w:eastAsia="zh-CN"/>
          </w:rPr>
          <w:t>ISCG</w:t>
        </w:r>
        <w:r w:rsidRPr="00651A53">
          <w:rPr>
            <w:rStyle w:val="Hyperlink"/>
            <w:lang w:val="zh-CN" w:eastAsia="zh-CN"/>
          </w:rPr>
          <w:t>网页</w:t>
        </w:r>
      </w:hyperlink>
      <w:r>
        <w:rPr>
          <w:lang w:val="zh-CN" w:eastAsia="zh-CN"/>
        </w:rPr>
        <w:t>访问，包括职责范围和</w:t>
      </w:r>
      <w:r>
        <w:rPr>
          <w:lang w:val="zh-CN" w:eastAsia="zh-CN"/>
        </w:rPr>
        <w:t>ISCG</w:t>
      </w:r>
      <w:r>
        <w:rPr>
          <w:lang w:val="zh-CN" w:eastAsia="zh-CN"/>
        </w:rPr>
        <w:t>的联系方式。</w:t>
      </w:r>
    </w:p>
    <w:p w14:paraId="54240E82" w14:textId="77777777" w:rsidR="00E87941" w:rsidRPr="00C21C8C" w:rsidRDefault="00E87941" w:rsidP="00E87941">
      <w:pPr>
        <w:pStyle w:val="Headingb"/>
        <w:rPr>
          <w:lang w:eastAsia="zh-CN"/>
        </w:rPr>
      </w:pPr>
      <w:r>
        <w:rPr>
          <w:bCs/>
          <w:lang w:val="zh-CN" w:eastAsia="zh-CN"/>
        </w:rPr>
        <w:t>主要讨论</w:t>
      </w:r>
    </w:p>
    <w:p w14:paraId="064D842C" w14:textId="0343BF96" w:rsidR="00E87941" w:rsidRPr="00C21C8C" w:rsidRDefault="00E87941" w:rsidP="004B4043">
      <w:pPr>
        <w:ind w:firstLineChars="200" w:firstLine="480"/>
        <w:rPr>
          <w:lang w:eastAsia="zh-CN"/>
        </w:rPr>
      </w:pPr>
      <w:r>
        <w:rPr>
          <w:lang w:val="zh-CN" w:eastAsia="zh-CN"/>
        </w:rPr>
        <w:t>ISCG</w:t>
      </w:r>
      <w:r>
        <w:rPr>
          <w:lang w:val="zh-CN" w:eastAsia="zh-CN"/>
        </w:rPr>
        <w:t>将继续处理以下主题：</w:t>
      </w:r>
    </w:p>
    <w:p w14:paraId="66D43185" w14:textId="33A1E4B4" w:rsidR="00E87941" w:rsidRPr="00C21C8C" w:rsidRDefault="00C12257" w:rsidP="00C12257">
      <w:pPr>
        <w:pStyle w:val="enumlev1"/>
        <w:rPr>
          <w:lang w:eastAsia="zh-CN"/>
        </w:rPr>
      </w:pPr>
      <w:r w:rsidRPr="00C12257">
        <w:rPr>
          <w:rFonts w:ascii="STKaiti" w:eastAsia="STKaiti" w:hAnsi="STKaiti"/>
          <w:lang w:val="zh-CN" w:eastAsia="zh-CN"/>
        </w:rPr>
        <w:lastRenderedPageBreak/>
        <w:t>–</w:t>
      </w:r>
      <w:r>
        <w:rPr>
          <w:rFonts w:ascii="STKaiti" w:eastAsia="STKaiti" w:hAnsi="STKaiti"/>
          <w:lang w:val="zh-CN" w:eastAsia="zh-CN"/>
        </w:rPr>
        <w:tab/>
      </w:r>
      <w:r w:rsidR="00E87941" w:rsidRPr="00F55B00">
        <w:rPr>
          <w:rFonts w:ascii="STKaiti" w:eastAsia="STKaiti" w:hAnsi="STKaiti"/>
          <w:lang w:val="zh-CN" w:eastAsia="zh-CN"/>
        </w:rPr>
        <w:t>无障碍获取</w:t>
      </w:r>
      <w:r w:rsidR="00E87941" w:rsidRPr="009A01B3">
        <w:rPr>
          <w:rFonts w:asciiTheme="minorEastAsia" w:eastAsiaTheme="minorEastAsia" w:hAnsiTheme="minorEastAsia"/>
          <w:lang w:val="zh-CN" w:eastAsia="zh-CN"/>
        </w:rPr>
        <w:t>：</w:t>
      </w:r>
      <w:r w:rsidR="00E87941">
        <w:rPr>
          <w:lang w:val="zh-CN" w:eastAsia="zh-CN"/>
        </w:rPr>
        <w:t>ISCG</w:t>
      </w:r>
      <w:r w:rsidR="00E87941">
        <w:rPr>
          <w:lang w:val="zh-CN" w:eastAsia="zh-CN"/>
        </w:rPr>
        <w:t>一直在积极跟踪关于加强国际电联会议的讨论，特别关注远程参会和字幕服务。</w:t>
      </w:r>
    </w:p>
    <w:p w14:paraId="757CBB97" w14:textId="15994999" w:rsidR="00E87941" w:rsidRPr="00C21C8C" w:rsidRDefault="00E87941" w:rsidP="00E87941">
      <w:pPr>
        <w:pStyle w:val="enumlev1"/>
        <w:rPr>
          <w:lang w:eastAsia="zh-CN"/>
        </w:rPr>
      </w:pPr>
      <w:r>
        <w:rPr>
          <w:lang w:val="zh-CN" w:eastAsia="zh-CN"/>
        </w:rPr>
        <w:tab/>
      </w:r>
      <w:r>
        <w:rPr>
          <w:lang w:val="zh-CN" w:eastAsia="zh-CN"/>
        </w:rPr>
        <w:t>国际电联秘书处报告称，</w:t>
      </w:r>
      <w:r>
        <w:rPr>
          <w:lang w:val="zh-CN" w:eastAsia="zh-CN"/>
        </w:rPr>
        <w:t>2024</w:t>
      </w:r>
      <w:r>
        <w:rPr>
          <w:lang w:val="zh-CN" w:eastAsia="zh-CN"/>
        </w:rPr>
        <w:t>年</w:t>
      </w:r>
      <w:r>
        <w:rPr>
          <w:lang w:val="zh-CN" w:eastAsia="zh-CN"/>
        </w:rPr>
        <w:t>ITU-R</w:t>
      </w:r>
      <w:r>
        <w:rPr>
          <w:lang w:val="zh-CN" w:eastAsia="zh-CN"/>
        </w:rPr>
        <w:t>的</w:t>
      </w:r>
      <w:r>
        <w:rPr>
          <w:lang w:val="zh-CN" w:eastAsia="zh-CN"/>
        </w:rPr>
        <w:t>14</w:t>
      </w:r>
      <w:r>
        <w:rPr>
          <w:lang w:val="zh-CN" w:eastAsia="zh-CN"/>
        </w:rPr>
        <w:t>次会议、</w:t>
      </w:r>
      <w:r>
        <w:rPr>
          <w:lang w:val="zh-CN" w:eastAsia="zh-CN"/>
        </w:rPr>
        <w:t>ITU-T</w:t>
      </w:r>
      <w:r>
        <w:rPr>
          <w:lang w:val="zh-CN" w:eastAsia="zh-CN"/>
        </w:rPr>
        <w:t>的</w:t>
      </w:r>
      <w:r>
        <w:rPr>
          <w:lang w:val="zh-CN" w:eastAsia="zh-CN"/>
        </w:rPr>
        <w:t>12</w:t>
      </w:r>
      <w:r>
        <w:rPr>
          <w:lang w:val="zh-CN" w:eastAsia="zh-CN"/>
        </w:rPr>
        <w:t>次会议、</w:t>
      </w:r>
      <w:r>
        <w:rPr>
          <w:lang w:val="zh-CN" w:eastAsia="zh-CN"/>
        </w:rPr>
        <w:t>ITU-D</w:t>
      </w:r>
      <w:r>
        <w:rPr>
          <w:lang w:val="zh-CN" w:eastAsia="zh-CN"/>
        </w:rPr>
        <w:t>的</w:t>
      </w:r>
      <w:r>
        <w:rPr>
          <w:lang w:val="zh-CN" w:eastAsia="zh-CN"/>
        </w:rPr>
        <w:t>35</w:t>
      </w:r>
      <w:r>
        <w:rPr>
          <w:lang w:val="zh-CN" w:eastAsia="zh-CN"/>
        </w:rPr>
        <w:t>次会议以及理事会和</w:t>
      </w:r>
      <w:r>
        <w:rPr>
          <w:lang w:val="zh-CN" w:eastAsia="zh-CN"/>
        </w:rPr>
        <w:t>WSIS</w:t>
      </w:r>
      <w:r>
        <w:rPr>
          <w:lang w:val="zh-CN" w:eastAsia="zh-CN"/>
        </w:rPr>
        <w:t>会议使用了字幕。尽管可以为任何会议提供字幕，但字幕的提供程度取决于划拨的预算。整个国际电</w:t>
      </w:r>
      <w:proofErr w:type="gramStart"/>
      <w:r>
        <w:rPr>
          <w:lang w:val="zh-CN" w:eastAsia="zh-CN"/>
        </w:rPr>
        <w:t>联没有</w:t>
      </w:r>
      <w:proofErr w:type="gramEnd"/>
      <w:r>
        <w:rPr>
          <w:lang w:val="zh-CN" w:eastAsia="zh-CN"/>
        </w:rPr>
        <w:t>统一的字幕政策；每</w:t>
      </w:r>
      <w:r>
        <w:rPr>
          <w:rFonts w:hint="eastAsia"/>
          <w:lang w:val="zh-CN" w:eastAsia="zh-CN"/>
        </w:rPr>
        <w:t>场</w:t>
      </w:r>
      <w:r>
        <w:rPr>
          <w:lang w:val="zh-CN" w:eastAsia="zh-CN"/>
        </w:rPr>
        <w:t>会议组织者决定使用人</w:t>
      </w:r>
      <w:r>
        <w:rPr>
          <w:rFonts w:hint="eastAsia"/>
          <w:lang w:val="zh-CN" w:eastAsia="zh-CN"/>
        </w:rPr>
        <w:t>工</w:t>
      </w:r>
      <w:r>
        <w:rPr>
          <w:lang w:val="zh-CN" w:eastAsia="zh-CN"/>
        </w:rPr>
        <w:t>字幕还是</w:t>
      </w:r>
      <w:r>
        <w:rPr>
          <w:lang w:val="zh-CN" w:eastAsia="zh-CN"/>
        </w:rPr>
        <w:t>AI</w:t>
      </w:r>
      <w:r>
        <w:rPr>
          <w:lang w:val="zh-CN" w:eastAsia="zh-CN"/>
        </w:rPr>
        <w:t>字幕。尽管</w:t>
      </w:r>
      <w:r>
        <w:rPr>
          <w:lang w:val="zh-CN" w:eastAsia="zh-CN"/>
        </w:rPr>
        <w:t>AI</w:t>
      </w:r>
      <w:r>
        <w:rPr>
          <w:lang w:val="zh-CN" w:eastAsia="zh-CN"/>
        </w:rPr>
        <w:t>字幕正在改进并有望变得更加经济高效</w:t>
      </w:r>
      <w:r>
        <w:rPr>
          <w:rFonts w:hint="eastAsia"/>
          <w:lang w:val="zh-CN" w:eastAsia="zh-CN"/>
        </w:rPr>
        <w:t>，但</w:t>
      </w:r>
      <w:r>
        <w:rPr>
          <w:lang w:val="zh-CN" w:eastAsia="zh-CN"/>
        </w:rPr>
        <w:t>目前人工字幕因其质量而受到青睐。人工字幕的成本各不相同，从三小时的远程字幕大约</w:t>
      </w:r>
      <w:r>
        <w:rPr>
          <w:lang w:val="zh-CN" w:eastAsia="zh-CN"/>
        </w:rPr>
        <w:t>750</w:t>
      </w:r>
      <w:r>
        <w:rPr>
          <w:lang w:val="zh-CN" w:eastAsia="zh-CN"/>
        </w:rPr>
        <w:t>美元到现场服务的</w:t>
      </w:r>
      <w:r>
        <w:rPr>
          <w:lang w:val="zh-CN" w:eastAsia="zh-CN"/>
        </w:rPr>
        <w:t>2</w:t>
      </w:r>
      <w:r w:rsidR="00C12257">
        <w:rPr>
          <w:rFonts w:hint="eastAsia"/>
          <w:lang w:val="zh-CN" w:eastAsia="zh-CN"/>
        </w:rPr>
        <w:t xml:space="preserve"> </w:t>
      </w:r>
      <w:r>
        <w:rPr>
          <w:lang w:val="zh-CN" w:eastAsia="zh-CN"/>
        </w:rPr>
        <w:t>000</w:t>
      </w:r>
      <w:r>
        <w:rPr>
          <w:lang w:val="zh-CN" w:eastAsia="zh-CN"/>
        </w:rPr>
        <w:t>多美元不等。</w:t>
      </w:r>
      <w:r>
        <w:rPr>
          <w:lang w:val="zh-CN" w:eastAsia="zh-CN"/>
        </w:rPr>
        <w:t>AI</w:t>
      </w:r>
      <w:r>
        <w:rPr>
          <w:lang w:val="zh-CN" w:eastAsia="zh-CN"/>
        </w:rPr>
        <w:t>字幕已经在多家供应商处进行了测试，但尚未获准用于正式会议，</w:t>
      </w:r>
      <w:r>
        <w:rPr>
          <w:rFonts w:hint="eastAsia"/>
          <w:lang w:val="zh-CN" w:eastAsia="zh-CN"/>
        </w:rPr>
        <w:t>可我们仍</w:t>
      </w:r>
      <w:r>
        <w:rPr>
          <w:lang w:val="zh-CN" w:eastAsia="zh-CN"/>
        </w:rPr>
        <w:t>有兴趣继续试用。国际电联将继续测试</w:t>
      </w:r>
      <w:r>
        <w:rPr>
          <w:lang w:val="zh-CN" w:eastAsia="zh-CN"/>
        </w:rPr>
        <w:t>AI</w:t>
      </w:r>
      <w:r>
        <w:rPr>
          <w:lang w:val="zh-CN" w:eastAsia="zh-CN"/>
        </w:rPr>
        <w:t>字幕工具并寻求成员的反馈。</w:t>
      </w:r>
    </w:p>
    <w:p w14:paraId="4D358EDC" w14:textId="77777777" w:rsidR="00E87941" w:rsidRPr="00C21C8C" w:rsidRDefault="00E87941" w:rsidP="006F045C">
      <w:pPr>
        <w:pStyle w:val="enumlev1"/>
        <w:rPr>
          <w:lang w:eastAsia="zh-CN"/>
        </w:rPr>
      </w:pPr>
      <w:r>
        <w:rPr>
          <w:lang w:val="zh-CN" w:eastAsia="zh-CN"/>
        </w:rPr>
        <w:tab/>
        <w:t>ISCG</w:t>
      </w:r>
      <w:r>
        <w:rPr>
          <w:lang w:val="zh-CN" w:eastAsia="zh-CN"/>
        </w:rPr>
        <w:t>已向理事会财务和人力资源工作组（</w:t>
      </w:r>
      <w:r>
        <w:rPr>
          <w:lang w:val="zh-CN" w:eastAsia="zh-CN"/>
        </w:rPr>
        <w:t>CGW-FHR</w:t>
      </w:r>
      <w:r>
        <w:rPr>
          <w:lang w:val="zh-CN" w:eastAsia="zh-CN"/>
        </w:rPr>
        <w:t>）提议，在邀请与会者参加国际电联会议</w:t>
      </w:r>
      <w:r>
        <w:rPr>
          <w:rFonts w:hint="eastAsia"/>
          <w:lang w:val="zh-CN" w:eastAsia="zh-CN"/>
        </w:rPr>
        <w:t>的</w:t>
      </w:r>
      <w:r>
        <w:rPr>
          <w:lang w:val="zh-CN" w:eastAsia="zh-CN"/>
        </w:rPr>
        <w:t>所有通函中加入一个段落，强调申请字幕服务的选项（见</w:t>
      </w:r>
      <w:hyperlink r:id="rId10" w:history="1">
        <w:r w:rsidRPr="00C12257">
          <w:rPr>
            <w:rStyle w:val="Hyperlink"/>
            <w:lang w:eastAsia="zh-CN"/>
          </w:rPr>
          <w:t>CWG-FHR-20/2</w:t>
        </w:r>
      </w:hyperlink>
      <w:r>
        <w:rPr>
          <w:lang w:val="zh-CN" w:eastAsia="zh-CN"/>
        </w:rPr>
        <w:t>号文件）。</w:t>
      </w:r>
    </w:p>
    <w:p w14:paraId="1AB66345" w14:textId="77777777" w:rsidR="00E87941" w:rsidRDefault="00E87941" w:rsidP="00E87941">
      <w:pPr>
        <w:pStyle w:val="enumlev1"/>
        <w:rPr>
          <w:lang w:val="zh-CN" w:eastAsia="zh-CN"/>
        </w:rPr>
      </w:pPr>
      <w:r>
        <w:rPr>
          <w:lang w:val="zh-CN" w:eastAsia="zh-CN"/>
        </w:rPr>
        <w:tab/>
      </w:r>
      <w:proofErr w:type="gramStart"/>
      <w:r>
        <w:rPr>
          <w:lang w:val="zh-CN" w:eastAsia="zh-CN"/>
        </w:rPr>
        <w:t>随着无</w:t>
      </w:r>
      <w:proofErr w:type="gramEnd"/>
      <w:r>
        <w:rPr>
          <w:lang w:val="zh-CN" w:eastAsia="zh-CN"/>
        </w:rPr>
        <w:t>障碍获取协调员</w:t>
      </w:r>
      <w:r>
        <w:rPr>
          <w:lang w:val="zh-CN" w:eastAsia="zh-CN"/>
        </w:rPr>
        <w:t>Andrea Sacks</w:t>
      </w:r>
      <w:r>
        <w:rPr>
          <w:lang w:val="zh-CN" w:eastAsia="zh-CN"/>
        </w:rPr>
        <w:t>女士近期退休，各部门顾问组应就新的任命达成一致。</w:t>
      </w:r>
    </w:p>
    <w:p w14:paraId="5AA32A8A" w14:textId="09A90F4A" w:rsidR="00E87941" w:rsidRPr="00C21C8C" w:rsidRDefault="009A0628" w:rsidP="00DE204A">
      <w:pPr>
        <w:pStyle w:val="enumlev1"/>
        <w:spacing w:before="240"/>
        <w:rPr>
          <w:lang w:eastAsia="zh-CN"/>
        </w:rPr>
      </w:pPr>
      <w:r w:rsidRPr="009A0628">
        <w:rPr>
          <w:rFonts w:ascii="STKaiti" w:eastAsia="STKaiti" w:hAnsi="STKaiti"/>
          <w:lang w:val="zh-CN" w:eastAsia="zh-CN"/>
        </w:rPr>
        <w:t>–</w:t>
      </w:r>
      <w:r>
        <w:rPr>
          <w:rFonts w:ascii="STKaiti" w:eastAsia="STKaiti" w:hAnsi="STKaiti"/>
          <w:lang w:val="zh-CN" w:eastAsia="zh-CN"/>
        </w:rPr>
        <w:tab/>
      </w:r>
      <w:r w:rsidR="00E87941" w:rsidRPr="00F55B00">
        <w:rPr>
          <w:rFonts w:ascii="STKaiti" w:eastAsia="STKaiti" w:hAnsi="STKaiti"/>
          <w:lang w:val="zh-CN" w:eastAsia="zh-CN"/>
        </w:rPr>
        <w:t>气候变化</w:t>
      </w:r>
      <w:r w:rsidR="00E87941">
        <w:rPr>
          <w:lang w:val="zh-CN" w:eastAsia="zh-CN"/>
        </w:rPr>
        <w:t>：与气候变化和人工智能有关的工作正在进行中，包括制定</w:t>
      </w:r>
      <w:proofErr w:type="gramStart"/>
      <w:r w:rsidR="00E87941">
        <w:rPr>
          <w:lang w:val="zh-CN" w:eastAsia="zh-CN"/>
        </w:rPr>
        <w:t>关于净零转型</w:t>
      </w:r>
      <w:proofErr w:type="gramEnd"/>
      <w:r w:rsidR="00E87941">
        <w:rPr>
          <w:lang w:val="zh-CN" w:eastAsia="zh-CN"/>
        </w:rPr>
        <w:t>的建议，以及创建国际电</w:t>
      </w:r>
      <w:proofErr w:type="gramStart"/>
      <w:r w:rsidR="00E87941">
        <w:rPr>
          <w:lang w:val="zh-CN" w:eastAsia="zh-CN"/>
        </w:rPr>
        <w:t>联全球</w:t>
      </w:r>
      <w:proofErr w:type="gramEnd"/>
      <w:r w:rsidR="00E87941">
        <w:rPr>
          <w:lang w:val="zh-CN" w:eastAsia="zh-CN"/>
        </w:rPr>
        <w:t>温室气体排放数据库。此外，正在制定评估人工智能对环境影响的导则，</w:t>
      </w:r>
      <w:r w:rsidR="00E87941">
        <w:rPr>
          <w:rFonts w:hint="eastAsia"/>
          <w:lang w:val="zh-CN" w:eastAsia="zh-CN"/>
        </w:rPr>
        <w:t>导则会</w:t>
      </w:r>
      <w:r w:rsidR="00E87941">
        <w:rPr>
          <w:lang w:val="zh-CN" w:eastAsia="zh-CN"/>
        </w:rPr>
        <w:t>同时考虑到直接和间接影响。</w:t>
      </w:r>
    </w:p>
    <w:p w14:paraId="40A3CE3E" w14:textId="77777777" w:rsidR="00E87941" w:rsidRPr="00C21C8C" w:rsidRDefault="00E87941" w:rsidP="00E87941">
      <w:pPr>
        <w:pStyle w:val="enumlev1"/>
        <w:rPr>
          <w:lang w:eastAsia="zh-CN"/>
        </w:rPr>
      </w:pPr>
      <w:r>
        <w:rPr>
          <w:lang w:val="zh-CN" w:eastAsia="zh-CN"/>
        </w:rPr>
        <w:lastRenderedPageBreak/>
        <w:tab/>
      </w:r>
      <w:r>
        <w:rPr>
          <w:lang w:val="zh-CN" w:eastAsia="zh-CN"/>
        </w:rPr>
        <w:t>在上次会议期间，气候变化协调</w:t>
      </w:r>
      <w:proofErr w:type="gramStart"/>
      <w:r>
        <w:rPr>
          <w:lang w:val="zh-CN" w:eastAsia="zh-CN"/>
        </w:rPr>
        <w:t>员强调</w:t>
      </w:r>
      <w:proofErr w:type="gramEnd"/>
      <w:r>
        <w:rPr>
          <w:lang w:val="zh-CN" w:eastAsia="zh-CN"/>
        </w:rPr>
        <w:t>了</w:t>
      </w:r>
      <w:r>
        <w:rPr>
          <w:lang w:val="zh-CN" w:eastAsia="zh-CN"/>
        </w:rPr>
        <w:t>ITU-T</w:t>
      </w:r>
      <w:r>
        <w:rPr>
          <w:lang w:val="zh-CN" w:eastAsia="zh-CN"/>
        </w:rPr>
        <w:t>和</w:t>
      </w:r>
      <w:r>
        <w:rPr>
          <w:lang w:val="zh-CN" w:eastAsia="zh-CN"/>
        </w:rPr>
        <w:t>ITU-D</w:t>
      </w:r>
      <w:r>
        <w:rPr>
          <w:lang w:val="zh-CN" w:eastAsia="zh-CN"/>
        </w:rPr>
        <w:t>在这些议题上的合作，并强调了人工智能解决方案在农业和能源优化等领域的潜在优势，特别是对发展中国家</w:t>
      </w:r>
      <w:r>
        <w:rPr>
          <w:rFonts w:hint="eastAsia"/>
          <w:lang w:val="zh-CN" w:eastAsia="zh-CN"/>
        </w:rPr>
        <w:t>而言</w:t>
      </w:r>
      <w:r>
        <w:rPr>
          <w:lang w:val="zh-CN" w:eastAsia="zh-CN"/>
        </w:rPr>
        <w:t>。</w:t>
      </w:r>
    </w:p>
    <w:p w14:paraId="672BFFC1" w14:textId="77777777" w:rsidR="00E87941" w:rsidRDefault="00E87941" w:rsidP="00E87941">
      <w:pPr>
        <w:pStyle w:val="enumlev1"/>
        <w:rPr>
          <w:lang w:val="zh-CN" w:eastAsia="zh-CN"/>
        </w:rPr>
      </w:pPr>
      <w:r>
        <w:rPr>
          <w:lang w:val="zh-CN" w:eastAsia="zh-CN"/>
        </w:rPr>
        <w:tab/>
        <w:t>RAG</w:t>
      </w:r>
      <w:r>
        <w:rPr>
          <w:lang w:val="zh-CN" w:eastAsia="zh-CN"/>
        </w:rPr>
        <w:t>代表建议组织一次非正式会议，进一步讨论这一议题，并请气候变化协调</w:t>
      </w:r>
      <w:proofErr w:type="gramStart"/>
      <w:r>
        <w:rPr>
          <w:lang w:val="zh-CN" w:eastAsia="zh-CN"/>
        </w:rPr>
        <w:t>员加入</w:t>
      </w:r>
      <w:proofErr w:type="gramEnd"/>
      <w:r>
        <w:rPr>
          <w:lang w:val="zh-CN" w:eastAsia="zh-CN"/>
        </w:rPr>
        <w:t>节能广播报告人组。</w:t>
      </w:r>
    </w:p>
    <w:p w14:paraId="6F639105" w14:textId="0CCD35A4" w:rsidR="00E87941" w:rsidRPr="00C21C8C" w:rsidRDefault="00043F32" w:rsidP="00DE204A">
      <w:pPr>
        <w:pStyle w:val="enumlev1"/>
        <w:spacing w:before="240"/>
        <w:rPr>
          <w:lang w:eastAsia="zh-CN"/>
        </w:rPr>
      </w:pPr>
      <w:r w:rsidRPr="00043F32">
        <w:rPr>
          <w:rFonts w:ascii="STKaiti" w:eastAsia="STKaiti" w:hAnsi="STKaiti"/>
          <w:lang w:val="zh-CN" w:eastAsia="zh-CN"/>
        </w:rPr>
        <w:t>–</w:t>
      </w:r>
      <w:r>
        <w:rPr>
          <w:rFonts w:ascii="STKaiti" w:eastAsia="STKaiti" w:hAnsi="STKaiti"/>
          <w:lang w:val="zh-CN" w:eastAsia="zh-CN"/>
        </w:rPr>
        <w:tab/>
      </w:r>
      <w:r w:rsidR="00E87941" w:rsidRPr="00A86602">
        <w:rPr>
          <w:rFonts w:ascii="STKaiti" w:eastAsia="STKaiti" w:hAnsi="STKaiti"/>
          <w:lang w:val="zh-CN" w:eastAsia="zh-CN"/>
        </w:rPr>
        <w:t>虚拟会议/远程参会</w:t>
      </w:r>
      <w:r w:rsidR="00E87941">
        <w:rPr>
          <w:lang w:val="zh-CN" w:eastAsia="zh-CN"/>
        </w:rPr>
        <w:t>：</w:t>
      </w:r>
      <w:proofErr w:type="gramStart"/>
      <w:r w:rsidR="00E87941">
        <w:rPr>
          <w:lang w:val="zh-CN" w:eastAsia="zh-CN"/>
        </w:rPr>
        <w:t>本主题</w:t>
      </w:r>
      <w:proofErr w:type="gramEnd"/>
      <w:r w:rsidR="00E87941">
        <w:rPr>
          <w:lang w:val="zh-CN" w:eastAsia="zh-CN"/>
        </w:rPr>
        <w:t>协调员将继续监督理事会财务和人力资源工作组在理事会层面开展的工作。</w:t>
      </w:r>
    </w:p>
    <w:p w14:paraId="59BF5604" w14:textId="437EBC12" w:rsidR="00E87941" w:rsidRPr="00334286" w:rsidRDefault="00E87941" w:rsidP="00E87941">
      <w:pPr>
        <w:pStyle w:val="enumlev1"/>
        <w:rPr>
          <w:spacing w:val="4"/>
          <w:lang w:eastAsia="zh-CN"/>
        </w:rPr>
      </w:pPr>
      <w:r>
        <w:rPr>
          <w:lang w:val="zh-CN" w:eastAsia="zh-CN"/>
        </w:rPr>
        <w:tab/>
      </w:r>
      <w:r w:rsidRPr="00334286">
        <w:rPr>
          <w:spacing w:val="4"/>
          <w:lang w:val="zh-CN" w:eastAsia="zh-CN"/>
        </w:rPr>
        <w:t>最新更新</w:t>
      </w:r>
      <w:r w:rsidRPr="00334286">
        <w:rPr>
          <w:rFonts w:hint="eastAsia"/>
          <w:spacing w:val="4"/>
          <w:lang w:val="zh-CN" w:eastAsia="zh-CN"/>
        </w:rPr>
        <w:t>中包含</w:t>
      </w:r>
      <w:r w:rsidRPr="00334286">
        <w:rPr>
          <w:spacing w:val="4"/>
          <w:lang w:val="zh-CN" w:eastAsia="zh-CN"/>
        </w:rPr>
        <w:t>商定的</w:t>
      </w:r>
      <w:hyperlink r:id="rId11" w:history="1">
        <w:r w:rsidRPr="00334286">
          <w:rPr>
            <w:rStyle w:val="Hyperlink"/>
            <w:spacing w:val="4"/>
            <w:lang w:val="zh-CN" w:eastAsia="zh-CN"/>
          </w:rPr>
          <w:t>根据第</w:t>
        </w:r>
        <w:r w:rsidRPr="00334286">
          <w:rPr>
            <w:rStyle w:val="Hyperlink"/>
            <w:spacing w:val="4"/>
            <w:lang w:val="zh-CN" w:eastAsia="zh-CN"/>
          </w:rPr>
          <w:t>167</w:t>
        </w:r>
        <w:r w:rsidRPr="00334286">
          <w:rPr>
            <w:rStyle w:val="Hyperlink"/>
            <w:spacing w:val="4"/>
            <w:lang w:val="zh-CN" w:eastAsia="zh-CN"/>
          </w:rPr>
          <w:t>号决议（</w:t>
        </w:r>
        <w:r w:rsidRPr="00334286">
          <w:rPr>
            <w:rStyle w:val="Hyperlink"/>
            <w:spacing w:val="4"/>
            <w:lang w:val="zh-CN" w:eastAsia="zh-CN"/>
          </w:rPr>
          <w:t>2022</w:t>
        </w:r>
        <w:r w:rsidRPr="00334286">
          <w:rPr>
            <w:rStyle w:val="Hyperlink"/>
            <w:spacing w:val="4"/>
            <w:lang w:val="zh-CN" w:eastAsia="zh-CN"/>
          </w:rPr>
          <w:t>年，布加勒斯特，修订版）落实情况在国际电联举办全虚拟和</w:t>
        </w:r>
        <w:proofErr w:type="gramStart"/>
        <w:r w:rsidRPr="00334286">
          <w:rPr>
            <w:rStyle w:val="Hyperlink"/>
            <w:spacing w:val="4"/>
            <w:lang w:val="zh-CN" w:eastAsia="zh-CN"/>
          </w:rPr>
          <w:t>可</w:t>
        </w:r>
        <w:proofErr w:type="gramEnd"/>
        <w:r w:rsidRPr="00334286">
          <w:rPr>
            <w:rStyle w:val="Hyperlink"/>
            <w:spacing w:val="4"/>
            <w:lang w:val="zh-CN" w:eastAsia="zh-CN"/>
          </w:rPr>
          <w:t>远程参会的实体会议的导则草案</w:t>
        </w:r>
      </w:hyperlink>
      <w:r w:rsidRPr="00334286">
        <w:rPr>
          <w:spacing w:val="4"/>
          <w:lang w:val="zh-CN" w:eastAsia="zh-CN"/>
        </w:rPr>
        <w:t>。这些导则将提交理事会第</w:t>
      </w:r>
      <w:r w:rsidRPr="00334286">
        <w:rPr>
          <w:spacing w:val="4"/>
          <w:lang w:val="zh-CN" w:eastAsia="zh-CN"/>
        </w:rPr>
        <w:t>25</w:t>
      </w:r>
      <w:r w:rsidRPr="00334286">
        <w:rPr>
          <w:spacing w:val="4"/>
          <w:lang w:val="zh-CN" w:eastAsia="zh-CN"/>
        </w:rPr>
        <w:t>届会议批准。</w:t>
      </w:r>
      <w:r w:rsidRPr="00334286">
        <w:rPr>
          <w:spacing w:val="4"/>
          <w:lang w:val="zh-CN" w:eastAsia="zh-CN"/>
        </w:rPr>
        <w:t>ISCG</w:t>
      </w:r>
      <w:r w:rsidRPr="00334286">
        <w:rPr>
          <w:spacing w:val="4"/>
          <w:lang w:val="zh-CN" w:eastAsia="zh-CN"/>
        </w:rPr>
        <w:t>就此议题向各部门顾问</w:t>
      </w:r>
      <w:proofErr w:type="gramStart"/>
      <w:r w:rsidRPr="00334286">
        <w:rPr>
          <w:spacing w:val="4"/>
          <w:lang w:val="zh-CN" w:eastAsia="zh-CN"/>
        </w:rPr>
        <w:t>组发出</w:t>
      </w:r>
      <w:proofErr w:type="gramEnd"/>
      <w:r w:rsidRPr="00334286">
        <w:rPr>
          <w:spacing w:val="4"/>
          <w:lang w:val="zh-CN" w:eastAsia="zh-CN"/>
        </w:rPr>
        <w:t>了一份联络声明（</w:t>
      </w:r>
      <w:hyperlink r:id="rId12" w:history="1">
        <w:r w:rsidRPr="00334286">
          <w:rPr>
            <w:rStyle w:val="Hyperlink"/>
            <w:spacing w:val="4"/>
            <w:lang w:val="zh-CN" w:eastAsia="zh-CN"/>
          </w:rPr>
          <w:t>RAG/33-E</w:t>
        </w:r>
      </w:hyperlink>
      <w:r w:rsidRPr="00334286">
        <w:rPr>
          <w:spacing w:val="4"/>
          <w:lang w:val="zh-CN" w:eastAsia="zh-CN"/>
        </w:rPr>
        <w:t>）。</w:t>
      </w:r>
    </w:p>
    <w:p w14:paraId="1C53B232" w14:textId="77777777" w:rsidR="00E87941" w:rsidRDefault="00E87941" w:rsidP="00E87941">
      <w:pPr>
        <w:pStyle w:val="enumlev1"/>
        <w:rPr>
          <w:lang w:val="zh-CN" w:eastAsia="zh-CN"/>
        </w:rPr>
      </w:pPr>
      <w:r>
        <w:rPr>
          <w:lang w:val="zh-CN" w:eastAsia="zh-CN"/>
        </w:rPr>
        <w:tab/>
      </w:r>
      <w:r>
        <w:rPr>
          <w:lang w:val="zh-CN" w:eastAsia="zh-CN"/>
        </w:rPr>
        <w:t>此外，已要求国际电联秘书处研究在国际电</w:t>
      </w:r>
      <w:proofErr w:type="gramStart"/>
      <w:r>
        <w:rPr>
          <w:lang w:val="zh-CN" w:eastAsia="zh-CN"/>
        </w:rPr>
        <w:t>联基本</w:t>
      </w:r>
      <w:proofErr w:type="gramEnd"/>
      <w:r>
        <w:rPr>
          <w:lang w:val="zh-CN" w:eastAsia="zh-CN"/>
        </w:rPr>
        <w:t>文件中变更远程与会者权利的要求。</w:t>
      </w:r>
    </w:p>
    <w:p w14:paraId="46B11673" w14:textId="6C5BEA66" w:rsidR="00E87941" w:rsidRDefault="00A24489" w:rsidP="00DE204A">
      <w:pPr>
        <w:pStyle w:val="enumlev1"/>
        <w:spacing w:before="240"/>
        <w:rPr>
          <w:lang w:val="zh-CN" w:eastAsia="zh-CN"/>
        </w:rPr>
      </w:pPr>
      <w:r w:rsidRPr="00A24489">
        <w:rPr>
          <w:rFonts w:ascii="STKaiti" w:eastAsia="STKaiti" w:hAnsi="STKaiti"/>
          <w:lang w:val="zh-CN" w:eastAsia="zh-CN"/>
        </w:rPr>
        <w:t>–</w:t>
      </w:r>
      <w:r>
        <w:rPr>
          <w:rFonts w:ascii="STKaiti" w:eastAsia="STKaiti" w:hAnsi="STKaiti"/>
          <w:lang w:val="zh-CN" w:eastAsia="zh-CN"/>
        </w:rPr>
        <w:tab/>
      </w:r>
      <w:r w:rsidR="00E87941" w:rsidRPr="00155C74">
        <w:rPr>
          <w:rFonts w:ascii="STKaiti" w:eastAsia="STKaiti" w:hAnsi="STKaiti"/>
          <w:lang w:val="zh-CN" w:eastAsia="zh-CN"/>
        </w:rPr>
        <w:t>国际电联网站</w:t>
      </w:r>
      <w:r w:rsidR="00E87941" w:rsidRPr="00155C74">
        <w:rPr>
          <w:lang w:val="zh-CN" w:eastAsia="zh-CN"/>
        </w:rPr>
        <w:t>：</w:t>
      </w:r>
      <w:r w:rsidR="00E87941" w:rsidRPr="00155C74">
        <w:rPr>
          <w:lang w:val="zh-CN" w:eastAsia="zh-CN"/>
        </w:rPr>
        <w:t>ISCG</w:t>
      </w:r>
      <w:r w:rsidR="00E87941" w:rsidRPr="00155C74">
        <w:rPr>
          <w:lang w:val="zh-CN" w:eastAsia="zh-CN"/>
        </w:rPr>
        <w:t>一直在积极跟踪这一主题，特别要求国际电联秘书处提供关于在</w:t>
      </w:r>
      <w:r w:rsidR="00E87941" w:rsidRPr="00A24489">
        <w:rPr>
          <w:lang w:eastAsia="zh-CN"/>
        </w:rPr>
        <w:t>同等</w:t>
      </w:r>
      <w:r w:rsidR="00E87941" w:rsidRPr="00155C74">
        <w:rPr>
          <w:lang w:val="zh-CN" w:eastAsia="zh-CN"/>
        </w:rPr>
        <w:t>地位上以国际电</w:t>
      </w:r>
      <w:proofErr w:type="gramStart"/>
      <w:r w:rsidR="00E87941" w:rsidRPr="00155C74">
        <w:rPr>
          <w:lang w:val="zh-CN" w:eastAsia="zh-CN"/>
        </w:rPr>
        <w:t>联所有</w:t>
      </w:r>
      <w:proofErr w:type="gramEnd"/>
      <w:r w:rsidR="00E87941" w:rsidRPr="00155C74">
        <w:rPr>
          <w:lang w:val="zh-CN" w:eastAsia="zh-CN"/>
        </w:rPr>
        <w:t>正式语文协调网站和搜索系统的信息。并向理事会语文工作组和</w:t>
      </w:r>
      <w:r w:rsidR="00E87941" w:rsidRPr="00155C74">
        <w:rPr>
          <w:lang w:val="zh-CN" w:eastAsia="zh-CN"/>
        </w:rPr>
        <w:t>ISCG</w:t>
      </w:r>
      <w:r w:rsidR="00E87941">
        <w:rPr>
          <w:rFonts w:hint="eastAsia"/>
          <w:lang w:val="zh-CN" w:eastAsia="zh-CN"/>
        </w:rPr>
        <w:t>的</w:t>
      </w:r>
      <w:r w:rsidR="00E87941" w:rsidRPr="00155C74">
        <w:rPr>
          <w:lang w:val="zh-CN" w:eastAsia="zh-CN"/>
        </w:rPr>
        <w:t>所有会议报告。</w:t>
      </w:r>
    </w:p>
    <w:p w14:paraId="1367525C" w14:textId="63562FCD" w:rsidR="00E87941" w:rsidRPr="00C21C8C" w:rsidRDefault="00FC7C66" w:rsidP="00DE204A">
      <w:pPr>
        <w:pStyle w:val="enumlev1"/>
        <w:spacing w:before="240"/>
        <w:rPr>
          <w:lang w:eastAsia="zh-CN"/>
        </w:rPr>
      </w:pPr>
      <w:r w:rsidRPr="00FC7C66">
        <w:rPr>
          <w:rFonts w:ascii="STKaiti" w:eastAsia="STKaiti" w:hAnsi="STKaiti"/>
          <w:lang w:val="zh-CN" w:eastAsia="zh-CN"/>
        </w:rPr>
        <w:lastRenderedPageBreak/>
        <w:t>–</w:t>
      </w:r>
      <w:r>
        <w:rPr>
          <w:rFonts w:ascii="STKaiti" w:eastAsia="STKaiti" w:hAnsi="STKaiti"/>
          <w:lang w:val="zh-CN" w:eastAsia="zh-CN"/>
        </w:rPr>
        <w:tab/>
      </w:r>
      <w:r w:rsidR="00E87941" w:rsidRPr="00A86602">
        <w:rPr>
          <w:rFonts w:ascii="STKaiti" w:eastAsia="STKaiti" w:hAnsi="STKaiti"/>
          <w:lang w:val="zh-CN" w:eastAsia="zh-CN"/>
        </w:rPr>
        <w:t>可持续数字化转型</w:t>
      </w:r>
      <w:r w:rsidR="00E87941">
        <w:rPr>
          <w:lang w:val="zh-CN" w:eastAsia="zh-CN"/>
        </w:rPr>
        <w:t>：这些主题的协调人认识到《国际电联数字化转型和城市文摘》是关于数字化转型的宝贵和综合资源，并鼓励</w:t>
      </w:r>
      <w:r w:rsidR="00E87941">
        <w:rPr>
          <w:lang w:val="zh-CN" w:eastAsia="zh-CN"/>
        </w:rPr>
        <w:t>ITU-D</w:t>
      </w:r>
      <w:r w:rsidR="00E87941">
        <w:rPr>
          <w:lang w:val="zh-CN" w:eastAsia="zh-CN"/>
        </w:rPr>
        <w:t>、</w:t>
      </w:r>
      <w:r w:rsidR="00E87941">
        <w:rPr>
          <w:lang w:val="zh-CN" w:eastAsia="zh-CN"/>
        </w:rPr>
        <w:t>ITU-R</w:t>
      </w:r>
      <w:r w:rsidR="00E87941">
        <w:rPr>
          <w:lang w:val="zh-CN" w:eastAsia="zh-CN"/>
        </w:rPr>
        <w:t>和总秘书处考虑在出版物中展示他们的活动。各部门可以通过</w:t>
      </w:r>
      <w:r w:rsidR="00E87941">
        <w:rPr>
          <w:rFonts w:hint="eastAsia"/>
          <w:lang w:val="zh-CN" w:eastAsia="zh-CN"/>
        </w:rPr>
        <w:t>向“</w:t>
      </w:r>
      <w:r w:rsidR="00E87941">
        <w:rPr>
          <w:lang w:val="zh-CN" w:eastAsia="zh-CN"/>
        </w:rPr>
        <w:t>文摘</w:t>
      </w:r>
      <w:r w:rsidR="00E87941">
        <w:rPr>
          <w:rFonts w:hint="eastAsia"/>
          <w:lang w:val="zh-CN" w:eastAsia="zh-CN"/>
        </w:rPr>
        <w:t>”</w:t>
      </w:r>
      <w:r w:rsidR="00E87941">
        <w:rPr>
          <w:lang w:val="zh-CN" w:eastAsia="zh-CN"/>
        </w:rPr>
        <w:t>投稿提高知名度，促进跨部门合作，并更全面地了解国际电联在这一重要领域的工作。</w:t>
      </w:r>
    </w:p>
    <w:p w14:paraId="7DCF4E50" w14:textId="77777777" w:rsidR="00E87941" w:rsidRPr="00C21C8C" w:rsidRDefault="00E87941" w:rsidP="00E97F5F">
      <w:pPr>
        <w:ind w:firstLineChars="200" w:firstLine="480"/>
        <w:rPr>
          <w:lang w:eastAsia="zh-CN"/>
        </w:rPr>
      </w:pPr>
      <w:r>
        <w:rPr>
          <w:rFonts w:hint="eastAsia"/>
          <w:lang w:val="zh-CN" w:eastAsia="zh-CN"/>
        </w:rPr>
        <w:t>现已将“</w:t>
      </w:r>
      <w:r>
        <w:rPr>
          <w:lang w:val="zh-CN" w:eastAsia="zh-CN"/>
        </w:rPr>
        <w:t>业界参与</w:t>
      </w:r>
      <w:r>
        <w:rPr>
          <w:rFonts w:hint="eastAsia"/>
          <w:lang w:val="zh-CN" w:eastAsia="zh-CN"/>
        </w:rPr>
        <w:t>”确</w:t>
      </w:r>
      <w:r>
        <w:rPr>
          <w:lang w:val="zh-CN" w:eastAsia="zh-CN"/>
        </w:rPr>
        <w:t>定为一个新的令人感兴趣的主题，</w:t>
      </w:r>
      <w:r>
        <w:rPr>
          <w:rFonts w:hint="eastAsia"/>
          <w:lang w:val="zh-CN" w:eastAsia="zh-CN"/>
        </w:rPr>
        <w:t>其</w:t>
      </w:r>
      <w:r>
        <w:rPr>
          <w:lang w:val="zh-CN" w:eastAsia="zh-CN"/>
        </w:rPr>
        <w:t>协调员尚待任命。我们注意到，在秘书处层面，这一主题</w:t>
      </w:r>
      <w:r>
        <w:rPr>
          <w:rFonts w:hint="eastAsia"/>
          <w:lang w:val="zh-CN" w:eastAsia="zh-CN"/>
        </w:rPr>
        <w:t>位于“</w:t>
      </w:r>
      <w:r>
        <w:rPr>
          <w:lang w:val="zh-CN" w:eastAsia="zh-CN"/>
        </w:rPr>
        <w:t>成员、伙伴关系和资源筹措</w:t>
      </w:r>
      <w:r>
        <w:rPr>
          <w:rFonts w:hint="eastAsia"/>
          <w:lang w:val="zh-CN" w:eastAsia="zh-CN"/>
        </w:rPr>
        <w:t>”下</w:t>
      </w:r>
      <w:r>
        <w:rPr>
          <w:lang w:val="zh-CN" w:eastAsia="zh-CN"/>
        </w:rPr>
        <w:t>。</w:t>
      </w:r>
    </w:p>
    <w:p w14:paraId="14FC4A6D" w14:textId="77777777" w:rsidR="00E87941" w:rsidRPr="00C21C8C" w:rsidRDefault="00E87941" w:rsidP="006F045C">
      <w:pPr>
        <w:ind w:firstLineChars="200" w:firstLine="480"/>
        <w:rPr>
          <w:lang w:eastAsia="zh-CN"/>
        </w:rPr>
      </w:pPr>
      <w:r>
        <w:rPr>
          <w:lang w:val="zh-CN" w:eastAsia="zh-CN"/>
        </w:rPr>
        <w:t>关于国际电联的战略和财务规划，</w:t>
      </w:r>
      <w:r>
        <w:rPr>
          <w:lang w:val="zh-CN" w:eastAsia="zh-CN"/>
        </w:rPr>
        <w:t>ISCG</w:t>
      </w:r>
      <w:r>
        <w:rPr>
          <w:lang w:val="zh-CN" w:eastAsia="zh-CN"/>
        </w:rPr>
        <w:t>主席</w:t>
      </w:r>
      <w:r>
        <w:rPr>
          <w:rFonts w:hint="eastAsia"/>
          <w:lang w:val="zh-CN" w:eastAsia="zh-CN"/>
        </w:rPr>
        <w:t>对</w:t>
      </w:r>
      <w:r>
        <w:rPr>
          <w:lang w:val="zh-CN" w:eastAsia="zh-CN"/>
        </w:rPr>
        <w:t>电信标准化顾问组（</w:t>
      </w:r>
      <w:r>
        <w:rPr>
          <w:lang w:val="zh-CN" w:eastAsia="zh-CN"/>
        </w:rPr>
        <w:t>TSAG</w:t>
      </w:r>
      <w:r>
        <w:rPr>
          <w:lang w:val="zh-CN" w:eastAsia="zh-CN"/>
        </w:rPr>
        <w:t>）向理事会</w:t>
      </w:r>
      <w:r>
        <w:rPr>
          <w:lang w:val="zh-CN" w:eastAsia="zh-CN"/>
        </w:rPr>
        <w:t>2028-2031</w:t>
      </w:r>
      <w:r>
        <w:rPr>
          <w:lang w:val="zh-CN" w:eastAsia="zh-CN"/>
        </w:rPr>
        <w:t>年战略和财务规划工作组（</w:t>
      </w:r>
      <w:r>
        <w:rPr>
          <w:lang w:val="zh-CN" w:eastAsia="zh-CN"/>
        </w:rPr>
        <w:t>CWG-SFP</w:t>
      </w:r>
      <w:r>
        <w:rPr>
          <w:lang w:val="zh-CN" w:eastAsia="zh-CN"/>
        </w:rPr>
        <w:t>）提交的文稿</w:t>
      </w:r>
      <w:r>
        <w:rPr>
          <w:rFonts w:hint="eastAsia"/>
          <w:lang w:val="zh-CN" w:eastAsia="zh-CN"/>
        </w:rPr>
        <w:t>表示</w:t>
      </w:r>
      <w:r>
        <w:rPr>
          <w:lang w:val="zh-CN" w:eastAsia="zh-CN"/>
        </w:rPr>
        <w:t>欢迎，并提议赞同改进国际电</w:t>
      </w:r>
      <w:proofErr w:type="gramStart"/>
      <w:r>
        <w:rPr>
          <w:lang w:val="zh-CN" w:eastAsia="zh-CN"/>
        </w:rPr>
        <w:t>联战略</w:t>
      </w:r>
      <w:proofErr w:type="gramEnd"/>
      <w:r>
        <w:rPr>
          <w:lang w:val="zh-CN" w:eastAsia="zh-CN"/>
        </w:rPr>
        <w:t>和财务规划的提案。主席还鼓励</w:t>
      </w:r>
      <w:r>
        <w:rPr>
          <w:lang w:val="zh-CN" w:eastAsia="zh-CN"/>
        </w:rPr>
        <w:t>RAG</w:t>
      </w:r>
      <w:r>
        <w:rPr>
          <w:lang w:val="zh-CN" w:eastAsia="zh-CN"/>
        </w:rPr>
        <w:t>和</w:t>
      </w:r>
      <w:r>
        <w:rPr>
          <w:lang w:val="zh-CN" w:eastAsia="zh-CN"/>
        </w:rPr>
        <w:t>TDAG</w:t>
      </w:r>
      <w:r>
        <w:rPr>
          <w:lang w:val="zh-CN" w:eastAsia="zh-CN"/>
        </w:rPr>
        <w:t>采取类似行动，积极参加有关战略和财务规划的讨论。</w:t>
      </w:r>
    </w:p>
    <w:p w14:paraId="2DBFF8B6" w14:textId="15CBB6CE" w:rsidR="00E87941" w:rsidRPr="00C21C8C" w:rsidRDefault="00E87941" w:rsidP="006F045C">
      <w:pPr>
        <w:ind w:firstLineChars="200" w:firstLine="480"/>
        <w:rPr>
          <w:lang w:eastAsia="zh-CN"/>
        </w:rPr>
      </w:pPr>
      <w:r>
        <w:rPr>
          <w:lang w:val="zh-CN" w:eastAsia="zh-CN"/>
        </w:rPr>
        <w:t>ISCG</w:t>
      </w:r>
      <w:r>
        <w:rPr>
          <w:lang w:val="zh-CN" w:eastAsia="zh-CN"/>
        </w:rPr>
        <w:t>继续更</w:t>
      </w:r>
      <w:hyperlink r:id="rId13" w:history="1">
        <w:r w:rsidRPr="00036C6B">
          <w:rPr>
            <w:rStyle w:val="Hyperlink"/>
            <w:lang w:val="zh-CN" w:eastAsia="zh-CN"/>
          </w:rPr>
          <w:t>新决议对照表</w:t>
        </w:r>
      </w:hyperlink>
      <w:r>
        <w:rPr>
          <w:rFonts w:hint="eastAsia"/>
          <w:lang w:val="zh-CN" w:eastAsia="zh-CN"/>
        </w:rPr>
        <w:t>和</w:t>
      </w:r>
      <w:hyperlink r:id="rId14" w:history="1">
        <w:r w:rsidRPr="00036C6B">
          <w:rPr>
            <w:rStyle w:val="Hyperlink"/>
            <w:rFonts w:hint="eastAsia"/>
            <w:lang w:val="zh-CN" w:eastAsia="zh-CN"/>
          </w:rPr>
          <w:t>其它对</w:t>
        </w:r>
        <w:r w:rsidRPr="00036C6B">
          <w:rPr>
            <w:rStyle w:val="Hyperlink"/>
            <w:lang w:val="zh-CN" w:eastAsia="zh-CN"/>
          </w:rPr>
          <w:t>照表</w:t>
        </w:r>
      </w:hyperlink>
      <w:r>
        <w:rPr>
          <w:lang w:val="zh-CN" w:eastAsia="zh-CN"/>
        </w:rPr>
        <w:t>。最</w:t>
      </w:r>
      <w:r>
        <w:rPr>
          <w:rFonts w:hint="eastAsia"/>
          <w:lang w:val="zh-CN" w:eastAsia="zh-CN"/>
        </w:rPr>
        <w:t>近</w:t>
      </w:r>
      <w:r>
        <w:rPr>
          <w:lang w:val="zh-CN" w:eastAsia="zh-CN"/>
        </w:rPr>
        <w:t>的更新是在</w:t>
      </w:r>
      <w:r>
        <w:rPr>
          <w:lang w:val="zh-CN" w:eastAsia="zh-CN"/>
        </w:rPr>
        <w:t>2024</w:t>
      </w:r>
      <w:r>
        <w:rPr>
          <w:lang w:val="zh-CN" w:eastAsia="zh-CN"/>
        </w:rPr>
        <w:t>年</w:t>
      </w:r>
      <w:r>
        <w:rPr>
          <w:lang w:val="zh-CN" w:eastAsia="zh-CN"/>
        </w:rPr>
        <w:t>10</w:t>
      </w:r>
      <w:r>
        <w:rPr>
          <w:lang w:val="zh-CN" w:eastAsia="zh-CN"/>
        </w:rPr>
        <w:t>月世界电信标准化全会结束后完成。一旦</w:t>
      </w:r>
      <w:r>
        <w:rPr>
          <w:lang w:val="zh-CN" w:eastAsia="zh-CN"/>
        </w:rPr>
        <w:t>ITU-T</w:t>
      </w:r>
      <w:r>
        <w:rPr>
          <w:lang w:val="zh-CN" w:eastAsia="zh-CN"/>
        </w:rPr>
        <w:t>在</w:t>
      </w:r>
      <w:r>
        <w:rPr>
          <w:lang w:val="zh-CN" w:eastAsia="zh-CN"/>
        </w:rPr>
        <w:t>2025</w:t>
      </w:r>
      <w:r>
        <w:rPr>
          <w:lang w:val="zh-CN" w:eastAsia="zh-CN"/>
        </w:rPr>
        <w:t>年</w:t>
      </w:r>
      <w:r>
        <w:rPr>
          <w:lang w:val="zh-CN" w:eastAsia="zh-CN"/>
        </w:rPr>
        <w:t>5</w:t>
      </w:r>
      <w:r>
        <w:rPr>
          <w:lang w:val="zh-CN" w:eastAsia="zh-CN"/>
        </w:rPr>
        <w:t>月的</w:t>
      </w:r>
      <w:r>
        <w:rPr>
          <w:lang w:val="zh-CN" w:eastAsia="zh-CN"/>
        </w:rPr>
        <w:t>TSAG</w:t>
      </w:r>
      <w:r>
        <w:rPr>
          <w:lang w:val="zh-CN" w:eastAsia="zh-CN"/>
        </w:rPr>
        <w:t>会议后开始新的周期，将更新表</w:t>
      </w:r>
      <w:r>
        <w:rPr>
          <w:lang w:val="zh-CN" w:eastAsia="zh-CN"/>
        </w:rPr>
        <w:t>2</w:t>
      </w:r>
      <w:r>
        <w:rPr>
          <w:lang w:val="zh-CN" w:eastAsia="zh-CN"/>
        </w:rPr>
        <w:t>和表</w:t>
      </w:r>
      <w:r>
        <w:rPr>
          <w:lang w:val="zh-CN" w:eastAsia="zh-CN"/>
        </w:rPr>
        <w:t>3</w:t>
      </w:r>
      <w:r>
        <w:rPr>
          <w:lang w:val="zh-CN" w:eastAsia="zh-CN"/>
        </w:rPr>
        <w:t>。</w:t>
      </w:r>
    </w:p>
    <w:p w14:paraId="38B5320A" w14:textId="77777777" w:rsidR="00E87941" w:rsidRPr="00C21C8C" w:rsidRDefault="00E87941" w:rsidP="00E87941">
      <w:pPr>
        <w:pStyle w:val="Headingb"/>
        <w:rPr>
          <w:lang w:eastAsia="zh-CN"/>
        </w:rPr>
      </w:pPr>
      <w:r>
        <w:rPr>
          <w:bCs/>
          <w:lang w:val="zh-CN" w:eastAsia="zh-CN"/>
        </w:rPr>
        <w:t>结论</w:t>
      </w:r>
    </w:p>
    <w:p w14:paraId="1A4D6DE5" w14:textId="77777777" w:rsidR="00E87941" w:rsidRPr="00C21C8C" w:rsidRDefault="00E87941" w:rsidP="002C3A1D">
      <w:pPr>
        <w:ind w:firstLineChars="200" w:firstLine="480"/>
        <w:rPr>
          <w:lang w:eastAsia="zh-CN"/>
        </w:rPr>
      </w:pPr>
      <w:r>
        <w:rPr>
          <w:lang w:val="zh-CN" w:eastAsia="zh-CN"/>
        </w:rPr>
        <w:t>请</w:t>
      </w:r>
      <w:r>
        <w:rPr>
          <w:lang w:val="zh-CN" w:eastAsia="zh-CN"/>
        </w:rPr>
        <w:t>RAG</w:t>
      </w:r>
      <w:r>
        <w:rPr>
          <w:lang w:val="zh-CN" w:eastAsia="zh-CN"/>
        </w:rPr>
        <w:t>讨论本文件，并就所</w:t>
      </w:r>
      <w:r>
        <w:rPr>
          <w:rFonts w:hint="eastAsia"/>
          <w:lang w:val="zh-CN" w:eastAsia="zh-CN"/>
        </w:rPr>
        <w:t>介绍</w:t>
      </w:r>
      <w:r>
        <w:rPr>
          <w:lang w:val="zh-CN" w:eastAsia="zh-CN"/>
        </w:rPr>
        <w:t>的主题向</w:t>
      </w:r>
      <w:r>
        <w:rPr>
          <w:lang w:val="zh-CN" w:eastAsia="zh-CN"/>
        </w:rPr>
        <w:t>ISCG</w:t>
      </w:r>
      <w:r>
        <w:rPr>
          <w:lang w:val="zh-CN" w:eastAsia="zh-CN"/>
        </w:rPr>
        <w:t>以及任何其他</w:t>
      </w:r>
      <w:r>
        <w:rPr>
          <w:rFonts w:hint="eastAsia"/>
          <w:lang w:val="zh-CN" w:eastAsia="zh-CN"/>
        </w:rPr>
        <w:t>旨在</w:t>
      </w:r>
      <w:r>
        <w:rPr>
          <w:lang w:val="zh-CN" w:eastAsia="zh-CN"/>
        </w:rPr>
        <w:t>加强合作的潜在联合活动或机制</w:t>
      </w:r>
      <w:r>
        <w:rPr>
          <w:rFonts w:hint="eastAsia"/>
          <w:lang w:val="zh-CN" w:eastAsia="zh-CN"/>
        </w:rPr>
        <w:t>，</w:t>
      </w:r>
      <w:r>
        <w:rPr>
          <w:lang w:val="zh-CN" w:eastAsia="zh-CN"/>
        </w:rPr>
        <w:t>提出意见和建议。</w:t>
      </w:r>
    </w:p>
    <w:p w14:paraId="277DAFE0" w14:textId="77777777" w:rsidR="00E87941" w:rsidRPr="00C21C8C" w:rsidRDefault="00E87941" w:rsidP="002C3A1D">
      <w:pPr>
        <w:ind w:firstLineChars="200" w:firstLine="480"/>
        <w:rPr>
          <w:lang w:eastAsia="zh-CN"/>
        </w:rPr>
      </w:pPr>
      <w:r>
        <w:rPr>
          <w:lang w:val="zh-CN" w:eastAsia="zh-CN"/>
        </w:rPr>
        <w:t>建议下一次</w:t>
      </w:r>
      <w:r>
        <w:rPr>
          <w:lang w:val="zh-CN" w:eastAsia="zh-CN"/>
        </w:rPr>
        <w:t>ISCG</w:t>
      </w:r>
      <w:r>
        <w:rPr>
          <w:lang w:val="zh-CN" w:eastAsia="zh-CN"/>
        </w:rPr>
        <w:t>会议在</w:t>
      </w:r>
      <w:r>
        <w:rPr>
          <w:lang w:val="zh-CN" w:eastAsia="zh-CN"/>
        </w:rPr>
        <w:t>TSAG</w:t>
      </w:r>
      <w:r>
        <w:rPr>
          <w:lang w:val="zh-CN" w:eastAsia="zh-CN"/>
        </w:rPr>
        <w:t>期间举行，并通过</w:t>
      </w:r>
      <w:r>
        <w:rPr>
          <w:lang w:val="zh-CN" w:eastAsia="zh-CN"/>
        </w:rPr>
        <w:t>ISCG</w:t>
      </w:r>
      <w:r>
        <w:rPr>
          <w:lang w:val="zh-CN" w:eastAsia="zh-CN"/>
        </w:rPr>
        <w:t>网站分享信息。</w:t>
      </w:r>
    </w:p>
    <w:p w14:paraId="1BD0FB5F" w14:textId="4A43FAE4" w:rsidR="00E87941" w:rsidRPr="00C21C8C" w:rsidRDefault="00E87941" w:rsidP="002C3A1D">
      <w:pPr>
        <w:ind w:firstLineChars="200" w:firstLine="480"/>
        <w:rPr>
          <w:lang w:eastAsia="zh-CN"/>
        </w:rPr>
      </w:pPr>
      <w:r>
        <w:rPr>
          <w:lang w:val="zh-CN" w:eastAsia="zh-CN"/>
        </w:rPr>
        <w:lastRenderedPageBreak/>
        <w:t>ISCG</w:t>
      </w:r>
      <w:r>
        <w:rPr>
          <w:lang w:val="zh-CN" w:eastAsia="zh-CN"/>
        </w:rPr>
        <w:t>主席感谢</w:t>
      </w:r>
      <w:r>
        <w:rPr>
          <w:lang w:val="zh-CN" w:eastAsia="zh-CN"/>
        </w:rPr>
        <w:t>RAG</w:t>
      </w:r>
      <w:r>
        <w:rPr>
          <w:lang w:val="zh-CN" w:eastAsia="zh-CN"/>
        </w:rPr>
        <w:t>成员提供介绍本报告的机会，并邀请他们为</w:t>
      </w:r>
      <w:r>
        <w:rPr>
          <w:lang w:val="zh-CN" w:eastAsia="zh-CN"/>
        </w:rPr>
        <w:t>ISCG</w:t>
      </w:r>
      <w:r>
        <w:rPr>
          <w:lang w:val="zh-CN" w:eastAsia="zh-CN"/>
        </w:rPr>
        <w:t>的活动做出贡献。</w:t>
      </w:r>
    </w:p>
    <w:p w14:paraId="58E55D80" w14:textId="78552B5C" w:rsidR="00BC3ACA" w:rsidRPr="002C3A1D" w:rsidRDefault="00E87941" w:rsidP="008106A8">
      <w:pPr>
        <w:spacing w:before="360"/>
        <w:jc w:val="center"/>
      </w:pPr>
      <w:r>
        <w:rPr>
          <w:lang w:val="zh-CN"/>
        </w:rPr>
        <w:t>______________</w:t>
      </w:r>
    </w:p>
    <w:sectPr w:rsidR="00BC3ACA" w:rsidRPr="002C3A1D" w:rsidSect="00A5181E">
      <w:headerReference w:type="defaul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749F4" w14:textId="77777777" w:rsidR="00DD44F7" w:rsidRDefault="00DD44F7">
      <w:r>
        <w:separator/>
      </w:r>
    </w:p>
  </w:endnote>
  <w:endnote w:type="continuationSeparator" w:id="0">
    <w:p w14:paraId="1D546841" w14:textId="77777777" w:rsidR="00DD44F7" w:rsidRDefault="00D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334EC" w14:textId="77777777" w:rsidR="00DD44F7" w:rsidRDefault="00DD44F7">
      <w:r>
        <w:t>____________________</w:t>
      </w:r>
    </w:p>
  </w:footnote>
  <w:footnote w:type="continuationSeparator" w:id="0">
    <w:p w14:paraId="300B7324" w14:textId="77777777" w:rsidR="00DD44F7" w:rsidRDefault="00DD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C37F"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3D4AAC3D" w14:textId="7E0A1C4F" w:rsidR="005E6891" w:rsidRPr="00AF0B82" w:rsidRDefault="005E6891" w:rsidP="00767544">
    <w:pPr>
      <w:pStyle w:val="Header"/>
      <w:rPr>
        <w:lang w:eastAsia="zh-CN"/>
      </w:rPr>
    </w:pPr>
    <w:r w:rsidRPr="00AF0B82">
      <w:t>RAG/</w:t>
    </w:r>
    <w:r w:rsidR="00FF3746">
      <w:rPr>
        <w:rFonts w:hint="eastAsia"/>
        <w:lang w:eastAsia="zh-CN"/>
      </w:rPr>
      <w:t>39</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3AD287E"/>
    <w:multiLevelType w:val="hybridMultilevel"/>
    <w:tmpl w:val="E5BAB994"/>
    <w:lvl w:ilvl="0" w:tplc="AF6069BC">
      <w:numFmt w:val="bullet"/>
      <w:lvlText w:val="-"/>
      <w:lvlJc w:val="left"/>
      <w:pPr>
        <w:ind w:left="720" w:hanging="360"/>
      </w:pPr>
      <w:rPr>
        <w:rFonts w:ascii="Times New Roman" w:eastAsia="SimSu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ED1DC4"/>
    <w:multiLevelType w:val="hybridMultilevel"/>
    <w:tmpl w:val="238AE35A"/>
    <w:lvl w:ilvl="0" w:tplc="6582A25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563248978">
    <w:abstractNumId w:val="9"/>
  </w:num>
  <w:num w:numId="2" w16cid:durableId="90977563">
    <w:abstractNumId w:val="7"/>
  </w:num>
  <w:num w:numId="3" w16cid:durableId="708725011">
    <w:abstractNumId w:val="6"/>
  </w:num>
  <w:num w:numId="4" w16cid:durableId="546065234">
    <w:abstractNumId w:val="5"/>
  </w:num>
  <w:num w:numId="5" w16cid:durableId="339940628">
    <w:abstractNumId w:val="4"/>
  </w:num>
  <w:num w:numId="6" w16cid:durableId="611942266">
    <w:abstractNumId w:val="8"/>
  </w:num>
  <w:num w:numId="7" w16cid:durableId="94835307">
    <w:abstractNumId w:val="3"/>
  </w:num>
  <w:num w:numId="8" w16cid:durableId="1844974548">
    <w:abstractNumId w:val="2"/>
  </w:num>
  <w:num w:numId="9" w16cid:durableId="186676057">
    <w:abstractNumId w:val="1"/>
  </w:num>
  <w:num w:numId="10" w16cid:durableId="1289972631">
    <w:abstractNumId w:val="0"/>
  </w:num>
  <w:num w:numId="11" w16cid:durableId="980378934">
    <w:abstractNumId w:val="15"/>
  </w:num>
  <w:num w:numId="12" w16cid:durableId="592863686">
    <w:abstractNumId w:val="26"/>
  </w:num>
  <w:num w:numId="13" w16cid:durableId="1935089626">
    <w:abstractNumId w:val="28"/>
  </w:num>
  <w:num w:numId="14" w16cid:durableId="225452630">
    <w:abstractNumId w:val="25"/>
  </w:num>
  <w:num w:numId="15" w16cid:durableId="374236859">
    <w:abstractNumId w:val="21"/>
  </w:num>
  <w:num w:numId="16" w16cid:durableId="1319263961">
    <w:abstractNumId w:val="27"/>
  </w:num>
  <w:num w:numId="17" w16cid:durableId="215623644">
    <w:abstractNumId w:val="20"/>
  </w:num>
  <w:num w:numId="18" w16cid:durableId="209267978">
    <w:abstractNumId w:val="10"/>
  </w:num>
  <w:num w:numId="19" w16cid:durableId="941454802">
    <w:abstractNumId w:val="13"/>
  </w:num>
  <w:num w:numId="20" w16cid:durableId="36593440">
    <w:abstractNumId w:val="14"/>
  </w:num>
  <w:num w:numId="21" w16cid:durableId="2020231254">
    <w:abstractNumId w:val="17"/>
  </w:num>
  <w:num w:numId="22" w16cid:durableId="1945844505">
    <w:abstractNumId w:val="29"/>
  </w:num>
  <w:num w:numId="23" w16cid:durableId="251941469">
    <w:abstractNumId w:val="22"/>
  </w:num>
  <w:num w:numId="24" w16cid:durableId="783381135">
    <w:abstractNumId w:val="24"/>
  </w:num>
  <w:num w:numId="25" w16cid:durableId="2014214573">
    <w:abstractNumId w:val="11"/>
  </w:num>
  <w:num w:numId="26" w16cid:durableId="93133765">
    <w:abstractNumId w:val="19"/>
  </w:num>
  <w:num w:numId="27" w16cid:durableId="836917385">
    <w:abstractNumId w:val="12"/>
  </w:num>
  <w:num w:numId="28" w16cid:durableId="1790973280">
    <w:abstractNumId w:val="16"/>
  </w:num>
  <w:num w:numId="29" w16cid:durableId="1117214479">
    <w:abstractNumId w:val="23"/>
    <w:lvlOverride w:ilvl="0">
      <w:lvl w:ilvl="0" w:tplc="6582A25C">
        <w:numFmt w:val="bullet"/>
        <w:lvlText w:val="-"/>
        <w:lvlJc w:val="left"/>
        <w:pPr>
          <w:ind w:left="360" w:hanging="360"/>
        </w:pPr>
        <w:rPr>
          <w:rFonts w:ascii="Times New Roman" w:eastAsia="Times New Roman" w:hAnsi="Times New Roman" w:cs="Times New Roman" w:hint="default"/>
        </w:rPr>
      </w:lvl>
    </w:lvlOverride>
  </w:num>
  <w:num w:numId="30" w16cid:durableId="1369572764">
    <w:abstractNumId w:val="18"/>
    <w:lvlOverride w:ilvl="0">
      <w:lvl w:ilvl="0" w:tplc="AF6069BC">
        <w:numFmt w:val="bullet"/>
        <w:lvlText w:val="-"/>
        <w:lvlJc w:val="left"/>
        <w:pPr>
          <w:ind w:left="720" w:hanging="360"/>
        </w:pPr>
        <w:rPr>
          <w:rFonts w:ascii="Times New Roman" w:eastAsia="SimSun" w:hAnsi="Times New Roman" w:cs="Times New Roman" w:hint="default"/>
          <w:i/>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5E"/>
    <w:rsid w:val="000131F8"/>
    <w:rsid w:val="00020106"/>
    <w:rsid w:val="00021007"/>
    <w:rsid w:val="00034C59"/>
    <w:rsid w:val="00036C6B"/>
    <w:rsid w:val="00043F32"/>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85BCA"/>
    <w:rsid w:val="0029544B"/>
    <w:rsid w:val="002A6FC3"/>
    <w:rsid w:val="002B224F"/>
    <w:rsid w:val="002C3A1D"/>
    <w:rsid w:val="002C5CAC"/>
    <w:rsid w:val="002C69A2"/>
    <w:rsid w:val="002E6592"/>
    <w:rsid w:val="002F340E"/>
    <w:rsid w:val="002F666E"/>
    <w:rsid w:val="002F6A4E"/>
    <w:rsid w:val="002F7978"/>
    <w:rsid w:val="00302A9B"/>
    <w:rsid w:val="00303349"/>
    <w:rsid w:val="0030740E"/>
    <w:rsid w:val="003221F3"/>
    <w:rsid w:val="0033041D"/>
    <w:rsid w:val="00333980"/>
    <w:rsid w:val="00334286"/>
    <w:rsid w:val="00342405"/>
    <w:rsid w:val="00342659"/>
    <w:rsid w:val="0034529C"/>
    <w:rsid w:val="00361609"/>
    <w:rsid w:val="00363AF1"/>
    <w:rsid w:val="00364117"/>
    <w:rsid w:val="003653BC"/>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673F1"/>
    <w:rsid w:val="00474CCC"/>
    <w:rsid w:val="00491D13"/>
    <w:rsid w:val="00492483"/>
    <w:rsid w:val="004974DE"/>
    <w:rsid w:val="004976C5"/>
    <w:rsid w:val="004A07A2"/>
    <w:rsid w:val="004B4043"/>
    <w:rsid w:val="004B468C"/>
    <w:rsid w:val="004C1105"/>
    <w:rsid w:val="004D08EB"/>
    <w:rsid w:val="004D7B6C"/>
    <w:rsid w:val="004E5C65"/>
    <w:rsid w:val="004F3435"/>
    <w:rsid w:val="0050528F"/>
    <w:rsid w:val="00507D0A"/>
    <w:rsid w:val="00513BEA"/>
    <w:rsid w:val="0051782D"/>
    <w:rsid w:val="005205CD"/>
    <w:rsid w:val="00522272"/>
    <w:rsid w:val="0053462E"/>
    <w:rsid w:val="00552474"/>
    <w:rsid w:val="0055452F"/>
    <w:rsid w:val="005561B6"/>
    <w:rsid w:val="00561A8F"/>
    <w:rsid w:val="00562977"/>
    <w:rsid w:val="0057042F"/>
    <w:rsid w:val="00576A0F"/>
    <w:rsid w:val="00584584"/>
    <w:rsid w:val="00585978"/>
    <w:rsid w:val="00587D68"/>
    <w:rsid w:val="00591E9F"/>
    <w:rsid w:val="005A7A9C"/>
    <w:rsid w:val="005B1147"/>
    <w:rsid w:val="005C0B5E"/>
    <w:rsid w:val="005C190E"/>
    <w:rsid w:val="005C6906"/>
    <w:rsid w:val="005C78A9"/>
    <w:rsid w:val="005D4564"/>
    <w:rsid w:val="005D4F78"/>
    <w:rsid w:val="005D6EC1"/>
    <w:rsid w:val="005E40CA"/>
    <w:rsid w:val="005E6891"/>
    <w:rsid w:val="005F0CAC"/>
    <w:rsid w:val="005F4A85"/>
    <w:rsid w:val="0060404C"/>
    <w:rsid w:val="00606766"/>
    <w:rsid w:val="0060773B"/>
    <w:rsid w:val="00614DF9"/>
    <w:rsid w:val="00614E9F"/>
    <w:rsid w:val="00617963"/>
    <w:rsid w:val="006311E7"/>
    <w:rsid w:val="00641306"/>
    <w:rsid w:val="00642979"/>
    <w:rsid w:val="006476FF"/>
    <w:rsid w:val="00647AFD"/>
    <w:rsid w:val="00651A53"/>
    <w:rsid w:val="00652333"/>
    <w:rsid w:val="00652764"/>
    <w:rsid w:val="00653323"/>
    <w:rsid w:val="0065517E"/>
    <w:rsid w:val="006556D9"/>
    <w:rsid w:val="00664647"/>
    <w:rsid w:val="00664D7C"/>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45C"/>
    <w:rsid w:val="006F0D51"/>
    <w:rsid w:val="006F31AB"/>
    <w:rsid w:val="007029A5"/>
    <w:rsid w:val="00713B5E"/>
    <w:rsid w:val="007203A8"/>
    <w:rsid w:val="00723E69"/>
    <w:rsid w:val="00725BEA"/>
    <w:rsid w:val="00726BD1"/>
    <w:rsid w:val="00730A2A"/>
    <w:rsid w:val="0074537E"/>
    <w:rsid w:val="00747D24"/>
    <w:rsid w:val="0075704C"/>
    <w:rsid w:val="00757BB1"/>
    <w:rsid w:val="007669B2"/>
    <w:rsid w:val="00767544"/>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06A8"/>
    <w:rsid w:val="008120DB"/>
    <w:rsid w:val="008127CF"/>
    <w:rsid w:val="00817FE6"/>
    <w:rsid w:val="00823553"/>
    <w:rsid w:val="008243CD"/>
    <w:rsid w:val="00824751"/>
    <w:rsid w:val="00824ADB"/>
    <w:rsid w:val="0082609B"/>
    <w:rsid w:val="008261D5"/>
    <w:rsid w:val="008278E0"/>
    <w:rsid w:val="00841C76"/>
    <w:rsid w:val="0084602B"/>
    <w:rsid w:val="00847E2F"/>
    <w:rsid w:val="00847EE1"/>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8F60D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01B3"/>
    <w:rsid w:val="009A0628"/>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4489"/>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587"/>
    <w:rsid w:val="00B41DCB"/>
    <w:rsid w:val="00B523C6"/>
    <w:rsid w:val="00B52992"/>
    <w:rsid w:val="00B57898"/>
    <w:rsid w:val="00B62CF3"/>
    <w:rsid w:val="00B651DB"/>
    <w:rsid w:val="00B73662"/>
    <w:rsid w:val="00B76AE3"/>
    <w:rsid w:val="00B77421"/>
    <w:rsid w:val="00B865B8"/>
    <w:rsid w:val="00B9093E"/>
    <w:rsid w:val="00B90D98"/>
    <w:rsid w:val="00B925F8"/>
    <w:rsid w:val="00B9618B"/>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12257"/>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77F"/>
    <w:rsid w:val="00D57861"/>
    <w:rsid w:val="00D6793C"/>
    <w:rsid w:val="00D72A39"/>
    <w:rsid w:val="00D769B3"/>
    <w:rsid w:val="00D77F6A"/>
    <w:rsid w:val="00D80A4C"/>
    <w:rsid w:val="00D8149F"/>
    <w:rsid w:val="00D83981"/>
    <w:rsid w:val="00D872CB"/>
    <w:rsid w:val="00D91C7F"/>
    <w:rsid w:val="00DC75E8"/>
    <w:rsid w:val="00DD44F7"/>
    <w:rsid w:val="00DE204A"/>
    <w:rsid w:val="00DE78D7"/>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807AF"/>
    <w:rsid w:val="00E87941"/>
    <w:rsid w:val="00E91301"/>
    <w:rsid w:val="00E96E00"/>
    <w:rsid w:val="00E979BD"/>
    <w:rsid w:val="00E97F5F"/>
    <w:rsid w:val="00EA1892"/>
    <w:rsid w:val="00EA4B69"/>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C7C66"/>
    <w:rsid w:val="00FD4917"/>
    <w:rsid w:val="00FF3746"/>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A02B0"/>
  <w15:docId w15:val="{48B0DAD2-F7C3-4D8B-8ECC-99A214FA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NTitle1">
    <w:name w:val="NTitle 1"/>
    <w:basedOn w:val="Normal"/>
    <w:rsid w:val="00E87941"/>
    <w:pPr>
      <w:framePr w:hSpace="180" w:wrap="around" w:hAnchor="margin" w:y="-810"/>
      <w:tabs>
        <w:tab w:val="left" w:pos="851"/>
        <w:tab w:val="left" w:pos="5670"/>
      </w:tabs>
      <w:spacing w:before="240" w:after="240"/>
      <w:jc w:val="center"/>
    </w:pPr>
    <w:rPr>
      <w:sz w:val="28"/>
      <w:szCs w:val="28"/>
      <w:lang w:val="zh-CN" w:eastAsia="zh-CN"/>
    </w:rPr>
  </w:style>
  <w:style w:type="character" w:styleId="UnresolvedMention">
    <w:name w:val="Unresolved Mention"/>
    <w:basedOn w:val="DefaultParagraphFont"/>
    <w:uiPriority w:val="99"/>
    <w:semiHidden/>
    <w:unhideWhenUsed/>
    <w:rsid w:val="00651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tu.int/md/R23-RAG-C-0034/en" TargetMode="External"/><Relationship Id="rId13" Type="http://schemas.openxmlformats.org/officeDocument/2006/relationships/hyperlink" Target="https://www.itu.int/en/general-secretariat/ties/ISCGDocumentLibrary/Liaisons%20Statements%20on%20Inter-Sectoral%20Coordination%20Activities/Mapping-of-Resolutions-Updated%20Dec2024.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R23-RAG-C-0033/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5-CWGFHR20-C-0003/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S25-CWGFHR20-C-0024/en" TargetMode="External"/><Relationship Id="rId4" Type="http://schemas.openxmlformats.org/officeDocument/2006/relationships/webSettings" Target="webSettings.xml"/><Relationship Id="rId9" Type="http://schemas.openxmlformats.org/officeDocument/2006/relationships/hyperlink" Target="https://www.itu.int/en/general-secretariat/Pages/ISCG/default.aspx" TargetMode="External"/><Relationship Id="rId14" Type="http://schemas.openxmlformats.org/officeDocument/2006/relationships/hyperlink" Target="https://www.itu.int/en/general-secretariat/Pages/ISCG/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PC_RAG.dotx</Template>
  <TotalTime>31</TotalTime>
  <Pages>2</Pages>
  <Words>1612</Words>
  <Characters>902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2509</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LING-C(LZ)</dc:creator>
  <cp:keywords>RAG03-1</cp:keywords>
  <dc:description>Document RAG08-1/1-E  For: _x000d_Document date: 12 December 2007_x000d_Saved by JJF44233 at 15:38:46 on 18/12/2007</dc:description>
  <cp:lastModifiedBy>LING-C(LZ)</cp:lastModifiedBy>
  <cp:revision>28</cp:revision>
  <cp:lastPrinted>2011-05-04T08:20:00Z</cp:lastPrinted>
  <dcterms:created xsi:type="dcterms:W3CDTF">2025-03-13T14:27:00Z</dcterms:created>
  <dcterms:modified xsi:type="dcterms:W3CDTF">2025-03-13T15:45:00Z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