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EE8F985" w14:textId="77777777" w:rsidTr="00553F66">
        <w:trPr>
          <w:cantSplit/>
          <w:trHeight w:val="20"/>
        </w:trPr>
        <w:tc>
          <w:tcPr>
            <w:tcW w:w="6619" w:type="dxa"/>
          </w:tcPr>
          <w:p w14:paraId="70D97843"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61E7A670"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0556B040" wp14:editId="69B431C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BADFE92" w14:textId="77777777" w:rsidTr="00553F66">
        <w:trPr>
          <w:cantSplit/>
          <w:trHeight w:val="20"/>
        </w:trPr>
        <w:tc>
          <w:tcPr>
            <w:tcW w:w="6619" w:type="dxa"/>
            <w:tcBorders>
              <w:bottom w:val="single" w:sz="12" w:space="0" w:color="auto"/>
            </w:tcBorders>
          </w:tcPr>
          <w:p w14:paraId="1AB92D3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4D07B4C0" w14:textId="77777777" w:rsidR="00280E04" w:rsidRPr="00A9645C" w:rsidRDefault="00280E04" w:rsidP="002F3031">
            <w:pPr>
              <w:spacing w:before="0" w:line="120" w:lineRule="auto"/>
              <w:rPr>
                <w:lang w:bidi="ar-EG"/>
              </w:rPr>
            </w:pPr>
          </w:p>
        </w:tc>
      </w:tr>
      <w:tr w:rsidR="00280E04" w14:paraId="1FDD47F7" w14:textId="77777777" w:rsidTr="00553F66">
        <w:trPr>
          <w:cantSplit/>
          <w:trHeight w:val="20"/>
        </w:trPr>
        <w:tc>
          <w:tcPr>
            <w:tcW w:w="6619" w:type="dxa"/>
            <w:tcBorders>
              <w:top w:val="single" w:sz="12" w:space="0" w:color="auto"/>
            </w:tcBorders>
          </w:tcPr>
          <w:p w14:paraId="1D0BF232"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6E5722C1" w14:textId="77777777" w:rsidR="00280E04" w:rsidRPr="00BD6EF3" w:rsidRDefault="00280E04" w:rsidP="00D44350">
            <w:pPr>
              <w:pStyle w:val="Adress"/>
              <w:framePr w:hSpace="0" w:wrap="auto" w:xAlign="left" w:yAlign="inline"/>
            </w:pPr>
          </w:p>
        </w:tc>
      </w:tr>
      <w:tr w:rsidR="0030601A" w14:paraId="4C073189" w14:textId="77777777" w:rsidTr="00553F66">
        <w:trPr>
          <w:cantSplit/>
        </w:trPr>
        <w:tc>
          <w:tcPr>
            <w:tcW w:w="6619" w:type="dxa"/>
            <w:vMerge w:val="restart"/>
          </w:tcPr>
          <w:p w14:paraId="071EA055"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3CF988F0" w14:textId="45970F65"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FC50C8">
              <w:t>39</w:t>
            </w:r>
            <w:r w:rsidRPr="0012545F">
              <w:t>-A</w:t>
            </w:r>
          </w:p>
        </w:tc>
      </w:tr>
      <w:tr w:rsidR="0030601A" w14:paraId="01D47C77" w14:textId="77777777" w:rsidTr="00553F66">
        <w:trPr>
          <w:cantSplit/>
        </w:trPr>
        <w:tc>
          <w:tcPr>
            <w:tcW w:w="6619" w:type="dxa"/>
            <w:vMerge/>
          </w:tcPr>
          <w:p w14:paraId="4B042026"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852214D" w14:textId="38CA5808" w:rsidR="0030601A" w:rsidRPr="0012545F" w:rsidRDefault="00A54AC1" w:rsidP="0030601A">
            <w:pPr>
              <w:pStyle w:val="Adress"/>
              <w:framePr w:hSpace="0" w:wrap="auto" w:xAlign="left" w:yAlign="inline"/>
              <w:spacing w:before="20" w:after="20"/>
              <w:rPr>
                <w:rtl/>
              </w:rPr>
            </w:pPr>
            <w:r>
              <w:t>11</w:t>
            </w:r>
            <w:r w:rsidR="0030601A" w:rsidRPr="0012545F">
              <w:rPr>
                <w:rFonts w:hint="cs"/>
                <w:rtl/>
              </w:rPr>
              <w:t xml:space="preserve"> </w:t>
            </w:r>
            <w:r>
              <w:rPr>
                <w:rFonts w:hint="cs"/>
                <w:rtl/>
              </w:rPr>
              <w:t>مارس</w:t>
            </w:r>
            <w:r w:rsidR="0030601A" w:rsidRPr="0012545F">
              <w:rPr>
                <w:rFonts w:hint="cs"/>
                <w:rtl/>
              </w:rPr>
              <w:t xml:space="preserve"> </w:t>
            </w:r>
            <w:r w:rsidR="001E6923">
              <w:rPr>
                <w:rFonts w:hint="cs"/>
                <w:rtl/>
              </w:rPr>
              <w:t>2025</w:t>
            </w:r>
          </w:p>
        </w:tc>
      </w:tr>
      <w:tr w:rsidR="0030601A" w14:paraId="1765517D" w14:textId="77777777" w:rsidTr="00553F66">
        <w:trPr>
          <w:cantSplit/>
        </w:trPr>
        <w:tc>
          <w:tcPr>
            <w:tcW w:w="6619" w:type="dxa"/>
            <w:vMerge/>
          </w:tcPr>
          <w:p w14:paraId="4FB78D83"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FBCC1D8"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3D49C27A" w14:textId="77777777" w:rsidTr="00553F66">
        <w:trPr>
          <w:cantSplit/>
        </w:trPr>
        <w:tc>
          <w:tcPr>
            <w:tcW w:w="9672" w:type="dxa"/>
            <w:gridSpan w:val="2"/>
          </w:tcPr>
          <w:p w14:paraId="24F3EFF8" w14:textId="27D41BAD" w:rsidR="00764079" w:rsidRPr="00E621A3" w:rsidRDefault="00991D9E" w:rsidP="00991D9E">
            <w:pPr>
              <w:pStyle w:val="Source"/>
              <w:rPr>
                <w:rtl/>
              </w:rPr>
            </w:pPr>
            <w:r w:rsidRPr="00991D9E">
              <w:rPr>
                <w:rtl/>
                <w:lang w:bidi="ar-SA"/>
              </w:rPr>
              <w:t xml:space="preserve">فريق التنسيق بين القطاعات </w:t>
            </w:r>
            <w:r w:rsidRPr="00991D9E">
              <w:t>ISCG)</w:t>
            </w:r>
            <w:r w:rsidRPr="00991D9E">
              <w:rPr>
                <w:rtl/>
                <w:lang w:bidi="ar-SA"/>
              </w:rPr>
              <w:t>)</w:t>
            </w:r>
          </w:p>
        </w:tc>
      </w:tr>
      <w:tr w:rsidR="00764079" w14:paraId="66B6D560" w14:textId="77777777" w:rsidTr="00553F66">
        <w:trPr>
          <w:cantSplit/>
        </w:trPr>
        <w:tc>
          <w:tcPr>
            <w:tcW w:w="9672" w:type="dxa"/>
            <w:gridSpan w:val="2"/>
          </w:tcPr>
          <w:p w14:paraId="51B6A3CD" w14:textId="1675D133" w:rsidR="00764079" w:rsidRPr="00BD6EF3" w:rsidRDefault="00991D9E" w:rsidP="00991D9E">
            <w:pPr>
              <w:pStyle w:val="Title1"/>
              <w:spacing w:before="240"/>
              <w:rPr>
                <w:rtl/>
              </w:rPr>
            </w:pPr>
            <w:r w:rsidRPr="00991D9E">
              <w:rPr>
                <w:rtl/>
                <w:lang w:bidi="ar-SA"/>
              </w:rPr>
              <w:t>تقرير مرحلي</w:t>
            </w:r>
          </w:p>
        </w:tc>
      </w:tr>
      <w:tr w:rsidR="0012545F" w14:paraId="0AF14516" w14:textId="77777777" w:rsidTr="00553F66">
        <w:trPr>
          <w:cantSplit/>
        </w:trPr>
        <w:tc>
          <w:tcPr>
            <w:tcW w:w="9672" w:type="dxa"/>
            <w:gridSpan w:val="2"/>
          </w:tcPr>
          <w:p w14:paraId="0F249EEB" w14:textId="77777777" w:rsidR="0012545F" w:rsidRDefault="0012545F" w:rsidP="0012545F">
            <w:pPr>
              <w:rPr>
                <w:rtl/>
              </w:rPr>
            </w:pPr>
          </w:p>
        </w:tc>
      </w:tr>
    </w:tbl>
    <w:p w14:paraId="301BAB19" w14:textId="77777777" w:rsidR="00A44FDD" w:rsidRPr="00A44FDD" w:rsidRDefault="00A44FDD" w:rsidP="005A5FEA">
      <w:pPr>
        <w:pStyle w:val="Headingb"/>
        <w:rPr>
          <w:lang w:val="ar-SA"/>
        </w:rPr>
      </w:pPr>
      <w:r w:rsidRPr="00A44FDD">
        <w:rPr>
          <w:rtl/>
        </w:rPr>
        <w:t>مقدمة</w:t>
      </w:r>
    </w:p>
    <w:p w14:paraId="307FA4D1" w14:textId="0B9F6ED4" w:rsidR="00A44FDD" w:rsidRPr="00A44FDD" w:rsidRDefault="00A44FDD" w:rsidP="00A44FDD">
      <w:pPr>
        <w:rPr>
          <w:lang w:val="ar-SA" w:bidi="ar-EG"/>
        </w:rPr>
      </w:pPr>
      <w:r w:rsidRPr="00A44FDD">
        <w:rPr>
          <w:rtl/>
        </w:rPr>
        <w:t xml:space="preserve">يود رئيس فريق التنسيق بين القطاعات </w:t>
      </w:r>
      <w:r w:rsidRPr="00A44FDD">
        <w:rPr>
          <w:lang w:bidi="ar-EG"/>
        </w:rPr>
        <w:t>ISCG)</w:t>
      </w:r>
      <w:r w:rsidRPr="00A44FDD">
        <w:rPr>
          <w:rtl/>
        </w:rPr>
        <w:t>) المعني بالمسائل ذات الاهتمام المشترك، السيد فابيو بيجي، أن يقدم إلى الفريق الاستشاري للاتصالات الراديوية (</w:t>
      </w:r>
      <w:r w:rsidRPr="00A44FDD">
        <w:rPr>
          <w:lang w:bidi="ar-EG"/>
        </w:rPr>
        <w:t>RAG</w:t>
      </w:r>
      <w:r w:rsidRPr="00A44FDD">
        <w:rPr>
          <w:rtl/>
        </w:rPr>
        <w:t>) تحديثا</w:t>
      </w:r>
      <w:r w:rsidR="00E45B9E">
        <w:rPr>
          <w:rFonts w:hint="cs"/>
          <w:rtl/>
        </w:rPr>
        <w:t>ً</w:t>
      </w:r>
      <w:r w:rsidRPr="00A44FDD">
        <w:rPr>
          <w:rtl/>
        </w:rPr>
        <w:t xml:space="preserve"> عن التقدم المحرز في عمل فريق التنسيق بين القطاعات</w:t>
      </w:r>
      <w:r w:rsidRPr="00A44FDD">
        <w:rPr>
          <w:rtl/>
          <w:lang w:bidi="ar-EG"/>
        </w:rPr>
        <w:t xml:space="preserve"> منذ </w:t>
      </w:r>
      <w:r w:rsidRPr="00A44FDD">
        <w:rPr>
          <w:rtl/>
        </w:rPr>
        <w:t>اجتماعه الأخير في 24 مايو 2024.</w:t>
      </w:r>
    </w:p>
    <w:p w14:paraId="2BE2AB63" w14:textId="05CC3751" w:rsidR="00A44FDD" w:rsidRPr="00A44FDD" w:rsidRDefault="00A44FDD" w:rsidP="00A44FDD">
      <w:pPr>
        <w:rPr>
          <w:spacing w:val="-2"/>
          <w:lang w:val="ar-SA" w:bidi="ar-EG"/>
        </w:rPr>
      </w:pPr>
      <w:r w:rsidRPr="00A44FDD">
        <w:rPr>
          <w:spacing w:val="-2"/>
          <w:rtl/>
        </w:rPr>
        <w:t xml:space="preserve">ويود رئيس فريق التنسيق بين القطاعات </w:t>
      </w:r>
      <w:r w:rsidRPr="00A44FDD">
        <w:rPr>
          <w:spacing w:val="-2"/>
          <w:lang w:bidi="ar-EG"/>
        </w:rPr>
        <w:t>ISCG)</w:t>
      </w:r>
      <w:r w:rsidRPr="00A44FDD">
        <w:rPr>
          <w:spacing w:val="-2"/>
          <w:rtl/>
        </w:rPr>
        <w:t>) أيضا</w:t>
      </w:r>
      <w:r w:rsidR="00E45B9E">
        <w:rPr>
          <w:rFonts w:hint="cs"/>
          <w:spacing w:val="-2"/>
          <w:rtl/>
        </w:rPr>
        <w:t>ً</w:t>
      </w:r>
      <w:r w:rsidRPr="00A44FDD">
        <w:rPr>
          <w:spacing w:val="-2"/>
          <w:rtl/>
        </w:rPr>
        <w:t xml:space="preserve"> الإفادة بأن اختصاصات الفريق قد تم تحديثها والموافقة عليها خلال اجتماعه الأخير الذي عقد في 12 فبراير 2025. وأُرسل بيان اتصال إلى الأفرقة الاستشارية للقطاعات للعلم (انظر الوثيقة </w:t>
      </w:r>
      <w:hyperlink r:id="rId13" w:history="1">
        <w:r w:rsidRPr="00A44FDD">
          <w:rPr>
            <w:rStyle w:val="Hyperlink"/>
            <w:spacing w:val="-2"/>
            <w:lang w:bidi="ar-EG"/>
          </w:rPr>
          <w:t>RAG/34</w:t>
        </w:r>
      </w:hyperlink>
      <w:r w:rsidRPr="00A44FDD">
        <w:rPr>
          <w:spacing w:val="-2"/>
          <w:rtl/>
        </w:rPr>
        <w:t>).</w:t>
      </w:r>
    </w:p>
    <w:p w14:paraId="31D5B70E" w14:textId="48799DB7" w:rsidR="00A44FDD" w:rsidRPr="00A44FDD" w:rsidRDefault="00A44FDD" w:rsidP="00A44FDD">
      <w:pPr>
        <w:rPr>
          <w:lang w:val="ar-SA" w:bidi="ar-EG"/>
        </w:rPr>
      </w:pPr>
      <w:r w:rsidRPr="00A44FDD">
        <w:rPr>
          <w:rtl/>
        </w:rPr>
        <w:t xml:space="preserve">ويمكن النفاذ إلى جميع الوثائق المقدمة ومناقشتها خلال اجتماعات فريق التنسيق بين القطاعات </w:t>
      </w:r>
      <w:r w:rsidRPr="00A44FDD">
        <w:rPr>
          <w:lang w:bidi="ar-EG"/>
        </w:rPr>
        <w:t>ISCG)</w:t>
      </w:r>
      <w:r w:rsidRPr="00A44FDD">
        <w:rPr>
          <w:rtl/>
        </w:rPr>
        <w:t xml:space="preserve">) المعني بالمسائل ذات الاهتمام المشترك من خلال </w:t>
      </w:r>
      <w:hyperlink r:id="rId14" w:anchor="/ar" w:history="1">
        <w:r w:rsidRPr="00A44FDD">
          <w:rPr>
            <w:rStyle w:val="Hyperlink"/>
            <w:rtl/>
          </w:rPr>
          <w:t xml:space="preserve">صفحة الويب الخاصة بالفريق </w:t>
        </w:r>
        <w:r w:rsidRPr="00A44FDD">
          <w:rPr>
            <w:rStyle w:val="Hyperlink"/>
            <w:lang w:bidi="ar-EG"/>
          </w:rPr>
          <w:t>ISCG</w:t>
        </w:r>
      </w:hyperlink>
      <w:r w:rsidRPr="00A44FDD">
        <w:rPr>
          <w:rtl/>
        </w:rPr>
        <w:t xml:space="preserve">، بما في ذلك الاختصاصات وتفاصيل الاتصال الخاصة بالفريق </w:t>
      </w:r>
      <w:r w:rsidRPr="00A44FDD">
        <w:rPr>
          <w:lang w:bidi="ar-EG"/>
        </w:rPr>
        <w:t>ISCG</w:t>
      </w:r>
      <w:r w:rsidRPr="00A44FDD">
        <w:rPr>
          <w:rtl/>
        </w:rPr>
        <w:t>.</w:t>
      </w:r>
    </w:p>
    <w:p w14:paraId="14E2E347" w14:textId="77777777" w:rsidR="00A44FDD" w:rsidRPr="00A44FDD" w:rsidRDefault="00A44FDD" w:rsidP="001330E4">
      <w:pPr>
        <w:pStyle w:val="Headingb"/>
      </w:pPr>
      <w:r w:rsidRPr="00A44FDD">
        <w:rPr>
          <w:rtl/>
        </w:rPr>
        <w:t>المناقشات الرئيسية</w:t>
      </w:r>
    </w:p>
    <w:p w14:paraId="5F35E558" w14:textId="77777777" w:rsidR="00A44FDD" w:rsidRPr="00A44FDD" w:rsidRDefault="00A44FDD" w:rsidP="00A44FDD">
      <w:pPr>
        <w:rPr>
          <w:lang w:val="ar-SA" w:bidi="ar-EG"/>
        </w:rPr>
      </w:pPr>
      <w:r w:rsidRPr="00A44FDD">
        <w:rPr>
          <w:rtl/>
        </w:rPr>
        <w:t xml:space="preserve">يواصل فريق التنسيق بين القطاعات </w:t>
      </w:r>
      <w:r w:rsidRPr="00A44FDD">
        <w:rPr>
          <w:lang w:bidi="ar-EG"/>
        </w:rPr>
        <w:t>ISCG)</w:t>
      </w:r>
      <w:r w:rsidRPr="00A44FDD">
        <w:rPr>
          <w:rtl/>
        </w:rPr>
        <w:t>) معالجة المواضيع التالية:</w:t>
      </w:r>
    </w:p>
    <w:p w14:paraId="31AC56E8" w14:textId="13EADC4B" w:rsidR="00A44FDD" w:rsidRPr="00A44FDD" w:rsidRDefault="00E956C3" w:rsidP="00E956C3">
      <w:pPr>
        <w:pStyle w:val="enumlev1"/>
        <w:rPr>
          <w:lang w:val="ar-SA" w:bidi="ar-EG"/>
        </w:rPr>
      </w:pPr>
      <w:r>
        <w:rPr>
          <w:rFonts w:hint="cs"/>
          <w:i/>
          <w:iCs/>
          <w:rtl/>
          <w:lang w:bidi="ar-EG"/>
        </w:rPr>
        <w:t>-</w:t>
      </w:r>
      <w:r>
        <w:rPr>
          <w:i/>
          <w:iCs/>
          <w:rtl/>
          <w:lang w:bidi="ar-EG"/>
        </w:rPr>
        <w:tab/>
      </w:r>
      <w:r w:rsidR="00A44FDD" w:rsidRPr="00A44FDD">
        <w:rPr>
          <w:i/>
          <w:iCs/>
          <w:rtl/>
        </w:rPr>
        <w:t>إمكانية النفاذ</w:t>
      </w:r>
      <w:r w:rsidR="00A44FDD" w:rsidRPr="00A44FDD">
        <w:rPr>
          <w:rtl/>
        </w:rPr>
        <w:t xml:space="preserve">: ما برح الفريق </w:t>
      </w:r>
      <w:r w:rsidR="00A44FDD" w:rsidRPr="00A44FDD">
        <w:rPr>
          <w:lang w:bidi="ar-EG"/>
        </w:rPr>
        <w:t>ISCG</w:t>
      </w:r>
      <w:r w:rsidR="00A44FDD" w:rsidRPr="00A44FDD">
        <w:rPr>
          <w:rtl/>
        </w:rPr>
        <w:t xml:space="preserve"> يراقب المناقشات المتعلقة بتعزيز اجتماعات الاتحاد، مع التركيز بشكل خاص على خدمات المشاركة عن ب</w:t>
      </w:r>
      <w:r w:rsidR="00E45B9E">
        <w:rPr>
          <w:rFonts w:hint="cs"/>
          <w:rtl/>
        </w:rPr>
        <w:t>ُ</w:t>
      </w:r>
      <w:r w:rsidR="00A44FDD" w:rsidRPr="00A44FDD">
        <w:rPr>
          <w:rtl/>
        </w:rPr>
        <w:t>عد والعرض النصي للحوار.</w:t>
      </w:r>
    </w:p>
    <w:p w14:paraId="3B8ED860" w14:textId="709661AD" w:rsidR="00A44FDD" w:rsidRPr="00A44FDD" w:rsidRDefault="00A44FDD" w:rsidP="00E956C3">
      <w:pPr>
        <w:pStyle w:val="enumlev1"/>
        <w:rPr>
          <w:lang w:val="ar-SA" w:bidi="ar-EG"/>
        </w:rPr>
      </w:pPr>
      <w:r w:rsidRPr="00A44FDD">
        <w:rPr>
          <w:rtl/>
        </w:rPr>
        <w:tab/>
        <w:t>وبالنسبة لعام 2024، أفادت أمانة الاتحاد بأن العرض النصي استُخدم في 14 اجتماعاً لقطاع الاتصالات الراديوية، و12 اجتماعاً لقطاع تقييس الاتصالات، و35 اجتماعاً لقطاع تنمية الاتصالات، وكذلك في دورات المجلس والقمة العالمية لمجتمع المعلومات. وفي حين يمكن تقديم العرض النصي لأي جلسة اجتماع، فإن توفره يتوقف على الميزانية المخصصة. ولا توجد سياسة مركزية للعرض النصي على نطاق الاتحاد؛ إذ يقرر كل منظم اجتماع ما إذا كان سيتم استخدام العرض النصي البشري أو الذكاء الاصطناعي. وفي الوقت الحالي، يفضَّل العرض النصي البشري لجودته، على الرغم من أن العرض النصي باستعمال الذكاء الاصطناعي يتحسن ويُتوقع أن يصبح أكثر</w:t>
      </w:r>
      <w:r w:rsidR="00DF02A9">
        <w:rPr>
          <w:rFonts w:hint="cs"/>
          <w:rtl/>
        </w:rPr>
        <w:t> </w:t>
      </w:r>
      <w:r w:rsidRPr="00A44FDD">
        <w:rPr>
          <w:rtl/>
        </w:rPr>
        <w:t>فعالية من حيث التكلفة. وتختلف تكلفة العرض النصي البشري، حيث تتراوح بين حوالي 750 دولاراً لمدة</w:t>
      </w:r>
      <w:r w:rsidR="00CE3E3E">
        <w:rPr>
          <w:rFonts w:hint="cs"/>
          <w:rtl/>
        </w:rPr>
        <w:t> </w:t>
      </w:r>
      <w:r w:rsidRPr="00A44FDD">
        <w:rPr>
          <w:rtl/>
        </w:rPr>
        <w:t>ثلاث ساعات من العرض النصي عن ب</w:t>
      </w:r>
      <w:r w:rsidR="00E45B9E">
        <w:rPr>
          <w:rFonts w:hint="cs"/>
          <w:rtl/>
        </w:rPr>
        <w:t>ُ</w:t>
      </w:r>
      <w:r w:rsidRPr="00A44FDD">
        <w:rPr>
          <w:rtl/>
        </w:rPr>
        <w:t xml:space="preserve">عد إلى أكثر من 000 2 دولار للخدمات في الموقع. وقد اختُبر العرض النصي باستعمال الذكاء الاصطناعي لدى العديد من </w:t>
      </w:r>
      <w:proofErr w:type="gramStart"/>
      <w:r w:rsidRPr="00A44FDD">
        <w:rPr>
          <w:rtl/>
        </w:rPr>
        <w:t>الموردين</w:t>
      </w:r>
      <w:proofErr w:type="gramEnd"/>
      <w:r w:rsidRPr="00A44FDD">
        <w:rPr>
          <w:rtl/>
        </w:rPr>
        <w:t xml:space="preserve"> ولكن لم تتم الموافقة عليه بعد للاجتماعات الرسمية، على الرغم من وجود اهتمام بمواصلة التجارب. وسيواصل الاتحاد اختبار أدوات الذكاء الاصطناعي للعرض النصي والتماس التعقيبات من الأعضاء.</w:t>
      </w:r>
    </w:p>
    <w:p w14:paraId="720FA966" w14:textId="1D346BFC" w:rsidR="00A44FDD" w:rsidRPr="00A44FDD" w:rsidRDefault="00A44FDD" w:rsidP="00E956C3">
      <w:pPr>
        <w:pStyle w:val="enumlev1"/>
        <w:rPr>
          <w:lang w:val="ar-SA" w:bidi="ar-EG"/>
        </w:rPr>
      </w:pPr>
      <w:r w:rsidRPr="00A44FDD">
        <w:rPr>
          <w:rtl/>
        </w:rPr>
        <w:tab/>
        <w:t xml:space="preserve">اقترح الفريق </w:t>
      </w:r>
      <w:r w:rsidRPr="00A44FDD">
        <w:rPr>
          <w:lang w:bidi="ar-EG"/>
        </w:rPr>
        <w:t>ISCG</w:t>
      </w:r>
      <w:r w:rsidRPr="00A44FDD">
        <w:rPr>
          <w:rtl/>
        </w:rPr>
        <w:t xml:space="preserve"> على فريق العمل التابع للمجلس والمعني بالموارد المالية والبشرية </w:t>
      </w:r>
      <w:r w:rsidRPr="00A44FDD">
        <w:rPr>
          <w:lang w:bidi="ar-EG"/>
        </w:rPr>
        <w:t>(C</w:t>
      </w:r>
      <w:r w:rsidR="00E45B9E">
        <w:rPr>
          <w:lang w:bidi="ar-EG"/>
        </w:rPr>
        <w:t>W</w:t>
      </w:r>
      <w:r w:rsidRPr="00A44FDD">
        <w:rPr>
          <w:lang w:bidi="ar-EG"/>
        </w:rPr>
        <w:t>G-FHR)</w:t>
      </w:r>
      <w:r w:rsidRPr="00A44FDD">
        <w:rPr>
          <w:rtl/>
        </w:rPr>
        <w:t xml:space="preserve"> إدراج فقرة</w:t>
      </w:r>
      <w:r w:rsidRPr="00A44FDD">
        <w:rPr>
          <w:rtl/>
          <w:lang w:bidi="ar-EG"/>
        </w:rPr>
        <w:t>،</w:t>
      </w:r>
      <w:r w:rsidRPr="00A44FDD">
        <w:rPr>
          <w:rtl/>
        </w:rPr>
        <w:t xml:space="preserve"> في جميع الرسائل المعممة التي تدعو المشاركين إلى اجتماعات الاتحاد، تبرز خيار طلب خدمات العرض النصي للحوار (انظر الوثيقة </w:t>
      </w:r>
      <w:hyperlink r:id="rId15" w:history="1">
        <w:r w:rsidRPr="00A44FDD">
          <w:rPr>
            <w:rStyle w:val="Hyperlink"/>
            <w:rtl/>
          </w:rPr>
          <w:t>CWG-FHR-20/2</w:t>
        </w:r>
      </w:hyperlink>
      <w:r w:rsidRPr="00A44FDD">
        <w:rPr>
          <w:rtl/>
        </w:rPr>
        <w:t>).</w:t>
      </w:r>
    </w:p>
    <w:p w14:paraId="5DE295AE" w14:textId="77777777" w:rsidR="00A44FDD" w:rsidRPr="00A44FDD" w:rsidRDefault="00A44FDD" w:rsidP="00E956C3">
      <w:pPr>
        <w:pStyle w:val="enumlev1"/>
        <w:rPr>
          <w:lang w:val="ar-SA" w:bidi="ar-EG"/>
        </w:rPr>
      </w:pPr>
      <w:r w:rsidRPr="00A44FDD">
        <w:rPr>
          <w:rtl/>
        </w:rPr>
        <w:lastRenderedPageBreak/>
        <w:tab/>
        <w:t>ومع تقاعد منسقة إمكانية النفاذ مؤخراً، السيدة أندريا ساكس، ينبغي أن تتفق الأفرقة الاستشارية للقطاعات على تعيين جديد.</w:t>
      </w:r>
    </w:p>
    <w:p w14:paraId="6A7F4C6D" w14:textId="47A39F8A" w:rsidR="00A44FDD" w:rsidRPr="00A44FDD" w:rsidRDefault="001E2738" w:rsidP="00E956C3">
      <w:pPr>
        <w:pStyle w:val="enumlev1"/>
        <w:rPr>
          <w:lang w:val="ar-SA" w:bidi="ar-EG"/>
        </w:rPr>
      </w:pPr>
      <w:r>
        <w:rPr>
          <w:rFonts w:hint="cs"/>
          <w:i/>
          <w:iCs/>
          <w:rtl/>
        </w:rPr>
        <w:t>-</w:t>
      </w:r>
      <w:r>
        <w:rPr>
          <w:i/>
          <w:iCs/>
          <w:rtl/>
        </w:rPr>
        <w:tab/>
      </w:r>
      <w:r w:rsidR="00A44FDD" w:rsidRPr="00A44FDD">
        <w:rPr>
          <w:i/>
          <w:iCs/>
          <w:rtl/>
        </w:rPr>
        <w:t>تغير المناخ</w:t>
      </w:r>
      <w:r w:rsidR="00A44FDD" w:rsidRPr="00A44FDD">
        <w:rPr>
          <w:rtl/>
        </w:rPr>
        <w:t>: هناك عمل مستمر يتعلق بتغير المناخ والذكاء الاصطناعي، بما في ذلك وضع توصيات للانتقال إلى صافي الصفر وإنشاء قاعدة بيانات لدى الاتحاد بشأن انبعاثات غازات الدفيئة العالمية. وبالإضافة إلى ذلك، يجري وضع مبادئ توجيهية لتقييم الأثر البيئي الذكاء الاصطناعي، مع مراعاة المؤثرات المباشرة وغير المباشرة على حد سواء.</w:t>
      </w:r>
    </w:p>
    <w:p w14:paraId="30A3DA46" w14:textId="77777777" w:rsidR="00A44FDD" w:rsidRPr="00A44FDD" w:rsidRDefault="00A44FDD" w:rsidP="00E956C3">
      <w:pPr>
        <w:pStyle w:val="enumlev1"/>
        <w:rPr>
          <w:lang w:val="ar-SA" w:bidi="ar-EG"/>
        </w:rPr>
      </w:pPr>
      <w:r w:rsidRPr="00A44FDD">
        <w:rPr>
          <w:rtl/>
        </w:rPr>
        <w:tab/>
        <w:t>وخلال الاجتماع الأخير، سلط منسق تغير المناخ الضوء على التعاون بين قطاعي تقييس الاتصالات وتنمية الاتصالات بشأن هذه المواضيع وشدد على الفوائد المحتملة لحلول الذكاء الاصطناعي في مجالات مثل الزراعة واستخدام الطاقة الأمثل، ولا سيما بالنسبة للبلدان النامية.</w:t>
      </w:r>
    </w:p>
    <w:p w14:paraId="18F97FC1" w14:textId="612C3E5A" w:rsidR="00A44FDD" w:rsidRPr="00A44FDD" w:rsidRDefault="00A44FDD" w:rsidP="00E956C3">
      <w:pPr>
        <w:pStyle w:val="enumlev1"/>
        <w:rPr>
          <w:lang w:val="ar-SA" w:bidi="ar-EG"/>
        </w:rPr>
      </w:pPr>
      <w:r w:rsidRPr="00A44FDD">
        <w:rPr>
          <w:rtl/>
        </w:rPr>
        <w:tab/>
        <w:t>واقترح ممثل الفريق الاستشاري تنظيم اجتماع غير رسمي لمواصلة مناقشة هذا الموضوع، ودعوة منسق تغير المناخ إلى الانضمام إلى فريق المقر</w:t>
      </w:r>
      <w:r w:rsidR="00E45B9E">
        <w:rPr>
          <w:rFonts w:hint="cs"/>
          <w:rtl/>
        </w:rPr>
        <w:t>ِّ</w:t>
      </w:r>
      <w:r w:rsidRPr="00A44FDD">
        <w:rPr>
          <w:rtl/>
        </w:rPr>
        <w:t>ر المعني بالإذاعة ذات الاستهلاك الكفء للطاقة.</w:t>
      </w:r>
    </w:p>
    <w:p w14:paraId="3AA5BCF0" w14:textId="5C6B92BE" w:rsidR="00A44FDD" w:rsidRPr="00A44FDD" w:rsidRDefault="00E90821" w:rsidP="00E956C3">
      <w:pPr>
        <w:pStyle w:val="enumlev1"/>
        <w:rPr>
          <w:lang w:val="ar-SA" w:bidi="ar-EG"/>
        </w:rPr>
      </w:pPr>
      <w:r>
        <w:rPr>
          <w:rFonts w:hint="cs"/>
          <w:i/>
          <w:iCs/>
          <w:rtl/>
        </w:rPr>
        <w:t>-</w:t>
      </w:r>
      <w:r>
        <w:rPr>
          <w:i/>
          <w:iCs/>
          <w:rtl/>
        </w:rPr>
        <w:tab/>
      </w:r>
      <w:r w:rsidR="00A44FDD" w:rsidRPr="00A44FDD">
        <w:rPr>
          <w:i/>
          <w:iCs/>
          <w:rtl/>
        </w:rPr>
        <w:t>الاجتماعات الافتراضية/المشاركة عن ب</w:t>
      </w:r>
      <w:r w:rsidR="00E45B9E">
        <w:rPr>
          <w:rFonts w:hint="cs"/>
          <w:i/>
          <w:iCs/>
          <w:rtl/>
        </w:rPr>
        <w:t>ُ</w:t>
      </w:r>
      <w:r w:rsidR="00A44FDD" w:rsidRPr="00A44FDD">
        <w:rPr>
          <w:i/>
          <w:iCs/>
          <w:rtl/>
        </w:rPr>
        <w:t>عد</w:t>
      </w:r>
      <w:r w:rsidR="00A44FDD" w:rsidRPr="00A44FDD">
        <w:rPr>
          <w:i/>
          <w:iCs/>
          <w:lang w:bidi="ar-EG"/>
        </w:rPr>
        <w:t xml:space="preserve">: </w:t>
      </w:r>
      <w:r w:rsidR="00A44FDD" w:rsidRPr="00A44FDD">
        <w:rPr>
          <w:rtl/>
        </w:rPr>
        <w:t>يواصل منسق هذا الموضوع مراقبة العمل الذي يقوم به فريق العمل التابع للمجلس والمعني بالموارد المالية والبشرية وعلى مستوى المجلس.</w:t>
      </w:r>
    </w:p>
    <w:p w14:paraId="034E0833" w14:textId="3053BE04" w:rsidR="00A44FDD" w:rsidRPr="00A44FDD" w:rsidRDefault="00A44FDD" w:rsidP="00E956C3">
      <w:pPr>
        <w:pStyle w:val="enumlev1"/>
        <w:rPr>
          <w:lang w:bidi="ar-EG"/>
        </w:rPr>
      </w:pPr>
      <w:r w:rsidRPr="00A44FDD">
        <w:rPr>
          <w:rtl/>
        </w:rPr>
        <w:tab/>
        <w:t xml:space="preserve">ويتضمن آخر تحديث </w:t>
      </w:r>
      <w:hyperlink r:id="rId16" w:history="1">
        <w:r w:rsidRPr="00A44FDD">
          <w:rPr>
            <w:rStyle w:val="Hyperlink"/>
            <w:rtl/>
          </w:rPr>
          <w:t>مشروع المبادئ التوجيهية المتفق عليه بشأن إدارة الاجتماعات الافتراضية والحضورية بالكامل مع المشاركة عن ب</w:t>
        </w:r>
        <w:r w:rsidR="00E45B9E">
          <w:rPr>
            <w:rStyle w:val="Hyperlink"/>
            <w:rFonts w:hint="cs"/>
            <w:rtl/>
          </w:rPr>
          <w:t>ُ</w:t>
        </w:r>
        <w:r w:rsidRPr="00A44FDD">
          <w:rPr>
            <w:rStyle w:val="Hyperlink"/>
            <w:rtl/>
          </w:rPr>
          <w:t>عد في الاتحاد بما يتماشى مع تنفيذ القرار 167 (المراج</w:t>
        </w:r>
        <w:r w:rsidR="00E45B9E">
          <w:rPr>
            <w:rStyle w:val="Hyperlink"/>
            <w:rFonts w:hint="cs"/>
            <w:rtl/>
          </w:rPr>
          <w:t>َ</w:t>
        </w:r>
        <w:r w:rsidRPr="00A44FDD">
          <w:rPr>
            <w:rStyle w:val="Hyperlink"/>
            <w:rtl/>
          </w:rPr>
          <w:t>ع في بوخارست، 2022)</w:t>
        </w:r>
      </w:hyperlink>
      <w:r w:rsidRPr="00A44FDD">
        <w:rPr>
          <w:rtl/>
        </w:rPr>
        <w:t xml:space="preserve">. وستعرض هذه المبادئ التوجيهية على خلال دورة المجلس لعام 2025 للموافقة عليها. وقد أُرسل بيان اتصال من الفريق ISCG إلى الأفرقة الاستشارية للقطاعات بشأن هذا الموضوع </w:t>
      </w:r>
      <w:hyperlink r:id="rId17" w:history="1">
        <w:r w:rsidRPr="00A44FDD">
          <w:rPr>
            <w:rStyle w:val="Hyperlink"/>
            <w:rtl/>
          </w:rPr>
          <w:t>RAG/33</w:t>
        </w:r>
      </w:hyperlink>
      <w:r w:rsidRPr="00A44FDD">
        <w:rPr>
          <w:rtl/>
        </w:rPr>
        <w:t>).</w:t>
      </w:r>
    </w:p>
    <w:p w14:paraId="639D4B2A" w14:textId="3CAB6198" w:rsidR="00A44FDD" w:rsidRPr="00A44FDD" w:rsidRDefault="00A44FDD" w:rsidP="00E956C3">
      <w:pPr>
        <w:pStyle w:val="enumlev1"/>
        <w:rPr>
          <w:lang w:bidi="ar-EG"/>
        </w:rPr>
      </w:pPr>
      <w:r w:rsidRPr="00A44FDD">
        <w:rPr>
          <w:rtl/>
        </w:rPr>
        <w:tab/>
        <w:t>وبالإضافة إلى ذلك، طُلب إلى أمانة الاتحاد النظر في متطلبات تغيير حقوق المشاركين عن ب</w:t>
      </w:r>
      <w:r w:rsidR="00E45B9E">
        <w:rPr>
          <w:rFonts w:hint="cs"/>
          <w:rtl/>
        </w:rPr>
        <w:t>ُ</w:t>
      </w:r>
      <w:r w:rsidRPr="00A44FDD">
        <w:rPr>
          <w:rtl/>
        </w:rPr>
        <w:t>عد في النصوص الأساسية للاتحاد.</w:t>
      </w:r>
    </w:p>
    <w:p w14:paraId="19474360" w14:textId="4FD86823" w:rsidR="00A44FDD" w:rsidRPr="00A44FDD" w:rsidRDefault="003D0EA7" w:rsidP="00E956C3">
      <w:pPr>
        <w:pStyle w:val="enumlev1"/>
        <w:rPr>
          <w:lang w:val="ar-SA" w:bidi="ar-EG"/>
        </w:rPr>
      </w:pPr>
      <w:r>
        <w:rPr>
          <w:rFonts w:hint="cs"/>
          <w:i/>
          <w:iCs/>
          <w:rtl/>
        </w:rPr>
        <w:t>-</w:t>
      </w:r>
      <w:r>
        <w:rPr>
          <w:i/>
          <w:iCs/>
          <w:rtl/>
        </w:rPr>
        <w:tab/>
      </w:r>
      <w:r w:rsidR="00A44FDD" w:rsidRPr="00A44FDD">
        <w:rPr>
          <w:i/>
          <w:iCs/>
          <w:rtl/>
        </w:rPr>
        <w:t>الموقع الإلكتروني للاتحاد</w:t>
      </w:r>
      <w:r w:rsidR="00A44FDD" w:rsidRPr="00A44FDD">
        <w:rPr>
          <w:rtl/>
        </w:rPr>
        <w:t>: ما فتئ الفريق ISCG يراقب هذا الموضوع بنشاط، ويطلب تحديداً من أمانة الاتحاد تقديم معلومات عن تنسيق المواقع الإلكترونية ونظام البحث بجميع اللغات الرسمية للاتحاد على قدم المساواة. وتقديم تقرير عن ذل</w:t>
      </w:r>
      <w:r w:rsidR="006E3FCF">
        <w:rPr>
          <w:rFonts w:hint="cs"/>
          <w:rtl/>
        </w:rPr>
        <w:t>ك</w:t>
      </w:r>
      <w:r w:rsidR="00A44FDD" w:rsidRPr="00A44FDD">
        <w:rPr>
          <w:rtl/>
        </w:rPr>
        <w:t xml:space="preserve"> إلى جميع اجتماعات فريق العمل التابع للمجلس والمعني باللغات وفريق التنسيق بين</w:t>
      </w:r>
      <w:r w:rsidR="00515B57">
        <w:rPr>
          <w:rFonts w:hint="cs"/>
          <w:rtl/>
        </w:rPr>
        <w:t> </w:t>
      </w:r>
      <w:r w:rsidR="00A44FDD" w:rsidRPr="00A44FDD">
        <w:rPr>
          <w:rtl/>
        </w:rPr>
        <w:t>القطاعات.</w:t>
      </w:r>
    </w:p>
    <w:p w14:paraId="6B244CED" w14:textId="0F3E8797" w:rsidR="00A44FDD" w:rsidRPr="00A44FDD" w:rsidRDefault="00B460AC" w:rsidP="00E956C3">
      <w:pPr>
        <w:pStyle w:val="enumlev1"/>
        <w:rPr>
          <w:lang w:val="ar-SA" w:bidi="ar-EG"/>
        </w:rPr>
      </w:pPr>
      <w:r>
        <w:rPr>
          <w:rFonts w:hint="cs"/>
          <w:i/>
          <w:iCs/>
          <w:rtl/>
        </w:rPr>
        <w:t>-</w:t>
      </w:r>
      <w:r>
        <w:rPr>
          <w:i/>
          <w:iCs/>
          <w:rtl/>
        </w:rPr>
        <w:tab/>
      </w:r>
      <w:r w:rsidR="00A44FDD" w:rsidRPr="00A44FDD">
        <w:rPr>
          <w:i/>
          <w:iCs/>
          <w:rtl/>
        </w:rPr>
        <w:t>التحول الرقمي المستدام</w:t>
      </w:r>
      <w:r w:rsidR="00A44FDD" w:rsidRPr="00A44FDD">
        <w:rPr>
          <w:rtl/>
        </w:rPr>
        <w:t>: أقر منسق هذه المواضيع "ملخص الاتحاد بشأن التحول الرقمي والمدن" كمورد قيم وشامل بشأن التحول الرقمي، وشجع قطاع تنمية الاتصالات وقطاع الاتصالات الراديوية والأمانة العامة على النظر في عرض أنشطتهم في المنشور. ومن خلال المساهمة في هذا الملخص، يمكن لكل قطاع أن يعزز الرؤية ويعزز التعاون بين القطاعات ويقدم نظرة أكثر شمولية لعمل الاتحاد في هذا المجال الحيوي.</w:t>
      </w:r>
    </w:p>
    <w:p w14:paraId="6AA8113D" w14:textId="77777777" w:rsidR="00A44FDD" w:rsidRPr="00A44FDD" w:rsidRDefault="00A44FDD" w:rsidP="00A44FDD">
      <w:pPr>
        <w:rPr>
          <w:lang w:val="ar-SA" w:bidi="ar-EG"/>
        </w:rPr>
      </w:pPr>
      <w:r w:rsidRPr="00A44FDD">
        <w:rPr>
          <w:rtl/>
        </w:rPr>
        <w:t>وتم الاتفاق على "مشاركة الصناعة" كموضوع جديد يسترعي الاهتمام، ولا يزال تعيين المنسق معلقاً. وقد لوحظ أن هذا الموضوع، على مستوى الأمانة العامة، مشمول تحت عنوان "العضوية والشراكات وتعبئة الموارد".</w:t>
      </w:r>
    </w:p>
    <w:p w14:paraId="4CAA35CA" w14:textId="4A0BE394" w:rsidR="00A44FDD" w:rsidRPr="00A44FDD" w:rsidRDefault="00A44FDD" w:rsidP="00A44FDD">
      <w:pPr>
        <w:rPr>
          <w:spacing w:val="2"/>
          <w:lang w:val="ar-SA" w:bidi="ar-EG"/>
        </w:rPr>
      </w:pPr>
      <w:r w:rsidRPr="00A44FDD">
        <w:rPr>
          <w:spacing w:val="2"/>
          <w:rtl/>
        </w:rPr>
        <w:t>وفيما يتعلق بالخطتين الاستراتيجية والمالية للاتحاد، رحب رئيس الفريق ISCG بمساهمات الفريق الاستشاري لتقييس</w:t>
      </w:r>
      <w:r w:rsidR="003D4B41">
        <w:rPr>
          <w:rFonts w:hint="cs"/>
          <w:spacing w:val="2"/>
          <w:rtl/>
        </w:rPr>
        <w:t> </w:t>
      </w:r>
      <w:r w:rsidRPr="00A44FDD">
        <w:rPr>
          <w:spacing w:val="2"/>
          <w:rtl/>
        </w:rPr>
        <w:t xml:space="preserve">الاتصالات </w:t>
      </w:r>
      <w:r w:rsidRPr="00A44FDD">
        <w:rPr>
          <w:spacing w:val="2"/>
          <w:lang w:bidi="ar-EG"/>
        </w:rPr>
        <w:t>(TSAG)</w:t>
      </w:r>
      <w:r w:rsidRPr="00A44FDD">
        <w:rPr>
          <w:spacing w:val="2"/>
          <w:rtl/>
        </w:rPr>
        <w:t xml:space="preserve"> المقدمة أيضاً إلى فريق العمل التابع للمجلس والمعني بالخطتين الاستراتيجية والمالية للفترة</w:t>
      </w:r>
      <w:r w:rsidR="00047908">
        <w:rPr>
          <w:rFonts w:hint="cs"/>
          <w:spacing w:val="2"/>
          <w:rtl/>
        </w:rPr>
        <w:t> </w:t>
      </w:r>
      <w:r w:rsidRPr="00A44FDD">
        <w:rPr>
          <w:spacing w:val="2"/>
          <w:rtl/>
        </w:rPr>
        <w:t>2028-2031 (CWG-SFP) واقترح إقرار المقترحات الرامية إلى تحسين الخطتين الاستراتيجية والمالية للاتحاد. وشجع الرئيس أيضاً الفريق الاستشاري للاتصالات الراديوية والفريق الاستشاري لتنمية الاتصالات على اتخاذ إجراءات مماثلة، من خلال المشاركة بنشاط في مناقشات الخطتين الاستراتيجية والمالية.</w:t>
      </w:r>
    </w:p>
    <w:p w14:paraId="38DE5E0D" w14:textId="17801EBE" w:rsidR="00A44FDD" w:rsidRPr="00A44FDD" w:rsidRDefault="00A44FDD" w:rsidP="00A44FDD">
      <w:pPr>
        <w:rPr>
          <w:lang w:bidi="ar-EG"/>
        </w:rPr>
      </w:pPr>
      <w:r w:rsidRPr="00A44FDD">
        <w:rPr>
          <w:rtl/>
        </w:rPr>
        <w:t xml:space="preserve">ويواصل الفريق ISCG تحديث </w:t>
      </w:r>
      <w:hyperlink r:id="rId18" w:history="1">
        <w:r w:rsidRPr="00A44FDD">
          <w:rPr>
            <w:rStyle w:val="Hyperlink"/>
            <w:rtl/>
          </w:rPr>
          <w:t>خارطة ارتباطات القرارات</w:t>
        </w:r>
      </w:hyperlink>
      <w:r w:rsidRPr="00A44FDD">
        <w:rPr>
          <w:rtl/>
        </w:rPr>
        <w:t xml:space="preserve"> و</w:t>
      </w:r>
      <w:hyperlink r:id="rId19" w:history="1">
        <w:r w:rsidRPr="00A44FDD">
          <w:rPr>
            <w:rStyle w:val="Hyperlink"/>
            <w:rtl/>
          </w:rPr>
          <w:t>خارطة ارتباطات الجداول</w:t>
        </w:r>
      </w:hyperlink>
      <w:r w:rsidRPr="00A44FDD">
        <w:rPr>
          <w:rtl/>
        </w:rPr>
        <w:t>. وقد استكمل آخر تحديث عقب اختتام الجمعية العالمية لتقييس الاتصالات في أكتوبر 2024. وستجرى تحديثات للجدولين 2 و3 بمجرد أن يبدأ قطاع تقييس الاتصالات دورته الجديدة بعد اجتماع الفريق الاستشاري لتقييس الاتصالات في مايو 2025.</w:t>
      </w:r>
    </w:p>
    <w:p w14:paraId="45CAE021" w14:textId="7F1F52DF" w:rsidR="00A44FDD" w:rsidRPr="00A44FDD" w:rsidRDefault="00A44FDD" w:rsidP="00F245B9">
      <w:pPr>
        <w:pStyle w:val="Headingb"/>
        <w:rPr>
          <w:lang w:val="ar-SA"/>
        </w:rPr>
      </w:pPr>
      <w:r w:rsidRPr="00A44FDD">
        <w:rPr>
          <w:rtl/>
        </w:rPr>
        <w:t>الخلاصة</w:t>
      </w:r>
    </w:p>
    <w:p w14:paraId="13052FCD" w14:textId="77777777" w:rsidR="00A44FDD" w:rsidRPr="00A44FDD" w:rsidRDefault="00A44FDD" w:rsidP="00A44FDD">
      <w:pPr>
        <w:rPr>
          <w:lang w:val="ar-SA" w:bidi="ar-EG"/>
        </w:rPr>
      </w:pPr>
      <w:r w:rsidRPr="00A44FDD">
        <w:rPr>
          <w:rtl/>
        </w:rPr>
        <w:t>يدعى الفريق الاستشاري للاتصالات الراديوية إلى مناقشة هذه الوثيقة وتقديم تعليقات ومقترحات إلى الفريق ISCG بشأن المواضيع التي عُرضت بالإضافة إلى أي نشاط مشترك آخر محتمل و/أو آليات مشتركة أخرى محتملة لتعزيز التعاون.</w:t>
      </w:r>
    </w:p>
    <w:p w14:paraId="49078ED5" w14:textId="77777777" w:rsidR="00A44FDD" w:rsidRPr="00A44FDD" w:rsidRDefault="00A44FDD" w:rsidP="00F245B9">
      <w:pPr>
        <w:keepNext/>
        <w:keepLines/>
        <w:rPr>
          <w:lang w:val="ar-SA" w:bidi="ar-EG"/>
        </w:rPr>
      </w:pPr>
      <w:r w:rsidRPr="00A44FDD">
        <w:rPr>
          <w:rtl/>
        </w:rPr>
        <w:lastRenderedPageBreak/>
        <w:t xml:space="preserve">ويُقترح عقد الاجتماع المقبل للفريق أثناء اجتماع الفريق الاستشاري لتقييس الاتصالات، وأن تُعرض المعلومات من خلال الموقع الإلكتروني للفريق </w:t>
      </w:r>
      <w:r w:rsidRPr="00A44FDD">
        <w:rPr>
          <w:lang w:bidi="ar-EG"/>
        </w:rPr>
        <w:t>ISCG</w:t>
      </w:r>
      <w:r w:rsidRPr="00A44FDD">
        <w:rPr>
          <w:rtl/>
        </w:rPr>
        <w:t>.</w:t>
      </w:r>
    </w:p>
    <w:p w14:paraId="4BC43087" w14:textId="68808AB5" w:rsidR="00A17E61" w:rsidRDefault="00A44FDD" w:rsidP="00F245B9">
      <w:pPr>
        <w:keepNext/>
        <w:keepLines/>
        <w:rPr>
          <w:rtl/>
        </w:rPr>
      </w:pPr>
      <w:r w:rsidRPr="00A44FDD">
        <w:rPr>
          <w:rtl/>
        </w:rPr>
        <w:t>ويود رئيس الفريق ISCG أن يتوجه بالشكر إلى أعضاء الفريق الاستشاري للاتصالات الراديوية على الفرصة المتاحة لعرض هذا التقرير، وأن يدعوهم إلى المساهمة في أنشطة الفريق ISCG.</w:t>
      </w:r>
    </w:p>
    <w:p w14:paraId="40869032"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20"/>
      <w:headerReference w:type="default" r:id="rId2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6E92" w14:textId="77777777" w:rsidR="00515545" w:rsidRDefault="00515545" w:rsidP="002919E1">
      <w:r>
        <w:separator/>
      </w:r>
    </w:p>
    <w:p w14:paraId="29B59BC0" w14:textId="77777777" w:rsidR="00515545" w:rsidRDefault="00515545" w:rsidP="002919E1"/>
    <w:p w14:paraId="3724DDE2" w14:textId="77777777" w:rsidR="00515545" w:rsidRDefault="00515545" w:rsidP="002919E1"/>
    <w:p w14:paraId="1C60E55F" w14:textId="77777777" w:rsidR="00515545" w:rsidRDefault="00515545"/>
  </w:endnote>
  <w:endnote w:type="continuationSeparator" w:id="0">
    <w:p w14:paraId="1F46FF56" w14:textId="77777777" w:rsidR="00515545" w:rsidRDefault="00515545" w:rsidP="002919E1">
      <w:r>
        <w:continuationSeparator/>
      </w:r>
    </w:p>
    <w:p w14:paraId="01BE3DB1" w14:textId="77777777" w:rsidR="00515545" w:rsidRDefault="00515545" w:rsidP="002919E1"/>
    <w:p w14:paraId="7A5172A8" w14:textId="77777777" w:rsidR="00515545" w:rsidRDefault="00515545" w:rsidP="002919E1"/>
    <w:p w14:paraId="21A8A28D" w14:textId="77777777" w:rsidR="00515545" w:rsidRDefault="00515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78DE" w14:textId="77777777" w:rsidR="00515545" w:rsidRDefault="00515545" w:rsidP="002919E1">
      <w:r>
        <w:separator/>
      </w:r>
    </w:p>
  </w:footnote>
  <w:footnote w:type="continuationSeparator" w:id="0">
    <w:p w14:paraId="6906520C" w14:textId="77777777" w:rsidR="00515545" w:rsidRDefault="00515545" w:rsidP="002919E1">
      <w:r>
        <w:continuationSeparator/>
      </w:r>
    </w:p>
    <w:p w14:paraId="328687CD" w14:textId="77777777" w:rsidR="00515545" w:rsidRDefault="00515545" w:rsidP="002919E1"/>
    <w:p w14:paraId="6E149D76" w14:textId="77777777" w:rsidR="00515545" w:rsidRDefault="00515545" w:rsidP="002919E1"/>
    <w:p w14:paraId="27E9977A" w14:textId="77777777" w:rsidR="00515545" w:rsidRDefault="00515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33AC" w14:textId="77777777" w:rsidR="00281F5F" w:rsidRDefault="00281F5F" w:rsidP="002919E1"/>
  <w:p w14:paraId="76D11869" w14:textId="77777777" w:rsidR="00281F5F" w:rsidRDefault="00281F5F" w:rsidP="002919E1"/>
  <w:p w14:paraId="4EA2668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5FBE" w14:textId="5785564D"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EE50B2">
      <w:rPr>
        <w:rStyle w:val="PageNumber"/>
      </w:rPr>
      <w:t>39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2D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0E8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182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E8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9AC8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3AD287E"/>
    <w:multiLevelType w:val="hybridMultilevel"/>
    <w:tmpl w:val="E5BAB994"/>
    <w:lvl w:ilvl="0" w:tplc="AF6069BC">
      <w:numFmt w:val="bullet"/>
      <w:lvlText w:val="-"/>
      <w:lvlJc w:val="left"/>
      <w:pPr>
        <w:ind w:left="720" w:hanging="360"/>
      </w:pPr>
      <w:rPr>
        <w:rFonts w:ascii="Times New Roman" w:eastAsia="SimSu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D1DC4"/>
    <w:multiLevelType w:val="hybridMultilevel"/>
    <w:tmpl w:val="238AE35A"/>
    <w:lvl w:ilvl="0" w:tplc="6582A25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28871733">
    <w:abstractNumId w:val="9"/>
  </w:num>
  <w:num w:numId="2" w16cid:durableId="454834751">
    <w:abstractNumId w:val="13"/>
  </w:num>
  <w:num w:numId="3" w16cid:durableId="1388843466">
    <w:abstractNumId w:val="10"/>
  </w:num>
  <w:num w:numId="4" w16cid:durableId="517163218">
    <w:abstractNumId w:val="14"/>
  </w:num>
  <w:num w:numId="5" w16cid:durableId="205263721">
    <w:abstractNumId w:val="7"/>
  </w:num>
  <w:num w:numId="6" w16cid:durableId="509217583">
    <w:abstractNumId w:val="6"/>
  </w:num>
  <w:num w:numId="7" w16cid:durableId="86968544">
    <w:abstractNumId w:val="5"/>
  </w:num>
  <w:num w:numId="8" w16cid:durableId="432090253">
    <w:abstractNumId w:val="4"/>
  </w:num>
  <w:num w:numId="9" w16cid:durableId="182020336">
    <w:abstractNumId w:val="8"/>
  </w:num>
  <w:num w:numId="10" w16cid:durableId="238367189">
    <w:abstractNumId w:val="3"/>
  </w:num>
  <w:num w:numId="11" w16cid:durableId="1076053874">
    <w:abstractNumId w:val="2"/>
  </w:num>
  <w:num w:numId="12" w16cid:durableId="492797348">
    <w:abstractNumId w:val="1"/>
  </w:num>
  <w:num w:numId="13" w16cid:durableId="396322701">
    <w:abstractNumId w:val="0"/>
  </w:num>
  <w:num w:numId="14" w16cid:durableId="319117532">
    <w:abstractNumId w:val="12"/>
    <w:lvlOverride w:ilvl="0">
      <w:lvl w:ilvl="0" w:tplc="6582A25C">
        <w:numFmt w:val="bullet"/>
        <w:lvlText w:val="-"/>
        <w:lvlJc w:val="left"/>
        <w:pPr>
          <w:ind w:left="360" w:hanging="360"/>
        </w:pPr>
        <w:rPr>
          <w:rFonts w:ascii="Times New Roman" w:eastAsia="Times New Roman" w:hAnsi="Times New Roman" w:cs="Times New Roman" w:hint="default"/>
        </w:rPr>
      </w:lvl>
    </w:lvlOverride>
  </w:num>
  <w:num w:numId="15" w16cid:durableId="15431848">
    <w:abstractNumId w:val="11"/>
    <w:lvlOverride w:ilvl="0">
      <w:lvl w:ilvl="0" w:tplc="AF6069BC">
        <w:numFmt w:val="bullet"/>
        <w:lvlText w:val="-"/>
        <w:lvlJc w:val="left"/>
        <w:pPr>
          <w:ind w:left="720" w:hanging="360"/>
        </w:pPr>
        <w:rPr>
          <w:rFonts w:ascii="Times New Roman" w:eastAsia="SimSun" w:hAnsi="Times New Roman" w:cs="Times New Roman" w:hint="default"/>
          <w:i/>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C4"/>
    <w:rsid w:val="00011021"/>
    <w:rsid w:val="000114EC"/>
    <w:rsid w:val="00011F8C"/>
    <w:rsid w:val="00022B74"/>
    <w:rsid w:val="0002327C"/>
    <w:rsid w:val="00034B65"/>
    <w:rsid w:val="00040C94"/>
    <w:rsid w:val="000425FC"/>
    <w:rsid w:val="00044D43"/>
    <w:rsid w:val="00047908"/>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30E4"/>
    <w:rsid w:val="00136B82"/>
    <w:rsid w:val="001464F2"/>
    <w:rsid w:val="00167364"/>
    <w:rsid w:val="001903B2"/>
    <w:rsid w:val="001B5953"/>
    <w:rsid w:val="001D746E"/>
    <w:rsid w:val="001E190C"/>
    <w:rsid w:val="001E2738"/>
    <w:rsid w:val="001E51EE"/>
    <w:rsid w:val="001E54F6"/>
    <w:rsid w:val="001E5A8C"/>
    <w:rsid w:val="001E6923"/>
    <w:rsid w:val="00201A0A"/>
    <w:rsid w:val="002075D4"/>
    <w:rsid w:val="00211B2A"/>
    <w:rsid w:val="00223C6C"/>
    <w:rsid w:val="002333A0"/>
    <w:rsid w:val="00241D04"/>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07AC"/>
    <w:rsid w:val="003B27AD"/>
    <w:rsid w:val="003B4F23"/>
    <w:rsid w:val="003C12F6"/>
    <w:rsid w:val="003C3A13"/>
    <w:rsid w:val="003D0EA7"/>
    <w:rsid w:val="003D4B41"/>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3CA7"/>
    <w:rsid w:val="004D4AE6"/>
    <w:rsid w:val="004F0BED"/>
    <w:rsid w:val="004F7FC4"/>
    <w:rsid w:val="00505FCA"/>
    <w:rsid w:val="00510C2D"/>
    <w:rsid w:val="00515545"/>
    <w:rsid w:val="00515B57"/>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95750"/>
    <w:rsid w:val="005A5FEA"/>
    <w:rsid w:val="005B00A1"/>
    <w:rsid w:val="005C29C8"/>
    <w:rsid w:val="005C45C3"/>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3FCF"/>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96AEB"/>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91D9E"/>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44FDD"/>
    <w:rsid w:val="00A54AC1"/>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460AC"/>
    <w:rsid w:val="00B50BF5"/>
    <w:rsid w:val="00B606BA"/>
    <w:rsid w:val="00B66817"/>
    <w:rsid w:val="00B71E3B"/>
    <w:rsid w:val="00B721D5"/>
    <w:rsid w:val="00B81CB5"/>
    <w:rsid w:val="00B8351F"/>
    <w:rsid w:val="00B86C44"/>
    <w:rsid w:val="00B96914"/>
    <w:rsid w:val="00B9727C"/>
    <w:rsid w:val="00BA7CDD"/>
    <w:rsid w:val="00BA7D44"/>
    <w:rsid w:val="00BD6291"/>
    <w:rsid w:val="00BD6EF3"/>
    <w:rsid w:val="00BE69C3"/>
    <w:rsid w:val="00C1165E"/>
    <w:rsid w:val="00C22074"/>
    <w:rsid w:val="00C2377B"/>
    <w:rsid w:val="00C34E09"/>
    <w:rsid w:val="00C3693C"/>
    <w:rsid w:val="00C37B8F"/>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3E3E"/>
    <w:rsid w:val="00CE5BA4"/>
    <w:rsid w:val="00CF23CB"/>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C7D13"/>
    <w:rsid w:val="00DE7387"/>
    <w:rsid w:val="00DF02A9"/>
    <w:rsid w:val="00DF2A6A"/>
    <w:rsid w:val="00DF3B72"/>
    <w:rsid w:val="00E10821"/>
    <w:rsid w:val="00E2489D"/>
    <w:rsid w:val="00E26520"/>
    <w:rsid w:val="00E26732"/>
    <w:rsid w:val="00E343A3"/>
    <w:rsid w:val="00E45B9E"/>
    <w:rsid w:val="00E47277"/>
    <w:rsid w:val="00E51BFA"/>
    <w:rsid w:val="00E6129E"/>
    <w:rsid w:val="00E621A3"/>
    <w:rsid w:val="00E833BC"/>
    <w:rsid w:val="00E8580E"/>
    <w:rsid w:val="00E90821"/>
    <w:rsid w:val="00E956C3"/>
    <w:rsid w:val="00E97E21"/>
    <w:rsid w:val="00EA1B76"/>
    <w:rsid w:val="00EA77D7"/>
    <w:rsid w:val="00EC09B9"/>
    <w:rsid w:val="00ED048C"/>
    <w:rsid w:val="00EE50B2"/>
    <w:rsid w:val="00EE60E9"/>
    <w:rsid w:val="00EF38AF"/>
    <w:rsid w:val="00F00143"/>
    <w:rsid w:val="00F055F8"/>
    <w:rsid w:val="00F10CB4"/>
    <w:rsid w:val="00F11B3D"/>
    <w:rsid w:val="00F146AC"/>
    <w:rsid w:val="00F14763"/>
    <w:rsid w:val="00F16212"/>
    <w:rsid w:val="00F16602"/>
    <w:rsid w:val="00F245B9"/>
    <w:rsid w:val="00F25B80"/>
    <w:rsid w:val="00F2685F"/>
    <w:rsid w:val="00F33A34"/>
    <w:rsid w:val="00F350C8"/>
    <w:rsid w:val="00F52E75"/>
    <w:rsid w:val="00F84613"/>
    <w:rsid w:val="00F8654D"/>
    <w:rsid w:val="00F900C9"/>
    <w:rsid w:val="00F92C96"/>
    <w:rsid w:val="00F97D1C"/>
    <w:rsid w:val="00FA0D4E"/>
    <w:rsid w:val="00FA73C4"/>
    <w:rsid w:val="00FB0753"/>
    <w:rsid w:val="00FB5CC8"/>
    <w:rsid w:val="00FC2CD0"/>
    <w:rsid w:val="00FC50C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F1DB81"/>
  <w15:docId w15:val="{DAE4F694-DD26-4E04-9DA0-DD1D6DF3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E45B9E"/>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23-RAG-C-0034/en" TargetMode="External"/><Relationship Id="rId18" Type="http://schemas.openxmlformats.org/officeDocument/2006/relationships/hyperlink" Target="https://www.itu.int/en/general-secretariat/ties/ISCGDocumentLibrary/Liaisons%20Statements%20on%20Inter-Sectoral%20Coordination%20Activities/Mapping-of-Resolutions-Updated%20Dec2024.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23-RAG-C-0033/en" TargetMode="External"/><Relationship Id="rId2" Type="http://schemas.openxmlformats.org/officeDocument/2006/relationships/customXml" Target="../customXml/item2.xml"/><Relationship Id="rId16" Type="http://schemas.openxmlformats.org/officeDocument/2006/relationships/hyperlink" Target="https://www.itu.int/md/S25-CWGFHR20-C-000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5-CWGFHR20-C-0024/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en/general-secretariat/Pages/ISCG/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general-secretariat/Pages/ISCG/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17\2500490%5bA%5d\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PA_RAG25.dotx</Template>
  <TotalTime>1</TotalTime>
  <Pages>3</Pages>
  <Words>935</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MMAS</dc:creator>
  <cp:keywords>WRC-12</cp:keywords>
  <cp:lastModifiedBy>GE</cp:lastModifiedBy>
  <cp:revision>3</cp:revision>
  <cp:lastPrinted>2019-06-26T10:10:00Z</cp:lastPrinted>
  <dcterms:created xsi:type="dcterms:W3CDTF">2025-03-17T11:33:00Z</dcterms:created>
  <dcterms:modified xsi:type="dcterms:W3CDTF">2025-03-17T11:34:00Z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