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5718D0D0" w14:textId="77777777" w:rsidTr="001B4810">
        <w:trPr>
          <w:cantSplit/>
        </w:trPr>
        <w:tc>
          <w:tcPr>
            <w:tcW w:w="6771" w:type="dxa"/>
            <w:vAlign w:val="center"/>
          </w:tcPr>
          <w:p w14:paraId="02A98E24" w14:textId="77777777" w:rsidR="001B4810" w:rsidRPr="00D872CB" w:rsidRDefault="001B4810" w:rsidP="00767544">
            <w:pPr>
              <w:shd w:val="solid" w:color="FFFFFF" w:fill="FFFFFF"/>
              <w:tabs>
                <w:tab w:val="clear" w:pos="794"/>
                <w:tab w:val="clear" w:pos="1191"/>
                <w:tab w:val="clear" w:pos="1588"/>
                <w:tab w:val="clear" w:pos="1985"/>
                <w:tab w:val="left" w:pos="2160"/>
              </w:tabs>
              <w:spacing w:before="360" w:after="240"/>
              <w:rPr>
                <w:rFonts w:ascii="Verdana" w:hAnsi="Verdana" w:cs="Times New Roman Bold"/>
                <w:b/>
                <w:bCs/>
                <w:lang w:eastAsia="zh-CN"/>
              </w:rPr>
            </w:pPr>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p>
        </w:tc>
        <w:tc>
          <w:tcPr>
            <w:tcW w:w="3151" w:type="dxa"/>
            <w:gridSpan w:val="2"/>
            <w:vAlign w:val="center"/>
          </w:tcPr>
          <w:p w14:paraId="3DBEADA8" w14:textId="77777777" w:rsidR="001B4810" w:rsidRPr="00432D7F" w:rsidRDefault="00767544" w:rsidP="003653BC">
            <w:pPr>
              <w:shd w:val="solid" w:color="FFFFFF" w:fill="FFFFFF"/>
              <w:spacing w:before="0"/>
              <w:rPr>
                <w:lang w:val="en-US"/>
              </w:rPr>
            </w:pPr>
            <w:r w:rsidRPr="00C126C1">
              <w:rPr>
                <w:noProof/>
                <w:lang w:val="en-US" w:eastAsia="zh-CN"/>
              </w:rPr>
              <w:drawing>
                <wp:inline distT="0" distB="0" distL="0" distR="0" wp14:anchorId="6DC80E35" wp14:editId="2ED5EC2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18E2D6B6" w14:textId="77777777" w:rsidTr="001D2E57">
        <w:trPr>
          <w:gridAfter w:val="1"/>
          <w:wAfter w:w="28" w:type="dxa"/>
          <w:cantSplit/>
        </w:trPr>
        <w:tc>
          <w:tcPr>
            <w:tcW w:w="6771" w:type="dxa"/>
            <w:tcBorders>
              <w:bottom w:val="single" w:sz="12" w:space="0" w:color="auto"/>
            </w:tcBorders>
          </w:tcPr>
          <w:p w14:paraId="6E0F90AE"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662E4A3C" w14:textId="77777777" w:rsidR="0051782D" w:rsidRPr="00D872CB" w:rsidRDefault="0051782D" w:rsidP="000A4F34">
            <w:pPr>
              <w:shd w:val="solid" w:color="FFFFFF" w:fill="FFFFFF"/>
              <w:spacing w:before="0" w:after="48"/>
              <w:rPr>
                <w:sz w:val="22"/>
                <w:szCs w:val="22"/>
              </w:rPr>
            </w:pPr>
          </w:p>
        </w:tc>
      </w:tr>
      <w:tr w:rsidR="0051782D" w:rsidRPr="00D872CB" w14:paraId="18A4C276" w14:textId="77777777" w:rsidTr="001D2E57">
        <w:trPr>
          <w:gridAfter w:val="1"/>
          <w:wAfter w:w="28" w:type="dxa"/>
          <w:cantSplit/>
        </w:trPr>
        <w:tc>
          <w:tcPr>
            <w:tcW w:w="6771" w:type="dxa"/>
            <w:tcBorders>
              <w:top w:val="single" w:sz="12" w:space="0" w:color="auto"/>
            </w:tcBorders>
          </w:tcPr>
          <w:p w14:paraId="5153C1B5"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153B226F" w14:textId="77777777" w:rsidR="0051782D" w:rsidRPr="00D872CB" w:rsidRDefault="0051782D" w:rsidP="000A4F34">
            <w:pPr>
              <w:shd w:val="solid" w:color="FFFFFF" w:fill="FFFFFF"/>
              <w:spacing w:before="0" w:after="48"/>
            </w:pPr>
          </w:p>
        </w:tc>
      </w:tr>
      <w:tr w:rsidR="0051782D" w:rsidRPr="00D872CB" w14:paraId="31EDD518" w14:textId="77777777" w:rsidTr="001D2E57">
        <w:trPr>
          <w:gridAfter w:val="1"/>
          <w:wAfter w:w="28" w:type="dxa"/>
          <w:cantSplit/>
        </w:trPr>
        <w:tc>
          <w:tcPr>
            <w:tcW w:w="6771" w:type="dxa"/>
            <w:vMerge w:val="restart"/>
          </w:tcPr>
          <w:p w14:paraId="03C4DCF2" w14:textId="21ADB159" w:rsidR="0051782D" w:rsidRPr="00D872CB" w:rsidRDefault="0051782D" w:rsidP="000A4F34">
            <w:pPr>
              <w:shd w:val="solid" w:color="FFFFFF" w:fill="FFFFFF"/>
              <w:spacing w:after="240"/>
              <w:rPr>
                <w:sz w:val="20"/>
              </w:rPr>
            </w:pPr>
            <w:bookmarkStart w:id="0" w:name="dnum" w:colFirst="1" w:colLast="1"/>
          </w:p>
        </w:tc>
        <w:tc>
          <w:tcPr>
            <w:tcW w:w="3123" w:type="dxa"/>
          </w:tcPr>
          <w:p w14:paraId="325CEC9B" w14:textId="544074DF" w:rsidR="0051782D" w:rsidRPr="000A4F34" w:rsidRDefault="006A7022" w:rsidP="00767544">
            <w:pPr>
              <w:shd w:val="solid" w:color="FFFFFF" w:fill="FFFFFF"/>
              <w:spacing w:before="0"/>
              <w:rPr>
                <w:rFonts w:ascii="Verdana" w:hAnsi="Verdana"/>
                <w:sz w:val="20"/>
                <w:lang w:eastAsia="zh-CN"/>
              </w:rPr>
            </w:pPr>
            <w:r w:rsidRPr="000A4F34">
              <w:rPr>
                <w:rFonts w:ascii="Verdana" w:hAnsi="SimSun"/>
                <w:b/>
                <w:sz w:val="20"/>
                <w:lang w:eastAsia="zh-CN"/>
              </w:rPr>
              <w:t>文件</w:t>
            </w:r>
            <w:r w:rsidR="00213AE0" w:rsidRPr="000A4F34">
              <w:rPr>
                <w:rFonts w:ascii="Verdana" w:hAnsi="Verdana"/>
                <w:b/>
                <w:sz w:val="20"/>
                <w:lang w:eastAsia="zh-CN"/>
              </w:rPr>
              <w:t xml:space="preserve"> RAG</w:t>
            </w:r>
            <w:r w:rsidR="00BD7223" w:rsidRPr="000A4F34">
              <w:rPr>
                <w:rFonts w:ascii="Verdana" w:hAnsi="Verdana"/>
                <w:b/>
                <w:sz w:val="20"/>
                <w:lang w:eastAsia="zh-CN"/>
              </w:rPr>
              <w:t>/</w:t>
            </w:r>
            <w:r w:rsidR="00762FFF">
              <w:rPr>
                <w:rFonts w:ascii="Verdana" w:hAnsi="Verdana" w:hint="eastAsia"/>
                <w:b/>
                <w:sz w:val="20"/>
                <w:lang w:eastAsia="zh-CN"/>
              </w:rPr>
              <w:t>35</w:t>
            </w:r>
            <w:r w:rsidR="00BD7223"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4B6EA9B9" w14:textId="77777777" w:rsidTr="001D2E57">
        <w:trPr>
          <w:gridAfter w:val="1"/>
          <w:wAfter w:w="28" w:type="dxa"/>
          <w:cantSplit/>
        </w:trPr>
        <w:tc>
          <w:tcPr>
            <w:tcW w:w="6771" w:type="dxa"/>
            <w:vMerge/>
          </w:tcPr>
          <w:p w14:paraId="0C14CAF2" w14:textId="77777777" w:rsidR="0051782D" w:rsidRPr="00D872CB" w:rsidRDefault="0051782D" w:rsidP="000A4F34">
            <w:pPr>
              <w:spacing w:before="60"/>
              <w:jc w:val="center"/>
              <w:rPr>
                <w:b/>
                <w:smallCaps/>
                <w:sz w:val="32"/>
                <w:lang w:eastAsia="zh-CN"/>
              </w:rPr>
            </w:pPr>
            <w:bookmarkStart w:id="1" w:name="ddate" w:colFirst="1" w:colLast="1"/>
            <w:bookmarkEnd w:id="0"/>
          </w:p>
        </w:tc>
        <w:tc>
          <w:tcPr>
            <w:tcW w:w="3123" w:type="dxa"/>
          </w:tcPr>
          <w:p w14:paraId="14BA557F" w14:textId="2C9AEF88" w:rsidR="0051782D" w:rsidRPr="000A4F34" w:rsidRDefault="00BD7223" w:rsidP="00767544">
            <w:pPr>
              <w:shd w:val="solid" w:color="FFFFFF" w:fill="FFFFFF"/>
              <w:spacing w:before="0"/>
              <w:rPr>
                <w:rFonts w:ascii="Verdana" w:hAnsi="Verdana"/>
                <w:sz w:val="20"/>
                <w:lang w:eastAsia="zh-CN"/>
              </w:rPr>
            </w:pPr>
            <w:r w:rsidRPr="000A4F34">
              <w:rPr>
                <w:rFonts w:ascii="Verdana" w:hAnsi="Verdana"/>
                <w:b/>
                <w:sz w:val="20"/>
                <w:lang w:eastAsia="zh-CN"/>
              </w:rPr>
              <w:t>20</w:t>
            </w:r>
            <w:r w:rsidR="00767544">
              <w:rPr>
                <w:rFonts w:ascii="Verdana" w:hAnsi="Verdana"/>
                <w:b/>
                <w:sz w:val="20"/>
                <w:lang w:eastAsia="zh-CN"/>
              </w:rPr>
              <w:t>2</w:t>
            </w:r>
            <w:r w:rsidR="00762FFF">
              <w:rPr>
                <w:rFonts w:ascii="Verdana" w:hAnsi="Verdana"/>
                <w:b/>
                <w:sz w:val="20"/>
                <w:lang w:eastAsia="zh-CN"/>
              </w:rPr>
              <w:t>5</w:t>
            </w:r>
            <w:r w:rsidR="00426448" w:rsidRPr="000A4F34">
              <w:rPr>
                <w:rFonts w:ascii="Verdana" w:hAnsi="SimSun"/>
                <w:b/>
                <w:sz w:val="20"/>
                <w:lang w:eastAsia="zh-CN"/>
              </w:rPr>
              <w:t>年</w:t>
            </w:r>
            <w:r w:rsidR="00762FFF">
              <w:rPr>
                <w:rFonts w:ascii="Verdana" w:hAnsi="Verdana"/>
                <w:b/>
                <w:sz w:val="20"/>
                <w:lang w:eastAsia="zh-CN"/>
              </w:rPr>
              <w:t>2</w:t>
            </w:r>
            <w:r w:rsidR="00426448" w:rsidRPr="000A4F34">
              <w:rPr>
                <w:rFonts w:ascii="Verdana" w:hAnsi="SimSun"/>
                <w:b/>
                <w:sz w:val="20"/>
                <w:lang w:eastAsia="zh-CN"/>
              </w:rPr>
              <w:t>月</w:t>
            </w:r>
            <w:r w:rsidR="00762FFF">
              <w:rPr>
                <w:rFonts w:ascii="Verdana" w:hAnsi="Verdana"/>
                <w:b/>
                <w:sz w:val="20"/>
                <w:lang w:eastAsia="zh-CN"/>
              </w:rPr>
              <w:t>27</w:t>
            </w:r>
            <w:r w:rsidR="00426448" w:rsidRPr="000A4F34">
              <w:rPr>
                <w:rFonts w:ascii="Verdana" w:hAnsi="SimSun"/>
                <w:b/>
                <w:sz w:val="20"/>
                <w:lang w:eastAsia="zh-CN"/>
              </w:rPr>
              <w:t>日</w:t>
            </w:r>
          </w:p>
        </w:tc>
      </w:tr>
      <w:tr w:rsidR="0051782D" w:rsidRPr="00D872CB" w14:paraId="6C42C626" w14:textId="77777777" w:rsidTr="001D2E57">
        <w:trPr>
          <w:gridAfter w:val="1"/>
          <w:wAfter w:w="28" w:type="dxa"/>
          <w:cantSplit/>
        </w:trPr>
        <w:tc>
          <w:tcPr>
            <w:tcW w:w="6771" w:type="dxa"/>
            <w:vMerge/>
          </w:tcPr>
          <w:p w14:paraId="6F720E13" w14:textId="77777777" w:rsidR="0051782D" w:rsidRPr="00D872CB" w:rsidRDefault="0051782D" w:rsidP="000A4F34">
            <w:pPr>
              <w:spacing w:before="60"/>
              <w:jc w:val="center"/>
              <w:rPr>
                <w:b/>
                <w:smallCaps/>
                <w:sz w:val="32"/>
                <w:lang w:eastAsia="zh-CN"/>
              </w:rPr>
            </w:pPr>
            <w:bookmarkStart w:id="2" w:name="dorlang" w:colFirst="1" w:colLast="1"/>
            <w:bookmarkEnd w:id="1"/>
          </w:p>
        </w:tc>
        <w:tc>
          <w:tcPr>
            <w:tcW w:w="3123" w:type="dxa"/>
          </w:tcPr>
          <w:p w14:paraId="0592D003" w14:textId="08A828EE" w:rsidR="0051782D" w:rsidRPr="00762FFF" w:rsidRDefault="00426448" w:rsidP="000A4F34">
            <w:pPr>
              <w:shd w:val="solid" w:color="FFFFFF" w:fill="FFFFFF"/>
              <w:spacing w:before="0" w:after="120"/>
              <w:rPr>
                <w:rFonts w:ascii="Verdana" w:hAnsi="Verdana" w:hint="eastAsia"/>
                <w:sz w:val="20"/>
                <w:lang w:eastAsia="zh-CN"/>
              </w:rPr>
            </w:pPr>
            <w:r w:rsidRPr="000A4F34">
              <w:rPr>
                <w:rFonts w:ascii="Verdana" w:hAnsi="SimSun"/>
                <w:b/>
                <w:sz w:val="20"/>
                <w:lang w:eastAsia="zh-CN"/>
              </w:rPr>
              <w:t>原文</w:t>
            </w:r>
            <w:r w:rsidR="0020573C" w:rsidRPr="000A4F34">
              <w:rPr>
                <w:rFonts w:ascii="Verdana" w:hAnsi="Verdana" w:hint="eastAsia"/>
                <w:b/>
                <w:sz w:val="20"/>
                <w:lang w:eastAsia="zh-CN"/>
              </w:rPr>
              <w:t>：</w:t>
            </w:r>
            <w:r w:rsidRPr="000A4F34">
              <w:rPr>
                <w:rFonts w:ascii="Verdana" w:hAnsi="SimSun"/>
                <w:b/>
                <w:sz w:val="20"/>
                <w:lang w:eastAsia="zh-CN"/>
              </w:rPr>
              <w:t>英文</w:t>
            </w:r>
            <w:r w:rsidR="00762FFF">
              <w:rPr>
                <w:rFonts w:ascii="Verdana" w:hAnsi="SimSun"/>
                <w:b/>
                <w:sz w:val="20"/>
                <w:lang w:val="en-US" w:eastAsia="zh-CN"/>
              </w:rPr>
              <w:t>/</w:t>
            </w:r>
            <w:r w:rsidR="00762FFF">
              <w:rPr>
                <w:rFonts w:ascii="Verdana" w:hAnsi="SimSun" w:hint="eastAsia"/>
                <w:b/>
                <w:sz w:val="20"/>
                <w:lang w:eastAsia="zh-CN"/>
              </w:rPr>
              <w:t>西班牙文</w:t>
            </w:r>
          </w:p>
        </w:tc>
      </w:tr>
      <w:tr w:rsidR="00426448" w:rsidRPr="00D872CB" w14:paraId="3B63FB21" w14:textId="77777777" w:rsidTr="001D2E57">
        <w:trPr>
          <w:gridAfter w:val="1"/>
          <w:wAfter w:w="28" w:type="dxa"/>
          <w:cantSplit/>
        </w:trPr>
        <w:tc>
          <w:tcPr>
            <w:tcW w:w="9894" w:type="dxa"/>
            <w:gridSpan w:val="2"/>
          </w:tcPr>
          <w:p w14:paraId="58B88F72" w14:textId="7221C39E" w:rsidR="00426448" w:rsidRPr="00D872CB" w:rsidRDefault="00762FFF" w:rsidP="000A4F34">
            <w:pPr>
              <w:pStyle w:val="Source"/>
              <w:rPr>
                <w:lang w:eastAsia="zh-CN"/>
              </w:rPr>
            </w:pPr>
            <w:bookmarkStart w:id="3" w:name="dsource" w:colFirst="0" w:colLast="0"/>
            <w:bookmarkEnd w:id="2"/>
            <w:r>
              <w:rPr>
                <w:rFonts w:hint="eastAsia"/>
                <w:lang w:eastAsia="zh-CN"/>
              </w:rPr>
              <w:t>美洲电信委员会（</w:t>
            </w:r>
            <w:r>
              <w:rPr>
                <w:rFonts w:hint="eastAsia"/>
                <w:lang w:eastAsia="zh-CN"/>
              </w:rPr>
              <w:t>C</w:t>
            </w:r>
            <w:r>
              <w:rPr>
                <w:lang w:eastAsia="zh-CN"/>
              </w:rPr>
              <w:t>ITEL</w:t>
            </w:r>
            <w:r>
              <w:rPr>
                <w:rFonts w:hint="eastAsia"/>
                <w:lang w:eastAsia="zh-CN"/>
              </w:rPr>
              <w:t>）成员国</w:t>
            </w:r>
          </w:p>
        </w:tc>
      </w:tr>
      <w:tr w:rsidR="00BC195C" w:rsidRPr="00D872CB" w14:paraId="4C1B829C" w14:textId="77777777" w:rsidTr="001D2E57">
        <w:trPr>
          <w:gridAfter w:val="1"/>
          <w:wAfter w:w="28" w:type="dxa"/>
          <w:cantSplit/>
        </w:trPr>
        <w:tc>
          <w:tcPr>
            <w:tcW w:w="9894" w:type="dxa"/>
            <w:gridSpan w:val="2"/>
          </w:tcPr>
          <w:p w14:paraId="05A5FE5A" w14:textId="1F7979CD" w:rsidR="00E130B3" w:rsidRPr="00726BD1" w:rsidRDefault="00762FFF" w:rsidP="000A4F34">
            <w:pPr>
              <w:tabs>
                <w:tab w:val="left" w:pos="851"/>
                <w:tab w:val="left" w:pos="5670"/>
              </w:tabs>
              <w:spacing w:before="240" w:after="240"/>
              <w:jc w:val="center"/>
              <w:rPr>
                <w:sz w:val="28"/>
                <w:szCs w:val="28"/>
                <w:lang w:val="fr-CH" w:eastAsia="zh-CN"/>
              </w:rPr>
            </w:pPr>
            <w:bookmarkStart w:id="4" w:name="dtitle1" w:colFirst="0" w:colLast="0"/>
            <w:bookmarkEnd w:id="3"/>
            <w:r w:rsidRPr="00762FFF">
              <w:rPr>
                <w:sz w:val="28"/>
                <w:szCs w:val="28"/>
                <w:lang w:eastAsia="zh-CN"/>
              </w:rPr>
              <w:t>ITU-R</w:t>
            </w:r>
            <w:r w:rsidRPr="00762FFF">
              <w:rPr>
                <w:rFonts w:hint="eastAsia"/>
                <w:sz w:val="28"/>
                <w:szCs w:val="28"/>
                <w:lang w:eastAsia="zh-CN"/>
              </w:rPr>
              <w:t>第</w:t>
            </w:r>
            <w:r w:rsidRPr="00762FFF">
              <w:rPr>
                <w:sz w:val="28"/>
                <w:szCs w:val="28"/>
                <w:lang w:eastAsia="zh-CN"/>
              </w:rPr>
              <w:t>2-9</w:t>
            </w:r>
            <w:r w:rsidRPr="00762FFF">
              <w:rPr>
                <w:rFonts w:hint="eastAsia"/>
                <w:sz w:val="28"/>
                <w:szCs w:val="28"/>
                <w:lang w:eastAsia="zh-CN"/>
              </w:rPr>
              <w:t>号决议的修改</w:t>
            </w:r>
          </w:p>
        </w:tc>
      </w:tr>
    </w:tbl>
    <w:bookmarkEnd w:id="4"/>
    <w:p w14:paraId="55F24A5E" w14:textId="77777777" w:rsidR="00762FFF" w:rsidRPr="00A120A2" w:rsidRDefault="00762FFF" w:rsidP="00520BB7">
      <w:pPr>
        <w:pStyle w:val="Headingb"/>
        <w:spacing w:before="360"/>
        <w:rPr>
          <w:lang w:val="en-US" w:eastAsia="zh-CN"/>
        </w:rPr>
      </w:pPr>
      <w:r>
        <w:rPr>
          <w:rFonts w:hint="eastAsia"/>
          <w:lang w:eastAsia="zh-CN"/>
        </w:rPr>
        <w:t>引言</w:t>
      </w:r>
    </w:p>
    <w:p w14:paraId="4B1BCBFE" w14:textId="77777777" w:rsidR="00762FFF" w:rsidRPr="00B958B6" w:rsidRDefault="00762FFF" w:rsidP="00520BB7">
      <w:pPr>
        <w:ind w:firstLineChars="200" w:firstLine="480"/>
        <w:rPr>
          <w:lang w:val="en-US" w:eastAsia="zh-CN"/>
        </w:rPr>
      </w:pPr>
      <w:r w:rsidRPr="00B958B6">
        <w:rPr>
          <w:rFonts w:hint="eastAsia"/>
          <w:lang w:val="en-US" w:eastAsia="zh-CN"/>
        </w:rPr>
        <w:t>对</w:t>
      </w:r>
      <w:r w:rsidRPr="00B958B6">
        <w:rPr>
          <w:rFonts w:hint="eastAsia"/>
          <w:lang w:val="en-US" w:eastAsia="zh-CN"/>
        </w:rPr>
        <w:t>ITU-R</w:t>
      </w:r>
      <w:r w:rsidRPr="00B958B6">
        <w:rPr>
          <w:rFonts w:hint="eastAsia"/>
          <w:lang w:val="en-US" w:eastAsia="zh-CN"/>
        </w:rPr>
        <w:t>第</w:t>
      </w:r>
      <w:r w:rsidRPr="00B958B6">
        <w:rPr>
          <w:rFonts w:hint="eastAsia"/>
          <w:lang w:val="en-US" w:eastAsia="zh-CN"/>
        </w:rPr>
        <w:t>2-9</w:t>
      </w:r>
      <w:r w:rsidRPr="00B958B6">
        <w:rPr>
          <w:rFonts w:hint="eastAsia"/>
          <w:lang w:val="en-US" w:eastAsia="zh-CN"/>
        </w:rPr>
        <w:t>号决议（</w:t>
      </w:r>
      <w:r w:rsidRPr="00B958B6">
        <w:rPr>
          <w:rFonts w:hint="eastAsia"/>
          <w:lang w:val="en-US" w:eastAsia="zh-CN"/>
        </w:rPr>
        <w:t>CPM</w:t>
      </w:r>
      <w:r w:rsidRPr="00B958B6">
        <w:rPr>
          <w:rFonts w:hint="eastAsia"/>
          <w:lang w:val="en-US" w:eastAsia="zh-CN"/>
        </w:rPr>
        <w:t>）的拟议修改可通过加强大会筹备会议（</w:t>
      </w:r>
      <w:r w:rsidRPr="00B958B6">
        <w:rPr>
          <w:rFonts w:hint="eastAsia"/>
          <w:lang w:val="en-US" w:eastAsia="zh-CN"/>
        </w:rPr>
        <w:t>CPM</w:t>
      </w:r>
      <w:r w:rsidRPr="00B958B6">
        <w:rPr>
          <w:rFonts w:hint="eastAsia"/>
          <w:lang w:val="en-US" w:eastAsia="zh-CN"/>
        </w:rPr>
        <w:t>）的结构来提高世界无线电通信大会（</w:t>
      </w:r>
      <w:r w:rsidRPr="00B958B6">
        <w:rPr>
          <w:rFonts w:hint="eastAsia"/>
          <w:lang w:val="en-US" w:eastAsia="zh-CN"/>
        </w:rPr>
        <w:t>WRC</w:t>
      </w:r>
      <w:r w:rsidRPr="00B958B6">
        <w:rPr>
          <w:rFonts w:hint="eastAsia"/>
          <w:lang w:val="en-US" w:eastAsia="zh-CN"/>
        </w:rPr>
        <w:t>）筹备工作的效率。</w:t>
      </w:r>
    </w:p>
    <w:p w14:paraId="046DB2EF" w14:textId="77777777" w:rsidR="00762FFF" w:rsidRPr="00A120A2" w:rsidRDefault="00762FFF" w:rsidP="00520BB7">
      <w:pPr>
        <w:ind w:firstLineChars="200" w:firstLine="480"/>
        <w:rPr>
          <w:lang w:val="en-US" w:eastAsia="zh-CN"/>
        </w:rPr>
      </w:pPr>
      <w:r w:rsidRPr="00B958B6">
        <w:rPr>
          <w:rFonts w:hint="eastAsia"/>
          <w:lang w:val="en-US" w:eastAsia="zh-CN"/>
        </w:rPr>
        <w:t>CITEL</w:t>
      </w:r>
      <w:r w:rsidRPr="00B958B6">
        <w:rPr>
          <w:rFonts w:hint="eastAsia"/>
          <w:lang w:val="en-US" w:eastAsia="zh-CN"/>
        </w:rPr>
        <w:t>的提案旨在</w:t>
      </w:r>
      <w:r>
        <w:rPr>
          <w:rFonts w:hint="eastAsia"/>
          <w:lang w:val="en-US" w:eastAsia="zh-CN"/>
        </w:rPr>
        <w:t>改进</w:t>
      </w:r>
      <w:r w:rsidRPr="00B958B6">
        <w:rPr>
          <w:rFonts w:hint="eastAsia"/>
          <w:lang w:val="en-US" w:eastAsia="zh-CN"/>
        </w:rPr>
        <w:t>国际电联大会筹备会议（</w:t>
      </w:r>
      <w:r w:rsidRPr="00B958B6">
        <w:rPr>
          <w:rFonts w:hint="eastAsia"/>
          <w:lang w:val="en-US" w:eastAsia="zh-CN"/>
        </w:rPr>
        <w:t>CPM</w:t>
      </w:r>
      <w:r w:rsidRPr="00B958B6">
        <w:rPr>
          <w:rFonts w:hint="eastAsia"/>
          <w:lang w:val="en-US" w:eastAsia="zh-CN"/>
        </w:rPr>
        <w:t>）的工作方法，以优化</w:t>
      </w:r>
      <w:r w:rsidRPr="00B958B6">
        <w:rPr>
          <w:rFonts w:hint="eastAsia"/>
          <w:lang w:val="en-US" w:eastAsia="zh-CN"/>
        </w:rPr>
        <w:t>WRC</w:t>
      </w:r>
      <w:r w:rsidRPr="00B958B6">
        <w:rPr>
          <w:rFonts w:hint="eastAsia"/>
          <w:lang w:val="en-US" w:eastAsia="zh-CN"/>
        </w:rPr>
        <w:t>文稿的协调和分析。</w:t>
      </w:r>
    </w:p>
    <w:p w14:paraId="7F761E43" w14:textId="77777777" w:rsidR="00762FFF" w:rsidRPr="00A120A2" w:rsidRDefault="00762FFF" w:rsidP="00762FFF">
      <w:pPr>
        <w:rPr>
          <w:lang w:val="en-US" w:eastAsia="zh-CN"/>
        </w:rPr>
      </w:pPr>
    </w:p>
    <w:p w14:paraId="07643BBC" w14:textId="77777777" w:rsidR="00762FFF" w:rsidRPr="00A120A2" w:rsidRDefault="00762FFF" w:rsidP="00762FFF">
      <w:pPr>
        <w:pStyle w:val="Heading1"/>
        <w:rPr>
          <w:lang w:val="en-US" w:eastAsia="zh-CN"/>
        </w:rPr>
      </w:pPr>
      <w:r>
        <w:rPr>
          <w:rFonts w:hint="eastAsia"/>
          <w:lang w:eastAsia="zh-CN"/>
        </w:rPr>
        <w:t>提案</w:t>
      </w:r>
    </w:p>
    <w:p w14:paraId="0F1B0141" w14:textId="77777777" w:rsidR="00762FFF" w:rsidRPr="00762FFF" w:rsidRDefault="00762FFF" w:rsidP="00520BB7">
      <w:pPr>
        <w:pStyle w:val="ResNoBR"/>
        <w:rPr>
          <w:lang w:eastAsia="zh-CN"/>
        </w:rPr>
      </w:pPr>
      <w:r w:rsidRPr="00762FFF">
        <w:rPr>
          <w:rFonts w:hint="eastAsia"/>
          <w:lang w:val="en-US" w:eastAsia="zh-CN"/>
        </w:rPr>
        <w:t>ITU-R</w:t>
      </w:r>
      <w:r w:rsidRPr="00762FFF">
        <w:rPr>
          <w:rFonts w:hint="eastAsia"/>
          <w:lang w:val="en-US" w:eastAsia="zh-CN"/>
        </w:rPr>
        <w:t>第</w:t>
      </w:r>
      <w:r w:rsidRPr="00762FFF">
        <w:rPr>
          <w:rFonts w:hint="eastAsia"/>
          <w:lang w:val="en-US" w:eastAsia="zh-CN"/>
        </w:rPr>
        <w:t>2-</w:t>
      </w:r>
      <w:r w:rsidRPr="00762FFF">
        <w:rPr>
          <w:lang w:val="en-US" w:eastAsia="zh-CN"/>
        </w:rPr>
        <w:t>9</w:t>
      </w:r>
      <w:r w:rsidRPr="00762FFF">
        <w:rPr>
          <w:rFonts w:hint="eastAsia"/>
          <w:lang w:val="en-US" w:eastAsia="zh-CN"/>
        </w:rPr>
        <w:t>号决议的修改</w:t>
      </w:r>
    </w:p>
    <w:p w14:paraId="5A1FED77" w14:textId="77777777" w:rsidR="00762FFF" w:rsidRDefault="00762FFF" w:rsidP="00762FFF">
      <w:pPr>
        <w:pStyle w:val="Restitle"/>
        <w:rPr>
          <w:lang w:eastAsia="zh-CN"/>
        </w:rPr>
      </w:pPr>
      <w:r w:rsidRPr="000E0115">
        <w:rPr>
          <w:rFonts w:hint="eastAsia"/>
          <w:lang w:eastAsia="zh-CN"/>
        </w:rPr>
        <w:t>大会筹备会议</w:t>
      </w:r>
    </w:p>
    <w:p w14:paraId="15E5DA34" w14:textId="77777777" w:rsidR="00762FFF" w:rsidRDefault="00762FFF" w:rsidP="00520BB7">
      <w:pPr>
        <w:jc w:val="center"/>
        <w:rPr>
          <w:lang w:eastAsia="zh-CN"/>
        </w:rPr>
      </w:pPr>
      <w:bookmarkStart w:id="5" w:name="dbreak"/>
      <w:bookmarkEnd w:id="5"/>
      <w:r w:rsidRPr="001C3FE2">
        <w:rPr>
          <w:rFonts w:hint="eastAsia"/>
          <w:lang w:eastAsia="zh-CN"/>
        </w:rPr>
        <w:t>（</w:t>
      </w:r>
      <w:r w:rsidRPr="001C3FE2">
        <w:rPr>
          <w:lang w:eastAsia="zh-CN"/>
        </w:rPr>
        <w:t>1993-1995-1997-2000-2003-2007</w:t>
      </w:r>
      <w:r w:rsidRPr="001C3FE2">
        <w:rPr>
          <w:rFonts w:hint="eastAsia"/>
          <w:lang w:eastAsia="zh-CN"/>
        </w:rPr>
        <w:t>-2012</w:t>
      </w:r>
      <w:r w:rsidRPr="001C3FE2">
        <w:rPr>
          <w:lang w:eastAsia="zh-CN"/>
        </w:rPr>
        <w:t>-2015</w:t>
      </w:r>
      <w:r>
        <w:rPr>
          <w:rFonts w:hint="eastAsia"/>
          <w:lang w:eastAsia="zh-CN"/>
        </w:rPr>
        <w:t>-2019</w:t>
      </w:r>
      <w:r>
        <w:rPr>
          <w:lang w:eastAsia="zh-CN"/>
        </w:rPr>
        <w:t>-2023</w:t>
      </w:r>
      <w:r w:rsidRPr="001C3FE2">
        <w:rPr>
          <w:rFonts w:hint="eastAsia"/>
          <w:lang w:eastAsia="zh-CN"/>
        </w:rPr>
        <w:t>年）</w:t>
      </w:r>
    </w:p>
    <w:p w14:paraId="2DF0CCEA" w14:textId="77777777" w:rsidR="00762FFF" w:rsidRDefault="00762FFF" w:rsidP="00762FFF">
      <w:pPr>
        <w:pStyle w:val="Normalaftertitle"/>
        <w:rPr>
          <w:lang w:eastAsia="zh-CN"/>
        </w:rPr>
      </w:pPr>
      <w:r w:rsidRPr="0072283B">
        <w:rPr>
          <w:rFonts w:hint="eastAsia"/>
          <w:lang w:eastAsia="zh-CN"/>
        </w:rPr>
        <w:t>国际电联无线电通信全会，</w:t>
      </w:r>
    </w:p>
    <w:p w14:paraId="09F2068D" w14:textId="77777777" w:rsidR="00762FFF" w:rsidRPr="002E1A7B" w:rsidRDefault="00762FFF" w:rsidP="00762FFF">
      <w:pPr>
        <w:pStyle w:val="Call"/>
        <w:rPr>
          <w:lang w:eastAsia="zh-CN"/>
        </w:rPr>
      </w:pPr>
      <w:r w:rsidRPr="002E1A7B">
        <w:rPr>
          <w:rFonts w:hint="eastAsia"/>
          <w:lang w:eastAsia="zh-CN"/>
        </w:rPr>
        <w:t>考虑到</w:t>
      </w:r>
    </w:p>
    <w:p w14:paraId="24F20506" w14:textId="77777777" w:rsidR="00762FFF" w:rsidRDefault="00762FFF" w:rsidP="00762FFF">
      <w:pPr>
        <w:jc w:val="both"/>
        <w:rPr>
          <w:lang w:eastAsia="zh-CN"/>
        </w:rPr>
      </w:pPr>
      <w:r w:rsidRPr="00F005D8">
        <w:rPr>
          <w:i/>
          <w:iCs/>
          <w:lang w:eastAsia="zh-CN"/>
        </w:rPr>
        <w:t>a)</w:t>
      </w:r>
      <w:r>
        <w:rPr>
          <w:lang w:eastAsia="zh-CN"/>
        </w:rPr>
        <w:tab/>
      </w:r>
      <w:r w:rsidRPr="00AA1180">
        <w:rPr>
          <w:rFonts w:hint="eastAsia"/>
          <w:lang w:eastAsia="zh-CN"/>
        </w:rPr>
        <w:t>国际电联《组织法》第</w:t>
      </w:r>
      <w:r w:rsidRPr="00AA1180">
        <w:rPr>
          <w:lang w:eastAsia="zh-CN"/>
        </w:rPr>
        <w:t>13</w:t>
      </w:r>
      <w:r w:rsidRPr="00AA1180">
        <w:rPr>
          <w:rFonts w:hint="eastAsia"/>
          <w:lang w:eastAsia="zh-CN"/>
        </w:rPr>
        <w:t>条、国际电联《公约》第</w:t>
      </w:r>
      <w:r w:rsidRPr="00AA1180">
        <w:rPr>
          <w:lang w:eastAsia="zh-CN"/>
        </w:rPr>
        <w:t>8</w:t>
      </w:r>
      <w:r w:rsidRPr="00AA1180">
        <w:rPr>
          <w:rFonts w:hint="eastAsia"/>
          <w:lang w:eastAsia="zh-CN"/>
        </w:rPr>
        <w:t>条和《国际电联大会、全会和会议的总规则》的相关部分，对无线电通信全会（</w:t>
      </w:r>
      <w:r w:rsidRPr="00AA1180">
        <w:rPr>
          <w:lang w:eastAsia="zh-CN"/>
        </w:rPr>
        <w:t>RA</w:t>
      </w:r>
      <w:r w:rsidRPr="00AA1180">
        <w:rPr>
          <w:lang w:eastAsia="zh-CN"/>
        </w:rPr>
        <w:t>）</w:t>
      </w:r>
      <w:r w:rsidRPr="00AA1180">
        <w:rPr>
          <w:rFonts w:hint="eastAsia"/>
          <w:lang w:eastAsia="zh-CN"/>
        </w:rPr>
        <w:t>在筹备世界无线电通信大会（</w:t>
      </w:r>
      <w:r w:rsidRPr="00AA1180">
        <w:rPr>
          <w:lang w:eastAsia="zh-CN"/>
        </w:rPr>
        <w:t>WRC</w:t>
      </w:r>
      <w:r w:rsidRPr="00AA1180">
        <w:rPr>
          <w:rFonts w:hint="eastAsia"/>
          <w:lang w:eastAsia="zh-CN"/>
        </w:rPr>
        <w:t>）</w:t>
      </w:r>
      <w:proofErr w:type="gramStart"/>
      <w:r w:rsidRPr="00AA1180">
        <w:rPr>
          <w:rFonts w:hint="eastAsia"/>
          <w:lang w:eastAsia="zh-CN"/>
        </w:rPr>
        <w:t>过程中的责任和职能做出了规定；</w:t>
      </w:r>
      <w:proofErr w:type="gramEnd"/>
    </w:p>
    <w:p w14:paraId="73B77AB0" w14:textId="77777777" w:rsidR="00762FFF" w:rsidRDefault="00762FFF" w:rsidP="00762FFF">
      <w:pPr>
        <w:rPr>
          <w:lang w:eastAsia="zh-CN"/>
        </w:rPr>
      </w:pPr>
      <w:r w:rsidRPr="00CC6A58">
        <w:rPr>
          <w:i/>
          <w:iCs/>
          <w:lang w:eastAsia="zh-CN"/>
        </w:rPr>
        <w:t>b)</w:t>
      </w:r>
      <w:r w:rsidRPr="00CC6A58">
        <w:rPr>
          <w:lang w:eastAsia="zh-CN"/>
        </w:rPr>
        <w:tab/>
      </w:r>
      <w:r w:rsidRPr="008146D2">
        <w:rPr>
          <w:lang w:eastAsia="zh-CN"/>
        </w:rPr>
        <w:t>WRC</w:t>
      </w:r>
      <w:r>
        <w:rPr>
          <w:rFonts w:hint="eastAsia"/>
          <w:lang w:eastAsia="zh-CN"/>
        </w:rPr>
        <w:t>请国际电联无线电通信部门（</w:t>
      </w:r>
      <w:r>
        <w:rPr>
          <w:rFonts w:hint="eastAsia"/>
          <w:lang w:eastAsia="zh-CN"/>
        </w:rPr>
        <w:t>ITU-R</w:t>
      </w:r>
      <w:r>
        <w:rPr>
          <w:rFonts w:hint="eastAsia"/>
          <w:lang w:eastAsia="zh-CN"/>
        </w:rPr>
        <w:t>）根据</w:t>
      </w:r>
      <w:r w:rsidRPr="009C586C">
        <w:rPr>
          <w:rFonts w:hint="eastAsia"/>
          <w:lang w:eastAsia="zh-CN"/>
        </w:rPr>
        <w:t>相关</w:t>
      </w:r>
      <w:r w:rsidRPr="009C586C">
        <w:rPr>
          <w:lang w:eastAsia="zh-CN"/>
        </w:rPr>
        <w:t>WRC</w:t>
      </w:r>
      <w:r>
        <w:rPr>
          <w:rFonts w:hint="eastAsia"/>
          <w:lang w:eastAsia="zh-CN"/>
        </w:rPr>
        <w:t>决议，</w:t>
      </w:r>
      <w:proofErr w:type="gramStart"/>
      <w:r>
        <w:rPr>
          <w:rFonts w:hint="eastAsia"/>
          <w:lang w:eastAsia="zh-CN"/>
        </w:rPr>
        <w:t>开展已列入</w:t>
      </w:r>
      <w:r w:rsidRPr="008146D2">
        <w:rPr>
          <w:lang w:eastAsia="zh-CN"/>
        </w:rPr>
        <w:t>WRC</w:t>
      </w:r>
      <w:r>
        <w:rPr>
          <w:rFonts w:hint="eastAsia"/>
          <w:lang w:eastAsia="zh-CN"/>
        </w:rPr>
        <w:t>议程的议题相关研究；</w:t>
      </w:r>
      <w:proofErr w:type="gramEnd"/>
    </w:p>
    <w:p w14:paraId="60EAA507" w14:textId="77777777" w:rsidR="00762FFF" w:rsidRDefault="00762FFF" w:rsidP="00762FFF">
      <w:pPr>
        <w:jc w:val="both"/>
        <w:rPr>
          <w:lang w:eastAsia="zh-CN"/>
        </w:rPr>
      </w:pPr>
      <w:r w:rsidRPr="00CC6A58">
        <w:rPr>
          <w:i/>
          <w:iCs/>
          <w:lang w:eastAsia="zh-CN"/>
        </w:rPr>
        <w:t>c)</w:t>
      </w:r>
      <w:r w:rsidRPr="00CC6A58">
        <w:rPr>
          <w:lang w:eastAsia="zh-CN"/>
        </w:rPr>
        <w:tab/>
      </w:r>
      <w:r>
        <w:rPr>
          <w:rFonts w:hint="eastAsia"/>
          <w:lang w:eastAsia="zh-CN"/>
        </w:rPr>
        <w:t>有必要组织和开展</w:t>
      </w:r>
      <w:r>
        <w:rPr>
          <w:rFonts w:hint="eastAsia"/>
          <w:lang w:eastAsia="zh-CN"/>
        </w:rPr>
        <w:t>ITU-R</w:t>
      </w:r>
      <w:r>
        <w:rPr>
          <w:rFonts w:hint="eastAsia"/>
          <w:lang w:eastAsia="zh-CN"/>
        </w:rPr>
        <w:t>研究，</w:t>
      </w:r>
      <w:proofErr w:type="gramStart"/>
      <w:r>
        <w:rPr>
          <w:rFonts w:hint="eastAsia"/>
          <w:lang w:eastAsia="zh-CN"/>
        </w:rPr>
        <w:t>并且向</w:t>
      </w:r>
      <w:r w:rsidRPr="008146D2">
        <w:rPr>
          <w:lang w:eastAsia="zh-CN"/>
        </w:rPr>
        <w:t>WRC</w:t>
      </w:r>
      <w:r>
        <w:rPr>
          <w:rFonts w:hint="eastAsia"/>
          <w:lang w:eastAsia="zh-CN"/>
        </w:rPr>
        <w:t>提供研究结果；</w:t>
      </w:r>
      <w:proofErr w:type="gramEnd"/>
    </w:p>
    <w:p w14:paraId="685C8BF2" w14:textId="77777777" w:rsidR="00520BB7" w:rsidRPr="00B958B6" w:rsidRDefault="00520BB7" w:rsidP="00520BB7">
      <w:pPr>
        <w:rPr>
          <w:ins w:id="6" w:author="LING-C(JL)" w:date="2025-03-04T14:25:00Z" w16du:dateUtc="2025-03-04T13:25:00Z"/>
          <w:lang w:eastAsia="zh-CN"/>
        </w:rPr>
      </w:pPr>
      <w:ins w:id="7" w:author="LING-C(JL)" w:date="2025-03-04T14:25:00Z" w16du:dateUtc="2025-03-04T13:25:00Z">
        <w:r w:rsidRPr="002F7317">
          <w:rPr>
            <w:i/>
            <w:iCs/>
            <w:lang w:val="en-US" w:eastAsia="zh-CN"/>
          </w:rPr>
          <w:t>d)</w:t>
        </w:r>
        <w:r>
          <w:rPr>
            <w:i/>
            <w:iCs/>
            <w:lang w:val="en-US" w:eastAsia="zh-CN"/>
          </w:rPr>
          <w:tab/>
        </w:r>
        <w:r w:rsidRPr="00B958B6">
          <w:rPr>
            <w:rFonts w:hint="eastAsia"/>
            <w:lang w:eastAsia="zh-CN"/>
          </w:rPr>
          <w:t>ITU-R</w:t>
        </w:r>
        <w:r w:rsidRPr="00B958B6">
          <w:rPr>
            <w:rFonts w:hint="eastAsia"/>
            <w:lang w:eastAsia="zh-CN"/>
          </w:rPr>
          <w:t>研究组、工作组、任务组和联合任务组之间的有效协调对于确保为所需的技术、</w:t>
        </w:r>
        <w:r>
          <w:rPr>
            <w:rFonts w:hint="eastAsia"/>
            <w:lang w:eastAsia="zh-CN"/>
          </w:rPr>
          <w:t>操作</w:t>
        </w:r>
        <w:r w:rsidRPr="00B958B6">
          <w:rPr>
            <w:rFonts w:hint="eastAsia"/>
            <w:lang w:eastAsia="zh-CN"/>
          </w:rPr>
          <w:t>和规则研究提供相关信息（如系统特性、保护标准）</w:t>
        </w:r>
        <w:proofErr w:type="gramStart"/>
        <w:r w:rsidRPr="00B958B6">
          <w:rPr>
            <w:rFonts w:hint="eastAsia"/>
            <w:lang w:eastAsia="zh-CN"/>
          </w:rPr>
          <w:t>至关重要</w:t>
        </w:r>
        <w:r>
          <w:rPr>
            <w:rFonts w:hint="eastAsia"/>
            <w:lang w:eastAsia="zh-CN"/>
          </w:rPr>
          <w:t>；</w:t>
        </w:r>
        <w:proofErr w:type="gramEnd"/>
      </w:ins>
    </w:p>
    <w:p w14:paraId="4171AA04" w14:textId="4C74DEEB" w:rsidR="00520BB7" w:rsidRDefault="00520BB7" w:rsidP="00520BB7">
      <w:pPr>
        <w:rPr>
          <w:ins w:id="8" w:author="LING-C(JL)" w:date="2025-03-04T14:25:00Z" w16du:dateUtc="2025-03-04T13:25:00Z"/>
          <w:i/>
          <w:iCs/>
          <w:lang w:eastAsia="zh-CN"/>
        </w:rPr>
      </w:pPr>
      <w:ins w:id="9" w:author="LING-C(JL)" w:date="2025-03-04T14:25:00Z" w16du:dateUtc="2025-03-04T13:25:00Z">
        <w:r w:rsidRPr="002F7317">
          <w:rPr>
            <w:i/>
            <w:iCs/>
            <w:lang w:val="en-US" w:eastAsia="zh-CN"/>
          </w:rPr>
          <w:lastRenderedPageBreak/>
          <w:t>e)</w:t>
        </w:r>
        <w:r>
          <w:rPr>
            <w:i/>
            <w:iCs/>
            <w:lang w:val="en-US" w:eastAsia="zh-CN"/>
          </w:rPr>
          <w:tab/>
        </w:r>
        <w:r w:rsidRPr="00B958B6">
          <w:rPr>
            <w:rFonts w:hint="eastAsia"/>
            <w:lang w:eastAsia="zh-CN"/>
          </w:rPr>
          <w:t>研究的及时提交和</w:t>
        </w:r>
        <w:r w:rsidRPr="00B958B6">
          <w:rPr>
            <w:rFonts w:hint="eastAsia"/>
            <w:lang w:eastAsia="zh-CN"/>
          </w:rPr>
          <w:t>ITU-R</w:t>
        </w:r>
        <w:r w:rsidRPr="00B958B6">
          <w:rPr>
            <w:rFonts w:hint="eastAsia"/>
            <w:lang w:eastAsia="zh-CN"/>
          </w:rPr>
          <w:t>相关组的审议可能取决于</w:t>
        </w:r>
        <w:r w:rsidRPr="00CF21F9">
          <w:rPr>
            <w:rFonts w:ascii="STKaiti" w:eastAsia="STKaiti" w:hAnsi="STKaiti" w:hint="eastAsia"/>
            <w:lang w:eastAsia="zh-CN"/>
          </w:rPr>
          <w:t>考虑到</w:t>
        </w:r>
        <w:r w:rsidRPr="00621960">
          <w:rPr>
            <w:rFonts w:eastAsia="STKaiti"/>
            <w:i/>
            <w:iCs/>
            <w:lang w:eastAsia="zh-CN"/>
          </w:rPr>
          <w:t>d</w:t>
        </w:r>
      </w:ins>
      <w:ins w:id="10" w:author="LING-C(JL)" w:date="2025-03-04T14:51:00Z" w16du:dateUtc="2025-03-04T13:51:00Z">
        <w:r w:rsidR="00621960">
          <w:rPr>
            <w:rFonts w:eastAsia="STKaiti" w:hint="eastAsia"/>
            <w:i/>
            <w:iCs/>
            <w:lang w:eastAsia="zh-CN"/>
          </w:rPr>
          <w:t>)</w:t>
        </w:r>
      </w:ins>
      <w:proofErr w:type="gramStart"/>
      <w:ins w:id="11" w:author="LING-C(JL)" w:date="2025-03-04T14:25:00Z" w16du:dateUtc="2025-03-04T13:25:00Z">
        <w:r w:rsidRPr="00B958B6">
          <w:rPr>
            <w:rFonts w:hint="eastAsia"/>
            <w:lang w:eastAsia="zh-CN"/>
          </w:rPr>
          <w:t>中所述信息的可用性</w:t>
        </w:r>
        <w:r>
          <w:rPr>
            <w:rFonts w:hint="eastAsia"/>
            <w:lang w:eastAsia="zh-CN"/>
          </w:rPr>
          <w:t>；</w:t>
        </w:r>
        <w:proofErr w:type="gramEnd"/>
      </w:ins>
    </w:p>
    <w:p w14:paraId="5C290096" w14:textId="2C8B07DB" w:rsidR="00762FFF" w:rsidRDefault="00520BB7" w:rsidP="00762FFF">
      <w:pPr>
        <w:rPr>
          <w:lang w:eastAsia="zh-CN"/>
        </w:rPr>
      </w:pPr>
      <w:del w:id="12" w:author="LING-C(JL)" w:date="2025-03-04T14:25:00Z" w16du:dateUtc="2025-03-04T13:25:00Z">
        <w:r w:rsidDel="00520BB7">
          <w:rPr>
            <w:rFonts w:hint="eastAsia"/>
            <w:i/>
            <w:iCs/>
            <w:lang w:eastAsia="zh-CN"/>
          </w:rPr>
          <w:delText>d</w:delText>
        </w:r>
      </w:del>
      <w:ins w:id="13" w:author="LING-C(JL)" w:date="2025-03-04T14:25:00Z" w16du:dateUtc="2025-03-04T13:25:00Z">
        <w:r>
          <w:rPr>
            <w:rFonts w:hint="eastAsia"/>
            <w:i/>
            <w:iCs/>
            <w:lang w:eastAsia="zh-CN"/>
          </w:rPr>
          <w:t>f</w:t>
        </w:r>
      </w:ins>
      <w:r w:rsidR="00762FFF" w:rsidRPr="002F7317">
        <w:rPr>
          <w:i/>
          <w:iCs/>
          <w:lang w:eastAsia="zh-CN"/>
        </w:rPr>
        <w:t>)</w:t>
      </w:r>
      <w:r w:rsidR="00762FFF">
        <w:rPr>
          <w:lang w:eastAsia="zh-CN"/>
        </w:rPr>
        <w:tab/>
      </w:r>
      <w:r w:rsidR="00762FFF">
        <w:rPr>
          <w:rFonts w:hint="eastAsia"/>
          <w:lang w:eastAsia="zh-CN"/>
        </w:rPr>
        <w:t>需要为这种筹备工作做出特殊安排，</w:t>
      </w:r>
    </w:p>
    <w:p w14:paraId="2C087394" w14:textId="77777777" w:rsidR="00762FFF" w:rsidRPr="002E1A7B" w:rsidRDefault="00762FFF" w:rsidP="00762FFF">
      <w:pPr>
        <w:pStyle w:val="Call"/>
        <w:rPr>
          <w:lang w:eastAsia="zh-CN"/>
        </w:rPr>
      </w:pPr>
      <w:r w:rsidRPr="002E1A7B">
        <w:rPr>
          <w:rFonts w:hint="eastAsia"/>
          <w:lang w:eastAsia="zh-CN"/>
        </w:rPr>
        <w:t>做出决议</w:t>
      </w:r>
    </w:p>
    <w:p w14:paraId="5B46BC9F" w14:textId="13805994" w:rsidR="00762FFF" w:rsidRDefault="00762FFF" w:rsidP="00762FFF">
      <w:pPr>
        <w:rPr>
          <w:bCs/>
          <w:lang w:eastAsia="zh-CN"/>
        </w:rPr>
      </w:pPr>
      <w:r w:rsidRPr="00C42341">
        <w:rPr>
          <w:bCs/>
          <w:lang w:eastAsia="zh-CN"/>
        </w:rPr>
        <w:t>1</w:t>
      </w:r>
      <w:r w:rsidRPr="00C42341">
        <w:rPr>
          <w:lang w:eastAsia="zh-CN"/>
        </w:rPr>
        <w:tab/>
      </w:r>
      <w:r>
        <w:rPr>
          <w:rFonts w:hint="eastAsia"/>
          <w:lang w:eastAsia="zh-CN"/>
        </w:rPr>
        <w:t>大会筹备会议（</w:t>
      </w:r>
      <w:r>
        <w:rPr>
          <w:rFonts w:hint="eastAsia"/>
          <w:lang w:eastAsia="zh-CN"/>
        </w:rPr>
        <w:t>C</w:t>
      </w:r>
      <w:r>
        <w:rPr>
          <w:lang w:eastAsia="zh-CN"/>
        </w:rPr>
        <w:t>PM</w:t>
      </w:r>
      <w:r>
        <w:rPr>
          <w:rFonts w:hint="eastAsia"/>
          <w:lang w:eastAsia="zh-CN"/>
        </w:rPr>
        <w:t>）须起草一份报告（</w:t>
      </w:r>
      <w:r w:rsidRPr="00BE3F02">
        <w:rPr>
          <w:lang w:eastAsia="zh-CN"/>
        </w:rPr>
        <w:t>CPM</w:t>
      </w:r>
      <w:r>
        <w:rPr>
          <w:rFonts w:hint="eastAsia"/>
          <w:lang w:eastAsia="zh-CN"/>
        </w:rPr>
        <w:t>报告），该报告关于</w:t>
      </w:r>
      <w:r>
        <w:rPr>
          <w:rFonts w:hint="eastAsia"/>
          <w:lang w:eastAsia="zh-CN"/>
        </w:rPr>
        <w:t>ITU-R</w:t>
      </w:r>
      <w:r>
        <w:rPr>
          <w:rFonts w:hint="eastAsia"/>
          <w:lang w:eastAsia="zh-CN"/>
        </w:rPr>
        <w:t>为立即将举办的</w:t>
      </w:r>
      <w:r w:rsidRPr="008146D2">
        <w:rPr>
          <w:lang w:eastAsia="zh-CN"/>
        </w:rPr>
        <w:t>WRC</w:t>
      </w:r>
      <w:r>
        <w:rPr>
          <w:rFonts w:hint="eastAsia"/>
          <w:lang w:eastAsia="zh-CN"/>
        </w:rPr>
        <w:t>所开展的研究准备工作</w:t>
      </w:r>
      <w:r w:rsidR="00621960" w:rsidRPr="00A120A2">
        <w:rPr>
          <w:rStyle w:val="FootnoteReference"/>
          <w:szCs w:val="24"/>
          <w:lang w:val="en-US"/>
        </w:rPr>
        <w:footnoteReference w:id="1"/>
      </w:r>
      <w:r>
        <w:rPr>
          <w:rFonts w:hint="eastAsia"/>
          <w:lang w:eastAsia="zh-CN"/>
        </w:rPr>
        <w:t>；</w:t>
      </w:r>
    </w:p>
    <w:p w14:paraId="43BF0105" w14:textId="77777777" w:rsidR="00762FFF" w:rsidRPr="00C13391" w:rsidRDefault="00762FFF" w:rsidP="00762FFF">
      <w:pPr>
        <w:rPr>
          <w:bCs/>
          <w:lang w:eastAsia="zh-CN"/>
        </w:rPr>
      </w:pPr>
      <w:r w:rsidRPr="00C42341">
        <w:rPr>
          <w:bCs/>
          <w:lang w:eastAsia="zh-CN"/>
        </w:rPr>
        <w:t>2</w:t>
      </w:r>
      <w:r w:rsidRPr="00C13391">
        <w:rPr>
          <w:bCs/>
          <w:lang w:eastAsia="zh-CN"/>
        </w:rPr>
        <w:tab/>
      </w:r>
      <w:r>
        <w:rPr>
          <w:rFonts w:hint="eastAsia"/>
          <w:bCs/>
          <w:lang w:eastAsia="zh-CN"/>
        </w:rPr>
        <w:t>须</w:t>
      </w:r>
      <w:r w:rsidRPr="00C13391">
        <w:rPr>
          <w:rFonts w:hint="eastAsia"/>
          <w:bCs/>
          <w:lang w:eastAsia="zh-CN"/>
        </w:rPr>
        <w:t>根据以下原则组织召开</w:t>
      </w:r>
      <w:r>
        <w:rPr>
          <w:rFonts w:hint="eastAsia"/>
          <w:lang w:eastAsia="zh-CN"/>
        </w:rPr>
        <w:t>CPM</w:t>
      </w:r>
      <w:r>
        <w:rPr>
          <w:rFonts w:hint="eastAsia"/>
          <w:bCs/>
          <w:lang w:eastAsia="zh-CN"/>
        </w:rPr>
        <w:t>：</w:t>
      </w:r>
    </w:p>
    <w:p w14:paraId="1196EDD1" w14:textId="77777777" w:rsidR="00762FFF" w:rsidRPr="00CC6A58" w:rsidRDefault="00762FFF" w:rsidP="00E009DE">
      <w:pPr>
        <w:rPr>
          <w:lang w:eastAsia="zh-CN"/>
        </w:rPr>
      </w:pPr>
      <w:r w:rsidRPr="00D50CAA">
        <w:rPr>
          <w:i/>
          <w:iCs/>
          <w:lang w:val="es-ES_tradnl" w:eastAsia="zh-CN"/>
        </w:rPr>
        <w:t>a)</w:t>
      </w:r>
      <w:r w:rsidRPr="00D50CAA">
        <w:rPr>
          <w:i/>
          <w:iCs/>
          <w:lang w:val="es-ES_tradnl" w:eastAsia="zh-CN"/>
        </w:rPr>
        <w:tab/>
      </w:r>
      <w:r>
        <w:rPr>
          <w:lang w:eastAsia="zh-CN"/>
        </w:rPr>
        <w:t>CPM</w:t>
      </w:r>
      <w:r>
        <w:rPr>
          <w:rFonts w:hint="eastAsia"/>
          <w:lang w:eastAsia="zh-CN"/>
        </w:rPr>
        <w:t>须是</w:t>
      </w:r>
      <w:r w:rsidRPr="00C13391">
        <w:rPr>
          <w:rFonts w:hint="eastAsia"/>
          <w:lang w:eastAsia="zh-CN"/>
        </w:rPr>
        <w:t>永久性的</w:t>
      </w:r>
      <w:r>
        <w:rPr>
          <w:rFonts w:hint="eastAsia"/>
          <w:lang w:eastAsia="zh-CN"/>
        </w:rPr>
        <w:t>；</w:t>
      </w:r>
    </w:p>
    <w:p w14:paraId="662E2BF6" w14:textId="77777777" w:rsidR="00762FFF" w:rsidRPr="00CC6A58" w:rsidRDefault="00762FFF" w:rsidP="00E009DE">
      <w:pPr>
        <w:rPr>
          <w:lang w:eastAsia="zh-CN"/>
        </w:rPr>
      </w:pPr>
      <w:r w:rsidRPr="00D50CAA">
        <w:rPr>
          <w:i/>
          <w:iCs/>
          <w:lang w:val="es-ES_tradnl" w:eastAsia="zh-CN"/>
        </w:rPr>
        <w:t>b)</w:t>
      </w:r>
      <w:r w:rsidRPr="00D50CAA">
        <w:rPr>
          <w:i/>
          <w:iCs/>
          <w:lang w:val="es-ES_tradnl" w:eastAsia="zh-CN"/>
        </w:rPr>
        <w:tab/>
      </w:r>
      <w:r w:rsidRPr="000316CC">
        <w:rPr>
          <w:lang w:eastAsia="zh-CN"/>
        </w:rPr>
        <w:t>CPM</w:t>
      </w:r>
      <w:r>
        <w:rPr>
          <w:rFonts w:hint="eastAsia"/>
          <w:lang w:eastAsia="zh-CN"/>
        </w:rPr>
        <w:t>须</w:t>
      </w:r>
      <w:r w:rsidRPr="000316CC">
        <w:rPr>
          <w:rFonts w:hint="eastAsia"/>
          <w:lang w:eastAsia="zh-CN"/>
        </w:rPr>
        <w:t>研究下届</w:t>
      </w:r>
      <w:r w:rsidRPr="000316CC">
        <w:rPr>
          <w:rFonts w:hint="eastAsia"/>
          <w:lang w:eastAsia="zh-CN"/>
        </w:rPr>
        <w:t>WRC</w:t>
      </w:r>
      <w:r w:rsidRPr="000316CC">
        <w:rPr>
          <w:rFonts w:hint="eastAsia"/>
          <w:lang w:eastAsia="zh-CN"/>
        </w:rPr>
        <w:t>议程上的议题，并为随后一届</w:t>
      </w:r>
      <w:r w:rsidRPr="000316CC">
        <w:rPr>
          <w:rFonts w:hint="eastAsia"/>
          <w:lang w:eastAsia="zh-CN"/>
        </w:rPr>
        <w:t>WRC</w:t>
      </w:r>
      <w:r w:rsidRPr="000316CC">
        <w:rPr>
          <w:rFonts w:hint="eastAsia"/>
          <w:lang w:eastAsia="zh-CN"/>
        </w:rPr>
        <w:t>做出初步准备工作</w:t>
      </w:r>
      <w:r w:rsidRPr="000316CC">
        <w:rPr>
          <w:position w:val="6"/>
          <w:sz w:val="18"/>
          <w:lang w:eastAsia="zh-CN"/>
        </w:rPr>
        <w:t>1</w:t>
      </w:r>
      <w:r w:rsidRPr="000316CC">
        <w:rPr>
          <w:rFonts w:hint="eastAsia"/>
          <w:lang w:eastAsia="zh-CN"/>
        </w:rPr>
        <w:t>；</w:t>
      </w:r>
    </w:p>
    <w:p w14:paraId="14596FAF" w14:textId="77777777" w:rsidR="00762FFF" w:rsidRPr="00CC6A58" w:rsidRDefault="00762FFF" w:rsidP="00E009DE">
      <w:pPr>
        <w:rPr>
          <w:lang w:eastAsia="zh-CN"/>
        </w:rPr>
      </w:pPr>
      <w:r w:rsidRPr="00D50CAA">
        <w:rPr>
          <w:i/>
          <w:iCs/>
          <w:lang w:val="es-ES_tradnl" w:eastAsia="zh-CN"/>
        </w:rPr>
        <w:t>c)</w:t>
      </w:r>
      <w:r w:rsidRPr="00D50CAA">
        <w:rPr>
          <w:i/>
          <w:iCs/>
          <w:lang w:val="es-ES_tradnl" w:eastAsia="zh-CN"/>
        </w:rPr>
        <w:tab/>
      </w:r>
      <w:r>
        <w:rPr>
          <w:rFonts w:hint="eastAsia"/>
          <w:lang w:eastAsia="zh-CN"/>
        </w:rPr>
        <w:t>与会</w:t>
      </w:r>
      <w:r w:rsidRPr="00C13391">
        <w:rPr>
          <w:rFonts w:hint="eastAsia"/>
          <w:lang w:eastAsia="zh-CN"/>
        </w:rPr>
        <w:t>邀请</w:t>
      </w:r>
      <w:r>
        <w:rPr>
          <w:rFonts w:hint="eastAsia"/>
          <w:lang w:eastAsia="zh-CN"/>
        </w:rPr>
        <w:t>须</w:t>
      </w:r>
      <w:r w:rsidRPr="00C13391">
        <w:rPr>
          <w:rFonts w:hint="eastAsia"/>
          <w:lang w:eastAsia="zh-CN"/>
        </w:rPr>
        <w:t>送至国际电联</w:t>
      </w:r>
      <w:r>
        <w:rPr>
          <w:rFonts w:hint="eastAsia"/>
          <w:lang w:eastAsia="zh-CN"/>
        </w:rPr>
        <w:t>所有</w:t>
      </w:r>
      <w:r w:rsidRPr="00C13391">
        <w:rPr>
          <w:rFonts w:hint="eastAsia"/>
          <w:lang w:eastAsia="zh-CN"/>
        </w:rPr>
        <w:t>成员国以及</w:t>
      </w:r>
      <w:r>
        <w:rPr>
          <w:rFonts w:hint="eastAsia"/>
          <w:lang w:eastAsia="zh-CN"/>
        </w:rPr>
        <w:t>所有</w:t>
      </w:r>
      <w:r w:rsidRPr="00C13391">
        <w:rPr>
          <w:rFonts w:hint="eastAsia"/>
          <w:lang w:eastAsia="zh-CN"/>
        </w:rPr>
        <w:t>无线电通信部门成员</w:t>
      </w:r>
      <w:r>
        <w:rPr>
          <w:rFonts w:hint="eastAsia"/>
          <w:lang w:eastAsia="zh-CN"/>
        </w:rPr>
        <w:t>；</w:t>
      </w:r>
    </w:p>
    <w:p w14:paraId="461E54F4" w14:textId="77777777" w:rsidR="00762FFF" w:rsidRPr="00CC6A58" w:rsidRDefault="00762FFF" w:rsidP="00E009DE">
      <w:pPr>
        <w:rPr>
          <w:lang w:eastAsia="zh-CN"/>
        </w:rPr>
      </w:pPr>
      <w:r w:rsidRPr="00D50CAA">
        <w:rPr>
          <w:i/>
          <w:iCs/>
          <w:lang w:val="es-ES_tradnl" w:eastAsia="zh-CN"/>
        </w:rPr>
        <w:t>d)</w:t>
      </w:r>
      <w:r w:rsidRPr="00D50CAA">
        <w:rPr>
          <w:i/>
          <w:iCs/>
          <w:lang w:val="es-ES_tradnl" w:eastAsia="zh-CN"/>
        </w:rPr>
        <w:tab/>
      </w:r>
      <w:r>
        <w:rPr>
          <w:rFonts w:hint="eastAsia"/>
          <w:lang w:eastAsia="zh-CN"/>
        </w:rPr>
        <w:t>CPM</w:t>
      </w:r>
      <w:r>
        <w:rPr>
          <w:rFonts w:hint="eastAsia"/>
          <w:lang w:eastAsia="zh-CN"/>
        </w:rPr>
        <w:t>相关</w:t>
      </w:r>
      <w:r w:rsidRPr="00C13391">
        <w:rPr>
          <w:rFonts w:hint="eastAsia"/>
          <w:lang w:eastAsia="zh-CN"/>
        </w:rPr>
        <w:t>文件</w:t>
      </w:r>
      <w:r>
        <w:rPr>
          <w:rFonts w:hint="eastAsia"/>
          <w:lang w:eastAsia="zh-CN"/>
        </w:rPr>
        <w:t>须面向</w:t>
      </w:r>
      <w:r w:rsidRPr="00C13391">
        <w:rPr>
          <w:rFonts w:hint="eastAsia"/>
          <w:lang w:eastAsia="zh-CN"/>
        </w:rPr>
        <w:t>国际电联成员国以及</w:t>
      </w:r>
      <w:r>
        <w:rPr>
          <w:rFonts w:hint="eastAsia"/>
          <w:lang w:eastAsia="zh-CN"/>
        </w:rPr>
        <w:t>所有</w:t>
      </w:r>
      <w:r w:rsidRPr="00C13391">
        <w:rPr>
          <w:rFonts w:hint="eastAsia"/>
          <w:lang w:eastAsia="zh-CN"/>
        </w:rPr>
        <w:t>无线电通信部门成员</w:t>
      </w:r>
      <w:r>
        <w:rPr>
          <w:rFonts w:hint="eastAsia"/>
          <w:lang w:eastAsia="zh-CN"/>
        </w:rPr>
        <w:t>发布；</w:t>
      </w:r>
    </w:p>
    <w:p w14:paraId="14AE0051" w14:textId="77777777" w:rsidR="00762FFF" w:rsidRDefault="00762FFF" w:rsidP="00E009DE">
      <w:pPr>
        <w:rPr>
          <w:lang w:eastAsia="zh-CN"/>
        </w:rPr>
      </w:pPr>
      <w:r w:rsidRPr="00D50CAA">
        <w:rPr>
          <w:i/>
          <w:iCs/>
          <w:lang w:val="es-ES_tradnl" w:eastAsia="zh-CN"/>
        </w:rPr>
        <w:t>e)</w:t>
      </w:r>
      <w:r w:rsidRPr="00D50CAA">
        <w:rPr>
          <w:i/>
          <w:iCs/>
          <w:lang w:val="es-ES_tradnl" w:eastAsia="zh-CN"/>
        </w:rPr>
        <w:tab/>
      </w:r>
      <w:r>
        <w:rPr>
          <w:rFonts w:hint="eastAsia"/>
          <w:lang w:eastAsia="zh-CN"/>
        </w:rPr>
        <w:t>CPM</w:t>
      </w:r>
      <w:r w:rsidRPr="00BD52DD">
        <w:rPr>
          <w:rFonts w:hint="eastAsia"/>
          <w:lang w:eastAsia="zh-CN"/>
        </w:rPr>
        <w:t>的职责包括</w:t>
      </w:r>
      <w:r>
        <w:rPr>
          <w:rFonts w:hint="eastAsia"/>
          <w:lang w:eastAsia="zh-CN"/>
        </w:rPr>
        <w:t>在考虑到相关文稿的情况下，</w:t>
      </w:r>
      <w:r w:rsidRPr="00BD52DD">
        <w:rPr>
          <w:rFonts w:hint="eastAsia"/>
          <w:lang w:eastAsia="zh-CN"/>
        </w:rPr>
        <w:t>对来自</w:t>
      </w:r>
      <w:r>
        <w:rPr>
          <w:rFonts w:hint="eastAsia"/>
          <w:lang w:eastAsia="zh-CN"/>
        </w:rPr>
        <w:t>于研究</w:t>
      </w:r>
      <w:r w:rsidRPr="00E129B0">
        <w:rPr>
          <w:lang w:eastAsia="zh-CN"/>
        </w:rPr>
        <w:t>WRC</w:t>
      </w:r>
      <w:r>
        <w:rPr>
          <w:rFonts w:hint="eastAsia"/>
          <w:lang w:eastAsia="zh-CN"/>
        </w:rPr>
        <w:t>议项的</w:t>
      </w:r>
      <w:r w:rsidRPr="00BD52DD">
        <w:rPr>
          <w:rFonts w:hint="eastAsia"/>
          <w:lang w:eastAsia="zh-CN"/>
        </w:rPr>
        <w:t>无线电通信研究组的资料进行</w:t>
      </w:r>
      <w:r>
        <w:rPr>
          <w:rFonts w:hint="eastAsia"/>
          <w:lang w:eastAsia="zh-CN"/>
        </w:rPr>
        <w:t>介绍、讨论</w:t>
      </w:r>
      <w:r w:rsidRPr="00BD52DD">
        <w:rPr>
          <w:rFonts w:hint="eastAsia"/>
          <w:lang w:eastAsia="zh-CN"/>
        </w:rPr>
        <w:t>、合理化和</w:t>
      </w:r>
      <w:r>
        <w:rPr>
          <w:rFonts w:hint="eastAsia"/>
          <w:lang w:eastAsia="zh-CN"/>
        </w:rPr>
        <w:t>更新（亦见《公约》第</w:t>
      </w:r>
      <w:r>
        <w:rPr>
          <w:rFonts w:hint="eastAsia"/>
          <w:lang w:eastAsia="zh-CN"/>
        </w:rPr>
        <w:t>156</w:t>
      </w:r>
      <w:r>
        <w:rPr>
          <w:rFonts w:hint="eastAsia"/>
          <w:lang w:eastAsia="zh-CN"/>
        </w:rPr>
        <w:t>款）；</w:t>
      </w:r>
    </w:p>
    <w:p w14:paraId="724ED793" w14:textId="77777777" w:rsidR="00762FFF" w:rsidRDefault="00762FFF" w:rsidP="00E009DE">
      <w:pPr>
        <w:rPr>
          <w:lang w:eastAsia="zh-CN"/>
        </w:rPr>
      </w:pPr>
      <w:r w:rsidRPr="009D467D">
        <w:rPr>
          <w:i/>
          <w:iCs/>
          <w:lang w:eastAsia="zh-CN"/>
        </w:rPr>
        <w:t>f)</w:t>
      </w:r>
      <w:r w:rsidRPr="009D467D">
        <w:rPr>
          <w:lang w:eastAsia="zh-CN"/>
        </w:rPr>
        <w:tab/>
        <w:t>CPM</w:t>
      </w:r>
      <w:r w:rsidRPr="009D467D">
        <w:rPr>
          <w:rFonts w:hint="eastAsia"/>
          <w:lang w:eastAsia="zh-CN"/>
        </w:rPr>
        <w:t>报告须尽可能纳入经调和差异的、包含在源资料中的方</w:t>
      </w:r>
      <w:r>
        <w:rPr>
          <w:rFonts w:hint="eastAsia"/>
          <w:lang w:eastAsia="zh-CN"/>
        </w:rPr>
        <w:t>案</w:t>
      </w:r>
      <w:r w:rsidRPr="009D467D">
        <w:rPr>
          <w:rFonts w:hint="eastAsia"/>
          <w:lang w:eastAsia="zh-CN"/>
        </w:rPr>
        <w:t>；在尽一切努力无法调和差异时，</w:t>
      </w:r>
      <w:proofErr w:type="gramStart"/>
      <w:r w:rsidRPr="009D467D">
        <w:rPr>
          <w:rFonts w:hint="eastAsia"/>
          <w:lang w:eastAsia="zh-CN"/>
        </w:rPr>
        <w:t>可纳入备选方</w:t>
      </w:r>
      <w:r>
        <w:rPr>
          <w:rFonts w:hint="eastAsia"/>
          <w:lang w:eastAsia="zh-CN"/>
        </w:rPr>
        <w:t>案</w:t>
      </w:r>
      <w:r w:rsidRPr="009D467D">
        <w:rPr>
          <w:rFonts w:hint="eastAsia"/>
          <w:lang w:eastAsia="zh-CN"/>
        </w:rPr>
        <w:t>及其理由；</w:t>
      </w:r>
      <w:proofErr w:type="gramEnd"/>
    </w:p>
    <w:p w14:paraId="04368C57" w14:textId="77777777" w:rsidR="00762FFF" w:rsidRDefault="00762FFF" w:rsidP="00E009DE">
      <w:pPr>
        <w:rPr>
          <w:bCs/>
          <w:lang w:eastAsia="zh-CN"/>
        </w:rPr>
      </w:pPr>
      <w:r w:rsidRPr="00C42341">
        <w:rPr>
          <w:i/>
          <w:lang w:eastAsia="zh-CN"/>
        </w:rPr>
        <w:t>g)</w:t>
      </w:r>
      <w:r w:rsidRPr="00C42341">
        <w:rPr>
          <w:lang w:eastAsia="zh-CN"/>
        </w:rPr>
        <w:tab/>
      </w:r>
      <w:r w:rsidRPr="00B100A9">
        <w:rPr>
          <w:lang w:eastAsia="zh-CN"/>
        </w:rPr>
        <w:t>CPM</w:t>
      </w:r>
      <w:r>
        <w:rPr>
          <w:rFonts w:hint="eastAsia"/>
          <w:lang w:eastAsia="zh-CN"/>
        </w:rPr>
        <w:t>亦可接受和审议提交其第二次会议的新材料，包括：</w:t>
      </w:r>
    </w:p>
    <w:p w14:paraId="3BB297CF" w14:textId="77777777" w:rsidR="00762FFF" w:rsidRPr="00520BB7" w:rsidRDefault="00762FFF" w:rsidP="00B41A99">
      <w:pPr>
        <w:pStyle w:val="enumlev1"/>
      </w:pPr>
      <w:proofErr w:type="spellStart"/>
      <w:r w:rsidRPr="00DF05D8">
        <w:rPr>
          <w:lang w:eastAsia="zh-CN"/>
        </w:rPr>
        <w:t>i</w:t>
      </w:r>
      <w:proofErr w:type="spellEnd"/>
      <w:r w:rsidRPr="00DF05D8">
        <w:rPr>
          <w:lang w:eastAsia="zh-CN"/>
        </w:rPr>
        <w:t>)</w:t>
      </w:r>
      <w:r w:rsidRPr="00DF05D8">
        <w:rPr>
          <w:lang w:eastAsia="zh-CN"/>
        </w:rPr>
        <w:tab/>
      </w:r>
      <w:proofErr w:type="spellStart"/>
      <w:r w:rsidRPr="00520BB7">
        <w:rPr>
          <w:rFonts w:hint="eastAsia"/>
        </w:rPr>
        <w:t>有关涉及下届</w:t>
      </w:r>
      <w:proofErr w:type="spellEnd"/>
      <w:r w:rsidRPr="00520BB7">
        <w:rPr>
          <w:rFonts w:hint="eastAsia"/>
        </w:rPr>
        <w:t>WRC</w:t>
      </w:r>
      <w:proofErr w:type="spellStart"/>
      <w:r w:rsidRPr="00520BB7">
        <w:rPr>
          <w:rFonts w:hint="eastAsia"/>
        </w:rPr>
        <w:t>议项的规则、操作和程序事项的文稿。</w:t>
      </w:r>
      <w:proofErr w:type="gramStart"/>
      <w:r w:rsidRPr="00520BB7">
        <w:rPr>
          <w:rFonts w:hint="eastAsia"/>
        </w:rPr>
        <w:t>向</w:t>
      </w:r>
      <w:proofErr w:type="spellEnd"/>
      <w:r w:rsidRPr="00520BB7">
        <w:rPr>
          <w:rFonts w:hint="eastAsia"/>
        </w:rPr>
        <w:t>CPM</w:t>
      </w:r>
      <w:proofErr w:type="spellStart"/>
      <w:r w:rsidRPr="00520BB7">
        <w:rPr>
          <w:rFonts w:hint="eastAsia"/>
        </w:rPr>
        <w:t>第二次会议提交的技术研究须限于资料的合理化和负责组已提交的现有研究结果的更新</w:t>
      </w:r>
      <w:proofErr w:type="spellEnd"/>
      <w:r w:rsidRPr="00520BB7">
        <w:rPr>
          <w:rFonts w:hint="eastAsia"/>
        </w:rPr>
        <w:t>；</w:t>
      </w:r>
      <w:proofErr w:type="gramEnd"/>
    </w:p>
    <w:p w14:paraId="4D76AE80" w14:textId="77777777" w:rsidR="00762FFF" w:rsidRPr="00520BB7" w:rsidRDefault="00762FFF" w:rsidP="00B41A99">
      <w:pPr>
        <w:pStyle w:val="enumlev1"/>
      </w:pPr>
      <w:r w:rsidRPr="00520BB7">
        <w:t>ii)</w:t>
      </w:r>
      <w:r w:rsidRPr="00520BB7">
        <w:tab/>
      </w:r>
      <w:proofErr w:type="spellStart"/>
      <w:r w:rsidRPr="00B41A99">
        <w:rPr>
          <w:rFonts w:hint="eastAsia"/>
          <w:spacing w:val="-2"/>
        </w:rPr>
        <w:t>由成员国和无线电通信局</w:t>
      </w:r>
      <w:proofErr w:type="spellEnd"/>
      <w:r w:rsidRPr="00B41A99">
        <w:rPr>
          <w:rFonts w:hint="eastAsia"/>
          <w:spacing w:val="-2"/>
        </w:rPr>
        <w:t>（</w:t>
      </w:r>
      <w:r w:rsidRPr="00B41A99">
        <w:rPr>
          <w:spacing w:val="-2"/>
        </w:rPr>
        <w:t>BR</w:t>
      </w:r>
      <w:r w:rsidRPr="00B41A99">
        <w:rPr>
          <w:rFonts w:hint="eastAsia"/>
          <w:spacing w:val="-2"/>
        </w:rPr>
        <w:t>）</w:t>
      </w:r>
      <w:proofErr w:type="spellStart"/>
      <w:r w:rsidRPr="00B41A99">
        <w:rPr>
          <w:rFonts w:hint="eastAsia"/>
          <w:spacing w:val="-2"/>
        </w:rPr>
        <w:t>主任根据第</w:t>
      </w:r>
      <w:proofErr w:type="spellEnd"/>
      <w:r w:rsidRPr="00B41A99">
        <w:rPr>
          <w:b/>
          <w:bCs/>
          <w:spacing w:val="-2"/>
        </w:rPr>
        <w:t>95</w:t>
      </w:r>
      <w:proofErr w:type="spellStart"/>
      <w:r w:rsidRPr="00B41A99">
        <w:rPr>
          <w:rFonts w:hint="eastAsia"/>
          <w:spacing w:val="-2"/>
        </w:rPr>
        <w:t>号决议</w:t>
      </w:r>
      <w:proofErr w:type="spellEnd"/>
      <w:r w:rsidRPr="00B41A99">
        <w:rPr>
          <w:rFonts w:hint="eastAsia"/>
          <w:b/>
          <w:bCs/>
          <w:spacing w:val="-2"/>
        </w:rPr>
        <w:t>（</w:t>
      </w:r>
      <w:r w:rsidRPr="00B41A99">
        <w:rPr>
          <w:b/>
          <w:bCs/>
          <w:spacing w:val="-2"/>
        </w:rPr>
        <w:t>WRC-19</w:t>
      </w:r>
      <w:r w:rsidRPr="00B41A99">
        <w:rPr>
          <w:rFonts w:hint="eastAsia"/>
          <w:b/>
          <w:bCs/>
          <w:spacing w:val="-2"/>
        </w:rPr>
        <w:t>，</w:t>
      </w:r>
      <w:proofErr w:type="spellStart"/>
      <w:r w:rsidRPr="00B41A99">
        <w:rPr>
          <w:rFonts w:hint="eastAsia"/>
          <w:b/>
          <w:bCs/>
          <w:spacing w:val="-2"/>
        </w:rPr>
        <w:t>修订版）</w:t>
      </w:r>
      <w:r w:rsidRPr="00B41A99">
        <w:rPr>
          <w:rFonts w:hint="eastAsia"/>
          <w:spacing w:val="-2"/>
        </w:rPr>
        <w:t>提交的、</w:t>
      </w:r>
      <w:proofErr w:type="gramStart"/>
      <w:r w:rsidRPr="00B41A99">
        <w:rPr>
          <w:rFonts w:hint="eastAsia"/>
          <w:spacing w:val="-2"/>
        </w:rPr>
        <w:t>有关审议现有</w:t>
      </w:r>
      <w:proofErr w:type="spellEnd"/>
      <w:r w:rsidRPr="00B41A99">
        <w:rPr>
          <w:rFonts w:hint="eastAsia"/>
          <w:spacing w:val="-2"/>
        </w:rPr>
        <w:t>W</w:t>
      </w:r>
      <w:r w:rsidRPr="00B41A99">
        <w:rPr>
          <w:spacing w:val="-2"/>
        </w:rPr>
        <w:t>RC</w:t>
      </w:r>
      <w:proofErr w:type="spellStart"/>
      <w:r w:rsidRPr="00B41A99">
        <w:rPr>
          <w:rFonts w:hint="eastAsia"/>
          <w:spacing w:val="-2"/>
        </w:rPr>
        <w:t>决议和建议书的文稿</w:t>
      </w:r>
      <w:proofErr w:type="spellEnd"/>
      <w:r w:rsidRPr="00B41A99">
        <w:rPr>
          <w:rFonts w:hint="eastAsia"/>
          <w:spacing w:val="-2"/>
        </w:rPr>
        <w:t>；</w:t>
      </w:r>
      <w:proofErr w:type="gramEnd"/>
    </w:p>
    <w:p w14:paraId="5D113738" w14:textId="77777777" w:rsidR="00762FFF" w:rsidRPr="00520BB7" w:rsidRDefault="00762FFF" w:rsidP="00B41A99">
      <w:pPr>
        <w:pStyle w:val="enumlev1"/>
      </w:pPr>
      <w:r w:rsidRPr="00520BB7">
        <w:t>iii)</w:t>
      </w:r>
      <w:r w:rsidRPr="00520BB7">
        <w:tab/>
      </w:r>
      <w:proofErr w:type="spellStart"/>
      <w:r w:rsidRPr="00520BB7">
        <w:rPr>
          <w:rFonts w:hint="eastAsia"/>
        </w:rPr>
        <w:t>成员国已通过各自区域电信组织单独、联合和</w:t>
      </w:r>
      <w:proofErr w:type="spellEnd"/>
      <w:r w:rsidRPr="00520BB7">
        <w:rPr>
          <w:rFonts w:hint="eastAsia"/>
        </w:rPr>
        <w:t>/</w:t>
      </w:r>
      <w:proofErr w:type="spellStart"/>
      <w:r w:rsidRPr="00520BB7">
        <w:rPr>
          <w:rFonts w:hint="eastAsia"/>
        </w:rPr>
        <w:t>或集体提交、与随后一届</w:t>
      </w:r>
      <w:proofErr w:type="spellEnd"/>
      <w:r w:rsidRPr="00520BB7">
        <w:rPr>
          <w:rFonts w:hint="eastAsia"/>
        </w:rPr>
        <w:t>WRC</w:t>
      </w:r>
      <w:proofErr w:type="spellStart"/>
      <w:r w:rsidRPr="00520BB7">
        <w:rPr>
          <w:rFonts w:hint="eastAsia"/>
        </w:rPr>
        <w:t>未来议项有关的文稿。这些文稿应仅作为参考。为此，可在</w:t>
      </w:r>
      <w:proofErr w:type="spellEnd"/>
      <w:r w:rsidRPr="00520BB7">
        <w:t>CPM</w:t>
      </w:r>
      <w:proofErr w:type="spellStart"/>
      <w:r w:rsidRPr="00520BB7">
        <w:rPr>
          <w:rFonts w:hint="eastAsia"/>
        </w:rPr>
        <w:t>附件中包括参与成员国起草的内容提要，但不得超过半页，</w:t>
      </w:r>
      <w:proofErr w:type="gramStart"/>
      <w:r w:rsidRPr="00520BB7">
        <w:rPr>
          <w:rFonts w:hint="eastAsia"/>
        </w:rPr>
        <w:t>仅作为参考</w:t>
      </w:r>
      <w:proofErr w:type="spellEnd"/>
      <w:r w:rsidRPr="00520BB7">
        <w:rPr>
          <w:rFonts w:hint="eastAsia"/>
        </w:rPr>
        <w:t>；</w:t>
      </w:r>
      <w:proofErr w:type="gramEnd"/>
    </w:p>
    <w:p w14:paraId="78804D8F" w14:textId="77777777" w:rsidR="00762FFF" w:rsidRPr="00520BB7" w:rsidRDefault="00762FFF" w:rsidP="00B41A99">
      <w:pPr>
        <w:pStyle w:val="enumlev1"/>
      </w:pPr>
      <w:r w:rsidRPr="00520BB7">
        <w:t>iv)</w:t>
      </w:r>
      <w:r w:rsidRPr="00520BB7">
        <w:tab/>
      </w:r>
      <w:proofErr w:type="spellStart"/>
      <w:r w:rsidRPr="00520BB7">
        <w:rPr>
          <w:rFonts w:hint="eastAsia"/>
        </w:rPr>
        <w:t>如果主管部门就其国家脚注或第</w:t>
      </w:r>
      <w:proofErr w:type="spellEnd"/>
      <w:r w:rsidRPr="00B41A99">
        <w:rPr>
          <w:b/>
          <w:bCs/>
        </w:rPr>
        <w:t>26</w:t>
      </w:r>
      <w:proofErr w:type="spellStart"/>
      <w:r w:rsidRPr="00520BB7">
        <w:rPr>
          <w:rFonts w:hint="eastAsia"/>
        </w:rPr>
        <w:t>号决议</w:t>
      </w:r>
      <w:proofErr w:type="spellEnd"/>
      <w:r w:rsidRPr="00B41A99">
        <w:rPr>
          <w:rFonts w:hint="eastAsia"/>
          <w:b/>
          <w:bCs/>
        </w:rPr>
        <w:t>（</w:t>
      </w:r>
      <w:r w:rsidRPr="00B41A99">
        <w:rPr>
          <w:b/>
          <w:bCs/>
        </w:rPr>
        <w:t>WRC-19</w:t>
      </w:r>
      <w:r w:rsidRPr="00B41A99">
        <w:rPr>
          <w:rFonts w:hint="eastAsia"/>
          <w:b/>
          <w:bCs/>
        </w:rPr>
        <w:t>，</w:t>
      </w:r>
      <w:proofErr w:type="spellStart"/>
      <w:r w:rsidRPr="00B41A99">
        <w:rPr>
          <w:rFonts w:hint="eastAsia"/>
          <w:b/>
          <w:bCs/>
        </w:rPr>
        <w:t>修订版）</w:t>
      </w:r>
      <w:r w:rsidRPr="00B41A99">
        <w:rPr>
          <w:rFonts w:ascii="STKaiti" w:eastAsia="STKaiti" w:hAnsi="STKaiti" w:hint="eastAsia"/>
        </w:rPr>
        <w:t>进一步做出决议</w:t>
      </w:r>
      <w:proofErr w:type="spellEnd"/>
      <w:r w:rsidRPr="00520BB7">
        <w:rPr>
          <w:rFonts w:hint="eastAsia"/>
        </w:rPr>
        <w:t>2</w:t>
      </w:r>
      <w:proofErr w:type="spellStart"/>
      <w:r w:rsidRPr="00520BB7">
        <w:rPr>
          <w:rFonts w:hint="eastAsia"/>
        </w:rPr>
        <w:t>所述</w:t>
      </w:r>
      <w:proofErr w:type="spellEnd"/>
      <w:r w:rsidRPr="00520BB7">
        <w:rPr>
          <w:rFonts w:hint="eastAsia"/>
        </w:rPr>
        <w:t>WRC</w:t>
      </w:r>
      <w:proofErr w:type="spellStart"/>
      <w:r w:rsidRPr="00520BB7">
        <w:rPr>
          <w:rFonts w:hint="eastAsia"/>
        </w:rPr>
        <w:t>常设议项下脚注中的国名向</w:t>
      </w:r>
      <w:proofErr w:type="spellEnd"/>
      <w:r w:rsidRPr="00520BB7">
        <w:rPr>
          <w:rFonts w:hint="eastAsia"/>
        </w:rPr>
        <w:t>C</w:t>
      </w:r>
      <w:r w:rsidRPr="00520BB7">
        <w:t>PM</w:t>
      </w:r>
      <w:proofErr w:type="spellStart"/>
      <w:r w:rsidRPr="00520BB7">
        <w:rPr>
          <w:rFonts w:hint="eastAsia"/>
        </w:rPr>
        <w:t>提交提案文稿，如有的话，则应将其视为仅供参考。为此，可在</w:t>
      </w:r>
      <w:proofErr w:type="spellEnd"/>
      <w:r w:rsidRPr="00520BB7">
        <w:rPr>
          <w:rFonts w:hint="eastAsia"/>
        </w:rPr>
        <w:t>C</w:t>
      </w:r>
      <w:r w:rsidRPr="00520BB7">
        <w:t>PM</w:t>
      </w:r>
      <w:proofErr w:type="spellStart"/>
      <w:r w:rsidRPr="00520BB7">
        <w:rPr>
          <w:rFonts w:hint="eastAsia"/>
        </w:rPr>
        <w:t>报告的附件中纳入此类提案的清单，</w:t>
      </w:r>
      <w:proofErr w:type="gramStart"/>
      <w:r w:rsidRPr="00520BB7">
        <w:rPr>
          <w:rFonts w:hint="eastAsia"/>
        </w:rPr>
        <w:t>仅供参考</w:t>
      </w:r>
      <w:proofErr w:type="spellEnd"/>
      <w:r w:rsidRPr="00520BB7">
        <w:rPr>
          <w:rFonts w:hint="eastAsia"/>
        </w:rPr>
        <w:t>；</w:t>
      </w:r>
      <w:proofErr w:type="gramEnd"/>
    </w:p>
    <w:p w14:paraId="6D2C6E91" w14:textId="77777777" w:rsidR="00762FFF" w:rsidRDefault="00762FFF" w:rsidP="00762FFF">
      <w:pPr>
        <w:rPr>
          <w:lang w:eastAsia="zh-CN"/>
        </w:rPr>
      </w:pPr>
      <w:r w:rsidRPr="001A6772">
        <w:rPr>
          <w:lang w:eastAsia="zh-CN"/>
        </w:rPr>
        <w:t>3</w:t>
      </w:r>
      <w:r w:rsidRPr="001A6772">
        <w:rPr>
          <w:lang w:eastAsia="zh-CN"/>
        </w:rPr>
        <w:tab/>
      </w:r>
      <w:proofErr w:type="gramStart"/>
      <w:r w:rsidRPr="00C13391">
        <w:rPr>
          <w:lang w:eastAsia="zh-CN"/>
        </w:rPr>
        <w:t>CPM</w:t>
      </w:r>
      <w:r>
        <w:rPr>
          <w:rFonts w:hint="eastAsia"/>
          <w:lang w:eastAsia="zh-CN"/>
        </w:rPr>
        <w:t>须</w:t>
      </w:r>
      <w:r w:rsidRPr="00C13391">
        <w:rPr>
          <w:rFonts w:hint="eastAsia"/>
          <w:lang w:eastAsia="zh-CN"/>
        </w:rPr>
        <w:t>在两届</w:t>
      </w:r>
      <w:r>
        <w:rPr>
          <w:rFonts w:hint="eastAsia"/>
          <w:lang w:eastAsia="zh-CN"/>
        </w:rPr>
        <w:t>W</w:t>
      </w:r>
      <w:r>
        <w:rPr>
          <w:lang w:eastAsia="zh-CN"/>
        </w:rPr>
        <w:t>RC</w:t>
      </w:r>
      <w:r w:rsidRPr="00C13391">
        <w:rPr>
          <w:rFonts w:hint="eastAsia"/>
          <w:lang w:eastAsia="zh-CN"/>
        </w:rPr>
        <w:t>之间举行两次会议</w:t>
      </w:r>
      <w:r>
        <w:rPr>
          <w:rFonts w:hint="eastAsia"/>
          <w:lang w:eastAsia="zh-CN"/>
        </w:rPr>
        <w:t>；</w:t>
      </w:r>
      <w:proofErr w:type="gramEnd"/>
    </w:p>
    <w:p w14:paraId="5C9AA82F" w14:textId="77777777" w:rsidR="00762FFF" w:rsidRDefault="00762FFF" w:rsidP="00762FFF">
      <w:pPr>
        <w:spacing w:before="80"/>
        <w:rPr>
          <w:lang w:eastAsia="zh-CN"/>
        </w:rPr>
      </w:pPr>
      <w:r w:rsidRPr="00C42341">
        <w:rPr>
          <w:bCs/>
          <w:lang w:eastAsia="zh-CN"/>
        </w:rPr>
        <w:t>4</w:t>
      </w:r>
      <w:r w:rsidRPr="00C13391">
        <w:rPr>
          <w:bCs/>
          <w:lang w:eastAsia="zh-CN"/>
        </w:rPr>
        <w:tab/>
      </w:r>
      <w:proofErr w:type="gramStart"/>
      <w:r w:rsidRPr="00C13391">
        <w:rPr>
          <w:rFonts w:hint="eastAsia"/>
          <w:bCs/>
          <w:lang w:eastAsia="zh-CN"/>
        </w:rPr>
        <w:t>工作方法</w:t>
      </w:r>
      <w:r>
        <w:rPr>
          <w:rFonts w:hint="eastAsia"/>
          <w:bCs/>
          <w:lang w:eastAsia="zh-CN"/>
        </w:rPr>
        <w:t>须见附件</w:t>
      </w:r>
      <w:r>
        <w:rPr>
          <w:rFonts w:hint="eastAsia"/>
          <w:bCs/>
          <w:lang w:eastAsia="zh-CN"/>
        </w:rPr>
        <w:t>1</w:t>
      </w:r>
      <w:r>
        <w:rPr>
          <w:rFonts w:hint="eastAsia"/>
          <w:bCs/>
          <w:lang w:eastAsia="zh-CN"/>
        </w:rPr>
        <w:t>；</w:t>
      </w:r>
      <w:proofErr w:type="gramEnd"/>
    </w:p>
    <w:p w14:paraId="3433087D" w14:textId="77777777" w:rsidR="00762FFF" w:rsidRDefault="00762FFF" w:rsidP="00762FFF">
      <w:pPr>
        <w:rPr>
          <w:lang w:eastAsia="zh-CN"/>
        </w:rPr>
      </w:pPr>
      <w:r w:rsidRPr="00C42341">
        <w:rPr>
          <w:lang w:eastAsia="zh-CN"/>
        </w:rPr>
        <w:t>5</w:t>
      </w:r>
      <w:r w:rsidRPr="00DD5939">
        <w:rPr>
          <w:lang w:eastAsia="zh-CN"/>
        </w:rPr>
        <w:tab/>
      </w:r>
      <w:r>
        <w:rPr>
          <w:rFonts w:hint="eastAsia"/>
          <w:lang w:eastAsia="zh-CN"/>
        </w:rPr>
        <w:t>起草</w:t>
      </w:r>
      <w:r>
        <w:rPr>
          <w:lang w:eastAsia="zh-CN"/>
        </w:rPr>
        <w:t>CPM</w:t>
      </w:r>
      <w:r>
        <w:rPr>
          <w:rFonts w:hint="eastAsia"/>
          <w:lang w:eastAsia="zh-CN"/>
        </w:rPr>
        <w:t>报告的指导原则见附件</w:t>
      </w:r>
      <w:r>
        <w:rPr>
          <w:lang w:eastAsia="zh-CN"/>
        </w:rPr>
        <w:t>2</w:t>
      </w:r>
      <w:r w:rsidRPr="00511E93">
        <w:rPr>
          <w:rFonts w:hint="eastAsia"/>
          <w:lang w:eastAsia="zh-CN"/>
        </w:rPr>
        <w:t>。</w:t>
      </w:r>
    </w:p>
    <w:p w14:paraId="24D96F17" w14:textId="77777777" w:rsidR="00762FFF" w:rsidRDefault="00762FFF" w:rsidP="00762FFF">
      <w:pPr>
        <w:pStyle w:val="AnnexNo"/>
        <w:rPr>
          <w:lang w:eastAsia="zh-CN"/>
        </w:rPr>
      </w:pPr>
      <w:r w:rsidRPr="00346AB2">
        <w:rPr>
          <w:rFonts w:hint="eastAsia"/>
          <w:lang w:eastAsia="zh-CN"/>
        </w:rPr>
        <w:lastRenderedPageBreak/>
        <w:t>附件</w:t>
      </w:r>
      <w:r>
        <w:rPr>
          <w:lang w:eastAsia="zh-CN"/>
        </w:rPr>
        <w:t>1</w:t>
      </w:r>
    </w:p>
    <w:p w14:paraId="44878A5D" w14:textId="77777777" w:rsidR="00762FFF" w:rsidRPr="00C13391" w:rsidRDefault="00762FFF" w:rsidP="00762FFF">
      <w:pPr>
        <w:pStyle w:val="Annextitle"/>
        <w:rPr>
          <w:lang w:eastAsia="zh-CN"/>
        </w:rPr>
      </w:pPr>
      <w:r w:rsidRPr="00C13391">
        <w:rPr>
          <w:rFonts w:hint="eastAsia"/>
          <w:lang w:eastAsia="zh-CN"/>
        </w:rPr>
        <w:t>大会筹备会议的工作方法</w:t>
      </w:r>
    </w:p>
    <w:p w14:paraId="1ED3F6CA" w14:textId="77777777" w:rsidR="00762FFF" w:rsidRPr="00C13391" w:rsidRDefault="00762FFF" w:rsidP="00762FFF">
      <w:pPr>
        <w:pStyle w:val="Normalaftertitle0"/>
        <w:rPr>
          <w:lang w:eastAsia="zh-CN"/>
        </w:rPr>
      </w:pPr>
      <w:r w:rsidRPr="00C42341">
        <w:rPr>
          <w:lang w:eastAsia="zh-CN"/>
        </w:rPr>
        <w:t>A1.</w:t>
      </w:r>
      <w:r w:rsidRPr="00C13391">
        <w:rPr>
          <w:lang w:eastAsia="zh-CN"/>
        </w:rPr>
        <w:t>1</w:t>
      </w:r>
      <w:r w:rsidRPr="00C13391">
        <w:rPr>
          <w:lang w:eastAsia="zh-CN"/>
        </w:rPr>
        <w:tab/>
      </w:r>
      <w:r w:rsidRPr="00C13391">
        <w:rPr>
          <w:rFonts w:hint="eastAsia"/>
          <w:lang w:eastAsia="zh-CN"/>
        </w:rPr>
        <w:t>规则、技术、操作和程序问题</w:t>
      </w:r>
      <w:r>
        <w:rPr>
          <w:rFonts w:hint="eastAsia"/>
          <w:lang w:eastAsia="zh-CN"/>
        </w:rPr>
        <w:t>须</w:t>
      </w:r>
      <w:r w:rsidRPr="00C13391">
        <w:rPr>
          <w:rFonts w:hint="eastAsia"/>
          <w:lang w:eastAsia="zh-CN"/>
        </w:rPr>
        <w:t>酌情交由</w:t>
      </w:r>
      <w:r>
        <w:rPr>
          <w:rFonts w:hint="eastAsia"/>
          <w:lang w:eastAsia="zh-CN"/>
        </w:rPr>
        <w:t>I</w:t>
      </w:r>
      <w:r>
        <w:rPr>
          <w:lang w:eastAsia="zh-CN"/>
        </w:rPr>
        <w:t>TU-R</w:t>
      </w:r>
      <w:r w:rsidRPr="00C13391">
        <w:rPr>
          <w:rFonts w:hint="eastAsia"/>
          <w:lang w:eastAsia="zh-CN"/>
        </w:rPr>
        <w:t>研究组</w:t>
      </w:r>
      <w:r>
        <w:rPr>
          <w:rFonts w:hint="eastAsia"/>
          <w:lang w:eastAsia="zh-CN"/>
        </w:rPr>
        <w:t>、工作组（</w:t>
      </w:r>
      <w:r>
        <w:rPr>
          <w:rFonts w:hint="eastAsia"/>
          <w:lang w:eastAsia="zh-CN"/>
        </w:rPr>
        <w:t>W</w:t>
      </w:r>
      <w:r>
        <w:rPr>
          <w:lang w:eastAsia="zh-CN"/>
        </w:rPr>
        <w:t>P</w:t>
      </w:r>
      <w:r>
        <w:rPr>
          <w:rFonts w:hint="eastAsia"/>
          <w:lang w:eastAsia="zh-CN"/>
        </w:rPr>
        <w:t>）</w:t>
      </w:r>
      <w:r>
        <w:rPr>
          <w:rFonts w:hint="eastAsia"/>
          <w:lang w:eastAsia="zh-CN"/>
        </w:rPr>
        <w:t>/</w:t>
      </w:r>
      <w:r>
        <w:rPr>
          <w:rFonts w:hint="eastAsia"/>
          <w:lang w:eastAsia="zh-CN"/>
        </w:rPr>
        <w:t>任务组（</w:t>
      </w:r>
      <w:r>
        <w:rPr>
          <w:rFonts w:hint="eastAsia"/>
          <w:lang w:eastAsia="zh-CN"/>
        </w:rPr>
        <w:t>T</w:t>
      </w:r>
      <w:r>
        <w:rPr>
          <w:lang w:eastAsia="zh-CN"/>
        </w:rPr>
        <w:t>F</w:t>
      </w:r>
      <w:r>
        <w:rPr>
          <w:rFonts w:hint="eastAsia"/>
          <w:lang w:eastAsia="zh-CN"/>
        </w:rPr>
        <w:t>）和联合任务组（</w:t>
      </w:r>
      <w:r>
        <w:rPr>
          <w:rFonts w:hint="eastAsia"/>
          <w:lang w:eastAsia="zh-CN"/>
        </w:rPr>
        <w:t>J</w:t>
      </w:r>
      <w:r>
        <w:rPr>
          <w:lang w:eastAsia="zh-CN"/>
        </w:rPr>
        <w:t>TG</w:t>
      </w:r>
      <w:r>
        <w:rPr>
          <w:rFonts w:hint="eastAsia"/>
          <w:lang w:eastAsia="zh-CN"/>
        </w:rPr>
        <w:t>）研究</w:t>
      </w:r>
      <w:r w:rsidRPr="00C13391">
        <w:rPr>
          <w:rFonts w:hint="eastAsia"/>
          <w:lang w:eastAsia="zh-CN"/>
        </w:rPr>
        <w:t>。</w:t>
      </w:r>
    </w:p>
    <w:p w14:paraId="44AF7787" w14:textId="77777777" w:rsidR="00762FFF" w:rsidRPr="00C13391" w:rsidRDefault="00762FFF" w:rsidP="00762FFF">
      <w:pPr>
        <w:rPr>
          <w:bCs/>
          <w:lang w:eastAsia="zh-CN"/>
        </w:rPr>
      </w:pPr>
      <w:r w:rsidRPr="00C42341">
        <w:rPr>
          <w:lang w:eastAsia="zh-CN"/>
        </w:rPr>
        <w:t>A1.</w:t>
      </w:r>
      <w:r w:rsidRPr="00C13391">
        <w:rPr>
          <w:bCs/>
          <w:lang w:eastAsia="zh-CN"/>
        </w:rPr>
        <w:t>2</w:t>
      </w:r>
      <w:r w:rsidRPr="00C13391">
        <w:rPr>
          <w:bCs/>
          <w:lang w:eastAsia="zh-CN"/>
        </w:rPr>
        <w:tab/>
      </w:r>
      <w:r>
        <w:rPr>
          <w:lang w:eastAsia="zh-CN"/>
        </w:rPr>
        <w:t>CPM</w:t>
      </w:r>
      <w:r w:rsidRPr="00D83EA4">
        <w:rPr>
          <w:rFonts w:hint="eastAsia"/>
          <w:lang w:eastAsia="zh-CN"/>
        </w:rPr>
        <w:t>两</w:t>
      </w:r>
      <w:r>
        <w:rPr>
          <w:rFonts w:hint="eastAsia"/>
          <w:lang w:eastAsia="zh-CN"/>
        </w:rPr>
        <w:t>次会议的工作须根据以</w:t>
      </w:r>
      <w:r w:rsidRPr="00D83EA4">
        <w:rPr>
          <w:rFonts w:hint="eastAsia"/>
          <w:lang w:eastAsia="zh-CN"/>
        </w:rPr>
        <w:t>下</w:t>
      </w:r>
      <w:r>
        <w:rPr>
          <w:rFonts w:hint="eastAsia"/>
          <w:lang w:eastAsia="zh-CN"/>
        </w:rPr>
        <w:t>规定</w:t>
      </w:r>
      <w:r w:rsidRPr="00D83EA4">
        <w:rPr>
          <w:rFonts w:hint="eastAsia"/>
          <w:lang w:eastAsia="zh-CN"/>
        </w:rPr>
        <w:t>进行组织。</w:t>
      </w:r>
    </w:p>
    <w:p w14:paraId="1A894F36" w14:textId="77777777" w:rsidR="00762FFF" w:rsidRDefault="00762FFF" w:rsidP="00762FFF">
      <w:pPr>
        <w:rPr>
          <w:bCs/>
          <w:lang w:eastAsia="zh-CN"/>
        </w:rPr>
      </w:pPr>
      <w:r w:rsidRPr="00C42341">
        <w:rPr>
          <w:lang w:eastAsia="zh-CN"/>
        </w:rPr>
        <w:t>A1.</w:t>
      </w:r>
      <w:r w:rsidRPr="00C13391">
        <w:rPr>
          <w:bCs/>
          <w:lang w:eastAsia="zh-CN"/>
        </w:rPr>
        <w:t>2.1</w:t>
      </w:r>
      <w:r w:rsidRPr="00C13391">
        <w:rPr>
          <w:bCs/>
          <w:lang w:eastAsia="zh-CN"/>
        </w:rPr>
        <w:tab/>
      </w:r>
      <w:r w:rsidRPr="00C13391">
        <w:rPr>
          <w:rFonts w:hint="eastAsia"/>
          <w:bCs/>
          <w:lang w:eastAsia="zh-CN"/>
        </w:rPr>
        <w:t>第一次会议</w:t>
      </w:r>
      <w:r>
        <w:rPr>
          <w:rFonts w:hint="eastAsia"/>
          <w:bCs/>
          <w:lang w:eastAsia="zh-CN"/>
        </w:rPr>
        <w:t>须旨在</w:t>
      </w:r>
      <w:r w:rsidRPr="00C13391">
        <w:rPr>
          <w:rFonts w:hint="eastAsia"/>
          <w:bCs/>
          <w:lang w:eastAsia="zh-CN"/>
        </w:rPr>
        <w:t>根据</w:t>
      </w:r>
      <w:r>
        <w:rPr>
          <w:rFonts w:hint="eastAsia"/>
          <w:bCs/>
          <w:lang w:eastAsia="zh-CN"/>
        </w:rPr>
        <w:t>下届和随后一届</w:t>
      </w:r>
      <w:r>
        <w:rPr>
          <w:rFonts w:hint="eastAsia"/>
          <w:bCs/>
          <w:lang w:eastAsia="zh-CN"/>
        </w:rPr>
        <w:t>W</w:t>
      </w:r>
      <w:r>
        <w:rPr>
          <w:bCs/>
          <w:lang w:eastAsia="zh-CN"/>
        </w:rPr>
        <w:t>RC</w:t>
      </w:r>
      <w:r w:rsidRPr="00C13391">
        <w:rPr>
          <w:rFonts w:hint="eastAsia"/>
          <w:bCs/>
          <w:lang w:eastAsia="zh-CN"/>
        </w:rPr>
        <w:t>的议程协调相关</w:t>
      </w:r>
      <w:r w:rsidRPr="00C13391">
        <w:rPr>
          <w:bCs/>
          <w:lang w:eastAsia="zh-CN"/>
        </w:rPr>
        <w:t>ITU-R</w:t>
      </w:r>
      <w:r w:rsidRPr="00C13391">
        <w:rPr>
          <w:rFonts w:hint="eastAsia"/>
          <w:bCs/>
          <w:lang w:eastAsia="zh-CN"/>
        </w:rPr>
        <w:t>研究组的工作计划，并为</w:t>
      </w:r>
      <w:r w:rsidRPr="00C13391">
        <w:rPr>
          <w:bCs/>
          <w:lang w:eastAsia="zh-CN"/>
        </w:rPr>
        <w:t>CPM</w:t>
      </w:r>
      <w:r w:rsidRPr="00C13391">
        <w:rPr>
          <w:rFonts w:hint="eastAsia"/>
          <w:bCs/>
          <w:lang w:eastAsia="zh-CN"/>
        </w:rPr>
        <w:t>报告起草一份</w:t>
      </w:r>
      <w:r>
        <w:rPr>
          <w:rFonts w:hint="eastAsia"/>
          <w:bCs/>
          <w:lang w:eastAsia="zh-CN"/>
        </w:rPr>
        <w:t>结构</w:t>
      </w:r>
      <w:r w:rsidRPr="00C13391">
        <w:rPr>
          <w:rFonts w:hint="eastAsia"/>
          <w:bCs/>
          <w:lang w:eastAsia="zh-CN"/>
        </w:rPr>
        <w:t>草案，同时将考虑上届</w:t>
      </w:r>
      <w:r>
        <w:rPr>
          <w:rFonts w:hint="eastAsia"/>
          <w:bCs/>
          <w:lang w:eastAsia="zh-CN"/>
        </w:rPr>
        <w:t>W</w:t>
      </w:r>
      <w:r>
        <w:rPr>
          <w:bCs/>
          <w:lang w:eastAsia="zh-CN"/>
        </w:rPr>
        <w:t>RC</w:t>
      </w:r>
      <w:r w:rsidRPr="00C13391">
        <w:rPr>
          <w:rFonts w:hint="eastAsia"/>
          <w:bCs/>
          <w:lang w:eastAsia="zh-CN"/>
        </w:rPr>
        <w:t>做出的任何指示。第一次会议的会期</w:t>
      </w:r>
      <w:r>
        <w:rPr>
          <w:rFonts w:hint="eastAsia"/>
          <w:bCs/>
          <w:lang w:eastAsia="zh-CN"/>
        </w:rPr>
        <w:t>须</w:t>
      </w:r>
      <w:r w:rsidRPr="00C13391">
        <w:rPr>
          <w:rFonts w:hint="eastAsia"/>
          <w:bCs/>
          <w:lang w:eastAsia="zh-CN"/>
        </w:rPr>
        <w:t>很短暂（通常不超过</w:t>
      </w:r>
      <w:r>
        <w:rPr>
          <w:rFonts w:hint="eastAsia"/>
          <w:bCs/>
          <w:lang w:eastAsia="zh-CN"/>
        </w:rPr>
        <w:t>两</w:t>
      </w:r>
      <w:r w:rsidRPr="00C13391">
        <w:rPr>
          <w:rFonts w:hint="eastAsia"/>
          <w:bCs/>
          <w:lang w:eastAsia="zh-CN"/>
        </w:rPr>
        <w:t>天）且一般</w:t>
      </w:r>
      <w:r>
        <w:rPr>
          <w:rFonts w:hint="eastAsia"/>
          <w:bCs/>
          <w:lang w:eastAsia="zh-CN"/>
        </w:rPr>
        <w:t>应</w:t>
      </w:r>
      <w:r w:rsidRPr="00C13391">
        <w:rPr>
          <w:rFonts w:hint="eastAsia"/>
          <w:bCs/>
          <w:lang w:eastAsia="zh-CN"/>
        </w:rPr>
        <w:t>在前一届</w:t>
      </w:r>
      <w:r>
        <w:rPr>
          <w:rFonts w:hint="eastAsia"/>
          <w:bCs/>
          <w:lang w:eastAsia="zh-CN"/>
        </w:rPr>
        <w:t>W</w:t>
      </w:r>
      <w:r>
        <w:rPr>
          <w:bCs/>
          <w:lang w:eastAsia="zh-CN"/>
        </w:rPr>
        <w:t>RC</w:t>
      </w:r>
      <w:r w:rsidRPr="00C13391">
        <w:rPr>
          <w:rFonts w:hint="eastAsia"/>
          <w:bCs/>
          <w:lang w:eastAsia="zh-CN"/>
        </w:rPr>
        <w:t>结束之后立即召开。研究组</w:t>
      </w:r>
      <w:r>
        <w:rPr>
          <w:rFonts w:hint="eastAsia"/>
          <w:bCs/>
          <w:lang w:eastAsia="zh-CN"/>
        </w:rPr>
        <w:t>（</w:t>
      </w:r>
      <w:r>
        <w:rPr>
          <w:rFonts w:hint="eastAsia"/>
          <w:bCs/>
          <w:lang w:eastAsia="zh-CN"/>
        </w:rPr>
        <w:t>S</w:t>
      </w:r>
      <w:r>
        <w:rPr>
          <w:bCs/>
          <w:lang w:eastAsia="zh-CN"/>
        </w:rPr>
        <w:t>G</w:t>
      </w:r>
      <w:r>
        <w:rPr>
          <w:rFonts w:hint="eastAsia"/>
          <w:bCs/>
          <w:lang w:eastAsia="zh-CN"/>
        </w:rPr>
        <w:t>）</w:t>
      </w:r>
      <w:r w:rsidRPr="00C13391">
        <w:rPr>
          <w:rFonts w:hint="eastAsia"/>
          <w:bCs/>
          <w:lang w:eastAsia="zh-CN"/>
        </w:rPr>
        <w:t>的正副主席</w:t>
      </w:r>
      <w:r>
        <w:rPr>
          <w:rFonts w:hint="eastAsia"/>
          <w:bCs/>
          <w:lang w:eastAsia="zh-CN"/>
        </w:rPr>
        <w:t>应</w:t>
      </w:r>
      <w:r w:rsidRPr="00C13391">
        <w:rPr>
          <w:rFonts w:hint="eastAsia"/>
          <w:bCs/>
          <w:lang w:eastAsia="zh-CN"/>
        </w:rPr>
        <w:t>出席。</w:t>
      </w:r>
    </w:p>
    <w:p w14:paraId="2EC2664E" w14:textId="77777777" w:rsidR="00762FFF" w:rsidRDefault="00762FFF" w:rsidP="00762FFF">
      <w:pPr>
        <w:rPr>
          <w:lang w:eastAsia="zh-CN"/>
        </w:rPr>
      </w:pPr>
      <w:r w:rsidRPr="00C42341">
        <w:rPr>
          <w:lang w:eastAsia="zh-CN"/>
        </w:rPr>
        <w:t>A1.</w:t>
      </w:r>
      <w:r w:rsidRPr="00C13391">
        <w:rPr>
          <w:bCs/>
          <w:lang w:eastAsia="zh-CN"/>
        </w:rPr>
        <w:t>2.</w:t>
      </w:r>
      <w:r>
        <w:rPr>
          <w:bCs/>
          <w:lang w:eastAsia="zh-CN"/>
        </w:rPr>
        <w:t>2</w:t>
      </w:r>
      <w:r w:rsidRPr="00C13391">
        <w:rPr>
          <w:bCs/>
          <w:lang w:eastAsia="zh-CN"/>
        </w:rPr>
        <w:tab/>
      </w:r>
      <w:r>
        <w:rPr>
          <w:rFonts w:hint="eastAsia"/>
          <w:lang w:eastAsia="zh-CN"/>
        </w:rPr>
        <w:t>第一次会议须确定为筹备下届</w:t>
      </w:r>
      <w:r>
        <w:rPr>
          <w:rFonts w:hint="eastAsia"/>
          <w:lang w:eastAsia="zh-CN"/>
        </w:rPr>
        <w:t>W</w:t>
      </w:r>
      <w:r>
        <w:rPr>
          <w:lang w:eastAsia="zh-CN"/>
        </w:rPr>
        <w:t>RC</w:t>
      </w:r>
      <w:r>
        <w:rPr>
          <w:rFonts w:hint="eastAsia"/>
          <w:lang w:eastAsia="zh-CN"/>
        </w:rPr>
        <w:t>（必要时为下届</w:t>
      </w:r>
      <w:r>
        <w:rPr>
          <w:rFonts w:hint="eastAsia"/>
          <w:lang w:eastAsia="zh-CN"/>
        </w:rPr>
        <w:t>W</w:t>
      </w:r>
      <w:r>
        <w:rPr>
          <w:lang w:eastAsia="zh-CN"/>
        </w:rPr>
        <w:t>RC</w:t>
      </w:r>
      <w:r>
        <w:rPr>
          <w:rFonts w:hint="eastAsia"/>
          <w:lang w:eastAsia="zh-CN"/>
        </w:rPr>
        <w:t>之后一届大会）需研究的议题。这些议题须仅来自于下届</w:t>
      </w:r>
      <w:r>
        <w:rPr>
          <w:rFonts w:hint="eastAsia"/>
          <w:lang w:eastAsia="zh-CN"/>
        </w:rPr>
        <w:t>W</w:t>
      </w:r>
      <w:r>
        <w:rPr>
          <w:lang w:eastAsia="zh-CN"/>
        </w:rPr>
        <w:t>RC</w:t>
      </w:r>
      <w:r>
        <w:rPr>
          <w:rFonts w:hint="eastAsia"/>
          <w:lang w:eastAsia="zh-CN"/>
        </w:rPr>
        <w:t>的议程和随后一届</w:t>
      </w:r>
      <w:r>
        <w:rPr>
          <w:rFonts w:hint="eastAsia"/>
          <w:lang w:eastAsia="zh-CN"/>
        </w:rPr>
        <w:t>W</w:t>
      </w:r>
      <w:r>
        <w:rPr>
          <w:lang w:eastAsia="zh-CN"/>
        </w:rPr>
        <w:t>RC</w:t>
      </w:r>
      <w:r>
        <w:rPr>
          <w:rFonts w:hint="eastAsia"/>
          <w:lang w:eastAsia="zh-CN"/>
        </w:rPr>
        <w:t>的初步议程，并应尽可能自成一体和相互独立。应为每一议题指定一个</w:t>
      </w:r>
      <w:r>
        <w:rPr>
          <w:lang w:eastAsia="zh-CN"/>
        </w:rPr>
        <w:t>ITU-R</w:t>
      </w:r>
      <w:r>
        <w:rPr>
          <w:rFonts w:hint="eastAsia"/>
          <w:lang w:eastAsia="zh-CN"/>
        </w:rPr>
        <w:t>的</w:t>
      </w:r>
      <w:r>
        <w:rPr>
          <w:rFonts w:hint="eastAsia"/>
          <w:lang w:eastAsia="zh-CN"/>
        </w:rPr>
        <w:t>S</w:t>
      </w:r>
      <w:r>
        <w:rPr>
          <w:lang w:eastAsia="zh-CN"/>
        </w:rPr>
        <w:t>G</w:t>
      </w:r>
      <w:r>
        <w:rPr>
          <w:rFonts w:hint="eastAsia"/>
          <w:lang w:eastAsia="zh-CN"/>
        </w:rPr>
        <w:t>、工作组（</w:t>
      </w:r>
      <w:r>
        <w:rPr>
          <w:rFonts w:hint="eastAsia"/>
          <w:lang w:eastAsia="zh-CN"/>
        </w:rPr>
        <w:t>W</w:t>
      </w:r>
      <w:r>
        <w:rPr>
          <w:lang w:eastAsia="zh-CN"/>
        </w:rPr>
        <w:t>P</w:t>
      </w:r>
      <w:r>
        <w:rPr>
          <w:rFonts w:hint="eastAsia"/>
          <w:lang w:eastAsia="zh-CN"/>
        </w:rPr>
        <w:t>）、任务组（</w:t>
      </w:r>
      <w:r>
        <w:rPr>
          <w:rFonts w:hint="eastAsia"/>
          <w:lang w:eastAsia="zh-CN"/>
        </w:rPr>
        <w:t>T</w:t>
      </w:r>
      <w:r>
        <w:rPr>
          <w:lang w:eastAsia="zh-CN"/>
        </w:rPr>
        <w:t>G</w:t>
      </w:r>
      <w:r>
        <w:rPr>
          <w:rFonts w:hint="eastAsia"/>
          <w:lang w:eastAsia="zh-CN"/>
        </w:rPr>
        <w:t>）或联合任务组（</w:t>
      </w:r>
      <w:r>
        <w:rPr>
          <w:rFonts w:hint="eastAsia"/>
          <w:lang w:eastAsia="zh-CN"/>
        </w:rPr>
        <w:t>J</w:t>
      </w:r>
      <w:r>
        <w:rPr>
          <w:lang w:eastAsia="zh-CN"/>
        </w:rPr>
        <w:t>TG</w:t>
      </w:r>
      <w:r>
        <w:rPr>
          <w:rFonts w:hint="eastAsia"/>
          <w:lang w:eastAsia="zh-CN"/>
        </w:rPr>
        <w:t>）负责筹备工作（作为负责组），并由其根据需要邀请其它</w:t>
      </w:r>
      <w:r>
        <w:rPr>
          <w:lang w:eastAsia="zh-CN"/>
        </w:rPr>
        <w:t>ITU-R</w:t>
      </w:r>
      <w:r>
        <w:rPr>
          <w:rFonts w:hint="eastAsia"/>
          <w:lang w:eastAsia="zh-CN"/>
        </w:rPr>
        <w:t>相关小组提交输入文件和</w:t>
      </w:r>
      <w:r>
        <w:rPr>
          <w:lang w:eastAsia="zh-CN"/>
        </w:rPr>
        <w:t>/</w:t>
      </w:r>
      <w:r>
        <w:rPr>
          <w:rFonts w:hint="eastAsia"/>
          <w:lang w:eastAsia="zh-CN"/>
        </w:rPr>
        <w:t>或参加工作。应尽可能利用现有各组，仅在必要时设立新的小组。</w:t>
      </w:r>
    </w:p>
    <w:p w14:paraId="72DB8930" w14:textId="77777777" w:rsidR="00762FFF" w:rsidRDefault="00762FFF" w:rsidP="00762FFF">
      <w:pPr>
        <w:rPr>
          <w:bCs/>
          <w:lang w:eastAsia="zh-CN"/>
        </w:rPr>
      </w:pPr>
      <w:r w:rsidRPr="00EC5405">
        <w:rPr>
          <w:lang w:eastAsia="zh-CN"/>
        </w:rPr>
        <w:t>A1.</w:t>
      </w:r>
      <w:proofErr w:type="gramStart"/>
      <w:r w:rsidRPr="00EC5405">
        <w:rPr>
          <w:lang w:eastAsia="zh-CN"/>
        </w:rPr>
        <w:t>2.3</w:t>
      </w:r>
      <w:r w:rsidRPr="00EC5405">
        <w:rPr>
          <w:bCs/>
          <w:lang w:eastAsia="zh-CN"/>
        </w:rPr>
        <w:tab/>
      </w:r>
      <w:r w:rsidRPr="00EC5405">
        <w:rPr>
          <w:rFonts w:hint="eastAsia"/>
          <w:bCs/>
          <w:lang w:eastAsia="zh-CN"/>
        </w:rPr>
        <w:t>第二次会议须</w:t>
      </w:r>
      <w:r>
        <w:rPr>
          <w:rFonts w:hint="eastAsia"/>
          <w:bCs/>
          <w:lang w:eastAsia="zh-CN"/>
        </w:rPr>
        <w:t>旨在</w:t>
      </w:r>
      <w:r w:rsidRPr="00EC5405">
        <w:rPr>
          <w:rFonts w:hint="eastAsia"/>
          <w:bCs/>
          <w:lang w:eastAsia="zh-CN"/>
        </w:rPr>
        <w:t>为下届</w:t>
      </w:r>
      <w:r>
        <w:rPr>
          <w:rFonts w:hint="eastAsia"/>
          <w:bCs/>
          <w:lang w:eastAsia="zh-CN"/>
        </w:rPr>
        <w:t>W</w:t>
      </w:r>
      <w:r>
        <w:rPr>
          <w:bCs/>
          <w:lang w:eastAsia="zh-CN"/>
        </w:rPr>
        <w:t>RC</w:t>
      </w:r>
      <w:r>
        <w:rPr>
          <w:rFonts w:hint="eastAsia"/>
          <w:bCs/>
          <w:lang w:eastAsia="zh-CN"/>
        </w:rPr>
        <w:t>敲定</w:t>
      </w:r>
      <w:r w:rsidRPr="00EC5405">
        <w:rPr>
          <w:lang w:eastAsia="zh-CN"/>
        </w:rPr>
        <w:t>CPM</w:t>
      </w:r>
      <w:r w:rsidRPr="00EC5405">
        <w:rPr>
          <w:rFonts w:hint="eastAsia"/>
          <w:bCs/>
          <w:lang w:eastAsia="zh-CN"/>
        </w:rPr>
        <w:t>报告。第二次会议须持续适当时日以完成必要工作</w:t>
      </w:r>
      <w:proofErr w:type="gramEnd"/>
      <w:r w:rsidRPr="00EC5405">
        <w:rPr>
          <w:rFonts w:hint="eastAsia"/>
          <w:bCs/>
          <w:lang w:eastAsia="zh-CN"/>
        </w:rPr>
        <w:t>，但不超过两周。</w:t>
      </w:r>
    </w:p>
    <w:p w14:paraId="6B2AE1E2" w14:textId="77777777" w:rsidR="00762FFF" w:rsidRDefault="00762FFF" w:rsidP="00762FFF">
      <w:pPr>
        <w:ind w:firstLineChars="200" w:firstLine="480"/>
        <w:rPr>
          <w:bCs/>
          <w:lang w:eastAsia="zh-CN"/>
        </w:rPr>
      </w:pPr>
      <w:r>
        <w:rPr>
          <w:rFonts w:hint="eastAsia"/>
          <w:bCs/>
          <w:lang w:eastAsia="zh-CN"/>
        </w:rPr>
        <w:t>提交</w:t>
      </w:r>
      <w:r w:rsidRPr="00FE4415">
        <w:rPr>
          <w:rFonts w:ascii="STKaiti" w:eastAsia="STKaiti" w:hAnsi="STKaiti" w:cs="Microsoft YaHei"/>
          <w:bCs/>
          <w:lang w:eastAsia="zh-CN"/>
        </w:rPr>
        <w:t>需翻译</w:t>
      </w:r>
      <w:r>
        <w:rPr>
          <w:rFonts w:hint="eastAsia"/>
          <w:bCs/>
          <w:lang w:eastAsia="zh-CN"/>
        </w:rPr>
        <w:t>文稿的截止日期为</w:t>
      </w:r>
      <w:r>
        <w:rPr>
          <w:rFonts w:hint="eastAsia"/>
          <w:bCs/>
          <w:lang w:eastAsia="zh-CN"/>
        </w:rPr>
        <w:t>CPM</w:t>
      </w:r>
      <w:r>
        <w:rPr>
          <w:rFonts w:hint="eastAsia"/>
          <w:bCs/>
          <w:lang w:eastAsia="zh-CN"/>
        </w:rPr>
        <w:t>第二次会议的一个月之前。</w:t>
      </w:r>
      <w:r w:rsidRPr="00FE4415">
        <w:rPr>
          <w:rFonts w:ascii="STKaiti" w:eastAsia="STKaiti" w:hAnsi="STKaiti" w:cs="Microsoft YaHei" w:hint="eastAsia"/>
          <w:bCs/>
          <w:lang w:eastAsia="zh-CN"/>
        </w:rPr>
        <w:t>无需翻译</w:t>
      </w:r>
      <w:r>
        <w:rPr>
          <w:rFonts w:hint="eastAsia"/>
          <w:bCs/>
          <w:lang w:eastAsia="zh-CN"/>
        </w:rPr>
        <w:t>的文稿的提交截止日期为</w:t>
      </w:r>
      <w:r>
        <w:rPr>
          <w:rFonts w:hint="eastAsia"/>
          <w:bCs/>
          <w:lang w:eastAsia="zh-CN"/>
        </w:rPr>
        <w:t>C</w:t>
      </w:r>
      <w:r>
        <w:rPr>
          <w:bCs/>
          <w:lang w:eastAsia="zh-CN"/>
        </w:rPr>
        <w:t>PM</w:t>
      </w:r>
      <w:r>
        <w:rPr>
          <w:rFonts w:hint="eastAsia"/>
          <w:bCs/>
          <w:lang w:eastAsia="zh-CN"/>
        </w:rPr>
        <w:t>第二次会议开幕的</w:t>
      </w:r>
      <w:r>
        <w:rPr>
          <w:rFonts w:hint="eastAsia"/>
          <w:bCs/>
          <w:lang w:eastAsia="zh-CN"/>
        </w:rPr>
        <w:t>14</w:t>
      </w:r>
      <w:r>
        <w:rPr>
          <w:rFonts w:hint="eastAsia"/>
          <w:bCs/>
          <w:lang w:eastAsia="zh-CN"/>
        </w:rPr>
        <w:t>个日历日</w:t>
      </w:r>
      <w:r w:rsidRPr="00CC3C3B">
        <w:rPr>
          <w:rFonts w:hint="eastAsia"/>
          <w:bCs/>
          <w:lang w:eastAsia="zh-CN"/>
        </w:rPr>
        <w:t>（协调世界时</w:t>
      </w:r>
      <w:r w:rsidRPr="00CC3C3B">
        <w:rPr>
          <w:rFonts w:hint="eastAsia"/>
          <w:bCs/>
          <w:lang w:eastAsia="zh-CN"/>
        </w:rPr>
        <w:t>16:00</w:t>
      </w:r>
      <w:r w:rsidRPr="00CC3C3B">
        <w:rPr>
          <w:rFonts w:hint="eastAsia"/>
          <w:bCs/>
          <w:lang w:eastAsia="zh-CN"/>
        </w:rPr>
        <w:t>时）</w:t>
      </w:r>
      <w:r>
        <w:rPr>
          <w:rFonts w:hint="eastAsia"/>
          <w:bCs/>
          <w:lang w:eastAsia="zh-CN"/>
        </w:rPr>
        <w:t>之前。</w:t>
      </w:r>
    </w:p>
    <w:p w14:paraId="67288739" w14:textId="77777777" w:rsidR="00762FFF" w:rsidRDefault="00762FFF" w:rsidP="00762FFF">
      <w:pPr>
        <w:ind w:firstLineChars="200" w:firstLine="480"/>
        <w:rPr>
          <w:bCs/>
          <w:lang w:eastAsia="zh-CN"/>
        </w:rPr>
      </w:pPr>
      <w:r w:rsidRPr="00EC5405">
        <w:rPr>
          <w:rFonts w:hint="eastAsia"/>
          <w:bCs/>
          <w:lang w:eastAsia="zh-CN"/>
        </w:rPr>
        <w:t>会议的日期安排须</w:t>
      </w:r>
      <w:r w:rsidRPr="00EC5405">
        <w:rPr>
          <w:bCs/>
          <w:lang w:eastAsia="zh-CN"/>
        </w:rPr>
        <w:t>有利于</w:t>
      </w:r>
      <w:r w:rsidRPr="00EC5405">
        <w:rPr>
          <w:lang w:eastAsia="zh-CN"/>
        </w:rPr>
        <w:t>CPM</w:t>
      </w:r>
      <w:r w:rsidRPr="00EC5405">
        <w:rPr>
          <w:rFonts w:hint="eastAsia"/>
          <w:bCs/>
          <w:lang w:eastAsia="zh-CN"/>
        </w:rPr>
        <w:t>报告在下届</w:t>
      </w:r>
      <w:r>
        <w:rPr>
          <w:rFonts w:hint="eastAsia"/>
          <w:bCs/>
          <w:lang w:eastAsia="zh-CN"/>
        </w:rPr>
        <w:t>W</w:t>
      </w:r>
      <w:r>
        <w:rPr>
          <w:bCs/>
          <w:lang w:eastAsia="zh-CN"/>
        </w:rPr>
        <w:t>RC</w:t>
      </w:r>
      <w:r w:rsidRPr="00EC5405">
        <w:rPr>
          <w:rFonts w:hint="eastAsia"/>
          <w:bCs/>
          <w:lang w:eastAsia="zh-CN"/>
        </w:rPr>
        <w:t>召开的至少五个月前以国际电联的六种正式语文公布。</w:t>
      </w:r>
    </w:p>
    <w:p w14:paraId="18D873BF" w14:textId="77777777" w:rsidR="00762FFF" w:rsidRPr="00DF05D8" w:rsidRDefault="00762FFF" w:rsidP="00762FFF">
      <w:pPr>
        <w:rPr>
          <w:bCs/>
          <w:lang w:eastAsia="zh-CN"/>
        </w:rPr>
      </w:pPr>
      <w:r w:rsidRPr="00DF05D8">
        <w:rPr>
          <w:szCs w:val="24"/>
          <w:lang w:eastAsia="zh-CN"/>
        </w:rPr>
        <w:t>A1.2.4</w:t>
      </w:r>
      <w:r w:rsidRPr="00DF05D8">
        <w:rPr>
          <w:szCs w:val="24"/>
          <w:lang w:eastAsia="zh-CN"/>
        </w:rPr>
        <w:tab/>
      </w:r>
      <w:r w:rsidRPr="00DF05D8">
        <w:rPr>
          <w:rFonts w:hint="eastAsia"/>
          <w:lang w:eastAsia="zh-CN"/>
        </w:rPr>
        <w:t>BR</w:t>
      </w:r>
      <w:r w:rsidRPr="00DF05D8">
        <w:rPr>
          <w:rFonts w:hint="eastAsia"/>
          <w:lang w:eastAsia="zh-CN"/>
        </w:rPr>
        <w:t>主任向下届</w:t>
      </w:r>
      <w:r w:rsidRPr="00DF05D8">
        <w:rPr>
          <w:rFonts w:hint="eastAsia"/>
          <w:lang w:eastAsia="zh-CN"/>
        </w:rPr>
        <w:t>WRC</w:t>
      </w:r>
      <w:r w:rsidRPr="00DF05D8">
        <w:rPr>
          <w:rFonts w:hint="eastAsia"/>
          <w:lang w:eastAsia="zh-CN"/>
        </w:rPr>
        <w:t>提交的、有待</w:t>
      </w:r>
      <w:r w:rsidRPr="00DF05D8">
        <w:rPr>
          <w:rFonts w:hint="eastAsia"/>
          <w:lang w:eastAsia="zh-CN"/>
        </w:rPr>
        <w:t>WRC</w:t>
      </w:r>
      <w:r w:rsidRPr="00DF05D8">
        <w:rPr>
          <w:rFonts w:hint="eastAsia"/>
          <w:lang w:eastAsia="zh-CN"/>
        </w:rPr>
        <w:t>审议的关于在《无线电规则》应用中遇到的未解决问题和矛盾的报告草案，应提交第二次会议供参考。</w:t>
      </w:r>
    </w:p>
    <w:p w14:paraId="0908D975" w14:textId="77777777" w:rsidR="00520BB7" w:rsidRDefault="00520BB7" w:rsidP="00520BB7">
      <w:pPr>
        <w:rPr>
          <w:bCs/>
          <w:lang w:eastAsia="zh-CN"/>
        </w:rPr>
      </w:pPr>
      <w:r w:rsidRPr="00DF05D8">
        <w:rPr>
          <w:lang w:eastAsia="zh-CN"/>
        </w:rPr>
        <w:t>A1.</w:t>
      </w:r>
      <w:r w:rsidRPr="00DF05D8">
        <w:rPr>
          <w:bCs/>
          <w:lang w:eastAsia="zh-CN"/>
        </w:rPr>
        <w:t>2.5</w:t>
      </w:r>
      <w:r w:rsidRPr="00C13391">
        <w:rPr>
          <w:bCs/>
          <w:lang w:eastAsia="zh-CN"/>
        </w:rPr>
        <w:tab/>
        <w:t>ITU-R</w:t>
      </w:r>
      <w:r w:rsidRPr="00C13391">
        <w:rPr>
          <w:rFonts w:hint="eastAsia"/>
          <w:bCs/>
          <w:lang w:eastAsia="zh-CN"/>
        </w:rPr>
        <w:t>各</w:t>
      </w:r>
      <w:r>
        <w:rPr>
          <w:rFonts w:hint="eastAsia"/>
          <w:bCs/>
          <w:lang w:eastAsia="zh-CN"/>
        </w:rPr>
        <w:t>负责</w:t>
      </w:r>
      <w:r w:rsidRPr="00C13391">
        <w:rPr>
          <w:rFonts w:hint="eastAsia"/>
          <w:bCs/>
          <w:lang w:eastAsia="zh-CN"/>
        </w:rPr>
        <w:t>组应安排其会议时间计划，以利于所有感兴趣的成员最大限度地参与，尽量避免会议时间重叠可能对成员国有效参会带来的不利影响。</w:t>
      </w:r>
      <w:ins w:id="14" w:author="LING-C/TYS" w:date="2025-03-04T11:01:00Z">
        <w:r w:rsidRPr="009E09E1">
          <w:rPr>
            <w:rFonts w:hint="eastAsia"/>
            <w:bCs/>
            <w:lang w:eastAsia="zh-CN"/>
          </w:rPr>
          <w:t>负责组须根据</w:t>
        </w:r>
      </w:ins>
      <w:ins w:id="15" w:author="LING-C/TYS" w:date="2025-03-04T11:02:00Z">
        <w:r w:rsidRPr="009E09E1">
          <w:rPr>
            <w:rFonts w:hint="eastAsia"/>
            <w:bCs/>
            <w:lang w:eastAsia="zh-CN"/>
          </w:rPr>
          <w:t>第</w:t>
        </w:r>
        <w:r w:rsidRPr="009E09E1">
          <w:rPr>
            <w:rFonts w:hint="eastAsia"/>
            <w:bCs/>
            <w:lang w:eastAsia="zh-CN"/>
          </w:rPr>
          <w:t>A1.5</w:t>
        </w:r>
        <w:r w:rsidRPr="009E09E1">
          <w:rPr>
            <w:rFonts w:hint="eastAsia"/>
            <w:bCs/>
            <w:lang w:eastAsia="zh-CN"/>
          </w:rPr>
          <w:t>节</w:t>
        </w:r>
        <w:r>
          <w:rPr>
            <w:rFonts w:hint="eastAsia"/>
            <w:bCs/>
            <w:lang w:eastAsia="zh-CN"/>
          </w:rPr>
          <w:t>中</w:t>
        </w:r>
      </w:ins>
      <w:ins w:id="16" w:author="LING-C/TYS" w:date="2025-03-04T11:29:00Z">
        <w:r>
          <w:rPr>
            <w:rFonts w:hint="eastAsia"/>
            <w:bCs/>
            <w:lang w:eastAsia="zh-CN"/>
          </w:rPr>
          <w:t>规定</w:t>
        </w:r>
      </w:ins>
      <w:ins w:id="17" w:author="LING-C/TYS" w:date="2025-03-04T11:02:00Z">
        <w:r>
          <w:rPr>
            <w:rFonts w:hint="eastAsia"/>
            <w:bCs/>
            <w:lang w:eastAsia="zh-CN"/>
          </w:rPr>
          <w:t>的、</w:t>
        </w:r>
      </w:ins>
      <w:ins w:id="18" w:author="LING-C/TYS" w:date="2025-03-04T11:01:00Z">
        <w:r w:rsidRPr="009E09E1">
          <w:rPr>
            <w:rFonts w:hint="eastAsia"/>
            <w:bCs/>
            <w:lang w:eastAsia="zh-CN"/>
          </w:rPr>
          <w:t>CPM</w:t>
        </w:r>
        <w:r w:rsidRPr="009E09E1">
          <w:rPr>
            <w:rFonts w:hint="eastAsia"/>
            <w:bCs/>
            <w:lang w:eastAsia="zh-CN"/>
          </w:rPr>
          <w:t>指导委员会制定的时间表</w:t>
        </w:r>
      </w:ins>
      <w:ins w:id="19" w:author="LING-C/TYS" w:date="2025-03-04T11:02:00Z">
        <w:r>
          <w:rPr>
            <w:rFonts w:hint="eastAsia"/>
            <w:bCs/>
            <w:lang w:eastAsia="zh-CN"/>
          </w:rPr>
          <w:t>起草</w:t>
        </w:r>
      </w:ins>
      <w:ins w:id="20" w:author="LING-C/TYS" w:date="2025-03-04T11:01:00Z">
        <w:r w:rsidRPr="009E09E1">
          <w:rPr>
            <w:rFonts w:hint="eastAsia"/>
            <w:bCs/>
            <w:lang w:eastAsia="zh-CN"/>
          </w:rPr>
          <w:t>CPM</w:t>
        </w:r>
        <w:r w:rsidRPr="009E09E1">
          <w:rPr>
            <w:rFonts w:hint="eastAsia"/>
            <w:bCs/>
            <w:lang w:eastAsia="zh-CN"/>
          </w:rPr>
          <w:t>案文草案。</w:t>
        </w:r>
      </w:ins>
      <w:r w:rsidRPr="00C13391">
        <w:rPr>
          <w:rFonts w:hint="eastAsia"/>
          <w:bCs/>
          <w:lang w:eastAsia="zh-CN"/>
        </w:rPr>
        <w:t>最终</w:t>
      </w:r>
      <w:r>
        <w:rPr>
          <w:rFonts w:hint="eastAsia"/>
          <w:bCs/>
          <w:lang w:eastAsia="zh-CN"/>
        </w:rPr>
        <w:t>CPM</w:t>
      </w:r>
      <w:r>
        <w:rPr>
          <w:rFonts w:hint="eastAsia"/>
          <w:bCs/>
          <w:lang w:eastAsia="zh-CN"/>
        </w:rPr>
        <w:t>案文草案须由各负责组</w:t>
      </w:r>
      <w:r w:rsidRPr="00C13391">
        <w:rPr>
          <w:rFonts w:hint="eastAsia"/>
          <w:bCs/>
          <w:lang w:eastAsia="zh-CN"/>
        </w:rPr>
        <w:t>直接</w:t>
      </w:r>
      <w:r>
        <w:rPr>
          <w:rFonts w:hint="eastAsia"/>
          <w:bCs/>
          <w:lang w:eastAsia="zh-CN"/>
        </w:rPr>
        <w:t>及时</w:t>
      </w:r>
      <w:r w:rsidRPr="00C13391">
        <w:rPr>
          <w:rFonts w:hint="eastAsia"/>
          <w:bCs/>
          <w:lang w:eastAsia="zh-CN"/>
        </w:rPr>
        <w:t>提交，</w:t>
      </w:r>
      <w:r>
        <w:rPr>
          <w:rFonts w:hint="eastAsia"/>
          <w:bCs/>
          <w:lang w:eastAsia="zh-CN"/>
        </w:rPr>
        <w:t>以利于</w:t>
      </w:r>
      <w:ins w:id="21" w:author="LING-C/TYS" w:date="2025-03-04T11:04:00Z">
        <w:r>
          <w:rPr>
            <w:rFonts w:hint="eastAsia"/>
            <w:bCs/>
            <w:lang w:eastAsia="zh-CN"/>
          </w:rPr>
          <w:t>第</w:t>
        </w:r>
        <w:r>
          <w:rPr>
            <w:rFonts w:hint="eastAsia"/>
            <w:bCs/>
            <w:lang w:eastAsia="zh-CN"/>
          </w:rPr>
          <w:t>A</w:t>
        </w:r>
        <w:r>
          <w:rPr>
            <w:bCs/>
            <w:lang w:eastAsia="zh-CN"/>
          </w:rPr>
          <w:t>1.6</w:t>
        </w:r>
        <w:r>
          <w:rPr>
            <w:rFonts w:hint="eastAsia"/>
            <w:bCs/>
            <w:lang w:eastAsia="zh-CN"/>
          </w:rPr>
          <w:t>段中规定的</w:t>
        </w:r>
      </w:ins>
      <w:r w:rsidRPr="00C13391">
        <w:rPr>
          <w:bCs/>
          <w:lang w:eastAsia="zh-CN"/>
        </w:rPr>
        <w:t>CPM</w:t>
      </w:r>
      <w:r w:rsidRPr="00C13391">
        <w:rPr>
          <w:rFonts w:hint="eastAsia"/>
          <w:bCs/>
          <w:lang w:eastAsia="zh-CN"/>
        </w:rPr>
        <w:t>管理</w:t>
      </w:r>
      <w:r>
        <w:rPr>
          <w:rFonts w:hint="eastAsia"/>
          <w:bCs/>
          <w:lang w:eastAsia="zh-CN"/>
        </w:rPr>
        <w:t>团队</w:t>
      </w:r>
      <w:r w:rsidRPr="00C13391">
        <w:rPr>
          <w:rFonts w:hint="eastAsia"/>
          <w:bCs/>
          <w:lang w:eastAsia="zh-CN"/>
        </w:rPr>
        <w:t>会议</w:t>
      </w:r>
      <w:ins w:id="22" w:author="LING-C/TYS" w:date="2025-03-04T11:04:00Z">
        <w:r>
          <w:rPr>
            <w:rFonts w:hint="eastAsia"/>
            <w:bCs/>
            <w:lang w:eastAsia="zh-CN"/>
          </w:rPr>
          <w:t>进行</w:t>
        </w:r>
      </w:ins>
      <w:r>
        <w:rPr>
          <w:rFonts w:hint="eastAsia"/>
          <w:bCs/>
          <w:lang w:eastAsia="zh-CN"/>
        </w:rPr>
        <w:t>审议</w:t>
      </w:r>
      <w:del w:id="23" w:author="LING-C/TYS" w:date="2025-03-04T11:04:00Z">
        <w:r w:rsidDel="009E09E1">
          <w:rPr>
            <w:rFonts w:hint="eastAsia"/>
            <w:bCs/>
            <w:lang w:eastAsia="zh-CN"/>
          </w:rPr>
          <w:delText>（见第</w:delText>
        </w:r>
        <w:r w:rsidDel="009E09E1">
          <w:rPr>
            <w:rFonts w:hint="eastAsia"/>
            <w:bCs/>
            <w:lang w:eastAsia="zh-CN"/>
          </w:rPr>
          <w:delText>A</w:delText>
        </w:r>
        <w:r w:rsidDel="009E09E1">
          <w:rPr>
            <w:bCs/>
            <w:lang w:eastAsia="zh-CN"/>
          </w:rPr>
          <w:delText>1.6</w:delText>
        </w:r>
        <w:r w:rsidDel="009E09E1">
          <w:rPr>
            <w:rFonts w:hint="eastAsia"/>
            <w:bCs/>
            <w:lang w:eastAsia="zh-CN"/>
          </w:rPr>
          <w:delText>段）</w:delText>
        </w:r>
      </w:del>
      <w:r w:rsidRPr="00C13391">
        <w:rPr>
          <w:rFonts w:hint="eastAsia"/>
          <w:bCs/>
          <w:lang w:eastAsia="zh-CN"/>
        </w:rPr>
        <w:t>。</w:t>
      </w:r>
    </w:p>
    <w:p w14:paraId="36F9A7AC" w14:textId="77777777" w:rsidR="00762FFF" w:rsidRPr="00C13391" w:rsidRDefault="00762FFF" w:rsidP="00762FFF">
      <w:pPr>
        <w:rPr>
          <w:bCs/>
          <w:lang w:eastAsia="zh-CN"/>
        </w:rPr>
      </w:pPr>
      <w:r w:rsidRPr="00EC09FC">
        <w:rPr>
          <w:lang w:eastAsia="zh-CN"/>
        </w:rPr>
        <w:t>A1.2.6</w:t>
      </w:r>
      <w:r w:rsidRPr="00EC09FC">
        <w:rPr>
          <w:lang w:eastAsia="zh-CN"/>
        </w:rPr>
        <w:tab/>
      </w:r>
      <w:r w:rsidRPr="007A7C40">
        <w:rPr>
          <w:rFonts w:hint="eastAsia"/>
          <w:lang w:eastAsia="zh-CN"/>
        </w:rPr>
        <w:t>负责组依据</w:t>
      </w:r>
      <w:r w:rsidRPr="007A7C40">
        <w:rPr>
          <w:lang w:eastAsia="zh-CN"/>
        </w:rPr>
        <w:t>WRC</w:t>
      </w:r>
      <w:r w:rsidRPr="007A7C40">
        <w:rPr>
          <w:rFonts w:hint="eastAsia"/>
          <w:lang w:eastAsia="zh-CN"/>
        </w:rPr>
        <w:t>第</w:t>
      </w:r>
      <w:r w:rsidRPr="007A7C40">
        <w:rPr>
          <w:rFonts w:hint="eastAsia"/>
          <w:b/>
          <w:bCs/>
          <w:lang w:eastAsia="zh-CN"/>
        </w:rPr>
        <w:t>86</w:t>
      </w:r>
      <w:r w:rsidRPr="007A7C40">
        <w:rPr>
          <w:rFonts w:hint="eastAsia"/>
          <w:lang w:eastAsia="zh-CN"/>
        </w:rPr>
        <w:t>号决议</w:t>
      </w:r>
      <w:r w:rsidRPr="00847225">
        <w:rPr>
          <w:rFonts w:hint="eastAsia"/>
          <w:b/>
          <w:bCs/>
          <w:lang w:eastAsia="zh-CN"/>
        </w:rPr>
        <w:t>（</w:t>
      </w:r>
      <w:r w:rsidRPr="00847225">
        <w:rPr>
          <w:rFonts w:hint="eastAsia"/>
          <w:b/>
          <w:bCs/>
          <w:lang w:eastAsia="zh-CN"/>
        </w:rPr>
        <w:t>W</w:t>
      </w:r>
      <w:r w:rsidRPr="00847225">
        <w:rPr>
          <w:b/>
          <w:bCs/>
          <w:lang w:eastAsia="zh-CN"/>
        </w:rPr>
        <w:t>RC-07</w:t>
      </w:r>
      <w:r w:rsidRPr="00847225">
        <w:rPr>
          <w:b/>
          <w:bCs/>
          <w:lang w:eastAsia="zh-CN"/>
        </w:rPr>
        <w:t>，</w:t>
      </w:r>
      <w:r w:rsidRPr="00847225">
        <w:rPr>
          <w:rFonts w:hint="eastAsia"/>
          <w:b/>
          <w:bCs/>
          <w:lang w:eastAsia="zh-CN"/>
        </w:rPr>
        <w:t>修订版）</w:t>
      </w:r>
      <w:r w:rsidRPr="007A7C40">
        <w:rPr>
          <w:rFonts w:hint="eastAsia"/>
          <w:lang w:eastAsia="zh-CN"/>
        </w:rPr>
        <w:t>在常设议</w:t>
      </w:r>
      <w:r>
        <w:rPr>
          <w:rFonts w:hint="eastAsia"/>
          <w:lang w:eastAsia="zh-CN"/>
        </w:rPr>
        <w:t>项</w:t>
      </w:r>
      <w:r w:rsidRPr="007A7C40">
        <w:rPr>
          <w:rFonts w:hint="eastAsia"/>
          <w:lang w:eastAsia="zh-CN"/>
        </w:rPr>
        <w:t>下</w:t>
      </w:r>
      <w:r>
        <w:rPr>
          <w:rFonts w:hint="eastAsia"/>
          <w:lang w:eastAsia="zh-CN"/>
        </w:rPr>
        <w:t>设立新</w:t>
      </w:r>
      <w:r w:rsidRPr="007A7C40">
        <w:rPr>
          <w:rFonts w:hint="eastAsia"/>
          <w:lang w:eastAsia="zh-CN"/>
        </w:rPr>
        <w:t>的研究议题（现行议项</w:t>
      </w:r>
      <w:r w:rsidRPr="007A7C40">
        <w:rPr>
          <w:rFonts w:hint="eastAsia"/>
          <w:lang w:eastAsia="zh-CN"/>
        </w:rPr>
        <w:t>7</w:t>
      </w:r>
      <w:r w:rsidRPr="007A7C40">
        <w:rPr>
          <w:rFonts w:hint="eastAsia"/>
          <w:lang w:eastAsia="zh-CN"/>
        </w:rPr>
        <w:t>），</w:t>
      </w:r>
      <w:r>
        <w:rPr>
          <w:rFonts w:hint="eastAsia"/>
          <w:lang w:eastAsia="zh-CN"/>
        </w:rPr>
        <w:t>该行为不得</w:t>
      </w:r>
      <w:r w:rsidRPr="007A7C40">
        <w:rPr>
          <w:rFonts w:hint="eastAsia"/>
          <w:lang w:eastAsia="zh-CN"/>
        </w:rPr>
        <w:t>晚于</w:t>
      </w:r>
      <w:r w:rsidRPr="007A7C40">
        <w:rPr>
          <w:lang w:eastAsia="zh-CN"/>
        </w:rPr>
        <w:t>CPM</w:t>
      </w:r>
      <w:r w:rsidRPr="007A7C40">
        <w:rPr>
          <w:rFonts w:hint="eastAsia"/>
          <w:lang w:eastAsia="zh-CN"/>
        </w:rPr>
        <w:t>第二次会议之前各自的倒数第二次会议，以便国际电联成员有充足的时间来准备第二次会议的文稿。</w:t>
      </w:r>
      <w:r>
        <w:rPr>
          <w:bCs/>
          <w:lang w:eastAsia="zh-CN"/>
        </w:rPr>
        <w:t>新议题的数量</w:t>
      </w:r>
      <w:r>
        <w:rPr>
          <w:rFonts w:hint="eastAsia"/>
          <w:bCs/>
          <w:lang w:val="en-US" w:eastAsia="zh-CN"/>
        </w:rPr>
        <w:t>须</w:t>
      </w:r>
      <w:r>
        <w:rPr>
          <w:bCs/>
          <w:lang w:eastAsia="zh-CN"/>
        </w:rPr>
        <w:t>有限。</w:t>
      </w:r>
    </w:p>
    <w:p w14:paraId="22A254B1" w14:textId="77777777" w:rsidR="00762FFF" w:rsidRDefault="00762FFF" w:rsidP="00762FFF">
      <w:pPr>
        <w:rPr>
          <w:bCs/>
          <w:lang w:eastAsia="zh-CN"/>
        </w:rPr>
      </w:pPr>
      <w:r w:rsidRPr="00C42341">
        <w:rPr>
          <w:lang w:eastAsia="zh-CN"/>
        </w:rPr>
        <w:t>A1.2.7</w:t>
      </w:r>
      <w:r w:rsidRPr="00C13391">
        <w:rPr>
          <w:bCs/>
          <w:lang w:eastAsia="zh-CN"/>
        </w:rPr>
        <w:tab/>
      </w:r>
      <w:r w:rsidRPr="00C13391">
        <w:rPr>
          <w:rFonts w:hint="eastAsia"/>
          <w:bCs/>
          <w:lang w:eastAsia="zh-CN"/>
        </w:rPr>
        <w:t>为便于</w:t>
      </w:r>
      <w:r>
        <w:rPr>
          <w:rFonts w:hint="eastAsia"/>
          <w:bCs/>
          <w:lang w:eastAsia="zh-CN"/>
        </w:rPr>
        <w:t>成员</w:t>
      </w:r>
      <w:r w:rsidRPr="00C13391">
        <w:rPr>
          <w:rFonts w:hint="eastAsia"/>
          <w:bCs/>
          <w:lang w:eastAsia="zh-CN"/>
        </w:rPr>
        <w:t>理解</w:t>
      </w:r>
      <w:r w:rsidRPr="00C13391">
        <w:rPr>
          <w:bCs/>
          <w:lang w:eastAsia="zh-CN"/>
        </w:rPr>
        <w:t>CPM</w:t>
      </w:r>
      <w:r w:rsidRPr="00C13391">
        <w:rPr>
          <w:rFonts w:hint="eastAsia"/>
          <w:bCs/>
          <w:lang w:eastAsia="zh-CN"/>
        </w:rPr>
        <w:t>报告的内容，</w:t>
      </w:r>
      <w:r>
        <w:rPr>
          <w:rFonts w:hint="eastAsia"/>
          <w:bCs/>
          <w:lang w:eastAsia="zh-CN"/>
        </w:rPr>
        <w:t>须</w:t>
      </w:r>
      <w:r w:rsidRPr="00C13391">
        <w:rPr>
          <w:rFonts w:hint="eastAsia"/>
          <w:bCs/>
          <w:lang w:eastAsia="zh-CN"/>
        </w:rPr>
        <w:t>由</w:t>
      </w:r>
      <w:r>
        <w:rPr>
          <w:rFonts w:hint="eastAsia"/>
          <w:bCs/>
          <w:lang w:eastAsia="zh-CN"/>
        </w:rPr>
        <w:t>负责组</w:t>
      </w:r>
      <w:r w:rsidRPr="00C13391">
        <w:rPr>
          <w:rFonts w:hint="eastAsia"/>
          <w:bCs/>
          <w:lang w:eastAsia="zh-CN"/>
        </w:rPr>
        <w:t>起草内容提要。</w:t>
      </w:r>
    </w:p>
    <w:p w14:paraId="4897D0A9" w14:textId="77777777" w:rsidR="00762FFF" w:rsidRPr="00DF05D8" w:rsidRDefault="00762FFF" w:rsidP="00762FFF">
      <w:pPr>
        <w:rPr>
          <w:lang w:eastAsia="zh-CN"/>
        </w:rPr>
      </w:pPr>
      <w:bookmarkStart w:id="24" w:name="_Hlk22843511"/>
      <w:r w:rsidRPr="00DF05D8">
        <w:rPr>
          <w:lang w:eastAsia="zh-CN"/>
        </w:rPr>
        <w:t>A1.2.8</w:t>
      </w:r>
      <w:r w:rsidRPr="00DF05D8">
        <w:rPr>
          <w:lang w:eastAsia="zh-CN"/>
        </w:rPr>
        <w:tab/>
      </w:r>
      <w:bookmarkEnd w:id="24"/>
      <w:r w:rsidRPr="00DF05D8">
        <w:rPr>
          <w:rFonts w:hint="eastAsia"/>
          <w:lang w:eastAsia="zh-CN"/>
        </w:rPr>
        <w:t>由负责组或相关组起草的研究和输出文件</w:t>
      </w:r>
      <w:r>
        <w:rPr>
          <w:rFonts w:hint="eastAsia"/>
          <w:lang w:eastAsia="zh-CN"/>
        </w:rPr>
        <w:t>须</w:t>
      </w:r>
      <w:r w:rsidRPr="00DF05D8">
        <w:rPr>
          <w:rFonts w:hint="eastAsia"/>
          <w:lang w:eastAsia="zh-CN"/>
        </w:rPr>
        <w:t>严格遵守</w:t>
      </w:r>
      <w:r w:rsidRPr="00E16F94">
        <w:rPr>
          <w:rFonts w:hint="eastAsia"/>
          <w:lang w:eastAsia="zh-CN"/>
        </w:rPr>
        <w:t>该议项</w:t>
      </w:r>
      <w:r>
        <w:rPr>
          <w:rFonts w:hint="eastAsia"/>
          <w:lang w:eastAsia="zh-CN"/>
        </w:rPr>
        <w:t>案文、</w:t>
      </w:r>
      <w:r w:rsidRPr="00E16F94">
        <w:rPr>
          <w:rFonts w:hint="eastAsia"/>
          <w:lang w:eastAsia="zh-CN"/>
        </w:rPr>
        <w:t>有关</w:t>
      </w:r>
      <w:r>
        <w:rPr>
          <w:rFonts w:hint="eastAsia"/>
          <w:lang w:eastAsia="zh-CN"/>
        </w:rPr>
        <w:t>该</w:t>
      </w:r>
      <w:r w:rsidRPr="00E16F94">
        <w:rPr>
          <w:rFonts w:hint="eastAsia"/>
          <w:lang w:eastAsia="zh-CN"/>
        </w:rPr>
        <w:t>WRC</w:t>
      </w:r>
      <w:r>
        <w:rPr>
          <w:rFonts w:hint="eastAsia"/>
          <w:lang w:eastAsia="zh-CN"/>
        </w:rPr>
        <w:t>议项</w:t>
      </w:r>
      <w:r w:rsidRPr="00E16F94">
        <w:rPr>
          <w:rFonts w:hint="eastAsia"/>
          <w:lang w:eastAsia="zh-CN"/>
        </w:rPr>
        <w:t>的相应</w:t>
      </w:r>
      <w:r w:rsidRPr="00E16F94">
        <w:rPr>
          <w:rFonts w:hint="eastAsia"/>
          <w:lang w:eastAsia="zh-CN"/>
        </w:rPr>
        <w:t>WRC</w:t>
      </w:r>
      <w:r>
        <w:rPr>
          <w:rFonts w:hint="eastAsia"/>
          <w:lang w:eastAsia="zh-CN"/>
        </w:rPr>
        <w:t>决议以及</w:t>
      </w:r>
      <w:r w:rsidRPr="00E16F94">
        <w:rPr>
          <w:rFonts w:hint="eastAsia"/>
          <w:lang w:eastAsia="zh-CN"/>
        </w:rPr>
        <w:t>《无线电规则》中提到的要求。</w:t>
      </w:r>
    </w:p>
    <w:p w14:paraId="66C4CCBA" w14:textId="77777777" w:rsidR="00520BB7" w:rsidRPr="00C13391" w:rsidDel="009E09E1" w:rsidRDefault="00520BB7" w:rsidP="00520BB7">
      <w:pPr>
        <w:rPr>
          <w:del w:id="25" w:author="LING-C/TYS" w:date="2025-03-04T11:04:00Z"/>
          <w:bCs/>
          <w:lang w:eastAsia="zh-CN"/>
        </w:rPr>
      </w:pPr>
      <w:bookmarkStart w:id="26" w:name="_Hlk22843521"/>
      <w:del w:id="27" w:author="LING-C/TYS" w:date="2025-03-04T11:04:00Z">
        <w:r w:rsidRPr="00DF05D8" w:rsidDel="009E09E1">
          <w:rPr>
            <w:lang w:eastAsia="zh-CN"/>
          </w:rPr>
          <w:delText>A1.2.9</w:delText>
        </w:r>
        <w:r w:rsidRPr="00DF05D8" w:rsidDel="009E09E1">
          <w:rPr>
            <w:lang w:eastAsia="zh-CN"/>
          </w:rPr>
          <w:tab/>
        </w:r>
        <w:bookmarkEnd w:id="26"/>
        <w:r w:rsidRPr="000E7446" w:rsidDel="009E09E1">
          <w:rPr>
            <w:rFonts w:hint="eastAsia"/>
            <w:lang w:eastAsia="zh-CN"/>
          </w:rPr>
          <w:delText>负责组</w:delText>
        </w:r>
        <w:r w:rsidDel="009E09E1">
          <w:rPr>
            <w:rFonts w:hint="eastAsia"/>
            <w:lang w:eastAsia="zh-CN"/>
          </w:rPr>
          <w:delText>须</w:delText>
        </w:r>
        <w:r w:rsidRPr="000E7446" w:rsidDel="009E09E1">
          <w:rPr>
            <w:rFonts w:hint="eastAsia"/>
            <w:lang w:eastAsia="zh-CN"/>
          </w:rPr>
          <w:delText>根据</w:delText>
        </w:r>
        <w:r w:rsidRPr="000E7446" w:rsidDel="009E09E1">
          <w:rPr>
            <w:lang w:eastAsia="zh-CN"/>
          </w:rPr>
          <w:delText>CPM</w:delText>
        </w:r>
        <w:r w:rsidRPr="000E7446" w:rsidDel="009E09E1">
          <w:rPr>
            <w:rFonts w:hint="eastAsia"/>
            <w:lang w:eastAsia="zh-CN"/>
          </w:rPr>
          <w:delText>指导委员会（见第</w:delText>
        </w:r>
        <w:r w:rsidRPr="000E7446" w:rsidDel="009E09E1">
          <w:rPr>
            <w:rFonts w:hint="eastAsia"/>
            <w:lang w:eastAsia="zh-CN"/>
          </w:rPr>
          <w:delText>A</w:delText>
        </w:r>
        <w:r w:rsidRPr="000E7446" w:rsidDel="009E09E1">
          <w:rPr>
            <w:lang w:eastAsia="zh-CN"/>
          </w:rPr>
          <w:delText>1.5</w:delText>
        </w:r>
        <w:r w:rsidRPr="000E7446" w:rsidDel="009E09E1">
          <w:rPr>
            <w:rFonts w:hint="eastAsia"/>
            <w:lang w:eastAsia="zh-CN"/>
          </w:rPr>
          <w:delText>段）确定的时间安排，起草</w:delText>
        </w:r>
        <w:r w:rsidRPr="000E7446" w:rsidDel="009E09E1">
          <w:rPr>
            <w:rFonts w:hint="eastAsia"/>
            <w:lang w:eastAsia="zh-CN"/>
          </w:rPr>
          <w:delText>CPM</w:delText>
        </w:r>
        <w:r w:rsidDel="009E09E1">
          <w:rPr>
            <w:rFonts w:hint="eastAsia"/>
            <w:lang w:eastAsia="zh-CN"/>
          </w:rPr>
          <w:delText>案文草案</w:delText>
        </w:r>
        <w:r w:rsidRPr="000E7446" w:rsidDel="009E09E1">
          <w:rPr>
            <w:rFonts w:hint="eastAsia"/>
            <w:lang w:eastAsia="zh-CN"/>
          </w:rPr>
          <w:delText>。</w:delText>
        </w:r>
      </w:del>
    </w:p>
    <w:p w14:paraId="032CAC61" w14:textId="77777777" w:rsidR="00762FFF" w:rsidRDefault="00762FFF" w:rsidP="00762FFF">
      <w:pPr>
        <w:rPr>
          <w:lang w:eastAsia="zh-CN"/>
        </w:rPr>
      </w:pPr>
      <w:r w:rsidRPr="00C42341">
        <w:rPr>
          <w:lang w:eastAsia="zh-CN"/>
        </w:rPr>
        <w:t>A</w:t>
      </w:r>
      <w:proofErr w:type="gramStart"/>
      <w:r w:rsidRPr="00C42341">
        <w:rPr>
          <w:lang w:eastAsia="zh-CN"/>
        </w:rPr>
        <w:t>1.</w:t>
      </w:r>
      <w:r w:rsidRPr="00C13391">
        <w:rPr>
          <w:bCs/>
          <w:lang w:eastAsia="zh-CN"/>
        </w:rPr>
        <w:t>3</w:t>
      </w:r>
      <w:r w:rsidRPr="00C13391">
        <w:rPr>
          <w:bCs/>
          <w:lang w:eastAsia="zh-CN"/>
        </w:rPr>
        <w:tab/>
        <w:t>CPM</w:t>
      </w:r>
      <w:r w:rsidRPr="00C13391">
        <w:rPr>
          <w:rFonts w:hint="eastAsia"/>
          <w:bCs/>
          <w:lang w:eastAsia="zh-CN"/>
        </w:rPr>
        <w:t>的工作由一名主席</w:t>
      </w:r>
      <w:r>
        <w:rPr>
          <w:rFonts w:hint="eastAsia"/>
          <w:bCs/>
          <w:lang w:eastAsia="zh-CN"/>
        </w:rPr>
        <w:t>领导并与多位</w:t>
      </w:r>
      <w:r w:rsidRPr="00C13391">
        <w:rPr>
          <w:rFonts w:hint="eastAsia"/>
          <w:bCs/>
          <w:lang w:eastAsia="zh-CN"/>
        </w:rPr>
        <w:t>副主席</w:t>
      </w:r>
      <w:r>
        <w:rPr>
          <w:rFonts w:hint="eastAsia"/>
          <w:bCs/>
          <w:lang w:eastAsia="zh-CN"/>
        </w:rPr>
        <w:t>协商和协调</w:t>
      </w:r>
      <w:r w:rsidRPr="00C13391">
        <w:rPr>
          <w:rFonts w:hint="eastAsia"/>
          <w:bCs/>
          <w:lang w:eastAsia="zh-CN"/>
        </w:rPr>
        <w:t>。</w:t>
      </w:r>
      <w:r w:rsidRPr="009905A6">
        <w:rPr>
          <w:lang w:eastAsia="zh-CN"/>
        </w:rPr>
        <w:t>CPM</w:t>
      </w:r>
      <w:r w:rsidRPr="009905A6">
        <w:rPr>
          <w:rFonts w:hint="eastAsia"/>
          <w:lang w:eastAsia="zh-CN"/>
        </w:rPr>
        <w:t>主席和副主席</w:t>
      </w:r>
      <w:r>
        <w:rPr>
          <w:rFonts w:hint="eastAsia"/>
          <w:lang w:eastAsia="zh-CN"/>
        </w:rPr>
        <w:t>由</w:t>
      </w:r>
      <w:r>
        <w:rPr>
          <w:rFonts w:hint="eastAsia"/>
          <w:lang w:eastAsia="zh-CN"/>
        </w:rPr>
        <w:t>R</w:t>
      </w:r>
      <w:r>
        <w:rPr>
          <w:lang w:eastAsia="zh-CN"/>
        </w:rPr>
        <w:t>A</w:t>
      </w:r>
      <w:r>
        <w:rPr>
          <w:rFonts w:hint="eastAsia"/>
          <w:lang w:eastAsia="zh-CN"/>
        </w:rPr>
        <w:t>任命且</w:t>
      </w:r>
      <w:r w:rsidRPr="009905A6">
        <w:rPr>
          <w:rFonts w:hint="eastAsia"/>
          <w:lang w:eastAsia="zh-CN"/>
        </w:rPr>
        <w:t>仅</w:t>
      </w:r>
      <w:r>
        <w:rPr>
          <w:rFonts w:hint="eastAsia"/>
          <w:lang w:eastAsia="zh-CN"/>
        </w:rPr>
        <w:t>有资格在各自职位上任职</w:t>
      </w:r>
      <w:r w:rsidRPr="009905A6">
        <w:rPr>
          <w:rFonts w:hint="eastAsia"/>
          <w:lang w:eastAsia="zh-CN"/>
        </w:rPr>
        <w:t>一期</w:t>
      </w:r>
      <w:proofErr w:type="gramEnd"/>
      <w:r>
        <w:rPr>
          <w:rFonts w:hint="eastAsia"/>
          <w:lang w:eastAsia="zh-CN"/>
        </w:rPr>
        <w:t>。</w:t>
      </w:r>
    </w:p>
    <w:p w14:paraId="63DDB591" w14:textId="77777777" w:rsidR="00762FFF" w:rsidRDefault="00762FFF" w:rsidP="00762FFF">
      <w:pPr>
        <w:overflowPunct/>
        <w:autoSpaceDE/>
        <w:autoSpaceDN/>
        <w:adjustRightInd/>
        <w:spacing w:before="0"/>
        <w:textAlignment w:val="auto"/>
        <w:rPr>
          <w:lang w:eastAsia="zh-CN"/>
        </w:rPr>
      </w:pPr>
      <w:r>
        <w:rPr>
          <w:lang w:eastAsia="zh-CN"/>
        </w:rPr>
        <w:br w:type="page"/>
      </w:r>
    </w:p>
    <w:p w14:paraId="4B8B5B96" w14:textId="77777777" w:rsidR="00762FFF" w:rsidRDefault="00762FFF" w:rsidP="00762FFF">
      <w:pPr>
        <w:jc w:val="both"/>
        <w:rPr>
          <w:lang w:eastAsia="zh-CN"/>
        </w:rPr>
      </w:pPr>
      <w:r w:rsidRPr="00EC09FC">
        <w:rPr>
          <w:lang w:eastAsia="zh-CN"/>
        </w:rPr>
        <w:lastRenderedPageBreak/>
        <w:t>A1.</w:t>
      </w:r>
      <w:r w:rsidRPr="00EC034D">
        <w:rPr>
          <w:bCs/>
          <w:lang w:eastAsia="zh-CN"/>
        </w:rPr>
        <w:t>4</w:t>
      </w:r>
      <w:r>
        <w:rPr>
          <w:lang w:eastAsia="zh-CN"/>
        </w:rPr>
        <w:tab/>
      </w:r>
      <w:r w:rsidRPr="007F5DD1">
        <w:rPr>
          <w:lang w:eastAsia="zh-CN"/>
        </w:rPr>
        <w:t>CPM</w:t>
      </w:r>
      <w:r>
        <w:rPr>
          <w:rFonts w:hint="eastAsia"/>
          <w:lang w:eastAsia="zh-CN"/>
        </w:rPr>
        <w:t>第一次会议指定章节的报告人，以协助指导有关文本的起草工作，这将为</w:t>
      </w:r>
      <w:r w:rsidRPr="007F5DD1">
        <w:rPr>
          <w:lang w:eastAsia="zh-CN"/>
        </w:rPr>
        <w:t>CPM</w:t>
      </w:r>
      <w:r>
        <w:rPr>
          <w:rFonts w:hint="eastAsia"/>
          <w:lang w:eastAsia="zh-CN"/>
        </w:rPr>
        <w:t>报告奠定基础，并且帮助将负责组提交的案文合并成一份连贯的</w:t>
      </w:r>
      <w:r w:rsidRPr="007F5DD1">
        <w:rPr>
          <w:lang w:eastAsia="zh-CN"/>
        </w:rPr>
        <w:t>CPM</w:t>
      </w:r>
      <w:r>
        <w:rPr>
          <w:rFonts w:hint="eastAsia"/>
          <w:lang w:eastAsia="zh-CN"/>
        </w:rPr>
        <w:t>报告草案。如果一名章节报告人无法履行其职责，则</w:t>
      </w:r>
      <w:r w:rsidRPr="007F5DD1">
        <w:rPr>
          <w:lang w:eastAsia="zh-CN"/>
        </w:rPr>
        <w:t>CPM</w:t>
      </w:r>
      <w:r>
        <w:rPr>
          <w:rFonts w:hint="eastAsia"/>
          <w:lang w:eastAsia="zh-CN"/>
        </w:rPr>
        <w:t>指导委员会（见以下第</w:t>
      </w:r>
      <w:r>
        <w:rPr>
          <w:rFonts w:hint="eastAsia"/>
          <w:lang w:eastAsia="zh-CN"/>
        </w:rPr>
        <w:t>A</w:t>
      </w:r>
      <w:r>
        <w:rPr>
          <w:lang w:eastAsia="zh-CN"/>
        </w:rPr>
        <w:t>1.5</w:t>
      </w:r>
      <w:r>
        <w:rPr>
          <w:rFonts w:hint="eastAsia"/>
          <w:lang w:eastAsia="zh-CN"/>
        </w:rPr>
        <w:t>段）应与</w:t>
      </w:r>
      <w:r>
        <w:rPr>
          <w:rFonts w:hint="eastAsia"/>
          <w:lang w:eastAsia="zh-CN"/>
        </w:rPr>
        <w:t>BR</w:t>
      </w:r>
      <w:r>
        <w:rPr>
          <w:rFonts w:hint="eastAsia"/>
          <w:lang w:eastAsia="zh-CN"/>
        </w:rPr>
        <w:t>主任商议后，任命一个新的人选。</w:t>
      </w:r>
    </w:p>
    <w:p w14:paraId="3C456727" w14:textId="77777777" w:rsidR="00762FFF" w:rsidRPr="00B07424" w:rsidRDefault="00762FFF" w:rsidP="00762FFF">
      <w:pPr>
        <w:jc w:val="both"/>
        <w:rPr>
          <w:b/>
          <w:szCs w:val="24"/>
          <w:lang w:eastAsia="zh-CN"/>
        </w:rPr>
      </w:pPr>
      <w:r w:rsidRPr="00C42341">
        <w:rPr>
          <w:lang w:eastAsia="zh-CN"/>
        </w:rPr>
        <w:t>A1.</w:t>
      </w:r>
      <w:r w:rsidRPr="00EC034D">
        <w:rPr>
          <w:bCs/>
          <w:szCs w:val="24"/>
          <w:lang w:eastAsia="zh-CN"/>
        </w:rPr>
        <w:t>5</w:t>
      </w:r>
      <w:r w:rsidRPr="004177AE">
        <w:rPr>
          <w:b/>
          <w:szCs w:val="24"/>
          <w:lang w:eastAsia="zh-CN"/>
        </w:rPr>
        <w:tab/>
      </w:r>
      <w:r w:rsidRPr="00B07424">
        <w:rPr>
          <w:iCs/>
          <w:szCs w:val="24"/>
          <w:lang w:eastAsia="zh-CN"/>
        </w:rPr>
        <w:t>CPM</w:t>
      </w:r>
      <w:r>
        <w:rPr>
          <w:rFonts w:hint="eastAsia"/>
          <w:iCs/>
          <w:szCs w:val="24"/>
          <w:lang w:eastAsia="zh-CN"/>
        </w:rPr>
        <w:t>主席、副主席以及章节报告人构成</w:t>
      </w:r>
      <w:r>
        <w:rPr>
          <w:iCs/>
          <w:szCs w:val="24"/>
          <w:lang w:eastAsia="zh-CN"/>
        </w:rPr>
        <w:t>CPM</w:t>
      </w:r>
      <w:r>
        <w:rPr>
          <w:rFonts w:hint="eastAsia"/>
          <w:iCs/>
          <w:szCs w:val="24"/>
          <w:lang w:eastAsia="zh-CN"/>
        </w:rPr>
        <w:t>指导委员会。</w:t>
      </w:r>
    </w:p>
    <w:p w14:paraId="4D931EF4" w14:textId="77777777" w:rsidR="00762FFF" w:rsidRDefault="00762FFF" w:rsidP="00762FFF">
      <w:pPr>
        <w:jc w:val="both"/>
        <w:rPr>
          <w:lang w:eastAsia="zh-CN"/>
        </w:rPr>
      </w:pPr>
      <w:r w:rsidRPr="00C42341">
        <w:rPr>
          <w:lang w:eastAsia="zh-CN"/>
        </w:rPr>
        <w:t>A1.</w:t>
      </w:r>
      <w:r w:rsidRPr="00EC034D">
        <w:rPr>
          <w:bCs/>
          <w:lang w:eastAsia="zh-CN"/>
        </w:rPr>
        <w:t>6</w:t>
      </w:r>
      <w:r>
        <w:rPr>
          <w:lang w:eastAsia="zh-CN"/>
        </w:rPr>
        <w:tab/>
      </w:r>
      <w:r>
        <w:rPr>
          <w:rFonts w:hint="eastAsia"/>
          <w:lang w:eastAsia="zh-CN"/>
        </w:rPr>
        <w:t>主席应召集一次由</w:t>
      </w:r>
      <w:r>
        <w:rPr>
          <w:lang w:eastAsia="zh-CN"/>
        </w:rPr>
        <w:t>CPM</w:t>
      </w:r>
      <w:r>
        <w:rPr>
          <w:rFonts w:hint="eastAsia"/>
          <w:lang w:eastAsia="zh-CN"/>
        </w:rPr>
        <w:t>指导委员会、负责组主席以及</w:t>
      </w:r>
      <w:r>
        <w:rPr>
          <w:rFonts w:hint="eastAsia"/>
          <w:lang w:eastAsia="zh-CN"/>
        </w:rPr>
        <w:t>S</w:t>
      </w:r>
      <w:r>
        <w:rPr>
          <w:lang w:eastAsia="zh-CN"/>
        </w:rPr>
        <w:t>G</w:t>
      </w:r>
      <w:r>
        <w:rPr>
          <w:rFonts w:hint="eastAsia"/>
          <w:lang w:eastAsia="zh-CN"/>
        </w:rPr>
        <w:t>主席参加的会议。该会议（被称为</w:t>
      </w:r>
      <w:r>
        <w:rPr>
          <w:lang w:eastAsia="zh-CN"/>
        </w:rPr>
        <w:t>CPM</w:t>
      </w:r>
      <w:r>
        <w:rPr>
          <w:rFonts w:hint="eastAsia"/>
          <w:lang w:eastAsia="zh-CN"/>
        </w:rPr>
        <w:t>管理班子会议）须各负责组的输出文件合并成</w:t>
      </w:r>
      <w:r>
        <w:rPr>
          <w:lang w:eastAsia="zh-CN"/>
        </w:rPr>
        <w:t>CPM</w:t>
      </w:r>
      <w:r>
        <w:rPr>
          <w:rFonts w:hint="eastAsia"/>
          <w:lang w:eastAsia="zh-CN"/>
        </w:rPr>
        <w:t>报告草案，作为向</w:t>
      </w:r>
      <w:r>
        <w:rPr>
          <w:lang w:eastAsia="zh-CN"/>
        </w:rPr>
        <w:t>CPM</w:t>
      </w:r>
      <w:r>
        <w:rPr>
          <w:rFonts w:hint="eastAsia"/>
          <w:lang w:eastAsia="zh-CN"/>
        </w:rPr>
        <w:t>第二次会议提交的输入文件。</w:t>
      </w:r>
    </w:p>
    <w:p w14:paraId="5EB189CF" w14:textId="1EA2F34B" w:rsidR="00520BB7" w:rsidRDefault="00520BB7" w:rsidP="00520BB7">
      <w:pPr>
        <w:jc w:val="both"/>
        <w:rPr>
          <w:ins w:id="28" w:author="LING-C(JL)" w:date="2025-03-04T15:16:00Z" w16du:dateUtc="2025-03-04T14:16:00Z"/>
          <w:lang w:eastAsia="zh-CN"/>
        </w:rPr>
      </w:pPr>
      <w:bookmarkStart w:id="29" w:name="_Hlk23166588"/>
      <w:ins w:id="30" w:author="LING-C/TYS" w:date="2025-03-04T11:05:00Z">
        <w:r w:rsidRPr="00A120A2">
          <w:rPr>
            <w:lang w:eastAsia="zh-CN"/>
          </w:rPr>
          <w:t>A</w:t>
        </w:r>
        <w:proofErr w:type="gramStart"/>
        <w:r w:rsidRPr="00A120A2">
          <w:rPr>
            <w:lang w:eastAsia="zh-CN"/>
          </w:rPr>
          <w:t>1.7</w:t>
        </w:r>
        <w:r w:rsidRPr="00A120A2">
          <w:rPr>
            <w:lang w:eastAsia="zh-CN"/>
          </w:rPr>
          <w:tab/>
        </w:r>
        <w:r w:rsidRPr="009E09E1">
          <w:rPr>
            <w:rFonts w:hint="eastAsia"/>
            <w:lang w:eastAsia="zh-CN"/>
          </w:rPr>
          <w:t>CPM</w:t>
        </w:r>
        <w:r w:rsidRPr="009E09E1">
          <w:rPr>
            <w:rFonts w:hint="eastAsia"/>
            <w:lang w:eastAsia="zh-CN"/>
          </w:rPr>
          <w:t>指导委员会每年将就负责组起草的</w:t>
        </w:r>
        <w:r w:rsidRPr="009E09E1">
          <w:rPr>
            <w:rFonts w:hint="eastAsia"/>
            <w:lang w:eastAsia="zh-CN"/>
          </w:rPr>
          <w:t>CPM</w:t>
        </w:r>
        <w:r w:rsidRPr="009E09E1">
          <w:rPr>
            <w:rFonts w:hint="eastAsia"/>
            <w:lang w:eastAsia="zh-CN"/>
          </w:rPr>
          <w:t>案文草案</w:t>
        </w:r>
      </w:ins>
      <w:ins w:id="31" w:author="LING-C/TYS" w:date="2025-03-04T11:06:00Z">
        <w:r>
          <w:rPr>
            <w:rFonts w:hint="eastAsia"/>
            <w:lang w:eastAsia="zh-CN"/>
          </w:rPr>
          <w:t>起草</w:t>
        </w:r>
      </w:ins>
      <w:ins w:id="32" w:author="LING-C/TYS" w:date="2025-03-04T11:05:00Z">
        <w:r w:rsidRPr="009E09E1">
          <w:rPr>
            <w:rFonts w:hint="eastAsia"/>
            <w:lang w:eastAsia="zh-CN"/>
          </w:rPr>
          <w:t>最多两份进展报告。每位</w:t>
        </w:r>
        <w:r w:rsidRPr="009E09E1">
          <w:rPr>
            <w:rFonts w:hint="eastAsia"/>
            <w:lang w:eastAsia="zh-CN"/>
          </w:rPr>
          <w:t>CPM</w:t>
        </w:r>
        <w:r w:rsidRPr="009E09E1">
          <w:rPr>
            <w:rFonts w:hint="eastAsia"/>
            <w:lang w:eastAsia="zh-CN"/>
          </w:rPr>
          <w:t>章节报告人将负责监督各自小组的进展并提供总结报告</w:t>
        </w:r>
        <w:proofErr w:type="gramEnd"/>
        <w:r w:rsidRPr="009E09E1">
          <w:rPr>
            <w:rFonts w:hint="eastAsia"/>
            <w:lang w:eastAsia="zh-CN"/>
          </w:rPr>
          <w:t>，该报告将成为</w:t>
        </w:r>
        <w:r w:rsidRPr="009E09E1">
          <w:rPr>
            <w:rFonts w:hint="eastAsia"/>
            <w:lang w:eastAsia="zh-CN"/>
          </w:rPr>
          <w:t>CPM</w:t>
        </w:r>
        <w:r w:rsidRPr="009E09E1">
          <w:rPr>
            <w:rFonts w:hint="eastAsia"/>
            <w:lang w:eastAsia="zh-CN"/>
          </w:rPr>
          <w:t>指导委员会的进展报告。</w:t>
        </w:r>
        <w:r w:rsidRPr="009E09E1">
          <w:rPr>
            <w:rFonts w:hint="eastAsia"/>
            <w:lang w:eastAsia="zh-CN"/>
          </w:rPr>
          <w:t>CPM</w:t>
        </w:r>
        <w:r w:rsidRPr="009E09E1">
          <w:rPr>
            <w:rFonts w:hint="eastAsia"/>
            <w:lang w:eastAsia="zh-CN"/>
          </w:rPr>
          <w:t>指导委员会可评估总体进展</w:t>
        </w:r>
      </w:ins>
      <w:ins w:id="33" w:author="LING-C/TYS" w:date="2025-03-04T11:06:00Z">
        <w:r>
          <w:rPr>
            <w:rFonts w:hint="eastAsia"/>
            <w:lang w:eastAsia="zh-CN"/>
          </w:rPr>
          <w:t>情况</w:t>
        </w:r>
      </w:ins>
      <w:ins w:id="34" w:author="LING-C/TYS" w:date="2025-03-04T11:05:00Z">
        <w:r w:rsidRPr="009E09E1">
          <w:rPr>
            <w:rFonts w:hint="eastAsia"/>
            <w:lang w:eastAsia="zh-CN"/>
          </w:rPr>
          <w:t>，并向负责组提供指导，以根据需要</w:t>
        </w:r>
      </w:ins>
      <w:ins w:id="35" w:author="LING-C/TYS" w:date="2025-03-04T11:07:00Z">
        <w:r>
          <w:rPr>
            <w:rFonts w:hint="eastAsia"/>
            <w:lang w:eastAsia="zh-CN"/>
          </w:rPr>
          <w:t>推动</w:t>
        </w:r>
      </w:ins>
      <w:ins w:id="36" w:author="LING-C/TYS" w:date="2025-03-04T11:05:00Z">
        <w:r w:rsidRPr="009E09E1">
          <w:rPr>
            <w:rFonts w:hint="eastAsia"/>
            <w:lang w:eastAsia="zh-CN"/>
          </w:rPr>
          <w:t>完成</w:t>
        </w:r>
        <w:r w:rsidRPr="009E09E1">
          <w:rPr>
            <w:rFonts w:hint="eastAsia"/>
            <w:lang w:eastAsia="zh-CN"/>
          </w:rPr>
          <w:t>CPM</w:t>
        </w:r>
        <w:r w:rsidRPr="009E09E1">
          <w:rPr>
            <w:rFonts w:hint="eastAsia"/>
            <w:lang w:eastAsia="zh-CN"/>
          </w:rPr>
          <w:t>案文草案</w:t>
        </w:r>
        <w:r>
          <w:rPr>
            <w:rFonts w:hint="eastAsia"/>
            <w:lang w:eastAsia="zh-CN"/>
          </w:rPr>
          <w:t>。</w:t>
        </w:r>
      </w:ins>
    </w:p>
    <w:p w14:paraId="5C00AEFA" w14:textId="77777777" w:rsidR="00520BB7" w:rsidRDefault="00520BB7" w:rsidP="00520BB7">
      <w:pPr>
        <w:rPr>
          <w:ins w:id="37" w:author="LING-C/TYS" w:date="2025-03-04T11:07:00Z"/>
          <w:lang w:eastAsia="zh-CN"/>
        </w:rPr>
      </w:pPr>
      <w:ins w:id="38" w:author="LING-C/TYS" w:date="2025-03-04T11:07:00Z">
        <w:r w:rsidRPr="00A120A2">
          <w:rPr>
            <w:lang w:eastAsia="zh-CN"/>
          </w:rPr>
          <w:t>A1.8</w:t>
        </w:r>
        <w:r w:rsidRPr="00A120A2">
          <w:rPr>
            <w:lang w:eastAsia="zh-CN"/>
          </w:rPr>
          <w:tab/>
        </w:r>
      </w:ins>
      <w:ins w:id="39" w:author="LING-C/TYS" w:date="2025-03-04T11:08:00Z">
        <w:r w:rsidRPr="009E09E1">
          <w:rPr>
            <w:rFonts w:hint="eastAsia"/>
            <w:lang w:eastAsia="zh-CN"/>
          </w:rPr>
          <w:t>CPM</w:t>
        </w:r>
        <w:r w:rsidRPr="009E09E1">
          <w:rPr>
            <w:rFonts w:hint="eastAsia"/>
            <w:lang w:eastAsia="zh-CN"/>
          </w:rPr>
          <w:t>指导委员会可在两届</w:t>
        </w:r>
        <w:r w:rsidRPr="009E09E1">
          <w:rPr>
            <w:rFonts w:hint="eastAsia"/>
            <w:lang w:eastAsia="zh-CN"/>
          </w:rPr>
          <w:t>CPM</w:t>
        </w:r>
        <w:r w:rsidRPr="009E09E1">
          <w:rPr>
            <w:rFonts w:hint="eastAsia"/>
            <w:lang w:eastAsia="zh-CN"/>
          </w:rPr>
          <w:t>会议之间组织虚拟会议或混合会议，以协调进展并为解决与</w:t>
        </w:r>
        <w:r w:rsidRPr="009E09E1">
          <w:rPr>
            <w:rFonts w:hint="eastAsia"/>
            <w:lang w:eastAsia="zh-CN"/>
          </w:rPr>
          <w:t>CPM</w:t>
        </w:r>
        <w:r w:rsidRPr="009E09E1">
          <w:rPr>
            <w:rFonts w:hint="eastAsia"/>
            <w:lang w:eastAsia="zh-CN"/>
          </w:rPr>
          <w:t>报告草案编写相关的问题制定指南。</w:t>
        </w:r>
      </w:ins>
    </w:p>
    <w:p w14:paraId="2145A0D0" w14:textId="77777777" w:rsidR="00520BB7" w:rsidRPr="00084C82" w:rsidRDefault="00520BB7" w:rsidP="00520BB7">
      <w:pPr>
        <w:rPr>
          <w:lang w:eastAsia="zh-CN"/>
        </w:rPr>
      </w:pPr>
      <w:r w:rsidRPr="00C42341">
        <w:rPr>
          <w:lang w:eastAsia="zh-CN"/>
        </w:rPr>
        <w:t>A1.</w:t>
      </w:r>
      <w:del w:id="40" w:author="LING-C/TYS" w:date="2025-03-04T11:15:00Z">
        <w:r w:rsidRPr="00084C82" w:rsidDel="00E06978">
          <w:rPr>
            <w:lang w:eastAsia="zh-CN"/>
          </w:rPr>
          <w:delText>7</w:delText>
        </w:r>
      </w:del>
      <w:ins w:id="41" w:author="LING-C/TYS" w:date="2025-03-04T11:15:00Z">
        <w:r>
          <w:rPr>
            <w:lang w:eastAsia="zh-CN"/>
          </w:rPr>
          <w:t>9</w:t>
        </w:r>
      </w:ins>
      <w:r w:rsidRPr="00084C82">
        <w:rPr>
          <w:lang w:eastAsia="zh-CN"/>
        </w:rPr>
        <w:tab/>
      </w:r>
      <w:r>
        <w:rPr>
          <w:rFonts w:hint="eastAsia"/>
          <w:lang w:eastAsia="zh-CN"/>
        </w:rPr>
        <w:t>合并后的</w:t>
      </w:r>
      <w:r>
        <w:rPr>
          <w:lang w:eastAsia="zh-CN"/>
        </w:rPr>
        <w:t>CPM</w:t>
      </w:r>
      <w:r>
        <w:rPr>
          <w:rFonts w:hint="eastAsia"/>
          <w:lang w:eastAsia="zh-CN"/>
        </w:rPr>
        <w:t>报告草案须翻译为</w:t>
      </w:r>
      <w:r>
        <w:rPr>
          <w:rFonts w:hint="eastAsia"/>
          <w:lang w:val="en-US" w:eastAsia="zh-CN"/>
        </w:rPr>
        <w:t>六</w:t>
      </w:r>
      <w:r>
        <w:rPr>
          <w:rFonts w:hint="eastAsia"/>
          <w:lang w:val="es-ES_tradnl" w:eastAsia="zh-CN"/>
        </w:rPr>
        <w:t>种</w:t>
      </w:r>
      <w:r>
        <w:rPr>
          <w:rFonts w:hint="eastAsia"/>
          <w:lang w:eastAsia="zh-CN"/>
        </w:rPr>
        <w:t>国际电联的正式语文，并须至少在</w:t>
      </w:r>
      <w:r>
        <w:rPr>
          <w:lang w:eastAsia="zh-CN"/>
        </w:rPr>
        <w:t>CPM</w:t>
      </w:r>
      <w:r>
        <w:rPr>
          <w:rFonts w:hint="eastAsia"/>
          <w:lang w:eastAsia="zh-CN"/>
        </w:rPr>
        <w:t>第二次会议召开前两个月前形成电子版以供获取。</w:t>
      </w:r>
    </w:p>
    <w:p w14:paraId="073705EF" w14:textId="77777777" w:rsidR="00520BB7" w:rsidRDefault="00520BB7" w:rsidP="00520BB7">
      <w:pPr>
        <w:jc w:val="both"/>
        <w:rPr>
          <w:lang w:eastAsia="zh-CN"/>
        </w:rPr>
      </w:pPr>
      <w:r w:rsidRPr="00C42341">
        <w:rPr>
          <w:lang w:eastAsia="zh-CN"/>
        </w:rPr>
        <w:t>A1.</w:t>
      </w:r>
      <w:del w:id="42" w:author="LING-C/TYS" w:date="2025-03-04T11:15:00Z">
        <w:r w:rsidRPr="00EC034D" w:rsidDel="00E06978">
          <w:rPr>
            <w:bCs/>
            <w:lang w:eastAsia="zh-CN"/>
          </w:rPr>
          <w:delText>8</w:delText>
        </w:r>
      </w:del>
      <w:ins w:id="43" w:author="LING-C/TYS" w:date="2025-03-04T11:15:00Z">
        <w:r>
          <w:rPr>
            <w:bCs/>
            <w:lang w:eastAsia="zh-CN"/>
          </w:rPr>
          <w:t>10</w:t>
        </w:r>
      </w:ins>
      <w:r>
        <w:rPr>
          <w:lang w:eastAsia="zh-CN"/>
        </w:rPr>
        <w:tab/>
      </w:r>
      <w:r>
        <w:rPr>
          <w:rFonts w:hint="eastAsia"/>
          <w:lang w:eastAsia="zh-CN"/>
        </w:rPr>
        <w:t>应尽一切努力保证</w:t>
      </w:r>
      <w:r>
        <w:rPr>
          <w:lang w:eastAsia="zh-CN"/>
        </w:rPr>
        <w:t>CPM</w:t>
      </w:r>
      <w:r>
        <w:rPr>
          <w:rFonts w:hint="eastAsia"/>
          <w:lang w:eastAsia="zh-CN"/>
        </w:rPr>
        <w:t>报告的篇幅最短。为此，在起草</w:t>
      </w:r>
      <w:r>
        <w:rPr>
          <w:lang w:eastAsia="zh-CN"/>
        </w:rPr>
        <w:t>CPM</w:t>
      </w:r>
      <w:r>
        <w:rPr>
          <w:rFonts w:hint="eastAsia"/>
          <w:lang w:eastAsia="zh-CN"/>
        </w:rPr>
        <w:t>文本草案时，各负责组应最大限度地对已批准的</w:t>
      </w:r>
      <w:r>
        <w:rPr>
          <w:lang w:eastAsia="zh-CN"/>
        </w:rPr>
        <w:t>ITU-R</w:t>
      </w:r>
      <w:r>
        <w:rPr>
          <w:rFonts w:hint="eastAsia"/>
          <w:lang w:eastAsia="zh-CN"/>
        </w:rPr>
        <w:t>建议书和报告酌情采用引注方式。</w:t>
      </w:r>
    </w:p>
    <w:p w14:paraId="64EB6868" w14:textId="77777777" w:rsidR="00520BB7" w:rsidRDefault="00520BB7" w:rsidP="00520BB7">
      <w:pPr>
        <w:jc w:val="both"/>
        <w:rPr>
          <w:lang w:eastAsia="zh-CN"/>
        </w:rPr>
      </w:pPr>
      <w:r w:rsidRPr="00C42341">
        <w:rPr>
          <w:lang w:eastAsia="zh-CN"/>
        </w:rPr>
        <w:t>A1.</w:t>
      </w:r>
      <w:del w:id="44" w:author="LING-C/TYS" w:date="2025-03-04T11:15:00Z">
        <w:r w:rsidRPr="00EC034D" w:rsidDel="00E06978">
          <w:rPr>
            <w:bCs/>
            <w:lang w:eastAsia="zh-CN"/>
          </w:rPr>
          <w:delText>9</w:delText>
        </w:r>
      </w:del>
      <w:ins w:id="45" w:author="LING-C/TYS" w:date="2025-03-04T11:15:00Z">
        <w:r>
          <w:rPr>
            <w:bCs/>
            <w:lang w:eastAsia="zh-CN"/>
          </w:rPr>
          <w:t>11</w:t>
        </w:r>
      </w:ins>
      <w:r>
        <w:rPr>
          <w:lang w:eastAsia="zh-CN"/>
        </w:rPr>
        <w:tab/>
      </w:r>
      <w:r>
        <w:rPr>
          <w:rFonts w:hint="eastAsia"/>
          <w:lang w:eastAsia="zh-CN"/>
        </w:rPr>
        <w:t>根据</w:t>
      </w:r>
      <w:r w:rsidRPr="009B6071">
        <w:rPr>
          <w:rFonts w:hint="eastAsia"/>
          <w:lang w:eastAsia="zh-CN"/>
        </w:rPr>
        <w:t>国际电联</w:t>
      </w:r>
      <w:r>
        <w:rPr>
          <w:rFonts w:hint="eastAsia"/>
          <w:lang w:eastAsia="zh-CN"/>
        </w:rPr>
        <w:t>《组织法》第</w:t>
      </w:r>
      <w:r>
        <w:rPr>
          <w:rFonts w:hint="eastAsia"/>
          <w:lang w:eastAsia="zh-CN"/>
        </w:rPr>
        <w:t>29</w:t>
      </w:r>
      <w:r>
        <w:rPr>
          <w:rFonts w:hint="eastAsia"/>
          <w:lang w:eastAsia="zh-CN"/>
        </w:rPr>
        <w:t>条，</w:t>
      </w:r>
      <w:r w:rsidRPr="00765672">
        <w:rPr>
          <w:lang w:eastAsia="zh-CN"/>
        </w:rPr>
        <w:t>CPM</w:t>
      </w:r>
      <w:r>
        <w:rPr>
          <w:rFonts w:hint="eastAsia"/>
          <w:lang w:eastAsia="zh-CN"/>
        </w:rPr>
        <w:t>的工作须采用国际电联的正式语文开展。</w:t>
      </w:r>
    </w:p>
    <w:p w14:paraId="36113BAB" w14:textId="77777777" w:rsidR="00520BB7" w:rsidRPr="00A120A2" w:rsidRDefault="00520BB7" w:rsidP="00520BB7">
      <w:pPr>
        <w:rPr>
          <w:ins w:id="46" w:author="LING-C/TYS" w:date="2025-03-04T11:15:00Z"/>
          <w:lang w:eastAsia="zh-CN"/>
        </w:rPr>
      </w:pPr>
      <w:bookmarkStart w:id="47" w:name="OLE_LINK44"/>
      <w:bookmarkStart w:id="48" w:name="OLE_LINK45"/>
      <w:ins w:id="49" w:author="LING-C/TYS" w:date="2025-03-04T11:15:00Z">
        <w:r w:rsidRPr="00A120A2">
          <w:rPr>
            <w:lang w:eastAsia="zh-CN"/>
          </w:rPr>
          <w:t>A1.12</w:t>
        </w:r>
        <w:r w:rsidRPr="00A120A2">
          <w:rPr>
            <w:lang w:eastAsia="zh-CN"/>
          </w:rPr>
          <w:tab/>
        </w:r>
      </w:ins>
      <w:ins w:id="50" w:author="LING-C/TYS" w:date="2025-03-04T11:16:00Z">
        <w:r w:rsidRPr="00E06978">
          <w:rPr>
            <w:rFonts w:hint="eastAsia"/>
            <w:lang w:eastAsia="zh-CN"/>
          </w:rPr>
          <w:t>CPM</w:t>
        </w:r>
        <w:r w:rsidRPr="00E06978">
          <w:rPr>
            <w:rFonts w:hint="eastAsia"/>
            <w:lang w:eastAsia="zh-CN"/>
          </w:rPr>
          <w:t>主席须在指导委员会的协助下，在</w:t>
        </w:r>
        <w:r w:rsidRPr="00E06978">
          <w:rPr>
            <w:rFonts w:hint="eastAsia"/>
            <w:lang w:eastAsia="zh-CN"/>
          </w:rPr>
          <w:t>CPM</w:t>
        </w:r>
        <w:r w:rsidRPr="00E06978">
          <w:rPr>
            <w:rFonts w:hint="eastAsia"/>
            <w:lang w:eastAsia="zh-CN"/>
          </w:rPr>
          <w:t>第二次会议结束之后评定结果并在必要时向无线电通信全会（</w:t>
        </w:r>
        <w:r w:rsidRPr="00E06978">
          <w:rPr>
            <w:rFonts w:hint="eastAsia"/>
            <w:lang w:eastAsia="zh-CN"/>
          </w:rPr>
          <w:t>RA</w:t>
        </w:r>
        <w:r w:rsidRPr="00E06978">
          <w:rPr>
            <w:rFonts w:hint="eastAsia"/>
            <w:lang w:eastAsia="zh-CN"/>
          </w:rPr>
          <w:t>）提出改进</w:t>
        </w:r>
        <w:r w:rsidRPr="00E06978">
          <w:rPr>
            <w:rFonts w:hint="eastAsia"/>
            <w:lang w:eastAsia="zh-CN"/>
          </w:rPr>
          <w:t>CPM</w:t>
        </w:r>
        <w:r w:rsidRPr="00E06978">
          <w:rPr>
            <w:rFonts w:hint="eastAsia"/>
            <w:lang w:eastAsia="zh-CN"/>
          </w:rPr>
          <w:t>进程的建议。</w:t>
        </w:r>
      </w:ins>
    </w:p>
    <w:bookmarkEnd w:id="47"/>
    <w:bookmarkEnd w:id="48"/>
    <w:p w14:paraId="4E2AD973" w14:textId="77777777" w:rsidR="00520BB7" w:rsidRDefault="00520BB7" w:rsidP="00520BB7">
      <w:pPr>
        <w:rPr>
          <w:lang w:eastAsia="zh-CN"/>
        </w:rPr>
      </w:pPr>
      <w:r w:rsidRPr="00C42341">
        <w:rPr>
          <w:lang w:eastAsia="zh-CN"/>
        </w:rPr>
        <w:t>A1.1</w:t>
      </w:r>
      <w:del w:id="51" w:author="LING-C/TYS" w:date="2025-03-04T11:15:00Z">
        <w:r w:rsidRPr="00C42341" w:rsidDel="00E06978">
          <w:rPr>
            <w:lang w:eastAsia="zh-CN"/>
          </w:rPr>
          <w:delText>0</w:delText>
        </w:r>
      </w:del>
      <w:ins w:id="52" w:author="LING-C/TYS" w:date="2025-03-04T11:15:00Z">
        <w:r>
          <w:rPr>
            <w:lang w:eastAsia="zh-CN"/>
          </w:rPr>
          <w:t>3</w:t>
        </w:r>
      </w:ins>
      <w:r>
        <w:rPr>
          <w:lang w:eastAsia="zh-CN"/>
        </w:rPr>
        <w:tab/>
      </w:r>
      <w:r>
        <w:rPr>
          <w:rFonts w:hint="eastAsia"/>
          <w:lang w:eastAsia="zh-CN"/>
        </w:rPr>
        <w:t>其它工作安排应根据</w:t>
      </w:r>
      <w:r>
        <w:rPr>
          <w:lang w:eastAsia="zh-CN"/>
        </w:rPr>
        <w:t>ITU-R</w:t>
      </w:r>
      <w:r>
        <w:rPr>
          <w:rFonts w:hint="eastAsia"/>
          <w:lang w:eastAsia="zh-CN"/>
        </w:rPr>
        <w:t>第</w:t>
      </w:r>
      <w:r>
        <w:rPr>
          <w:lang w:eastAsia="zh-CN"/>
        </w:rPr>
        <w:t>1</w:t>
      </w:r>
      <w:r>
        <w:rPr>
          <w:rFonts w:hint="eastAsia"/>
          <w:lang w:eastAsia="zh-CN"/>
        </w:rPr>
        <w:t>号决议的相关规定进行。</w:t>
      </w:r>
    </w:p>
    <w:p w14:paraId="5F4835E6" w14:textId="77777777" w:rsidR="00E009DE" w:rsidRDefault="00E009DE" w:rsidP="00520BB7">
      <w:pPr>
        <w:rPr>
          <w:rFonts w:hint="eastAsia"/>
          <w:lang w:eastAsia="zh-CN"/>
        </w:rPr>
      </w:pPr>
    </w:p>
    <w:p w14:paraId="252B0994" w14:textId="77777777" w:rsidR="00762FFF" w:rsidRPr="00AF5E97" w:rsidRDefault="00762FFF" w:rsidP="00762FFF">
      <w:pPr>
        <w:pStyle w:val="AnnexNo"/>
        <w:rPr>
          <w:lang w:eastAsia="zh-CN"/>
        </w:rPr>
      </w:pPr>
      <w:r w:rsidRPr="00AF5E97">
        <w:rPr>
          <w:rFonts w:hint="eastAsia"/>
          <w:lang w:eastAsia="zh-CN"/>
        </w:rPr>
        <w:t>附件</w:t>
      </w:r>
      <w:r w:rsidRPr="00AF5E97">
        <w:rPr>
          <w:lang w:eastAsia="zh-CN"/>
        </w:rPr>
        <w:t>2</w:t>
      </w:r>
    </w:p>
    <w:p w14:paraId="7F1B32C0" w14:textId="77777777" w:rsidR="00762FFF" w:rsidRPr="00B07424" w:rsidRDefault="00762FFF" w:rsidP="00762FFF">
      <w:pPr>
        <w:pStyle w:val="Annextitle"/>
        <w:rPr>
          <w:lang w:eastAsia="zh-CN"/>
        </w:rPr>
      </w:pPr>
      <w:r w:rsidRPr="00E91741">
        <w:rPr>
          <w:lang w:eastAsia="zh-CN"/>
        </w:rPr>
        <w:t>CPM</w:t>
      </w:r>
      <w:r w:rsidRPr="00E91741">
        <w:rPr>
          <w:rFonts w:hint="eastAsia"/>
          <w:lang w:eastAsia="zh-CN"/>
        </w:rPr>
        <w:t>报告编写导则</w:t>
      </w:r>
    </w:p>
    <w:p w14:paraId="5176F499" w14:textId="77777777" w:rsidR="00762FFF" w:rsidRPr="00511E93" w:rsidRDefault="00762FFF" w:rsidP="00762FFF">
      <w:pPr>
        <w:pStyle w:val="Normalaftertitle"/>
        <w:ind w:firstLineChars="200" w:firstLine="480"/>
        <w:rPr>
          <w:lang w:eastAsia="zh-CN"/>
        </w:rPr>
      </w:pPr>
      <w:r w:rsidRPr="00511E93">
        <w:rPr>
          <w:rFonts w:hint="eastAsia"/>
          <w:lang w:eastAsia="zh-CN"/>
        </w:rPr>
        <w:t>CPM</w:t>
      </w:r>
      <w:r w:rsidRPr="00511E93">
        <w:rPr>
          <w:rFonts w:hint="eastAsia"/>
          <w:lang w:eastAsia="zh-CN"/>
        </w:rPr>
        <w:t>报告包含</w:t>
      </w:r>
      <w:r w:rsidRPr="00511E93">
        <w:rPr>
          <w:rFonts w:hint="eastAsia"/>
          <w:lang w:eastAsia="zh-CN"/>
        </w:rPr>
        <w:t>ITU-R</w:t>
      </w:r>
      <w:r w:rsidRPr="00511E93">
        <w:rPr>
          <w:rFonts w:hint="eastAsia"/>
          <w:lang w:eastAsia="zh-CN"/>
        </w:rPr>
        <w:t>有关大会议项的输出成果的汇编。该报告的格式和结构由</w:t>
      </w:r>
      <w:r w:rsidRPr="00511E93">
        <w:rPr>
          <w:rFonts w:hint="eastAsia"/>
          <w:lang w:eastAsia="zh-CN"/>
        </w:rPr>
        <w:t>CPM</w:t>
      </w:r>
      <w:r w:rsidRPr="00511E93">
        <w:rPr>
          <w:rFonts w:hint="eastAsia"/>
          <w:lang w:eastAsia="zh-CN"/>
        </w:rPr>
        <w:t>第一次会议决定。在制定各议项案文时应考虑到以下指导原则。</w:t>
      </w:r>
    </w:p>
    <w:p w14:paraId="5B926D5E" w14:textId="77777777" w:rsidR="00762FFF" w:rsidRPr="00EC034D" w:rsidRDefault="00762FFF" w:rsidP="00762FFF">
      <w:pPr>
        <w:pStyle w:val="Heading1"/>
        <w:rPr>
          <w:lang w:eastAsia="zh-CN"/>
        </w:rPr>
      </w:pPr>
      <w:bookmarkStart w:id="53" w:name="_Hlk22844253"/>
      <w:bookmarkEnd w:id="29"/>
      <w:r w:rsidRPr="00C42341">
        <w:rPr>
          <w:lang w:eastAsia="zh-CN"/>
        </w:rPr>
        <w:t>A2.</w:t>
      </w:r>
      <w:bookmarkEnd w:id="53"/>
      <w:r w:rsidRPr="00246586">
        <w:rPr>
          <w:lang w:eastAsia="zh-CN"/>
        </w:rPr>
        <w:t>1</w:t>
      </w:r>
      <w:r w:rsidRPr="00246586">
        <w:rPr>
          <w:lang w:eastAsia="zh-CN"/>
        </w:rPr>
        <w:tab/>
      </w:r>
      <w:r w:rsidRPr="00246586">
        <w:rPr>
          <w:rFonts w:hint="eastAsia"/>
          <w:lang w:eastAsia="zh-CN"/>
        </w:rPr>
        <w:t>内容提要</w:t>
      </w:r>
    </w:p>
    <w:p w14:paraId="1B7A9C8C" w14:textId="77777777" w:rsidR="00762FFF" w:rsidRDefault="00762FFF" w:rsidP="00762FFF">
      <w:pPr>
        <w:rPr>
          <w:lang w:eastAsia="zh-CN"/>
        </w:rPr>
      </w:pPr>
      <w:r w:rsidRPr="00C42341">
        <w:rPr>
          <w:lang w:eastAsia="zh-CN"/>
        </w:rPr>
        <w:t>A2.</w:t>
      </w:r>
      <w:proofErr w:type="gramStart"/>
      <w:r w:rsidRPr="00C42341">
        <w:rPr>
          <w:lang w:eastAsia="zh-CN"/>
        </w:rPr>
        <w:t>1.1</w:t>
      </w:r>
      <w:r w:rsidRPr="00C42341">
        <w:rPr>
          <w:lang w:eastAsia="zh-CN"/>
        </w:rPr>
        <w:tab/>
      </w:r>
      <w:r>
        <w:rPr>
          <w:lang w:eastAsia="zh-CN"/>
        </w:rPr>
        <w:t>WRC</w:t>
      </w:r>
      <w:r>
        <w:rPr>
          <w:rFonts w:hint="eastAsia"/>
          <w:lang w:eastAsia="zh-CN"/>
        </w:rPr>
        <w:t>每一议项的内容提要必须纳入最终</w:t>
      </w:r>
      <w:r>
        <w:rPr>
          <w:lang w:eastAsia="zh-CN"/>
        </w:rPr>
        <w:t>CPM</w:t>
      </w:r>
      <w:r>
        <w:rPr>
          <w:rFonts w:hint="eastAsia"/>
          <w:lang w:eastAsia="zh-CN"/>
        </w:rPr>
        <w:t>案文中。指定的章节报告人可为拟定内容提要做出贡献</w:t>
      </w:r>
      <w:proofErr w:type="gramEnd"/>
      <w:r>
        <w:rPr>
          <w:rFonts w:hint="eastAsia"/>
          <w:lang w:eastAsia="zh-CN"/>
        </w:rPr>
        <w:t>。</w:t>
      </w:r>
    </w:p>
    <w:p w14:paraId="56B6B66B" w14:textId="77777777" w:rsidR="00520BB7" w:rsidRDefault="00762FFF" w:rsidP="00520BB7">
      <w:pPr>
        <w:rPr>
          <w:lang w:eastAsia="zh-CN"/>
        </w:rPr>
      </w:pPr>
      <w:r w:rsidRPr="00C42341">
        <w:rPr>
          <w:lang w:eastAsia="zh-CN"/>
        </w:rPr>
        <w:t>A2.1.2</w:t>
      </w:r>
      <w:r w:rsidRPr="00C42341">
        <w:rPr>
          <w:lang w:eastAsia="zh-CN"/>
        </w:rPr>
        <w:tab/>
      </w:r>
      <w:r>
        <w:rPr>
          <w:rFonts w:hint="eastAsia"/>
          <w:lang w:eastAsia="zh-CN"/>
        </w:rPr>
        <w:t>特别指出，</w:t>
      </w:r>
      <w:r>
        <w:rPr>
          <w:lang w:eastAsia="zh-CN"/>
        </w:rPr>
        <w:t>WRC</w:t>
      </w:r>
      <w:r>
        <w:rPr>
          <w:rFonts w:hint="eastAsia"/>
          <w:lang w:eastAsia="zh-CN"/>
        </w:rPr>
        <w:t>每一议项的内容提要应简短说明该议项的目的，总结已开展的研究工作的结果，且应简短阐释已明确的、可以满足该议项要求的方法。内容提要的篇幅应不超过半页纸。</w:t>
      </w:r>
    </w:p>
    <w:p w14:paraId="697B8079" w14:textId="77777777" w:rsidR="00B41A99" w:rsidRDefault="00520BB7" w:rsidP="00520BB7">
      <w:pPr>
        <w:rPr>
          <w:ins w:id="54" w:author="LING-C(JL)" w:date="2025-03-04T14:59:00Z" w16du:dateUtc="2025-03-04T13:59:00Z"/>
          <w:lang w:eastAsia="zh-CN"/>
        </w:rPr>
      </w:pPr>
      <w:ins w:id="55" w:author="LING-C/TYS" w:date="2025-03-04T11:27:00Z">
        <w:r w:rsidRPr="00A120A2">
          <w:rPr>
            <w:lang w:eastAsia="zh-CN"/>
          </w:rPr>
          <w:t>A2.1.3</w:t>
        </w:r>
        <w:r w:rsidRPr="00A120A2">
          <w:rPr>
            <w:lang w:eastAsia="zh-CN"/>
          </w:rPr>
          <w:tab/>
        </w:r>
        <w:r w:rsidRPr="00231BA5">
          <w:rPr>
            <w:rFonts w:hint="eastAsia"/>
            <w:lang w:eastAsia="zh-CN"/>
          </w:rPr>
          <w:t>CPM</w:t>
        </w:r>
        <w:r w:rsidRPr="00231BA5">
          <w:rPr>
            <w:rFonts w:hint="eastAsia"/>
            <w:lang w:eastAsia="zh-CN"/>
          </w:rPr>
          <w:t>指导委员会将制定内容提要标准模板并向负责组分发，以确保各</w:t>
        </w:r>
        <w:r w:rsidRPr="00231BA5">
          <w:rPr>
            <w:rFonts w:hint="eastAsia"/>
            <w:lang w:eastAsia="zh-CN"/>
          </w:rPr>
          <w:t>WRC</w:t>
        </w:r>
        <w:r w:rsidRPr="00231BA5">
          <w:rPr>
            <w:rFonts w:hint="eastAsia"/>
            <w:lang w:eastAsia="zh-CN"/>
          </w:rPr>
          <w:t>议项简明扼要、内容一致</w:t>
        </w:r>
      </w:ins>
      <w:ins w:id="56" w:author="LING-C/TYS" w:date="2025-03-04T11:28:00Z">
        <w:r>
          <w:rPr>
            <w:rFonts w:hint="eastAsia"/>
            <w:lang w:eastAsia="zh-CN"/>
          </w:rPr>
          <w:t>。</w:t>
        </w:r>
      </w:ins>
    </w:p>
    <w:p w14:paraId="749783A1" w14:textId="4B5ADE3F" w:rsidR="00762FFF" w:rsidRPr="00FA2034" w:rsidRDefault="00762FFF" w:rsidP="00520BB7">
      <w:pPr>
        <w:pStyle w:val="Heading1"/>
        <w:tabs>
          <w:tab w:val="clear" w:pos="1985"/>
          <w:tab w:val="center" w:pos="4819"/>
        </w:tabs>
        <w:rPr>
          <w:lang w:eastAsia="zh-CN"/>
        </w:rPr>
      </w:pPr>
      <w:r w:rsidRPr="00C42341">
        <w:rPr>
          <w:lang w:eastAsia="zh-CN"/>
        </w:rPr>
        <w:lastRenderedPageBreak/>
        <w:t>A2.</w:t>
      </w:r>
      <w:r w:rsidRPr="00246586">
        <w:rPr>
          <w:lang w:eastAsia="zh-CN"/>
        </w:rPr>
        <w:t>2</w:t>
      </w:r>
      <w:r w:rsidRPr="00246586">
        <w:rPr>
          <w:lang w:eastAsia="zh-CN"/>
        </w:rPr>
        <w:tab/>
      </w:r>
      <w:r w:rsidRPr="00246586">
        <w:rPr>
          <w:rFonts w:hint="eastAsia"/>
          <w:lang w:eastAsia="zh-CN"/>
        </w:rPr>
        <w:t>背景段落</w:t>
      </w:r>
    </w:p>
    <w:p w14:paraId="73A1A9AD" w14:textId="23C5ACED" w:rsidR="00762FFF" w:rsidRPr="00687AFD" w:rsidRDefault="00762FFF" w:rsidP="00762FFF">
      <w:pPr>
        <w:rPr>
          <w:bCs/>
          <w:lang w:eastAsia="zh-CN"/>
        </w:rPr>
      </w:pPr>
      <w:r w:rsidRPr="00C42341">
        <w:rPr>
          <w:lang w:eastAsia="zh-CN"/>
        </w:rPr>
        <w:t>A2.2.1</w:t>
      </w:r>
      <w:r w:rsidRPr="00C42341">
        <w:rPr>
          <w:lang w:eastAsia="zh-CN"/>
        </w:rPr>
        <w:tab/>
      </w:r>
      <w:r>
        <w:rPr>
          <w:rFonts w:hint="eastAsia"/>
          <w:lang w:eastAsia="zh-CN"/>
        </w:rPr>
        <w:t>每个议项</w:t>
      </w:r>
      <w:r w:rsidRPr="00687AFD">
        <w:rPr>
          <w:rFonts w:hint="eastAsia"/>
          <w:bCs/>
          <w:lang w:eastAsia="zh-CN"/>
        </w:rPr>
        <w:t>背景段落</w:t>
      </w:r>
      <w:r w:rsidR="00B41A99" w:rsidRPr="00A120A2">
        <w:rPr>
          <w:rStyle w:val="FootnoteReference"/>
          <w:szCs w:val="24"/>
        </w:rPr>
        <w:footnoteReference w:id="2"/>
      </w:r>
      <w:r w:rsidRPr="00687AFD">
        <w:rPr>
          <w:rFonts w:hint="eastAsia"/>
          <w:bCs/>
          <w:lang w:eastAsia="zh-CN"/>
        </w:rPr>
        <w:t>的目的是简</w:t>
      </w:r>
      <w:r>
        <w:rPr>
          <w:rFonts w:hint="eastAsia"/>
          <w:bCs/>
          <w:lang w:eastAsia="zh-CN"/>
        </w:rPr>
        <w:t>要</w:t>
      </w:r>
      <w:r w:rsidRPr="00687AFD">
        <w:rPr>
          <w:rFonts w:hint="eastAsia"/>
          <w:bCs/>
          <w:lang w:eastAsia="zh-CN"/>
        </w:rPr>
        <w:t>提供一般性信息，</w:t>
      </w:r>
      <w:r w:rsidRPr="003C1ED2">
        <w:rPr>
          <w:rFonts w:hint="eastAsia"/>
          <w:bCs/>
          <w:lang w:eastAsia="zh-CN"/>
        </w:rPr>
        <w:t>避免</w:t>
      </w:r>
      <w:r>
        <w:rPr>
          <w:rFonts w:hint="eastAsia"/>
          <w:bCs/>
          <w:lang w:eastAsia="zh-CN"/>
        </w:rPr>
        <w:t>反</w:t>
      </w:r>
      <w:r w:rsidRPr="003C1ED2">
        <w:rPr>
          <w:rFonts w:hint="eastAsia"/>
          <w:bCs/>
          <w:lang w:eastAsia="zh-CN"/>
        </w:rPr>
        <w:t>复或重复已经列入议项或与其相关</w:t>
      </w:r>
      <w:r>
        <w:rPr>
          <w:rFonts w:hint="eastAsia"/>
          <w:bCs/>
          <w:lang w:eastAsia="zh-CN"/>
        </w:rPr>
        <w:t>的</w:t>
      </w:r>
      <w:r w:rsidRPr="003C1ED2">
        <w:rPr>
          <w:rFonts w:hint="eastAsia"/>
          <w:bCs/>
          <w:lang w:eastAsia="zh-CN"/>
        </w:rPr>
        <w:t>WRC</w:t>
      </w:r>
      <w:r w:rsidRPr="003C1ED2">
        <w:rPr>
          <w:rFonts w:hint="eastAsia"/>
          <w:bCs/>
          <w:lang w:eastAsia="zh-CN"/>
        </w:rPr>
        <w:t>决议的案文</w:t>
      </w:r>
      <w:r>
        <w:rPr>
          <w:rFonts w:hint="eastAsia"/>
          <w:bCs/>
          <w:lang w:eastAsia="zh-CN"/>
        </w:rPr>
        <w:t>。</w:t>
      </w:r>
      <w:r w:rsidRPr="00687AFD">
        <w:rPr>
          <w:rFonts w:hint="eastAsia"/>
          <w:bCs/>
          <w:lang w:eastAsia="zh-CN"/>
        </w:rPr>
        <w:t>其篇幅不应超过半页纸。</w:t>
      </w:r>
    </w:p>
    <w:p w14:paraId="1BF74B29" w14:textId="77777777" w:rsidR="00762FFF" w:rsidRPr="00FA2034" w:rsidRDefault="00762FFF" w:rsidP="00762FFF">
      <w:pPr>
        <w:pStyle w:val="Heading1"/>
        <w:rPr>
          <w:lang w:eastAsia="zh-CN"/>
        </w:rPr>
      </w:pPr>
      <w:r w:rsidRPr="00C42341">
        <w:rPr>
          <w:lang w:eastAsia="zh-CN"/>
        </w:rPr>
        <w:t>A2.</w:t>
      </w:r>
      <w:r w:rsidRPr="00246586">
        <w:rPr>
          <w:lang w:eastAsia="zh-CN"/>
        </w:rPr>
        <w:t>3</w:t>
      </w:r>
      <w:r w:rsidRPr="00246586">
        <w:rPr>
          <w:lang w:eastAsia="zh-CN"/>
        </w:rPr>
        <w:tab/>
        <w:t>CPM</w:t>
      </w:r>
      <w:r w:rsidRPr="00246586">
        <w:rPr>
          <w:rFonts w:hint="eastAsia"/>
          <w:lang w:eastAsia="zh-CN"/>
        </w:rPr>
        <w:t>案文草案的页数限制和格式</w:t>
      </w:r>
    </w:p>
    <w:p w14:paraId="790B1A5D" w14:textId="77777777" w:rsidR="00762FFF" w:rsidRDefault="00762FFF" w:rsidP="00762FFF">
      <w:pPr>
        <w:rPr>
          <w:lang w:eastAsia="zh-CN"/>
        </w:rPr>
      </w:pPr>
      <w:r w:rsidRPr="00C42341">
        <w:rPr>
          <w:lang w:eastAsia="zh-CN"/>
        </w:rPr>
        <w:t>A2.3.1</w:t>
      </w:r>
      <w:r w:rsidRPr="00C42341">
        <w:rPr>
          <w:lang w:eastAsia="zh-CN"/>
        </w:rPr>
        <w:tab/>
      </w:r>
      <w:r>
        <w:rPr>
          <w:rFonts w:hint="eastAsia"/>
          <w:lang w:eastAsia="zh-CN"/>
        </w:rPr>
        <w:t>负责组须以</w:t>
      </w:r>
      <w:r>
        <w:rPr>
          <w:lang w:eastAsia="zh-CN"/>
        </w:rPr>
        <w:t>CPM</w:t>
      </w:r>
      <w:r>
        <w:rPr>
          <w:rFonts w:hint="eastAsia"/>
          <w:lang w:eastAsia="zh-CN"/>
        </w:rPr>
        <w:t>第一次会议决定的格式和结构编写</w:t>
      </w:r>
      <w:r>
        <w:rPr>
          <w:lang w:eastAsia="zh-CN"/>
        </w:rPr>
        <w:t>CPM</w:t>
      </w:r>
      <w:r>
        <w:rPr>
          <w:rFonts w:hint="eastAsia"/>
          <w:lang w:eastAsia="zh-CN"/>
        </w:rPr>
        <w:t>案文草案。</w:t>
      </w:r>
    </w:p>
    <w:p w14:paraId="39FF6403" w14:textId="12BD8AEF" w:rsidR="00762FFF" w:rsidRDefault="00762FFF" w:rsidP="00762FFF">
      <w:pPr>
        <w:rPr>
          <w:lang w:eastAsia="zh-CN"/>
        </w:rPr>
      </w:pPr>
      <w:r w:rsidRPr="00C42341">
        <w:rPr>
          <w:lang w:eastAsia="zh-CN"/>
        </w:rPr>
        <w:t>A2.3.2</w:t>
      </w:r>
      <w:r w:rsidRPr="00C42341">
        <w:rPr>
          <w:lang w:eastAsia="zh-CN"/>
        </w:rPr>
        <w:tab/>
      </w:r>
      <w:r>
        <w:rPr>
          <w:rFonts w:hint="eastAsia"/>
          <w:lang w:eastAsia="zh-CN"/>
        </w:rPr>
        <w:t>涉及每一议项或议题的所有必要案文均应尽可能简洁，目标是不应超过</w:t>
      </w:r>
      <w:r>
        <w:rPr>
          <w:lang w:eastAsia="zh-CN"/>
        </w:rPr>
        <w:t>10</w:t>
      </w:r>
      <w:r>
        <w:rPr>
          <w:rFonts w:hint="eastAsia"/>
          <w:lang w:eastAsia="zh-CN"/>
        </w:rPr>
        <w:t>页纸</w:t>
      </w:r>
      <w:r w:rsidR="00B41A99" w:rsidRPr="00A120A2">
        <w:rPr>
          <w:rStyle w:val="FootnoteReference"/>
          <w:szCs w:val="24"/>
        </w:rPr>
        <w:footnoteReference w:id="3"/>
      </w:r>
      <w:r>
        <w:rPr>
          <w:rFonts w:hint="eastAsia"/>
          <w:lang w:eastAsia="zh-CN"/>
        </w:rPr>
        <w:t>。</w:t>
      </w:r>
    </w:p>
    <w:p w14:paraId="15AC953E" w14:textId="77777777" w:rsidR="00762FFF" w:rsidRDefault="00762FFF" w:rsidP="00762FFF">
      <w:pPr>
        <w:rPr>
          <w:lang w:eastAsia="zh-CN"/>
        </w:rPr>
      </w:pPr>
      <w:r w:rsidRPr="00C42341">
        <w:rPr>
          <w:lang w:eastAsia="zh-CN"/>
        </w:rPr>
        <w:t>A2.3.3</w:t>
      </w:r>
      <w:r w:rsidRPr="00C42341">
        <w:rPr>
          <w:lang w:eastAsia="zh-CN"/>
        </w:rPr>
        <w:tab/>
      </w:r>
      <w:r>
        <w:rPr>
          <w:rFonts w:hint="eastAsia"/>
          <w:lang w:eastAsia="zh-CN"/>
        </w:rPr>
        <w:t>为实现这一目标，应落实下列工作：</w:t>
      </w:r>
    </w:p>
    <w:p w14:paraId="18E6304F" w14:textId="77777777" w:rsidR="00762FFF" w:rsidRDefault="00762FFF" w:rsidP="00B41A99">
      <w:pPr>
        <w:rPr>
          <w:lang w:eastAsia="zh-CN"/>
        </w:rPr>
      </w:pPr>
      <w:r w:rsidRPr="001A6772">
        <w:rPr>
          <w:i/>
          <w:lang w:eastAsia="zh-CN"/>
        </w:rPr>
        <w:t>a)</w:t>
      </w:r>
      <w:r w:rsidRPr="00D327E8">
        <w:rPr>
          <w:lang w:eastAsia="zh-CN"/>
        </w:rPr>
        <w:tab/>
      </w:r>
      <w:r>
        <w:rPr>
          <w:lang w:eastAsia="zh-CN"/>
        </w:rPr>
        <w:t>CPM</w:t>
      </w:r>
      <w:r>
        <w:rPr>
          <w:rFonts w:hint="eastAsia"/>
          <w:lang w:eastAsia="zh-CN"/>
        </w:rPr>
        <w:t>案文草案应清晰明了，起草方式应连贯一致，</w:t>
      </w:r>
      <w:proofErr w:type="gramStart"/>
      <w:r>
        <w:rPr>
          <w:rFonts w:hint="eastAsia"/>
          <w:lang w:eastAsia="zh-CN"/>
        </w:rPr>
        <w:t>且没有歧义；</w:t>
      </w:r>
      <w:proofErr w:type="gramEnd"/>
    </w:p>
    <w:p w14:paraId="51D816CC" w14:textId="77777777" w:rsidR="00762FFF" w:rsidRPr="00D327E8" w:rsidRDefault="00762FFF" w:rsidP="00B41A99">
      <w:pPr>
        <w:rPr>
          <w:lang w:eastAsia="zh-CN"/>
        </w:rPr>
      </w:pPr>
      <w:r w:rsidRPr="00C42341">
        <w:rPr>
          <w:i/>
          <w:lang w:eastAsia="zh-CN"/>
        </w:rPr>
        <w:t>b)</w:t>
      </w:r>
      <w:r w:rsidRPr="00D327E8">
        <w:rPr>
          <w:lang w:eastAsia="zh-CN"/>
        </w:rPr>
        <w:tab/>
      </w:r>
      <w:r>
        <w:rPr>
          <w:rFonts w:hint="eastAsia"/>
          <w:lang w:eastAsia="zh-CN"/>
        </w:rPr>
        <w:t>应将提议的、</w:t>
      </w:r>
      <w:proofErr w:type="gramStart"/>
      <w:r>
        <w:rPr>
          <w:rFonts w:hint="eastAsia"/>
          <w:lang w:eastAsia="zh-CN"/>
        </w:rPr>
        <w:t>满足每一议项要求的方法数量保持在绝对必要的最低程度；</w:t>
      </w:r>
      <w:proofErr w:type="gramEnd"/>
    </w:p>
    <w:p w14:paraId="69EF709D" w14:textId="77777777" w:rsidR="00762FFF" w:rsidRPr="00D327E8" w:rsidRDefault="00762FFF" w:rsidP="00B41A99">
      <w:pPr>
        <w:rPr>
          <w:lang w:eastAsia="zh-CN"/>
        </w:rPr>
      </w:pPr>
      <w:r w:rsidRPr="001A6772">
        <w:rPr>
          <w:i/>
          <w:lang w:eastAsia="zh-CN"/>
        </w:rPr>
        <w:t>c</w:t>
      </w:r>
      <w:r>
        <w:rPr>
          <w:i/>
          <w:lang w:eastAsia="zh-CN"/>
        </w:rPr>
        <w:t>)</w:t>
      </w:r>
      <w:r w:rsidRPr="00D327E8">
        <w:rPr>
          <w:lang w:eastAsia="zh-CN"/>
        </w:rPr>
        <w:tab/>
      </w:r>
      <w:r>
        <w:rPr>
          <w:rFonts w:hint="eastAsia"/>
          <w:lang w:eastAsia="zh-CN"/>
        </w:rPr>
        <w:t>如使用首字母缩略语</w:t>
      </w:r>
      <w:r>
        <w:rPr>
          <w:rFonts w:hint="eastAsia"/>
          <w:lang w:eastAsia="zh-CN"/>
        </w:rPr>
        <w:t>/</w:t>
      </w:r>
      <w:r>
        <w:rPr>
          <w:rFonts w:hint="eastAsia"/>
          <w:lang w:eastAsia="zh-CN"/>
        </w:rPr>
        <w:t>缩写词，则应在首字母缩略语</w:t>
      </w:r>
      <w:r>
        <w:rPr>
          <w:rFonts w:hint="eastAsia"/>
          <w:lang w:eastAsia="zh-CN"/>
        </w:rPr>
        <w:t>/</w:t>
      </w:r>
      <w:r>
        <w:rPr>
          <w:rFonts w:hint="eastAsia"/>
          <w:lang w:eastAsia="zh-CN"/>
        </w:rPr>
        <w:t>缩写词首次出现时给出其全称，且应在报告的开始部分给出所有首字母缩略语</w:t>
      </w:r>
      <w:r>
        <w:rPr>
          <w:rFonts w:hint="eastAsia"/>
          <w:lang w:eastAsia="zh-CN"/>
        </w:rPr>
        <w:t>/</w:t>
      </w:r>
      <w:proofErr w:type="gramStart"/>
      <w:r>
        <w:rPr>
          <w:rFonts w:hint="eastAsia"/>
          <w:lang w:eastAsia="zh-CN"/>
        </w:rPr>
        <w:t>缩写词清单；</w:t>
      </w:r>
      <w:proofErr w:type="gramEnd"/>
    </w:p>
    <w:p w14:paraId="21C03571" w14:textId="77777777" w:rsidR="00762FFF" w:rsidRDefault="00762FFF" w:rsidP="00B41A99">
      <w:pPr>
        <w:rPr>
          <w:lang w:eastAsia="zh-CN"/>
        </w:rPr>
      </w:pPr>
      <w:r w:rsidRPr="001A6772">
        <w:rPr>
          <w:i/>
          <w:lang w:eastAsia="zh-CN"/>
        </w:rPr>
        <w:t>d)</w:t>
      </w:r>
      <w:r w:rsidRPr="00D327E8">
        <w:rPr>
          <w:lang w:eastAsia="zh-CN"/>
        </w:rPr>
        <w:tab/>
      </w:r>
      <w:r>
        <w:rPr>
          <w:rFonts w:hint="eastAsia"/>
          <w:lang w:eastAsia="zh-CN"/>
        </w:rPr>
        <w:t>应通过采用相关参引避免援引已包含在</w:t>
      </w:r>
      <w:r w:rsidRPr="00D327E8">
        <w:rPr>
          <w:lang w:eastAsia="zh-CN"/>
        </w:rPr>
        <w:t>ITU-R</w:t>
      </w:r>
      <w:r>
        <w:rPr>
          <w:rFonts w:hint="eastAsia"/>
          <w:lang w:eastAsia="zh-CN"/>
        </w:rPr>
        <w:t>其他正式文件中的案文（亦见第</w:t>
      </w:r>
      <w:r w:rsidRPr="002F6E8B">
        <w:rPr>
          <w:rFonts w:hint="eastAsia"/>
          <w:lang w:eastAsia="zh-CN"/>
        </w:rPr>
        <w:t>A</w:t>
      </w:r>
      <w:r w:rsidRPr="002F6E8B">
        <w:rPr>
          <w:lang w:eastAsia="zh-CN"/>
        </w:rPr>
        <w:t>2.5</w:t>
      </w:r>
      <w:r w:rsidRPr="002F6E8B">
        <w:rPr>
          <w:rFonts w:hint="eastAsia"/>
          <w:lang w:eastAsia="zh-CN"/>
        </w:rPr>
        <w:t>段</w:t>
      </w:r>
      <w:proofErr w:type="gramStart"/>
      <w:r w:rsidRPr="002F6E8B">
        <w:rPr>
          <w:rFonts w:hint="eastAsia"/>
          <w:lang w:eastAsia="zh-CN"/>
        </w:rPr>
        <w:t>）</w:t>
      </w:r>
      <w:r>
        <w:rPr>
          <w:rFonts w:hint="eastAsia"/>
          <w:lang w:eastAsia="zh-CN"/>
        </w:rPr>
        <w:t>；</w:t>
      </w:r>
      <w:proofErr w:type="gramEnd"/>
    </w:p>
    <w:p w14:paraId="65CEF3EF" w14:textId="77777777" w:rsidR="00762FFF" w:rsidRPr="00FC325A" w:rsidRDefault="00762FFF" w:rsidP="00B41A99">
      <w:pPr>
        <w:rPr>
          <w:lang w:eastAsia="zh-CN"/>
        </w:rPr>
      </w:pPr>
      <w:r w:rsidRPr="00FC325A">
        <w:rPr>
          <w:i/>
          <w:lang w:eastAsia="zh-CN"/>
        </w:rPr>
        <w:t>e)</w:t>
      </w:r>
      <w:r w:rsidRPr="00FC325A">
        <w:rPr>
          <w:i/>
          <w:lang w:eastAsia="zh-CN"/>
        </w:rPr>
        <w:tab/>
      </w:r>
      <w:r>
        <w:rPr>
          <w:rFonts w:hint="eastAsia"/>
          <w:szCs w:val="24"/>
          <w:lang w:eastAsia="zh-CN"/>
        </w:rPr>
        <w:t>表述</w:t>
      </w:r>
      <w:r w:rsidRPr="00FC325A">
        <w:rPr>
          <w:rFonts w:hint="eastAsia"/>
          <w:szCs w:val="24"/>
          <w:lang w:eastAsia="zh-CN"/>
        </w:rPr>
        <w:t>成员国和</w:t>
      </w:r>
      <w:r w:rsidRPr="00FC325A">
        <w:rPr>
          <w:rFonts w:hint="eastAsia"/>
          <w:szCs w:val="24"/>
          <w:lang w:eastAsia="zh-CN"/>
        </w:rPr>
        <w:t>/</w:t>
      </w:r>
      <w:r w:rsidRPr="00FC325A">
        <w:rPr>
          <w:rFonts w:hint="eastAsia"/>
          <w:szCs w:val="24"/>
          <w:lang w:eastAsia="zh-CN"/>
        </w:rPr>
        <w:t>或区域</w:t>
      </w:r>
      <w:r>
        <w:rPr>
          <w:rFonts w:hint="eastAsia"/>
          <w:szCs w:val="24"/>
          <w:lang w:eastAsia="zh-CN"/>
        </w:rPr>
        <w:t>性</w:t>
      </w:r>
      <w:r w:rsidRPr="00FC325A">
        <w:rPr>
          <w:rFonts w:hint="eastAsia"/>
          <w:szCs w:val="24"/>
          <w:lang w:eastAsia="zh-CN"/>
        </w:rPr>
        <w:t>电信组织</w:t>
      </w:r>
      <w:r>
        <w:rPr>
          <w:rFonts w:hint="eastAsia"/>
          <w:szCs w:val="24"/>
          <w:lang w:eastAsia="zh-CN"/>
        </w:rPr>
        <w:t>观点的章节</w:t>
      </w:r>
      <w:r w:rsidRPr="00FC325A">
        <w:rPr>
          <w:rFonts w:hint="eastAsia"/>
          <w:szCs w:val="24"/>
          <w:lang w:eastAsia="zh-CN"/>
        </w:rPr>
        <w:t>不应以任何方式纳入</w:t>
      </w:r>
      <w:r w:rsidRPr="00FC325A">
        <w:rPr>
          <w:rFonts w:hint="eastAsia"/>
          <w:szCs w:val="24"/>
          <w:lang w:eastAsia="zh-CN"/>
        </w:rPr>
        <w:t>CPM</w:t>
      </w:r>
      <w:r w:rsidRPr="00FC325A">
        <w:rPr>
          <w:rFonts w:hint="eastAsia"/>
          <w:szCs w:val="24"/>
          <w:lang w:eastAsia="zh-CN"/>
        </w:rPr>
        <w:t>草案案文或</w:t>
      </w:r>
      <w:r w:rsidRPr="00FC325A">
        <w:rPr>
          <w:rFonts w:hint="eastAsia"/>
          <w:szCs w:val="24"/>
          <w:lang w:eastAsia="zh-CN"/>
        </w:rPr>
        <w:t>CPM</w:t>
      </w:r>
      <w:r w:rsidRPr="00FC325A">
        <w:rPr>
          <w:rFonts w:hint="eastAsia"/>
          <w:szCs w:val="24"/>
          <w:lang w:eastAsia="zh-CN"/>
        </w:rPr>
        <w:t>报告。</w:t>
      </w:r>
    </w:p>
    <w:p w14:paraId="4F710764" w14:textId="77777777" w:rsidR="00762FFF" w:rsidRPr="00EC034D" w:rsidRDefault="00762FFF" w:rsidP="00762FFF">
      <w:pPr>
        <w:pStyle w:val="Heading1"/>
        <w:rPr>
          <w:lang w:eastAsia="zh-CN"/>
        </w:rPr>
      </w:pPr>
      <w:r w:rsidRPr="00FC325A">
        <w:rPr>
          <w:lang w:eastAsia="zh-CN"/>
        </w:rPr>
        <w:t>A2.4</w:t>
      </w:r>
      <w:r w:rsidRPr="00FC325A">
        <w:rPr>
          <w:lang w:eastAsia="zh-CN"/>
        </w:rPr>
        <w:tab/>
      </w:r>
      <w:r w:rsidRPr="00FC325A">
        <w:rPr>
          <w:rFonts w:hint="eastAsia"/>
          <w:lang w:eastAsia="zh-CN"/>
        </w:rPr>
        <w:t>满足</w:t>
      </w:r>
      <w:r w:rsidRPr="00FC325A">
        <w:rPr>
          <w:lang w:eastAsia="zh-CN"/>
        </w:rPr>
        <w:t>WRC</w:t>
      </w:r>
      <w:r w:rsidRPr="00246586">
        <w:rPr>
          <w:rFonts w:hint="eastAsia"/>
          <w:lang w:eastAsia="zh-CN"/>
        </w:rPr>
        <w:t>议项要求的方法</w:t>
      </w:r>
    </w:p>
    <w:p w14:paraId="3E3572ED" w14:textId="77777777" w:rsidR="00762FFF" w:rsidRDefault="00762FFF" w:rsidP="00762FFF">
      <w:pPr>
        <w:rPr>
          <w:lang w:eastAsia="zh-CN"/>
        </w:rPr>
      </w:pPr>
      <w:r w:rsidRPr="00C42341">
        <w:rPr>
          <w:lang w:eastAsia="zh-CN"/>
        </w:rPr>
        <w:t>A2.4.1</w:t>
      </w:r>
      <w:r w:rsidRPr="00C42341">
        <w:rPr>
          <w:lang w:eastAsia="zh-CN"/>
        </w:rPr>
        <w:tab/>
      </w:r>
      <w:r>
        <w:rPr>
          <w:rFonts w:hint="eastAsia"/>
          <w:lang w:eastAsia="zh-CN"/>
        </w:rPr>
        <w:t>对每一种方法的描述均应尽可能准确和简洁。</w:t>
      </w:r>
    </w:p>
    <w:p w14:paraId="2386C1A5" w14:textId="77777777" w:rsidR="00762FFF" w:rsidRPr="00C42341" w:rsidRDefault="00762FFF" w:rsidP="00762FFF">
      <w:pPr>
        <w:rPr>
          <w:lang w:eastAsia="zh-CN"/>
        </w:rPr>
      </w:pPr>
      <w:r w:rsidRPr="00C42341">
        <w:rPr>
          <w:lang w:eastAsia="zh-CN"/>
        </w:rPr>
        <w:t>A2.4.2</w:t>
      </w:r>
      <w:r w:rsidRPr="00C42341">
        <w:rPr>
          <w:lang w:eastAsia="zh-CN"/>
        </w:rPr>
        <w:tab/>
      </w:r>
      <w:r>
        <w:rPr>
          <w:rFonts w:hint="eastAsia"/>
          <w:lang w:eastAsia="zh-CN"/>
        </w:rPr>
        <w:t>为减少方法</w:t>
      </w:r>
      <w:r w:rsidRPr="00246586">
        <w:rPr>
          <w:rFonts w:hint="eastAsia"/>
          <w:lang w:eastAsia="zh-CN"/>
        </w:rPr>
        <w:t>数量，</w:t>
      </w:r>
      <w:r>
        <w:rPr>
          <w:rFonts w:hint="eastAsia"/>
          <w:lang w:eastAsia="zh-CN"/>
        </w:rPr>
        <w:t>某个给定方法可包含用于实施的备选</w:t>
      </w:r>
      <w:r w:rsidRPr="00246586">
        <w:rPr>
          <w:rFonts w:hint="eastAsia"/>
          <w:lang w:eastAsia="zh-CN"/>
        </w:rPr>
        <w:t>方</w:t>
      </w:r>
      <w:r>
        <w:rPr>
          <w:rFonts w:hint="eastAsia"/>
          <w:lang w:eastAsia="zh-CN"/>
        </w:rPr>
        <w:t>案</w:t>
      </w:r>
      <w:r w:rsidRPr="00246586">
        <w:rPr>
          <w:rFonts w:hint="eastAsia"/>
          <w:lang w:eastAsia="zh-CN"/>
        </w:rPr>
        <w:t>，</w:t>
      </w:r>
      <w:r>
        <w:rPr>
          <w:rFonts w:hint="eastAsia"/>
          <w:lang w:eastAsia="zh-CN"/>
        </w:rPr>
        <w:t>且</w:t>
      </w:r>
      <w:r w:rsidRPr="00246586">
        <w:rPr>
          <w:rFonts w:hint="eastAsia"/>
          <w:lang w:eastAsia="zh-CN"/>
        </w:rPr>
        <w:t>应将其保持在最低限度。</w:t>
      </w:r>
    </w:p>
    <w:p w14:paraId="03BF9EBA" w14:textId="77777777" w:rsidR="00762FFF" w:rsidRDefault="00762FFF" w:rsidP="00762FFF">
      <w:pPr>
        <w:rPr>
          <w:lang w:eastAsia="zh-CN"/>
        </w:rPr>
      </w:pPr>
      <w:r w:rsidRPr="00C42341">
        <w:rPr>
          <w:lang w:eastAsia="zh-CN"/>
        </w:rPr>
        <w:t>A2.4.3</w:t>
      </w:r>
      <w:r w:rsidRPr="00C42341">
        <w:rPr>
          <w:lang w:eastAsia="zh-CN"/>
        </w:rPr>
        <w:tab/>
      </w:r>
      <w:r>
        <w:rPr>
          <w:rFonts w:hint="eastAsia"/>
          <w:lang w:eastAsia="zh-CN"/>
        </w:rPr>
        <w:t>方法和备选方案须</w:t>
      </w:r>
      <w:r w:rsidRPr="00246586">
        <w:rPr>
          <w:rFonts w:hint="eastAsia"/>
          <w:lang w:eastAsia="zh-CN"/>
        </w:rPr>
        <w:t>符合并限于议项及其相关</w:t>
      </w:r>
      <w:r w:rsidRPr="00246586">
        <w:rPr>
          <w:rFonts w:hint="eastAsia"/>
          <w:lang w:eastAsia="zh-CN"/>
        </w:rPr>
        <w:t>WRC</w:t>
      </w:r>
      <w:r w:rsidRPr="00246586">
        <w:rPr>
          <w:rFonts w:hint="eastAsia"/>
          <w:lang w:eastAsia="zh-CN"/>
        </w:rPr>
        <w:t>决议的范围。</w:t>
      </w:r>
    </w:p>
    <w:p w14:paraId="6938F97E" w14:textId="77777777" w:rsidR="00762FFF" w:rsidRDefault="00762FFF" w:rsidP="00762FFF">
      <w:pPr>
        <w:rPr>
          <w:lang w:eastAsia="zh-CN"/>
        </w:rPr>
      </w:pPr>
      <w:r w:rsidRPr="00C42341">
        <w:rPr>
          <w:lang w:eastAsia="zh-CN"/>
        </w:rPr>
        <w:t>A2.4.4</w:t>
      </w:r>
      <w:r w:rsidRPr="00C42341">
        <w:rPr>
          <w:lang w:eastAsia="zh-CN"/>
        </w:rPr>
        <w:tab/>
      </w:r>
      <w:r>
        <w:rPr>
          <w:rFonts w:hint="eastAsia"/>
          <w:lang w:eastAsia="zh-CN"/>
        </w:rPr>
        <w:t>“</w:t>
      </w:r>
      <w:proofErr w:type="gramStart"/>
      <w:r>
        <w:rPr>
          <w:rFonts w:hint="eastAsia"/>
          <w:lang w:eastAsia="zh-CN"/>
        </w:rPr>
        <w:t>不做修改”（</w:t>
      </w:r>
      <w:proofErr w:type="gramEnd"/>
      <w:r>
        <w:rPr>
          <w:lang w:eastAsia="zh-CN"/>
        </w:rPr>
        <w:t>no-change</w:t>
      </w:r>
      <w:r>
        <w:rPr>
          <w:rFonts w:hint="eastAsia"/>
          <w:lang w:eastAsia="zh-CN"/>
        </w:rPr>
        <w:t>）总是一种可行的方法，且通常不应纳入提议的各方法之中，但也可根据具体情况明确包含一种“不做修改”的方法并辅之以相关理由，前提是相关成员国提出了这一提案。</w:t>
      </w:r>
    </w:p>
    <w:p w14:paraId="25086EA4" w14:textId="77777777" w:rsidR="00762FFF" w:rsidRDefault="00762FFF" w:rsidP="00762FFF">
      <w:pPr>
        <w:rPr>
          <w:lang w:eastAsia="zh-CN"/>
        </w:rPr>
      </w:pPr>
      <w:r>
        <w:rPr>
          <w:lang w:eastAsia="zh-CN"/>
        </w:rPr>
        <w:t>A.2.4.5</w:t>
      </w:r>
      <w:r>
        <w:rPr>
          <w:lang w:eastAsia="zh-CN"/>
        </w:rPr>
        <w:tab/>
      </w:r>
      <w:r w:rsidRPr="00A718A9">
        <w:rPr>
          <w:rFonts w:hint="eastAsia"/>
          <w:lang w:eastAsia="zh-CN"/>
        </w:rPr>
        <w:t>为便于理解，可在方法描述后附上支持理由和可能关注问题的摘要。摘要中应</w:t>
      </w:r>
      <w:r w:rsidRPr="009775BD">
        <w:rPr>
          <w:rFonts w:hint="eastAsia"/>
          <w:u w:val="single"/>
          <w:lang w:eastAsia="zh-CN"/>
        </w:rPr>
        <w:t>包含</w:t>
      </w:r>
      <w:r w:rsidRPr="00A718A9">
        <w:rPr>
          <w:rFonts w:hint="eastAsia"/>
          <w:lang w:eastAsia="zh-CN"/>
        </w:rPr>
        <w:t>由该</w:t>
      </w:r>
      <w:r>
        <w:rPr>
          <w:rFonts w:hint="eastAsia"/>
          <w:lang w:eastAsia="zh-CN"/>
        </w:rPr>
        <w:t>方法</w:t>
      </w:r>
      <w:r w:rsidRPr="00A718A9">
        <w:rPr>
          <w:rFonts w:hint="eastAsia"/>
          <w:lang w:eastAsia="zh-CN"/>
        </w:rPr>
        <w:t>/</w:t>
      </w:r>
      <w:r w:rsidRPr="00A718A9">
        <w:rPr>
          <w:rFonts w:hint="eastAsia"/>
          <w:lang w:eastAsia="zh-CN"/>
        </w:rPr>
        <w:t>关注问题的相关提议方提供的</w:t>
      </w:r>
      <w:r w:rsidRPr="009775BD">
        <w:rPr>
          <w:rFonts w:hint="eastAsia"/>
          <w:u w:val="single"/>
          <w:lang w:eastAsia="zh-CN"/>
        </w:rPr>
        <w:t>案文</w:t>
      </w:r>
      <w:r w:rsidRPr="00A718A9">
        <w:rPr>
          <w:rFonts w:hint="eastAsia"/>
          <w:lang w:eastAsia="zh-CN"/>
        </w:rPr>
        <w:t>。摘要应简明扼要，不超过半页，</w:t>
      </w:r>
      <w:r>
        <w:rPr>
          <w:rFonts w:hint="eastAsia"/>
          <w:lang w:eastAsia="zh-CN"/>
        </w:rPr>
        <w:t>内容须对应</w:t>
      </w:r>
      <w:r w:rsidRPr="00A718A9">
        <w:rPr>
          <w:rFonts w:hint="eastAsia"/>
          <w:lang w:eastAsia="zh-CN"/>
        </w:rPr>
        <w:t>。</w:t>
      </w:r>
    </w:p>
    <w:p w14:paraId="4F895A0D" w14:textId="77777777" w:rsidR="00762FFF" w:rsidRDefault="00762FFF" w:rsidP="00762FFF">
      <w:pPr>
        <w:rPr>
          <w:lang w:eastAsia="zh-CN"/>
        </w:rPr>
      </w:pPr>
      <w:r w:rsidRPr="006A3BCC">
        <w:rPr>
          <w:lang w:eastAsia="zh-CN"/>
        </w:rPr>
        <w:t>A2.4.6</w:t>
      </w:r>
      <w:r w:rsidRPr="006A3BCC">
        <w:rPr>
          <w:lang w:eastAsia="zh-CN"/>
        </w:rPr>
        <w:tab/>
      </w:r>
      <w:r>
        <w:rPr>
          <w:rFonts w:hint="eastAsia"/>
          <w:lang w:eastAsia="zh-CN"/>
        </w:rPr>
        <w:t>也可为提议的方法制定规则案文示例，并可根据相关</w:t>
      </w:r>
      <w:r>
        <w:rPr>
          <w:rFonts w:hint="eastAsia"/>
          <w:lang w:eastAsia="zh-CN"/>
        </w:rPr>
        <w:t>W</w:t>
      </w:r>
      <w:r>
        <w:rPr>
          <w:lang w:eastAsia="zh-CN"/>
        </w:rPr>
        <w:t>RC</w:t>
      </w:r>
      <w:r>
        <w:rPr>
          <w:rFonts w:hint="eastAsia"/>
          <w:lang w:eastAsia="zh-CN"/>
        </w:rPr>
        <w:t>决议在</w:t>
      </w:r>
      <w:r>
        <w:rPr>
          <w:lang w:eastAsia="zh-CN"/>
        </w:rPr>
        <w:t>CPM</w:t>
      </w:r>
      <w:r>
        <w:rPr>
          <w:rFonts w:hint="eastAsia"/>
          <w:lang w:eastAsia="zh-CN"/>
        </w:rPr>
        <w:t>案文草案中有关规则和程序考虑的相关章节中予以介绍。应尽一切努力确保方法和规则性案文简明扼要。应避免使用可能会引发歧义的术语，</w:t>
      </w:r>
      <w:proofErr w:type="gramStart"/>
      <w:r>
        <w:rPr>
          <w:rFonts w:hint="eastAsia"/>
          <w:lang w:eastAsia="zh-CN"/>
        </w:rPr>
        <w:t>如“</w:t>
      </w:r>
      <w:proofErr w:type="gramEnd"/>
      <w:r>
        <w:rPr>
          <w:rFonts w:hint="eastAsia"/>
          <w:lang w:eastAsia="zh-CN"/>
        </w:rPr>
        <w:t>选项（</w:t>
      </w:r>
      <w:r>
        <w:rPr>
          <w:rFonts w:hint="eastAsia"/>
          <w:lang w:eastAsia="zh-CN"/>
        </w:rPr>
        <w:t>option</w:t>
      </w:r>
      <w:r>
        <w:rPr>
          <w:rFonts w:hint="eastAsia"/>
          <w:lang w:eastAsia="zh-CN"/>
        </w:rPr>
        <w:t>）”一词，可被解释为“可选择的（</w:t>
      </w:r>
      <w:r>
        <w:rPr>
          <w:rFonts w:hint="eastAsia"/>
          <w:lang w:eastAsia="zh-CN"/>
        </w:rPr>
        <w:t>optional</w:t>
      </w:r>
      <w:r>
        <w:rPr>
          <w:rFonts w:hint="eastAsia"/>
          <w:lang w:eastAsia="zh-CN"/>
        </w:rPr>
        <w:t>）”，所以应避免使用该词，而使用“备选方案（</w:t>
      </w:r>
      <w:r w:rsidRPr="00CC6A58">
        <w:rPr>
          <w:lang w:eastAsia="zh-CN"/>
        </w:rPr>
        <w:t>alte</w:t>
      </w:r>
      <w:r>
        <w:rPr>
          <w:lang w:eastAsia="zh-CN"/>
        </w:rPr>
        <w:t>r</w:t>
      </w:r>
      <w:r w:rsidRPr="00CC6A58">
        <w:rPr>
          <w:lang w:eastAsia="zh-CN"/>
        </w:rPr>
        <w:t>native</w:t>
      </w:r>
      <w:r>
        <w:rPr>
          <w:rFonts w:hint="eastAsia"/>
          <w:lang w:eastAsia="zh-CN"/>
        </w:rPr>
        <w:t>）”来代替。</w:t>
      </w:r>
    </w:p>
    <w:p w14:paraId="635081B5" w14:textId="77777777" w:rsidR="00762FFF" w:rsidRPr="00246586" w:rsidRDefault="00762FFF" w:rsidP="00762FFF">
      <w:pPr>
        <w:pStyle w:val="Heading1"/>
        <w:rPr>
          <w:lang w:eastAsia="zh-CN"/>
        </w:rPr>
      </w:pPr>
      <w:r w:rsidRPr="00C42341">
        <w:rPr>
          <w:lang w:eastAsia="zh-CN"/>
        </w:rPr>
        <w:lastRenderedPageBreak/>
        <w:t>A2.</w:t>
      </w:r>
      <w:r w:rsidRPr="00246586">
        <w:rPr>
          <w:lang w:eastAsia="zh-CN"/>
        </w:rPr>
        <w:t>5</w:t>
      </w:r>
      <w:r w:rsidRPr="00246586">
        <w:rPr>
          <w:lang w:eastAsia="zh-CN"/>
        </w:rPr>
        <w:tab/>
      </w:r>
      <w:r w:rsidRPr="00246586">
        <w:rPr>
          <w:rFonts w:hint="eastAsia"/>
          <w:lang w:eastAsia="zh-CN"/>
        </w:rPr>
        <w:t>对</w:t>
      </w:r>
      <w:r w:rsidRPr="00246586">
        <w:rPr>
          <w:lang w:eastAsia="zh-CN"/>
        </w:rPr>
        <w:t>ITU-R</w:t>
      </w:r>
      <w:r w:rsidRPr="00246586">
        <w:rPr>
          <w:rFonts w:hint="eastAsia"/>
          <w:lang w:eastAsia="zh-CN"/>
        </w:rPr>
        <w:t>建议书、报告等的参引</w:t>
      </w:r>
    </w:p>
    <w:p w14:paraId="228CE68E" w14:textId="77777777" w:rsidR="00762FFF" w:rsidRDefault="00762FFF" w:rsidP="00762FFF">
      <w:pPr>
        <w:rPr>
          <w:lang w:eastAsia="zh-CN"/>
        </w:rPr>
      </w:pPr>
      <w:r w:rsidRPr="00C42341">
        <w:rPr>
          <w:lang w:eastAsia="zh-CN"/>
        </w:rPr>
        <w:t>A2.5.1</w:t>
      </w:r>
      <w:r w:rsidRPr="00C42341">
        <w:rPr>
          <w:lang w:eastAsia="zh-CN"/>
        </w:rPr>
        <w:tab/>
      </w:r>
      <w:r>
        <w:rPr>
          <w:rFonts w:hint="eastAsia"/>
          <w:lang w:eastAsia="zh-CN"/>
        </w:rPr>
        <w:t>应通过采用相关参引避免援引已包含在</w:t>
      </w:r>
      <w:r>
        <w:rPr>
          <w:lang w:eastAsia="zh-CN"/>
        </w:rPr>
        <w:t>ITU-R</w:t>
      </w:r>
      <w:r>
        <w:rPr>
          <w:rFonts w:hint="eastAsia"/>
          <w:lang w:eastAsia="zh-CN"/>
        </w:rPr>
        <w:t>建议书中的案文。也应酌情按照具体情况针对</w:t>
      </w:r>
      <w:r>
        <w:rPr>
          <w:lang w:eastAsia="zh-CN"/>
        </w:rPr>
        <w:t>ITU-R</w:t>
      </w:r>
      <w:r>
        <w:rPr>
          <w:rFonts w:hint="eastAsia"/>
          <w:lang w:eastAsia="zh-CN"/>
        </w:rPr>
        <w:t>报告采取类此方法。</w:t>
      </w:r>
    </w:p>
    <w:p w14:paraId="12759B59" w14:textId="77777777" w:rsidR="00762FFF" w:rsidRDefault="00762FFF" w:rsidP="00762FFF">
      <w:pPr>
        <w:rPr>
          <w:lang w:eastAsia="zh-CN"/>
        </w:rPr>
      </w:pPr>
      <w:r w:rsidRPr="00C42341">
        <w:rPr>
          <w:lang w:eastAsia="zh-CN"/>
        </w:rPr>
        <w:t>A2.5.2</w:t>
      </w:r>
      <w:r w:rsidRPr="00C42341">
        <w:rPr>
          <w:lang w:eastAsia="zh-CN"/>
        </w:rPr>
        <w:tab/>
      </w:r>
      <w:r>
        <w:rPr>
          <w:rFonts w:hint="eastAsia"/>
          <w:lang w:eastAsia="zh-CN"/>
        </w:rPr>
        <w:t>如果在</w:t>
      </w:r>
      <w:r>
        <w:rPr>
          <w:lang w:eastAsia="zh-CN"/>
        </w:rPr>
        <w:t>CPM</w:t>
      </w:r>
      <w:r>
        <w:rPr>
          <w:rFonts w:hint="eastAsia"/>
          <w:lang w:eastAsia="zh-CN"/>
        </w:rPr>
        <w:t>案文草案必须最终确定时</w:t>
      </w:r>
      <w:r>
        <w:rPr>
          <w:lang w:eastAsia="zh-CN"/>
        </w:rPr>
        <w:t>ITU-R</w:t>
      </w:r>
      <w:r>
        <w:rPr>
          <w:rFonts w:hint="eastAsia"/>
          <w:lang w:eastAsia="zh-CN"/>
        </w:rPr>
        <w:t>的相关文件依然处于</w:t>
      </w:r>
      <w:r>
        <w:rPr>
          <w:lang w:eastAsia="zh-CN"/>
        </w:rPr>
        <w:t>ITU-R</w:t>
      </w:r>
      <w:r>
        <w:rPr>
          <w:rFonts w:hint="eastAsia"/>
          <w:lang w:eastAsia="zh-CN"/>
        </w:rPr>
        <w:t>的通过</w:t>
      </w:r>
      <w:r>
        <w:rPr>
          <w:lang w:eastAsia="zh-CN"/>
        </w:rPr>
        <w:t>/</w:t>
      </w:r>
      <w:r>
        <w:rPr>
          <w:rFonts w:hint="eastAsia"/>
          <w:lang w:eastAsia="zh-CN"/>
        </w:rPr>
        <w:t>审批过程之中，或依然处于文件草案阶段，则也可在</w:t>
      </w:r>
      <w:r>
        <w:rPr>
          <w:lang w:eastAsia="zh-CN"/>
        </w:rPr>
        <w:t>CPM</w:t>
      </w:r>
      <w:r>
        <w:rPr>
          <w:rFonts w:hint="eastAsia"/>
          <w:lang w:eastAsia="zh-CN"/>
        </w:rPr>
        <w:t>案文草案中对其进行参引，条件是这些被参引内容将在</w:t>
      </w:r>
      <w:r>
        <w:rPr>
          <w:lang w:eastAsia="zh-CN"/>
        </w:rPr>
        <w:t>CPM</w:t>
      </w:r>
      <w:r>
        <w:rPr>
          <w:rFonts w:hint="eastAsia"/>
          <w:lang w:eastAsia="zh-CN"/>
        </w:rPr>
        <w:t>第二次会议上得到进一步审议。</w:t>
      </w:r>
      <w:r>
        <w:rPr>
          <w:lang w:eastAsia="zh-CN"/>
        </w:rPr>
        <w:t>CPM</w:t>
      </w:r>
      <w:r>
        <w:rPr>
          <w:rFonts w:hint="eastAsia"/>
          <w:lang w:eastAsia="zh-CN"/>
        </w:rPr>
        <w:t>案文草案中不应参引工作文件或相关文件初稿，除非在</w:t>
      </w:r>
      <w:r>
        <w:rPr>
          <w:lang w:eastAsia="zh-CN"/>
        </w:rPr>
        <w:t>WRC</w:t>
      </w:r>
      <w:r>
        <w:rPr>
          <w:rFonts w:hint="eastAsia"/>
          <w:lang w:eastAsia="zh-CN"/>
        </w:rPr>
        <w:t>之前能有充分机会完成这些文件供</w:t>
      </w:r>
      <w:r w:rsidRPr="00C42341">
        <w:rPr>
          <w:lang w:eastAsia="zh-CN"/>
        </w:rPr>
        <w:t>RA</w:t>
      </w:r>
      <w:r>
        <w:rPr>
          <w:rFonts w:hint="eastAsia"/>
          <w:lang w:eastAsia="zh-CN"/>
        </w:rPr>
        <w:t>审议。</w:t>
      </w:r>
    </w:p>
    <w:p w14:paraId="44D55CEE" w14:textId="77777777" w:rsidR="00762FFF" w:rsidRPr="00DF05D8" w:rsidRDefault="00762FFF" w:rsidP="00762FFF">
      <w:pPr>
        <w:rPr>
          <w:lang w:eastAsia="zh-CN"/>
        </w:rPr>
      </w:pPr>
      <w:r w:rsidRPr="00DF05D8">
        <w:rPr>
          <w:lang w:eastAsia="zh-CN"/>
        </w:rPr>
        <w:t>A2.5.3</w:t>
      </w:r>
      <w:r w:rsidRPr="00DF05D8">
        <w:rPr>
          <w:lang w:eastAsia="zh-CN"/>
        </w:rPr>
        <w:tab/>
      </w:r>
      <w:r w:rsidRPr="00DF05D8">
        <w:rPr>
          <w:rFonts w:hint="eastAsia"/>
          <w:lang w:eastAsia="zh-CN"/>
        </w:rPr>
        <w:t>一般情况下，</w:t>
      </w:r>
      <w:r w:rsidRPr="00DF05D8">
        <w:rPr>
          <w:rFonts w:hint="eastAsia"/>
          <w:lang w:eastAsia="zh-CN"/>
        </w:rPr>
        <w:t>CPM</w:t>
      </w:r>
      <w:r w:rsidRPr="00DF05D8">
        <w:rPr>
          <w:rFonts w:hint="eastAsia"/>
          <w:lang w:eastAsia="zh-CN"/>
        </w:rPr>
        <w:t>报告参引</w:t>
      </w:r>
      <w:r w:rsidRPr="00DF05D8">
        <w:rPr>
          <w:rFonts w:hint="eastAsia"/>
          <w:lang w:eastAsia="zh-CN"/>
        </w:rPr>
        <w:t>ITU-R</w:t>
      </w:r>
      <w:r w:rsidRPr="00DF05D8">
        <w:rPr>
          <w:rFonts w:hint="eastAsia"/>
          <w:lang w:eastAsia="zh-CN"/>
        </w:rPr>
        <w:t>建议书和</w:t>
      </w:r>
      <w:r w:rsidRPr="00DF05D8">
        <w:rPr>
          <w:rFonts w:hint="eastAsia"/>
          <w:lang w:eastAsia="zh-CN"/>
        </w:rPr>
        <w:t>/</w:t>
      </w:r>
      <w:r w:rsidRPr="00DF05D8">
        <w:rPr>
          <w:rFonts w:hint="eastAsia"/>
          <w:lang w:eastAsia="zh-CN"/>
        </w:rPr>
        <w:t>或报告的最新版本。</w:t>
      </w:r>
    </w:p>
    <w:p w14:paraId="485AE7C2" w14:textId="77777777" w:rsidR="00762FFF" w:rsidRDefault="00762FFF" w:rsidP="00762FFF">
      <w:pPr>
        <w:rPr>
          <w:lang w:eastAsia="zh-CN"/>
        </w:rPr>
      </w:pPr>
      <w:r w:rsidRPr="00DF05D8">
        <w:rPr>
          <w:lang w:eastAsia="zh-CN"/>
        </w:rPr>
        <w:t>A2.5.4</w:t>
      </w:r>
      <w:r w:rsidRPr="00DF05D8">
        <w:rPr>
          <w:lang w:eastAsia="zh-CN"/>
        </w:rPr>
        <w:tab/>
      </w:r>
      <w:r w:rsidRPr="00DF05D8">
        <w:rPr>
          <w:rFonts w:hint="eastAsia"/>
          <w:lang w:eastAsia="zh-CN"/>
        </w:rPr>
        <w:t>在一些情况下，</w:t>
      </w:r>
      <w:r w:rsidRPr="00DF05D8">
        <w:rPr>
          <w:lang w:eastAsia="zh-CN"/>
        </w:rPr>
        <w:t>CPM</w:t>
      </w:r>
      <w:r w:rsidRPr="00DF05D8">
        <w:rPr>
          <w:rFonts w:hint="eastAsia"/>
          <w:lang w:eastAsia="zh-CN"/>
        </w:rPr>
        <w:t>报告可参引</w:t>
      </w:r>
      <w:r w:rsidRPr="00DF05D8">
        <w:rPr>
          <w:rFonts w:hint="eastAsia"/>
          <w:lang w:eastAsia="zh-CN"/>
        </w:rPr>
        <w:t>ITU-R</w:t>
      </w:r>
      <w:r w:rsidRPr="00DF05D8">
        <w:rPr>
          <w:rFonts w:hint="eastAsia"/>
          <w:lang w:eastAsia="zh-CN"/>
        </w:rPr>
        <w:t>现有建议书和</w:t>
      </w:r>
      <w:r w:rsidRPr="00DF05D8">
        <w:rPr>
          <w:lang w:eastAsia="zh-CN"/>
        </w:rPr>
        <w:t>/</w:t>
      </w:r>
      <w:r w:rsidRPr="00DF05D8">
        <w:rPr>
          <w:rFonts w:hint="eastAsia"/>
          <w:lang w:val="fr-CH" w:eastAsia="zh-CN" w:bidi="ar-EG"/>
        </w:rPr>
        <w:t>或</w:t>
      </w:r>
      <w:r w:rsidRPr="00DF05D8">
        <w:rPr>
          <w:rFonts w:hint="eastAsia"/>
          <w:lang w:eastAsia="zh-CN"/>
        </w:rPr>
        <w:t>报告的具体版本编号。</w:t>
      </w:r>
    </w:p>
    <w:p w14:paraId="6279DA63" w14:textId="77777777" w:rsidR="00762FFF" w:rsidRPr="00DF05D8" w:rsidRDefault="00762FFF" w:rsidP="00762FFF">
      <w:pPr>
        <w:pStyle w:val="Heading1"/>
        <w:rPr>
          <w:lang w:eastAsia="zh-CN"/>
        </w:rPr>
      </w:pPr>
      <w:r w:rsidRPr="00DF05D8">
        <w:rPr>
          <w:lang w:eastAsia="zh-CN"/>
        </w:rPr>
        <w:t>A2.6</w:t>
      </w:r>
      <w:r w:rsidRPr="00DF05D8">
        <w:rPr>
          <w:lang w:eastAsia="zh-CN"/>
        </w:rPr>
        <w:tab/>
        <w:t>CPM</w:t>
      </w:r>
      <w:r w:rsidRPr="00DF05D8">
        <w:rPr>
          <w:rFonts w:hint="eastAsia"/>
          <w:lang w:eastAsia="zh-CN"/>
        </w:rPr>
        <w:t>报告对《无线电规则》、</w:t>
      </w:r>
      <w:r w:rsidRPr="00DF05D8">
        <w:rPr>
          <w:lang w:eastAsia="zh-CN"/>
        </w:rPr>
        <w:t>W(A)RC</w:t>
      </w:r>
      <w:r w:rsidRPr="00DF05D8">
        <w:rPr>
          <w:rFonts w:hint="eastAsia"/>
          <w:lang w:eastAsia="zh-CN"/>
        </w:rPr>
        <w:t>决议或建议书的参引</w:t>
      </w:r>
    </w:p>
    <w:p w14:paraId="77BBEACB" w14:textId="77777777" w:rsidR="00762FFF" w:rsidRPr="006729CC" w:rsidRDefault="00762FFF" w:rsidP="00762FFF">
      <w:pPr>
        <w:rPr>
          <w:lang w:eastAsia="zh-CN"/>
        </w:rPr>
      </w:pPr>
      <w:r w:rsidRPr="00C42341">
        <w:rPr>
          <w:lang w:eastAsia="zh-CN"/>
        </w:rPr>
        <w:t>A2.6.1</w:t>
      </w:r>
      <w:r w:rsidRPr="00C42341">
        <w:rPr>
          <w:lang w:eastAsia="zh-CN"/>
        </w:rPr>
        <w:tab/>
      </w:r>
      <w:r>
        <w:rPr>
          <w:rFonts w:hint="eastAsia"/>
          <w:lang w:eastAsia="zh-CN"/>
        </w:rPr>
        <w:t>除涉及规则和程序方面的考虑的相关章节外，有时可能有必要参引《无线电规则》、大会决议和</w:t>
      </w:r>
      <w:r>
        <w:rPr>
          <w:lang w:eastAsia="zh-CN"/>
        </w:rPr>
        <w:t>/</w:t>
      </w:r>
      <w:r>
        <w:rPr>
          <w:rFonts w:hint="eastAsia"/>
          <w:lang w:eastAsia="zh-CN"/>
        </w:rPr>
        <w:t>或建议的相关条款。然而，为压缩报告页数，参引《无线电规则》或其他规则性文本时不应重复或援引其中的案文。</w:t>
      </w:r>
    </w:p>
    <w:p w14:paraId="171723E0" w14:textId="76107A10" w:rsidR="00BC3ACA" w:rsidRPr="00520BB7" w:rsidRDefault="00762FFF" w:rsidP="00E009DE">
      <w:pPr>
        <w:spacing w:before="360"/>
        <w:jc w:val="center"/>
      </w:pPr>
      <w:r>
        <w:t>______________</w:t>
      </w:r>
    </w:p>
    <w:sectPr w:rsidR="00BC3ACA" w:rsidRPr="00520BB7" w:rsidSect="00A5181E">
      <w:headerReference w:type="default" r:id="rId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6C525" w14:textId="77777777" w:rsidR="00762FFF" w:rsidRDefault="00762FFF">
      <w:r>
        <w:separator/>
      </w:r>
    </w:p>
  </w:endnote>
  <w:endnote w:type="continuationSeparator" w:id="0">
    <w:p w14:paraId="33AA998E" w14:textId="77777777" w:rsidR="00762FFF" w:rsidRDefault="0076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TKaiti">
    <w:altName w:val="华文楷体"/>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28F8" w14:textId="77777777" w:rsidR="00762FFF" w:rsidRDefault="00762FFF">
      <w:r>
        <w:t>____________________</w:t>
      </w:r>
    </w:p>
  </w:footnote>
  <w:footnote w:type="continuationSeparator" w:id="0">
    <w:p w14:paraId="42BA7DBF" w14:textId="77777777" w:rsidR="00762FFF" w:rsidRDefault="00762FFF">
      <w:r>
        <w:continuationSeparator/>
      </w:r>
    </w:p>
  </w:footnote>
  <w:footnote w:id="1">
    <w:p w14:paraId="6A8F4042" w14:textId="211052B7" w:rsidR="00621960" w:rsidRPr="006329CC" w:rsidRDefault="00621960" w:rsidP="00621960">
      <w:pPr>
        <w:pStyle w:val="FootnoteText"/>
        <w:rPr>
          <w:lang w:eastAsia="zh-CN"/>
        </w:rPr>
      </w:pPr>
      <w:r>
        <w:rPr>
          <w:rStyle w:val="FootnoteReference"/>
        </w:rPr>
        <w:footnoteRef/>
      </w:r>
      <w:r>
        <w:rPr>
          <w:lang w:eastAsia="zh-CN"/>
        </w:rPr>
        <w:tab/>
      </w:r>
      <w:r w:rsidRPr="009D467D">
        <w:rPr>
          <w:rFonts w:hint="eastAsia"/>
          <w:szCs w:val="22"/>
          <w:lang w:eastAsia="zh-CN"/>
        </w:rPr>
        <w:t>立即将举办的大会，以下简称“下届</w:t>
      </w:r>
      <w:r w:rsidRPr="009D467D">
        <w:rPr>
          <w:szCs w:val="22"/>
          <w:lang w:eastAsia="zh-CN"/>
        </w:rPr>
        <w:t>WRC</w:t>
      </w:r>
      <w:r w:rsidRPr="009D467D">
        <w:rPr>
          <w:rFonts w:hint="eastAsia"/>
          <w:szCs w:val="22"/>
          <w:lang w:eastAsia="zh-CN"/>
        </w:rPr>
        <w:t>”，是指在大会筹备会议第二次会议之后立即举办的</w:t>
      </w:r>
      <w:r w:rsidRPr="009D467D">
        <w:rPr>
          <w:szCs w:val="22"/>
          <w:lang w:eastAsia="zh-CN"/>
        </w:rPr>
        <w:t>WRC</w:t>
      </w:r>
      <w:r w:rsidRPr="009D467D">
        <w:rPr>
          <w:rFonts w:hint="eastAsia"/>
          <w:szCs w:val="22"/>
          <w:lang w:eastAsia="zh-CN"/>
        </w:rPr>
        <w:t>。随后一届大会是指在“下届</w:t>
      </w:r>
      <w:r w:rsidRPr="009D467D">
        <w:rPr>
          <w:szCs w:val="22"/>
          <w:lang w:eastAsia="zh-CN"/>
        </w:rPr>
        <w:t>WRC</w:t>
      </w:r>
      <w:r w:rsidRPr="009D467D">
        <w:rPr>
          <w:rFonts w:hint="eastAsia"/>
          <w:szCs w:val="22"/>
          <w:lang w:eastAsia="zh-CN"/>
        </w:rPr>
        <w:t>”的</w:t>
      </w:r>
      <w:r w:rsidRPr="009D467D">
        <w:rPr>
          <w:szCs w:val="22"/>
          <w:lang w:eastAsia="zh-CN"/>
        </w:rPr>
        <w:t>3-4</w:t>
      </w:r>
      <w:r w:rsidRPr="009D467D">
        <w:rPr>
          <w:rFonts w:hint="eastAsia"/>
          <w:szCs w:val="22"/>
          <w:lang w:eastAsia="zh-CN"/>
        </w:rPr>
        <w:t>年之后举办的</w:t>
      </w:r>
      <w:r w:rsidRPr="009D467D">
        <w:rPr>
          <w:szCs w:val="22"/>
          <w:lang w:eastAsia="zh-CN"/>
        </w:rPr>
        <w:t>WRC</w:t>
      </w:r>
      <w:r w:rsidRPr="009D467D">
        <w:rPr>
          <w:rFonts w:hint="eastAsia"/>
          <w:szCs w:val="22"/>
          <w:lang w:eastAsia="zh-CN"/>
        </w:rPr>
        <w:t>。</w:t>
      </w:r>
    </w:p>
  </w:footnote>
  <w:footnote w:id="2">
    <w:p w14:paraId="6D7B2A29" w14:textId="4BCCE097" w:rsidR="00B41A99" w:rsidRPr="00425D89" w:rsidRDefault="00B41A99" w:rsidP="00B41A99">
      <w:pPr>
        <w:pStyle w:val="FootnoteText"/>
        <w:rPr>
          <w:lang w:eastAsia="zh-CN"/>
        </w:rPr>
      </w:pPr>
      <w:r>
        <w:rPr>
          <w:rStyle w:val="FootnoteReference"/>
        </w:rPr>
        <w:footnoteRef/>
      </w:r>
      <w:r>
        <w:rPr>
          <w:lang w:eastAsia="zh-CN"/>
        </w:rPr>
        <w:tab/>
      </w:r>
      <w:r w:rsidRPr="000500FE">
        <w:rPr>
          <w:rFonts w:hint="eastAsia"/>
          <w:szCs w:val="22"/>
          <w:lang w:eastAsia="zh-CN"/>
        </w:rPr>
        <w:t>不得包含广告、促销和商业信息。</w:t>
      </w:r>
    </w:p>
  </w:footnote>
  <w:footnote w:id="3">
    <w:p w14:paraId="1F7A4A01" w14:textId="2314914D" w:rsidR="00B41A99" w:rsidRPr="00D62FAD" w:rsidRDefault="00B41A99" w:rsidP="00B41A99">
      <w:pPr>
        <w:pStyle w:val="FootnoteText"/>
      </w:pPr>
      <w:r>
        <w:rPr>
          <w:rStyle w:val="FootnoteReference"/>
        </w:rPr>
        <w:footnoteRef/>
      </w:r>
      <w:r>
        <w:rPr>
          <w:lang w:eastAsia="zh-CN"/>
        </w:rPr>
        <w:tab/>
      </w:r>
      <w:r w:rsidRPr="000500FE">
        <w:rPr>
          <w:rFonts w:hint="eastAsia"/>
          <w:szCs w:val="22"/>
          <w:lang w:eastAsia="zh-CN"/>
        </w:rPr>
        <w:t>不包括关于规则案文的示例页。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BA29" w14:textId="77777777" w:rsidR="005E6891" w:rsidRPr="00AF0B82" w:rsidRDefault="005E6891" w:rsidP="000A4F34">
    <w:pPr>
      <w:pStyle w:val="Header"/>
    </w:pPr>
    <w:r>
      <w:fldChar w:fldCharType="begin"/>
    </w:r>
    <w:r>
      <w:instrText xml:space="preserve"> PAGE </w:instrText>
    </w:r>
    <w:r>
      <w:fldChar w:fldCharType="separate"/>
    </w:r>
    <w:r w:rsidR="00767544">
      <w:rPr>
        <w:noProof/>
      </w:rPr>
      <w:t>2</w:t>
    </w:r>
    <w:r>
      <w:fldChar w:fldCharType="end"/>
    </w:r>
  </w:p>
  <w:p w14:paraId="6B43A21D" w14:textId="6F7DE22D" w:rsidR="005E6891" w:rsidRPr="00AF0B82" w:rsidRDefault="005E6891" w:rsidP="00767544">
    <w:pPr>
      <w:pStyle w:val="Header"/>
      <w:rPr>
        <w:lang w:eastAsia="zh-CN"/>
      </w:rPr>
    </w:pPr>
    <w:r w:rsidRPr="00AF0B82">
      <w:t>RAG/</w:t>
    </w:r>
    <w:r w:rsidR="00520BB7">
      <w:rPr>
        <w:rFonts w:hint="eastAsia"/>
        <w:lang w:eastAsia="zh-CN"/>
      </w:rPr>
      <w:t>35</w:t>
    </w:r>
    <w:r w:rsidRPr="00AF0B82">
      <w:t>-</w:t>
    </w:r>
    <w:r w:rsidRPr="00AF0B82">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114639857">
    <w:abstractNumId w:val="9"/>
  </w:num>
  <w:num w:numId="2" w16cid:durableId="1481077173">
    <w:abstractNumId w:val="7"/>
  </w:num>
  <w:num w:numId="3" w16cid:durableId="205680738">
    <w:abstractNumId w:val="6"/>
  </w:num>
  <w:num w:numId="4" w16cid:durableId="892034708">
    <w:abstractNumId w:val="5"/>
  </w:num>
  <w:num w:numId="5" w16cid:durableId="1540776578">
    <w:abstractNumId w:val="4"/>
  </w:num>
  <w:num w:numId="6" w16cid:durableId="747505722">
    <w:abstractNumId w:val="8"/>
  </w:num>
  <w:num w:numId="7" w16cid:durableId="1189680016">
    <w:abstractNumId w:val="3"/>
  </w:num>
  <w:num w:numId="8" w16cid:durableId="46538586">
    <w:abstractNumId w:val="2"/>
  </w:num>
  <w:num w:numId="9" w16cid:durableId="423645315">
    <w:abstractNumId w:val="1"/>
  </w:num>
  <w:num w:numId="10" w16cid:durableId="1335113767">
    <w:abstractNumId w:val="0"/>
  </w:num>
  <w:num w:numId="11" w16cid:durableId="903292650">
    <w:abstractNumId w:val="15"/>
  </w:num>
  <w:num w:numId="12" w16cid:durableId="1135755550">
    <w:abstractNumId w:val="24"/>
  </w:num>
  <w:num w:numId="13" w16cid:durableId="1761947421">
    <w:abstractNumId w:val="26"/>
  </w:num>
  <w:num w:numId="14" w16cid:durableId="1350569257">
    <w:abstractNumId w:val="23"/>
  </w:num>
  <w:num w:numId="15" w16cid:durableId="263343726">
    <w:abstractNumId w:val="20"/>
  </w:num>
  <w:num w:numId="16" w16cid:durableId="1567761036">
    <w:abstractNumId w:val="25"/>
  </w:num>
  <w:num w:numId="17" w16cid:durableId="1975794458">
    <w:abstractNumId w:val="19"/>
  </w:num>
  <w:num w:numId="18" w16cid:durableId="535318112">
    <w:abstractNumId w:val="10"/>
  </w:num>
  <w:num w:numId="19" w16cid:durableId="1534072372">
    <w:abstractNumId w:val="13"/>
  </w:num>
  <w:num w:numId="20" w16cid:durableId="1633517224">
    <w:abstractNumId w:val="14"/>
  </w:num>
  <w:num w:numId="21" w16cid:durableId="1993757046">
    <w:abstractNumId w:val="17"/>
  </w:num>
  <w:num w:numId="22" w16cid:durableId="30234099">
    <w:abstractNumId w:val="27"/>
  </w:num>
  <w:num w:numId="23" w16cid:durableId="506410422">
    <w:abstractNumId w:val="21"/>
  </w:num>
  <w:num w:numId="24" w16cid:durableId="174879306">
    <w:abstractNumId w:val="22"/>
  </w:num>
  <w:num w:numId="25" w16cid:durableId="1293172585">
    <w:abstractNumId w:val="11"/>
  </w:num>
  <w:num w:numId="26" w16cid:durableId="318463073">
    <w:abstractNumId w:val="18"/>
  </w:num>
  <w:num w:numId="27" w16cid:durableId="1610888282">
    <w:abstractNumId w:val="12"/>
  </w:num>
  <w:num w:numId="28" w16cid:durableId="79190008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G-C(JL)">
    <w15:presenceInfo w15:providerId="None" w15:userId="LING-C(JL)"/>
  </w15:person>
  <w15:person w15:author="LING-C/TYS">
    <w15:presenceInfo w15:providerId="None" w15:userId="LING-C/T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FF"/>
    <w:rsid w:val="00020106"/>
    <w:rsid w:val="00021007"/>
    <w:rsid w:val="00034C59"/>
    <w:rsid w:val="00062FA4"/>
    <w:rsid w:val="0006614B"/>
    <w:rsid w:val="00082FBE"/>
    <w:rsid w:val="00084871"/>
    <w:rsid w:val="00085541"/>
    <w:rsid w:val="00093C73"/>
    <w:rsid w:val="000A0059"/>
    <w:rsid w:val="000A4F34"/>
    <w:rsid w:val="000A5F9E"/>
    <w:rsid w:val="000B0A4F"/>
    <w:rsid w:val="000B4D42"/>
    <w:rsid w:val="000C0FEC"/>
    <w:rsid w:val="000F275A"/>
    <w:rsid w:val="000F3718"/>
    <w:rsid w:val="00107E5A"/>
    <w:rsid w:val="001225EE"/>
    <w:rsid w:val="00130A81"/>
    <w:rsid w:val="00130B50"/>
    <w:rsid w:val="0013473D"/>
    <w:rsid w:val="001368A7"/>
    <w:rsid w:val="00145997"/>
    <w:rsid w:val="00147382"/>
    <w:rsid w:val="00152B3F"/>
    <w:rsid w:val="001539C7"/>
    <w:rsid w:val="001551D2"/>
    <w:rsid w:val="00164A74"/>
    <w:rsid w:val="00166041"/>
    <w:rsid w:val="001722B2"/>
    <w:rsid w:val="00175850"/>
    <w:rsid w:val="00193A09"/>
    <w:rsid w:val="00194AD3"/>
    <w:rsid w:val="0019729C"/>
    <w:rsid w:val="001A5A4C"/>
    <w:rsid w:val="001B032E"/>
    <w:rsid w:val="001B4810"/>
    <w:rsid w:val="001D2334"/>
    <w:rsid w:val="001D2E57"/>
    <w:rsid w:val="001D6E77"/>
    <w:rsid w:val="001E5A76"/>
    <w:rsid w:val="001E692F"/>
    <w:rsid w:val="001E7277"/>
    <w:rsid w:val="001F6763"/>
    <w:rsid w:val="001F75CD"/>
    <w:rsid w:val="0020573C"/>
    <w:rsid w:val="00213AE0"/>
    <w:rsid w:val="00221367"/>
    <w:rsid w:val="00236FBE"/>
    <w:rsid w:val="00244613"/>
    <w:rsid w:val="00252B08"/>
    <w:rsid w:val="00271619"/>
    <w:rsid w:val="00271C4F"/>
    <w:rsid w:val="0029544B"/>
    <w:rsid w:val="002A6FC3"/>
    <w:rsid w:val="002B224F"/>
    <w:rsid w:val="002C5CAC"/>
    <w:rsid w:val="002C69A2"/>
    <w:rsid w:val="002E6592"/>
    <w:rsid w:val="002F340E"/>
    <w:rsid w:val="002F666E"/>
    <w:rsid w:val="002F6A4E"/>
    <w:rsid w:val="002F7978"/>
    <w:rsid w:val="00302A9B"/>
    <w:rsid w:val="00303349"/>
    <w:rsid w:val="0030740E"/>
    <w:rsid w:val="003221F3"/>
    <w:rsid w:val="0033041D"/>
    <w:rsid w:val="00333980"/>
    <w:rsid w:val="00342405"/>
    <w:rsid w:val="00342659"/>
    <w:rsid w:val="0034529C"/>
    <w:rsid w:val="00361609"/>
    <w:rsid w:val="00363AF1"/>
    <w:rsid w:val="00364117"/>
    <w:rsid w:val="003653BC"/>
    <w:rsid w:val="00370DA9"/>
    <w:rsid w:val="00371A3D"/>
    <w:rsid w:val="003859B4"/>
    <w:rsid w:val="00392390"/>
    <w:rsid w:val="00397CD7"/>
    <w:rsid w:val="003A0B83"/>
    <w:rsid w:val="003A361A"/>
    <w:rsid w:val="003A71AC"/>
    <w:rsid w:val="003B0D63"/>
    <w:rsid w:val="003B317F"/>
    <w:rsid w:val="003B55F3"/>
    <w:rsid w:val="003D0AB2"/>
    <w:rsid w:val="003D2EFD"/>
    <w:rsid w:val="003E4E3F"/>
    <w:rsid w:val="003F2683"/>
    <w:rsid w:val="003F5A64"/>
    <w:rsid w:val="00405539"/>
    <w:rsid w:val="00405F35"/>
    <w:rsid w:val="00406282"/>
    <w:rsid w:val="00411DE5"/>
    <w:rsid w:val="0042612F"/>
    <w:rsid w:val="00426448"/>
    <w:rsid w:val="00432D7F"/>
    <w:rsid w:val="0043586E"/>
    <w:rsid w:val="0045496A"/>
    <w:rsid w:val="004557A7"/>
    <w:rsid w:val="00460615"/>
    <w:rsid w:val="0046370D"/>
    <w:rsid w:val="00465D72"/>
    <w:rsid w:val="004673F1"/>
    <w:rsid w:val="00474CCC"/>
    <w:rsid w:val="00491D13"/>
    <w:rsid w:val="00492483"/>
    <w:rsid w:val="004974DE"/>
    <w:rsid w:val="004976C5"/>
    <w:rsid w:val="004A07A2"/>
    <w:rsid w:val="004B468C"/>
    <w:rsid w:val="004C1105"/>
    <w:rsid w:val="004D08EB"/>
    <w:rsid w:val="004E5C65"/>
    <w:rsid w:val="004F3435"/>
    <w:rsid w:val="0050528F"/>
    <w:rsid w:val="00507D0A"/>
    <w:rsid w:val="00513BEA"/>
    <w:rsid w:val="0051782D"/>
    <w:rsid w:val="005205CD"/>
    <w:rsid w:val="00520BB7"/>
    <w:rsid w:val="00522272"/>
    <w:rsid w:val="0053462E"/>
    <w:rsid w:val="00552474"/>
    <w:rsid w:val="0055452F"/>
    <w:rsid w:val="00561A8F"/>
    <w:rsid w:val="00562977"/>
    <w:rsid w:val="0057042F"/>
    <w:rsid w:val="00576A0F"/>
    <w:rsid w:val="00584584"/>
    <w:rsid w:val="00585978"/>
    <w:rsid w:val="00587D68"/>
    <w:rsid w:val="00591E9F"/>
    <w:rsid w:val="005A7A9C"/>
    <w:rsid w:val="005B1147"/>
    <w:rsid w:val="005C0B5E"/>
    <w:rsid w:val="005C190E"/>
    <w:rsid w:val="005C6906"/>
    <w:rsid w:val="005C78A9"/>
    <w:rsid w:val="005D4564"/>
    <w:rsid w:val="005D4F78"/>
    <w:rsid w:val="005D6EC1"/>
    <w:rsid w:val="005E40CA"/>
    <w:rsid w:val="005E6891"/>
    <w:rsid w:val="005F0CAC"/>
    <w:rsid w:val="005F4A85"/>
    <w:rsid w:val="0060404C"/>
    <w:rsid w:val="00606766"/>
    <w:rsid w:val="0060773B"/>
    <w:rsid w:val="00614DF9"/>
    <w:rsid w:val="00617963"/>
    <w:rsid w:val="00621960"/>
    <w:rsid w:val="006311E7"/>
    <w:rsid w:val="00641306"/>
    <w:rsid w:val="00642979"/>
    <w:rsid w:val="006476FF"/>
    <w:rsid w:val="00652764"/>
    <w:rsid w:val="00653323"/>
    <w:rsid w:val="0065517E"/>
    <w:rsid w:val="006556D9"/>
    <w:rsid w:val="00664647"/>
    <w:rsid w:val="00665AB9"/>
    <w:rsid w:val="00667F5B"/>
    <w:rsid w:val="00683C7F"/>
    <w:rsid w:val="00690DAD"/>
    <w:rsid w:val="00693E5D"/>
    <w:rsid w:val="00695C92"/>
    <w:rsid w:val="0069621F"/>
    <w:rsid w:val="006A3E35"/>
    <w:rsid w:val="006A3FBE"/>
    <w:rsid w:val="006A4BD4"/>
    <w:rsid w:val="006A7022"/>
    <w:rsid w:val="006B16EA"/>
    <w:rsid w:val="006D0022"/>
    <w:rsid w:val="006D0CA1"/>
    <w:rsid w:val="006D36FE"/>
    <w:rsid w:val="006D3CED"/>
    <w:rsid w:val="006D43D7"/>
    <w:rsid w:val="006E5B7C"/>
    <w:rsid w:val="006E6364"/>
    <w:rsid w:val="006F0D51"/>
    <w:rsid w:val="006F31AB"/>
    <w:rsid w:val="007029A5"/>
    <w:rsid w:val="00723E69"/>
    <w:rsid w:val="00725BEA"/>
    <w:rsid w:val="00726BD1"/>
    <w:rsid w:val="00730A2A"/>
    <w:rsid w:val="0074537E"/>
    <w:rsid w:val="00747D24"/>
    <w:rsid w:val="0075704C"/>
    <w:rsid w:val="00757BB1"/>
    <w:rsid w:val="00762FFF"/>
    <w:rsid w:val="007669B2"/>
    <w:rsid w:val="00767544"/>
    <w:rsid w:val="00777351"/>
    <w:rsid w:val="007A299C"/>
    <w:rsid w:val="007A31FF"/>
    <w:rsid w:val="007A6C4A"/>
    <w:rsid w:val="007B56C2"/>
    <w:rsid w:val="007B7525"/>
    <w:rsid w:val="007C0529"/>
    <w:rsid w:val="007C0CCC"/>
    <w:rsid w:val="007C4F8B"/>
    <w:rsid w:val="007D5B11"/>
    <w:rsid w:val="007E466C"/>
    <w:rsid w:val="007F087F"/>
    <w:rsid w:val="007F1A81"/>
    <w:rsid w:val="007F28FE"/>
    <w:rsid w:val="007F7F05"/>
    <w:rsid w:val="008027FD"/>
    <w:rsid w:val="008051C9"/>
    <w:rsid w:val="008120DB"/>
    <w:rsid w:val="008127CF"/>
    <w:rsid w:val="00817FE6"/>
    <w:rsid w:val="00823553"/>
    <w:rsid w:val="008243CD"/>
    <w:rsid w:val="00824751"/>
    <w:rsid w:val="00824ADB"/>
    <w:rsid w:val="0082609B"/>
    <w:rsid w:val="008261D5"/>
    <w:rsid w:val="008278E0"/>
    <w:rsid w:val="00841C76"/>
    <w:rsid w:val="0084602B"/>
    <w:rsid w:val="00847E2F"/>
    <w:rsid w:val="008552AB"/>
    <w:rsid w:val="008558A1"/>
    <w:rsid w:val="00855B4C"/>
    <w:rsid w:val="00857695"/>
    <w:rsid w:val="00861C2D"/>
    <w:rsid w:val="0087115D"/>
    <w:rsid w:val="0088263F"/>
    <w:rsid w:val="0088755C"/>
    <w:rsid w:val="008954AA"/>
    <w:rsid w:val="008A56A5"/>
    <w:rsid w:val="008B06FC"/>
    <w:rsid w:val="008C1346"/>
    <w:rsid w:val="008C34A4"/>
    <w:rsid w:val="008C7B07"/>
    <w:rsid w:val="008D06A4"/>
    <w:rsid w:val="008E11BE"/>
    <w:rsid w:val="008F1F07"/>
    <w:rsid w:val="008F50C1"/>
    <w:rsid w:val="008F60D1"/>
    <w:rsid w:val="00903039"/>
    <w:rsid w:val="0091120B"/>
    <w:rsid w:val="00912356"/>
    <w:rsid w:val="00915949"/>
    <w:rsid w:val="00920D5A"/>
    <w:rsid w:val="0092390D"/>
    <w:rsid w:val="00924B9F"/>
    <w:rsid w:val="009322FA"/>
    <w:rsid w:val="009345BB"/>
    <w:rsid w:val="009369E5"/>
    <w:rsid w:val="009456BE"/>
    <w:rsid w:val="00951886"/>
    <w:rsid w:val="009540C3"/>
    <w:rsid w:val="00954917"/>
    <w:rsid w:val="00964285"/>
    <w:rsid w:val="0097307C"/>
    <w:rsid w:val="0098015B"/>
    <w:rsid w:val="009A13C5"/>
    <w:rsid w:val="009A3FE6"/>
    <w:rsid w:val="009B51E5"/>
    <w:rsid w:val="009B5FCA"/>
    <w:rsid w:val="009C0DC9"/>
    <w:rsid w:val="009C16F8"/>
    <w:rsid w:val="009C521B"/>
    <w:rsid w:val="009F6C40"/>
    <w:rsid w:val="00A038FA"/>
    <w:rsid w:val="00A054E3"/>
    <w:rsid w:val="00A05E32"/>
    <w:rsid w:val="00A06654"/>
    <w:rsid w:val="00A07083"/>
    <w:rsid w:val="00A16CB2"/>
    <w:rsid w:val="00A177BA"/>
    <w:rsid w:val="00A23E26"/>
    <w:rsid w:val="00A25EC7"/>
    <w:rsid w:val="00A27ECF"/>
    <w:rsid w:val="00A32C3E"/>
    <w:rsid w:val="00A363F4"/>
    <w:rsid w:val="00A42068"/>
    <w:rsid w:val="00A43ACF"/>
    <w:rsid w:val="00A43DC2"/>
    <w:rsid w:val="00A47E56"/>
    <w:rsid w:val="00A50605"/>
    <w:rsid w:val="00A5181E"/>
    <w:rsid w:val="00A620A1"/>
    <w:rsid w:val="00A636C2"/>
    <w:rsid w:val="00A6419B"/>
    <w:rsid w:val="00A660E0"/>
    <w:rsid w:val="00A70937"/>
    <w:rsid w:val="00A85AC3"/>
    <w:rsid w:val="00A87C9B"/>
    <w:rsid w:val="00A941E2"/>
    <w:rsid w:val="00AA5CA5"/>
    <w:rsid w:val="00AB1F17"/>
    <w:rsid w:val="00AB5C70"/>
    <w:rsid w:val="00AB6919"/>
    <w:rsid w:val="00AB6D53"/>
    <w:rsid w:val="00AB7ADF"/>
    <w:rsid w:val="00AC2193"/>
    <w:rsid w:val="00AC76AF"/>
    <w:rsid w:val="00AD21E9"/>
    <w:rsid w:val="00AD5D1A"/>
    <w:rsid w:val="00AE3B65"/>
    <w:rsid w:val="00AE40E0"/>
    <w:rsid w:val="00AF0B82"/>
    <w:rsid w:val="00B11BA5"/>
    <w:rsid w:val="00B1508A"/>
    <w:rsid w:val="00B25A3A"/>
    <w:rsid w:val="00B41587"/>
    <w:rsid w:val="00B41A99"/>
    <w:rsid w:val="00B41DCB"/>
    <w:rsid w:val="00B523C6"/>
    <w:rsid w:val="00B52992"/>
    <w:rsid w:val="00B57898"/>
    <w:rsid w:val="00B62CF3"/>
    <w:rsid w:val="00B651DB"/>
    <w:rsid w:val="00B76AE3"/>
    <w:rsid w:val="00B77421"/>
    <w:rsid w:val="00B865B8"/>
    <w:rsid w:val="00B9093E"/>
    <w:rsid w:val="00B90D98"/>
    <w:rsid w:val="00B925F8"/>
    <w:rsid w:val="00BA5299"/>
    <w:rsid w:val="00BB099B"/>
    <w:rsid w:val="00BB3DBA"/>
    <w:rsid w:val="00BB4ADA"/>
    <w:rsid w:val="00BC195C"/>
    <w:rsid w:val="00BC3ACA"/>
    <w:rsid w:val="00BC3C94"/>
    <w:rsid w:val="00BC42EE"/>
    <w:rsid w:val="00BC72C9"/>
    <w:rsid w:val="00BD05A7"/>
    <w:rsid w:val="00BD2F5F"/>
    <w:rsid w:val="00BD41C7"/>
    <w:rsid w:val="00BD7223"/>
    <w:rsid w:val="00BE163D"/>
    <w:rsid w:val="00BE1942"/>
    <w:rsid w:val="00BE1F57"/>
    <w:rsid w:val="00BE5A75"/>
    <w:rsid w:val="00C0211F"/>
    <w:rsid w:val="00C226F4"/>
    <w:rsid w:val="00C25047"/>
    <w:rsid w:val="00C3076D"/>
    <w:rsid w:val="00C30A3C"/>
    <w:rsid w:val="00C53641"/>
    <w:rsid w:val="00C60AC9"/>
    <w:rsid w:val="00C77784"/>
    <w:rsid w:val="00C94697"/>
    <w:rsid w:val="00CB2BE8"/>
    <w:rsid w:val="00CB7F4E"/>
    <w:rsid w:val="00CC1C81"/>
    <w:rsid w:val="00CE1DEC"/>
    <w:rsid w:val="00CE20C1"/>
    <w:rsid w:val="00CE6FDB"/>
    <w:rsid w:val="00CF38C3"/>
    <w:rsid w:val="00CF6EFF"/>
    <w:rsid w:val="00D0037A"/>
    <w:rsid w:val="00D02852"/>
    <w:rsid w:val="00D05AA4"/>
    <w:rsid w:val="00D07201"/>
    <w:rsid w:val="00D22D5C"/>
    <w:rsid w:val="00D33A41"/>
    <w:rsid w:val="00D476FB"/>
    <w:rsid w:val="00D57861"/>
    <w:rsid w:val="00D6793C"/>
    <w:rsid w:val="00D67B99"/>
    <w:rsid w:val="00D72A39"/>
    <w:rsid w:val="00D769B3"/>
    <w:rsid w:val="00D77F6A"/>
    <w:rsid w:val="00D80A4C"/>
    <w:rsid w:val="00D8149F"/>
    <w:rsid w:val="00D83981"/>
    <w:rsid w:val="00D872CB"/>
    <w:rsid w:val="00D91C7F"/>
    <w:rsid w:val="00DC75E8"/>
    <w:rsid w:val="00DF0D07"/>
    <w:rsid w:val="00DF3D87"/>
    <w:rsid w:val="00DF44DA"/>
    <w:rsid w:val="00E009DE"/>
    <w:rsid w:val="00E0336A"/>
    <w:rsid w:val="00E04C5D"/>
    <w:rsid w:val="00E130B3"/>
    <w:rsid w:val="00E134DF"/>
    <w:rsid w:val="00E14765"/>
    <w:rsid w:val="00E246AC"/>
    <w:rsid w:val="00E27750"/>
    <w:rsid w:val="00E301FE"/>
    <w:rsid w:val="00E310C8"/>
    <w:rsid w:val="00E32DE7"/>
    <w:rsid w:val="00E331B2"/>
    <w:rsid w:val="00E37220"/>
    <w:rsid w:val="00E37793"/>
    <w:rsid w:val="00E55989"/>
    <w:rsid w:val="00E56657"/>
    <w:rsid w:val="00E62C6E"/>
    <w:rsid w:val="00E91301"/>
    <w:rsid w:val="00E96E00"/>
    <w:rsid w:val="00E979BD"/>
    <w:rsid w:val="00EA1892"/>
    <w:rsid w:val="00EB0ED5"/>
    <w:rsid w:val="00EC640E"/>
    <w:rsid w:val="00ED13A2"/>
    <w:rsid w:val="00ED5D07"/>
    <w:rsid w:val="00ED70DA"/>
    <w:rsid w:val="00EE44D4"/>
    <w:rsid w:val="00EF0218"/>
    <w:rsid w:val="00EF42D3"/>
    <w:rsid w:val="00EF6A54"/>
    <w:rsid w:val="00F1110E"/>
    <w:rsid w:val="00F349E0"/>
    <w:rsid w:val="00F36311"/>
    <w:rsid w:val="00F36FFF"/>
    <w:rsid w:val="00F41BC0"/>
    <w:rsid w:val="00F502A8"/>
    <w:rsid w:val="00F50FD6"/>
    <w:rsid w:val="00F5472A"/>
    <w:rsid w:val="00F5795F"/>
    <w:rsid w:val="00F64817"/>
    <w:rsid w:val="00F659D0"/>
    <w:rsid w:val="00F725E1"/>
    <w:rsid w:val="00F83718"/>
    <w:rsid w:val="00F9582A"/>
    <w:rsid w:val="00FB1E59"/>
    <w:rsid w:val="00FB29A3"/>
    <w:rsid w:val="00FB630E"/>
    <w:rsid w:val="00FC36D2"/>
    <w:rsid w:val="00FC3D94"/>
    <w:rsid w:val="00FD4917"/>
    <w:rsid w:val="00FF492C"/>
    <w:rsid w:val="00FF5B6E"/>
    <w:rsid w:val="00FF66BB"/>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90573"/>
  <w15:docId w15:val="{F339FD1D-B1CF-43FE-91CB-1551E5EF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64285"/>
    <w:pPr>
      <w:keepNext/>
      <w:keepLines/>
      <w:spacing w:before="360"/>
      <w:ind w:left="794" w:hanging="794"/>
      <w:outlineLvl w:val="0"/>
    </w:pPr>
    <w:rPr>
      <w:b/>
    </w:rPr>
  </w:style>
  <w:style w:type="paragraph" w:styleId="Heading2">
    <w:name w:val="heading 2"/>
    <w:basedOn w:val="Heading1"/>
    <w:next w:val="Normal"/>
    <w:qFormat/>
    <w:rsid w:val="00964285"/>
    <w:pPr>
      <w:spacing w:before="240"/>
      <w:outlineLvl w:val="1"/>
    </w:pPr>
  </w:style>
  <w:style w:type="paragraph" w:styleId="Heading3">
    <w:name w:val="heading 3"/>
    <w:basedOn w:val="Heading1"/>
    <w:next w:val="Normal"/>
    <w:link w:val="Heading3Char"/>
    <w:qFormat/>
    <w:rsid w:val="00964285"/>
    <w:pPr>
      <w:spacing w:before="160"/>
      <w:outlineLvl w:val="2"/>
    </w:pPr>
  </w:style>
  <w:style w:type="paragraph" w:styleId="Heading4">
    <w:name w:val="heading 4"/>
    <w:basedOn w:val="Heading3"/>
    <w:next w:val="Normal"/>
    <w:qFormat/>
    <w:rsid w:val="00964285"/>
    <w:pPr>
      <w:tabs>
        <w:tab w:val="clear" w:pos="794"/>
        <w:tab w:val="left" w:pos="1021"/>
      </w:tabs>
      <w:ind w:left="1021" w:hanging="1021"/>
      <w:outlineLvl w:val="3"/>
    </w:pPr>
  </w:style>
  <w:style w:type="paragraph" w:styleId="Heading5">
    <w:name w:val="heading 5"/>
    <w:basedOn w:val="Heading4"/>
    <w:next w:val="Normal"/>
    <w:qFormat/>
    <w:rsid w:val="00964285"/>
    <w:pPr>
      <w:outlineLvl w:val="4"/>
    </w:pPr>
  </w:style>
  <w:style w:type="paragraph" w:styleId="Heading6">
    <w:name w:val="heading 6"/>
    <w:basedOn w:val="Heading4"/>
    <w:next w:val="Normal"/>
    <w:qFormat/>
    <w:rsid w:val="00964285"/>
    <w:pPr>
      <w:tabs>
        <w:tab w:val="clear" w:pos="1021"/>
        <w:tab w:val="clear" w:pos="1191"/>
      </w:tabs>
      <w:ind w:left="1588" w:hanging="1588"/>
      <w:outlineLvl w:val="5"/>
    </w:pPr>
  </w:style>
  <w:style w:type="paragraph" w:styleId="Heading7">
    <w:name w:val="heading 7"/>
    <w:basedOn w:val="Heading6"/>
    <w:next w:val="Normal"/>
    <w:qFormat/>
    <w:rsid w:val="00964285"/>
    <w:pPr>
      <w:outlineLvl w:val="6"/>
    </w:pPr>
  </w:style>
  <w:style w:type="paragraph" w:styleId="Heading8">
    <w:name w:val="heading 8"/>
    <w:basedOn w:val="Heading6"/>
    <w:next w:val="Normal"/>
    <w:qFormat/>
    <w:rsid w:val="00964285"/>
    <w:pPr>
      <w:outlineLvl w:val="7"/>
    </w:pPr>
  </w:style>
  <w:style w:type="paragraph" w:styleId="Heading9">
    <w:name w:val="heading 9"/>
    <w:basedOn w:val="Heading6"/>
    <w:next w:val="Normal"/>
    <w:qFormat/>
    <w:rsid w:val="0096428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rsid w:val="00964285"/>
  </w:style>
  <w:style w:type="paragraph" w:customStyle="1" w:styleId="Call">
    <w:name w:val="Call"/>
    <w:basedOn w:val="Normal"/>
    <w:next w:val="Normal"/>
    <w:link w:val="CallChar"/>
    <w:qFormat/>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semiHidden/>
    <w:rsid w:val="00964285"/>
    <w:rPr>
      <w:vertAlign w:val="superscript"/>
    </w:rPr>
  </w:style>
  <w:style w:type="paragraph" w:customStyle="1" w:styleId="enumlev1">
    <w:name w:val="enumlev1"/>
    <w:basedOn w:val="Normal"/>
    <w:link w:val="enumlev1Char"/>
    <w:qFormat/>
    <w:rsid w:val="00964285"/>
    <w:pPr>
      <w:spacing w:before="80"/>
      <w:ind w:left="794" w:hanging="794"/>
    </w:pPr>
  </w:style>
  <w:style w:type="paragraph" w:customStyle="1" w:styleId="enumlev2">
    <w:name w:val="enumlev2"/>
    <w:basedOn w:val="enumlev1"/>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Style"/>
    <w:basedOn w:val="DefaultParagraphFont"/>
    <w:qFormat/>
    <w:rsid w:val="00964285"/>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DNV"/>
    <w:basedOn w:val="Note"/>
    <w:link w:val="FootnoteTextChar"/>
    <w:qFormat/>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basedOn w:val="Normal"/>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semiHidden/>
    <w:rsid w:val="00964285"/>
  </w:style>
  <w:style w:type="paragraph" w:styleId="Index2">
    <w:name w:val="index 2"/>
    <w:basedOn w:val="Normal"/>
    <w:next w:val="Normal"/>
    <w:semiHidden/>
    <w:rsid w:val="00964285"/>
    <w:pPr>
      <w:ind w:left="283"/>
    </w:pPr>
  </w:style>
  <w:style w:type="paragraph" w:styleId="Index3">
    <w:name w:val="index 3"/>
    <w:basedOn w:val="Normal"/>
    <w:next w:val="Normal"/>
    <w:semiHidden/>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semiHidden/>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64285"/>
    <w:pPr>
      <w:spacing w:before="80"/>
      <w:ind w:left="1531" w:hanging="851"/>
    </w:pPr>
  </w:style>
  <w:style w:type="paragraph" w:styleId="TOC3">
    <w:name w:val="toc 3"/>
    <w:basedOn w:val="TOC2"/>
    <w:semiHidden/>
    <w:rsid w:val="00964285"/>
  </w:style>
  <w:style w:type="paragraph" w:styleId="TOC4">
    <w:name w:val="toc 4"/>
    <w:basedOn w:val="TOC3"/>
    <w:semiHidden/>
    <w:rsid w:val="00964285"/>
  </w:style>
  <w:style w:type="paragraph" w:styleId="TOC5">
    <w:name w:val="toc 5"/>
    <w:basedOn w:val="TOC4"/>
    <w:semiHidden/>
    <w:rsid w:val="00964285"/>
  </w:style>
  <w:style w:type="paragraph" w:styleId="TOC6">
    <w:name w:val="toc 6"/>
    <w:basedOn w:val="TOC4"/>
    <w:semiHidden/>
    <w:rsid w:val="00964285"/>
  </w:style>
  <w:style w:type="paragraph" w:styleId="TOC7">
    <w:name w:val="toc 7"/>
    <w:basedOn w:val="TOC4"/>
    <w:semiHidden/>
    <w:rsid w:val="00964285"/>
  </w:style>
  <w:style w:type="paragraph" w:styleId="TOC8">
    <w:name w:val="toc 8"/>
    <w:basedOn w:val="TOC4"/>
    <w:semiHidden/>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basedOn w:val="DefaultParagraphFont"/>
    <w:rsid w:val="007A299C"/>
    <w:rPr>
      <w:color w:val="0000FF"/>
      <w:u w:val="single"/>
    </w:rPr>
  </w:style>
  <w:style w:type="paragraph" w:customStyle="1" w:styleId="TableNo">
    <w:name w:val="Table_No"/>
    <w:basedOn w:val="Normal"/>
    <w:next w:val="Normal"/>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basedOn w:val="DefaultParagraphFont"/>
    <w:link w:val="Heading3"/>
    <w:semiHidden/>
    <w:rsid w:val="001E692F"/>
    <w:rPr>
      <w:b/>
      <w:sz w:val="24"/>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qFormat/>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qFormat/>
    <w:locked/>
    <w:rsid w:val="00E96E00"/>
    <w:rPr>
      <w:rFonts w:ascii="Times New Roman" w:eastAsia="STKaiti" w:hAnsi="Times New Roman"/>
      <w:sz w:val="24"/>
      <w:lang w:val="en-GB" w:eastAsia="en-US"/>
    </w:rPr>
  </w:style>
  <w:style w:type="character" w:customStyle="1" w:styleId="enumlev1Char">
    <w:name w:val="enumlev1 Char"/>
    <w:link w:val="enumlev1"/>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qFormat/>
    <w:rsid w:val="007F7F05"/>
    <w:pPr>
      <w:spacing w:before="320"/>
      <w:jc w:val="both"/>
    </w:pPr>
  </w:style>
  <w:style w:type="character" w:customStyle="1" w:styleId="NormalaftertitleChar">
    <w:name w:val="Normal after title Char"/>
    <w:basedOn w:val="DefaultParagraphFont"/>
    <w:link w:val="Normalaftertitle"/>
    <w:qFormat/>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paragraph" w:customStyle="1" w:styleId="AnnexNo">
    <w:name w:val="Annex_No"/>
    <w:basedOn w:val="Normal"/>
    <w:next w:val="Normal"/>
    <w:link w:val="AnnexNoCar"/>
    <w:rsid w:val="00762FFF"/>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qFormat/>
    <w:rsid w:val="00762FFF"/>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Normalaftertitle0">
    <w:name w:val="Normal_after_title"/>
    <w:basedOn w:val="Normal"/>
    <w:next w:val="Normal"/>
    <w:link w:val="NormalaftertitleChar0"/>
    <w:rsid w:val="00762FFF"/>
    <w:pPr>
      <w:tabs>
        <w:tab w:val="clear" w:pos="794"/>
        <w:tab w:val="clear" w:pos="1191"/>
        <w:tab w:val="clear" w:pos="1588"/>
        <w:tab w:val="clear" w:pos="1985"/>
        <w:tab w:val="left" w:pos="1134"/>
        <w:tab w:val="left" w:pos="1871"/>
        <w:tab w:val="left" w:pos="2268"/>
      </w:tabs>
      <w:spacing w:before="360"/>
    </w:pPr>
  </w:style>
  <w:style w:type="character" w:customStyle="1" w:styleId="AnnexNoCar">
    <w:name w:val="Annex_No Car"/>
    <w:basedOn w:val="DefaultParagraphFont"/>
    <w:link w:val="AnnexNo"/>
    <w:locked/>
    <w:rsid w:val="00762FFF"/>
    <w:rPr>
      <w:rFonts w:ascii="Times New Roman" w:hAnsi="Times New Roman"/>
      <w:caps/>
      <w:sz w:val="28"/>
      <w:lang w:val="en-GB" w:eastAsia="en-US"/>
    </w:rPr>
  </w:style>
  <w:style w:type="character" w:customStyle="1" w:styleId="Heading1Char">
    <w:name w:val="Heading 1 Char"/>
    <w:basedOn w:val="DefaultParagraphFont"/>
    <w:link w:val="Heading1"/>
    <w:rsid w:val="00762FFF"/>
    <w:rPr>
      <w:rFonts w:ascii="Times New Roman" w:hAnsi="Times New Roman"/>
      <w:b/>
      <w:sz w:val="24"/>
      <w:lang w:val="en-GB" w:eastAsia="en-US"/>
    </w:rPr>
  </w:style>
  <w:style w:type="character" w:customStyle="1" w:styleId="NormalaftertitleChar0">
    <w:name w:val="Normal_after_title Char"/>
    <w:basedOn w:val="DefaultParagraphFont"/>
    <w:link w:val="Normalaftertitle0"/>
    <w:locked/>
    <w:rsid w:val="00762FFF"/>
    <w:rPr>
      <w:rFonts w:ascii="Times New Roman" w:hAnsi="Times New Roman"/>
      <w:sz w:val="24"/>
      <w:lang w:val="en-GB" w:eastAsia="en-US"/>
    </w:rPr>
  </w:style>
  <w:style w:type="paragraph" w:styleId="Revision">
    <w:name w:val="Revision"/>
    <w:hidden/>
    <w:uiPriority w:val="99"/>
    <w:semiHidden/>
    <w:rsid w:val="00520BB7"/>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ji\AppData\Roaming\Microsoft\Templates\POOL%20C%20-%20ITU\BR\PC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PC_RAG.dotx</Template>
  <TotalTime>36</TotalTime>
  <Pages>6</Pages>
  <Words>4133</Words>
  <Characters>983</Characters>
  <Application>Microsoft Office Word</Application>
  <DocSecurity>0</DocSecurity>
  <Lines>8</Lines>
  <Paragraphs>10</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5106</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LING-C(JL)</dc:creator>
  <cp:keywords>RAG03-1</cp:keywords>
  <dc:description>Document RAG08-1/1-E  For: _x000d_Document date: 12 December 2007_x000d_Saved by JJF44233 at 15:38:46 on 18/12/2007</dc:description>
  <cp:lastModifiedBy>LING-C(JL)</cp:lastModifiedBy>
  <cp:revision>2</cp:revision>
  <cp:lastPrinted>2011-05-04T08:20:00Z</cp:lastPrinted>
  <dcterms:created xsi:type="dcterms:W3CDTF">2025-03-04T13:17:00Z</dcterms:created>
  <dcterms:modified xsi:type="dcterms:W3CDTF">2025-03-04T14:19:00Z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