
<file path=[Content_Types].xml><?xml version="1.0" encoding="utf-8"?>
<Types xmlns="http://schemas.openxmlformats.org/package/2006/content-types">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tblpY="-858"/>
        <w:tblW w:w="9889" w:type="dxa"/>
        <w:tblLayout w:type="fixed"/>
        <w:tblLook w:val="0000" w:firstRow="0" w:lastRow="0" w:firstColumn="0" w:lastColumn="0" w:noHBand="0" w:noVBand="0"/>
      </w:tblPr>
      <w:tblGrid>
        <w:gridCol w:w="6772"/>
        <w:gridCol w:w="3117"/>
      </w:tblGrid>
      <w:tr w:rsidR="0057336B" w14:paraId="2FC792CF" w14:textId="77777777" w:rsidTr="000F62B4">
        <w:trPr>
          <w:cantSplit/>
        </w:trPr>
        <w:tc>
          <w:tcPr>
            <w:tcW w:w="6772" w:type="dxa"/>
            <w:vAlign w:val="center"/>
          </w:tcPr>
          <w:p w14:paraId="721CD292" w14:textId="4474DF4A" w:rsidR="0057336B" w:rsidRPr="008F0106" w:rsidRDefault="0057336B" w:rsidP="00AB4BAD">
            <w:pPr>
              <w:shd w:val="solid" w:color="FFFFFF" w:fill="FFFFFF"/>
              <w:tabs>
                <w:tab w:val="left" w:pos="568"/>
              </w:tabs>
              <w:spacing w:before="360" w:after="240"/>
              <w:rPr>
                <w:b/>
                <w:caps/>
                <w:sz w:val="32"/>
              </w:rPr>
            </w:pPr>
            <w:r w:rsidRPr="006E291F">
              <w:rPr>
                <w:rFonts w:ascii="Verdana" w:hAnsi="Verdana" w:cs="Times New Roman Bold"/>
                <w:b/>
                <w:sz w:val="26"/>
                <w:szCs w:val="26"/>
              </w:rPr>
              <w:t>Grupo Asesor de Radiocomunicaciones</w:t>
            </w:r>
            <w:r>
              <w:rPr>
                <w:b/>
                <w:caps/>
                <w:sz w:val="32"/>
              </w:rPr>
              <w:br/>
            </w:r>
          </w:p>
        </w:tc>
        <w:tc>
          <w:tcPr>
            <w:tcW w:w="3117" w:type="dxa"/>
            <w:vAlign w:val="center"/>
          </w:tcPr>
          <w:p w14:paraId="56C71D9A" w14:textId="77777777" w:rsidR="0057336B" w:rsidRDefault="00AB4BAD" w:rsidP="00A7663C">
            <w:pPr>
              <w:shd w:val="solid" w:color="FFFFFF" w:fill="FFFFFF"/>
              <w:spacing w:before="0"/>
            </w:pPr>
            <w:r w:rsidRPr="00C126C1">
              <w:rPr>
                <w:noProof/>
                <w:lang w:val="en-US" w:eastAsia="zh-CN"/>
              </w:rPr>
              <w:drawing>
                <wp:inline distT="0" distB="0" distL="0" distR="0" wp14:anchorId="6692FDA5" wp14:editId="30199476">
                  <wp:extent cx="844492" cy="844492"/>
                  <wp:effectExtent l="0" t="0" r="0" b="0"/>
                  <wp:docPr id="2" name="Picture 2"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AppData\Local\Temp\Temp1_ITU logo Entire package.zip\jpg\ITU official logo_blue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50233" cy="850233"/>
                          </a:xfrm>
                          <a:prstGeom prst="rect">
                            <a:avLst/>
                          </a:prstGeom>
                          <a:noFill/>
                          <a:ln>
                            <a:noFill/>
                          </a:ln>
                        </pic:spPr>
                      </pic:pic>
                    </a:graphicData>
                  </a:graphic>
                </wp:inline>
              </w:drawing>
            </w:r>
          </w:p>
        </w:tc>
      </w:tr>
      <w:tr w:rsidR="006E291F" w:rsidRPr="0051782D" w14:paraId="3F07C15C" w14:textId="77777777" w:rsidTr="000F62B4">
        <w:trPr>
          <w:cantSplit/>
        </w:trPr>
        <w:tc>
          <w:tcPr>
            <w:tcW w:w="6772" w:type="dxa"/>
            <w:tcBorders>
              <w:bottom w:val="single" w:sz="12" w:space="0" w:color="auto"/>
            </w:tcBorders>
          </w:tcPr>
          <w:p w14:paraId="1657DE54" w14:textId="77777777" w:rsidR="006E291F" w:rsidRPr="0051782D" w:rsidRDefault="006E291F" w:rsidP="00CB7A43">
            <w:pPr>
              <w:shd w:val="solid" w:color="FFFFFF" w:fill="FFFFFF"/>
              <w:spacing w:before="0" w:after="48"/>
              <w:rPr>
                <w:rFonts w:ascii="Verdana" w:hAnsi="Verdana" w:cs="Times New Roman Bold"/>
                <w:b/>
                <w:sz w:val="22"/>
                <w:szCs w:val="22"/>
              </w:rPr>
            </w:pPr>
          </w:p>
        </w:tc>
        <w:tc>
          <w:tcPr>
            <w:tcW w:w="3117" w:type="dxa"/>
            <w:tcBorders>
              <w:bottom w:val="single" w:sz="12" w:space="0" w:color="auto"/>
            </w:tcBorders>
          </w:tcPr>
          <w:p w14:paraId="43F8E8CC" w14:textId="77777777" w:rsidR="006E291F" w:rsidRPr="0051782D" w:rsidRDefault="006E291F" w:rsidP="00CB7A43">
            <w:pPr>
              <w:shd w:val="solid" w:color="FFFFFF" w:fill="FFFFFF"/>
              <w:spacing w:before="0" w:after="48" w:line="240" w:lineRule="atLeast"/>
              <w:rPr>
                <w:sz w:val="22"/>
                <w:szCs w:val="22"/>
                <w:lang w:val="en-US"/>
              </w:rPr>
            </w:pPr>
          </w:p>
        </w:tc>
      </w:tr>
      <w:tr w:rsidR="006E291F" w:rsidRPr="00710D66" w14:paraId="198EABA5" w14:textId="77777777" w:rsidTr="000F62B4">
        <w:trPr>
          <w:cantSplit/>
        </w:trPr>
        <w:tc>
          <w:tcPr>
            <w:tcW w:w="6772" w:type="dxa"/>
            <w:tcBorders>
              <w:top w:val="single" w:sz="12" w:space="0" w:color="auto"/>
            </w:tcBorders>
          </w:tcPr>
          <w:p w14:paraId="2791CBCD" w14:textId="77777777" w:rsidR="006E291F" w:rsidRPr="0051782D" w:rsidRDefault="006E291F" w:rsidP="00CB7A43">
            <w:pPr>
              <w:shd w:val="solid" w:color="FFFFFF" w:fill="FFFFFF"/>
              <w:spacing w:before="0" w:after="48"/>
              <w:rPr>
                <w:rFonts w:ascii="Verdana" w:hAnsi="Verdana" w:cs="Times New Roman Bold"/>
                <w:bCs/>
                <w:sz w:val="22"/>
                <w:szCs w:val="22"/>
              </w:rPr>
            </w:pPr>
          </w:p>
        </w:tc>
        <w:tc>
          <w:tcPr>
            <w:tcW w:w="3117" w:type="dxa"/>
            <w:tcBorders>
              <w:top w:val="single" w:sz="12" w:space="0" w:color="auto"/>
            </w:tcBorders>
          </w:tcPr>
          <w:p w14:paraId="1F444819" w14:textId="77777777" w:rsidR="006E291F" w:rsidRPr="002D238A" w:rsidRDefault="006E291F" w:rsidP="00CB7A43">
            <w:pPr>
              <w:shd w:val="solid" w:color="FFFFFF" w:fill="FFFFFF"/>
              <w:spacing w:before="0" w:after="48" w:line="240" w:lineRule="atLeast"/>
              <w:rPr>
                <w:rFonts w:ascii="Verdana" w:hAnsi="Verdana"/>
                <w:sz w:val="22"/>
                <w:szCs w:val="22"/>
                <w:lang w:val="en-US"/>
              </w:rPr>
            </w:pPr>
          </w:p>
        </w:tc>
      </w:tr>
      <w:tr w:rsidR="006E291F" w:rsidRPr="006B2B9E" w14:paraId="468A66A0" w14:textId="77777777" w:rsidTr="000F62B4">
        <w:trPr>
          <w:cantSplit/>
        </w:trPr>
        <w:tc>
          <w:tcPr>
            <w:tcW w:w="6772" w:type="dxa"/>
            <w:vMerge w:val="restart"/>
          </w:tcPr>
          <w:p w14:paraId="115B9423" w14:textId="77777777" w:rsidR="006E291F" w:rsidRDefault="006E291F" w:rsidP="00CB7A43">
            <w:pPr>
              <w:shd w:val="solid" w:color="FFFFFF" w:fill="FFFFFF"/>
              <w:spacing w:after="240"/>
              <w:rPr>
                <w:sz w:val="20"/>
              </w:rPr>
            </w:pPr>
            <w:bookmarkStart w:id="0" w:name="dnum" w:colFirst="1" w:colLast="1"/>
          </w:p>
        </w:tc>
        <w:tc>
          <w:tcPr>
            <w:tcW w:w="3117" w:type="dxa"/>
          </w:tcPr>
          <w:p w14:paraId="014EC93A" w14:textId="1920FBFC" w:rsidR="006E291F" w:rsidRPr="006B2B9E" w:rsidRDefault="000F62B4" w:rsidP="000F62B4">
            <w:pPr>
              <w:shd w:val="solid" w:color="FFFFFF" w:fill="FFFFFF"/>
              <w:spacing w:before="0" w:line="240" w:lineRule="atLeast"/>
              <w:rPr>
                <w:rFonts w:ascii="Verdana" w:hAnsi="Verdana"/>
                <w:sz w:val="20"/>
                <w:lang w:val="it-IT"/>
              </w:rPr>
            </w:pPr>
            <w:r w:rsidRPr="006B2B9E">
              <w:rPr>
                <w:rFonts w:ascii="Verdana" w:hAnsi="Verdana"/>
                <w:b/>
                <w:sz w:val="20"/>
                <w:lang w:val="it-IT"/>
              </w:rPr>
              <w:t>Addéndum 1 al</w:t>
            </w:r>
            <w:r w:rsidRPr="006B2B9E">
              <w:rPr>
                <w:rFonts w:ascii="Verdana" w:hAnsi="Verdana"/>
                <w:b/>
                <w:sz w:val="20"/>
                <w:lang w:val="it-IT"/>
              </w:rPr>
              <w:br/>
              <w:t>Documento RAG/</w:t>
            </w:r>
            <w:r w:rsidR="00027A94" w:rsidRPr="006B2B9E">
              <w:rPr>
                <w:rFonts w:ascii="Verdana" w:hAnsi="Verdana"/>
                <w:b/>
                <w:sz w:val="20"/>
                <w:lang w:val="it-IT"/>
              </w:rPr>
              <w:t>30</w:t>
            </w:r>
            <w:r w:rsidRPr="006B2B9E">
              <w:rPr>
                <w:rFonts w:ascii="Verdana" w:hAnsi="Verdana"/>
                <w:b/>
                <w:sz w:val="20"/>
                <w:lang w:val="it-IT"/>
              </w:rPr>
              <w:t>-S</w:t>
            </w:r>
          </w:p>
        </w:tc>
      </w:tr>
      <w:tr w:rsidR="006E291F" w:rsidRPr="002A127E" w14:paraId="68D23FA3" w14:textId="77777777" w:rsidTr="000F62B4">
        <w:trPr>
          <w:cantSplit/>
        </w:trPr>
        <w:tc>
          <w:tcPr>
            <w:tcW w:w="6772" w:type="dxa"/>
            <w:vMerge/>
          </w:tcPr>
          <w:p w14:paraId="468FD693" w14:textId="77777777" w:rsidR="006E291F" w:rsidRPr="006B2B9E" w:rsidRDefault="006E291F" w:rsidP="00CB7A43">
            <w:pPr>
              <w:spacing w:before="60"/>
              <w:jc w:val="center"/>
              <w:rPr>
                <w:b/>
                <w:smallCaps/>
                <w:sz w:val="32"/>
                <w:lang w:val="it-IT"/>
              </w:rPr>
            </w:pPr>
            <w:bookmarkStart w:id="1" w:name="ddate" w:colFirst="1" w:colLast="1"/>
            <w:bookmarkEnd w:id="0"/>
          </w:p>
        </w:tc>
        <w:tc>
          <w:tcPr>
            <w:tcW w:w="3117" w:type="dxa"/>
          </w:tcPr>
          <w:p w14:paraId="1727B187" w14:textId="6C7BCC69" w:rsidR="006E291F" w:rsidRPr="000F62B4" w:rsidRDefault="00027A94" w:rsidP="000F62B4">
            <w:pPr>
              <w:shd w:val="solid" w:color="FFFFFF" w:fill="FFFFFF"/>
              <w:spacing w:before="0" w:line="240" w:lineRule="atLeast"/>
              <w:rPr>
                <w:rFonts w:ascii="Verdana" w:hAnsi="Verdana"/>
                <w:sz w:val="20"/>
              </w:rPr>
            </w:pPr>
            <w:r>
              <w:rPr>
                <w:rFonts w:ascii="Verdana" w:hAnsi="Verdana"/>
                <w:b/>
                <w:sz w:val="20"/>
              </w:rPr>
              <w:t>28</w:t>
            </w:r>
            <w:r w:rsidR="000F62B4">
              <w:rPr>
                <w:rFonts w:ascii="Verdana" w:hAnsi="Verdana"/>
                <w:b/>
                <w:sz w:val="20"/>
              </w:rPr>
              <w:t xml:space="preserve"> de febrero de 202</w:t>
            </w:r>
            <w:r>
              <w:rPr>
                <w:rFonts w:ascii="Verdana" w:hAnsi="Verdana"/>
                <w:b/>
                <w:sz w:val="20"/>
              </w:rPr>
              <w:t>5</w:t>
            </w:r>
          </w:p>
        </w:tc>
      </w:tr>
      <w:tr w:rsidR="006E291F" w:rsidRPr="002A127E" w14:paraId="20CC885A" w14:textId="77777777" w:rsidTr="000F62B4">
        <w:trPr>
          <w:cantSplit/>
        </w:trPr>
        <w:tc>
          <w:tcPr>
            <w:tcW w:w="6772" w:type="dxa"/>
            <w:vMerge/>
          </w:tcPr>
          <w:p w14:paraId="64E047E0" w14:textId="77777777" w:rsidR="006E291F" w:rsidRDefault="006E291F" w:rsidP="00CB7A43">
            <w:pPr>
              <w:spacing w:before="60"/>
              <w:jc w:val="center"/>
              <w:rPr>
                <w:b/>
                <w:smallCaps/>
                <w:sz w:val="32"/>
              </w:rPr>
            </w:pPr>
            <w:bookmarkStart w:id="2" w:name="dorlang" w:colFirst="1" w:colLast="1"/>
            <w:bookmarkEnd w:id="1"/>
          </w:p>
        </w:tc>
        <w:tc>
          <w:tcPr>
            <w:tcW w:w="3117" w:type="dxa"/>
          </w:tcPr>
          <w:p w14:paraId="0B32394A" w14:textId="466ED174" w:rsidR="006E291F" w:rsidRPr="000F62B4" w:rsidRDefault="000F62B4" w:rsidP="000F62B4">
            <w:pPr>
              <w:shd w:val="solid" w:color="FFFFFF" w:fill="FFFFFF"/>
              <w:spacing w:before="0" w:after="120" w:line="240" w:lineRule="atLeast"/>
              <w:rPr>
                <w:rFonts w:ascii="Verdana" w:hAnsi="Verdana"/>
                <w:sz w:val="20"/>
              </w:rPr>
            </w:pPr>
            <w:r>
              <w:rPr>
                <w:rFonts w:ascii="Verdana" w:hAnsi="Verdana"/>
                <w:b/>
                <w:sz w:val="20"/>
              </w:rPr>
              <w:t>Original: inglés</w:t>
            </w:r>
          </w:p>
        </w:tc>
      </w:tr>
      <w:tr w:rsidR="006E291F" w14:paraId="13111AFE" w14:textId="77777777" w:rsidTr="008F0106">
        <w:trPr>
          <w:cantSplit/>
        </w:trPr>
        <w:tc>
          <w:tcPr>
            <w:tcW w:w="9889" w:type="dxa"/>
            <w:gridSpan w:val="2"/>
          </w:tcPr>
          <w:p w14:paraId="6197AE93" w14:textId="24663A37" w:rsidR="006E291F" w:rsidRDefault="000F62B4" w:rsidP="00CB7A43">
            <w:pPr>
              <w:pStyle w:val="Source"/>
            </w:pPr>
            <w:bookmarkStart w:id="3" w:name="dsource" w:colFirst="0" w:colLast="0"/>
            <w:bookmarkEnd w:id="2"/>
            <w:r>
              <w:t>Director de la Oficina de Radiocomunicaciones</w:t>
            </w:r>
          </w:p>
        </w:tc>
      </w:tr>
      <w:tr w:rsidR="006E291F" w14:paraId="036B4117" w14:textId="77777777" w:rsidTr="008F0106">
        <w:trPr>
          <w:cantSplit/>
        </w:trPr>
        <w:tc>
          <w:tcPr>
            <w:tcW w:w="9889" w:type="dxa"/>
            <w:gridSpan w:val="2"/>
          </w:tcPr>
          <w:p w14:paraId="124530BB" w14:textId="362BA024" w:rsidR="006E291F" w:rsidRDefault="000F62B4" w:rsidP="00CB7A43">
            <w:pPr>
              <w:pStyle w:val="Title1"/>
            </w:pPr>
            <w:bookmarkStart w:id="4" w:name="dtitle1" w:colFirst="0" w:colLast="0"/>
            <w:bookmarkEnd w:id="3"/>
            <w:r>
              <w:t xml:space="preserve">Informe a la trigésima </w:t>
            </w:r>
            <w:r w:rsidR="00027A94">
              <w:t>SEGUNDA</w:t>
            </w:r>
            <w:r>
              <w:t xml:space="preserve"> reunión</w:t>
            </w:r>
            <w:r>
              <w:br/>
              <w:t>del Grupo Asesor de Radiocomunicaciones</w:t>
            </w:r>
          </w:p>
        </w:tc>
      </w:tr>
      <w:tr w:rsidR="000F62B4" w14:paraId="6DEA2A85" w14:textId="77777777" w:rsidTr="008F0106">
        <w:trPr>
          <w:cantSplit/>
        </w:trPr>
        <w:tc>
          <w:tcPr>
            <w:tcW w:w="9889" w:type="dxa"/>
            <w:gridSpan w:val="2"/>
          </w:tcPr>
          <w:p w14:paraId="142BC325" w14:textId="485D325C" w:rsidR="000F62B4" w:rsidRDefault="000F62B4" w:rsidP="00CB7A43">
            <w:pPr>
              <w:pStyle w:val="Title1"/>
            </w:pPr>
            <w:r>
              <w:t>Actividades de las Comisiones de Estudio</w:t>
            </w:r>
          </w:p>
        </w:tc>
      </w:tr>
    </w:tbl>
    <w:p w14:paraId="1952715E" w14:textId="77777777" w:rsidR="000F62B4" w:rsidRPr="006C7415" w:rsidRDefault="000F62B4" w:rsidP="000F62B4">
      <w:pPr>
        <w:pStyle w:val="Heading1"/>
        <w:rPr>
          <w:lang w:val="es-ES"/>
        </w:rPr>
      </w:pPr>
      <w:bookmarkStart w:id="5" w:name="_Toc446060751"/>
      <w:bookmarkStart w:id="6" w:name="_Toc445972791"/>
      <w:bookmarkEnd w:id="4"/>
      <w:r>
        <w:rPr>
          <w:bCs/>
          <w:lang w:val="es-ES"/>
        </w:rPr>
        <w:t>1</w:t>
      </w:r>
      <w:r>
        <w:rPr>
          <w:lang w:val="es-ES"/>
        </w:rPr>
        <w:tab/>
      </w:r>
      <w:proofErr w:type="gramStart"/>
      <w:r>
        <w:rPr>
          <w:bCs/>
          <w:lang w:val="es-ES"/>
        </w:rPr>
        <w:t>Introducción</w:t>
      </w:r>
      <w:bookmarkEnd w:id="5"/>
      <w:proofErr w:type="gramEnd"/>
    </w:p>
    <w:p w14:paraId="0AD3F1FA" w14:textId="0958E969" w:rsidR="000F62B4" w:rsidRPr="006C7415" w:rsidRDefault="000F62B4" w:rsidP="00351C79">
      <w:pPr>
        <w:rPr>
          <w:lang w:val="es-ES"/>
        </w:rPr>
      </w:pPr>
      <w:r>
        <w:rPr>
          <w:lang w:val="es-ES"/>
        </w:rPr>
        <w:t>Este documento proporciona informes de situación e información sobre algunos de los temas que figuran en el proyecto de orden del día de la 3</w:t>
      </w:r>
      <w:r w:rsidR="00027A94">
        <w:rPr>
          <w:lang w:val="es-ES"/>
        </w:rPr>
        <w:t>2</w:t>
      </w:r>
      <w:r>
        <w:rPr>
          <w:lang w:val="es-ES"/>
        </w:rPr>
        <w:t xml:space="preserve">ª reunión del GAR (véase </w:t>
      </w:r>
      <w:hyperlink r:id="rId9" w:history="1">
        <w:r w:rsidR="00027A94">
          <w:rPr>
            <w:rStyle w:val="Hyperlink"/>
            <w:rFonts w:eastAsia="SimSun"/>
            <w:lang w:val="es-ES"/>
          </w:rPr>
          <w:t>CA/276</w:t>
        </w:r>
      </w:hyperlink>
      <w:r>
        <w:rPr>
          <w:lang w:val="es-ES"/>
        </w:rPr>
        <w:t>).</w:t>
      </w:r>
    </w:p>
    <w:p w14:paraId="5D3396A7" w14:textId="513BB9C9" w:rsidR="000F62B4" w:rsidRPr="006C7415" w:rsidRDefault="00027A94" w:rsidP="00351C79">
      <w:pPr>
        <w:pStyle w:val="Heading1"/>
        <w:rPr>
          <w:lang w:val="es-ES"/>
        </w:rPr>
      </w:pPr>
      <w:bookmarkStart w:id="7" w:name="_Toc445972781"/>
      <w:r>
        <w:rPr>
          <w:bCs/>
          <w:lang w:val="es-ES"/>
        </w:rPr>
        <w:t>2</w:t>
      </w:r>
      <w:r w:rsidR="000F62B4">
        <w:rPr>
          <w:lang w:val="es-ES"/>
        </w:rPr>
        <w:tab/>
      </w:r>
      <w:proofErr w:type="gramStart"/>
      <w:r w:rsidR="000F62B4">
        <w:rPr>
          <w:bCs/>
          <w:lang w:val="es-ES"/>
        </w:rPr>
        <w:t>Medios</w:t>
      </w:r>
      <w:proofErr w:type="gramEnd"/>
      <w:r w:rsidR="000F62B4">
        <w:rPr>
          <w:bCs/>
          <w:lang w:val="es-ES"/>
        </w:rPr>
        <w:t xml:space="preserve"> de trabajo electrónicos</w:t>
      </w:r>
      <w:bookmarkEnd w:id="7"/>
    </w:p>
    <w:p w14:paraId="1F276434" w14:textId="52FD722A" w:rsidR="000F62B4" w:rsidRPr="006C7415" w:rsidRDefault="00027A94" w:rsidP="00351C79">
      <w:pPr>
        <w:rPr>
          <w:lang w:val="es-ES"/>
        </w:rPr>
      </w:pPr>
      <w:r>
        <w:rPr>
          <w:lang w:val="es-ES"/>
        </w:rPr>
        <w:t xml:space="preserve">Todas las reuniones de CE/GT del UIT-R se celebran sin hacer uso del papel, publicándose todos los documentos de reunión en los sitios web respectivos para su descarga. </w:t>
      </w:r>
      <w:r w:rsidR="000F62B4">
        <w:rPr>
          <w:lang w:val="es-ES"/>
        </w:rPr>
        <w:t xml:space="preserve">Se continúa haciendo hincapié en </w:t>
      </w:r>
      <w:r>
        <w:rPr>
          <w:lang w:val="es-ES"/>
        </w:rPr>
        <w:t xml:space="preserve">el desarrollo y </w:t>
      </w:r>
      <w:r w:rsidR="000F62B4">
        <w:rPr>
          <w:lang w:val="es-ES"/>
        </w:rPr>
        <w:t xml:space="preserve">la utilización de medios electrónicos que aporta considerables ventajas a los delegados. </w:t>
      </w:r>
    </w:p>
    <w:p w14:paraId="453BE912" w14:textId="19E29D73" w:rsidR="000F62B4" w:rsidRPr="006C7415" w:rsidRDefault="00027A94" w:rsidP="00351C79">
      <w:pPr>
        <w:pStyle w:val="Heading2"/>
        <w:rPr>
          <w:lang w:val="es-ES"/>
        </w:rPr>
      </w:pPr>
      <w:bookmarkStart w:id="8" w:name="_Toc445972782"/>
      <w:r>
        <w:rPr>
          <w:bCs/>
          <w:lang w:val="es-ES"/>
        </w:rPr>
        <w:t>2</w:t>
      </w:r>
      <w:r w:rsidR="000F62B4">
        <w:rPr>
          <w:bCs/>
          <w:lang w:val="es-ES"/>
        </w:rPr>
        <w:t>.1</w:t>
      </w:r>
      <w:r w:rsidR="000F62B4">
        <w:rPr>
          <w:lang w:val="es-ES"/>
        </w:rPr>
        <w:tab/>
      </w:r>
      <w:r w:rsidR="000F62B4">
        <w:rPr>
          <w:bCs/>
          <w:lang w:val="es-ES"/>
        </w:rPr>
        <w:t>Sitio web SharePoint</w:t>
      </w:r>
      <w:bookmarkEnd w:id="8"/>
    </w:p>
    <w:p w14:paraId="26692AA3" w14:textId="77777777" w:rsidR="000F62B4" w:rsidRPr="006C7415" w:rsidRDefault="000F62B4" w:rsidP="00351C79">
      <w:pPr>
        <w:rPr>
          <w:lang w:val="es-ES"/>
        </w:rPr>
      </w:pPr>
      <w:bookmarkStart w:id="9" w:name="_Toc445972783"/>
      <w:r>
        <w:rPr>
          <w:lang w:val="es-ES"/>
        </w:rPr>
        <w:t>La práctica habitual es acceder a la documentación durante las reuniones a través de un sitio web SharePoint.</w:t>
      </w:r>
    </w:p>
    <w:p w14:paraId="2B95738D" w14:textId="77777777" w:rsidR="000F62B4" w:rsidRPr="006C7415" w:rsidRDefault="000F62B4" w:rsidP="00351C79">
      <w:pPr>
        <w:rPr>
          <w:lang w:val="es-ES"/>
        </w:rPr>
      </w:pPr>
      <w:r>
        <w:rPr>
          <w:lang w:val="es-ES"/>
        </w:rPr>
        <w:t>Los sitios web SharePoint de los Grupos por correspondencia y de Relator también se utilizan intensamente en los periodos entre reuniones de los GT.</w:t>
      </w:r>
    </w:p>
    <w:p w14:paraId="1F7EB4E0" w14:textId="0781143D" w:rsidR="000F62B4" w:rsidRPr="006C7415" w:rsidRDefault="00027A94" w:rsidP="000F62B4">
      <w:pPr>
        <w:pStyle w:val="Heading2"/>
        <w:jc w:val="both"/>
        <w:rPr>
          <w:lang w:val="es-ES"/>
        </w:rPr>
      </w:pPr>
      <w:r>
        <w:rPr>
          <w:bCs/>
          <w:lang w:val="es-ES"/>
        </w:rPr>
        <w:t>2</w:t>
      </w:r>
      <w:r w:rsidR="000F62B4">
        <w:rPr>
          <w:bCs/>
          <w:lang w:val="es-ES"/>
        </w:rPr>
        <w:t>.2</w:t>
      </w:r>
      <w:r w:rsidR="000F62B4">
        <w:rPr>
          <w:lang w:val="es-ES"/>
        </w:rPr>
        <w:tab/>
      </w:r>
      <w:r w:rsidR="000F62B4">
        <w:rPr>
          <w:bCs/>
          <w:lang w:val="es-ES"/>
        </w:rPr>
        <w:t>Sincronización de ficheros</w:t>
      </w:r>
      <w:bookmarkEnd w:id="9"/>
    </w:p>
    <w:p w14:paraId="5AEDC83F" w14:textId="081452BD" w:rsidR="000F62B4" w:rsidRPr="006C7415" w:rsidRDefault="000F62B4" w:rsidP="000F62B4">
      <w:pPr>
        <w:jc w:val="both"/>
        <w:rPr>
          <w:lang w:val="es-ES"/>
        </w:rPr>
      </w:pPr>
      <w:bookmarkStart w:id="10" w:name="_Toc445972784"/>
      <w:r>
        <w:rPr>
          <w:lang w:val="es-ES"/>
        </w:rPr>
        <w:t>Se ha actualizado el sistema de sincronización de ficheros para todas las reuniones de las CE y los GT a fin de facilitar durante las reuniones el acceso a las versiones más recientes de los documentos y a las asignaciones de las salas de reunión.</w:t>
      </w:r>
    </w:p>
    <w:p w14:paraId="6F27EEAD" w14:textId="728A0017" w:rsidR="000F62B4" w:rsidRPr="006C7415" w:rsidRDefault="00112AB9" w:rsidP="00351C79">
      <w:pPr>
        <w:pStyle w:val="Heading2"/>
        <w:rPr>
          <w:lang w:val="es-ES"/>
        </w:rPr>
      </w:pPr>
      <w:bookmarkStart w:id="11" w:name="_Toc445972785"/>
      <w:bookmarkEnd w:id="10"/>
      <w:r>
        <w:rPr>
          <w:bCs/>
          <w:lang w:val="es-ES"/>
        </w:rPr>
        <w:t>2</w:t>
      </w:r>
      <w:r w:rsidR="000F62B4">
        <w:rPr>
          <w:bCs/>
          <w:lang w:val="es-ES"/>
        </w:rPr>
        <w:t>.3</w:t>
      </w:r>
      <w:r w:rsidR="000F62B4">
        <w:rPr>
          <w:lang w:val="es-ES"/>
        </w:rPr>
        <w:tab/>
      </w:r>
      <w:r w:rsidR="000F62B4">
        <w:rPr>
          <w:bCs/>
          <w:lang w:val="es-ES"/>
        </w:rPr>
        <w:t>Reuniones presenciales con participación a distancia</w:t>
      </w:r>
      <w:bookmarkEnd w:id="11"/>
    </w:p>
    <w:p w14:paraId="69FC6239" w14:textId="1AF8BFF0" w:rsidR="000F62B4" w:rsidRPr="006C7415" w:rsidRDefault="00027A94" w:rsidP="00351C79">
      <w:pPr>
        <w:rPr>
          <w:lang w:val="es-ES"/>
        </w:rPr>
      </w:pPr>
      <w:r>
        <w:rPr>
          <w:lang w:val="es-ES"/>
        </w:rPr>
        <w:t>Desde abril de 2022 las reuniones de las</w:t>
      </w:r>
      <w:r w:rsidR="000F62B4">
        <w:rPr>
          <w:lang w:val="es-ES"/>
        </w:rPr>
        <w:t xml:space="preserve"> CE y GT del UIT-R </w:t>
      </w:r>
      <w:r>
        <w:rPr>
          <w:lang w:val="es-ES"/>
        </w:rPr>
        <w:t xml:space="preserve">se </w:t>
      </w:r>
      <w:r w:rsidR="000F62B4">
        <w:rPr>
          <w:lang w:val="es-ES"/>
        </w:rPr>
        <w:t xml:space="preserve">celebran </w:t>
      </w:r>
      <w:r>
        <w:rPr>
          <w:lang w:val="es-ES"/>
        </w:rPr>
        <w:t>en formato</w:t>
      </w:r>
      <w:r w:rsidR="000F62B4">
        <w:rPr>
          <w:lang w:val="es-ES"/>
        </w:rPr>
        <w:t xml:space="preserve"> presencial con participación a distancia. La plataforma utilizada para estas reuniones </w:t>
      </w:r>
      <w:r>
        <w:rPr>
          <w:lang w:val="es-ES"/>
        </w:rPr>
        <w:t>(</w:t>
      </w:r>
      <w:proofErr w:type="gramStart"/>
      <w:r w:rsidR="000F62B4">
        <w:rPr>
          <w:lang w:val="es-ES"/>
        </w:rPr>
        <w:t>Zoom</w:t>
      </w:r>
      <w:proofErr w:type="gramEnd"/>
      <w:r>
        <w:rPr>
          <w:lang w:val="es-ES"/>
        </w:rPr>
        <w:t>)</w:t>
      </w:r>
      <w:r w:rsidR="000F62B4">
        <w:rPr>
          <w:lang w:val="es-ES"/>
        </w:rPr>
        <w:t xml:space="preserve"> permite la participación </w:t>
      </w:r>
      <w:r>
        <w:rPr>
          <w:lang w:val="es-ES"/>
        </w:rPr>
        <w:t xml:space="preserve">a distancia </w:t>
      </w:r>
      <w:r w:rsidR="000F62B4">
        <w:rPr>
          <w:lang w:val="es-ES"/>
        </w:rPr>
        <w:t>remota interactiva de presidentes y delegados. Todas las disposiciones de la reunión se realizan de acuerdo con los responsables de las respectivas CE</w:t>
      </w:r>
      <w:r>
        <w:rPr>
          <w:lang w:val="es-ES"/>
        </w:rPr>
        <w:t>/GT</w:t>
      </w:r>
      <w:r w:rsidR="000F62B4">
        <w:rPr>
          <w:lang w:val="es-ES"/>
        </w:rPr>
        <w:t xml:space="preserve">. </w:t>
      </w:r>
    </w:p>
    <w:p w14:paraId="12511CD2" w14:textId="5FD7E41F" w:rsidR="000F62B4" w:rsidRDefault="00027A94" w:rsidP="00351C79">
      <w:pPr>
        <w:rPr>
          <w:lang w:val="es-ES"/>
        </w:rPr>
      </w:pPr>
      <w:r>
        <w:rPr>
          <w:lang w:val="es-ES"/>
        </w:rPr>
        <w:lastRenderedPageBreak/>
        <w:t>Desde principios de 2025 los servicios de</w:t>
      </w:r>
      <w:r w:rsidR="000F62B4">
        <w:rPr>
          <w:lang w:val="es-ES"/>
        </w:rPr>
        <w:t xml:space="preserve"> interpretación en l</w:t>
      </w:r>
      <w:r>
        <w:rPr>
          <w:lang w:val="es-ES"/>
        </w:rPr>
        <w:t>o</w:t>
      </w:r>
      <w:r w:rsidR="000F62B4">
        <w:rPr>
          <w:lang w:val="es-ES"/>
        </w:rPr>
        <w:t xml:space="preserve">s seis </w:t>
      </w:r>
      <w:r>
        <w:rPr>
          <w:lang w:val="es-ES"/>
        </w:rPr>
        <w:t>idiomas</w:t>
      </w:r>
      <w:r w:rsidR="000F62B4">
        <w:rPr>
          <w:lang w:val="es-ES"/>
        </w:rPr>
        <w:t xml:space="preserve"> oficiales de la Unión </w:t>
      </w:r>
      <w:r w:rsidR="001A7C66">
        <w:rPr>
          <w:lang w:val="es-ES"/>
        </w:rPr>
        <w:t>se prestan previa petición de las administraciones, como se indica en las cartas de invitación a las reuniones</w:t>
      </w:r>
      <w:r w:rsidR="000F62B4">
        <w:rPr>
          <w:lang w:val="es-ES"/>
        </w:rPr>
        <w:t xml:space="preserve"> de las CE</w:t>
      </w:r>
      <w:r w:rsidR="001A7C66">
        <w:rPr>
          <w:lang w:val="es-ES"/>
        </w:rPr>
        <w:t>, gracias a lo cual la Oficina ha podido</w:t>
      </w:r>
      <w:r w:rsidR="000F62B4">
        <w:rPr>
          <w:lang w:val="es-ES"/>
        </w:rPr>
        <w:t xml:space="preserve"> ahorrar recursos.</w:t>
      </w:r>
    </w:p>
    <w:p w14:paraId="6873E27F" w14:textId="0AB0A890" w:rsidR="001A7C66" w:rsidRPr="006C7415" w:rsidRDefault="001A7C66" w:rsidP="00351C79">
      <w:pPr>
        <w:rPr>
          <w:lang w:val="es-ES"/>
        </w:rPr>
      </w:pPr>
      <w:r>
        <w:rPr>
          <w:lang w:val="es-ES"/>
        </w:rPr>
        <w:t>Todas las reuniones de CE cuentan con servicios de subtitulado en directo en inglés. No obstante, habida cuenta de los requisitos técnicos correspondientes, este servicio influye en el coste de las reuniones, sobre todo cuando se celebran fuera de las instalaciones de la UIT.</w:t>
      </w:r>
    </w:p>
    <w:p w14:paraId="4CCB5E48" w14:textId="7C1A0825" w:rsidR="000F62B4" w:rsidRPr="006C7415" w:rsidDel="008163D4" w:rsidRDefault="001A7C66" w:rsidP="00351C79">
      <w:pPr>
        <w:pStyle w:val="Heading2"/>
        <w:rPr>
          <w:lang w:val="es-ES"/>
        </w:rPr>
      </w:pPr>
      <w:r>
        <w:rPr>
          <w:bCs/>
          <w:lang w:val="es-ES"/>
        </w:rPr>
        <w:t>2</w:t>
      </w:r>
      <w:r w:rsidR="000F62B4">
        <w:rPr>
          <w:bCs/>
          <w:lang w:val="es-ES"/>
        </w:rPr>
        <w:t>.4</w:t>
      </w:r>
      <w:r w:rsidR="000F62B4">
        <w:rPr>
          <w:lang w:val="es-ES"/>
        </w:rPr>
        <w:tab/>
      </w:r>
      <w:r w:rsidR="000F62B4">
        <w:rPr>
          <w:bCs/>
          <w:lang w:val="es-ES"/>
        </w:rPr>
        <w:t>Páginas web de las Comisiones de Estudio</w:t>
      </w:r>
    </w:p>
    <w:p w14:paraId="30ECE0A0" w14:textId="77777777" w:rsidR="000F62B4" w:rsidRPr="006C7415" w:rsidDel="008163D4" w:rsidRDefault="000F62B4" w:rsidP="00351C79">
      <w:pPr>
        <w:rPr>
          <w:lang w:val="es-ES"/>
        </w:rPr>
      </w:pPr>
      <w:bookmarkStart w:id="12" w:name="_Toc445972789"/>
      <w:r>
        <w:rPr>
          <w:lang w:val="es-ES"/>
        </w:rPr>
        <w:t>De acuerdo con la política de la UIT, las páginas web se actualizan continuamente para proporcionar la información necesaria a los delegados.</w:t>
      </w:r>
    </w:p>
    <w:p w14:paraId="0A722641" w14:textId="6A0A3CA3" w:rsidR="000F62B4" w:rsidRDefault="000F62B4" w:rsidP="00351C79">
      <w:pPr>
        <w:rPr>
          <w:lang w:val="es-ES"/>
        </w:rPr>
      </w:pPr>
      <w:r>
        <w:rPr>
          <w:lang w:val="es-ES"/>
        </w:rPr>
        <w:t xml:space="preserve">La lista de los GC/GR figura en un enlace específico de la página principal de cada CE y están armonizados para todas las CE. </w:t>
      </w:r>
      <w:r w:rsidR="001A7C66">
        <w:rPr>
          <w:lang w:val="es-ES"/>
        </w:rPr>
        <w:t xml:space="preserve">Se facilita a los usuarios </w:t>
      </w:r>
      <w:r>
        <w:rPr>
          <w:lang w:val="es-ES"/>
        </w:rPr>
        <w:t>información sobre el nombre del grupo, la página de SharePoint, el Relator/</w:t>
      </w:r>
      <w:proofErr w:type="gramStart"/>
      <w:r>
        <w:rPr>
          <w:lang w:val="es-ES"/>
        </w:rPr>
        <w:t>Presidente</w:t>
      </w:r>
      <w:proofErr w:type="gramEnd"/>
      <w:r>
        <w:rPr>
          <w:lang w:val="es-ES"/>
        </w:rPr>
        <w:t>/Convoca</w:t>
      </w:r>
      <w:r w:rsidR="001A7C66">
        <w:rPr>
          <w:lang w:val="es-ES"/>
        </w:rPr>
        <w:t>dor</w:t>
      </w:r>
      <w:r>
        <w:rPr>
          <w:lang w:val="es-ES"/>
        </w:rPr>
        <w:t>, la lista de correo, el archivo, etc. y otra información necesaria.</w:t>
      </w:r>
    </w:p>
    <w:p w14:paraId="68F42823" w14:textId="77777777" w:rsidR="00027A94" w:rsidRPr="006C7415" w:rsidRDefault="00027A94" w:rsidP="00027A94">
      <w:pPr>
        <w:rPr>
          <w:lang w:val="es-ES"/>
        </w:rPr>
      </w:pPr>
      <w:r>
        <w:rPr>
          <w:lang w:val="es-ES"/>
        </w:rPr>
        <w:t>De conformidad con lo dispuesto en la Resolución UIT-R 1, el personal del Departamento de Comisiones de Estudio (SGD) de la BR publica los documentos de las reuniones en el plazo de un día laborable «tal y como se reciben» en una página web creada a tal efecto, y las versiones oficiales se publican en el sitio web en un plazo de tres días laborables.</w:t>
      </w:r>
    </w:p>
    <w:bookmarkEnd w:id="12"/>
    <w:p w14:paraId="42F98DF7" w14:textId="698B794C" w:rsidR="001A7C66" w:rsidRPr="006C7415" w:rsidRDefault="001A7C66" w:rsidP="00351C79">
      <w:pPr>
        <w:rPr>
          <w:lang w:val="es-ES"/>
        </w:rPr>
      </w:pPr>
      <w:r>
        <w:rPr>
          <w:lang w:val="es-ES"/>
        </w:rPr>
        <w:t xml:space="preserve">El SGD de la BR ha terminado de implementar la herramienta que publica automáticamente las contribuciones </w:t>
      </w:r>
      <w:r w:rsidR="0024708F">
        <w:rPr>
          <w:lang w:val="es-ES"/>
        </w:rPr>
        <w:t>«</w:t>
      </w:r>
      <w:r>
        <w:rPr>
          <w:lang w:val="es-ES"/>
        </w:rPr>
        <w:t>tal y como se reciben</w:t>
      </w:r>
      <w:r w:rsidR="0024708F">
        <w:rPr>
          <w:lang w:val="es-ES"/>
        </w:rPr>
        <w:t>»</w:t>
      </w:r>
      <w:r>
        <w:rPr>
          <w:lang w:val="es-ES"/>
        </w:rPr>
        <w:t>.</w:t>
      </w:r>
    </w:p>
    <w:p w14:paraId="5008E251" w14:textId="7EB0C606" w:rsidR="000F62B4" w:rsidRPr="006C7415" w:rsidRDefault="001A7C66" w:rsidP="00351C79">
      <w:pPr>
        <w:pStyle w:val="Heading1"/>
        <w:rPr>
          <w:lang w:val="es-ES"/>
        </w:rPr>
      </w:pPr>
      <w:r>
        <w:rPr>
          <w:bCs/>
          <w:lang w:val="es-ES"/>
        </w:rPr>
        <w:t>3</w:t>
      </w:r>
      <w:r w:rsidR="000F62B4">
        <w:rPr>
          <w:lang w:val="es-ES"/>
        </w:rPr>
        <w:tab/>
      </w:r>
      <w:proofErr w:type="gramStart"/>
      <w:r w:rsidR="000F62B4">
        <w:rPr>
          <w:bCs/>
          <w:lang w:val="es-ES"/>
        </w:rPr>
        <w:t>Participación</w:t>
      </w:r>
      <w:proofErr w:type="gramEnd"/>
    </w:p>
    <w:p w14:paraId="7FDF27D2" w14:textId="38222F94" w:rsidR="000F62B4" w:rsidRPr="006C7415" w:rsidRDefault="000F62B4" w:rsidP="00351C79">
      <w:pPr>
        <w:rPr>
          <w:lang w:val="es-ES"/>
        </w:rPr>
      </w:pPr>
      <w:r>
        <w:rPr>
          <w:lang w:val="es-ES"/>
        </w:rPr>
        <w:t xml:space="preserve">El nivel de participación en las reuniones de las CE y GT del UIT-R ha aumentado considerablemente, especialmente desde 2020, cuando todas las reuniones se celebran por medios electrónicos o presenciales con participación a distancia. Esto resulta muy alentador, pero al mismo tiempo </w:t>
      </w:r>
      <w:r w:rsidR="001A7C66">
        <w:rPr>
          <w:lang w:val="es-ES"/>
        </w:rPr>
        <w:t>plantear</w:t>
      </w:r>
      <w:r>
        <w:rPr>
          <w:lang w:val="es-ES"/>
        </w:rPr>
        <w:t xml:space="preserve"> dificultades </w:t>
      </w:r>
      <w:r w:rsidR="001A7C66">
        <w:rPr>
          <w:lang w:val="es-ES"/>
        </w:rPr>
        <w:t>a la hora de planificar reuniones para grupos numerosos</w:t>
      </w:r>
      <w:r>
        <w:rPr>
          <w:lang w:val="es-ES"/>
        </w:rPr>
        <w:t>.</w:t>
      </w:r>
    </w:p>
    <w:p w14:paraId="2F07A0CC" w14:textId="4F412EE0" w:rsidR="007B711C" w:rsidRDefault="000F62B4" w:rsidP="00351C79">
      <w:pPr>
        <w:rPr>
          <w:lang w:val="es-ES"/>
        </w:rPr>
      </w:pPr>
      <w:r>
        <w:rPr>
          <w:lang w:val="es-ES"/>
        </w:rPr>
        <w:t xml:space="preserve">En la </w:t>
      </w:r>
      <w:r w:rsidR="008C6D55">
        <w:rPr>
          <w:lang w:val="es-ES"/>
        </w:rPr>
        <w:t>F</w:t>
      </w:r>
      <w:r>
        <w:rPr>
          <w:lang w:val="es-ES"/>
        </w:rPr>
        <w:t xml:space="preserve">igura 1 se muestra la participación </w:t>
      </w:r>
      <w:r w:rsidR="008C6D55">
        <w:rPr>
          <w:lang w:val="es-ES"/>
        </w:rPr>
        <w:t>presencial por Comisiones en 2024</w:t>
      </w:r>
      <w:r>
        <w:rPr>
          <w:lang w:val="es-ES"/>
        </w:rPr>
        <w:t>.</w:t>
      </w:r>
    </w:p>
    <w:p w14:paraId="2A00E9F9" w14:textId="001CD12C" w:rsidR="007B711C" w:rsidRDefault="007B711C">
      <w:pPr>
        <w:tabs>
          <w:tab w:val="clear" w:pos="794"/>
          <w:tab w:val="clear" w:pos="1191"/>
          <w:tab w:val="clear" w:pos="1588"/>
          <w:tab w:val="clear" w:pos="1985"/>
        </w:tabs>
        <w:overflowPunct/>
        <w:autoSpaceDE/>
        <w:autoSpaceDN/>
        <w:adjustRightInd/>
        <w:spacing w:before="0"/>
        <w:textAlignment w:val="auto"/>
        <w:rPr>
          <w:lang w:val="es-ES"/>
        </w:rPr>
      </w:pPr>
    </w:p>
    <w:p w14:paraId="385483F4" w14:textId="42839631" w:rsidR="007B711C" w:rsidRDefault="007B711C">
      <w:pPr>
        <w:tabs>
          <w:tab w:val="clear" w:pos="794"/>
          <w:tab w:val="clear" w:pos="1191"/>
          <w:tab w:val="clear" w:pos="1588"/>
          <w:tab w:val="clear" w:pos="1985"/>
        </w:tabs>
        <w:overflowPunct/>
        <w:autoSpaceDE/>
        <w:autoSpaceDN/>
        <w:adjustRightInd/>
        <w:spacing w:before="0"/>
        <w:textAlignment w:val="auto"/>
        <w:rPr>
          <w:lang w:val="es-ES"/>
        </w:rPr>
      </w:pPr>
      <w:r>
        <w:rPr>
          <w:lang w:val="es-ES"/>
        </w:rPr>
        <w:br w:type="page"/>
      </w:r>
    </w:p>
    <w:p w14:paraId="52B06F2D" w14:textId="77777777" w:rsidR="000F62B4" w:rsidRPr="006C7415" w:rsidRDefault="000F62B4" w:rsidP="007B711C">
      <w:pPr>
        <w:pStyle w:val="FigureNoBR"/>
        <w:rPr>
          <w:lang w:val="es-ES"/>
        </w:rPr>
      </w:pPr>
      <w:r>
        <w:rPr>
          <w:lang w:val="es-ES"/>
        </w:rPr>
        <w:lastRenderedPageBreak/>
        <w:t>FIGURA 1</w:t>
      </w:r>
    </w:p>
    <w:p w14:paraId="55A5EC9C" w14:textId="2B821FB6" w:rsidR="000F62B4" w:rsidRPr="006C7415" w:rsidRDefault="008C6D55" w:rsidP="007B711C">
      <w:pPr>
        <w:pStyle w:val="FigureNotitle"/>
        <w:rPr>
          <w:lang w:val="es-ES"/>
        </w:rPr>
      </w:pPr>
      <w:r>
        <w:rPr>
          <w:lang w:val="es-ES"/>
        </w:rPr>
        <w:t>Número total de participantes presenciales por Comisión de Estudio/Grupo de Trabajo del UIT-R</w:t>
      </w:r>
    </w:p>
    <w:p w14:paraId="4D743D6E" w14:textId="77777777" w:rsidR="008C6D55" w:rsidRPr="007935B5" w:rsidRDefault="008C6D55" w:rsidP="008C6D55">
      <w:r w:rsidRPr="00C01E41">
        <w:rPr>
          <w:noProof/>
        </w:rPr>
        <w:drawing>
          <wp:inline distT="0" distB="0" distL="0" distR="0" wp14:anchorId="7F658158" wp14:editId="33325A6F">
            <wp:extent cx="6120321" cy="2900275"/>
            <wp:effectExtent l="0" t="0" r="13970" b="14605"/>
            <wp:docPr id="1677447098" name="Chart 1">
              <a:extLst xmlns:a="http://schemas.openxmlformats.org/drawingml/2006/main">
                <a:ext uri="{FF2B5EF4-FFF2-40B4-BE49-F238E27FC236}">
                  <a16:creationId xmlns:a16="http://schemas.microsoft.com/office/drawing/2014/main" id="{E0D01347-FF51-628D-F741-C8B79A42B18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AC4F514" w14:textId="56FCEEDA" w:rsidR="008C6D55" w:rsidRPr="00C414E3" w:rsidRDefault="008C6D55" w:rsidP="008C6D55">
      <w:pPr>
        <w:pStyle w:val="Heading2"/>
        <w:rPr>
          <w:lang w:val="es-ES"/>
        </w:rPr>
      </w:pPr>
      <w:r w:rsidRPr="00C414E3">
        <w:rPr>
          <w:lang w:val="es-ES"/>
        </w:rPr>
        <w:t>3.1</w:t>
      </w:r>
      <w:r w:rsidRPr="00C414E3">
        <w:rPr>
          <w:lang w:val="es-ES"/>
        </w:rPr>
        <w:tab/>
        <w:t xml:space="preserve">Becas para fomentar la participación en las actividades de las </w:t>
      </w:r>
      <w:r>
        <w:rPr>
          <w:lang w:val="es-ES"/>
        </w:rPr>
        <w:t>Comisiones de Estudio del UIT-R</w:t>
      </w:r>
    </w:p>
    <w:p w14:paraId="60FAD0E3" w14:textId="2CF12543" w:rsidR="008C6D55" w:rsidRPr="00C414E3" w:rsidRDefault="008C6D55" w:rsidP="008C6D55">
      <w:pPr>
        <w:rPr>
          <w:lang w:val="es-ES"/>
        </w:rPr>
      </w:pPr>
      <w:r w:rsidRPr="00C414E3">
        <w:rPr>
          <w:lang w:val="es-ES"/>
        </w:rPr>
        <w:t>De conformidad con la sección A1.3.2.1</w:t>
      </w:r>
      <w:r w:rsidRPr="00C414E3">
        <w:rPr>
          <w:i/>
          <w:iCs/>
          <w:lang w:val="es-ES"/>
        </w:rPr>
        <w:t>quinquies </w:t>
      </w:r>
      <w:r w:rsidRPr="00C414E3">
        <w:rPr>
          <w:lang w:val="es-ES"/>
        </w:rPr>
        <w:t>de la Resolución UIT-R 1-9, la UIT debe facilitar y proporcionar el apoyo necesario para la partici</w:t>
      </w:r>
      <w:r>
        <w:rPr>
          <w:lang w:val="es-ES"/>
        </w:rPr>
        <w:t xml:space="preserve">pación en los trabajos de las Comisiones de Estudio del UIT-R, especialmente para las personas que proceden de países en desarrollo, en la medida de lo posible y factible. </w:t>
      </w:r>
      <w:r w:rsidRPr="008C6D55">
        <w:rPr>
          <w:lang w:val="es-ES"/>
        </w:rPr>
        <w:t xml:space="preserve">Se </w:t>
      </w:r>
      <w:r w:rsidRPr="00C414E3">
        <w:rPr>
          <w:lang w:val="es-ES"/>
        </w:rPr>
        <w:t>ha formulado una solicitud a la reunión de 2025 del Consejo de la UIT para identificar el presupuesto dedicado a la conce</w:t>
      </w:r>
      <w:r>
        <w:rPr>
          <w:lang w:val="es-ES"/>
        </w:rPr>
        <w:t>sión de becas para asistir a reuniones del UIT-R</w:t>
      </w:r>
      <w:r w:rsidRPr="00C414E3">
        <w:rPr>
          <w:lang w:val="es-ES"/>
        </w:rPr>
        <w:t xml:space="preserve">. </w:t>
      </w:r>
    </w:p>
    <w:p w14:paraId="4A599CE5" w14:textId="22762D20" w:rsidR="000F62B4" w:rsidRPr="006C7415" w:rsidRDefault="008C6D55" w:rsidP="001F6E24">
      <w:pPr>
        <w:pStyle w:val="Heading1"/>
        <w:keepNext w:val="0"/>
        <w:keepLines w:val="0"/>
        <w:rPr>
          <w:lang w:val="es-ES"/>
        </w:rPr>
      </w:pPr>
      <w:r>
        <w:rPr>
          <w:bCs/>
          <w:lang w:val="es-ES"/>
        </w:rPr>
        <w:t>4</w:t>
      </w:r>
      <w:r w:rsidR="000F62B4">
        <w:rPr>
          <w:lang w:val="es-ES"/>
        </w:rPr>
        <w:tab/>
      </w:r>
      <w:r w:rsidR="000F62B4">
        <w:rPr>
          <w:bCs/>
          <w:lang w:val="es-ES"/>
        </w:rPr>
        <w:t>Salas de reunión</w:t>
      </w:r>
    </w:p>
    <w:p w14:paraId="6AE4E7D0" w14:textId="77777777" w:rsidR="000F62B4" w:rsidRPr="006C7415" w:rsidRDefault="000F62B4" w:rsidP="001F6E24">
      <w:pPr>
        <w:rPr>
          <w:lang w:val="es-ES"/>
        </w:rPr>
      </w:pPr>
      <w:r>
        <w:rPr>
          <w:lang w:val="es-ES"/>
        </w:rPr>
        <w:t>La escasez de salas de reunión en la Sede de la UIT sigue obstaculizando la planificación eficaz de las reuniones. Este problema se ha visto exacerbado por los siguientes factores:</w:t>
      </w:r>
    </w:p>
    <w:p w14:paraId="6A9E029B" w14:textId="77777777" w:rsidR="000F62B4" w:rsidRPr="006C7415" w:rsidRDefault="000F62B4" w:rsidP="001F6E24">
      <w:pPr>
        <w:pStyle w:val="enumlev1"/>
        <w:rPr>
          <w:lang w:val="es-ES"/>
        </w:rPr>
      </w:pPr>
      <w:r>
        <w:rPr>
          <w:lang w:val="es-ES"/>
        </w:rPr>
        <w:t>–</w:t>
      </w:r>
      <w:r>
        <w:rPr>
          <w:lang w:val="es-ES"/>
        </w:rPr>
        <w:tab/>
        <w:t>el creciente número de reuniones previstas por los tres Sectores y la Secretaría General;</w:t>
      </w:r>
    </w:p>
    <w:p w14:paraId="4AD6F1D0" w14:textId="77777777" w:rsidR="000F62B4" w:rsidRPr="006C7415" w:rsidRDefault="000F62B4" w:rsidP="001F6E24">
      <w:pPr>
        <w:pStyle w:val="enumlev1"/>
        <w:rPr>
          <w:lang w:val="es-ES"/>
        </w:rPr>
      </w:pPr>
      <w:r>
        <w:rPr>
          <w:lang w:val="es-ES"/>
        </w:rPr>
        <w:t>–</w:t>
      </w:r>
      <w:r>
        <w:rPr>
          <w:lang w:val="es-ES"/>
        </w:rPr>
        <w:tab/>
        <w:t>la escasez de salas de reunión con un aforo para más de 120 participantes;</w:t>
      </w:r>
    </w:p>
    <w:p w14:paraId="33079BEB" w14:textId="33857575" w:rsidR="000F62B4" w:rsidRPr="006C7415" w:rsidRDefault="000F62B4" w:rsidP="001F6E24">
      <w:pPr>
        <w:pStyle w:val="enumlev1"/>
        <w:rPr>
          <w:lang w:val="es-ES"/>
        </w:rPr>
      </w:pPr>
      <w:r>
        <w:rPr>
          <w:lang w:val="es-ES"/>
        </w:rPr>
        <w:t>–</w:t>
      </w:r>
      <w:r>
        <w:rPr>
          <w:lang w:val="es-ES"/>
        </w:rPr>
        <w:tab/>
        <w:t>la necesidad de evitar solapamientos</w:t>
      </w:r>
      <w:r w:rsidR="00D545D6">
        <w:rPr>
          <w:lang w:val="es-ES"/>
        </w:rPr>
        <w:t xml:space="preserve"> en las</w:t>
      </w:r>
      <w:r>
        <w:rPr>
          <w:lang w:val="es-ES"/>
        </w:rPr>
        <w:t xml:space="preserve"> fechas de reunión, así como la necesidad de celebrar reuniones simultáneas de las Comisiones del UIT-R;</w:t>
      </w:r>
    </w:p>
    <w:p w14:paraId="45F55AAA" w14:textId="66E840D1" w:rsidR="000F62B4" w:rsidRDefault="000F62B4" w:rsidP="001F6E24">
      <w:pPr>
        <w:pStyle w:val="enumlev1"/>
        <w:rPr>
          <w:lang w:val="es-ES"/>
        </w:rPr>
      </w:pPr>
      <w:r>
        <w:rPr>
          <w:lang w:val="es-ES"/>
        </w:rPr>
        <w:t>–</w:t>
      </w:r>
      <w:r>
        <w:rPr>
          <w:lang w:val="es-ES"/>
        </w:rPr>
        <w:tab/>
        <w:t>la disponibilidad limitada y los plazos muy prolongados necesarios para reservar en instalaciones alternativas, como el CICG;</w:t>
      </w:r>
    </w:p>
    <w:p w14:paraId="770B7341" w14:textId="79469786" w:rsidR="00D545D6" w:rsidRPr="006C7415" w:rsidRDefault="0024708F" w:rsidP="001F6E24">
      <w:pPr>
        <w:pStyle w:val="enumlev1"/>
        <w:rPr>
          <w:lang w:val="es-ES"/>
        </w:rPr>
      </w:pPr>
      <w:r w:rsidRPr="0024708F">
        <w:rPr>
          <w:lang w:val="es-ES"/>
        </w:rPr>
        <w:t>–</w:t>
      </w:r>
      <w:r w:rsidR="00D545D6">
        <w:rPr>
          <w:lang w:val="es-ES"/>
        </w:rPr>
        <w:tab/>
        <w:t>además, las condiciones contractuales del CICG han cambiado y se han vuelto más estrictas: el CICG ya no otorga automáticamente a la UIT ni a otras organizaciones internacionales salas a título gratuito, pues tales atribuciones están ahora sujetas al presupuesto disponible del CICG y toda solicitud de sala a título gratuito debe presentarse con 18 meses de antelación;</w:t>
      </w:r>
    </w:p>
    <w:p w14:paraId="70A412DB" w14:textId="03F6D8C6" w:rsidR="000F62B4" w:rsidRPr="006C7415" w:rsidRDefault="000F62B4" w:rsidP="001F6E24">
      <w:pPr>
        <w:pStyle w:val="enumlev1"/>
        <w:rPr>
          <w:lang w:val="es-ES"/>
        </w:rPr>
      </w:pPr>
      <w:r>
        <w:rPr>
          <w:lang w:val="es-ES"/>
        </w:rPr>
        <w:t>–</w:t>
      </w:r>
      <w:r>
        <w:rPr>
          <w:lang w:val="es-ES"/>
        </w:rPr>
        <w:tab/>
        <w:t xml:space="preserve">la futura demolición del edificio de </w:t>
      </w:r>
      <w:proofErr w:type="spellStart"/>
      <w:r>
        <w:rPr>
          <w:lang w:val="es-ES"/>
        </w:rPr>
        <w:t>Varembé</w:t>
      </w:r>
      <w:proofErr w:type="spellEnd"/>
      <w:r>
        <w:rPr>
          <w:lang w:val="es-ES"/>
        </w:rPr>
        <w:t xml:space="preserve"> y la construcción del nuevo edificio de la UIT, que afectará a </w:t>
      </w:r>
      <w:r w:rsidR="00D545D6">
        <w:rPr>
          <w:lang w:val="es-ES"/>
        </w:rPr>
        <w:t>varias</w:t>
      </w:r>
      <w:r>
        <w:rPr>
          <w:lang w:val="es-ES"/>
        </w:rPr>
        <w:t xml:space="preserve"> salas de reunión.</w:t>
      </w:r>
    </w:p>
    <w:p w14:paraId="6174595D" w14:textId="01580D5C" w:rsidR="000F62B4" w:rsidRDefault="000F62B4" w:rsidP="001F6E24">
      <w:pPr>
        <w:rPr>
          <w:lang w:val="es-ES"/>
        </w:rPr>
      </w:pPr>
      <w:r>
        <w:rPr>
          <w:lang w:val="es-ES"/>
        </w:rPr>
        <w:lastRenderedPageBreak/>
        <w:t>Por consiguiente, cuando comience</w:t>
      </w:r>
      <w:r w:rsidR="00D545D6">
        <w:rPr>
          <w:lang w:val="es-ES"/>
        </w:rPr>
        <w:t xml:space="preserve"> la demolición del edificio de </w:t>
      </w:r>
      <w:proofErr w:type="spellStart"/>
      <w:r w:rsidR="00D545D6">
        <w:rPr>
          <w:lang w:val="es-ES"/>
        </w:rPr>
        <w:t>Varembé</w:t>
      </w:r>
      <w:proofErr w:type="spellEnd"/>
      <w:r>
        <w:rPr>
          <w:lang w:val="es-ES"/>
        </w:rPr>
        <w:t xml:space="preserve">, será necesario celebrar un número cada vez mayor de reuniones fuera de la </w:t>
      </w:r>
      <w:r w:rsidR="00D545D6">
        <w:rPr>
          <w:lang w:val="es-ES"/>
        </w:rPr>
        <w:t xml:space="preserve">Sede de la </w:t>
      </w:r>
      <w:r>
        <w:rPr>
          <w:lang w:val="es-ES"/>
        </w:rPr>
        <w:t xml:space="preserve">UIT o </w:t>
      </w:r>
      <w:r w:rsidR="00D545D6">
        <w:rPr>
          <w:lang w:val="es-ES"/>
        </w:rPr>
        <w:t>combinar la</w:t>
      </w:r>
      <w:r>
        <w:rPr>
          <w:lang w:val="es-ES"/>
        </w:rPr>
        <w:t xml:space="preserve"> participación presencial y a distancia. A tal efecto, se agradecerán especialmente las ofertas de los </w:t>
      </w:r>
      <w:r w:rsidR="00D545D6">
        <w:rPr>
          <w:lang w:val="es-ES"/>
        </w:rPr>
        <w:t>M</w:t>
      </w:r>
      <w:r>
        <w:rPr>
          <w:lang w:val="es-ES"/>
        </w:rPr>
        <w:t>iembros para acoger reuniones de CE/GT durante este periodo. Además, estas disposiciones exigen una planificación y preparación considerables por anticipado.</w:t>
      </w:r>
    </w:p>
    <w:p w14:paraId="4AB1A1B1" w14:textId="517875EE" w:rsidR="00D545D6" w:rsidRPr="006C7415" w:rsidRDefault="00D545D6" w:rsidP="001F6E24">
      <w:pPr>
        <w:rPr>
          <w:sz w:val="22"/>
          <w:szCs w:val="22"/>
          <w:lang w:val="es-ES"/>
        </w:rPr>
      </w:pPr>
      <w:r>
        <w:rPr>
          <w:lang w:val="es-ES"/>
        </w:rPr>
        <w:t>En 2024 se evitaron en la medida de lo posible los solapamientos con reuniones de los otros Sectores y de la Secretaría General de la UIT. Por desgracia, el número de eventos ajenos al UIT-R ha aumentado notablemente, por lo que ha resultado muy difícil, a veces imposible, evitar tales solapamientos. Se prevé que la situación sea la misma en 2025 y la coordinación entre los Sectores de la UIT es constante a fin de reducir al mínimo este problema.</w:t>
      </w:r>
    </w:p>
    <w:p w14:paraId="47951DBA" w14:textId="0AD50CF2" w:rsidR="000F62B4" w:rsidRPr="006C7415" w:rsidRDefault="00D545D6" w:rsidP="001F6E24">
      <w:pPr>
        <w:pStyle w:val="Heading1"/>
        <w:spacing w:before="240"/>
        <w:rPr>
          <w:lang w:val="es-ES"/>
        </w:rPr>
      </w:pPr>
      <w:bookmarkStart w:id="13" w:name="_Toc445972792"/>
      <w:bookmarkEnd w:id="6"/>
      <w:r>
        <w:rPr>
          <w:bCs/>
          <w:lang w:val="es-ES"/>
        </w:rPr>
        <w:t>5</w:t>
      </w:r>
      <w:r w:rsidR="000F62B4">
        <w:rPr>
          <w:lang w:val="es-ES"/>
        </w:rPr>
        <w:tab/>
      </w:r>
      <w:proofErr w:type="gramStart"/>
      <w:r w:rsidR="000F62B4">
        <w:rPr>
          <w:bCs/>
          <w:lang w:val="es-ES"/>
        </w:rPr>
        <w:t>Actividades</w:t>
      </w:r>
      <w:proofErr w:type="gramEnd"/>
      <w:r w:rsidR="000F62B4">
        <w:rPr>
          <w:bCs/>
          <w:lang w:val="es-ES"/>
        </w:rPr>
        <w:t xml:space="preserve"> de las Comisiones de Estudio</w:t>
      </w:r>
    </w:p>
    <w:p w14:paraId="6E88B8C3" w14:textId="77777777" w:rsidR="002A600B" w:rsidRDefault="00D545D6" w:rsidP="001F6E24">
      <w:pPr>
        <w:spacing w:after="120"/>
        <w:rPr>
          <w:lang w:val="es-ES"/>
        </w:rPr>
      </w:pPr>
      <w:r>
        <w:rPr>
          <w:lang w:val="es-ES"/>
        </w:rPr>
        <w:t>Las Comisiones de Estudio (CE) y los Grupos de Trabajo (GT) utilizaron métodos de trabajo conformes con la Resolución UIT-R 1 y las Directrices</w:t>
      </w:r>
      <w:r w:rsidR="002A600B">
        <w:rPr>
          <w:lang w:val="es-ES"/>
        </w:rPr>
        <w:t xml:space="preserve"> sobre los métodos de trabajo conexas.</w:t>
      </w:r>
    </w:p>
    <w:p w14:paraId="3EA23359" w14:textId="25D4D92F" w:rsidR="000F62B4" w:rsidRPr="006C7415" w:rsidRDefault="000F62B4" w:rsidP="001F6E24">
      <w:pPr>
        <w:spacing w:after="120"/>
        <w:rPr>
          <w:lang w:val="es-ES"/>
        </w:rPr>
      </w:pPr>
      <w:r>
        <w:rPr>
          <w:lang w:val="es-ES"/>
        </w:rPr>
        <w:t>A continuación, se describen algunas de las actividades y otros estudios de normalización en curso. En el cuadro siguiente se resumen los estudios realizados desde el GAR-2</w:t>
      </w:r>
      <w:r w:rsidR="002A600B">
        <w:rPr>
          <w:lang w:val="es-ES"/>
        </w:rPr>
        <w:t>4</w:t>
      </w:r>
      <w:r>
        <w:rPr>
          <w:lang w:val="es-ES"/>
        </w:rPr>
        <w:t>, así como la elaboración de Recomendaciones e Informes UIT-R aprobados desde entonces.</w:t>
      </w:r>
    </w:p>
    <w:tbl>
      <w:tblPr>
        <w:tblStyle w:val="TableGrid1"/>
        <w:tblW w:w="9821" w:type="dxa"/>
        <w:jc w:val="center"/>
        <w:tblLayout w:type="fixed"/>
        <w:tblLook w:val="04A0" w:firstRow="1" w:lastRow="0" w:firstColumn="1" w:lastColumn="0" w:noHBand="0" w:noVBand="1"/>
      </w:tblPr>
      <w:tblGrid>
        <w:gridCol w:w="1129"/>
        <w:gridCol w:w="2059"/>
        <w:gridCol w:w="2435"/>
        <w:gridCol w:w="1323"/>
        <w:gridCol w:w="1559"/>
        <w:gridCol w:w="1316"/>
      </w:tblGrid>
      <w:tr w:rsidR="000F62B4" w:rsidRPr="00745008" w14:paraId="64DA96E5" w14:textId="77777777" w:rsidTr="00112AB9">
        <w:trPr>
          <w:trHeight w:val="287"/>
          <w:tblHeader/>
          <w:jc w:val="center"/>
        </w:trPr>
        <w:tc>
          <w:tcPr>
            <w:tcW w:w="1129" w:type="dxa"/>
            <w:vMerge w:val="restart"/>
            <w:tcBorders>
              <w:right w:val="single" w:sz="4" w:space="0" w:color="000000" w:themeColor="text1"/>
            </w:tcBorders>
            <w:shd w:val="clear" w:color="auto" w:fill="DBE5F1" w:themeFill="accent1" w:themeFillTint="33"/>
            <w:vAlign w:val="center"/>
          </w:tcPr>
          <w:p w14:paraId="6F98C1CF" w14:textId="1C070C8C" w:rsidR="000F62B4" w:rsidRPr="00745008" w:rsidRDefault="000F62B4" w:rsidP="0073539B">
            <w:pPr>
              <w:pStyle w:val="Tablehead"/>
            </w:pPr>
            <w:r>
              <w:rPr>
                <w:bCs/>
                <w:lang w:val="es-ES"/>
              </w:rPr>
              <w:t xml:space="preserve">Comisión de </w:t>
            </w:r>
            <w:r w:rsidR="00F44767">
              <w:rPr>
                <w:bCs/>
                <w:lang w:val="es-ES"/>
              </w:rPr>
              <w:t>E</w:t>
            </w:r>
            <w:r>
              <w:rPr>
                <w:bCs/>
                <w:lang w:val="es-ES"/>
              </w:rPr>
              <w:t>studio</w:t>
            </w:r>
          </w:p>
        </w:tc>
        <w:tc>
          <w:tcPr>
            <w:tcW w:w="8692" w:type="dxa"/>
            <w:gridSpan w:val="5"/>
            <w:tcBorders>
              <w:left w:val="single" w:sz="4" w:space="0" w:color="000000" w:themeColor="text1"/>
            </w:tcBorders>
            <w:shd w:val="clear" w:color="auto" w:fill="DBE5F1" w:themeFill="accent1" w:themeFillTint="33"/>
            <w:vAlign w:val="center"/>
          </w:tcPr>
          <w:p w14:paraId="5250124B" w14:textId="77777777" w:rsidR="000F62B4" w:rsidRPr="00745008" w:rsidRDefault="000F62B4" w:rsidP="0073539B">
            <w:pPr>
              <w:pStyle w:val="Tablehead"/>
            </w:pPr>
            <w:r>
              <w:rPr>
                <w:bCs/>
                <w:lang w:val="es-ES"/>
              </w:rPr>
              <w:t>Situación de los estudios</w:t>
            </w:r>
          </w:p>
        </w:tc>
      </w:tr>
      <w:tr w:rsidR="000F62B4" w:rsidRPr="00745008" w14:paraId="484150AB" w14:textId="77777777" w:rsidTr="00112AB9">
        <w:trPr>
          <w:trHeight w:val="270"/>
          <w:tblHeader/>
          <w:jc w:val="center"/>
        </w:trPr>
        <w:tc>
          <w:tcPr>
            <w:tcW w:w="1129" w:type="dxa"/>
            <w:vMerge/>
            <w:vAlign w:val="center"/>
          </w:tcPr>
          <w:p w14:paraId="30DBAC41" w14:textId="77777777" w:rsidR="000F62B4" w:rsidRPr="00745008" w:rsidDel="00A14716" w:rsidRDefault="000F62B4" w:rsidP="0073539B">
            <w:pPr>
              <w:pStyle w:val="Tablehead"/>
            </w:pPr>
          </w:p>
        </w:tc>
        <w:tc>
          <w:tcPr>
            <w:tcW w:w="2059" w:type="dxa"/>
            <w:tcBorders>
              <w:left w:val="single" w:sz="4" w:space="0" w:color="000000" w:themeColor="text1"/>
            </w:tcBorders>
            <w:shd w:val="clear" w:color="auto" w:fill="DBE5F1" w:themeFill="accent1" w:themeFillTint="33"/>
            <w:vAlign w:val="center"/>
          </w:tcPr>
          <w:p w14:paraId="766C0404" w14:textId="26F25DB2" w:rsidR="000F62B4" w:rsidRPr="00745008" w:rsidRDefault="000F62B4" w:rsidP="0073539B">
            <w:pPr>
              <w:pStyle w:val="Tablehead"/>
            </w:pPr>
            <w:r>
              <w:rPr>
                <w:bCs/>
                <w:lang w:val="es-ES"/>
              </w:rPr>
              <w:t>Recomendaciones UIT</w:t>
            </w:r>
            <w:r w:rsidR="00F44767">
              <w:rPr>
                <w:bCs/>
                <w:lang w:val="es-ES"/>
              </w:rPr>
              <w:noBreakHyphen/>
            </w:r>
            <w:r>
              <w:rPr>
                <w:bCs/>
                <w:lang w:val="es-ES"/>
              </w:rPr>
              <w:t>R aprobadas</w:t>
            </w:r>
          </w:p>
        </w:tc>
        <w:tc>
          <w:tcPr>
            <w:tcW w:w="2435" w:type="dxa"/>
            <w:tcBorders>
              <w:left w:val="single" w:sz="4" w:space="0" w:color="000000" w:themeColor="text1"/>
            </w:tcBorders>
            <w:shd w:val="clear" w:color="auto" w:fill="DBE5F1" w:themeFill="accent1" w:themeFillTint="33"/>
          </w:tcPr>
          <w:p w14:paraId="28E2F575" w14:textId="77777777" w:rsidR="000F62B4" w:rsidRPr="006C7415" w:rsidRDefault="000F62B4" w:rsidP="0073539B">
            <w:pPr>
              <w:pStyle w:val="Tablehead"/>
              <w:rPr>
                <w:lang w:val="es-ES"/>
              </w:rPr>
            </w:pPr>
            <w:r>
              <w:rPr>
                <w:bCs/>
                <w:lang w:val="es-ES"/>
              </w:rPr>
              <w:t>Informes aprobados por el UIT-R</w:t>
            </w:r>
          </w:p>
        </w:tc>
        <w:tc>
          <w:tcPr>
            <w:tcW w:w="1323" w:type="dxa"/>
            <w:tcBorders>
              <w:left w:val="single" w:sz="4" w:space="0" w:color="000000" w:themeColor="text1"/>
            </w:tcBorders>
            <w:shd w:val="clear" w:color="auto" w:fill="DBE5F1" w:themeFill="accent1" w:themeFillTint="33"/>
          </w:tcPr>
          <w:p w14:paraId="25EF417A" w14:textId="386775D0" w:rsidR="000F62B4" w:rsidRPr="006C7415" w:rsidRDefault="000F62B4" w:rsidP="0073539B">
            <w:pPr>
              <w:pStyle w:val="Tablehead"/>
              <w:rPr>
                <w:lang w:val="es-ES"/>
              </w:rPr>
            </w:pPr>
            <w:r>
              <w:rPr>
                <w:bCs/>
                <w:lang w:val="es-ES"/>
              </w:rPr>
              <w:t>Cuestiones aprobadas por el UIT</w:t>
            </w:r>
            <w:r w:rsidR="00F44767">
              <w:rPr>
                <w:bCs/>
                <w:lang w:val="es-ES"/>
              </w:rPr>
              <w:noBreakHyphen/>
            </w:r>
            <w:r>
              <w:rPr>
                <w:bCs/>
                <w:lang w:val="es-ES"/>
              </w:rPr>
              <w:t>R</w:t>
            </w:r>
          </w:p>
        </w:tc>
        <w:tc>
          <w:tcPr>
            <w:tcW w:w="1559" w:type="dxa"/>
            <w:tcBorders>
              <w:left w:val="single" w:sz="4" w:space="0" w:color="000000" w:themeColor="text1"/>
            </w:tcBorders>
            <w:shd w:val="clear" w:color="auto" w:fill="DBE5F1" w:themeFill="accent1" w:themeFillTint="33"/>
          </w:tcPr>
          <w:p w14:paraId="66AFB318" w14:textId="77777777" w:rsidR="000F62B4" w:rsidRPr="00745008" w:rsidRDefault="000F62B4" w:rsidP="0073539B">
            <w:pPr>
              <w:pStyle w:val="Tablehead"/>
            </w:pPr>
            <w:r>
              <w:rPr>
                <w:bCs/>
                <w:lang w:val="es-ES"/>
              </w:rPr>
              <w:t>Informes UIT-R aprobados</w:t>
            </w:r>
          </w:p>
        </w:tc>
        <w:tc>
          <w:tcPr>
            <w:tcW w:w="1316" w:type="dxa"/>
            <w:tcBorders>
              <w:left w:val="single" w:sz="4" w:space="0" w:color="000000" w:themeColor="text1"/>
            </w:tcBorders>
            <w:shd w:val="clear" w:color="auto" w:fill="DBE5F1" w:themeFill="accent1" w:themeFillTint="33"/>
          </w:tcPr>
          <w:p w14:paraId="7D768E62" w14:textId="5F7816F7" w:rsidR="000F62B4" w:rsidRPr="00745008" w:rsidRDefault="002A600B" w:rsidP="0073539B">
            <w:pPr>
              <w:pStyle w:val="Tablehead"/>
            </w:pPr>
            <w:r>
              <w:rPr>
                <w:bCs/>
                <w:lang w:val="es-ES"/>
              </w:rPr>
              <w:t xml:space="preserve">Opiniones </w:t>
            </w:r>
            <w:r w:rsidR="000F62B4">
              <w:rPr>
                <w:bCs/>
                <w:lang w:val="es-ES"/>
              </w:rPr>
              <w:t>UIT-R aprobadas</w:t>
            </w:r>
          </w:p>
        </w:tc>
      </w:tr>
      <w:tr w:rsidR="002A600B" w:rsidRPr="006C7415" w14:paraId="54B66B4E" w14:textId="77777777" w:rsidTr="00112AB9">
        <w:trPr>
          <w:trHeight w:val="270"/>
          <w:jc w:val="center"/>
        </w:trPr>
        <w:tc>
          <w:tcPr>
            <w:tcW w:w="1129" w:type="dxa"/>
            <w:tcBorders>
              <w:right w:val="single" w:sz="4" w:space="0" w:color="000000" w:themeColor="text1"/>
            </w:tcBorders>
            <w:shd w:val="clear" w:color="auto" w:fill="auto"/>
          </w:tcPr>
          <w:p w14:paraId="0CC08EC2" w14:textId="77777777" w:rsidR="002A600B" w:rsidRPr="0004449C" w:rsidDel="00A14716" w:rsidRDefault="002A600B" w:rsidP="002A600B">
            <w:pPr>
              <w:pStyle w:val="Tabletext"/>
              <w:jc w:val="center"/>
              <w:rPr>
                <w:b/>
                <w:bCs/>
                <w:sz w:val="20"/>
              </w:rPr>
            </w:pPr>
            <w:r w:rsidRPr="0004449C">
              <w:rPr>
                <w:b/>
                <w:bCs/>
                <w:sz w:val="20"/>
                <w:lang w:val="es-ES"/>
              </w:rPr>
              <w:t>CE 1</w:t>
            </w:r>
          </w:p>
        </w:tc>
        <w:tc>
          <w:tcPr>
            <w:tcW w:w="2059" w:type="dxa"/>
            <w:tcBorders>
              <w:left w:val="single" w:sz="4" w:space="0" w:color="000000" w:themeColor="text1"/>
            </w:tcBorders>
            <w:shd w:val="clear" w:color="auto" w:fill="auto"/>
          </w:tcPr>
          <w:p w14:paraId="52316BC3" w14:textId="4B60E4D8" w:rsidR="002A600B" w:rsidRPr="00C414E3" w:rsidRDefault="002A600B" w:rsidP="002A600B">
            <w:pPr>
              <w:pStyle w:val="Tabletext"/>
              <w:rPr>
                <w:sz w:val="20"/>
                <w:lang w:val="en-US"/>
              </w:rPr>
            </w:pPr>
            <w:r w:rsidRPr="00C414E3">
              <w:rPr>
                <w:rFonts w:asciiTheme="majorBidi" w:hAnsiTheme="majorBidi" w:cstheme="majorBidi"/>
                <w:sz w:val="20"/>
                <w:lang w:val="en-US" w:eastAsia="ja-JP"/>
              </w:rPr>
              <w:t>SM.329-13, SM.853-2, SM.1539-2, SM.1541-7, SM.2129-1</w:t>
            </w:r>
          </w:p>
        </w:tc>
        <w:tc>
          <w:tcPr>
            <w:tcW w:w="2435" w:type="dxa"/>
            <w:tcBorders>
              <w:left w:val="single" w:sz="4" w:space="0" w:color="000000" w:themeColor="text1"/>
            </w:tcBorders>
            <w:shd w:val="clear" w:color="auto" w:fill="auto"/>
          </w:tcPr>
          <w:p w14:paraId="4CFFF606" w14:textId="5639C650" w:rsidR="002A600B" w:rsidRPr="000F62B4" w:rsidRDefault="002A600B" w:rsidP="002A600B">
            <w:pPr>
              <w:pStyle w:val="Tabletext"/>
              <w:rPr>
                <w:sz w:val="20"/>
                <w:lang w:val="en-US"/>
              </w:rPr>
            </w:pPr>
            <w:r w:rsidRPr="00035AF0">
              <w:rPr>
                <w:sz w:val="20"/>
              </w:rPr>
              <w:t>SM.2486-1, SM.2449-1, SM.2542-0</w:t>
            </w:r>
          </w:p>
        </w:tc>
        <w:tc>
          <w:tcPr>
            <w:tcW w:w="1323" w:type="dxa"/>
            <w:tcBorders>
              <w:left w:val="single" w:sz="4" w:space="0" w:color="000000" w:themeColor="text1"/>
            </w:tcBorders>
            <w:shd w:val="clear" w:color="auto" w:fill="auto"/>
          </w:tcPr>
          <w:p w14:paraId="128E2A63" w14:textId="77777777" w:rsidR="002A600B" w:rsidRPr="000F62B4" w:rsidRDefault="002A600B" w:rsidP="002A600B">
            <w:pPr>
              <w:pStyle w:val="Tabletext"/>
              <w:rPr>
                <w:sz w:val="20"/>
                <w:lang w:val="en-US"/>
              </w:rPr>
            </w:pPr>
          </w:p>
        </w:tc>
        <w:tc>
          <w:tcPr>
            <w:tcW w:w="1559" w:type="dxa"/>
            <w:tcBorders>
              <w:left w:val="single" w:sz="4" w:space="0" w:color="000000" w:themeColor="text1"/>
            </w:tcBorders>
          </w:tcPr>
          <w:p w14:paraId="72FCC226" w14:textId="43720111" w:rsidR="002A600B" w:rsidRPr="0004449C" w:rsidRDefault="002A600B" w:rsidP="002A600B">
            <w:pPr>
              <w:pStyle w:val="Tabletext"/>
              <w:rPr>
                <w:sz w:val="20"/>
                <w:lang w:val="es-ES"/>
              </w:rPr>
            </w:pPr>
          </w:p>
        </w:tc>
        <w:tc>
          <w:tcPr>
            <w:tcW w:w="1316" w:type="dxa"/>
            <w:tcBorders>
              <w:left w:val="single" w:sz="4" w:space="0" w:color="000000" w:themeColor="text1"/>
            </w:tcBorders>
          </w:tcPr>
          <w:p w14:paraId="65B10FC2" w14:textId="77777777" w:rsidR="002A600B" w:rsidRPr="0004449C" w:rsidRDefault="002A600B" w:rsidP="002A600B">
            <w:pPr>
              <w:pStyle w:val="Tabletext"/>
              <w:rPr>
                <w:sz w:val="20"/>
                <w:lang w:val="es-ES"/>
              </w:rPr>
            </w:pPr>
          </w:p>
        </w:tc>
      </w:tr>
      <w:tr w:rsidR="002A600B" w:rsidRPr="00745008" w14:paraId="6F35EB16" w14:textId="77777777" w:rsidTr="00112AB9">
        <w:trPr>
          <w:trHeight w:val="270"/>
          <w:jc w:val="center"/>
        </w:trPr>
        <w:tc>
          <w:tcPr>
            <w:tcW w:w="1129" w:type="dxa"/>
            <w:tcBorders>
              <w:right w:val="single" w:sz="4" w:space="0" w:color="000000" w:themeColor="text1"/>
            </w:tcBorders>
            <w:shd w:val="clear" w:color="auto" w:fill="auto"/>
          </w:tcPr>
          <w:p w14:paraId="753F6367" w14:textId="77777777" w:rsidR="002A600B" w:rsidRPr="0004449C" w:rsidDel="00A14716" w:rsidRDefault="002A600B" w:rsidP="002A600B">
            <w:pPr>
              <w:pStyle w:val="Tabletext"/>
              <w:jc w:val="center"/>
              <w:rPr>
                <w:b/>
                <w:bCs/>
                <w:sz w:val="20"/>
              </w:rPr>
            </w:pPr>
            <w:r w:rsidRPr="0004449C">
              <w:rPr>
                <w:b/>
                <w:bCs/>
                <w:sz w:val="20"/>
                <w:lang w:val="es-ES"/>
              </w:rPr>
              <w:t>CE 3</w:t>
            </w:r>
          </w:p>
        </w:tc>
        <w:tc>
          <w:tcPr>
            <w:tcW w:w="2059" w:type="dxa"/>
            <w:tcBorders>
              <w:left w:val="single" w:sz="4" w:space="0" w:color="000000" w:themeColor="text1"/>
            </w:tcBorders>
            <w:shd w:val="clear" w:color="auto" w:fill="auto"/>
          </w:tcPr>
          <w:p w14:paraId="59BED3A6" w14:textId="21F5FBF6" w:rsidR="002A600B" w:rsidRPr="0004449C" w:rsidRDefault="002A600B" w:rsidP="002A600B">
            <w:pPr>
              <w:pStyle w:val="Tabletext"/>
              <w:rPr>
                <w:sz w:val="20"/>
              </w:rPr>
            </w:pPr>
            <w:r>
              <w:rPr>
                <w:sz w:val="20"/>
              </w:rPr>
              <w:t>P.372-17, P.525-5, P.835</w:t>
            </w:r>
            <w:r>
              <w:rPr>
                <w:sz w:val="20"/>
              </w:rPr>
              <w:noBreakHyphen/>
              <w:t>7, P.1511-3</w:t>
            </w:r>
          </w:p>
        </w:tc>
        <w:tc>
          <w:tcPr>
            <w:tcW w:w="2435" w:type="dxa"/>
            <w:tcBorders>
              <w:left w:val="single" w:sz="4" w:space="0" w:color="000000" w:themeColor="text1"/>
            </w:tcBorders>
            <w:shd w:val="clear" w:color="auto" w:fill="auto"/>
          </w:tcPr>
          <w:p w14:paraId="08CA6B56" w14:textId="7D591671" w:rsidR="002A600B" w:rsidRPr="0004449C" w:rsidRDefault="002A600B" w:rsidP="002A600B">
            <w:pPr>
              <w:pStyle w:val="Tabletext"/>
              <w:rPr>
                <w:rFonts w:asciiTheme="majorBidi" w:hAnsiTheme="majorBidi" w:cstheme="majorBidi"/>
                <w:sz w:val="20"/>
              </w:rPr>
            </w:pPr>
          </w:p>
        </w:tc>
        <w:tc>
          <w:tcPr>
            <w:tcW w:w="1323" w:type="dxa"/>
            <w:tcBorders>
              <w:left w:val="single" w:sz="4" w:space="0" w:color="000000" w:themeColor="text1"/>
            </w:tcBorders>
            <w:shd w:val="clear" w:color="auto" w:fill="auto"/>
          </w:tcPr>
          <w:p w14:paraId="58848886" w14:textId="28D04610" w:rsidR="002A600B" w:rsidRPr="0004449C" w:rsidRDefault="002A600B" w:rsidP="002A600B">
            <w:pPr>
              <w:pStyle w:val="Tabletext"/>
              <w:rPr>
                <w:sz w:val="20"/>
              </w:rPr>
            </w:pPr>
          </w:p>
        </w:tc>
        <w:tc>
          <w:tcPr>
            <w:tcW w:w="1559" w:type="dxa"/>
            <w:tcBorders>
              <w:left w:val="single" w:sz="4" w:space="0" w:color="000000" w:themeColor="text1"/>
            </w:tcBorders>
          </w:tcPr>
          <w:p w14:paraId="6F76650D" w14:textId="77777777" w:rsidR="002A600B" w:rsidRPr="0004449C" w:rsidRDefault="002A600B" w:rsidP="002A600B">
            <w:pPr>
              <w:pStyle w:val="Tabletext"/>
              <w:rPr>
                <w:sz w:val="20"/>
              </w:rPr>
            </w:pPr>
          </w:p>
        </w:tc>
        <w:tc>
          <w:tcPr>
            <w:tcW w:w="1316" w:type="dxa"/>
            <w:tcBorders>
              <w:left w:val="single" w:sz="4" w:space="0" w:color="000000" w:themeColor="text1"/>
            </w:tcBorders>
          </w:tcPr>
          <w:p w14:paraId="2C0FA4E7" w14:textId="77777777" w:rsidR="002A600B" w:rsidRPr="0004449C" w:rsidRDefault="002A600B" w:rsidP="002A600B">
            <w:pPr>
              <w:pStyle w:val="Tabletext"/>
              <w:rPr>
                <w:sz w:val="20"/>
              </w:rPr>
            </w:pPr>
          </w:p>
        </w:tc>
      </w:tr>
      <w:tr w:rsidR="002A600B" w:rsidRPr="00745008" w14:paraId="4A496D07" w14:textId="77777777" w:rsidTr="00112AB9">
        <w:trPr>
          <w:trHeight w:val="270"/>
          <w:jc w:val="center"/>
        </w:trPr>
        <w:tc>
          <w:tcPr>
            <w:tcW w:w="1129" w:type="dxa"/>
            <w:tcBorders>
              <w:right w:val="single" w:sz="4" w:space="0" w:color="000000" w:themeColor="text1"/>
            </w:tcBorders>
            <w:shd w:val="clear" w:color="auto" w:fill="auto"/>
          </w:tcPr>
          <w:p w14:paraId="02889B8A" w14:textId="77777777" w:rsidR="002A600B" w:rsidRPr="0004449C" w:rsidDel="00A14716" w:rsidRDefault="002A600B" w:rsidP="002A600B">
            <w:pPr>
              <w:pStyle w:val="Tabletext"/>
              <w:jc w:val="center"/>
              <w:rPr>
                <w:b/>
                <w:bCs/>
                <w:sz w:val="20"/>
              </w:rPr>
            </w:pPr>
            <w:r w:rsidRPr="0004449C">
              <w:rPr>
                <w:b/>
                <w:bCs/>
                <w:sz w:val="20"/>
                <w:lang w:val="es-ES"/>
              </w:rPr>
              <w:t>CE 4</w:t>
            </w:r>
          </w:p>
        </w:tc>
        <w:tc>
          <w:tcPr>
            <w:tcW w:w="2059" w:type="dxa"/>
            <w:tcBorders>
              <w:left w:val="single" w:sz="4" w:space="0" w:color="000000" w:themeColor="text1"/>
            </w:tcBorders>
            <w:shd w:val="clear" w:color="auto" w:fill="auto"/>
          </w:tcPr>
          <w:p w14:paraId="460D13FC" w14:textId="4F0577DC" w:rsidR="002A600B" w:rsidRPr="0004449C" w:rsidRDefault="002A600B" w:rsidP="002A600B">
            <w:pPr>
              <w:pStyle w:val="Tabletext"/>
              <w:rPr>
                <w:sz w:val="20"/>
              </w:rPr>
            </w:pPr>
            <w:r w:rsidRPr="008916F9">
              <w:rPr>
                <w:sz w:val="20"/>
              </w:rPr>
              <w:t>M.1787-5</w:t>
            </w:r>
            <w:r>
              <w:rPr>
                <w:sz w:val="20"/>
              </w:rPr>
              <w:t>, S.1328-5</w:t>
            </w:r>
          </w:p>
        </w:tc>
        <w:tc>
          <w:tcPr>
            <w:tcW w:w="2435" w:type="dxa"/>
            <w:tcBorders>
              <w:left w:val="single" w:sz="4" w:space="0" w:color="000000" w:themeColor="text1"/>
            </w:tcBorders>
            <w:shd w:val="clear" w:color="auto" w:fill="auto"/>
          </w:tcPr>
          <w:p w14:paraId="7EC47519" w14:textId="1B58ED0A" w:rsidR="002A600B" w:rsidRPr="0004449C" w:rsidRDefault="002A600B" w:rsidP="002A600B">
            <w:pPr>
              <w:pStyle w:val="Tabletext"/>
              <w:rPr>
                <w:sz w:val="20"/>
              </w:rPr>
            </w:pPr>
            <w:r w:rsidRPr="00035AF0">
              <w:rPr>
                <w:sz w:val="20"/>
              </w:rPr>
              <w:t xml:space="preserve">BO.2497-1, M.2513-1, </w:t>
            </w:r>
            <w:r w:rsidRPr="00035AF0">
              <w:rPr>
                <w:sz w:val="20"/>
                <w:lang w:val="pt-BR"/>
              </w:rPr>
              <w:t>M.2543-0, S.2546-0</w:t>
            </w:r>
          </w:p>
        </w:tc>
        <w:tc>
          <w:tcPr>
            <w:tcW w:w="1323" w:type="dxa"/>
            <w:tcBorders>
              <w:left w:val="single" w:sz="4" w:space="0" w:color="000000" w:themeColor="text1"/>
            </w:tcBorders>
            <w:shd w:val="clear" w:color="auto" w:fill="auto"/>
          </w:tcPr>
          <w:p w14:paraId="51CD3605" w14:textId="31F07FBD" w:rsidR="002A600B" w:rsidRPr="0004449C" w:rsidRDefault="002A600B" w:rsidP="002A600B">
            <w:pPr>
              <w:pStyle w:val="Tabletext"/>
              <w:rPr>
                <w:sz w:val="20"/>
              </w:rPr>
            </w:pPr>
          </w:p>
        </w:tc>
        <w:tc>
          <w:tcPr>
            <w:tcW w:w="1559" w:type="dxa"/>
            <w:tcBorders>
              <w:left w:val="single" w:sz="4" w:space="0" w:color="000000" w:themeColor="text1"/>
            </w:tcBorders>
          </w:tcPr>
          <w:p w14:paraId="489E340F" w14:textId="0EAE35B6" w:rsidR="002A600B" w:rsidRPr="0004449C" w:rsidRDefault="002A600B" w:rsidP="002A600B">
            <w:pPr>
              <w:pStyle w:val="Tabletext"/>
              <w:rPr>
                <w:sz w:val="20"/>
              </w:rPr>
            </w:pPr>
          </w:p>
        </w:tc>
        <w:tc>
          <w:tcPr>
            <w:tcW w:w="1316" w:type="dxa"/>
            <w:tcBorders>
              <w:left w:val="single" w:sz="4" w:space="0" w:color="000000" w:themeColor="text1"/>
            </w:tcBorders>
          </w:tcPr>
          <w:p w14:paraId="783FFFE8" w14:textId="77777777" w:rsidR="002A600B" w:rsidRPr="0004449C" w:rsidRDefault="002A600B" w:rsidP="002A600B">
            <w:pPr>
              <w:pStyle w:val="Tabletext"/>
              <w:rPr>
                <w:sz w:val="20"/>
              </w:rPr>
            </w:pPr>
          </w:p>
        </w:tc>
      </w:tr>
      <w:tr w:rsidR="002A600B" w:rsidRPr="00745008" w14:paraId="698B935F" w14:textId="77777777" w:rsidTr="00112AB9">
        <w:trPr>
          <w:trHeight w:val="270"/>
          <w:jc w:val="center"/>
        </w:trPr>
        <w:tc>
          <w:tcPr>
            <w:tcW w:w="1129" w:type="dxa"/>
            <w:tcBorders>
              <w:right w:val="single" w:sz="4" w:space="0" w:color="000000" w:themeColor="text1"/>
            </w:tcBorders>
            <w:shd w:val="clear" w:color="auto" w:fill="auto"/>
          </w:tcPr>
          <w:p w14:paraId="7DE88838" w14:textId="77777777" w:rsidR="002A600B" w:rsidRPr="0004449C" w:rsidDel="00A14716" w:rsidRDefault="002A600B" w:rsidP="002A600B">
            <w:pPr>
              <w:pStyle w:val="Tabletext"/>
              <w:jc w:val="center"/>
              <w:rPr>
                <w:b/>
                <w:bCs/>
                <w:sz w:val="20"/>
              </w:rPr>
            </w:pPr>
            <w:r w:rsidRPr="0004449C">
              <w:rPr>
                <w:b/>
                <w:bCs/>
                <w:sz w:val="20"/>
                <w:lang w:val="es-ES"/>
              </w:rPr>
              <w:t>CE 5</w:t>
            </w:r>
          </w:p>
        </w:tc>
        <w:tc>
          <w:tcPr>
            <w:tcW w:w="2059" w:type="dxa"/>
            <w:tcBorders>
              <w:left w:val="single" w:sz="4" w:space="0" w:color="000000" w:themeColor="text1"/>
            </w:tcBorders>
            <w:shd w:val="clear" w:color="auto" w:fill="auto"/>
          </w:tcPr>
          <w:p w14:paraId="1FFEB9EB" w14:textId="6A99AA92" w:rsidR="002A600B" w:rsidRPr="0004449C" w:rsidRDefault="002A600B" w:rsidP="002A600B">
            <w:pPr>
              <w:pStyle w:val="Tabletext"/>
              <w:rPr>
                <w:sz w:val="20"/>
              </w:rPr>
            </w:pPr>
            <w:r>
              <w:rPr>
                <w:rFonts w:asciiTheme="majorBidi" w:hAnsiTheme="majorBidi" w:cstheme="majorBidi"/>
                <w:sz w:val="20"/>
                <w:lang w:eastAsia="ja-JP"/>
              </w:rPr>
              <w:t>F.758-8, M.1041-3</w:t>
            </w:r>
          </w:p>
        </w:tc>
        <w:tc>
          <w:tcPr>
            <w:tcW w:w="2435" w:type="dxa"/>
            <w:tcBorders>
              <w:left w:val="single" w:sz="4" w:space="0" w:color="000000" w:themeColor="text1"/>
            </w:tcBorders>
            <w:shd w:val="clear" w:color="auto" w:fill="auto"/>
          </w:tcPr>
          <w:p w14:paraId="0A2F4072" w14:textId="607E4D93" w:rsidR="002A600B" w:rsidRPr="0004449C" w:rsidRDefault="002A600B" w:rsidP="002A600B">
            <w:pPr>
              <w:pStyle w:val="Tabletext"/>
              <w:rPr>
                <w:sz w:val="20"/>
              </w:rPr>
            </w:pPr>
            <w:r w:rsidRPr="00C9794F">
              <w:rPr>
                <w:rFonts w:asciiTheme="majorBidi" w:hAnsiTheme="majorBidi" w:cstheme="majorBidi"/>
                <w:sz w:val="20"/>
                <w:lang w:eastAsia="ja-JP"/>
              </w:rPr>
              <w:t>F.2416-1</w:t>
            </w:r>
            <w:r>
              <w:rPr>
                <w:rFonts w:asciiTheme="majorBidi" w:hAnsiTheme="majorBidi" w:cstheme="majorBidi"/>
                <w:sz w:val="20"/>
                <w:lang w:eastAsia="ja-JP"/>
              </w:rPr>
              <w:t xml:space="preserve">, </w:t>
            </w:r>
            <w:r w:rsidRPr="000D17E1">
              <w:rPr>
                <w:rFonts w:asciiTheme="majorBidi" w:hAnsiTheme="majorBidi" w:cstheme="majorBidi"/>
                <w:sz w:val="20"/>
                <w:lang w:eastAsia="ja-JP"/>
              </w:rPr>
              <w:t>M.2442-1</w:t>
            </w:r>
            <w:r>
              <w:rPr>
                <w:rFonts w:asciiTheme="majorBidi" w:hAnsiTheme="majorBidi" w:cstheme="majorBidi"/>
                <w:sz w:val="20"/>
                <w:lang w:eastAsia="ja-JP"/>
              </w:rPr>
              <w:t xml:space="preserve">, </w:t>
            </w:r>
            <w:r w:rsidRPr="000D17E1">
              <w:rPr>
                <w:rFonts w:asciiTheme="majorBidi" w:hAnsiTheme="majorBidi" w:cstheme="majorBidi"/>
                <w:sz w:val="20"/>
                <w:lang w:eastAsia="ja-JP"/>
              </w:rPr>
              <w:t>M.2541-0</w:t>
            </w:r>
            <w:r>
              <w:rPr>
                <w:rFonts w:asciiTheme="majorBidi" w:hAnsiTheme="majorBidi" w:cstheme="majorBidi"/>
                <w:sz w:val="20"/>
                <w:lang w:eastAsia="ja-JP"/>
              </w:rPr>
              <w:t xml:space="preserve">, M.2547-0, </w:t>
            </w:r>
            <w:r w:rsidRPr="00E247E2">
              <w:rPr>
                <w:rFonts w:asciiTheme="majorBidi" w:hAnsiTheme="majorBidi" w:cstheme="majorBidi"/>
                <w:sz w:val="20"/>
                <w:lang w:val="de-DE" w:eastAsia="ja-JP"/>
              </w:rPr>
              <w:t>M</w:t>
            </w:r>
            <w:r>
              <w:rPr>
                <w:rFonts w:asciiTheme="majorBidi" w:hAnsiTheme="majorBidi" w:cstheme="majorBidi"/>
                <w:sz w:val="20"/>
                <w:lang w:val="de-DE" w:eastAsia="ja-JP"/>
              </w:rPr>
              <w:t>.2548-0</w:t>
            </w:r>
          </w:p>
        </w:tc>
        <w:tc>
          <w:tcPr>
            <w:tcW w:w="1323" w:type="dxa"/>
            <w:tcBorders>
              <w:left w:val="single" w:sz="4" w:space="0" w:color="000000" w:themeColor="text1"/>
            </w:tcBorders>
            <w:shd w:val="clear" w:color="auto" w:fill="auto"/>
          </w:tcPr>
          <w:p w14:paraId="51C8013F" w14:textId="47140208" w:rsidR="002A600B" w:rsidRPr="0004449C" w:rsidRDefault="002A600B" w:rsidP="002A600B">
            <w:pPr>
              <w:pStyle w:val="Tabletext"/>
              <w:rPr>
                <w:sz w:val="20"/>
              </w:rPr>
            </w:pPr>
            <w:r w:rsidRPr="00BE6491">
              <w:rPr>
                <w:sz w:val="20"/>
              </w:rPr>
              <w:t>265</w:t>
            </w:r>
            <w:r w:rsidRPr="002F1B3C">
              <w:rPr>
                <w:sz w:val="20"/>
              </w:rPr>
              <w:t xml:space="preserve">/5, 266/5 </w:t>
            </w:r>
          </w:p>
        </w:tc>
        <w:tc>
          <w:tcPr>
            <w:tcW w:w="1559" w:type="dxa"/>
            <w:tcBorders>
              <w:left w:val="single" w:sz="4" w:space="0" w:color="000000" w:themeColor="text1"/>
            </w:tcBorders>
          </w:tcPr>
          <w:p w14:paraId="00E4B1B2" w14:textId="77777777" w:rsidR="002A600B" w:rsidRPr="0004449C" w:rsidRDefault="002A600B" w:rsidP="002A600B">
            <w:pPr>
              <w:pStyle w:val="Tabletext"/>
              <w:rPr>
                <w:sz w:val="20"/>
              </w:rPr>
            </w:pPr>
          </w:p>
        </w:tc>
        <w:tc>
          <w:tcPr>
            <w:tcW w:w="1316" w:type="dxa"/>
            <w:tcBorders>
              <w:left w:val="single" w:sz="4" w:space="0" w:color="000000" w:themeColor="text1"/>
            </w:tcBorders>
          </w:tcPr>
          <w:p w14:paraId="6081AB0A" w14:textId="77777777" w:rsidR="002A600B" w:rsidRPr="0004449C" w:rsidRDefault="002A600B" w:rsidP="002A600B">
            <w:pPr>
              <w:pStyle w:val="Tabletext"/>
              <w:rPr>
                <w:sz w:val="20"/>
              </w:rPr>
            </w:pPr>
          </w:p>
        </w:tc>
      </w:tr>
      <w:tr w:rsidR="002A600B" w:rsidRPr="00745008" w14:paraId="0C1D3B2E" w14:textId="77777777" w:rsidTr="00112AB9">
        <w:trPr>
          <w:trHeight w:val="270"/>
          <w:jc w:val="center"/>
        </w:trPr>
        <w:tc>
          <w:tcPr>
            <w:tcW w:w="1129" w:type="dxa"/>
            <w:tcBorders>
              <w:right w:val="single" w:sz="4" w:space="0" w:color="000000" w:themeColor="text1"/>
            </w:tcBorders>
            <w:shd w:val="clear" w:color="auto" w:fill="auto"/>
          </w:tcPr>
          <w:p w14:paraId="2AA188AB" w14:textId="77777777" w:rsidR="002A600B" w:rsidRPr="0004449C" w:rsidDel="00A14716" w:rsidRDefault="002A600B" w:rsidP="002A600B">
            <w:pPr>
              <w:pStyle w:val="Tabletext"/>
              <w:jc w:val="center"/>
              <w:rPr>
                <w:b/>
                <w:bCs/>
                <w:sz w:val="20"/>
              </w:rPr>
            </w:pPr>
            <w:r w:rsidRPr="0004449C">
              <w:rPr>
                <w:b/>
                <w:bCs/>
                <w:sz w:val="20"/>
                <w:lang w:val="es-ES"/>
              </w:rPr>
              <w:t>CE 6</w:t>
            </w:r>
          </w:p>
        </w:tc>
        <w:tc>
          <w:tcPr>
            <w:tcW w:w="2059" w:type="dxa"/>
            <w:tcBorders>
              <w:left w:val="single" w:sz="4" w:space="0" w:color="000000" w:themeColor="text1"/>
            </w:tcBorders>
            <w:shd w:val="clear" w:color="auto" w:fill="auto"/>
          </w:tcPr>
          <w:p w14:paraId="7DE6E9EA" w14:textId="77777777" w:rsidR="002A600B" w:rsidRPr="00C414E3" w:rsidRDefault="002A600B" w:rsidP="002A600B">
            <w:pPr>
              <w:pStyle w:val="Tabletext"/>
              <w:rPr>
                <w:rFonts w:asciiTheme="majorBidi" w:hAnsiTheme="majorBidi" w:cstheme="majorBidi"/>
                <w:sz w:val="20"/>
                <w:lang w:val="en-US" w:eastAsia="ja-JP"/>
              </w:rPr>
            </w:pPr>
            <w:r w:rsidRPr="00C414E3">
              <w:rPr>
                <w:rFonts w:asciiTheme="majorBidi" w:hAnsiTheme="majorBidi" w:cstheme="majorBidi"/>
                <w:sz w:val="20"/>
                <w:lang w:val="en-US" w:eastAsia="ja-JP"/>
              </w:rPr>
              <w:t>BS.2076-3, BS.2094-2, BS.2168-0,</w:t>
            </w:r>
          </w:p>
          <w:p w14:paraId="1204C3D8" w14:textId="5827D54B" w:rsidR="002A600B" w:rsidRPr="00C414E3" w:rsidRDefault="002A600B" w:rsidP="002A600B">
            <w:pPr>
              <w:pStyle w:val="Tabletext"/>
              <w:rPr>
                <w:sz w:val="20"/>
                <w:lang w:val="en-US"/>
              </w:rPr>
            </w:pPr>
            <w:r w:rsidRPr="00C414E3">
              <w:rPr>
                <w:rFonts w:asciiTheme="majorBidi" w:hAnsiTheme="majorBidi" w:cstheme="majorBidi"/>
                <w:sz w:val="20"/>
                <w:lang w:val="en-US" w:eastAsia="ja-JP"/>
              </w:rPr>
              <w:t>BT.1662-1, BT.1666-1, BT.2016-4, BT.2100-3, BT.2123-1, BT.2166-0, BT.2167-0</w:t>
            </w:r>
          </w:p>
        </w:tc>
        <w:tc>
          <w:tcPr>
            <w:tcW w:w="2435" w:type="dxa"/>
            <w:tcBorders>
              <w:left w:val="single" w:sz="4" w:space="0" w:color="000000" w:themeColor="text1"/>
            </w:tcBorders>
            <w:shd w:val="clear" w:color="auto" w:fill="auto"/>
          </w:tcPr>
          <w:p w14:paraId="50744CFA" w14:textId="209828C3" w:rsidR="002A600B" w:rsidRPr="000F62B4" w:rsidRDefault="002A600B" w:rsidP="002A600B">
            <w:pPr>
              <w:pStyle w:val="Tabletext"/>
              <w:rPr>
                <w:sz w:val="20"/>
                <w:lang w:val="en-US"/>
              </w:rPr>
            </w:pPr>
            <w:r w:rsidRPr="00C414E3">
              <w:rPr>
                <w:sz w:val="20"/>
                <w:lang w:val="en-US"/>
              </w:rPr>
              <w:t>BS.2388-5, BS.2493-1, BT.2343-9, BT.2386-5, BT.2389-1, BT.2408-8, BT.2420-7, BT.2467-3, BT.2468-2, BT.2485-3, BT.2506-1, BT.2521-1, BT.2522-1, BT.2526-1, BT.2538-0, BT.2539-0, BT.2540-0, BT.2544-0, BT.2545-0</w:t>
            </w:r>
          </w:p>
        </w:tc>
        <w:tc>
          <w:tcPr>
            <w:tcW w:w="1323" w:type="dxa"/>
            <w:tcBorders>
              <w:left w:val="single" w:sz="4" w:space="0" w:color="000000" w:themeColor="text1"/>
            </w:tcBorders>
            <w:shd w:val="clear" w:color="auto" w:fill="auto"/>
          </w:tcPr>
          <w:p w14:paraId="18B9E3E5" w14:textId="0ECE2662" w:rsidR="002A600B" w:rsidRPr="0004449C" w:rsidRDefault="002A600B" w:rsidP="002A600B">
            <w:pPr>
              <w:pStyle w:val="Tabletext"/>
              <w:rPr>
                <w:sz w:val="20"/>
              </w:rPr>
            </w:pPr>
            <w:r w:rsidRPr="00BE6491">
              <w:rPr>
                <w:rFonts w:asciiTheme="majorBidi" w:hAnsiTheme="majorBidi" w:cstheme="majorBidi"/>
                <w:sz w:val="20"/>
                <w:lang w:eastAsia="ja-JP"/>
              </w:rPr>
              <w:t>148</w:t>
            </w:r>
            <w:r w:rsidRPr="00071376">
              <w:rPr>
                <w:rFonts w:asciiTheme="majorBidi" w:hAnsiTheme="majorBidi" w:cstheme="majorBidi"/>
                <w:sz w:val="20"/>
                <w:lang w:eastAsia="ja-JP"/>
              </w:rPr>
              <w:t>/6</w:t>
            </w:r>
            <w:r w:rsidRPr="00160EF6">
              <w:rPr>
                <w:rFonts w:asciiTheme="majorBidi" w:hAnsiTheme="majorBidi" w:cstheme="majorBidi"/>
                <w:sz w:val="20"/>
                <w:lang w:eastAsia="ja-JP"/>
              </w:rPr>
              <w:t xml:space="preserve"> </w:t>
            </w:r>
          </w:p>
        </w:tc>
        <w:tc>
          <w:tcPr>
            <w:tcW w:w="1559" w:type="dxa"/>
            <w:tcBorders>
              <w:left w:val="single" w:sz="4" w:space="0" w:color="000000" w:themeColor="text1"/>
            </w:tcBorders>
          </w:tcPr>
          <w:p w14:paraId="2E689033" w14:textId="77777777" w:rsidR="002A600B" w:rsidRPr="0004449C" w:rsidRDefault="002A600B" w:rsidP="002A600B">
            <w:pPr>
              <w:pStyle w:val="Tabletext"/>
              <w:rPr>
                <w:rFonts w:asciiTheme="majorBidi" w:hAnsiTheme="majorBidi" w:cstheme="majorBidi"/>
                <w:sz w:val="20"/>
                <w:lang w:eastAsia="ja-JP"/>
              </w:rPr>
            </w:pPr>
          </w:p>
        </w:tc>
        <w:tc>
          <w:tcPr>
            <w:tcW w:w="1316" w:type="dxa"/>
            <w:tcBorders>
              <w:left w:val="single" w:sz="4" w:space="0" w:color="000000" w:themeColor="text1"/>
            </w:tcBorders>
          </w:tcPr>
          <w:p w14:paraId="7C70BD5B" w14:textId="77777777" w:rsidR="002A600B" w:rsidRPr="0004449C" w:rsidRDefault="002A600B" w:rsidP="002A600B">
            <w:pPr>
              <w:pStyle w:val="Tabletext"/>
              <w:rPr>
                <w:rFonts w:asciiTheme="majorBidi" w:hAnsiTheme="majorBidi" w:cstheme="majorBidi"/>
                <w:sz w:val="20"/>
                <w:lang w:eastAsia="ja-JP"/>
              </w:rPr>
            </w:pPr>
          </w:p>
        </w:tc>
      </w:tr>
      <w:tr w:rsidR="000F62B4" w:rsidRPr="00745008" w14:paraId="521193AE" w14:textId="77777777" w:rsidTr="00112AB9">
        <w:trPr>
          <w:trHeight w:val="270"/>
          <w:jc w:val="center"/>
        </w:trPr>
        <w:tc>
          <w:tcPr>
            <w:tcW w:w="1129" w:type="dxa"/>
            <w:tcBorders>
              <w:bottom w:val="single" w:sz="4" w:space="0" w:color="000000" w:themeColor="text1"/>
              <w:right w:val="single" w:sz="4" w:space="0" w:color="000000" w:themeColor="text1"/>
            </w:tcBorders>
            <w:shd w:val="clear" w:color="auto" w:fill="auto"/>
          </w:tcPr>
          <w:p w14:paraId="58741592" w14:textId="77777777" w:rsidR="000F62B4" w:rsidRPr="0004449C" w:rsidRDefault="000F62B4" w:rsidP="0073539B">
            <w:pPr>
              <w:pStyle w:val="Tabletext"/>
              <w:jc w:val="center"/>
              <w:rPr>
                <w:b/>
                <w:bCs/>
                <w:sz w:val="20"/>
              </w:rPr>
            </w:pPr>
            <w:r w:rsidRPr="0004449C">
              <w:rPr>
                <w:b/>
                <w:bCs/>
                <w:sz w:val="20"/>
                <w:lang w:val="es-ES"/>
              </w:rPr>
              <w:t>CE 7</w:t>
            </w:r>
          </w:p>
        </w:tc>
        <w:tc>
          <w:tcPr>
            <w:tcW w:w="2059" w:type="dxa"/>
            <w:tcBorders>
              <w:left w:val="single" w:sz="4" w:space="0" w:color="000000" w:themeColor="text1"/>
            </w:tcBorders>
            <w:shd w:val="clear" w:color="auto" w:fill="auto"/>
          </w:tcPr>
          <w:p w14:paraId="786C7547" w14:textId="738BD446" w:rsidR="000F62B4" w:rsidRPr="0004449C" w:rsidRDefault="000F62B4" w:rsidP="0073539B">
            <w:pPr>
              <w:pStyle w:val="Tabletext"/>
              <w:rPr>
                <w:sz w:val="20"/>
                <w:lang w:val="fr-CH"/>
              </w:rPr>
            </w:pPr>
          </w:p>
        </w:tc>
        <w:tc>
          <w:tcPr>
            <w:tcW w:w="2435" w:type="dxa"/>
            <w:tcBorders>
              <w:left w:val="single" w:sz="4" w:space="0" w:color="000000" w:themeColor="text1"/>
            </w:tcBorders>
            <w:shd w:val="clear" w:color="auto" w:fill="auto"/>
          </w:tcPr>
          <w:p w14:paraId="73DC0C91" w14:textId="788B8558" w:rsidR="000F62B4" w:rsidRPr="0004449C" w:rsidRDefault="000F62B4" w:rsidP="0073539B">
            <w:pPr>
              <w:pStyle w:val="Tabletext"/>
              <w:rPr>
                <w:sz w:val="20"/>
                <w:lang w:val="fr-CH"/>
              </w:rPr>
            </w:pPr>
          </w:p>
        </w:tc>
        <w:tc>
          <w:tcPr>
            <w:tcW w:w="1323" w:type="dxa"/>
            <w:tcBorders>
              <w:left w:val="single" w:sz="4" w:space="0" w:color="000000" w:themeColor="text1"/>
            </w:tcBorders>
            <w:shd w:val="clear" w:color="auto" w:fill="auto"/>
          </w:tcPr>
          <w:p w14:paraId="5BDB068B" w14:textId="5522CF8E" w:rsidR="000F62B4" w:rsidRPr="0004449C" w:rsidRDefault="000F62B4" w:rsidP="0073539B">
            <w:pPr>
              <w:pStyle w:val="Tabletext"/>
              <w:rPr>
                <w:sz w:val="20"/>
              </w:rPr>
            </w:pPr>
          </w:p>
        </w:tc>
        <w:tc>
          <w:tcPr>
            <w:tcW w:w="1559" w:type="dxa"/>
            <w:tcBorders>
              <w:left w:val="single" w:sz="4" w:space="0" w:color="000000" w:themeColor="text1"/>
            </w:tcBorders>
          </w:tcPr>
          <w:p w14:paraId="7C96E3AD" w14:textId="77777777" w:rsidR="000F62B4" w:rsidRPr="0004449C" w:rsidRDefault="000F62B4" w:rsidP="0073539B">
            <w:pPr>
              <w:pStyle w:val="Tabletext"/>
              <w:rPr>
                <w:sz w:val="20"/>
              </w:rPr>
            </w:pPr>
          </w:p>
        </w:tc>
        <w:tc>
          <w:tcPr>
            <w:tcW w:w="1316" w:type="dxa"/>
            <w:tcBorders>
              <w:left w:val="single" w:sz="4" w:space="0" w:color="000000" w:themeColor="text1"/>
            </w:tcBorders>
          </w:tcPr>
          <w:p w14:paraId="43A9543D" w14:textId="77777777" w:rsidR="000F62B4" w:rsidRPr="0004449C" w:rsidRDefault="000F62B4" w:rsidP="0073539B">
            <w:pPr>
              <w:pStyle w:val="Tabletext"/>
              <w:rPr>
                <w:sz w:val="20"/>
              </w:rPr>
            </w:pPr>
          </w:p>
        </w:tc>
      </w:tr>
    </w:tbl>
    <w:p w14:paraId="52FB8F21" w14:textId="1F4E312C" w:rsidR="002A600B" w:rsidRPr="00C414E3" w:rsidRDefault="002A600B" w:rsidP="002A600B">
      <w:pPr>
        <w:pStyle w:val="Tablefin"/>
        <w:rPr>
          <w:lang w:val="es-ES_tradnl"/>
        </w:rPr>
      </w:pPr>
      <w:bookmarkStart w:id="14" w:name="_Toc445972794"/>
      <w:bookmarkEnd w:id="13"/>
      <w:r w:rsidRPr="00C414E3">
        <w:rPr>
          <w:lang w:val="es-ES_tradnl"/>
        </w:rPr>
        <w:t>NOTA: Los resultados indicados reflejan la situación en el m</w:t>
      </w:r>
      <w:r>
        <w:rPr>
          <w:lang w:val="es-ES_tradnl"/>
        </w:rPr>
        <w:t>omento de redactar este Informe</w:t>
      </w:r>
      <w:r w:rsidRPr="00C414E3">
        <w:rPr>
          <w:lang w:val="es-ES_tradnl"/>
        </w:rPr>
        <w:t>.</w:t>
      </w:r>
    </w:p>
    <w:p w14:paraId="17AED5E8" w14:textId="3258AA64" w:rsidR="002A600B" w:rsidRPr="002A600B" w:rsidRDefault="002A600B" w:rsidP="002A600B">
      <w:r w:rsidRPr="00C414E3">
        <w:t>Cabe señalar que las revisiones formales de los Informes UIT-R se realizan, por analogía, conforme a lo dispuesto en lo</w:t>
      </w:r>
      <w:r>
        <w:t>s</w:t>
      </w:r>
      <w:r w:rsidRPr="002A600B">
        <w:t xml:space="preserve"> §A2.5.2.4 </w:t>
      </w:r>
      <w:r>
        <w:t>y</w:t>
      </w:r>
      <w:r w:rsidRPr="002A600B">
        <w:t xml:space="preserve"> §A2.6.2.5 </w:t>
      </w:r>
      <w:r>
        <w:t>de la Resolución UIT</w:t>
      </w:r>
      <w:r w:rsidRPr="002A600B">
        <w:t xml:space="preserve"> -R 1-9.</w:t>
      </w:r>
    </w:p>
    <w:p w14:paraId="59773D12" w14:textId="5D495E9E" w:rsidR="000F62B4" w:rsidRPr="00745008" w:rsidRDefault="002A600B" w:rsidP="001F6E24">
      <w:pPr>
        <w:pStyle w:val="Heading2"/>
      </w:pPr>
      <w:r>
        <w:rPr>
          <w:bCs/>
          <w:lang w:val="es-ES"/>
        </w:rPr>
        <w:lastRenderedPageBreak/>
        <w:t>5</w:t>
      </w:r>
      <w:r w:rsidR="000F62B4">
        <w:rPr>
          <w:bCs/>
          <w:lang w:val="es-ES"/>
        </w:rPr>
        <w:t>.1</w:t>
      </w:r>
      <w:r w:rsidR="000F62B4">
        <w:rPr>
          <w:lang w:val="es-ES"/>
        </w:rPr>
        <w:tab/>
      </w:r>
      <w:r w:rsidR="000F62B4">
        <w:rPr>
          <w:bCs/>
          <w:lang w:val="es-ES"/>
        </w:rPr>
        <w:t>Comisión de estudio 1</w:t>
      </w:r>
    </w:p>
    <w:p w14:paraId="4E6EB574" w14:textId="77777777" w:rsidR="000F62B4" w:rsidRPr="006C7415" w:rsidRDefault="000F62B4" w:rsidP="001F6E24">
      <w:pPr>
        <w:rPr>
          <w:lang w:val="es-ES"/>
        </w:rPr>
      </w:pPr>
      <w:r>
        <w:rPr>
          <w:lang w:val="es-ES"/>
        </w:rPr>
        <w:t>La Comisión de Estudio 1 sigue elaborando Recomendaciones, Informes y Manuales del UIT-R relativos a principios y técnicas de gestión del espectro, principios generales de compartición, supervisión del espectro, estrategias a largo plazo para la utilización del espectro, enfoques económicos de la gestión nacional del espectro, técnicas automatizadas y asistencia a países en desarrollo en cooperación con el Sector de Desarrollo de las Telecomunicaciones. Sus estudios incluyen métodos para la identificación y eliminación de interferencias, las emisiones no deseadas, el mantenimiento del diccionario de datos, la reorganización del espectro, la medición de la utilización del espectro, las utilizaciones sin licencia y compartidas del espectro, el acceso dinámico al espectro, las redes eléctricas inteligentes y la transmisión inalámbrica de potencia.</w:t>
      </w:r>
    </w:p>
    <w:p w14:paraId="0833FBC9" w14:textId="3EEE929F" w:rsidR="000F62B4" w:rsidRDefault="000F62B4" w:rsidP="001F6E24">
      <w:pPr>
        <w:rPr>
          <w:lang w:val="es-ES"/>
        </w:rPr>
      </w:pPr>
      <w:r>
        <w:rPr>
          <w:lang w:val="es-ES"/>
        </w:rPr>
        <w:t xml:space="preserve">Los Grupos de Trabajo 1A, 1B y 1C </w:t>
      </w:r>
      <w:r w:rsidR="002A600B">
        <w:rPr>
          <w:lang w:val="es-ES"/>
        </w:rPr>
        <w:t xml:space="preserve">y la Comisión de Estudio 1 </w:t>
      </w:r>
      <w:r>
        <w:rPr>
          <w:lang w:val="es-ES"/>
        </w:rPr>
        <w:t>celebraron un</w:t>
      </w:r>
      <w:r w:rsidR="002A600B">
        <w:rPr>
          <w:lang w:val="es-ES"/>
        </w:rPr>
        <w:t xml:space="preserve"> bloque de reuniones presenciales</w:t>
      </w:r>
      <w:r>
        <w:rPr>
          <w:lang w:val="es-ES"/>
        </w:rPr>
        <w:t xml:space="preserve"> con participación a distancia </w:t>
      </w:r>
      <w:r w:rsidR="002A600B">
        <w:rPr>
          <w:lang w:val="es-ES"/>
        </w:rPr>
        <w:t>del 12 al 20 de junio de 2024 en Ginebra. Además de las publicaciones aprobadas enumeradas en la Sección 5 anterior, y que se detallan a continuación, también se registraron progresos en otras actividades de la CE1. En junio de 2024 se acordó programar las siguientes reuniones en noviembre de 2024 en la Sede de la UIT en Ginebra:</w:t>
      </w:r>
    </w:p>
    <w:p w14:paraId="7F844090" w14:textId="1313999F" w:rsidR="002A600B" w:rsidRPr="00C414E3" w:rsidRDefault="002A600B" w:rsidP="002A600B">
      <w:pPr>
        <w:pStyle w:val="enumlev1"/>
        <w:rPr>
          <w:lang w:val="es-ES"/>
        </w:rPr>
      </w:pPr>
      <w:r w:rsidRPr="00C414E3">
        <w:rPr>
          <w:lang w:val="es-ES" w:eastAsia="ja-JP"/>
        </w:rPr>
        <w:t>–</w:t>
      </w:r>
      <w:r w:rsidRPr="00C414E3">
        <w:rPr>
          <w:lang w:val="es-ES" w:eastAsia="ja-JP"/>
        </w:rPr>
        <w:tab/>
        <w:t>El GT</w:t>
      </w:r>
      <w:r w:rsidRPr="00C414E3">
        <w:rPr>
          <w:lang w:val="es-ES"/>
        </w:rPr>
        <w:t xml:space="preserve"> 1B se reunió del 5 al 8 de noviembre de 2024 para avanzar los trabajos y, habida cuenta de que este GT participa en la p</w:t>
      </w:r>
      <w:r>
        <w:rPr>
          <w:lang w:val="es-ES"/>
        </w:rPr>
        <w:t>reparación del punto 1.5 del orden del día de la CMR-27, facilitar oportunamente información al GT</w:t>
      </w:r>
      <w:r w:rsidRPr="00C414E3">
        <w:rPr>
          <w:lang w:val="es-ES"/>
        </w:rPr>
        <w:t xml:space="preserve"> 4A, </w:t>
      </w:r>
      <w:r>
        <w:rPr>
          <w:lang w:val="es-ES"/>
        </w:rPr>
        <w:t>en su caso</w:t>
      </w:r>
      <w:r w:rsidRPr="00C414E3">
        <w:rPr>
          <w:lang w:val="es-ES"/>
        </w:rPr>
        <w:t xml:space="preserve">. </w:t>
      </w:r>
    </w:p>
    <w:p w14:paraId="0FADE29B" w14:textId="1E41B362" w:rsidR="002A600B" w:rsidRPr="00C414E3" w:rsidRDefault="002A600B" w:rsidP="002A600B">
      <w:pPr>
        <w:pStyle w:val="enumlev1"/>
        <w:rPr>
          <w:lang w:val="es-ES" w:eastAsia="ja-JP"/>
        </w:rPr>
      </w:pPr>
      <w:r w:rsidRPr="00C414E3">
        <w:rPr>
          <w:lang w:val="es-ES"/>
        </w:rPr>
        <w:t>–</w:t>
      </w:r>
      <w:r w:rsidRPr="00C414E3">
        <w:rPr>
          <w:lang w:val="es-ES"/>
        </w:rPr>
        <w:tab/>
        <w:t>El Grupo de Relator (GR) del GT 1C sobre el Manual sobre Comprobación Técnica del Espectro (</w:t>
      </w:r>
      <w:r w:rsidR="00560CEB">
        <w:rPr>
          <w:lang w:val="es-ES"/>
        </w:rPr>
        <w:t>M</w:t>
      </w:r>
      <w:r w:rsidRPr="00C414E3">
        <w:rPr>
          <w:lang w:val="es-ES"/>
        </w:rPr>
        <w:t>CTE) del UIT-R se reunión del 5 al 12 de noviembre de 2024 para avanzar en la revisión de e</w:t>
      </w:r>
      <w:r>
        <w:rPr>
          <w:lang w:val="es-ES"/>
        </w:rPr>
        <w:t>ste Manual, indispensable para los reguladores nacionales y los fabricantes que le suministran los equipos</w:t>
      </w:r>
      <w:r w:rsidRPr="00C414E3">
        <w:rPr>
          <w:lang w:val="es-ES" w:eastAsia="ja-JP"/>
        </w:rPr>
        <w:t>.</w:t>
      </w:r>
    </w:p>
    <w:p w14:paraId="4D4EFCED" w14:textId="77777777" w:rsidR="000F62B4" w:rsidRPr="006C7415" w:rsidRDefault="000F62B4" w:rsidP="001F6E24">
      <w:pPr>
        <w:pStyle w:val="Headingb"/>
        <w:rPr>
          <w:lang w:val="es-ES"/>
        </w:rPr>
      </w:pPr>
      <w:r>
        <w:rPr>
          <w:bCs/>
          <w:lang w:val="es-ES"/>
        </w:rPr>
        <w:t>Recomendaciones UIT-R:</w:t>
      </w:r>
    </w:p>
    <w:p w14:paraId="3289EF70" w14:textId="08608AF3" w:rsidR="002A600B" w:rsidRPr="00C414E3" w:rsidRDefault="002A600B" w:rsidP="002A600B">
      <w:pPr>
        <w:pStyle w:val="enumlev1"/>
        <w:rPr>
          <w:lang w:val="es-ES"/>
        </w:rPr>
      </w:pPr>
      <w:r w:rsidRPr="00C414E3">
        <w:rPr>
          <w:lang w:val="es-ES"/>
        </w:rPr>
        <w:t>–</w:t>
      </w:r>
      <w:r w:rsidRPr="00C414E3">
        <w:rPr>
          <w:lang w:val="es-ES"/>
        </w:rPr>
        <w:tab/>
        <w:t xml:space="preserve">SM.329-13 </w:t>
      </w:r>
      <w:r w:rsidR="00486BF4">
        <w:rPr>
          <w:lang w:val="es-ES"/>
        </w:rPr>
        <w:t>«</w:t>
      </w:r>
      <w:r w:rsidR="008F14F3" w:rsidRPr="00C414E3">
        <w:rPr>
          <w:lang w:val="es-ES"/>
        </w:rPr>
        <w:t>Emisiones no deseadas en el dominio no esencial</w:t>
      </w:r>
      <w:r w:rsidR="00486BF4">
        <w:rPr>
          <w:lang w:val="es-ES"/>
        </w:rPr>
        <w:t>»</w:t>
      </w:r>
      <w:r w:rsidR="00112AB9">
        <w:rPr>
          <w:lang w:val="es-ES"/>
        </w:rPr>
        <w:t>.</w:t>
      </w:r>
    </w:p>
    <w:p w14:paraId="70B35B86" w14:textId="7ABF320A" w:rsidR="002A600B" w:rsidRPr="00C414E3" w:rsidRDefault="002A600B" w:rsidP="002A600B">
      <w:pPr>
        <w:pStyle w:val="enumlev1"/>
        <w:rPr>
          <w:lang w:val="es-ES"/>
        </w:rPr>
      </w:pPr>
      <w:r w:rsidRPr="00C414E3">
        <w:rPr>
          <w:lang w:val="es-ES"/>
        </w:rPr>
        <w:t>–</w:t>
      </w:r>
      <w:r w:rsidRPr="00C414E3">
        <w:rPr>
          <w:lang w:val="es-ES"/>
        </w:rPr>
        <w:tab/>
        <w:t xml:space="preserve">SM.853-2 </w:t>
      </w:r>
      <w:r w:rsidR="00486BF4">
        <w:rPr>
          <w:lang w:val="es-ES"/>
        </w:rPr>
        <w:t>«</w:t>
      </w:r>
      <w:r w:rsidR="008F14F3" w:rsidRPr="00C414E3">
        <w:rPr>
          <w:lang w:val="es-ES"/>
        </w:rPr>
        <w:t>Ancho de banda necesario</w:t>
      </w:r>
      <w:r w:rsidR="00486BF4">
        <w:rPr>
          <w:lang w:val="es-ES"/>
        </w:rPr>
        <w:t>»</w:t>
      </w:r>
      <w:r w:rsidR="00112AB9">
        <w:rPr>
          <w:lang w:val="es-ES"/>
        </w:rPr>
        <w:t>.</w:t>
      </w:r>
    </w:p>
    <w:p w14:paraId="2BCB1A98" w14:textId="13EF9874" w:rsidR="002A600B" w:rsidRPr="00C414E3" w:rsidRDefault="002A600B" w:rsidP="002A600B">
      <w:pPr>
        <w:pStyle w:val="enumlev1"/>
        <w:rPr>
          <w:lang w:val="es-ES"/>
        </w:rPr>
      </w:pPr>
      <w:r w:rsidRPr="00C414E3">
        <w:rPr>
          <w:lang w:val="es-ES"/>
        </w:rPr>
        <w:t>–</w:t>
      </w:r>
      <w:r w:rsidRPr="00C414E3">
        <w:rPr>
          <w:lang w:val="es-ES"/>
        </w:rPr>
        <w:tab/>
        <w:t xml:space="preserve">SM.1539-2 </w:t>
      </w:r>
      <w:r w:rsidR="00486BF4">
        <w:rPr>
          <w:lang w:val="es-ES"/>
        </w:rPr>
        <w:t>«</w:t>
      </w:r>
      <w:r w:rsidRPr="00C414E3">
        <w:rPr>
          <w:lang w:val="es-ES"/>
        </w:rPr>
        <w:t>Varia</w:t>
      </w:r>
      <w:r w:rsidR="008F14F3" w:rsidRPr="00C414E3">
        <w:rPr>
          <w:lang w:val="es-ES"/>
        </w:rPr>
        <w:t>ción del límite entre los dominios fuera de banda y no esencial requerida para la aplicación de las Recomendaciones</w:t>
      </w:r>
      <w:r w:rsidR="008F14F3">
        <w:rPr>
          <w:lang w:val="es-ES"/>
        </w:rPr>
        <w:t xml:space="preserve"> UIT</w:t>
      </w:r>
      <w:r w:rsidRPr="00C414E3">
        <w:rPr>
          <w:lang w:val="es-ES"/>
        </w:rPr>
        <w:t xml:space="preserve">-R SM.1541 </w:t>
      </w:r>
      <w:r w:rsidR="008F14F3">
        <w:rPr>
          <w:lang w:val="es-ES"/>
        </w:rPr>
        <w:t>y UIT</w:t>
      </w:r>
      <w:r w:rsidRPr="00C414E3">
        <w:rPr>
          <w:lang w:val="es-ES"/>
        </w:rPr>
        <w:t>-R SM.329</w:t>
      </w:r>
      <w:r w:rsidR="00486BF4">
        <w:rPr>
          <w:lang w:val="es-ES"/>
        </w:rPr>
        <w:t>»</w:t>
      </w:r>
      <w:r w:rsidR="00112AB9">
        <w:rPr>
          <w:lang w:val="es-ES"/>
        </w:rPr>
        <w:t>.</w:t>
      </w:r>
    </w:p>
    <w:p w14:paraId="29C7F6E3" w14:textId="69B8667E" w:rsidR="002A600B" w:rsidRPr="00C414E3" w:rsidRDefault="002A600B" w:rsidP="002A600B">
      <w:pPr>
        <w:pStyle w:val="enumlev1"/>
        <w:rPr>
          <w:lang w:val="es-ES"/>
        </w:rPr>
      </w:pPr>
      <w:r w:rsidRPr="00C414E3">
        <w:rPr>
          <w:lang w:val="es-ES"/>
        </w:rPr>
        <w:t>–</w:t>
      </w:r>
      <w:r w:rsidRPr="00C414E3">
        <w:rPr>
          <w:lang w:val="es-ES"/>
        </w:rPr>
        <w:tab/>
        <w:t xml:space="preserve">SM.1541-7 </w:t>
      </w:r>
      <w:r w:rsidR="00486BF4">
        <w:rPr>
          <w:lang w:val="es-ES"/>
        </w:rPr>
        <w:t>«</w:t>
      </w:r>
      <w:r w:rsidR="008F14F3" w:rsidRPr="00C414E3">
        <w:rPr>
          <w:lang w:val="es-ES"/>
        </w:rPr>
        <w:t>Emisiones no deseadas en el dominio fuera de banda</w:t>
      </w:r>
      <w:r w:rsidR="00486BF4">
        <w:rPr>
          <w:lang w:val="es-ES"/>
        </w:rPr>
        <w:t>»</w:t>
      </w:r>
      <w:r w:rsidR="00112AB9">
        <w:rPr>
          <w:lang w:val="es-ES"/>
        </w:rPr>
        <w:t>.</w:t>
      </w:r>
    </w:p>
    <w:p w14:paraId="775728BF" w14:textId="6240CD22" w:rsidR="002A600B" w:rsidRPr="00C414E3" w:rsidRDefault="002A600B" w:rsidP="002A600B">
      <w:pPr>
        <w:pStyle w:val="enumlev1"/>
        <w:rPr>
          <w:lang w:val="es-ES"/>
        </w:rPr>
      </w:pPr>
      <w:r w:rsidRPr="00C414E3">
        <w:rPr>
          <w:lang w:val="es-ES"/>
        </w:rPr>
        <w:t>–</w:t>
      </w:r>
      <w:r w:rsidRPr="00C414E3">
        <w:rPr>
          <w:lang w:val="es-ES"/>
        </w:rPr>
        <w:tab/>
        <w:t xml:space="preserve">SM.2129-1 </w:t>
      </w:r>
      <w:r w:rsidR="00486BF4">
        <w:rPr>
          <w:lang w:val="es-ES"/>
        </w:rPr>
        <w:t>«</w:t>
      </w:r>
      <w:r w:rsidR="008F14F3" w:rsidRPr="00C414E3">
        <w:rPr>
          <w:lang w:val="es-ES"/>
        </w:rPr>
        <w:t>Orientaciones sobre las gamas de frecuencias para la explotación de s</w:t>
      </w:r>
      <w:r w:rsidR="008F14F3">
        <w:rPr>
          <w:lang w:val="es-ES"/>
        </w:rPr>
        <w:t>istemas de transmisión inalámbrica de potencia sin haces radioeléctricos para dispositivos móviles y portátiles</w:t>
      </w:r>
      <w:r w:rsidR="00486BF4">
        <w:rPr>
          <w:lang w:val="es-ES"/>
        </w:rPr>
        <w:t>»</w:t>
      </w:r>
      <w:r w:rsidR="00112AB9">
        <w:rPr>
          <w:lang w:val="es-ES"/>
        </w:rPr>
        <w:t>.</w:t>
      </w:r>
    </w:p>
    <w:p w14:paraId="2EF14142" w14:textId="39A8615D" w:rsidR="000F62B4" w:rsidRPr="00FE1CAD" w:rsidRDefault="000F62B4" w:rsidP="001F6E24">
      <w:pPr>
        <w:pStyle w:val="Headingb"/>
        <w:rPr>
          <w:lang w:val="es-ES"/>
        </w:rPr>
      </w:pPr>
      <w:r w:rsidRPr="00FE1CAD">
        <w:rPr>
          <w:bCs/>
          <w:lang w:val="es-ES"/>
        </w:rPr>
        <w:t>Informe</w:t>
      </w:r>
      <w:r w:rsidR="008F14F3" w:rsidRPr="00FE1CAD">
        <w:rPr>
          <w:bCs/>
          <w:lang w:val="es-ES"/>
        </w:rPr>
        <w:t>s</w:t>
      </w:r>
      <w:r w:rsidRPr="00FE1CAD">
        <w:rPr>
          <w:bCs/>
          <w:lang w:val="es-ES"/>
        </w:rPr>
        <w:t xml:space="preserve"> UIT-R:</w:t>
      </w:r>
    </w:p>
    <w:p w14:paraId="7C84ED68" w14:textId="6B0A77A0" w:rsidR="008F14F3" w:rsidRPr="00C414E3" w:rsidRDefault="008F14F3" w:rsidP="008F14F3">
      <w:pPr>
        <w:pStyle w:val="enumlev1"/>
        <w:rPr>
          <w:lang w:val="es-ES"/>
        </w:rPr>
      </w:pPr>
      <w:r w:rsidRPr="00C414E3">
        <w:rPr>
          <w:lang w:val="es-ES"/>
        </w:rPr>
        <w:t>–</w:t>
      </w:r>
      <w:r w:rsidRPr="00C414E3">
        <w:rPr>
          <w:lang w:val="es-ES"/>
        </w:rPr>
        <w:tab/>
        <w:t xml:space="preserve">SM.2486-1 </w:t>
      </w:r>
      <w:r w:rsidR="00486BF4">
        <w:rPr>
          <w:lang w:val="es-ES"/>
        </w:rPr>
        <w:t>«</w:t>
      </w:r>
      <w:r w:rsidRPr="00C414E3">
        <w:rPr>
          <w:lang w:val="es-ES"/>
        </w:rPr>
        <w:t>Utilización de drones comerciales para las tar</w:t>
      </w:r>
      <w:r>
        <w:rPr>
          <w:lang w:val="es-ES"/>
        </w:rPr>
        <w:t>eas de comprobación técnica del espectro del UIT-R</w:t>
      </w:r>
      <w:r w:rsidR="00486BF4">
        <w:rPr>
          <w:lang w:val="es-ES"/>
        </w:rPr>
        <w:t>»</w:t>
      </w:r>
      <w:r w:rsidR="00112AB9">
        <w:rPr>
          <w:lang w:val="es-ES"/>
        </w:rPr>
        <w:t>.</w:t>
      </w:r>
    </w:p>
    <w:p w14:paraId="12949C54" w14:textId="0B9C3302" w:rsidR="008F14F3" w:rsidRPr="00C414E3" w:rsidRDefault="008F14F3" w:rsidP="008F14F3">
      <w:pPr>
        <w:pStyle w:val="enumlev1"/>
        <w:rPr>
          <w:lang w:val="es-ES"/>
        </w:rPr>
      </w:pPr>
      <w:r w:rsidRPr="00C414E3">
        <w:rPr>
          <w:lang w:val="es-ES"/>
        </w:rPr>
        <w:t>–</w:t>
      </w:r>
      <w:r w:rsidRPr="00C414E3">
        <w:rPr>
          <w:lang w:val="es-ES"/>
        </w:rPr>
        <w:tab/>
        <w:t xml:space="preserve">SM.2449-1 </w:t>
      </w:r>
      <w:r w:rsidR="00486BF4">
        <w:rPr>
          <w:lang w:val="es-ES"/>
        </w:rPr>
        <w:t>«</w:t>
      </w:r>
      <w:r w:rsidRPr="00C414E3">
        <w:rPr>
          <w:lang w:val="es-ES"/>
        </w:rPr>
        <w:t>Características técnicas d</w:t>
      </w:r>
      <w:r>
        <w:rPr>
          <w:lang w:val="es-ES"/>
        </w:rPr>
        <w:t>e la transmisión inalámbrica de potencia por inducción sin haces radioeléctricos para dispositivos móviles y portátiles y análisis de su incidencia en los servicios de radiocomunicaciones</w:t>
      </w:r>
      <w:r w:rsidR="00486BF4">
        <w:rPr>
          <w:lang w:val="es-ES"/>
        </w:rPr>
        <w:t>»</w:t>
      </w:r>
      <w:r w:rsidR="00112AB9">
        <w:rPr>
          <w:lang w:val="es-ES"/>
        </w:rPr>
        <w:t>.</w:t>
      </w:r>
    </w:p>
    <w:p w14:paraId="6A3E0B92" w14:textId="025D8D33" w:rsidR="008F14F3" w:rsidRPr="00C414E3" w:rsidRDefault="008F14F3" w:rsidP="008F14F3">
      <w:pPr>
        <w:pStyle w:val="enumlev1"/>
        <w:rPr>
          <w:lang w:val="es-ES"/>
        </w:rPr>
      </w:pPr>
      <w:r w:rsidRPr="00C414E3">
        <w:rPr>
          <w:lang w:val="es-ES"/>
        </w:rPr>
        <w:t>–</w:t>
      </w:r>
      <w:r w:rsidRPr="00C414E3">
        <w:rPr>
          <w:lang w:val="es-ES"/>
        </w:rPr>
        <w:tab/>
        <w:t xml:space="preserve">SM.2542-0 </w:t>
      </w:r>
      <w:r w:rsidR="00486BF4">
        <w:rPr>
          <w:lang w:val="es-ES"/>
        </w:rPr>
        <w:t>«</w:t>
      </w:r>
      <w:r w:rsidRPr="00C414E3">
        <w:rPr>
          <w:lang w:val="es-ES"/>
        </w:rPr>
        <w:t>Comprobación técnica del espectro de la próxima gene</w:t>
      </w:r>
      <w:r>
        <w:rPr>
          <w:lang w:val="es-ES"/>
        </w:rPr>
        <w:t>ración: proactiva, autónoma y basada en datos</w:t>
      </w:r>
      <w:r w:rsidR="00486BF4">
        <w:rPr>
          <w:lang w:val="es-ES"/>
        </w:rPr>
        <w:t>»</w:t>
      </w:r>
      <w:r w:rsidR="00112AB9">
        <w:rPr>
          <w:lang w:val="es-ES"/>
        </w:rPr>
        <w:t>.</w:t>
      </w:r>
    </w:p>
    <w:p w14:paraId="694EBDB2" w14:textId="59FE9D37" w:rsidR="008F14F3" w:rsidRPr="00C414E3" w:rsidRDefault="008F14F3" w:rsidP="008F14F3">
      <w:pPr>
        <w:pStyle w:val="enumlev1"/>
        <w:rPr>
          <w:lang w:val="es-ES"/>
        </w:rPr>
      </w:pPr>
      <w:r w:rsidRPr="00C414E3">
        <w:rPr>
          <w:lang w:val="es-ES"/>
        </w:rPr>
        <w:t>–</w:t>
      </w:r>
      <w:r w:rsidRPr="00C414E3">
        <w:rPr>
          <w:lang w:val="es-ES"/>
        </w:rPr>
        <w:tab/>
      </w:r>
      <w:r>
        <w:rPr>
          <w:lang w:val="es-ES"/>
        </w:rPr>
        <w:t xml:space="preserve">Actualización formal de </w:t>
      </w:r>
      <w:r w:rsidRPr="00C414E3">
        <w:rPr>
          <w:lang w:val="es-ES"/>
        </w:rPr>
        <w:t xml:space="preserve">SM.2353-0 </w:t>
      </w:r>
      <w:r w:rsidR="00486BF4">
        <w:rPr>
          <w:lang w:val="es-ES"/>
        </w:rPr>
        <w:t>«</w:t>
      </w:r>
      <w:r w:rsidRPr="00C414E3">
        <w:rPr>
          <w:lang w:val="es-ES"/>
        </w:rPr>
        <w:t>Retos y oportunidades en la gestión del espectro dimanantes de la transición a la te</w:t>
      </w:r>
      <w:r>
        <w:rPr>
          <w:lang w:val="es-ES"/>
        </w:rPr>
        <w:t xml:space="preserve">levisión digital terrenal en las bandas de ondas </w:t>
      </w:r>
      <w:proofErr w:type="spellStart"/>
      <w:r>
        <w:rPr>
          <w:lang w:val="es-ES"/>
        </w:rPr>
        <w:t>decimétricas</w:t>
      </w:r>
      <w:proofErr w:type="spellEnd"/>
      <w:r>
        <w:rPr>
          <w:lang w:val="es-ES"/>
        </w:rPr>
        <w:t xml:space="preserve"> (UHF)</w:t>
      </w:r>
      <w:r w:rsidR="00486BF4">
        <w:rPr>
          <w:lang w:val="es-ES"/>
        </w:rPr>
        <w:t>»</w:t>
      </w:r>
      <w:r w:rsidRPr="00C414E3">
        <w:rPr>
          <w:lang w:val="es-ES"/>
        </w:rPr>
        <w:t>.</w:t>
      </w:r>
    </w:p>
    <w:p w14:paraId="0CD057D1" w14:textId="367ADB7B" w:rsidR="008F14F3" w:rsidRPr="00C414E3" w:rsidRDefault="008F14F3" w:rsidP="008F14F3">
      <w:pPr>
        <w:rPr>
          <w:lang w:val="es-ES" w:eastAsia="ja-JP"/>
        </w:rPr>
      </w:pPr>
      <w:r w:rsidRPr="008F14F3">
        <w:rPr>
          <w:lang w:val="es-ES"/>
        </w:rPr>
        <w:t xml:space="preserve">En </w:t>
      </w:r>
      <w:r w:rsidRPr="00C414E3">
        <w:rPr>
          <w:lang w:val="es-ES"/>
        </w:rPr>
        <w:t>la reunión de la CE</w:t>
      </w:r>
      <w:r w:rsidR="00705703">
        <w:rPr>
          <w:lang w:val="es-ES"/>
        </w:rPr>
        <w:t> </w:t>
      </w:r>
      <w:r w:rsidRPr="00C414E3">
        <w:rPr>
          <w:lang w:val="es-ES"/>
        </w:rPr>
        <w:t xml:space="preserve">1 de junio de 2024 se insistió en la necesidad de que el GAR examinase el </w:t>
      </w:r>
      <w:hyperlink r:id="rId11" w:history="1">
        <w:r w:rsidRPr="00C414E3">
          <w:rPr>
            <w:rStyle w:val="Hyperlink"/>
            <w:lang w:val="es-ES"/>
          </w:rPr>
          <w:t>Formato de las Recomendaciones UIT-R</w:t>
        </w:r>
      </w:hyperlink>
      <w:r w:rsidRPr="00C414E3">
        <w:rPr>
          <w:lang w:val="es-ES"/>
        </w:rPr>
        <w:t xml:space="preserve"> para aclarar si deben incluirse en las Recomendaciones </w:t>
      </w:r>
      <w:r w:rsidRPr="00C414E3">
        <w:rPr>
          <w:lang w:val="es-ES"/>
        </w:rPr>
        <w:lastRenderedPageBreak/>
        <w:t xml:space="preserve">UIT-R referencias a Informes </w:t>
      </w:r>
      <w:r w:rsidRPr="008F14F3">
        <w:rPr>
          <w:lang w:val="es-ES"/>
        </w:rPr>
        <w:t>UIT-R (véas</w:t>
      </w:r>
      <w:r w:rsidRPr="00C414E3">
        <w:rPr>
          <w:lang w:val="es-ES"/>
        </w:rPr>
        <w:t>e la Se</w:t>
      </w:r>
      <w:r>
        <w:rPr>
          <w:lang w:val="es-ES"/>
        </w:rPr>
        <w:t xml:space="preserve">cción 10.1 de las Actas resumidas en </w:t>
      </w:r>
      <w:r w:rsidR="00043718">
        <w:rPr>
          <w:lang w:val="es-ES"/>
        </w:rPr>
        <w:t>Documento</w:t>
      </w:r>
      <w:r w:rsidR="00EF6B94">
        <w:rPr>
          <w:lang w:val="es-ES"/>
        </w:rPr>
        <w:t> </w:t>
      </w:r>
      <w:hyperlink r:id="rId12" w:history="1">
        <w:r w:rsidRPr="00C414E3">
          <w:rPr>
            <w:rStyle w:val="Hyperlink"/>
            <w:rFonts w:eastAsia="SimSun"/>
            <w:lang w:val="es-ES"/>
          </w:rPr>
          <w:t>1/27</w:t>
        </w:r>
      </w:hyperlink>
      <w:r w:rsidRPr="00C414E3">
        <w:rPr>
          <w:lang w:val="es-ES"/>
        </w:rPr>
        <w:t>).</w:t>
      </w:r>
    </w:p>
    <w:p w14:paraId="2FC5B3F6" w14:textId="793082E6" w:rsidR="008F14F3" w:rsidRPr="00C414E3" w:rsidRDefault="00560CEB" w:rsidP="008F14F3">
      <w:pPr>
        <w:rPr>
          <w:lang w:val="es-ES" w:eastAsia="ja-JP"/>
        </w:rPr>
      </w:pPr>
      <w:r w:rsidRPr="00C414E3">
        <w:rPr>
          <w:lang w:val="es-ES" w:eastAsia="ja-JP"/>
        </w:rPr>
        <w:t>En las reuniones presenciales con participación a distancia de noviembre de 2024 el GT 1B avanzó sus estudios y acordó enviar a la CE</w:t>
      </w:r>
      <w:r w:rsidR="00705703">
        <w:rPr>
          <w:lang w:val="es-ES" w:eastAsia="ja-JP"/>
        </w:rPr>
        <w:t> </w:t>
      </w:r>
      <w:r w:rsidRPr="00C414E3">
        <w:rPr>
          <w:lang w:val="es-ES" w:eastAsia="ja-JP"/>
        </w:rPr>
        <w:t>1 el proyecto de revisió</w:t>
      </w:r>
      <w:r>
        <w:rPr>
          <w:lang w:val="es-ES" w:eastAsia="ja-JP"/>
        </w:rPr>
        <w:t>n del Informe UIT</w:t>
      </w:r>
      <w:r w:rsidR="008F14F3" w:rsidRPr="00C414E3">
        <w:rPr>
          <w:lang w:val="es-ES" w:eastAsia="ja-JP"/>
        </w:rPr>
        <w:t xml:space="preserve">-R 2015-2 </w:t>
      </w:r>
      <w:r w:rsidR="00486BF4">
        <w:rPr>
          <w:lang w:val="es-ES"/>
        </w:rPr>
        <w:t>«</w:t>
      </w:r>
      <w:r w:rsidRPr="00486BF4">
        <w:rPr>
          <w:i/>
          <w:iCs/>
          <w:lang w:val="es-ES" w:eastAsia="ja-JP"/>
        </w:rPr>
        <w:t>Métodos para la determinación de estrategias nacionales a largo plazo para la utilización del espectro radioeléctrico</w:t>
      </w:r>
      <w:r w:rsidR="00486BF4">
        <w:rPr>
          <w:lang w:val="es-ES"/>
        </w:rPr>
        <w:t>»</w:t>
      </w:r>
      <w:r w:rsidR="008F14F3" w:rsidRPr="00C414E3">
        <w:rPr>
          <w:lang w:val="es-ES" w:eastAsia="ja-JP"/>
        </w:rPr>
        <w:t xml:space="preserve">. </w:t>
      </w:r>
      <w:r w:rsidRPr="00560CEB">
        <w:rPr>
          <w:lang w:val="es-ES" w:eastAsia="ja-JP"/>
        </w:rPr>
        <w:t>El</w:t>
      </w:r>
      <w:r w:rsidRPr="00C414E3">
        <w:rPr>
          <w:lang w:val="es-ES" w:eastAsia="ja-JP"/>
        </w:rPr>
        <w:t xml:space="preserve"> GR-</w:t>
      </w:r>
      <w:r>
        <w:rPr>
          <w:lang w:val="es-ES" w:eastAsia="ja-JP"/>
        </w:rPr>
        <w:t>M</w:t>
      </w:r>
      <w:r w:rsidRPr="00C414E3">
        <w:rPr>
          <w:lang w:val="es-ES" w:eastAsia="ja-JP"/>
        </w:rPr>
        <w:t>C</w:t>
      </w:r>
      <w:r>
        <w:rPr>
          <w:lang w:val="es-ES" w:eastAsia="ja-JP"/>
        </w:rPr>
        <w:t>TE</w:t>
      </w:r>
      <w:r w:rsidRPr="00C414E3">
        <w:rPr>
          <w:lang w:val="es-ES" w:eastAsia="ja-JP"/>
        </w:rPr>
        <w:t xml:space="preserve"> del GT</w:t>
      </w:r>
      <w:r w:rsidR="008F14F3" w:rsidRPr="00C414E3">
        <w:rPr>
          <w:lang w:val="es-ES" w:eastAsia="ja-JP"/>
        </w:rPr>
        <w:t xml:space="preserve"> 1C </w:t>
      </w:r>
      <w:r w:rsidRPr="00C414E3">
        <w:rPr>
          <w:lang w:val="es-ES" w:eastAsia="ja-JP"/>
        </w:rPr>
        <w:t>siguió muy productivamente preparando el proyecto de revisión de todos los Capítulos del Manual y su Anexo, elaborando además un proyecto de n</w:t>
      </w:r>
      <w:r>
        <w:rPr>
          <w:lang w:val="es-ES" w:eastAsia="ja-JP"/>
        </w:rPr>
        <w:t xml:space="preserve">uevo Capítulo sobre datos y automatización. </w:t>
      </w:r>
      <w:r w:rsidRPr="00560CEB">
        <w:rPr>
          <w:lang w:val="es-ES" w:eastAsia="ja-JP"/>
        </w:rPr>
        <w:t>Se previó en</w:t>
      </w:r>
      <w:r w:rsidRPr="00C414E3">
        <w:rPr>
          <w:lang w:val="es-ES" w:eastAsia="ja-JP"/>
        </w:rPr>
        <w:t xml:space="preserve"> un principio que el GR-</w:t>
      </w:r>
      <w:r>
        <w:rPr>
          <w:lang w:val="es-ES" w:eastAsia="ja-JP"/>
        </w:rPr>
        <w:t>M</w:t>
      </w:r>
      <w:r w:rsidRPr="00C414E3">
        <w:rPr>
          <w:lang w:val="es-ES" w:eastAsia="ja-JP"/>
        </w:rPr>
        <w:t>C</w:t>
      </w:r>
      <w:r>
        <w:rPr>
          <w:lang w:val="es-ES" w:eastAsia="ja-JP"/>
        </w:rPr>
        <w:t>T</w:t>
      </w:r>
      <w:r w:rsidRPr="00C414E3">
        <w:rPr>
          <w:lang w:val="es-ES" w:eastAsia="ja-JP"/>
        </w:rPr>
        <w:t xml:space="preserve">E se reuniera en febrero de 2025, reunión que finalmente se canceló para preparar mejor la reunión del GT 1C de </w:t>
      </w:r>
      <w:r>
        <w:rPr>
          <w:lang w:val="es-ES" w:eastAsia="ja-JP"/>
        </w:rPr>
        <w:t>junio de 2025, en la que se dispondrá de más días para revisar el MCTE</w:t>
      </w:r>
      <w:r w:rsidR="008F14F3" w:rsidRPr="00C414E3">
        <w:rPr>
          <w:lang w:val="es-ES" w:eastAsia="ja-JP"/>
        </w:rPr>
        <w:t>.</w:t>
      </w:r>
    </w:p>
    <w:p w14:paraId="4E959F56" w14:textId="192E4FAF" w:rsidR="008F14F3" w:rsidRPr="00C414E3" w:rsidRDefault="00560CEB" w:rsidP="008F14F3">
      <w:pPr>
        <w:rPr>
          <w:lang w:val="es-ES"/>
        </w:rPr>
      </w:pPr>
      <w:r w:rsidRPr="00C414E3">
        <w:rPr>
          <w:lang w:val="es-ES"/>
        </w:rPr>
        <w:t>Como se indica en las Circulares de invitación</w:t>
      </w:r>
      <w:r w:rsidR="008F14F3" w:rsidRPr="00C414E3">
        <w:rPr>
          <w:lang w:val="es-ES"/>
        </w:rPr>
        <w:t xml:space="preserve"> (</w:t>
      </w:r>
      <w:hyperlink r:id="rId13" w:history="1">
        <w:r w:rsidR="008F14F3" w:rsidRPr="00C414E3">
          <w:rPr>
            <w:rStyle w:val="Hyperlink"/>
            <w:rFonts w:eastAsia="SimSun"/>
            <w:lang w:val="es-ES"/>
          </w:rPr>
          <w:t>CACE/1131</w:t>
        </w:r>
      </w:hyperlink>
      <w:r w:rsidR="008F14F3" w:rsidRPr="00C414E3">
        <w:rPr>
          <w:lang w:val="es-ES"/>
        </w:rPr>
        <w:t xml:space="preserve"> </w:t>
      </w:r>
      <w:r w:rsidRPr="00C414E3">
        <w:rPr>
          <w:lang w:val="es-ES"/>
        </w:rPr>
        <w:t>y</w:t>
      </w:r>
      <w:r w:rsidR="008F14F3" w:rsidRPr="00C414E3">
        <w:rPr>
          <w:lang w:val="es-ES"/>
        </w:rPr>
        <w:t xml:space="preserve"> </w:t>
      </w:r>
      <w:hyperlink r:id="rId14" w:history="1">
        <w:r w:rsidR="008F14F3" w:rsidRPr="00C414E3">
          <w:rPr>
            <w:rStyle w:val="Hyperlink"/>
            <w:rFonts w:eastAsia="SimSun"/>
            <w:lang w:val="es-ES"/>
          </w:rPr>
          <w:t>1/LCCE/113</w:t>
        </w:r>
      </w:hyperlink>
      <w:r w:rsidR="008F14F3" w:rsidRPr="00C414E3">
        <w:rPr>
          <w:lang w:val="es-ES"/>
        </w:rPr>
        <w:t xml:space="preserve">), </w:t>
      </w:r>
      <w:r w:rsidRPr="00C414E3">
        <w:rPr>
          <w:lang w:val="es-ES"/>
        </w:rPr>
        <w:t>la próxima reunión del GT</w:t>
      </w:r>
      <w:r w:rsidR="008F14F3" w:rsidRPr="00C414E3">
        <w:rPr>
          <w:lang w:val="es-ES"/>
        </w:rPr>
        <w:t xml:space="preserve"> 1C </w:t>
      </w:r>
      <w:r w:rsidRPr="00C414E3">
        <w:rPr>
          <w:lang w:val="es-ES"/>
        </w:rPr>
        <w:t xml:space="preserve">se celebrará del 9 al 18 de junio de 2025, dedicándose los dos primeros días a la revisión del </w:t>
      </w:r>
      <w:r>
        <w:rPr>
          <w:lang w:val="es-ES"/>
        </w:rPr>
        <w:t xml:space="preserve">MCTE, y los GT 1A y 1B se reunirán del 11 al 18 de junio de 2025. </w:t>
      </w:r>
      <w:r w:rsidRPr="00FE1CAD">
        <w:rPr>
          <w:lang w:val="es-ES"/>
        </w:rPr>
        <w:t>La CE1</w:t>
      </w:r>
      <w:r w:rsidRPr="00C414E3">
        <w:rPr>
          <w:lang w:val="es-ES"/>
        </w:rPr>
        <w:t xml:space="preserve"> se reunirá el 19 de junio de 2025. También se ha previsto la posibilidad de planificar otras reuniones de</w:t>
      </w:r>
      <w:r>
        <w:rPr>
          <w:lang w:val="es-ES"/>
        </w:rPr>
        <w:t xml:space="preserve"> </w:t>
      </w:r>
      <w:r w:rsidRPr="00C414E3">
        <w:rPr>
          <w:lang w:val="es-ES"/>
        </w:rPr>
        <w:t>los GT de la CE1 durante el periodo comprendido entre el 5 y el 14 de noviembre de 2025, en función de la carga de trabajo al final de las reuniones de junio de</w:t>
      </w:r>
      <w:r w:rsidR="008F14F3" w:rsidRPr="00C414E3">
        <w:rPr>
          <w:lang w:val="es-ES"/>
        </w:rPr>
        <w:t xml:space="preserve"> 2025</w:t>
      </w:r>
      <w:r>
        <w:rPr>
          <w:lang w:val="es-ES"/>
        </w:rPr>
        <w:t xml:space="preserve"> y de la disponibilidad de salas en la UIT, habida cuenta de las prioridades. </w:t>
      </w:r>
      <w:r w:rsidRPr="00560CEB">
        <w:rPr>
          <w:lang w:val="es-ES"/>
        </w:rPr>
        <w:t>Sin em</w:t>
      </w:r>
      <w:r w:rsidRPr="00C414E3">
        <w:rPr>
          <w:lang w:val="es-ES"/>
        </w:rPr>
        <w:t xml:space="preserve">bargo, es muy probable que durante ese periodo se celebre una </w:t>
      </w:r>
      <w:r w:rsidRPr="00560CEB">
        <w:rPr>
          <w:lang w:val="es-ES"/>
        </w:rPr>
        <w:t>reunión del GR-MCTE del GT</w:t>
      </w:r>
      <w:r w:rsidR="008F14F3" w:rsidRPr="00C414E3">
        <w:rPr>
          <w:lang w:val="es-ES"/>
        </w:rPr>
        <w:t xml:space="preserve"> 1C </w:t>
      </w:r>
      <w:r w:rsidRPr="00C414E3">
        <w:rPr>
          <w:lang w:val="es-ES"/>
        </w:rPr>
        <w:t>a fin de cumplir el plazo límite fija</w:t>
      </w:r>
      <w:r>
        <w:rPr>
          <w:lang w:val="es-ES"/>
        </w:rPr>
        <w:t>do para la revisión de este importante Manual, a saber, junio de 2026</w:t>
      </w:r>
      <w:r w:rsidR="008F14F3" w:rsidRPr="00C414E3">
        <w:rPr>
          <w:rFonts w:asciiTheme="majorBidi" w:hAnsiTheme="majorBidi" w:cstheme="majorBidi"/>
          <w:bCs/>
          <w:lang w:val="es-ES"/>
        </w:rPr>
        <w:t>.</w:t>
      </w:r>
    </w:p>
    <w:p w14:paraId="1FD81667" w14:textId="11278283" w:rsidR="000F62B4" w:rsidRPr="006C7415" w:rsidRDefault="00502D59" w:rsidP="001F6E24">
      <w:pPr>
        <w:pStyle w:val="Heading2"/>
        <w:rPr>
          <w:lang w:val="es-ES"/>
        </w:rPr>
      </w:pPr>
      <w:bookmarkStart w:id="15" w:name="_Toc445972793"/>
      <w:r>
        <w:rPr>
          <w:bCs/>
          <w:lang w:val="es-ES"/>
        </w:rPr>
        <w:t>5</w:t>
      </w:r>
      <w:r w:rsidR="000F62B4">
        <w:rPr>
          <w:bCs/>
          <w:lang w:val="es-ES"/>
        </w:rPr>
        <w:t>.2</w:t>
      </w:r>
      <w:r w:rsidR="000F62B4">
        <w:rPr>
          <w:lang w:val="es-ES"/>
        </w:rPr>
        <w:tab/>
      </w:r>
      <w:r w:rsidR="000F62B4">
        <w:rPr>
          <w:bCs/>
          <w:lang w:val="es-ES"/>
        </w:rPr>
        <w:t>Comisión de estudio 3</w:t>
      </w:r>
      <w:bookmarkEnd w:id="15"/>
    </w:p>
    <w:p w14:paraId="3FE02D2F" w14:textId="1CA37ECF" w:rsidR="000F62B4" w:rsidRPr="006C7415" w:rsidRDefault="000F62B4" w:rsidP="001F6E24">
      <w:pPr>
        <w:rPr>
          <w:lang w:val="es-ES"/>
        </w:rPr>
      </w:pPr>
      <w:r>
        <w:rPr>
          <w:lang w:val="es-ES"/>
        </w:rPr>
        <w:t>La Comisión de Estudio 3 sigue realizando investigaciones exhaustivas utilizando mediciones de propagación, análisis de datos y elaboración de modelos para ampliar la aplicabilidad de los métodos de predicción de la propagación de ondas radioeléctricas en las partes pertinentes del espectro hasta 375</w:t>
      </w:r>
      <w:r w:rsidR="001F6E24">
        <w:rPr>
          <w:lang w:val="es-ES"/>
        </w:rPr>
        <w:t> </w:t>
      </w:r>
      <w:r>
        <w:rPr>
          <w:lang w:val="es-ES"/>
        </w:rPr>
        <w:t>THz. La Comisión de Estudio 3 también sigue revisando o elaborando nuevas Recomendaciones, Informes y Manuales de su competencia para apoyar el diseño de sistemas de radiocomunicaciones y la evaluación de interferencias. Esto último se requiere a menudo para los estudios de compartición y compatibilidad en apoyo de los trabajos sobre los puntos del orden del día de la CMR.</w:t>
      </w:r>
    </w:p>
    <w:p w14:paraId="16322DA8" w14:textId="17E22FF6" w:rsidR="000F62B4" w:rsidRPr="006C7415" w:rsidRDefault="000F62B4" w:rsidP="001F6E24">
      <w:pPr>
        <w:rPr>
          <w:lang w:val="es-ES"/>
        </w:rPr>
      </w:pPr>
      <w:r>
        <w:rPr>
          <w:lang w:val="es-ES"/>
        </w:rPr>
        <w:t>Desde el GAR-2</w:t>
      </w:r>
      <w:r w:rsidR="00502D59">
        <w:rPr>
          <w:lang w:val="es-ES"/>
        </w:rPr>
        <w:t>4</w:t>
      </w:r>
      <w:r>
        <w:rPr>
          <w:lang w:val="es-ES"/>
        </w:rPr>
        <w:t xml:space="preserve">, </w:t>
      </w:r>
      <w:r w:rsidR="00502D59">
        <w:rPr>
          <w:lang w:val="es-ES"/>
        </w:rPr>
        <w:t>la CE</w:t>
      </w:r>
      <w:r w:rsidR="00112AB9">
        <w:rPr>
          <w:lang w:val="es-ES"/>
        </w:rPr>
        <w:t xml:space="preserve"> </w:t>
      </w:r>
      <w:r w:rsidR="00502D59">
        <w:rPr>
          <w:lang w:val="es-ES"/>
        </w:rPr>
        <w:t>3 adoptó y aprobó</w:t>
      </w:r>
      <w:r>
        <w:rPr>
          <w:lang w:val="es-ES"/>
        </w:rPr>
        <w:t xml:space="preserve"> </w:t>
      </w:r>
      <w:r w:rsidR="00502D59">
        <w:rPr>
          <w:lang w:val="es-ES"/>
        </w:rPr>
        <w:t>cuatro</w:t>
      </w:r>
      <w:r>
        <w:rPr>
          <w:lang w:val="es-ES"/>
        </w:rPr>
        <w:t xml:space="preserve"> Recomendaciones UIT-R revisadas</w:t>
      </w:r>
      <w:r w:rsidR="00502D59">
        <w:rPr>
          <w:lang w:val="es-ES"/>
        </w:rPr>
        <w:t xml:space="preserve"> y modificó formalmente tres Recomendaciones UIT-R</w:t>
      </w:r>
      <w:r>
        <w:rPr>
          <w:lang w:val="es-ES"/>
        </w:rPr>
        <w:t>.</w:t>
      </w:r>
    </w:p>
    <w:p w14:paraId="1E0E47BF" w14:textId="391D2676" w:rsidR="000F62B4" w:rsidRDefault="00502D59" w:rsidP="001F6E24">
      <w:pPr>
        <w:rPr>
          <w:lang w:val="es-ES"/>
        </w:rPr>
      </w:pPr>
      <w:r>
        <w:rPr>
          <w:lang w:val="es-ES"/>
        </w:rPr>
        <w:t>Se</w:t>
      </w:r>
      <w:r w:rsidR="000F62B4">
        <w:rPr>
          <w:lang w:val="es-ES"/>
        </w:rPr>
        <w:t xml:space="preserve"> establecieron </w:t>
      </w:r>
      <w:r>
        <w:rPr>
          <w:lang w:val="es-ES"/>
        </w:rPr>
        <w:t>tres</w:t>
      </w:r>
      <w:r w:rsidR="000F62B4">
        <w:rPr>
          <w:lang w:val="es-ES"/>
        </w:rPr>
        <w:t xml:space="preserve"> Grupos por Correspondencia adicionales (GC). </w:t>
      </w:r>
      <w:r>
        <w:rPr>
          <w:lang w:val="es-ES"/>
        </w:rPr>
        <w:t xml:space="preserve">En total los GT 3J, 3K, 3L y 3M tienen activos 39 GC para avanzar los trabajos entre reuniones formales. </w:t>
      </w:r>
      <w:r w:rsidR="000F62B4">
        <w:rPr>
          <w:lang w:val="es-ES"/>
        </w:rPr>
        <w:t>Esos GC realizaron una parte significativa del trabajo entre las reuniones oficiales de los GT. Los Grupos de Trabajo de la CE</w:t>
      </w:r>
      <w:r w:rsidR="001F6E24">
        <w:rPr>
          <w:lang w:val="es-ES"/>
        </w:rPr>
        <w:t> </w:t>
      </w:r>
      <w:r w:rsidR="000F62B4">
        <w:rPr>
          <w:lang w:val="es-ES"/>
        </w:rPr>
        <w:t xml:space="preserve">3 han utilizado los GC de esta manera durante más de una década, teniendo particularmente en cuenta el hecho de que los cuatro Grupos de Trabajo se reúnen sólo una vez al año y que la terminación de algunos temas de trabajo </w:t>
      </w:r>
      <w:r>
        <w:rPr>
          <w:lang w:val="es-ES"/>
        </w:rPr>
        <w:t xml:space="preserve">puede </w:t>
      </w:r>
      <w:r w:rsidR="000F62B4">
        <w:rPr>
          <w:lang w:val="es-ES"/>
        </w:rPr>
        <w:t>abarca</w:t>
      </w:r>
      <w:r>
        <w:rPr>
          <w:lang w:val="es-ES"/>
        </w:rPr>
        <w:t>r</w:t>
      </w:r>
      <w:r w:rsidR="000F62B4">
        <w:rPr>
          <w:lang w:val="es-ES"/>
        </w:rPr>
        <w:t xml:space="preserve"> periodos de más de cinco o incluso diez años. Por lo tanto, no debe considerarse que el uso de los GC de esta manera se debió específica y exclusivamente a la situación creada por la pandemia de COVID-19 durante el período 2020-2022.</w:t>
      </w:r>
    </w:p>
    <w:p w14:paraId="21EA38F1" w14:textId="6809CF3D" w:rsidR="00502D59" w:rsidRPr="00C414E3" w:rsidRDefault="00502D59" w:rsidP="00502D59">
      <w:pPr>
        <w:rPr>
          <w:lang w:val="es-ES"/>
        </w:rPr>
      </w:pPr>
      <w:r w:rsidRPr="00C414E3">
        <w:rPr>
          <w:lang w:val="es-ES"/>
        </w:rPr>
        <w:t>En sus reuniones celebradas en Denver, Colorado, Estados Unidos (29 de mayo-7 de junio de 2024), los GT 3J, 3K y 3M planificaron excepcionalmente dos reuniones en 2025 (17-21 de f</w:t>
      </w:r>
      <w:r>
        <w:rPr>
          <w:lang w:val="es-ES"/>
        </w:rPr>
        <w:t>ebrero de</w:t>
      </w:r>
      <w:r w:rsidRPr="00C414E3">
        <w:rPr>
          <w:lang w:val="es-ES"/>
        </w:rPr>
        <w:t xml:space="preserve"> 2025 </w:t>
      </w:r>
      <w:r>
        <w:rPr>
          <w:lang w:val="es-ES"/>
        </w:rPr>
        <w:t>y</w:t>
      </w:r>
      <w:r w:rsidRPr="00C414E3">
        <w:rPr>
          <w:lang w:val="es-ES"/>
        </w:rPr>
        <w:t xml:space="preserve"> 25 </w:t>
      </w:r>
      <w:r>
        <w:rPr>
          <w:lang w:val="es-ES"/>
        </w:rPr>
        <w:t>de mayo</w:t>
      </w:r>
      <w:r w:rsidRPr="00C414E3">
        <w:rPr>
          <w:lang w:val="es-ES"/>
        </w:rPr>
        <w:t>-5 </w:t>
      </w:r>
      <w:r>
        <w:rPr>
          <w:lang w:val="es-ES"/>
        </w:rPr>
        <w:t>de junio de</w:t>
      </w:r>
      <w:r w:rsidRPr="00C414E3">
        <w:rPr>
          <w:lang w:val="es-ES"/>
        </w:rPr>
        <w:t xml:space="preserve"> 2025, </w:t>
      </w:r>
      <w:r>
        <w:rPr>
          <w:lang w:val="es-ES"/>
        </w:rPr>
        <w:t xml:space="preserve">Sede de la UIT, Ginebra) para finalizar los temas de trabajo que necesitan los Grupos de Trabajo responsables para efectuar los estudios de compartición y compatibilidad necesarios para preparar los puntos del orden del día de la CMR. </w:t>
      </w:r>
      <w:r w:rsidRPr="00502D59">
        <w:rPr>
          <w:lang w:val="es-ES"/>
        </w:rPr>
        <w:t>El</w:t>
      </w:r>
      <w:r w:rsidRPr="00C414E3">
        <w:rPr>
          <w:lang w:val="es-ES"/>
        </w:rPr>
        <w:t xml:space="preserve"> Grupo de Trabajo 3L sólo se reunirá del 25 de </w:t>
      </w:r>
      <w:r>
        <w:rPr>
          <w:lang w:val="es-ES"/>
        </w:rPr>
        <w:t>mayo al 5 de junio de</w:t>
      </w:r>
      <w:r w:rsidRPr="00C414E3">
        <w:rPr>
          <w:lang w:val="es-ES"/>
        </w:rPr>
        <w:t xml:space="preserve"> 2025. </w:t>
      </w:r>
      <w:r w:rsidRPr="00502D59">
        <w:rPr>
          <w:lang w:val="es-ES"/>
        </w:rPr>
        <w:t xml:space="preserve">Por </w:t>
      </w:r>
      <w:r w:rsidRPr="00C414E3">
        <w:rPr>
          <w:lang w:val="es-ES"/>
        </w:rPr>
        <w:t>otra parte, los cuatro GT decidieron celebrar un taller para intercambiar ideas sobre la aplicació</w:t>
      </w:r>
      <w:r>
        <w:rPr>
          <w:lang w:val="es-ES"/>
        </w:rPr>
        <w:t xml:space="preserve">n del aprendizaje automático a la predicción de la propagación de ondas radioeléctricas. </w:t>
      </w:r>
      <w:r w:rsidRPr="00502D59">
        <w:rPr>
          <w:lang w:val="es-ES"/>
        </w:rPr>
        <w:t xml:space="preserve">El taller </w:t>
      </w:r>
      <w:r w:rsidRPr="00C414E3">
        <w:rPr>
          <w:lang w:val="es-ES"/>
        </w:rPr>
        <w:t>se celebrará el 27 de mayo de 2025, coincidi</w:t>
      </w:r>
      <w:r w:rsidRPr="00502D59">
        <w:rPr>
          <w:lang w:val="es-ES"/>
        </w:rPr>
        <w:t>endo</w:t>
      </w:r>
      <w:r w:rsidRPr="00C414E3">
        <w:rPr>
          <w:lang w:val="es-ES"/>
        </w:rPr>
        <w:t xml:space="preserve"> con las reuniones de los GT</w:t>
      </w:r>
      <w:r w:rsidRPr="00502D59">
        <w:rPr>
          <w:lang w:val="es-ES"/>
        </w:rPr>
        <w:t xml:space="preserve">, </w:t>
      </w:r>
      <w:r w:rsidRPr="00C414E3">
        <w:rPr>
          <w:lang w:val="es-ES"/>
        </w:rPr>
        <w:t xml:space="preserve">y </w:t>
      </w:r>
      <w:r>
        <w:rPr>
          <w:lang w:val="es-ES"/>
        </w:rPr>
        <w:t>será posible participar en él a distancia</w:t>
      </w:r>
      <w:r w:rsidRPr="00C414E3">
        <w:rPr>
          <w:lang w:val="es-ES"/>
        </w:rPr>
        <w:t>.</w:t>
      </w:r>
    </w:p>
    <w:p w14:paraId="24E32954" w14:textId="758BC837" w:rsidR="000F62B4" w:rsidRPr="006C7415" w:rsidRDefault="000F62B4" w:rsidP="001F6E24">
      <w:pPr>
        <w:rPr>
          <w:lang w:val="es-ES"/>
        </w:rPr>
      </w:pPr>
      <w:r>
        <w:rPr>
          <w:lang w:val="es-ES"/>
        </w:rPr>
        <w:lastRenderedPageBreak/>
        <w:t>En 202</w:t>
      </w:r>
      <w:r w:rsidR="00502D59">
        <w:rPr>
          <w:lang w:val="es-ES"/>
        </w:rPr>
        <w:t>4</w:t>
      </w:r>
      <w:r>
        <w:rPr>
          <w:lang w:val="es-ES"/>
        </w:rPr>
        <w:t xml:space="preserve">, </w:t>
      </w:r>
      <w:r w:rsidR="00502D59">
        <w:rPr>
          <w:lang w:val="es-ES"/>
        </w:rPr>
        <w:t xml:space="preserve">como ocurrió en los tres años anteriores, </w:t>
      </w:r>
      <w:r>
        <w:rPr>
          <w:lang w:val="es-ES"/>
        </w:rPr>
        <w:t xml:space="preserve">las Recomendaciones de la Serie P siguieron siendo las más populares de todas las Recomendaciones del UIT-R, con más de </w:t>
      </w:r>
      <w:r w:rsidR="00502D59">
        <w:rPr>
          <w:lang w:val="es-ES"/>
        </w:rPr>
        <w:t>7</w:t>
      </w:r>
      <w:r>
        <w:rPr>
          <w:lang w:val="es-ES"/>
        </w:rPr>
        <w:t>6</w:t>
      </w:r>
      <w:r w:rsidR="00391AF8">
        <w:rPr>
          <w:lang w:val="es-ES"/>
        </w:rPr>
        <w:t> </w:t>
      </w:r>
      <w:r>
        <w:rPr>
          <w:lang w:val="es-ES"/>
        </w:rPr>
        <w:t xml:space="preserve">000 descargas más que la segunda serie más popular, lo que refleja </w:t>
      </w:r>
      <w:r w:rsidR="00502D59">
        <w:rPr>
          <w:lang w:val="es-ES"/>
        </w:rPr>
        <w:t xml:space="preserve">una vez más </w:t>
      </w:r>
      <w:r>
        <w:rPr>
          <w:lang w:val="es-ES"/>
        </w:rPr>
        <w:t>su importancia para todos los usuarios de sistemas de radiocomunicaciones de la UIT y la comunidad de radiocomunicaciones en general.</w:t>
      </w:r>
    </w:p>
    <w:p w14:paraId="6BC5A44B" w14:textId="77777777" w:rsidR="000F62B4" w:rsidRPr="006C7415" w:rsidRDefault="000F62B4" w:rsidP="001F6E24">
      <w:pPr>
        <w:pStyle w:val="Headingb"/>
        <w:keepLines/>
        <w:rPr>
          <w:lang w:val="es-ES"/>
        </w:rPr>
      </w:pPr>
      <w:r>
        <w:rPr>
          <w:bCs/>
          <w:lang w:val="es-ES"/>
        </w:rPr>
        <w:t>Recomendaciones UIT-R:</w:t>
      </w:r>
    </w:p>
    <w:p w14:paraId="18B4920E" w14:textId="5C49D793" w:rsidR="0053216B" w:rsidRPr="00C414E3" w:rsidRDefault="0053216B" w:rsidP="0053216B">
      <w:pPr>
        <w:pStyle w:val="enumlev1"/>
        <w:rPr>
          <w:lang w:val="es-ES"/>
        </w:rPr>
      </w:pPr>
      <w:r w:rsidRPr="00C414E3">
        <w:rPr>
          <w:lang w:val="es-ES"/>
        </w:rPr>
        <w:t>–</w:t>
      </w:r>
      <w:r w:rsidRPr="00C414E3">
        <w:rPr>
          <w:lang w:val="es-ES"/>
        </w:rPr>
        <w:tab/>
        <w:t xml:space="preserve">P.372-17 </w:t>
      </w:r>
      <w:r w:rsidR="00391AF8">
        <w:rPr>
          <w:lang w:val="es-ES"/>
        </w:rPr>
        <w:t>«</w:t>
      </w:r>
      <w:r w:rsidRPr="00C414E3">
        <w:rPr>
          <w:lang w:val="es-ES"/>
        </w:rPr>
        <w:t>Ruido radioeléctrico</w:t>
      </w:r>
      <w:r w:rsidR="00391AF8">
        <w:rPr>
          <w:lang w:val="es-ES"/>
        </w:rPr>
        <w:t>»</w:t>
      </w:r>
    </w:p>
    <w:p w14:paraId="6253E971" w14:textId="5FEA6320" w:rsidR="0053216B" w:rsidRPr="00C414E3" w:rsidRDefault="0053216B" w:rsidP="0053216B">
      <w:pPr>
        <w:pStyle w:val="enumlev1"/>
        <w:rPr>
          <w:lang w:val="es-ES"/>
        </w:rPr>
      </w:pPr>
      <w:r w:rsidRPr="00C414E3">
        <w:rPr>
          <w:lang w:val="es-ES"/>
        </w:rPr>
        <w:t>–</w:t>
      </w:r>
      <w:r w:rsidRPr="00C414E3">
        <w:rPr>
          <w:lang w:val="es-ES"/>
        </w:rPr>
        <w:tab/>
        <w:t xml:space="preserve">P.525-5 </w:t>
      </w:r>
      <w:r w:rsidR="00391AF8">
        <w:rPr>
          <w:lang w:val="es-ES"/>
        </w:rPr>
        <w:t>«</w:t>
      </w:r>
      <w:r w:rsidRPr="00C414E3">
        <w:rPr>
          <w:lang w:val="es-ES"/>
        </w:rPr>
        <w:t>Cálculo de la atenuació</w:t>
      </w:r>
      <w:r>
        <w:rPr>
          <w:lang w:val="es-ES"/>
        </w:rPr>
        <w:t>n en el espacio libre</w:t>
      </w:r>
      <w:r w:rsidR="00391AF8">
        <w:rPr>
          <w:lang w:val="es-ES"/>
        </w:rPr>
        <w:t>»</w:t>
      </w:r>
    </w:p>
    <w:p w14:paraId="482F8365" w14:textId="1299780D" w:rsidR="0053216B" w:rsidRPr="00C414E3" w:rsidRDefault="0053216B" w:rsidP="0053216B">
      <w:pPr>
        <w:pStyle w:val="enumlev1"/>
        <w:rPr>
          <w:lang w:val="es-ES"/>
        </w:rPr>
      </w:pPr>
      <w:r w:rsidRPr="00C414E3">
        <w:rPr>
          <w:lang w:val="es-ES"/>
        </w:rPr>
        <w:t>–</w:t>
      </w:r>
      <w:r w:rsidRPr="00C414E3">
        <w:rPr>
          <w:lang w:val="es-ES"/>
        </w:rPr>
        <w:tab/>
        <w:t xml:space="preserve">P.835-7 </w:t>
      </w:r>
      <w:r w:rsidR="00391AF8">
        <w:rPr>
          <w:lang w:val="es-ES"/>
        </w:rPr>
        <w:t>«</w:t>
      </w:r>
      <w:r w:rsidRPr="00C414E3">
        <w:rPr>
          <w:lang w:val="es-ES"/>
        </w:rPr>
        <w:t>Atmósferas de referencia</w:t>
      </w:r>
      <w:r w:rsidR="00391AF8">
        <w:rPr>
          <w:lang w:val="es-ES"/>
        </w:rPr>
        <w:t>»</w:t>
      </w:r>
    </w:p>
    <w:p w14:paraId="61D09062" w14:textId="4F5693FD" w:rsidR="0053216B" w:rsidRPr="00C414E3" w:rsidRDefault="0053216B" w:rsidP="0053216B">
      <w:pPr>
        <w:pStyle w:val="enumlev1"/>
        <w:rPr>
          <w:lang w:val="es-ES"/>
        </w:rPr>
      </w:pPr>
      <w:r w:rsidRPr="00C414E3">
        <w:rPr>
          <w:lang w:val="es-ES"/>
        </w:rPr>
        <w:t>–</w:t>
      </w:r>
      <w:r w:rsidRPr="00C414E3">
        <w:rPr>
          <w:lang w:val="es-ES"/>
        </w:rPr>
        <w:tab/>
        <w:t xml:space="preserve">P.1511-3 </w:t>
      </w:r>
      <w:r w:rsidR="00391AF8">
        <w:rPr>
          <w:lang w:val="es-ES"/>
        </w:rPr>
        <w:t>«</w:t>
      </w:r>
      <w:r w:rsidRPr="00C414E3">
        <w:rPr>
          <w:lang w:val="es-ES"/>
        </w:rPr>
        <w:t>Topografía para e</w:t>
      </w:r>
      <w:r>
        <w:rPr>
          <w:lang w:val="es-ES"/>
        </w:rPr>
        <w:t>stablecer modelos de propagación Tierra-espacio</w:t>
      </w:r>
      <w:r w:rsidR="00391AF8">
        <w:rPr>
          <w:lang w:val="es-ES"/>
        </w:rPr>
        <w:t>»</w:t>
      </w:r>
    </w:p>
    <w:p w14:paraId="193FDF83" w14:textId="0999589B" w:rsidR="0053216B" w:rsidRPr="00C414E3" w:rsidRDefault="0053216B" w:rsidP="0053216B">
      <w:pPr>
        <w:rPr>
          <w:lang w:val="es-ES" w:eastAsia="zh-CN"/>
        </w:rPr>
      </w:pPr>
      <w:r w:rsidRPr="00C414E3">
        <w:rPr>
          <w:lang w:val="es-ES" w:eastAsia="zh-CN"/>
        </w:rPr>
        <w:t>Los Grupos de Trabajo de la Comisión de Estudio 3 siguieron ocupá</w:t>
      </w:r>
      <w:r>
        <w:rPr>
          <w:lang w:val="es-ES" w:eastAsia="zh-CN"/>
        </w:rPr>
        <w:t>n</w:t>
      </w:r>
      <w:r w:rsidRPr="00C414E3">
        <w:rPr>
          <w:lang w:val="es-ES" w:eastAsia="zh-CN"/>
        </w:rPr>
        <w:t>dose del mantenimiento de una serie de fascículos con información que es ne</w:t>
      </w:r>
      <w:r>
        <w:rPr>
          <w:lang w:val="es-ES" w:eastAsia="zh-CN"/>
        </w:rPr>
        <w:t xml:space="preserve">cesario preservar como referencia, pero cuya inclusión en Informes o Recomendaciones UIT-R no procede. </w:t>
      </w:r>
      <w:r w:rsidRPr="0053216B">
        <w:rPr>
          <w:lang w:val="es-ES" w:eastAsia="zh-CN"/>
        </w:rPr>
        <w:t xml:space="preserve">El </w:t>
      </w:r>
      <w:r w:rsidRPr="00C414E3">
        <w:rPr>
          <w:lang w:val="es-ES" w:eastAsia="zh-CN"/>
        </w:rPr>
        <w:t>Grupo de Trabajo 3J aprobó los sigu</w:t>
      </w:r>
      <w:r>
        <w:rPr>
          <w:lang w:val="es-ES" w:eastAsia="zh-CN"/>
        </w:rPr>
        <w:t>ientes Fascículos nuevos</w:t>
      </w:r>
      <w:r w:rsidRPr="00C414E3">
        <w:rPr>
          <w:lang w:val="es-ES" w:eastAsia="zh-CN"/>
        </w:rPr>
        <w:t>:</w:t>
      </w:r>
    </w:p>
    <w:p w14:paraId="426E6B3F" w14:textId="4E1A19CC" w:rsidR="0053216B" w:rsidRPr="00C414E3" w:rsidRDefault="0053216B" w:rsidP="0053216B">
      <w:pPr>
        <w:pStyle w:val="enumlev1"/>
        <w:rPr>
          <w:lang w:val="en-US"/>
        </w:rPr>
      </w:pPr>
      <w:r w:rsidRPr="00C414E3">
        <w:rPr>
          <w:lang w:val="en-US"/>
        </w:rPr>
        <w:t>–</w:t>
      </w:r>
      <w:r w:rsidRPr="00C414E3">
        <w:rPr>
          <w:lang w:val="en-US"/>
        </w:rPr>
        <w:tab/>
      </w:r>
      <w:hyperlink r:id="rId15" w:history="1">
        <w:r w:rsidRPr="00C414E3">
          <w:rPr>
            <w:rStyle w:val="Hyperlink"/>
            <w:rFonts w:eastAsia="SimSun"/>
            <w:lang w:val="en-US" w:eastAsia="zh-CN"/>
          </w:rPr>
          <w:t>3J/FAS/11</w:t>
        </w:r>
      </w:hyperlink>
      <w:r w:rsidRPr="00C414E3">
        <w:rPr>
          <w:lang w:val="en-US" w:eastAsia="zh-CN"/>
        </w:rPr>
        <w:t xml:space="preserve"> </w:t>
      </w:r>
      <w:r w:rsidR="00391AF8" w:rsidRPr="00391AF8">
        <w:rPr>
          <w:lang w:val="en-GB"/>
        </w:rPr>
        <w:t>«</w:t>
      </w:r>
      <w:r w:rsidRPr="00C414E3">
        <w:rPr>
          <w:i/>
          <w:iCs/>
          <w:lang w:val="en-US" w:eastAsia="zh-CN"/>
        </w:rPr>
        <w:t>B</w:t>
      </w:r>
      <w:r w:rsidRPr="00C414E3">
        <w:rPr>
          <w:i/>
          <w:iCs/>
          <w:lang w:val="en-US"/>
        </w:rPr>
        <w:t>ackground information on Annex 3 of Recommendation ITU</w:t>
      </w:r>
      <w:r w:rsidRPr="00C414E3">
        <w:rPr>
          <w:i/>
          <w:iCs/>
          <w:lang w:val="en-US"/>
        </w:rPr>
        <w:noBreakHyphen/>
        <w:t>R P.835</w:t>
      </w:r>
      <w:proofErr w:type="gramStart"/>
      <w:r w:rsidR="00391AF8" w:rsidRPr="00391AF8">
        <w:rPr>
          <w:lang w:val="en-GB"/>
        </w:rPr>
        <w:t>»</w:t>
      </w:r>
      <w:r w:rsidRPr="00C414E3">
        <w:rPr>
          <w:lang w:val="en-US"/>
        </w:rPr>
        <w:t>;</w:t>
      </w:r>
      <w:proofErr w:type="gramEnd"/>
    </w:p>
    <w:p w14:paraId="211534BE" w14:textId="711E8AB9" w:rsidR="0053216B" w:rsidRPr="00C414E3" w:rsidRDefault="0053216B" w:rsidP="0053216B">
      <w:pPr>
        <w:pStyle w:val="enumlev1"/>
        <w:rPr>
          <w:lang w:val="en-US"/>
        </w:rPr>
      </w:pPr>
      <w:r w:rsidRPr="00C414E3">
        <w:rPr>
          <w:lang w:val="en-US"/>
        </w:rPr>
        <w:t>–</w:t>
      </w:r>
      <w:r w:rsidRPr="00C414E3">
        <w:rPr>
          <w:lang w:val="en-US"/>
        </w:rPr>
        <w:tab/>
      </w:r>
      <w:hyperlink r:id="rId16" w:history="1">
        <w:r w:rsidRPr="00C414E3">
          <w:rPr>
            <w:rStyle w:val="Hyperlink"/>
            <w:rFonts w:eastAsia="SimSun"/>
            <w:lang w:val="en-US"/>
          </w:rPr>
          <w:t>3L/FAS/1</w:t>
        </w:r>
      </w:hyperlink>
      <w:r w:rsidRPr="00C414E3">
        <w:rPr>
          <w:lang w:val="en-US"/>
        </w:rPr>
        <w:t xml:space="preserve"> </w:t>
      </w:r>
      <w:r w:rsidR="00391AF8" w:rsidRPr="00391AF8">
        <w:rPr>
          <w:lang w:val="en-GB"/>
        </w:rPr>
        <w:t>«</w:t>
      </w:r>
      <w:r w:rsidRPr="00C414E3">
        <w:rPr>
          <w:i/>
          <w:iCs/>
          <w:lang w:val="en-US"/>
        </w:rPr>
        <w:t>The brightness temperature prediction method in Recommendation ITU-R P.372 – Radio noise</w:t>
      </w:r>
      <w:r w:rsidR="00391AF8" w:rsidRPr="00391AF8">
        <w:rPr>
          <w:lang w:val="en-GB"/>
        </w:rPr>
        <w:t>»</w:t>
      </w:r>
      <w:r w:rsidRPr="00C414E3">
        <w:rPr>
          <w:lang w:val="en-US"/>
        </w:rPr>
        <w:t>.</w:t>
      </w:r>
    </w:p>
    <w:p w14:paraId="3D7F8EE1" w14:textId="46459DE8" w:rsidR="000F62B4" w:rsidRPr="006C7415" w:rsidRDefault="00BA671A" w:rsidP="001F6E24">
      <w:pPr>
        <w:pStyle w:val="Heading2"/>
        <w:rPr>
          <w:lang w:val="es-ES"/>
        </w:rPr>
      </w:pPr>
      <w:bookmarkStart w:id="16" w:name="_Toc445972795"/>
      <w:bookmarkEnd w:id="14"/>
      <w:r>
        <w:rPr>
          <w:bCs/>
          <w:lang w:val="es-ES"/>
        </w:rPr>
        <w:t>5</w:t>
      </w:r>
      <w:r w:rsidR="000F62B4">
        <w:rPr>
          <w:bCs/>
          <w:lang w:val="es-ES"/>
        </w:rPr>
        <w:t>.3</w:t>
      </w:r>
      <w:r w:rsidR="000F62B4">
        <w:rPr>
          <w:lang w:val="es-ES"/>
        </w:rPr>
        <w:tab/>
      </w:r>
      <w:r w:rsidR="000F62B4">
        <w:rPr>
          <w:bCs/>
          <w:lang w:val="es-ES"/>
        </w:rPr>
        <w:t>Comisión de estudio 4</w:t>
      </w:r>
    </w:p>
    <w:p w14:paraId="49C15F42" w14:textId="0EEB0BB9" w:rsidR="000F62B4" w:rsidRDefault="000F62B4" w:rsidP="00BA671A">
      <w:pPr>
        <w:rPr>
          <w:lang w:val="es-ES"/>
        </w:rPr>
      </w:pPr>
      <w:r>
        <w:rPr>
          <w:lang w:val="es-ES"/>
        </w:rPr>
        <w:t>La Comisión de Estudio 4 sigue estudiando l</w:t>
      </w:r>
      <w:r w:rsidR="00BA671A">
        <w:rPr>
          <w:lang w:val="es-ES"/>
        </w:rPr>
        <w:t xml:space="preserve">as características de redes y </w:t>
      </w:r>
      <w:r>
        <w:rPr>
          <w:lang w:val="es-ES"/>
        </w:rPr>
        <w:t xml:space="preserve">sistemas fijos, móviles, de radiodifusión y de </w:t>
      </w:r>
      <w:proofErr w:type="spellStart"/>
      <w:r>
        <w:rPr>
          <w:lang w:val="es-ES"/>
        </w:rPr>
        <w:t>radiodeterminación</w:t>
      </w:r>
      <w:proofErr w:type="spellEnd"/>
      <w:r>
        <w:rPr>
          <w:lang w:val="es-ES"/>
        </w:rPr>
        <w:t xml:space="preserve"> por satélite, </w:t>
      </w:r>
      <w:r w:rsidR="00BA671A">
        <w:rPr>
          <w:lang w:val="es-ES"/>
        </w:rPr>
        <w:t xml:space="preserve">incluida la utilización de enlaces del servicio entre satélites, en su caso, </w:t>
      </w:r>
      <w:r>
        <w:rPr>
          <w:lang w:val="es-ES"/>
        </w:rPr>
        <w:t>las características de las redes, las interfaces aéreas, los objetivos de calidad de funcionamiento y disponibilidad, así como la compartición de recursos órbita/espectro entre sistemas de satélites OSG y no OSG, que permitan el desarrollo sostenible del ecosistema espacial.</w:t>
      </w:r>
    </w:p>
    <w:p w14:paraId="47298137" w14:textId="6CC26125" w:rsidR="00BA671A" w:rsidRPr="00C414E3" w:rsidRDefault="00BA671A" w:rsidP="00BA671A">
      <w:pPr>
        <w:rPr>
          <w:lang w:val="es-ES"/>
        </w:rPr>
      </w:pPr>
      <w:r w:rsidRPr="00C414E3">
        <w:rPr>
          <w:lang w:val="es-ES"/>
        </w:rPr>
        <w:t>El Grupo de Tra</w:t>
      </w:r>
      <w:r>
        <w:rPr>
          <w:lang w:val="es-ES"/>
        </w:rPr>
        <w:t>b</w:t>
      </w:r>
      <w:r w:rsidRPr="00C414E3">
        <w:rPr>
          <w:lang w:val="es-ES"/>
        </w:rPr>
        <w:t xml:space="preserve">ajo 4A sigue realizando los estudios previstos en la Resolución UIT-R 74 </w:t>
      </w:r>
      <w:r w:rsidR="00391AF8">
        <w:rPr>
          <w:lang w:val="es-ES"/>
        </w:rPr>
        <w:t>«</w:t>
      </w:r>
      <w:r w:rsidRPr="00C414E3">
        <w:rPr>
          <w:i/>
          <w:iCs/>
          <w:lang w:val="es-ES"/>
        </w:rPr>
        <w:t>Actividades relaciona</w:t>
      </w:r>
      <w:r w:rsidRPr="00735893">
        <w:rPr>
          <w:i/>
          <w:iCs/>
          <w:lang w:val="es-ES"/>
        </w:rPr>
        <w:t>das con la utilización sostenible del espectro de frecuencias radioeléctricas y los recursos de órbita de satélite conexos utilizados por los servicios espaciales</w:t>
      </w:r>
      <w:r w:rsidR="00391AF8">
        <w:rPr>
          <w:lang w:val="es-ES"/>
        </w:rPr>
        <w:t>»</w:t>
      </w:r>
      <w:r>
        <w:rPr>
          <w:lang w:val="es-ES"/>
        </w:rPr>
        <w:t xml:space="preserve">. </w:t>
      </w:r>
      <w:r w:rsidRPr="00BA671A">
        <w:rPr>
          <w:lang w:val="es-ES"/>
        </w:rPr>
        <w:t>Se</w:t>
      </w:r>
      <w:r w:rsidRPr="00C414E3">
        <w:rPr>
          <w:lang w:val="es-ES"/>
        </w:rPr>
        <w:t xml:space="preserve"> envió una invitación a la presentación de propuestas para la preparación de un Manual d</w:t>
      </w:r>
      <w:r>
        <w:rPr>
          <w:lang w:val="es-ES"/>
        </w:rPr>
        <w:t>el UIT-R sobre</w:t>
      </w:r>
      <w:r w:rsidRPr="00C414E3">
        <w:rPr>
          <w:lang w:val="es-ES"/>
        </w:rPr>
        <w:t xml:space="preserve"> </w:t>
      </w:r>
      <w:r w:rsidR="00391AF8">
        <w:rPr>
          <w:lang w:val="es-ES"/>
        </w:rPr>
        <w:t>«</w:t>
      </w:r>
      <w:r w:rsidRPr="00735893">
        <w:rPr>
          <w:i/>
          <w:iCs/>
          <w:lang w:val="es-ES"/>
        </w:rPr>
        <w:t>Prácticas idóneas para la utilización sostenible de las frecuencias y las órbitas no OSG asociada por los servicios de radiocomunicación espacial</w:t>
      </w:r>
      <w:r w:rsidR="00391AF8">
        <w:rPr>
          <w:lang w:val="es-ES"/>
        </w:rPr>
        <w:t>»</w:t>
      </w:r>
      <w:r w:rsidRPr="00C414E3">
        <w:rPr>
          <w:lang w:val="es-ES"/>
        </w:rPr>
        <w:t xml:space="preserve"> (</w:t>
      </w:r>
      <w:r>
        <w:rPr>
          <w:lang w:val="es-ES"/>
        </w:rPr>
        <w:t>véase</w:t>
      </w:r>
      <w:r w:rsidRPr="00C414E3">
        <w:rPr>
          <w:lang w:val="es-ES"/>
        </w:rPr>
        <w:t xml:space="preserve"> </w:t>
      </w:r>
      <w:hyperlink r:id="rId17" w:history="1">
        <w:r w:rsidRPr="00C414E3">
          <w:rPr>
            <w:rStyle w:val="Hyperlink"/>
            <w:rFonts w:eastAsia="SimSun"/>
            <w:lang w:val="es-ES"/>
          </w:rPr>
          <w:t>CACE/1129</w:t>
        </w:r>
      </w:hyperlink>
      <w:r w:rsidRPr="00C414E3">
        <w:rPr>
          <w:lang w:val="es-ES"/>
        </w:rPr>
        <w:t>).</w:t>
      </w:r>
    </w:p>
    <w:p w14:paraId="1E4EFB91" w14:textId="5E8BE0C3" w:rsidR="00BA671A" w:rsidRPr="00C414E3" w:rsidRDefault="00BA671A" w:rsidP="00BA671A">
      <w:pPr>
        <w:rPr>
          <w:lang w:val="es-ES"/>
        </w:rPr>
      </w:pPr>
      <w:r w:rsidRPr="00C414E3">
        <w:rPr>
          <w:lang w:val="es-ES"/>
        </w:rPr>
        <w:t xml:space="preserve">Habida cuenta de las sugerencias formuladas por el GAR en su reunión de mayo de 2024, la CE 4 acordó preparar un nuevo Manual del UIT-R sobre </w:t>
      </w:r>
      <w:r w:rsidR="00391AF8">
        <w:rPr>
          <w:lang w:val="es-ES"/>
        </w:rPr>
        <w:t>«</w:t>
      </w:r>
      <w:r w:rsidRPr="00497682">
        <w:rPr>
          <w:i/>
          <w:iCs/>
          <w:lang w:val="es-ES"/>
        </w:rPr>
        <w:t>Comunicaciones por satélite y tecnologías conexas</w:t>
      </w:r>
      <w:r w:rsidR="00391AF8">
        <w:rPr>
          <w:lang w:val="es-ES"/>
        </w:rPr>
        <w:t>»</w:t>
      </w:r>
      <w:r>
        <w:rPr>
          <w:lang w:val="es-ES"/>
        </w:rPr>
        <w:t xml:space="preserve">, en el que se reunirá material relativo a los sistemas del SFS, el SRS, el SMS y el SRDS. </w:t>
      </w:r>
      <w:r w:rsidRPr="00BA671A">
        <w:rPr>
          <w:lang w:val="es-ES"/>
        </w:rPr>
        <w:t>Est</w:t>
      </w:r>
      <w:r w:rsidRPr="00C414E3">
        <w:rPr>
          <w:lang w:val="es-ES"/>
        </w:rPr>
        <w:t>e Manual sucederá al Manual obsoleto sobre sistemas de satélites y ya está en curso su preparación, se envió una invitación a la presentación de p</w:t>
      </w:r>
      <w:r>
        <w:rPr>
          <w:lang w:val="es-ES"/>
        </w:rPr>
        <w:t>ropuestas para su elaboración (véase</w:t>
      </w:r>
      <w:r w:rsidRPr="00C414E3">
        <w:rPr>
          <w:lang w:val="es-ES"/>
        </w:rPr>
        <w:t xml:space="preserve"> </w:t>
      </w:r>
      <w:hyperlink r:id="rId18" w:history="1">
        <w:r w:rsidRPr="00C414E3">
          <w:rPr>
            <w:rStyle w:val="Hyperlink"/>
            <w:rFonts w:eastAsia="SimSun"/>
            <w:lang w:val="es-ES"/>
          </w:rPr>
          <w:t>4/LCCE/140</w:t>
        </w:r>
      </w:hyperlink>
      <w:r w:rsidRPr="00C414E3">
        <w:rPr>
          <w:lang w:val="es-ES"/>
        </w:rPr>
        <w:t xml:space="preserve">). </w:t>
      </w:r>
      <w:r w:rsidRPr="00BA671A">
        <w:rPr>
          <w:lang w:val="es-ES"/>
        </w:rPr>
        <w:t>De</w:t>
      </w:r>
      <w:r w:rsidRPr="00C414E3">
        <w:rPr>
          <w:lang w:val="es-ES"/>
        </w:rPr>
        <w:t xml:space="preserve">sde el GAR-24, la CE 4 ha adoptado y aprobado dos </w:t>
      </w:r>
      <w:r>
        <w:rPr>
          <w:lang w:val="es-ES"/>
        </w:rPr>
        <w:t>Recomendaciones UIT-R revisadas y ha aprobado dos Informes UIT-R nuevos y dos revisados</w:t>
      </w:r>
      <w:r w:rsidRPr="00C414E3">
        <w:rPr>
          <w:lang w:val="es-ES"/>
        </w:rPr>
        <w:t xml:space="preserve">. </w:t>
      </w:r>
    </w:p>
    <w:p w14:paraId="5EA2B81E" w14:textId="77777777" w:rsidR="000F62B4" w:rsidRPr="006C7415" w:rsidRDefault="000F62B4" w:rsidP="001F6E24">
      <w:pPr>
        <w:tabs>
          <w:tab w:val="clear" w:pos="794"/>
          <w:tab w:val="clear" w:pos="1191"/>
          <w:tab w:val="clear" w:pos="1588"/>
          <w:tab w:val="clear" w:pos="1985"/>
        </w:tabs>
        <w:overflowPunct/>
        <w:autoSpaceDE/>
        <w:autoSpaceDN/>
        <w:adjustRightInd/>
        <w:textAlignment w:val="auto"/>
        <w:rPr>
          <w:b/>
          <w:bCs/>
          <w:lang w:val="es-ES"/>
        </w:rPr>
      </w:pPr>
      <w:r>
        <w:rPr>
          <w:b/>
          <w:bCs/>
          <w:lang w:val="es-ES"/>
        </w:rPr>
        <w:t>Recomendaciones UIT-R:</w:t>
      </w:r>
    </w:p>
    <w:p w14:paraId="63B0DFB2" w14:textId="5B56A6D7" w:rsidR="00BA671A" w:rsidRPr="00C414E3" w:rsidRDefault="00BA671A" w:rsidP="00BA671A">
      <w:pPr>
        <w:pStyle w:val="enumlev1"/>
        <w:rPr>
          <w:lang w:val="es-ES"/>
        </w:rPr>
      </w:pPr>
      <w:r w:rsidRPr="00C414E3">
        <w:rPr>
          <w:lang w:val="es-ES"/>
        </w:rPr>
        <w:t>–</w:t>
      </w:r>
      <w:r w:rsidRPr="00C414E3">
        <w:rPr>
          <w:lang w:val="es-ES"/>
        </w:rPr>
        <w:tab/>
        <w:t xml:space="preserve">M.1787-5 </w:t>
      </w:r>
      <w:r w:rsidR="00391AF8">
        <w:rPr>
          <w:lang w:val="es-ES"/>
        </w:rPr>
        <w:t>«</w:t>
      </w:r>
      <w:r w:rsidRPr="00C414E3">
        <w:rPr>
          <w:lang w:val="es-ES"/>
        </w:rPr>
        <w:t>Descripción de sis</w:t>
      </w:r>
      <w:r>
        <w:rPr>
          <w:lang w:val="es-ES"/>
        </w:rPr>
        <w:t>t</w:t>
      </w:r>
      <w:r w:rsidRPr="00C414E3">
        <w:rPr>
          <w:lang w:val="es-ES"/>
        </w:rPr>
        <w:t>emas y redes del servicio de radionavegación por satélite (espacio-Tierra y espacio-espacio) y características técnicas de est</w:t>
      </w:r>
      <w:r>
        <w:rPr>
          <w:lang w:val="es-ES"/>
        </w:rPr>
        <w:t>aciones espaciales transmisoras que funcionan en las bandas</w:t>
      </w:r>
      <w:r w:rsidRPr="00C414E3">
        <w:rPr>
          <w:lang w:val="es-ES"/>
        </w:rPr>
        <w:t xml:space="preserve"> 1</w:t>
      </w:r>
      <w:r w:rsidR="00497682">
        <w:rPr>
          <w:lang w:val="es-ES"/>
        </w:rPr>
        <w:t> </w:t>
      </w:r>
      <w:r w:rsidRPr="00C414E3">
        <w:rPr>
          <w:lang w:val="es-ES"/>
        </w:rPr>
        <w:t>164-1</w:t>
      </w:r>
      <w:r w:rsidR="00497682">
        <w:rPr>
          <w:lang w:val="es-ES"/>
        </w:rPr>
        <w:t> </w:t>
      </w:r>
      <w:r w:rsidRPr="00C414E3">
        <w:rPr>
          <w:lang w:val="es-ES"/>
        </w:rPr>
        <w:t>215</w:t>
      </w:r>
      <w:r w:rsidR="00497682">
        <w:rPr>
          <w:lang w:val="es-ES"/>
        </w:rPr>
        <w:t> </w:t>
      </w:r>
      <w:r w:rsidRPr="00C414E3">
        <w:rPr>
          <w:lang w:val="es-ES"/>
        </w:rPr>
        <w:t>MHz, 1</w:t>
      </w:r>
      <w:r w:rsidR="00497682">
        <w:rPr>
          <w:lang w:val="es-ES"/>
        </w:rPr>
        <w:t> </w:t>
      </w:r>
      <w:r w:rsidRPr="00C414E3">
        <w:rPr>
          <w:lang w:val="es-ES"/>
        </w:rPr>
        <w:t>215-1</w:t>
      </w:r>
      <w:r w:rsidR="00497682">
        <w:rPr>
          <w:lang w:val="es-ES"/>
        </w:rPr>
        <w:t> </w:t>
      </w:r>
      <w:r w:rsidRPr="00C414E3">
        <w:rPr>
          <w:lang w:val="es-ES"/>
        </w:rPr>
        <w:t>300</w:t>
      </w:r>
      <w:r w:rsidR="00497682">
        <w:rPr>
          <w:lang w:val="es-ES"/>
        </w:rPr>
        <w:t> </w:t>
      </w:r>
      <w:r w:rsidRPr="00C414E3">
        <w:rPr>
          <w:lang w:val="es-ES"/>
        </w:rPr>
        <w:t xml:space="preserve">MHz </w:t>
      </w:r>
      <w:r>
        <w:rPr>
          <w:lang w:val="es-ES"/>
        </w:rPr>
        <w:t>y</w:t>
      </w:r>
      <w:r w:rsidRPr="00C414E3">
        <w:rPr>
          <w:lang w:val="es-ES"/>
        </w:rPr>
        <w:t xml:space="preserve"> 1</w:t>
      </w:r>
      <w:r w:rsidR="00497682">
        <w:rPr>
          <w:lang w:val="es-ES"/>
        </w:rPr>
        <w:t> </w:t>
      </w:r>
      <w:r w:rsidRPr="00C414E3">
        <w:rPr>
          <w:lang w:val="es-ES"/>
        </w:rPr>
        <w:t>559</w:t>
      </w:r>
      <w:r w:rsidR="00497682">
        <w:rPr>
          <w:lang w:val="es-ES"/>
        </w:rPr>
        <w:noBreakHyphen/>
      </w:r>
      <w:r w:rsidRPr="00C414E3">
        <w:rPr>
          <w:lang w:val="es-ES"/>
        </w:rPr>
        <w:t>1</w:t>
      </w:r>
      <w:r w:rsidR="00497682">
        <w:rPr>
          <w:lang w:val="es-ES"/>
        </w:rPr>
        <w:t> </w:t>
      </w:r>
      <w:r w:rsidRPr="00C414E3">
        <w:rPr>
          <w:lang w:val="es-ES"/>
        </w:rPr>
        <w:t>610</w:t>
      </w:r>
      <w:r w:rsidR="00497682">
        <w:rPr>
          <w:lang w:val="es-ES"/>
        </w:rPr>
        <w:t> </w:t>
      </w:r>
      <w:r w:rsidRPr="00C414E3">
        <w:rPr>
          <w:lang w:val="es-ES"/>
        </w:rPr>
        <w:t>MHz</w:t>
      </w:r>
      <w:r w:rsidR="00391AF8">
        <w:rPr>
          <w:lang w:val="es-ES"/>
        </w:rPr>
        <w:t>»</w:t>
      </w:r>
      <w:r w:rsidR="00112AB9">
        <w:rPr>
          <w:lang w:val="es-ES"/>
        </w:rPr>
        <w:t>.</w:t>
      </w:r>
    </w:p>
    <w:p w14:paraId="1382AB86" w14:textId="264B61F8" w:rsidR="00BA671A" w:rsidRPr="00C414E3" w:rsidRDefault="00BA671A" w:rsidP="00BA671A">
      <w:pPr>
        <w:pStyle w:val="enumlev1"/>
        <w:rPr>
          <w:lang w:val="es-ES"/>
        </w:rPr>
      </w:pPr>
      <w:r w:rsidRPr="00C414E3">
        <w:rPr>
          <w:lang w:val="es-ES"/>
        </w:rPr>
        <w:t>–</w:t>
      </w:r>
      <w:r w:rsidRPr="00C414E3">
        <w:rPr>
          <w:lang w:val="es-ES"/>
        </w:rPr>
        <w:tab/>
        <w:t xml:space="preserve">S.1328-5 </w:t>
      </w:r>
      <w:r w:rsidR="00391AF8">
        <w:rPr>
          <w:lang w:val="es-ES"/>
        </w:rPr>
        <w:t>«</w:t>
      </w:r>
      <w:r w:rsidRPr="00C414E3">
        <w:rPr>
          <w:lang w:val="es-ES"/>
        </w:rPr>
        <w:t>Características de los sistemas de satélite que se han de tener en</w:t>
      </w:r>
      <w:r>
        <w:rPr>
          <w:lang w:val="es-ES"/>
        </w:rPr>
        <w:t xml:space="preserve"> cuenta en los análisis de compartición de frecuencias del servicio fijo por satélite</w:t>
      </w:r>
      <w:r w:rsidR="00391AF8">
        <w:rPr>
          <w:lang w:val="es-ES"/>
        </w:rPr>
        <w:t>»</w:t>
      </w:r>
      <w:r w:rsidR="00112AB9">
        <w:rPr>
          <w:lang w:val="es-ES"/>
        </w:rPr>
        <w:t>.</w:t>
      </w:r>
    </w:p>
    <w:p w14:paraId="699B088C" w14:textId="77777777" w:rsidR="000F62B4" w:rsidRPr="00C414E3" w:rsidRDefault="000F62B4" w:rsidP="001F6E24">
      <w:pPr>
        <w:pStyle w:val="Headingb"/>
        <w:keepLines/>
        <w:rPr>
          <w:lang w:val="en-GB"/>
        </w:rPr>
      </w:pPr>
      <w:proofErr w:type="spellStart"/>
      <w:r w:rsidRPr="00C414E3">
        <w:rPr>
          <w:bCs/>
          <w:lang w:val="en-GB"/>
        </w:rPr>
        <w:lastRenderedPageBreak/>
        <w:t>Informes</w:t>
      </w:r>
      <w:proofErr w:type="spellEnd"/>
      <w:r w:rsidRPr="00C414E3">
        <w:rPr>
          <w:bCs/>
          <w:lang w:val="en-GB"/>
        </w:rPr>
        <w:t xml:space="preserve"> UIT-R:</w:t>
      </w:r>
    </w:p>
    <w:p w14:paraId="4F5B7F65" w14:textId="34FA3518" w:rsidR="004620F8" w:rsidRPr="00C414E3" w:rsidRDefault="004620F8" w:rsidP="004620F8">
      <w:pPr>
        <w:pStyle w:val="enumlev1"/>
        <w:rPr>
          <w:lang w:val="en-US"/>
        </w:rPr>
      </w:pPr>
      <w:r w:rsidRPr="00C414E3">
        <w:rPr>
          <w:lang w:val="en-US" w:eastAsia="ja-JP"/>
        </w:rPr>
        <w:t>–</w:t>
      </w:r>
      <w:r w:rsidRPr="00C414E3">
        <w:rPr>
          <w:lang w:val="en-US"/>
        </w:rPr>
        <w:tab/>
        <w:t>BO.2</w:t>
      </w:r>
      <w:r>
        <w:rPr>
          <w:lang w:val="en-US"/>
        </w:rPr>
        <w:t>4</w:t>
      </w:r>
      <w:r w:rsidRPr="00C414E3">
        <w:rPr>
          <w:lang w:val="en-US"/>
        </w:rPr>
        <w:t xml:space="preserve">97-1 </w:t>
      </w:r>
      <w:r w:rsidR="00391AF8" w:rsidRPr="00391AF8">
        <w:rPr>
          <w:lang w:val="en-GB"/>
        </w:rPr>
        <w:t>«</w:t>
      </w:r>
      <w:r w:rsidRPr="00C414E3">
        <w:rPr>
          <w:lang w:val="en-US"/>
        </w:rPr>
        <w:t>Characteristics and effectiveness of frequency sharing criteria for the broadcasting-satellite service in Regions 1 and 3 subject to RR Appendix 30</w:t>
      </w:r>
      <w:r w:rsidR="00391AF8" w:rsidRPr="00391AF8">
        <w:rPr>
          <w:lang w:val="en-GB"/>
        </w:rPr>
        <w:t>»</w:t>
      </w:r>
      <w:r w:rsidR="00112AB9">
        <w:rPr>
          <w:lang w:val="en-GB"/>
        </w:rPr>
        <w:t>.</w:t>
      </w:r>
    </w:p>
    <w:p w14:paraId="04332FCB" w14:textId="7DD3B6ED" w:rsidR="004620F8" w:rsidRPr="00C414E3" w:rsidRDefault="004620F8" w:rsidP="004620F8">
      <w:pPr>
        <w:pStyle w:val="enumlev1"/>
        <w:rPr>
          <w:lang w:val="en-US"/>
        </w:rPr>
      </w:pPr>
      <w:r w:rsidRPr="00C414E3">
        <w:rPr>
          <w:lang w:val="en-US"/>
        </w:rPr>
        <w:t>–</w:t>
      </w:r>
      <w:r w:rsidRPr="00C414E3">
        <w:rPr>
          <w:lang w:val="en-US"/>
        </w:rPr>
        <w:tab/>
        <w:t xml:space="preserve">M.2513-1 </w:t>
      </w:r>
      <w:r w:rsidR="00391AF8" w:rsidRPr="00391AF8">
        <w:rPr>
          <w:lang w:val="en-GB"/>
        </w:rPr>
        <w:t>«</w:t>
      </w:r>
      <w:r w:rsidRPr="00C414E3">
        <w:rPr>
          <w:lang w:val="en-US"/>
        </w:rPr>
        <w:t>Studies regarding the protection of the primary radionavigation-satellite service (space-to-Earth) by the secondary amateur and amateur-satellite services in the frequency band 1</w:t>
      </w:r>
      <w:r w:rsidR="00497682">
        <w:rPr>
          <w:lang w:val="en-US"/>
        </w:rPr>
        <w:t> </w:t>
      </w:r>
      <w:r w:rsidRPr="00C414E3">
        <w:rPr>
          <w:lang w:val="en-US"/>
        </w:rPr>
        <w:t>240-1</w:t>
      </w:r>
      <w:r w:rsidR="00497682">
        <w:rPr>
          <w:lang w:val="en-US"/>
        </w:rPr>
        <w:t> </w:t>
      </w:r>
      <w:r w:rsidRPr="00C414E3">
        <w:rPr>
          <w:lang w:val="en-US"/>
        </w:rPr>
        <w:t>300</w:t>
      </w:r>
      <w:r w:rsidR="00497682">
        <w:rPr>
          <w:lang w:val="en-US"/>
        </w:rPr>
        <w:t> </w:t>
      </w:r>
      <w:r w:rsidRPr="00C414E3">
        <w:rPr>
          <w:lang w:val="en-US"/>
        </w:rPr>
        <w:t>MHz</w:t>
      </w:r>
      <w:r w:rsidR="00391AF8" w:rsidRPr="00391AF8">
        <w:rPr>
          <w:lang w:val="en-GB"/>
        </w:rPr>
        <w:t>»</w:t>
      </w:r>
      <w:r w:rsidR="00112AB9">
        <w:rPr>
          <w:lang w:val="en-GB"/>
        </w:rPr>
        <w:t>.</w:t>
      </w:r>
    </w:p>
    <w:p w14:paraId="3ABD3A04" w14:textId="3E1DA0CD" w:rsidR="004620F8" w:rsidRPr="00C414E3" w:rsidRDefault="004620F8" w:rsidP="004620F8">
      <w:pPr>
        <w:pStyle w:val="enumlev1"/>
        <w:rPr>
          <w:lang w:val="en-US"/>
        </w:rPr>
      </w:pPr>
      <w:r w:rsidRPr="00C414E3">
        <w:rPr>
          <w:lang w:val="en-US"/>
        </w:rPr>
        <w:t>–</w:t>
      </w:r>
      <w:r w:rsidRPr="00C414E3">
        <w:rPr>
          <w:lang w:val="en-US"/>
        </w:rPr>
        <w:tab/>
        <w:t xml:space="preserve">M.2543-0 </w:t>
      </w:r>
      <w:r w:rsidR="00391AF8" w:rsidRPr="00391AF8">
        <w:rPr>
          <w:lang w:val="en-GB"/>
        </w:rPr>
        <w:t>«</w:t>
      </w:r>
      <w:r w:rsidRPr="00C414E3">
        <w:rPr>
          <w:lang w:val="en-US"/>
        </w:rPr>
        <w:t>Outcome of the evaluation, consensus building and decision of the IMT-2020 satellite process (Steps 4 to 7), including characteristics of IMT-2020 satellite radio interfaces</w:t>
      </w:r>
      <w:r w:rsidR="00391AF8" w:rsidRPr="00391AF8">
        <w:rPr>
          <w:lang w:val="en-GB"/>
        </w:rPr>
        <w:t>»</w:t>
      </w:r>
      <w:r w:rsidR="00112AB9">
        <w:rPr>
          <w:lang w:val="en-GB"/>
        </w:rPr>
        <w:t>.</w:t>
      </w:r>
    </w:p>
    <w:p w14:paraId="086778EF" w14:textId="11AEB84F" w:rsidR="004620F8" w:rsidRPr="00C414E3" w:rsidRDefault="004620F8" w:rsidP="004620F8">
      <w:pPr>
        <w:pStyle w:val="enumlev1"/>
        <w:rPr>
          <w:lang w:val="en-GB"/>
        </w:rPr>
      </w:pPr>
      <w:r w:rsidRPr="00C414E3">
        <w:rPr>
          <w:lang w:val="en-US"/>
        </w:rPr>
        <w:t>–</w:t>
      </w:r>
      <w:r w:rsidRPr="00C414E3">
        <w:rPr>
          <w:lang w:val="en-US"/>
        </w:rPr>
        <w:tab/>
        <w:t xml:space="preserve">S.2546-0 </w:t>
      </w:r>
      <w:r w:rsidR="00391AF8" w:rsidRPr="00391AF8">
        <w:rPr>
          <w:lang w:val="en-GB"/>
        </w:rPr>
        <w:t>«</w:t>
      </w:r>
      <w:r w:rsidRPr="00C414E3">
        <w:rPr>
          <w:lang w:val="en-US"/>
        </w:rPr>
        <w:t xml:space="preserve">Mitigation measures between FSS and IMT in the frequency band </w:t>
      </w:r>
      <w:r w:rsidRPr="00C414E3">
        <w:rPr>
          <w:lang w:val="en-US"/>
        </w:rPr>
        <w:br/>
        <w:t>3</w:t>
      </w:r>
      <w:r w:rsidR="00497682">
        <w:rPr>
          <w:lang w:val="en-US"/>
        </w:rPr>
        <w:t> </w:t>
      </w:r>
      <w:r w:rsidRPr="00C414E3">
        <w:rPr>
          <w:lang w:val="en-US"/>
        </w:rPr>
        <w:t>400-3</w:t>
      </w:r>
      <w:r w:rsidR="00497682">
        <w:rPr>
          <w:lang w:val="en-US"/>
        </w:rPr>
        <w:t> </w:t>
      </w:r>
      <w:r w:rsidRPr="00C414E3">
        <w:rPr>
          <w:lang w:val="en-US"/>
        </w:rPr>
        <w:t>600</w:t>
      </w:r>
      <w:r w:rsidR="00497682">
        <w:rPr>
          <w:lang w:val="en-US"/>
        </w:rPr>
        <w:t> </w:t>
      </w:r>
      <w:r w:rsidRPr="00C414E3">
        <w:rPr>
          <w:lang w:val="en-US"/>
        </w:rPr>
        <w:t>MHz</w:t>
      </w:r>
      <w:r w:rsidR="00391AF8" w:rsidRPr="00391AF8">
        <w:rPr>
          <w:lang w:val="en-GB"/>
        </w:rPr>
        <w:t>»</w:t>
      </w:r>
      <w:r w:rsidR="00112AB9">
        <w:rPr>
          <w:lang w:val="en-GB"/>
        </w:rPr>
        <w:t>.</w:t>
      </w:r>
    </w:p>
    <w:p w14:paraId="04971543" w14:textId="524CC85C" w:rsidR="004620F8" w:rsidRPr="00C414E3" w:rsidRDefault="004620F8" w:rsidP="004620F8">
      <w:pPr>
        <w:rPr>
          <w:lang w:val="es-ES" w:eastAsia="ja-JP"/>
        </w:rPr>
      </w:pPr>
      <w:r w:rsidRPr="00C414E3">
        <w:rPr>
          <w:lang w:val="es-ES" w:eastAsia="ja-JP"/>
        </w:rPr>
        <w:t>Las próximas reuniones de los GT 4A, 4B y 4C se celebrarán del 23 de ab</w:t>
      </w:r>
      <w:r>
        <w:rPr>
          <w:lang w:val="es-ES" w:eastAsia="ja-JP"/>
        </w:rPr>
        <w:t>ril al 16 de mayo de 2025 en</w:t>
      </w:r>
      <w:r w:rsidRPr="00C414E3">
        <w:rPr>
          <w:lang w:val="es-ES" w:eastAsia="ja-JP"/>
        </w:rPr>
        <w:t xml:space="preserve"> </w:t>
      </w:r>
      <w:proofErr w:type="spellStart"/>
      <w:r w:rsidRPr="00C414E3">
        <w:rPr>
          <w:lang w:val="es-ES" w:eastAsia="ja-JP"/>
        </w:rPr>
        <w:t>Shang</w:t>
      </w:r>
      <w:r>
        <w:rPr>
          <w:lang w:val="es-ES" w:eastAsia="ja-JP"/>
        </w:rPr>
        <w:t>á</w:t>
      </w:r>
      <w:r w:rsidRPr="00C414E3">
        <w:rPr>
          <w:lang w:val="es-ES" w:eastAsia="ja-JP"/>
        </w:rPr>
        <w:t>i</w:t>
      </w:r>
      <w:proofErr w:type="spellEnd"/>
      <w:r w:rsidRPr="00C414E3">
        <w:rPr>
          <w:lang w:val="es-ES" w:eastAsia="ja-JP"/>
        </w:rPr>
        <w:t xml:space="preserve">, China. </w:t>
      </w:r>
      <w:r>
        <w:rPr>
          <w:lang w:val="es-ES" w:eastAsia="ja-JP"/>
        </w:rPr>
        <w:t>La CE</w:t>
      </w:r>
      <w:r w:rsidRPr="00C414E3">
        <w:rPr>
          <w:lang w:val="es-ES" w:eastAsia="ja-JP"/>
        </w:rPr>
        <w:t xml:space="preserve"> 4 se reunirá en noviembre de 2025.</w:t>
      </w:r>
    </w:p>
    <w:bookmarkEnd w:id="16"/>
    <w:p w14:paraId="5D7FA279" w14:textId="0E5C2F48" w:rsidR="000F62B4" w:rsidRPr="006C7415" w:rsidRDefault="004620F8" w:rsidP="001F6E24">
      <w:pPr>
        <w:pStyle w:val="Heading2"/>
        <w:rPr>
          <w:lang w:val="es-ES"/>
        </w:rPr>
      </w:pPr>
      <w:r>
        <w:rPr>
          <w:bCs/>
          <w:lang w:val="es-ES"/>
        </w:rPr>
        <w:t>5</w:t>
      </w:r>
      <w:r w:rsidR="000F62B4">
        <w:rPr>
          <w:bCs/>
          <w:lang w:val="es-ES"/>
        </w:rPr>
        <w:t>4</w:t>
      </w:r>
      <w:r w:rsidR="000F62B4">
        <w:rPr>
          <w:lang w:val="es-ES"/>
        </w:rPr>
        <w:tab/>
      </w:r>
      <w:proofErr w:type="gramStart"/>
      <w:r w:rsidR="000F62B4">
        <w:rPr>
          <w:bCs/>
          <w:lang w:val="es-ES"/>
        </w:rPr>
        <w:t>Comisión</w:t>
      </w:r>
      <w:proofErr w:type="gramEnd"/>
      <w:r w:rsidR="000F62B4">
        <w:rPr>
          <w:bCs/>
          <w:lang w:val="es-ES"/>
        </w:rPr>
        <w:t xml:space="preserve"> de estudio 5</w:t>
      </w:r>
    </w:p>
    <w:p w14:paraId="0488E4C9" w14:textId="77777777" w:rsidR="000F62B4" w:rsidRPr="006C7415" w:rsidRDefault="000F62B4" w:rsidP="001F6E24">
      <w:pPr>
        <w:rPr>
          <w:lang w:val="es-ES"/>
        </w:rPr>
      </w:pPr>
      <w:r>
        <w:rPr>
          <w:lang w:val="es-ES"/>
        </w:rPr>
        <w:t xml:space="preserve">La Comisión de Estudio 5 prosigue los estudios sobre sistemas y redes para los servicios fijo, móvil (terrenal, marítimo y aeronáutico), de </w:t>
      </w:r>
      <w:proofErr w:type="spellStart"/>
      <w:r>
        <w:rPr>
          <w:lang w:val="es-ES"/>
        </w:rPr>
        <w:t>radiodeterminación</w:t>
      </w:r>
      <w:proofErr w:type="spellEnd"/>
      <w:r>
        <w:rPr>
          <w:lang w:val="es-ES"/>
        </w:rPr>
        <w:t xml:space="preserve"> (incluidos el de radiolocalización y radionavegación), de aficionados y de aficionados por satélite, abriendo camino al desarrollo continuo de todos estos servicios, incluidas las IMT, HAPS/HIBS, STI y PPDR.</w:t>
      </w:r>
    </w:p>
    <w:p w14:paraId="12BDAAEB" w14:textId="5DC561C2" w:rsidR="000F62B4" w:rsidRPr="006C7415" w:rsidRDefault="000F62B4" w:rsidP="001F6E24">
      <w:pPr>
        <w:rPr>
          <w:lang w:val="es-ES"/>
        </w:rPr>
      </w:pPr>
      <w:r>
        <w:rPr>
          <w:lang w:val="es-ES"/>
        </w:rPr>
        <w:t xml:space="preserve">La CE 5 aprobó </w:t>
      </w:r>
      <w:r w:rsidR="004620F8">
        <w:rPr>
          <w:lang w:val="es-ES"/>
        </w:rPr>
        <w:t>dos</w:t>
      </w:r>
      <w:r>
        <w:rPr>
          <w:lang w:val="es-ES"/>
        </w:rPr>
        <w:t xml:space="preserve"> nueva</w:t>
      </w:r>
      <w:r w:rsidR="004620F8">
        <w:rPr>
          <w:lang w:val="es-ES"/>
        </w:rPr>
        <w:t>s</w:t>
      </w:r>
      <w:r>
        <w:rPr>
          <w:lang w:val="es-ES"/>
        </w:rPr>
        <w:t xml:space="preserve"> Cuesti</w:t>
      </w:r>
      <w:r w:rsidR="004620F8">
        <w:rPr>
          <w:lang w:val="es-ES"/>
        </w:rPr>
        <w:t>ones</w:t>
      </w:r>
      <w:r>
        <w:rPr>
          <w:lang w:val="es-ES"/>
        </w:rPr>
        <w:t xml:space="preserve"> UIT-R. Además, se aprobaron </w:t>
      </w:r>
      <w:r w:rsidR="004620F8">
        <w:rPr>
          <w:lang w:val="es-ES"/>
        </w:rPr>
        <w:t>dos</w:t>
      </w:r>
      <w:r>
        <w:rPr>
          <w:lang w:val="es-ES"/>
        </w:rPr>
        <w:t xml:space="preserve"> Recomendaciones UIT-R revisadas</w:t>
      </w:r>
      <w:r w:rsidR="004620F8">
        <w:rPr>
          <w:lang w:val="es-ES"/>
        </w:rPr>
        <w:t>,</w:t>
      </w:r>
      <w:r>
        <w:rPr>
          <w:lang w:val="es-ES"/>
        </w:rPr>
        <w:t xml:space="preserve"> </w:t>
      </w:r>
      <w:r w:rsidR="004620F8">
        <w:rPr>
          <w:lang w:val="es-ES"/>
        </w:rPr>
        <w:t>dos</w:t>
      </w:r>
      <w:r>
        <w:rPr>
          <w:lang w:val="es-ES"/>
        </w:rPr>
        <w:t xml:space="preserve"> nuevos Informes UIT-R y </w:t>
      </w:r>
      <w:r w:rsidR="004620F8">
        <w:rPr>
          <w:lang w:val="es-ES"/>
        </w:rPr>
        <w:t>tres</w:t>
      </w:r>
      <w:r>
        <w:rPr>
          <w:lang w:val="es-ES"/>
        </w:rPr>
        <w:t xml:space="preserve"> Informes revisados pertenecientes al ámbito de competencias de la CE 5.</w:t>
      </w:r>
    </w:p>
    <w:p w14:paraId="1152C02E" w14:textId="77777777" w:rsidR="000F62B4" w:rsidRPr="006C7415" w:rsidRDefault="000F62B4" w:rsidP="001F6E24">
      <w:pPr>
        <w:pStyle w:val="Headingb"/>
        <w:rPr>
          <w:lang w:val="es-ES"/>
        </w:rPr>
      </w:pPr>
      <w:r>
        <w:rPr>
          <w:bCs/>
          <w:lang w:val="es-ES"/>
        </w:rPr>
        <w:t>Cuestiones UIT-R:</w:t>
      </w:r>
    </w:p>
    <w:p w14:paraId="1E52186B" w14:textId="4154B4F1" w:rsidR="004620F8" w:rsidRPr="00C414E3" w:rsidRDefault="004620F8" w:rsidP="004620F8">
      <w:pPr>
        <w:pStyle w:val="enumlev1"/>
        <w:rPr>
          <w:lang w:val="es-ES"/>
        </w:rPr>
      </w:pPr>
      <w:r w:rsidRPr="00C414E3">
        <w:rPr>
          <w:lang w:val="es-ES" w:eastAsia="ja-JP"/>
        </w:rPr>
        <w:t>–</w:t>
      </w:r>
      <w:r w:rsidRPr="00C414E3">
        <w:rPr>
          <w:lang w:val="es-ES" w:eastAsia="ja-JP"/>
        </w:rPr>
        <w:tab/>
        <w:t xml:space="preserve">265/5 </w:t>
      </w:r>
      <w:r w:rsidR="00391AF8" w:rsidRPr="00391AF8">
        <w:rPr>
          <w:lang w:val="es-ES"/>
        </w:rPr>
        <w:t>«</w:t>
      </w:r>
      <w:r w:rsidRPr="00C414E3">
        <w:rPr>
          <w:lang w:val="es-ES" w:eastAsia="ja-JP"/>
        </w:rPr>
        <w:t>Coexistencia del sistema de intercambio de datos en ondas mé</w:t>
      </w:r>
      <w:r>
        <w:rPr>
          <w:lang w:val="es-ES" w:eastAsia="ja-JP"/>
        </w:rPr>
        <w:t>tricas con el modo de determinación de la distancia que utiliza el sistema de intercambio de datos en ondas métricas</w:t>
      </w:r>
      <w:r w:rsidR="00391AF8">
        <w:rPr>
          <w:lang w:val="es-ES"/>
        </w:rPr>
        <w:t>»</w:t>
      </w:r>
      <w:r w:rsidR="00112AB9">
        <w:rPr>
          <w:lang w:val="es-ES"/>
        </w:rPr>
        <w:t>.</w:t>
      </w:r>
    </w:p>
    <w:p w14:paraId="4E7F8D99" w14:textId="76E16E63" w:rsidR="004620F8" w:rsidRPr="00C414E3" w:rsidRDefault="004620F8" w:rsidP="004620F8">
      <w:pPr>
        <w:pStyle w:val="enumlev1"/>
        <w:rPr>
          <w:lang w:val="es-ES" w:eastAsia="ja-JP"/>
        </w:rPr>
      </w:pPr>
      <w:r w:rsidRPr="00C414E3">
        <w:rPr>
          <w:lang w:val="es-ES"/>
        </w:rPr>
        <w:t>–</w:t>
      </w:r>
      <w:r w:rsidRPr="00C414E3">
        <w:rPr>
          <w:lang w:val="es-ES"/>
        </w:rPr>
        <w:tab/>
        <w:t xml:space="preserve">266/5 </w:t>
      </w:r>
      <w:r w:rsidR="00391AF8" w:rsidRPr="00735893">
        <w:rPr>
          <w:lang w:val="es-ES"/>
        </w:rPr>
        <w:t>«</w:t>
      </w:r>
      <w:r w:rsidRPr="00C414E3">
        <w:rPr>
          <w:lang w:val="es-ES"/>
        </w:rPr>
        <w:t>Introducción de las comunicaciones vocales digitales en los canales de fr</w:t>
      </w:r>
      <w:r>
        <w:rPr>
          <w:lang w:val="es-ES"/>
        </w:rPr>
        <w:t>ecuencias en ondas métricas marítimos</w:t>
      </w:r>
      <w:r w:rsidR="00391AF8">
        <w:rPr>
          <w:lang w:val="es-ES"/>
        </w:rPr>
        <w:t>»</w:t>
      </w:r>
      <w:r w:rsidR="00112AB9">
        <w:rPr>
          <w:lang w:val="es-ES"/>
        </w:rPr>
        <w:t>.</w:t>
      </w:r>
    </w:p>
    <w:p w14:paraId="00F128BE" w14:textId="77777777" w:rsidR="000F62B4" w:rsidRPr="006C7415" w:rsidRDefault="000F62B4" w:rsidP="001F6E24">
      <w:pPr>
        <w:pStyle w:val="Headingb"/>
        <w:rPr>
          <w:lang w:val="es-ES"/>
        </w:rPr>
      </w:pPr>
      <w:r>
        <w:rPr>
          <w:bCs/>
          <w:lang w:val="es-ES"/>
        </w:rPr>
        <w:t>Recomendaciones UIT-R:</w:t>
      </w:r>
    </w:p>
    <w:p w14:paraId="1C513B05" w14:textId="69AE4775" w:rsidR="004620F8" w:rsidRPr="00C414E3" w:rsidRDefault="004620F8" w:rsidP="004620F8">
      <w:pPr>
        <w:pStyle w:val="enumlev1"/>
        <w:rPr>
          <w:lang w:val="es-ES"/>
        </w:rPr>
      </w:pPr>
      <w:r w:rsidRPr="00C414E3">
        <w:rPr>
          <w:lang w:val="es-ES" w:eastAsia="ja-JP"/>
        </w:rPr>
        <w:t>–</w:t>
      </w:r>
      <w:r w:rsidRPr="00C414E3">
        <w:rPr>
          <w:lang w:val="es-ES"/>
        </w:rPr>
        <w:tab/>
        <w:t xml:space="preserve">F.758-8 </w:t>
      </w:r>
      <w:r w:rsidR="00A7167B" w:rsidRPr="00A7167B">
        <w:rPr>
          <w:lang w:val="es-ES"/>
        </w:rPr>
        <w:t>«</w:t>
      </w:r>
      <w:r w:rsidRPr="00C414E3">
        <w:rPr>
          <w:lang w:val="es-ES"/>
        </w:rPr>
        <w:t>Parámetros de sistema y consideraciones relativas a la elaboración de</w:t>
      </w:r>
      <w:r>
        <w:rPr>
          <w:lang w:val="es-ES"/>
        </w:rPr>
        <w:t xml:space="preserve"> </w:t>
      </w:r>
      <w:r w:rsidRPr="00C414E3">
        <w:rPr>
          <w:lang w:val="es-ES"/>
        </w:rPr>
        <w:t>criterios para la compartición o la compatibilidad entre los sistemas inalámbricos fijos di</w:t>
      </w:r>
      <w:r>
        <w:rPr>
          <w:lang w:val="es-ES"/>
        </w:rPr>
        <w:t>gitales del servicio fijo y sistemas de otros servicios y otras fuentes de interferencia</w:t>
      </w:r>
      <w:r w:rsidR="00A7167B" w:rsidRPr="00A7167B">
        <w:rPr>
          <w:lang w:val="es-ES"/>
        </w:rPr>
        <w:t>»</w:t>
      </w:r>
      <w:r w:rsidR="00112AB9">
        <w:rPr>
          <w:lang w:val="es-ES"/>
        </w:rPr>
        <w:t>.</w:t>
      </w:r>
    </w:p>
    <w:p w14:paraId="7351E4E9" w14:textId="5DF83F66" w:rsidR="004620F8" w:rsidRPr="00C414E3" w:rsidRDefault="004620F8" w:rsidP="004620F8">
      <w:pPr>
        <w:pStyle w:val="enumlev1"/>
        <w:rPr>
          <w:lang w:val="es-ES" w:eastAsia="ja-JP"/>
        </w:rPr>
      </w:pPr>
      <w:r w:rsidRPr="009E4F77">
        <w:t>–</w:t>
      </w:r>
      <w:r w:rsidRPr="009E4F77">
        <w:tab/>
        <w:t xml:space="preserve">M.1041-3 </w:t>
      </w:r>
      <w:r w:rsidR="00A7167B" w:rsidRPr="00A7167B">
        <w:rPr>
          <w:lang w:val="es-ES"/>
        </w:rPr>
        <w:t>«</w:t>
      </w:r>
      <w:r w:rsidRPr="009E4F77">
        <w:t>Futur</w:t>
      </w:r>
      <w:r>
        <w:t>os sistemas de radiocomunicaciones de aficionados</w:t>
      </w:r>
      <w:r w:rsidR="00A7167B" w:rsidRPr="00A7167B">
        <w:rPr>
          <w:lang w:val="es-ES"/>
        </w:rPr>
        <w:t>»</w:t>
      </w:r>
      <w:r w:rsidR="00112AB9">
        <w:rPr>
          <w:lang w:val="es-ES"/>
        </w:rPr>
        <w:t>.</w:t>
      </w:r>
    </w:p>
    <w:p w14:paraId="2AF25908" w14:textId="77777777" w:rsidR="000F62B4" w:rsidRPr="00C414E3" w:rsidRDefault="000F62B4" w:rsidP="001F6E24">
      <w:pPr>
        <w:pStyle w:val="Headingb"/>
        <w:rPr>
          <w:lang w:val="en-GB"/>
        </w:rPr>
      </w:pPr>
      <w:proofErr w:type="spellStart"/>
      <w:r w:rsidRPr="00C414E3">
        <w:rPr>
          <w:bCs/>
          <w:lang w:val="en-GB"/>
        </w:rPr>
        <w:t>Informes</w:t>
      </w:r>
      <w:proofErr w:type="spellEnd"/>
      <w:r w:rsidRPr="00C414E3">
        <w:rPr>
          <w:bCs/>
          <w:lang w:val="en-GB"/>
        </w:rPr>
        <w:t xml:space="preserve"> UIT-R:</w:t>
      </w:r>
    </w:p>
    <w:p w14:paraId="64C9FBB5" w14:textId="17A51B7A" w:rsidR="004620F8" w:rsidRPr="00C414E3" w:rsidRDefault="004620F8" w:rsidP="004620F8">
      <w:pPr>
        <w:pStyle w:val="enumlev1"/>
        <w:rPr>
          <w:lang w:val="en-US"/>
        </w:rPr>
      </w:pPr>
      <w:r w:rsidRPr="00C414E3">
        <w:rPr>
          <w:lang w:val="en-US" w:eastAsia="ja-JP"/>
        </w:rPr>
        <w:t>–</w:t>
      </w:r>
      <w:r w:rsidRPr="00C414E3">
        <w:rPr>
          <w:lang w:val="en-US"/>
        </w:rPr>
        <w:tab/>
        <w:t xml:space="preserve">F.2416-1 </w:t>
      </w:r>
      <w:r w:rsidR="00A7167B" w:rsidRPr="00A7167B">
        <w:rPr>
          <w:lang w:val="en-GB"/>
        </w:rPr>
        <w:t>«</w:t>
      </w:r>
      <w:r w:rsidRPr="00C414E3">
        <w:rPr>
          <w:lang w:val="en-US" w:eastAsia="ja-JP"/>
        </w:rPr>
        <w:t xml:space="preserve">Technical and operational </w:t>
      </w:r>
      <w:r w:rsidRPr="00C414E3">
        <w:rPr>
          <w:lang w:val="en-US"/>
        </w:rPr>
        <w:t>characteristics and applications of the point-to-point fixed service applications operating in the frequency band 275-</w:t>
      </w:r>
      <w:r w:rsidRPr="00112AB9">
        <w:rPr>
          <w:lang w:val="en-GB"/>
        </w:rPr>
        <w:t>450GHz</w:t>
      </w:r>
      <w:r w:rsidR="00A7167B" w:rsidRPr="00391AF8">
        <w:rPr>
          <w:lang w:val="en-GB"/>
        </w:rPr>
        <w:t>»</w:t>
      </w:r>
    </w:p>
    <w:p w14:paraId="33CA49B6" w14:textId="12DF1CDF" w:rsidR="004620F8" w:rsidRPr="00C414E3" w:rsidRDefault="004620F8" w:rsidP="004620F8">
      <w:pPr>
        <w:pStyle w:val="enumlev1"/>
        <w:rPr>
          <w:lang w:val="en-US"/>
        </w:rPr>
      </w:pPr>
      <w:r w:rsidRPr="00C414E3">
        <w:rPr>
          <w:lang w:val="en-US"/>
        </w:rPr>
        <w:t>–</w:t>
      </w:r>
      <w:r w:rsidRPr="00C414E3">
        <w:rPr>
          <w:lang w:val="en-US"/>
        </w:rPr>
        <w:tab/>
        <w:t xml:space="preserve">M.2442-1 </w:t>
      </w:r>
      <w:r w:rsidR="00A7167B" w:rsidRPr="00A7167B">
        <w:rPr>
          <w:lang w:val="en-GB"/>
        </w:rPr>
        <w:t>«</w:t>
      </w:r>
      <w:r w:rsidRPr="00C414E3">
        <w:rPr>
          <w:lang w:val="en-US"/>
        </w:rPr>
        <w:t>Current and future usage of railway radiocommunication systems between train and trackside</w:t>
      </w:r>
      <w:r w:rsidR="00A7167B" w:rsidRPr="00391AF8">
        <w:rPr>
          <w:lang w:val="en-GB"/>
        </w:rPr>
        <w:t>»</w:t>
      </w:r>
    </w:p>
    <w:p w14:paraId="727AA7BA" w14:textId="08372EBD" w:rsidR="004620F8" w:rsidRPr="00C414E3" w:rsidRDefault="004620F8" w:rsidP="004620F8">
      <w:pPr>
        <w:pStyle w:val="enumlev1"/>
        <w:rPr>
          <w:lang w:val="en-US"/>
        </w:rPr>
      </w:pPr>
      <w:r w:rsidRPr="00C414E3">
        <w:rPr>
          <w:lang w:val="en-US"/>
        </w:rPr>
        <w:t>–</w:t>
      </w:r>
      <w:r w:rsidRPr="00C414E3">
        <w:rPr>
          <w:lang w:val="en-US"/>
        </w:rPr>
        <w:tab/>
        <w:t xml:space="preserve">M.2541-0 </w:t>
      </w:r>
      <w:r w:rsidR="00A7167B" w:rsidRPr="0052511E">
        <w:rPr>
          <w:lang w:val="en-GB"/>
        </w:rPr>
        <w:t>«</w:t>
      </w:r>
      <w:r w:rsidRPr="00C414E3">
        <w:rPr>
          <w:lang w:val="en-US"/>
        </w:rPr>
        <w:t>Technical feasibility of IMT in bands above 100</w:t>
      </w:r>
      <w:r w:rsidR="0052511E">
        <w:rPr>
          <w:lang w:val="en-US"/>
        </w:rPr>
        <w:t> </w:t>
      </w:r>
      <w:r w:rsidRPr="00C414E3">
        <w:rPr>
          <w:lang w:val="en-US"/>
        </w:rPr>
        <w:t>GHz</w:t>
      </w:r>
      <w:r w:rsidR="00A7167B" w:rsidRPr="00391AF8">
        <w:rPr>
          <w:lang w:val="en-GB"/>
        </w:rPr>
        <w:t>»</w:t>
      </w:r>
    </w:p>
    <w:p w14:paraId="668177E3" w14:textId="78821A07" w:rsidR="004620F8" w:rsidRPr="00C414E3" w:rsidRDefault="004620F8" w:rsidP="004620F8">
      <w:pPr>
        <w:pStyle w:val="enumlev1"/>
        <w:rPr>
          <w:lang w:val="en-US"/>
        </w:rPr>
      </w:pPr>
      <w:r w:rsidRPr="00C414E3">
        <w:rPr>
          <w:lang w:val="en-US"/>
        </w:rPr>
        <w:t>–</w:t>
      </w:r>
      <w:r w:rsidRPr="00C414E3">
        <w:rPr>
          <w:lang w:val="en-US"/>
        </w:rPr>
        <w:tab/>
        <w:t xml:space="preserve">M.2547-0 </w:t>
      </w:r>
      <w:r w:rsidR="00A7167B" w:rsidRPr="0052511E">
        <w:rPr>
          <w:lang w:val="en-GB"/>
        </w:rPr>
        <w:t>«</w:t>
      </w:r>
      <w:r w:rsidRPr="00C414E3">
        <w:rPr>
          <w:lang w:val="en-US"/>
        </w:rPr>
        <w:t>Various aspects of non-safety aeronautical mobile service systems in the frequency bands 15</w:t>
      </w:r>
      <w:r w:rsidR="0052511E">
        <w:rPr>
          <w:lang w:val="en-US"/>
        </w:rPr>
        <w:t>,</w:t>
      </w:r>
      <w:r w:rsidRPr="00C414E3">
        <w:rPr>
          <w:lang w:val="en-US"/>
        </w:rPr>
        <w:t>4-15</w:t>
      </w:r>
      <w:r w:rsidR="0052511E">
        <w:rPr>
          <w:lang w:val="en-US"/>
        </w:rPr>
        <w:t>,</w:t>
      </w:r>
      <w:r w:rsidRPr="00C414E3">
        <w:rPr>
          <w:lang w:val="en-US"/>
        </w:rPr>
        <w:t>7 GHz and 22-22</w:t>
      </w:r>
      <w:r w:rsidR="0052511E">
        <w:rPr>
          <w:lang w:val="en-US"/>
        </w:rPr>
        <w:t>,</w:t>
      </w:r>
      <w:r w:rsidRPr="00C414E3">
        <w:rPr>
          <w:lang w:val="en-US"/>
        </w:rPr>
        <w:t>21</w:t>
      </w:r>
      <w:r w:rsidR="0052511E">
        <w:rPr>
          <w:lang w:val="en-US"/>
        </w:rPr>
        <w:t> </w:t>
      </w:r>
      <w:r w:rsidRPr="00C414E3">
        <w:rPr>
          <w:lang w:val="en-US"/>
        </w:rPr>
        <w:t>GHz</w:t>
      </w:r>
      <w:r w:rsidR="00A7167B" w:rsidRPr="00391AF8">
        <w:rPr>
          <w:lang w:val="en-GB"/>
        </w:rPr>
        <w:t>»</w:t>
      </w:r>
    </w:p>
    <w:p w14:paraId="0FE14045" w14:textId="25741118" w:rsidR="004620F8" w:rsidRPr="00C414E3" w:rsidRDefault="004620F8" w:rsidP="004620F8">
      <w:pPr>
        <w:pStyle w:val="enumlev1"/>
        <w:rPr>
          <w:lang w:val="en-US"/>
        </w:rPr>
      </w:pPr>
      <w:r w:rsidRPr="00C414E3">
        <w:rPr>
          <w:lang w:val="en-US"/>
        </w:rPr>
        <w:t>–</w:t>
      </w:r>
      <w:r w:rsidRPr="00C414E3">
        <w:rPr>
          <w:lang w:val="en-US"/>
        </w:rPr>
        <w:tab/>
        <w:t xml:space="preserve">M.2548-0 </w:t>
      </w:r>
      <w:r w:rsidR="00A7167B" w:rsidRPr="00A76996">
        <w:rPr>
          <w:lang w:val="en-GB"/>
        </w:rPr>
        <w:t>«</w:t>
      </w:r>
      <w:r w:rsidRPr="00C414E3">
        <w:rPr>
          <w:lang w:val="en-US"/>
        </w:rPr>
        <w:t>Bandwidth considerations for land mobile service applications in the frequency range 275-450</w:t>
      </w:r>
      <w:r w:rsidR="0052511E" w:rsidRPr="00A76996">
        <w:rPr>
          <w:lang w:val="en-US"/>
        </w:rPr>
        <w:t> </w:t>
      </w:r>
      <w:r w:rsidRPr="00C414E3">
        <w:rPr>
          <w:lang w:val="en-US"/>
        </w:rPr>
        <w:t>GHz</w:t>
      </w:r>
      <w:r w:rsidR="00A7167B" w:rsidRPr="00A76996">
        <w:rPr>
          <w:lang w:val="en-GB"/>
        </w:rPr>
        <w:t>»</w:t>
      </w:r>
    </w:p>
    <w:p w14:paraId="4F6B53C2" w14:textId="6918E59D" w:rsidR="004620F8" w:rsidRPr="00C414E3" w:rsidRDefault="00FC5440" w:rsidP="004620F8">
      <w:pPr>
        <w:rPr>
          <w:lang w:val="es-ES"/>
        </w:rPr>
      </w:pPr>
      <w:r w:rsidRPr="00C414E3">
        <w:rPr>
          <w:lang w:val="es-ES"/>
        </w:rPr>
        <w:lastRenderedPageBreak/>
        <w:t>Habida cuenta del elevado número de participantes y a fin de optimizar la atribución de salas de reunión, se decidió que el GT</w:t>
      </w:r>
      <w:r w:rsidR="004620F8" w:rsidRPr="00C414E3">
        <w:rPr>
          <w:lang w:val="es-ES"/>
        </w:rPr>
        <w:t xml:space="preserve"> 5B </w:t>
      </w:r>
      <w:r w:rsidRPr="00C414E3">
        <w:rPr>
          <w:lang w:val="es-ES"/>
        </w:rPr>
        <w:t>s</w:t>
      </w:r>
      <w:r>
        <w:rPr>
          <w:lang w:val="es-ES"/>
        </w:rPr>
        <w:t>e reunirá del 29 de abril al 8 de mayo de</w:t>
      </w:r>
      <w:r w:rsidR="004620F8" w:rsidRPr="00C414E3">
        <w:rPr>
          <w:lang w:val="es-ES"/>
        </w:rPr>
        <w:t xml:space="preserve"> 2025</w:t>
      </w:r>
      <w:r>
        <w:rPr>
          <w:lang w:val="es-ES"/>
        </w:rPr>
        <w:t>, a diferencia de los GT</w:t>
      </w:r>
      <w:r w:rsidR="004620F8" w:rsidRPr="00C414E3">
        <w:rPr>
          <w:lang w:val="es-ES"/>
        </w:rPr>
        <w:t xml:space="preserve"> 5A </w:t>
      </w:r>
      <w:r>
        <w:rPr>
          <w:lang w:val="es-ES"/>
        </w:rPr>
        <w:t>y</w:t>
      </w:r>
      <w:r w:rsidR="004620F8" w:rsidRPr="00C414E3">
        <w:rPr>
          <w:lang w:val="es-ES"/>
        </w:rPr>
        <w:t xml:space="preserve"> 5C</w:t>
      </w:r>
      <w:r>
        <w:rPr>
          <w:lang w:val="es-ES"/>
        </w:rPr>
        <w:t>, que se reunirán del 12 al 22 de mayo de</w:t>
      </w:r>
      <w:r w:rsidR="004620F8" w:rsidRPr="00C414E3">
        <w:rPr>
          <w:lang w:val="es-ES"/>
        </w:rPr>
        <w:t xml:space="preserve"> 2025. </w:t>
      </w:r>
      <w:r w:rsidRPr="00FC5440">
        <w:rPr>
          <w:lang w:val="es-ES"/>
        </w:rPr>
        <w:t>En</w:t>
      </w:r>
      <w:r w:rsidRPr="00C414E3">
        <w:rPr>
          <w:lang w:val="es-ES"/>
        </w:rPr>
        <w:t xml:space="preserve"> su primera reunión, en febrero de 2025, el GT 5D confirmó que su próxima reunión se celebrará, por </w:t>
      </w:r>
      <w:r>
        <w:rPr>
          <w:lang w:val="es-ES"/>
        </w:rPr>
        <w:t>amable invitación de la Administración de Japón,</w:t>
      </w:r>
      <w:r w:rsidRPr="00C414E3">
        <w:rPr>
          <w:lang w:val="es-ES"/>
        </w:rPr>
        <w:t xml:space="preserve"> en Kob</w:t>
      </w:r>
      <w:r w:rsidRPr="00FC5440">
        <w:rPr>
          <w:lang w:val="es-ES"/>
        </w:rPr>
        <w:t xml:space="preserve">e </w:t>
      </w:r>
      <w:r>
        <w:rPr>
          <w:lang w:val="es-ES"/>
        </w:rPr>
        <w:t>del 24 de junio al 3 de julio de 2025</w:t>
      </w:r>
      <w:r w:rsidR="004620F8" w:rsidRPr="00C414E3">
        <w:rPr>
          <w:lang w:val="es-ES"/>
        </w:rPr>
        <w:t>).</w:t>
      </w:r>
    </w:p>
    <w:p w14:paraId="63791842" w14:textId="48739DC9" w:rsidR="004620F8" w:rsidRPr="00C414E3" w:rsidRDefault="00FC5440" w:rsidP="004620F8">
      <w:pPr>
        <w:rPr>
          <w:lang w:val="es-ES"/>
        </w:rPr>
      </w:pPr>
      <w:r w:rsidRPr="00C414E3">
        <w:rPr>
          <w:lang w:val="es-ES"/>
        </w:rPr>
        <w:t>Los delegados participantes en la CE</w:t>
      </w:r>
      <w:r w:rsidR="00112AB9">
        <w:rPr>
          <w:lang w:val="es-ES"/>
        </w:rPr>
        <w:t xml:space="preserve"> </w:t>
      </w:r>
      <w:r w:rsidRPr="00C414E3">
        <w:rPr>
          <w:lang w:val="es-ES"/>
        </w:rPr>
        <w:t>5 se dijeron inquietos por la imposibilidad de evitar los solapamientos d</w:t>
      </w:r>
      <w:r>
        <w:rPr>
          <w:lang w:val="es-ES"/>
        </w:rPr>
        <w:t xml:space="preserve">e sus reuniones con las de otros grupos en 2024. </w:t>
      </w:r>
      <w:r w:rsidRPr="00FC5440">
        <w:rPr>
          <w:lang w:val="es-ES"/>
        </w:rPr>
        <w:t>Entre otras cosas, uno de los motivos</w:t>
      </w:r>
      <w:r w:rsidRPr="00C414E3">
        <w:rPr>
          <w:lang w:val="es-ES"/>
        </w:rPr>
        <w:t xml:space="preserve"> para ello fue la duración global del bloque de </w:t>
      </w:r>
      <w:r>
        <w:rPr>
          <w:lang w:val="es-ES"/>
        </w:rPr>
        <w:t>reuniones de la CE4, que se prolongó varios días, por lo que inevitablemente se solapó con otras reuniones planificadas con antelación</w:t>
      </w:r>
      <w:r w:rsidR="004620F8" w:rsidRPr="00C414E3">
        <w:rPr>
          <w:lang w:val="es-ES"/>
        </w:rPr>
        <w:t>.</w:t>
      </w:r>
    </w:p>
    <w:p w14:paraId="06B4B8A4" w14:textId="7EC7823D" w:rsidR="000F62B4" w:rsidRPr="006C7415" w:rsidRDefault="00FC5440" w:rsidP="001F6E24">
      <w:pPr>
        <w:pStyle w:val="Heading2"/>
        <w:rPr>
          <w:lang w:val="es-ES"/>
        </w:rPr>
      </w:pPr>
      <w:r>
        <w:rPr>
          <w:bCs/>
          <w:lang w:val="es-ES"/>
        </w:rPr>
        <w:t>5</w:t>
      </w:r>
      <w:r w:rsidR="000F62B4">
        <w:rPr>
          <w:bCs/>
          <w:lang w:val="es-ES"/>
        </w:rPr>
        <w:t>.5</w:t>
      </w:r>
      <w:r w:rsidR="000F62B4">
        <w:rPr>
          <w:lang w:val="es-ES"/>
        </w:rPr>
        <w:tab/>
      </w:r>
      <w:r w:rsidR="000F62B4">
        <w:rPr>
          <w:bCs/>
          <w:lang w:val="es-ES"/>
        </w:rPr>
        <w:t>Comisión de estudio 6</w:t>
      </w:r>
    </w:p>
    <w:p w14:paraId="5E1C3143" w14:textId="77777777" w:rsidR="000F62B4" w:rsidRPr="006C7415" w:rsidRDefault="000F62B4" w:rsidP="001F6E24">
      <w:pPr>
        <w:rPr>
          <w:lang w:val="es-ES"/>
        </w:rPr>
      </w:pPr>
      <w:r>
        <w:rPr>
          <w:lang w:val="es-ES"/>
        </w:rPr>
        <w:t>La Comisión de Estudio 6 prosigue sus estudios sobre radiodifusión de radiocomunicaciones, en particular sobre temas incipientes, incluidas las tecnologías avanzadas para la radiodifusión digital terrenal, una plataforma mundial para el servicio de radiodifusión, televisión de elevada gama dinámica (HDR-TV), la radiodifusión y la banda ancha integradas (IBB), nuevos códecs de audio y vídeo para la radiodifusión digital, los sistemas audiovisuales de inmersión avanzados (AIAV), especificaciones de reproductor para los sistemas avanzados de sonido, las aplicaciones de inteligencia artificial para la radiodifusión la accesibilidad audiovisual (AVA).</w:t>
      </w:r>
    </w:p>
    <w:p w14:paraId="7A9AAE54" w14:textId="26D984C3" w:rsidR="000F62B4" w:rsidRPr="006C7415" w:rsidRDefault="000F62B4" w:rsidP="001F6E24">
      <w:pPr>
        <w:rPr>
          <w:rFonts w:asciiTheme="majorBidi" w:hAnsiTheme="majorBidi" w:cstheme="majorBidi"/>
          <w:color w:val="000000"/>
          <w:lang w:val="es-ES"/>
        </w:rPr>
      </w:pPr>
      <w:r>
        <w:rPr>
          <w:lang w:val="es-ES"/>
        </w:rPr>
        <w:t>La Comisión de Estudio 6 también ha coordinado activamente los trabajos de interés mutuo con las CE</w:t>
      </w:r>
      <w:r w:rsidR="001F6E24">
        <w:rPr>
          <w:lang w:val="es-ES"/>
        </w:rPr>
        <w:t> </w:t>
      </w:r>
      <w:r w:rsidR="00FC5440">
        <w:rPr>
          <w:lang w:val="es-ES"/>
        </w:rPr>
        <w:t xml:space="preserve">21 (anteriormente Comisiones de Estudio </w:t>
      </w:r>
      <w:r>
        <w:rPr>
          <w:lang w:val="es-ES"/>
        </w:rPr>
        <w:t>9 y 16 del UIT-T</w:t>
      </w:r>
      <w:r w:rsidR="00FC5440">
        <w:rPr>
          <w:lang w:val="es-ES"/>
        </w:rPr>
        <w:t>)</w:t>
      </w:r>
      <w:r>
        <w:rPr>
          <w:lang w:val="es-ES"/>
        </w:rPr>
        <w:t xml:space="preserve"> </w:t>
      </w:r>
      <w:r w:rsidR="00FC5440">
        <w:rPr>
          <w:lang w:val="es-ES"/>
        </w:rPr>
        <w:t xml:space="preserve">y CE 12 </w:t>
      </w:r>
      <w:r>
        <w:rPr>
          <w:lang w:val="es-ES"/>
        </w:rPr>
        <w:t>a través del Grupo de Relator Intersectorial (GRI) sobre accesibilidad a los medios audiovisuales (IRG-AVA)</w:t>
      </w:r>
      <w:r w:rsidR="00FC5440">
        <w:rPr>
          <w:lang w:val="es-ES"/>
        </w:rPr>
        <w:t xml:space="preserve"> y el Grupo de Relator Intersectorial sobre evaluación de la calidad audiovisual (IRG-AVQA), respectivamente</w:t>
      </w:r>
      <w:r>
        <w:rPr>
          <w:lang w:val="es-ES"/>
        </w:rPr>
        <w:t>.</w:t>
      </w:r>
    </w:p>
    <w:p w14:paraId="1B1EC84D" w14:textId="4C58EB5B" w:rsidR="000F62B4" w:rsidRPr="006C7415" w:rsidRDefault="000F62B4" w:rsidP="001F6E24">
      <w:pPr>
        <w:rPr>
          <w:lang w:val="es-ES"/>
        </w:rPr>
      </w:pPr>
      <w:r>
        <w:rPr>
          <w:lang w:val="es-ES"/>
        </w:rPr>
        <w:t>La CE 6 aprobó desde el GAR-2</w:t>
      </w:r>
      <w:r w:rsidR="00FC5440">
        <w:rPr>
          <w:lang w:val="es-ES"/>
        </w:rPr>
        <w:t>4</w:t>
      </w:r>
      <w:r>
        <w:rPr>
          <w:lang w:val="es-ES"/>
        </w:rPr>
        <w:t xml:space="preserve"> </w:t>
      </w:r>
      <w:r w:rsidR="00FC5440">
        <w:rPr>
          <w:lang w:val="es-ES"/>
        </w:rPr>
        <w:t xml:space="preserve">una nueva </w:t>
      </w:r>
      <w:r>
        <w:rPr>
          <w:lang w:val="es-ES"/>
        </w:rPr>
        <w:t>Cuesti</w:t>
      </w:r>
      <w:r w:rsidR="00FC5440">
        <w:rPr>
          <w:lang w:val="es-ES"/>
        </w:rPr>
        <w:t>ó</w:t>
      </w:r>
      <w:r>
        <w:rPr>
          <w:lang w:val="es-ES"/>
        </w:rPr>
        <w:t>n UIT-R</w:t>
      </w:r>
      <w:r w:rsidR="00FC5440">
        <w:rPr>
          <w:lang w:val="es-ES"/>
        </w:rPr>
        <w:t xml:space="preserve">, tres Recomendaciones UIT-R nuevas y siete revisadas, además de cinco nuevos Informes UIT-R y 15 revisados. La CE6 adoptó el proyecto de revisión de la Recomendación UIT-R BT.1774-2, que está en fase de aprobación por los Miembros. </w:t>
      </w:r>
      <w:r>
        <w:rPr>
          <w:lang w:val="es-ES"/>
        </w:rPr>
        <w:t>Además, se actualiz</w:t>
      </w:r>
      <w:r w:rsidR="00FC5440">
        <w:rPr>
          <w:lang w:val="es-ES"/>
        </w:rPr>
        <w:t>ó la Recomendación UIT-R BT.500-15</w:t>
      </w:r>
      <w:r>
        <w:rPr>
          <w:lang w:val="es-ES"/>
        </w:rPr>
        <w:t>. La CE 6 también aprobó la supresión de dos Cuestiones UIT-R.</w:t>
      </w:r>
    </w:p>
    <w:p w14:paraId="06F6E826" w14:textId="77777777" w:rsidR="000F62B4" w:rsidRPr="006C7415" w:rsidRDefault="000F62B4" w:rsidP="001F6E24">
      <w:pPr>
        <w:pStyle w:val="Headingb"/>
        <w:rPr>
          <w:lang w:val="es-ES"/>
        </w:rPr>
      </w:pPr>
      <w:r w:rsidRPr="00605005">
        <w:rPr>
          <w:bCs/>
          <w:lang w:val="es-ES"/>
        </w:rPr>
        <w:t>Cuestiones UIT-R:</w:t>
      </w:r>
    </w:p>
    <w:p w14:paraId="02177D06" w14:textId="12524FCE" w:rsidR="00335C08" w:rsidRPr="00C414E3" w:rsidRDefault="00335C08" w:rsidP="00335C08">
      <w:pPr>
        <w:pStyle w:val="enumlev1"/>
        <w:ind w:hanging="567"/>
        <w:jc w:val="both"/>
        <w:rPr>
          <w:lang w:val="es-ES"/>
        </w:rPr>
      </w:pPr>
      <w:r w:rsidRPr="00C414E3">
        <w:rPr>
          <w:lang w:val="es-ES"/>
        </w:rPr>
        <w:t>–</w:t>
      </w:r>
      <w:r w:rsidRPr="00C414E3">
        <w:rPr>
          <w:lang w:val="es-ES"/>
        </w:rPr>
        <w:tab/>
        <w:t xml:space="preserve">148/6 </w:t>
      </w:r>
      <w:r w:rsidR="00605005" w:rsidRPr="00605005">
        <w:rPr>
          <w:lang w:val="es-ES"/>
        </w:rPr>
        <w:t>«</w:t>
      </w:r>
      <w:r w:rsidRPr="00C414E3">
        <w:rPr>
          <w:lang w:val="es-ES"/>
        </w:rPr>
        <w:t>Evolución de los sistemas sonoros para la radiodifu</w:t>
      </w:r>
      <w:r>
        <w:rPr>
          <w:lang w:val="es-ES"/>
        </w:rPr>
        <w:t>sión</w:t>
      </w:r>
      <w:r w:rsidR="00605005" w:rsidRPr="00605005">
        <w:rPr>
          <w:lang w:val="es-ES"/>
        </w:rPr>
        <w:t>»</w:t>
      </w:r>
    </w:p>
    <w:p w14:paraId="3FF84A57" w14:textId="77777777" w:rsidR="000F62B4" w:rsidRPr="006C7415" w:rsidRDefault="000F62B4" w:rsidP="001F6E24">
      <w:pPr>
        <w:pStyle w:val="Headingb"/>
        <w:rPr>
          <w:lang w:val="es-ES"/>
        </w:rPr>
      </w:pPr>
      <w:r>
        <w:rPr>
          <w:bCs/>
          <w:lang w:val="es-ES"/>
        </w:rPr>
        <w:t>Recomendaciones UIT-R:</w:t>
      </w:r>
    </w:p>
    <w:p w14:paraId="6B86568F" w14:textId="0D9C8397" w:rsidR="00335C08" w:rsidRPr="00C414E3" w:rsidRDefault="00335C08" w:rsidP="00335C08">
      <w:pPr>
        <w:pStyle w:val="enumlev1"/>
        <w:rPr>
          <w:lang w:val="es-ES"/>
        </w:rPr>
      </w:pPr>
      <w:r w:rsidRPr="00C414E3">
        <w:rPr>
          <w:lang w:val="es-ES" w:eastAsia="ja-JP"/>
        </w:rPr>
        <w:t>–</w:t>
      </w:r>
      <w:r w:rsidRPr="00C414E3">
        <w:rPr>
          <w:lang w:val="es-ES"/>
        </w:rPr>
        <w:tab/>
        <w:t xml:space="preserve">BS.2076-3 </w:t>
      </w:r>
      <w:r w:rsidR="00605005" w:rsidRPr="00605005">
        <w:rPr>
          <w:lang w:val="es-ES"/>
        </w:rPr>
        <w:t>«</w:t>
      </w:r>
      <w:r w:rsidRPr="00C414E3">
        <w:rPr>
          <w:lang w:val="es-ES"/>
        </w:rPr>
        <w:t>Modelo de Definición de Audio</w:t>
      </w:r>
      <w:r w:rsidR="00605005" w:rsidRPr="00605005">
        <w:rPr>
          <w:lang w:val="es-ES"/>
        </w:rPr>
        <w:t>»</w:t>
      </w:r>
    </w:p>
    <w:p w14:paraId="1BB392FA" w14:textId="5190F417" w:rsidR="00335C08" w:rsidRPr="00C414E3" w:rsidRDefault="00335C08" w:rsidP="00335C08">
      <w:pPr>
        <w:pStyle w:val="enumlev1"/>
        <w:rPr>
          <w:lang w:val="es-ES"/>
        </w:rPr>
      </w:pPr>
      <w:r w:rsidRPr="00C414E3">
        <w:rPr>
          <w:lang w:val="es-ES"/>
        </w:rPr>
        <w:t>–</w:t>
      </w:r>
      <w:r w:rsidRPr="00C414E3">
        <w:rPr>
          <w:lang w:val="es-ES"/>
        </w:rPr>
        <w:tab/>
        <w:t xml:space="preserve">BS.2094-2 </w:t>
      </w:r>
      <w:r w:rsidR="00605005" w:rsidRPr="00605005">
        <w:rPr>
          <w:lang w:val="es-ES"/>
        </w:rPr>
        <w:t>«</w:t>
      </w:r>
      <w:r w:rsidRPr="00C414E3">
        <w:rPr>
          <w:lang w:val="es-ES"/>
        </w:rPr>
        <w:t>Definiciones comunes para el M</w:t>
      </w:r>
      <w:r>
        <w:rPr>
          <w:lang w:val="es-ES"/>
        </w:rPr>
        <w:t>odelo de Definición de Audio</w:t>
      </w:r>
      <w:r w:rsidR="00605005" w:rsidRPr="00605005">
        <w:rPr>
          <w:lang w:val="es-ES"/>
        </w:rPr>
        <w:t>»</w:t>
      </w:r>
      <w:r w:rsidR="00605005">
        <w:rPr>
          <w:lang w:val="es-ES"/>
        </w:rPr>
        <w:t>.</w:t>
      </w:r>
    </w:p>
    <w:p w14:paraId="531A515E" w14:textId="5F71BF24" w:rsidR="00335C08" w:rsidRPr="00C414E3" w:rsidRDefault="00335C08" w:rsidP="00335C08">
      <w:pPr>
        <w:pStyle w:val="enumlev1"/>
        <w:rPr>
          <w:lang w:val="en-US"/>
        </w:rPr>
      </w:pPr>
      <w:r w:rsidRPr="00C414E3">
        <w:rPr>
          <w:lang w:val="en-US"/>
        </w:rPr>
        <w:t>–</w:t>
      </w:r>
      <w:r w:rsidRPr="00C414E3">
        <w:rPr>
          <w:lang w:val="en-US"/>
        </w:rPr>
        <w:tab/>
        <w:t xml:space="preserve">BS.2168-0 </w:t>
      </w:r>
      <w:r w:rsidR="00605005" w:rsidRPr="00A76996">
        <w:rPr>
          <w:lang w:val="en-GB"/>
        </w:rPr>
        <w:t>«</w:t>
      </w:r>
      <w:r w:rsidRPr="00C414E3">
        <w:rPr>
          <w:lang w:val="en-US"/>
        </w:rPr>
        <w:t>Audio definition model and serial representation of audio definition model profile for advanced sound systems emission</w:t>
      </w:r>
      <w:r w:rsidR="00605005" w:rsidRPr="00391AF8">
        <w:rPr>
          <w:lang w:val="en-GB"/>
        </w:rPr>
        <w:t>»</w:t>
      </w:r>
      <w:r w:rsidR="00605005">
        <w:rPr>
          <w:lang w:val="en-GB"/>
        </w:rPr>
        <w:t>.</w:t>
      </w:r>
    </w:p>
    <w:p w14:paraId="33B0671B" w14:textId="5B0DE10C" w:rsidR="00335C08" w:rsidRPr="00C414E3" w:rsidRDefault="00335C08" w:rsidP="00335C08">
      <w:pPr>
        <w:pStyle w:val="enumlev1"/>
        <w:rPr>
          <w:lang w:val="es-ES"/>
        </w:rPr>
      </w:pPr>
      <w:r w:rsidRPr="00C414E3">
        <w:rPr>
          <w:lang w:val="es-ES"/>
        </w:rPr>
        <w:t>–</w:t>
      </w:r>
      <w:r w:rsidRPr="00C414E3">
        <w:rPr>
          <w:lang w:val="es-ES"/>
        </w:rPr>
        <w:tab/>
        <w:t xml:space="preserve">BT.1662-1 </w:t>
      </w:r>
      <w:r w:rsidR="00605005" w:rsidRPr="00605005">
        <w:rPr>
          <w:lang w:val="es-ES"/>
        </w:rPr>
        <w:t>«</w:t>
      </w:r>
      <w:r w:rsidRPr="00C414E3">
        <w:rPr>
          <w:lang w:val="es-ES"/>
        </w:rPr>
        <w:t>Cadena de referencia general y gestión del margen de tratamiento ulterior de la esencia del programa en aplicaciones d</w:t>
      </w:r>
      <w:r>
        <w:rPr>
          <w:lang w:val="es-ES"/>
        </w:rPr>
        <w:t>e imágenes digitales en pantalla grande</w:t>
      </w:r>
      <w:r w:rsidR="00605005" w:rsidRPr="00605005">
        <w:rPr>
          <w:lang w:val="es-ES"/>
        </w:rPr>
        <w:t>»</w:t>
      </w:r>
      <w:r w:rsidR="00605005">
        <w:rPr>
          <w:lang w:val="es-ES"/>
        </w:rPr>
        <w:t>.</w:t>
      </w:r>
    </w:p>
    <w:p w14:paraId="11703620" w14:textId="3872DFB9" w:rsidR="00335C08" w:rsidRPr="00C414E3" w:rsidRDefault="00335C08" w:rsidP="00335C08">
      <w:pPr>
        <w:pStyle w:val="enumlev1"/>
        <w:rPr>
          <w:lang w:val="es-ES"/>
        </w:rPr>
      </w:pPr>
      <w:r w:rsidRPr="00C414E3">
        <w:rPr>
          <w:lang w:val="es-ES"/>
        </w:rPr>
        <w:t>–</w:t>
      </w:r>
      <w:r w:rsidRPr="00C414E3">
        <w:rPr>
          <w:lang w:val="es-ES"/>
        </w:rPr>
        <w:tab/>
        <w:t xml:space="preserve">BT.1666-1 </w:t>
      </w:r>
      <w:r w:rsidR="00605005" w:rsidRPr="00605005">
        <w:rPr>
          <w:lang w:val="es-ES"/>
        </w:rPr>
        <w:t>«</w:t>
      </w:r>
      <w:r w:rsidRPr="00C414E3">
        <w:rPr>
          <w:lang w:val="es-ES"/>
        </w:rPr>
        <w:t>R</w:t>
      </w:r>
      <w:r>
        <w:rPr>
          <w:lang w:val="es-ES"/>
        </w:rPr>
        <w:t>e</w:t>
      </w:r>
      <w:r w:rsidRPr="00C414E3">
        <w:rPr>
          <w:lang w:val="es-ES"/>
        </w:rPr>
        <w:t>quisitos de usuario para aplicaciones de imág</w:t>
      </w:r>
      <w:r>
        <w:rPr>
          <w:lang w:val="es-ES"/>
        </w:rPr>
        <w:t>e</w:t>
      </w:r>
      <w:r w:rsidRPr="00C414E3">
        <w:rPr>
          <w:lang w:val="es-ES"/>
        </w:rPr>
        <w:t>nes digitales en gran pa</w:t>
      </w:r>
      <w:r>
        <w:rPr>
          <w:lang w:val="es-ES"/>
        </w:rPr>
        <w:t>ntalla destinadas a su presentación en salas de cine</w:t>
      </w:r>
      <w:r w:rsidR="00605005" w:rsidRPr="00605005">
        <w:rPr>
          <w:lang w:val="es-ES"/>
        </w:rPr>
        <w:t>»</w:t>
      </w:r>
      <w:r w:rsidR="00605005">
        <w:rPr>
          <w:lang w:val="es-ES"/>
        </w:rPr>
        <w:t>.</w:t>
      </w:r>
    </w:p>
    <w:p w14:paraId="18D92FC3" w14:textId="666434E2" w:rsidR="00335C08" w:rsidRPr="00C414E3" w:rsidRDefault="00335C08" w:rsidP="00335C08">
      <w:pPr>
        <w:pStyle w:val="enumlev1"/>
        <w:rPr>
          <w:lang w:val="es-ES"/>
        </w:rPr>
      </w:pPr>
      <w:r w:rsidRPr="00C414E3">
        <w:rPr>
          <w:lang w:val="es-ES"/>
        </w:rPr>
        <w:t>–</w:t>
      </w:r>
      <w:r w:rsidRPr="00C414E3">
        <w:rPr>
          <w:lang w:val="es-ES"/>
        </w:rPr>
        <w:tab/>
        <w:t xml:space="preserve">BT.2016-4 </w:t>
      </w:r>
      <w:r w:rsidR="00605005" w:rsidRPr="00605005">
        <w:rPr>
          <w:lang w:val="es-ES"/>
        </w:rPr>
        <w:t>«</w:t>
      </w:r>
      <w:r w:rsidRPr="00C414E3">
        <w:rPr>
          <w:lang w:val="es-ES"/>
        </w:rPr>
        <w:t>Métodos de corrección de</w:t>
      </w:r>
      <w:r>
        <w:rPr>
          <w:lang w:val="es-ES"/>
        </w:rPr>
        <w:t xml:space="preserve"> </w:t>
      </w:r>
      <w:r w:rsidRPr="00C414E3">
        <w:rPr>
          <w:lang w:val="es-ES"/>
        </w:rPr>
        <w:t>errores, configuración de</w:t>
      </w:r>
      <w:r>
        <w:rPr>
          <w:lang w:val="es-ES"/>
        </w:rPr>
        <w:t xml:space="preserve"> </w:t>
      </w:r>
      <w:r w:rsidRPr="00C414E3">
        <w:rPr>
          <w:lang w:val="es-ES"/>
        </w:rPr>
        <w:t xml:space="preserve">la trama de datos, </w:t>
      </w:r>
      <w:r>
        <w:rPr>
          <w:lang w:val="es-ES"/>
        </w:rPr>
        <w:t>modulación y emisión para la radiodifusión terrenal de multimedios a efectos de la recepción móvil mediante receptores manuales en las bandas de ondas métricas/</w:t>
      </w:r>
      <w:proofErr w:type="spellStart"/>
      <w:r>
        <w:rPr>
          <w:lang w:val="es-ES"/>
        </w:rPr>
        <w:t>decimétricas</w:t>
      </w:r>
      <w:proofErr w:type="spellEnd"/>
      <w:r w:rsidR="00605005" w:rsidRPr="00605005">
        <w:rPr>
          <w:lang w:val="es-ES"/>
        </w:rPr>
        <w:t>»</w:t>
      </w:r>
      <w:r w:rsidR="00605005">
        <w:rPr>
          <w:lang w:val="es-ES"/>
        </w:rPr>
        <w:t>.</w:t>
      </w:r>
    </w:p>
    <w:p w14:paraId="5F09FFEA" w14:textId="73B5FDF4" w:rsidR="00335C08" w:rsidRPr="00C414E3" w:rsidRDefault="00335C08" w:rsidP="00335C08">
      <w:pPr>
        <w:pStyle w:val="enumlev1"/>
        <w:rPr>
          <w:lang w:val="es-ES"/>
        </w:rPr>
      </w:pPr>
      <w:r w:rsidRPr="00C414E3">
        <w:rPr>
          <w:lang w:val="es-ES"/>
        </w:rPr>
        <w:t>–</w:t>
      </w:r>
      <w:r w:rsidRPr="00C414E3">
        <w:rPr>
          <w:lang w:val="es-ES"/>
        </w:rPr>
        <w:tab/>
        <w:t xml:space="preserve">BT.2100-3 </w:t>
      </w:r>
      <w:r w:rsidR="00605005" w:rsidRPr="00605005">
        <w:rPr>
          <w:lang w:val="es-ES"/>
        </w:rPr>
        <w:t>«</w:t>
      </w:r>
      <w:r w:rsidRPr="00C414E3">
        <w:rPr>
          <w:lang w:val="es-ES"/>
        </w:rPr>
        <w:t>Valores de los parámetros de imagen d</w:t>
      </w:r>
      <w:r>
        <w:rPr>
          <w:lang w:val="es-ES"/>
        </w:rPr>
        <w:t>e los sistemas de televisión de elevada gama dinámica para la producción y el intercambio internacional de programas</w:t>
      </w:r>
      <w:r w:rsidR="00605005" w:rsidRPr="00605005">
        <w:rPr>
          <w:lang w:val="es-ES"/>
        </w:rPr>
        <w:t>»</w:t>
      </w:r>
      <w:r w:rsidR="00605005">
        <w:rPr>
          <w:lang w:val="es-ES"/>
        </w:rPr>
        <w:t>.</w:t>
      </w:r>
    </w:p>
    <w:p w14:paraId="1DAB9711" w14:textId="2673393A" w:rsidR="00335C08" w:rsidRPr="00C414E3" w:rsidRDefault="00335C08" w:rsidP="00335C08">
      <w:pPr>
        <w:pStyle w:val="enumlev1"/>
        <w:rPr>
          <w:lang w:val="es-ES"/>
        </w:rPr>
      </w:pPr>
      <w:r w:rsidRPr="00C414E3">
        <w:rPr>
          <w:lang w:val="es-ES"/>
        </w:rPr>
        <w:lastRenderedPageBreak/>
        <w:t>–</w:t>
      </w:r>
      <w:r w:rsidRPr="00C414E3">
        <w:rPr>
          <w:lang w:val="es-ES"/>
        </w:rPr>
        <w:tab/>
        <w:t xml:space="preserve">BT.2123-1 </w:t>
      </w:r>
      <w:r w:rsidR="00605005" w:rsidRPr="00605005">
        <w:rPr>
          <w:lang w:val="es-ES"/>
        </w:rPr>
        <w:t>«</w:t>
      </w:r>
      <w:r w:rsidRPr="00C414E3">
        <w:rPr>
          <w:lang w:val="es-ES"/>
        </w:rPr>
        <w:t>Valores de parámetros de vídeo de los sistemas a</w:t>
      </w:r>
      <w:r w:rsidRPr="00335C08">
        <w:rPr>
          <w:lang w:val="es-ES"/>
        </w:rPr>
        <w:t>udiov</w:t>
      </w:r>
      <w:r w:rsidRPr="00C414E3">
        <w:rPr>
          <w:lang w:val="es-ES"/>
        </w:rPr>
        <w:t>isuales in</w:t>
      </w:r>
      <w:r>
        <w:rPr>
          <w:lang w:val="es-ES"/>
        </w:rPr>
        <w:t>mersivos avanzados para la producción y el intercambio internacional de programas en el ámbito de la radiodifusión</w:t>
      </w:r>
      <w:r w:rsidR="00605005" w:rsidRPr="00605005">
        <w:rPr>
          <w:lang w:val="es-ES"/>
        </w:rPr>
        <w:t>»</w:t>
      </w:r>
      <w:r w:rsidR="00605005">
        <w:rPr>
          <w:lang w:val="es-ES"/>
        </w:rPr>
        <w:t>.</w:t>
      </w:r>
    </w:p>
    <w:p w14:paraId="5ACF1F98" w14:textId="3EC60A1E" w:rsidR="00335C08" w:rsidRPr="00C414E3" w:rsidRDefault="00335C08" w:rsidP="00335C08">
      <w:pPr>
        <w:pStyle w:val="enumlev1"/>
        <w:rPr>
          <w:lang w:val="en-US"/>
        </w:rPr>
      </w:pPr>
      <w:r w:rsidRPr="00C414E3">
        <w:rPr>
          <w:lang w:val="en-US"/>
        </w:rPr>
        <w:t>–</w:t>
      </w:r>
      <w:r w:rsidRPr="00C414E3">
        <w:rPr>
          <w:lang w:val="en-US"/>
        </w:rPr>
        <w:tab/>
        <w:t xml:space="preserve">BT.2166-0 </w:t>
      </w:r>
      <w:r w:rsidR="00605005" w:rsidRPr="00A76996">
        <w:rPr>
          <w:lang w:val="en-GB"/>
        </w:rPr>
        <w:t>«</w:t>
      </w:r>
      <w:r w:rsidRPr="00C414E3">
        <w:rPr>
          <w:lang w:val="en-US"/>
        </w:rPr>
        <w:t>Viewing conditions for high dynamic range and standard dynamic range monitoring in close proximity within a single-master high dynamic range production environment</w:t>
      </w:r>
      <w:r w:rsidR="00605005" w:rsidRPr="00391AF8">
        <w:rPr>
          <w:lang w:val="en-GB"/>
        </w:rPr>
        <w:t>»</w:t>
      </w:r>
      <w:r w:rsidR="00605005">
        <w:rPr>
          <w:lang w:val="en-GB"/>
        </w:rPr>
        <w:t>.</w:t>
      </w:r>
    </w:p>
    <w:p w14:paraId="56FC01CE" w14:textId="113FEC6D" w:rsidR="00335C08" w:rsidRPr="00BE6491" w:rsidRDefault="00335C08" w:rsidP="00335C08">
      <w:pPr>
        <w:pStyle w:val="enumlev1"/>
        <w:rPr>
          <w:lang w:val="en-US"/>
        </w:rPr>
      </w:pPr>
      <w:r w:rsidRPr="00C414E3">
        <w:rPr>
          <w:lang w:val="en-US"/>
        </w:rPr>
        <w:t>–</w:t>
      </w:r>
      <w:r w:rsidRPr="00C414E3">
        <w:rPr>
          <w:lang w:val="en-US"/>
        </w:rPr>
        <w:tab/>
        <w:t xml:space="preserve">BT.2167-0 </w:t>
      </w:r>
      <w:r w:rsidR="00605005" w:rsidRPr="00A76996">
        <w:rPr>
          <w:lang w:val="en-GB"/>
        </w:rPr>
        <w:t>«</w:t>
      </w:r>
      <w:r w:rsidRPr="00C414E3">
        <w:rPr>
          <w:lang w:val="en-US"/>
        </w:rPr>
        <w:t>A framework for content-adaptive methods for reduction of energy consumption in television displays</w:t>
      </w:r>
      <w:r w:rsidR="00605005" w:rsidRPr="00391AF8">
        <w:rPr>
          <w:lang w:val="en-GB"/>
        </w:rPr>
        <w:t>»</w:t>
      </w:r>
      <w:r w:rsidR="00605005">
        <w:rPr>
          <w:lang w:val="en-GB"/>
        </w:rPr>
        <w:t>.</w:t>
      </w:r>
    </w:p>
    <w:p w14:paraId="63068C6A" w14:textId="77777777" w:rsidR="000F62B4" w:rsidRPr="00C414E3" w:rsidRDefault="000F62B4" w:rsidP="001F6E24">
      <w:pPr>
        <w:pStyle w:val="Headingb"/>
        <w:rPr>
          <w:lang w:val="en-GB"/>
        </w:rPr>
      </w:pPr>
      <w:proofErr w:type="spellStart"/>
      <w:r w:rsidRPr="00C414E3">
        <w:rPr>
          <w:bCs/>
          <w:lang w:val="en-GB"/>
        </w:rPr>
        <w:t>Informes</w:t>
      </w:r>
      <w:proofErr w:type="spellEnd"/>
      <w:r w:rsidRPr="00C414E3">
        <w:rPr>
          <w:bCs/>
          <w:lang w:val="en-GB"/>
        </w:rPr>
        <w:t xml:space="preserve"> UIT-R:</w:t>
      </w:r>
    </w:p>
    <w:p w14:paraId="41C42863" w14:textId="78E8A111" w:rsidR="00335C08" w:rsidRPr="00C414E3" w:rsidRDefault="00335C08" w:rsidP="00335C08">
      <w:pPr>
        <w:pStyle w:val="enumlev1"/>
        <w:rPr>
          <w:lang w:val="en-US"/>
        </w:rPr>
      </w:pPr>
      <w:bookmarkStart w:id="17" w:name="_Hlk160527045"/>
      <w:r w:rsidRPr="00C414E3">
        <w:rPr>
          <w:lang w:val="en-US" w:eastAsia="ja-JP"/>
        </w:rPr>
        <w:t>–</w:t>
      </w:r>
      <w:r w:rsidRPr="00C414E3">
        <w:rPr>
          <w:lang w:val="en-US" w:eastAsia="ja-JP"/>
        </w:rPr>
        <w:tab/>
        <w:t xml:space="preserve">BS.2388-5 </w:t>
      </w:r>
      <w:r w:rsidR="004C1CCA" w:rsidRPr="004C1CCA">
        <w:rPr>
          <w:lang w:val="en-GB"/>
        </w:rPr>
        <w:t>«</w:t>
      </w:r>
      <w:r w:rsidRPr="00C20185">
        <w:rPr>
          <w:lang w:val="en-US" w:eastAsia="ja-JP"/>
        </w:rPr>
        <w:t xml:space="preserve">Usage Guidelines for the </w:t>
      </w:r>
      <w:r w:rsidRPr="00C414E3">
        <w:rPr>
          <w:lang w:val="en-US"/>
        </w:rPr>
        <w:t>Audio Definition Model and Multichannel Audio Files</w:t>
      </w:r>
      <w:r w:rsidR="004C1CCA" w:rsidRPr="00391AF8">
        <w:rPr>
          <w:lang w:val="en-GB"/>
        </w:rPr>
        <w:t>»</w:t>
      </w:r>
      <w:r w:rsidR="00031E56">
        <w:rPr>
          <w:lang w:val="en-GB"/>
        </w:rPr>
        <w:t>.</w:t>
      </w:r>
    </w:p>
    <w:p w14:paraId="1D4E40CC" w14:textId="0F78131F" w:rsidR="00335C08" w:rsidRPr="00C414E3" w:rsidRDefault="00335C08" w:rsidP="00335C08">
      <w:pPr>
        <w:pStyle w:val="enumlev1"/>
        <w:rPr>
          <w:lang w:val="en-US"/>
        </w:rPr>
      </w:pPr>
      <w:r w:rsidRPr="00C414E3">
        <w:rPr>
          <w:lang w:val="en-US"/>
        </w:rPr>
        <w:t>–</w:t>
      </w:r>
      <w:r w:rsidRPr="00C414E3">
        <w:rPr>
          <w:lang w:val="en-US"/>
        </w:rPr>
        <w:tab/>
        <w:t xml:space="preserve">BS.2493-1 </w:t>
      </w:r>
      <w:r w:rsidR="004C1CCA" w:rsidRPr="004C1CCA">
        <w:rPr>
          <w:lang w:val="en-GB"/>
        </w:rPr>
        <w:t>«</w:t>
      </w:r>
      <w:r w:rsidRPr="00C414E3">
        <w:rPr>
          <w:lang w:val="en-US"/>
        </w:rPr>
        <w:t>Practical implementation of broadcast systems using audio codecs for ITU advanced sound systems</w:t>
      </w:r>
      <w:r w:rsidR="004C1CCA" w:rsidRPr="00391AF8">
        <w:rPr>
          <w:lang w:val="en-GB"/>
        </w:rPr>
        <w:t>»</w:t>
      </w:r>
      <w:r w:rsidR="00031E56">
        <w:rPr>
          <w:lang w:val="en-GB"/>
        </w:rPr>
        <w:t>.</w:t>
      </w:r>
    </w:p>
    <w:p w14:paraId="5E189BFD" w14:textId="0C824F2D" w:rsidR="00335C08" w:rsidRPr="00C414E3" w:rsidRDefault="00335C08" w:rsidP="00335C08">
      <w:pPr>
        <w:pStyle w:val="enumlev1"/>
        <w:rPr>
          <w:lang w:val="en-US"/>
        </w:rPr>
      </w:pPr>
      <w:r w:rsidRPr="00C414E3">
        <w:rPr>
          <w:lang w:val="en-US"/>
        </w:rPr>
        <w:t>–</w:t>
      </w:r>
      <w:r w:rsidRPr="00C414E3">
        <w:rPr>
          <w:lang w:val="en-US"/>
        </w:rPr>
        <w:tab/>
        <w:t xml:space="preserve">BT.2343-9 </w:t>
      </w:r>
      <w:r w:rsidR="004C1CCA" w:rsidRPr="004C1CCA">
        <w:rPr>
          <w:lang w:val="en-GB"/>
        </w:rPr>
        <w:t>«</w:t>
      </w:r>
      <w:r w:rsidRPr="00C414E3">
        <w:rPr>
          <w:lang w:val="en-US"/>
        </w:rPr>
        <w:t xml:space="preserve">Collection of field trials of </w:t>
      </w:r>
      <w:proofErr w:type="spellStart"/>
      <w:r w:rsidRPr="00C414E3">
        <w:rPr>
          <w:lang w:val="en-US"/>
        </w:rPr>
        <w:t xml:space="preserve">ultra </w:t>
      </w:r>
      <w:proofErr w:type="gramStart"/>
      <w:r w:rsidRPr="00C414E3">
        <w:rPr>
          <w:lang w:val="en-US"/>
        </w:rPr>
        <w:t>high</w:t>
      </w:r>
      <w:proofErr w:type="spellEnd"/>
      <w:r w:rsidRPr="00C414E3">
        <w:rPr>
          <w:lang w:val="en-US"/>
        </w:rPr>
        <w:t xml:space="preserve"> definition</w:t>
      </w:r>
      <w:proofErr w:type="gramEnd"/>
      <w:r w:rsidRPr="00C414E3">
        <w:rPr>
          <w:lang w:val="en-US"/>
        </w:rPr>
        <w:t xml:space="preserve"> television over digital terrestrial television broadcasting networks</w:t>
      </w:r>
      <w:r w:rsidR="004C1CCA" w:rsidRPr="00391AF8">
        <w:rPr>
          <w:lang w:val="en-GB"/>
        </w:rPr>
        <w:t>»</w:t>
      </w:r>
      <w:r w:rsidR="00031E56">
        <w:rPr>
          <w:lang w:val="en-GB"/>
        </w:rPr>
        <w:t>.</w:t>
      </w:r>
    </w:p>
    <w:p w14:paraId="7125167E" w14:textId="4CD356BF" w:rsidR="00335C08" w:rsidRPr="00C414E3" w:rsidRDefault="00335C08" w:rsidP="00335C08">
      <w:pPr>
        <w:pStyle w:val="enumlev1"/>
        <w:rPr>
          <w:lang w:val="en-US"/>
        </w:rPr>
      </w:pPr>
      <w:r w:rsidRPr="00C414E3">
        <w:rPr>
          <w:lang w:val="en-US"/>
        </w:rPr>
        <w:t>–</w:t>
      </w:r>
      <w:r w:rsidRPr="00C414E3">
        <w:rPr>
          <w:lang w:val="en-US"/>
        </w:rPr>
        <w:tab/>
        <w:t xml:space="preserve">BT.2386-5 </w:t>
      </w:r>
      <w:r w:rsidR="004C1CCA" w:rsidRPr="004C1CCA">
        <w:rPr>
          <w:lang w:val="en-GB"/>
        </w:rPr>
        <w:t>«</w:t>
      </w:r>
      <w:r w:rsidRPr="00C414E3">
        <w:rPr>
          <w:lang w:val="en-US"/>
        </w:rPr>
        <w:t>Digital terrestrial broadcasting: Design and implementation of single frequency networks (SFN)</w:t>
      </w:r>
      <w:r w:rsidR="004C1CCA" w:rsidRPr="00391AF8">
        <w:rPr>
          <w:lang w:val="en-GB"/>
        </w:rPr>
        <w:t>»</w:t>
      </w:r>
      <w:r w:rsidR="00031E56">
        <w:rPr>
          <w:lang w:val="en-GB"/>
        </w:rPr>
        <w:t>.</w:t>
      </w:r>
    </w:p>
    <w:p w14:paraId="36DCDAF5" w14:textId="62B3AC22" w:rsidR="00335C08" w:rsidRPr="00C414E3" w:rsidRDefault="00335C08" w:rsidP="00335C08">
      <w:pPr>
        <w:pStyle w:val="enumlev1"/>
        <w:rPr>
          <w:lang w:val="en-US"/>
        </w:rPr>
      </w:pPr>
      <w:r w:rsidRPr="00C414E3">
        <w:rPr>
          <w:lang w:val="en-US"/>
        </w:rPr>
        <w:t>–</w:t>
      </w:r>
      <w:r w:rsidRPr="00C414E3">
        <w:rPr>
          <w:lang w:val="en-US"/>
        </w:rPr>
        <w:tab/>
        <w:t xml:space="preserve">BT.2389-1 </w:t>
      </w:r>
      <w:r w:rsidR="004C1CCA" w:rsidRPr="004C1CCA">
        <w:rPr>
          <w:lang w:val="en-GB"/>
        </w:rPr>
        <w:t>«</w:t>
      </w:r>
      <w:r w:rsidRPr="00C414E3">
        <w:rPr>
          <w:lang w:val="en-US"/>
        </w:rPr>
        <w:t>Guidelines on measurements for digital terrestrial television broadcasting systems</w:t>
      </w:r>
      <w:r w:rsidR="004C1CCA" w:rsidRPr="00391AF8">
        <w:rPr>
          <w:lang w:val="en-GB"/>
        </w:rPr>
        <w:t>»</w:t>
      </w:r>
      <w:r w:rsidR="00031E56">
        <w:rPr>
          <w:lang w:val="en-GB"/>
        </w:rPr>
        <w:t>.</w:t>
      </w:r>
    </w:p>
    <w:p w14:paraId="51C8B428" w14:textId="21DF90E2" w:rsidR="00335C08" w:rsidRPr="00C414E3" w:rsidRDefault="00335C08" w:rsidP="00335C08">
      <w:pPr>
        <w:pStyle w:val="enumlev1"/>
        <w:rPr>
          <w:lang w:val="en-US"/>
        </w:rPr>
      </w:pPr>
      <w:r w:rsidRPr="00C414E3">
        <w:rPr>
          <w:lang w:val="en-US"/>
        </w:rPr>
        <w:t>–</w:t>
      </w:r>
      <w:r w:rsidRPr="00C414E3">
        <w:rPr>
          <w:lang w:val="en-US"/>
        </w:rPr>
        <w:tab/>
        <w:t xml:space="preserve">BT.2408-8 </w:t>
      </w:r>
      <w:r w:rsidR="004C1CCA" w:rsidRPr="004C1CCA">
        <w:rPr>
          <w:lang w:val="en-GB"/>
        </w:rPr>
        <w:t>«</w:t>
      </w:r>
      <w:r w:rsidRPr="00C414E3">
        <w:rPr>
          <w:lang w:val="en-US"/>
        </w:rPr>
        <w:t>Suggested guidance for operational practices in high dynamic range (HDR) television production</w:t>
      </w:r>
      <w:r w:rsidR="004C1CCA" w:rsidRPr="00391AF8">
        <w:rPr>
          <w:lang w:val="en-GB"/>
        </w:rPr>
        <w:t>»</w:t>
      </w:r>
      <w:r w:rsidR="00031E56">
        <w:rPr>
          <w:lang w:val="en-GB"/>
        </w:rPr>
        <w:t>.</w:t>
      </w:r>
    </w:p>
    <w:p w14:paraId="1BB4437E" w14:textId="71D5F489" w:rsidR="00335C08" w:rsidRPr="00C414E3" w:rsidRDefault="00335C08" w:rsidP="00335C08">
      <w:pPr>
        <w:pStyle w:val="enumlev1"/>
        <w:rPr>
          <w:lang w:val="en-US"/>
        </w:rPr>
      </w:pPr>
      <w:r w:rsidRPr="00C414E3">
        <w:rPr>
          <w:lang w:val="en-US"/>
        </w:rPr>
        <w:t>–</w:t>
      </w:r>
      <w:r w:rsidRPr="00C414E3">
        <w:rPr>
          <w:lang w:val="en-US"/>
        </w:rPr>
        <w:tab/>
        <w:t xml:space="preserve">BT.2420-7 </w:t>
      </w:r>
      <w:r w:rsidR="004C1CCA" w:rsidRPr="004C1CCA">
        <w:rPr>
          <w:lang w:val="en-GB"/>
        </w:rPr>
        <w:t>«</w:t>
      </w:r>
      <w:r w:rsidRPr="00C414E3">
        <w:rPr>
          <w:lang w:val="en-US"/>
        </w:rPr>
        <w:t>Collection of usage scenarios of advanced immersive sensory media systems</w:t>
      </w:r>
      <w:r w:rsidR="00705703" w:rsidRPr="00391AF8">
        <w:rPr>
          <w:lang w:val="en-GB"/>
        </w:rPr>
        <w:t>»</w:t>
      </w:r>
    </w:p>
    <w:p w14:paraId="6D8DEDE5" w14:textId="18C60399" w:rsidR="00335C08" w:rsidRPr="00C414E3" w:rsidRDefault="00335C08" w:rsidP="00335C08">
      <w:pPr>
        <w:pStyle w:val="enumlev1"/>
        <w:rPr>
          <w:lang w:val="en-US"/>
        </w:rPr>
      </w:pPr>
      <w:r w:rsidRPr="00C414E3">
        <w:rPr>
          <w:lang w:val="en-US"/>
        </w:rPr>
        <w:t>–</w:t>
      </w:r>
      <w:r w:rsidRPr="00C414E3">
        <w:rPr>
          <w:lang w:val="en-US"/>
        </w:rPr>
        <w:tab/>
        <w:t xml:space="preserve">BT.2467-3 </w:t>
      </w:r>
      <w:r w:rsidR="004C1CCA" w:rsidRPr="004C1CCA">
        <w:rPr>
          <w:lang w:val="en-GB"/>
        </w:rPr>
        <w:t>«</w:t>
      </w:r>
      <w:r w:rsidRPr="00C414E3">
        <w:rPr>
          <w:lang w:val="en-US"/>
        </w:rPr>
        <w:t>Methods for the evaluation of the quality of service of second generation digital terrestrial television broadcasting systems</w:t>
      </w:r>
      <w:r w:rsidR="004C1CCA" w:rsidRPr="00391AF8">
        <w:rPr>
          <w:lang w:val="en-GB"/>
        </w:rPr>
        <w:t>»</w:t>
      </w:r>
      <w:r w:rsidR="00031E56">
        <w:rPr>
          <w:lang w:val="en-GB"/>
        </w:rPr>
        <w:t>.</w:t>
      </w:r>
    </w:p>
    <w:p w14:paraId="78EC6213" w14:textId="7F84C1B8" w:rsidR="00335C08" w:rsidRPr="00C414E3" w:rsidRDefault="00335C08" w:rsidP="00335C08">
      <w:pPr>
        <w:pStyle w:val="enumlev1"/>
        <w:rPr>
          <w:lang w:val="en-US"/>
        </w:rPr>
      </w:pPr>
      <w:r w:rsidRPr="00C414E3">
        <w:rPr>
          <w:lang w:val="en-US"/>
        </w:rPr>
        <w:t>–</w:t>
      </w:r>
      <w:r w:rsidRPr="00C414E3">
        <w:rPr>
          <w:lang w:val="en-US"/>
        </w:rPr>
        <w:tab/>
        <w:t xml:space="preserve">BT.2468-2 </w:t>
      </w:r>
      <w:r w:rsidR="004C1CCA" w:rsidRPr="004C1CCA">
        <w:rPr>
          <w:lang w:val="en-GB"/>
        </w:rPr>
        <w:t>«</w:t>
      </w:r>
      <w:r w:rsidRPr="00C414E3">
        <w:rPr>
          <w:lang w:val="en-US"/>
        </w:rPr>
        <w:t>Guidance for selection of system parameters and implementation of second generation DTTB systems</w:t>
      </w:r>
      <w:r w:rsidR="004C1CCA" w:rsidRPr="00391AF8">
        <w:rPr>
          <w:lang w:val="en-GB"/>
        </w:rPr>
        <w:t>»</w:t>
      </w:r>
      <w:r w:rsidR="00031E56">
        <w:rPr>
          <w:lang w:val="en-GB"/>
        </w:rPr>
        <w:t>.</w:t>
      </w:r>
    </w:p>
    <w:p w14:paraId="1F7B64B9" w14:textId="2308B871" w:rsidR="00335C08" w:rsidRPr="00C414E3" w:rsidRDefault="00335C08" w:rsidP="00335C08">
      <w:pPr>
        <w:pStyle w:val="enumlev1"/>
        <w:rPr>
          <w:lang w:val="en-US"/>
        </w:rPr>
      </w:pPr>
      <w:r w:rsidRPr="00C414E3">
        <w:rPr>
          <w:lang w:val="en-US"/>
        </w:rPr>
        <w:t>–</w:t>
      </w:r>
      <w:r w:rsidRPr="00C414E3">
        <w:rPr>
          <w:lang w:val="en-US"/>
        </w:rPr>
        <w:tab/>
        <w:t xml:space="preserve">BT.2485-3 </w:t>
      </w:r>
      <w:r w:rsidR="004C1CCA" w:rsidRPr="004C1CCA">
        <w:rPr>
          <w:lang w:val="en-GB"/>
        </w:rPr>
        <w:t>«</w:t>
      </w:r>
      <w:r w:rsidRPr="00C414E3">
        <w:rPr>
          <w:lang w:val="en-US"/>
        </w:rPr>
        <w:t>Advanced network planning and transmission methods for enhancements of digital terrestrial television broadcasting</w:t>
      </w:r>
      <w:r w:rsidR="004C1CCA" w:rsidRPr="00391AF8">
        <w:rPr>
          <w:lang w:val="en-GB"/>
        </w:rPr>
        <w:t>»</w:t>
      </w:r>
      <w:r w:rsidR="00031E56">
        <w:rPr>
          <w:lang w:val="en-GB"/>
        </w:rPr>
        <w:t>.</w:t>
      </w:r>
    </w:p>
    <w:p w14:paraId="5BD3BD62" w14:textId="20987FA0" w:rsidR="00335C08" w:rsidRPr="00C414E3" w:rsidRDefault="00335C08" w:rsidP="00335C08">
      <w:pPr>
        <w:pStyle w:val="enumlev1"/>
        <w:rPr>
          <w:lang w:val="en-US"/>
        </w:rPr>
      </w:pPr>
      <w:r w:rsidRPr="00C414E3">
        <w:rPr>
          <w:lang w:val="en-US"/>
        </w:rPr>
        <w:t>–</w:t>
      </w:r>
      <w:r w:rsidRPr="00C414E3">
        <w:rPr>
          <w:lang w:val="en-US"/>
        </w:rPr>
        <w:tab/>
        <w:t xml:space="preserve">BT.2506-1 </w:t>
      </w:r>
      <w:r w:rsidR="004C1CCA" w:rsidRPr="004C1CCA">
        <w:rPr>
          <w:lang w:val="en-GB"/>
        </w:rPr>
        <w:t>«</w:t>
      </w:r>
      <w:r w:rsidRPr="00C414E3">
        <w:rPr>
          <w:lang w:val="en-US"/>
        </w:rPr>
        <w:t>Requirements for spatial characteristics of an ideal head-mounted display for immersive video</w:t>
      </w:r>
      <w:r w:rsidR="004C1CCA" w:rsidRPr="00391AF8">
        <w:rPr>
          <w:lang w:val="en-GB"/>
        </w:rPr>
        <w:t>»</w:t>
      </w:r>
      <w:r w:rsidR="00031E56">
        <w:rPr>
          <w:lang w:val="en-GB"/>
        </w:rPr>
        <w:t>.</w:t>
      </w:r>
    </w:p>
    <w:p w14:paraId="651550EF" w14:textId="579E5976" w:rsidR="00335C08" w:rsidRPr="00C414E3" w:rsidRDefault="00335C08" w:rsidP="00335C08">
      <w:pPr>
        <w:pStyle w:val="enumlev1"/>
        <w:rPr>
          <w:lang w:val="en-US"/>
        </w:rPr>
      </w:pPr>
      <w:r w:rsidRPr="00C414E3">
        <w:rPr>
          <w:lang w:val="en-US"/>
        </w:rPr>
        <w:t>–</w:t>
      </w:r>
      <w:r w:rsidRPr="00C414E3">
        <w:rPr>
          <w:lang w:val="en-US"/>
        </w:rPr>
        <w:tab/>
        <w:t xml:space="preserve">BT.2521-1 </w:t>
      </w:r>
      <w:r w:rsidR="004C1CCA" w:rsidRPr="004C1CCA">
        <w:rPr>
          <w:lang w:val="en-GB"/>
        </w:rPr>
        <w:t>«</w:t>
      </w:r>
      <w:r w:rsidRPr="00C414E3">
        <w:rPr>
          <w:lang w:val="en-US"/>
        </w:rPr>
        <w:t>Practical examples of actions to achieve energy efficiency of broadcasting</w:t>
      </w:r>
      <w:r w:rsidR="004C1CCA" w:rsidRPr="00391AF8">
        <w:rPr>
          <w:lang w:val="en-GB"/>
        </w:rPr>
        <w:t>»</w:t>
      </w:r>
    </w:p>
    <w:p w14:paraId="7DCED615" w14:textId="2AA71439" w:rsidR="00335C08" w:rsidRPr="00C414E3" w:rsidRDefault="00335C08" w:rsidP="00335C08">
      <w:pPr>
        <w:pStyle w:val="enumlev1"/>
        <w:rPr>
          <w:lang w:val="en-US"/>
        </w:rPr>
      </w:pPr>
      <w:r w:rsidRPr="00C414E3">
        <w:rPr>
          <w:lang w:val="en-US"/>
        </w:rPr>
        <w:t>–</w:t>
      </w:r>
      <w:r w:rsidRPr="00C414E3">
        <w:rPr>
          <w:lang w:val="en-US"/>
        </w:rPr>
        <w:tab/>
        <w:t xml:space="preserve">BT.2522-1 </w:t>
      </w:r>
      <w:r w:rsidR="004C1CCA" w:rsidRPr="004C1CCA">
        <w:rPr>
          <w:lang w:val="en-GB"/>
        </w:rPr>
        <w:t>«</w:t>
      </w:r>
      <w:r w:rsidRPr="00C414E3">
        <w:rPr>
          <w:lang w:val="en-US"/>
        </w:rPr>
        <w:t>A framework for the future of broadcasting</w:t>
      </w:r>
      <w:r w:rsidR="004C1CCA" w:rsidRPr="00391AF8">
        <w:rPr>
          <w:lang w:val="en-GB"/>
        </w:rPr>
        <w:t>»</w:t>
      </w:r>
    </w:p>
    <w:p w14:paraId="02F7EE1A" w14:textId="65834B29" w:rsidR="00335C08" w:rsidRPr="00C414E3" w:rsidRDefault="00335C08" w:rsidP="00335C08">
      <w:pPr>
        <w:pStyle w:val="enumlev1"/>
        <w:rPr>
          <w:lang w:val="en-US"/>
        </w:rPr>
      </w:pPr>
      <w:r w:rsidRPr="00C414E3">
        <w:rPr>
          <w:lang w:val="en-US"/>
        </w:rPr>
        <w:t>–</w:t>
      </w:r>
      <w:r w:rsidRPr="00C414E3">
        <w:rPr>
          <w:lang w:val="en-US"/>
        </w:rPr>
        <w:tab/>
        <w:t xml:space="preserve">BT.2526-1 </w:t>
      </w:r>
      <w:r w:rsidR="004C1CCA" w:rsidRPr="004C1CCA">
        <w:rPr>
          <w:lang w:val="en-GB"/>
        </w:rPr>
        <w:t>«</w:t>
      </w:r>
      <w:r w:rsidRPr="00C414E3">
        <w:rPr>
          <w:lang w:val="en-US"/>
        </w:rPr>
        <w:t>Field trials of terrestrial multimedia mobile broadcasting systems</w:t>
      </w:r>
      <w:r w:rsidR="004C1CCA" w:rsidRPr="00391AF8">
        <w:rPr>
          <w:lang w:val="en-GB"/>
        </w:rPr>
        <w:t>»</w:t>
      </w:r>
    </w:p>
    <w:p w14:paraId="7C760254" w14:textId="22220B45" w:rsidR="00335C08" w:rsidRPr="00C414E3" w:rsidRDefault="00335C08" w:rsidP="00335C08">
      <w:pPr>
        <w:pStyle w:val="enumlev1"/>
        <w:rPr>
          <w:lang w:val="en-US"/>
        </w:rPr>
      </w:pPr>
      <w:r w:rsidRPr="00C414E3">
        <w:rPr>
          <w:lang w:val="en-US"/>
        </w:rPr>
        <w:t>–</w:t>
      </w:r>
      <w:r w:rsidRPr="00C414E3">
        <w:rPr>
          <w:lang w:val="en-US"/>
        </w:rPr>
        <w:tab/>
        <w:t xml:space="preserve">BT.2538-0 </w:t>
      </w:r>
      <w:r w:rsidR="004C1CCA" w:rsidRPr="004C1CCA">
        <w:rPr>
          <w:lang w:val="en-GB"/>
        </w:rPr>
        <w:t>«</w:t>
      </w:r>
      <w:r w:rsidRPr="00C414E3">
        <w:rPr>
          <w:lang w:val="en-US"/>
        </w:rPr>
        <w:t>Use cases of Versatile Video Coding multilayer profiles for broadcasting services</w:t>
      </w:r>
      <w:r w:rsidR="004C1CCA" w:rsidRPr="00391AF8">
        <w:rPr>
          <w:lang w:val="en-GB"/>
        </w:rPr>
        <w:t>»</w:t>
      </w:r>
    </w:p>
    <w:p w14:paraId="56445B22" w14:textId="1564D5EC" w:rsidR="00335C08" w:rsidRPr="00C414E3" w:rsidRDefault="00335C08" w:rsidP="00335C08">
      <w:pPr>
        <w:pStyle w:val="enumlev1"/>
        <w:rPr>
          <w:lang w:val="en-US"/>
        </w:rPr>
      </w:pPr>
      <w:r w:rsidRPr="00C414E3">
        <w:rPr>
          <w:lang w:val="en-US"/>
        </w:rPr>
        <w:t>–</w:t>
      </w:r>
      <w:r w:rsidRPr="00C414E3">
        <w:rPr>
          <w:lang w:val="en-US"/>
        </w:rPr>
        <w:tab/>
        <w:t xml:space="preserve">BT.2539-0 </w:t>
      </w:r>
      <w:r w:rsidR="004C1CCA" w:rsidRPr="004C1CCA">
        <w:rPr>
          <w:lang w:val="en-GB"/>
        </w:rPr>
        <w:t>«</w:t>
      </w:r>
      <w:r w:rsidRPr="00C414E3">
        <w:rPr>
          <w:lang w:val="en-US"/>
        </w:rPr>
        <w:t xml:space="preserve">Use of cloud computing for </w:t>
      </w:r>
      <w:proofErr w:type="spellStart"/>
      <w:r w:rsidRPr="00C414E3">
        <w:rPr>
          <w:lang w:val="en-US"/>
        </w:rPr>
        <w:t>programme</w:t>
      </w:r>
      <w:proofErr w:type="spellEnd"/>
      <w:r w:rsidRPr="00C414E3">
        <w:rPr>
          <w:lang w:val="en-US"/>
        </w:rPr>
        <w:t xml:space="preserve"> production</w:t>
      </w:r>
      <w:r w:rsidR="004C1CCA" w:rsidRPr="00391AF8">
        <w:rPr>
          <w:lang w:val="en-GB"/>
        </w:rPr>
        <w:t>»</w:t>
      </w:r>
      <w:r w:rsidR="00031E56">
        <w:rPr>
          <w:lang w:val="en-GB"/>
        </w:rPr>
        <w:t>.</w:t>
      </w:r>
    </w:p>
    <w:p w14:paraId="1769199F" w14:textId="586F8C6F" w:rsidR="00335C08" w:rsidRPr="00C414E3" w:rsidRDefault="00335C08" w:rsidP="00335C08">
      <w:pPr>
        <w:pStyle w:val="enumlev1"/>
        <w:rPr>
          <w:lang w:val="en-US"/>
        </w:rPr>
      </w:pPr>
      <w:r w:rsidRPr="00C414E3">
        <w:rPr>
          <w:lang w:val="en-US"/>
        </w:rPr>
        <w:t>–</w:t>
      </w:r>
      <w:r w:rsidRPr="00C414E3">
        <w:rPr>
          <w:lang w:val="en-US"/>
        </w:rPr>
        <w:tab/>
        <w:t xml:space="preserve">BT.2540-0 </w:t>
      </w:r>
      <w:r w:rsidR="004C1CCA" w:rsidRPr="004C1CCA">
        <w:rPr>
          <w:lang w:val="en-GB"/>
        </w:rPr>
        <w:t>«</w:t>
      </w:r>
      <w:r w:rsidRPr="00C414E3">
        <w:rPr>
          <w:lang w:val="en-US"/>
        </w:rPr>
        <w:t>Display energy reduction through image signal processing</w:t>
      </w:r>
      <w:r w:rsidR="004C1CCA" w:rsidRPr="00391AF8">
        <w:rPr>
          <w:lang w:val="en-GB"/>
        </w:rPr>
        <w:t>»</w:t>
      </w:r>
      <w:r w:rsidR="00031E56">
        <w:rPr>
          <w:lang w:val="en-GB"/>
        </w:rPr>
        <w:t>.</w:t>
      </w:r>
    </w:p>
    <w:p w14:paraId="36089C50" w14:textId="4A6B6606" w:rsidR="00335C08" w:rsidRPr="00C414E3" w:rsidRDefault="00335C08" w:rsidP="00335C08">
      <w:pPr>
        <w:pStyle w:val="enumlev1"/>
        <w:rPr>
          <w:lang w:val="en-US"/>
        </w:rPr>
      </w:pPr>
      <w:r w:rsidRPr="00C414E3">
        <w:rPr>
          <w:lang w:val="en-US"/>
        </w:rPr>
        <w:t>–</w:t>
      </w:r>
      <w:r w:rsidRPr="00C414E3">
        <w:rPr>
          <w:lang w:val="en-US"/>
        </w:rPr>
        <w:tab/>
        <w:t xml:space="preserve">BT.2544-0 </w:t>
      </w:r>
      <w:r w:rsidR="004C1CCA" w:rsidRPr="004C1CCA">
        <w:rPr>
          <w:lang w:val="en-GB"/>
        </w:rPr>
        <w:t>«</w:t>
      </w:r>
      <w:r w:rsidRPr="00C414E3">
        <w:rPr>
          <w:lang w:val="en-US"/>
        </w:rPr>
        <w:t>Compatibility between TMMB System-L and DTTB systems in the 470-694 MHz band within the GE06 agreement</w:t>
      </w:r>
      <w:r w:rsidR="004C1CCA" w:rsidRPr="00391AF8">
        <w:rPr>
          <w:lang w:val="en-GB"/>
        </w:rPr>
        <w:t>»</w:t>
      </w:r>
      <w:r w:rsidR="00031E56">
        <w:rPr>
          <w:lang w:val="en-GB"/>
        </w:rPr>
        <w:t>.</w:t>
      </w:r>
    </w:p>
    <w:p w14:paraId="036181B5" w14:textId="1535DD02" w:rsidR="00335C08" w:rsidRPr="00C414E3" w:rsidRDefault="00335C08" w:rsidP="00335C08">
      <w:pPr>
        <w:pStyle w:val="enumlev1"/>
        <w:rPr>
          <w:lang w:val="en-US"/>
        </w:rPr>
      </w:pPr>
      <w:r w:rsidRPr="00C414E3">
        <w:rPr>
          <w:lang w:val="en-US"/>
        </w:rPr>
        <w:t>–</w:t>
      </w:r>
      <w:r w:rsidRPr="00C414E3">
        <w:rPr>
          <w:lang w:val="en-US"/>
        </w:rPr>
        <w:tab/>
        <w:t xml:space="preserve">BT.2545-0 </w:t>
      </w:r>
      <w:r w:rsidR="004C1CCA" w:rsidRPr="004C1CCA">
        <w:rPr>
          <w:lang w:val="en-GB"/>
        </w:rPr>
        <w:t>«</w:t>
      </w:r>
      <w:r w:rsidRPr="00C414E3">
        <w:rPr>
          <w:lang w:val="en-US"/>
        </w:rPr>
        <w:t>Inter-tower communications network (ITCN) for terrestrial broadcasting and datacasting systems</w:t>
      </w:r>
      <w:r w:rsidR="004C1CCA" w:rsidRPr="00391AF8">
        <w:rPr>
          <w:lang w:val="en-GB"/>
        </w:rPr>
        <w:t>»</w:t>
      </w:r>
      <w:r w:rsidR="00031E56">
        <w:rPr>
          <w:lang w:val="en-GB"/>
        </w:rPr>
        <w:t>.</w:t>
      </w:r>
    </w:p>
    <w:p w14:paraId="4EB9ABA9" w14:textId="66EBD240" w:rsidR="00335C08" w:rsidRPr="00C414E3" w:rsidRDefault="00D94106" w:rsidP="00335C08">
      <w:pPr>
        <w:rPr>
          <w:lang w:val="es-ES"/>
        </w:rPr>
      </w:pPr>
      <w:r w:rsidRPr="00C414E3">
        <w:rPr>
          <w:lang w:val="es-ES"/>
        </w:rPr>
        <w:t>En el marco de los bloques de reuniones de la CE6 en 2024 se organizaron los siguientes eventos</w:t>
      </w:r>
      <w:r w:rsidR="00335C08" w:rsidRPr="00C414E3">
        <w:rPr>
          <w:lang w:val="es-ES"/>
        </w:rPr>
        <w:t>:</w:t>
      </w:r>
    </w:p>
    <w:p w14:paraId="43FB40FF" w14:textId="1B1D8BA8" w:rsidR="00335C08" w:rsidRPr="00C414E3" w:rsidRDefault="00335C08" w:rsidP="00335C08">
      <w:pPr>
        <w:pStyle w:val="enumlev1"/>
        <w:rPr>
          <w:lang w:val="es-ES"/>
        </w:rPr>
      </w:pPr>
      <w:r w:rsidRPr="00D0078E">
        <w:lastRenderedPageBreak/>
        <w:sym w:font="Wingdings" w:char="F09F"/>
      </w:r>
      <w:r w:rsidRPr="00C414E3">
        <w:rPr>
          <w:lang w:val="es-ES"/>
        </w:rPr>
        <w:tab/>
      </w:r>
      <w:hyperlink r:id="rId19" w:anchor="/es" w:history="1">
        <w:r w:rsidR="00D94106" w:rsidRPr="00C414E3">
          <w:rPr>
            <w:rStyle w:val="Hyperlink"/>
            <w:rFonts w:eastAsia="SimSun"/>
            <w:lang w:val="es-ES"/>
          </w:rPr>
          <w:t>Taller de la UIT sobre el Futuro de la Televisión en Europa</w:t>
        </w:r>
      </w:hyperlink>
      <w:r w:rsidRPr="00C414E3">
        <w:rPr>
          <w:lang w:val="es-ES"/>
        </w:rPr>
        <w:t xml:space="preserve"> (7 </w:t>
      </w:r>
      <w:r w:rsidR="00D94106">
        <w:rPr>
          <w:lang w:val="es-ES"/>
        </w:rPr>
        <w:t>de noviembre de</w:t>
      </w:r>
      <w:r w:rsidRPr="00C414E3">
        <w:rPr>
          <w:lang w:val="es-ES"/>
        </w:rPr>
        <w:t xml:space="preserve"> 2024, </w:t>
      </w:r>
      <w:r w:rsidR="00D94106">
        <w:rPr>
          <w:lang w:val="es-ES"/>
        </w:rPr>
        <w:t>organizado conjuntamente por la CE6 del UIT-R, el UIT-T y el UIT-D</w:t>
      </w:r>
      <w:r w:rsidRPr="00C414E3">
        <w:rPr>
          <w:lang w:val="es-ES"/>
        </w:rPr>
        <w:t>)</w:t>
      </w:r>
    </w:p>
    <w:p w14:paraId="18F93EDF" w14:textId="5AD873CD" w:rsidR="00335C08" w:rsidRPr="00C414E3" w:rsidRDefault="00335C08" w:rsidP="00335C08">
      <w:pPr>
        <w:pStyle w:val="enumlev1"/>
        <w:rPr>
          <w:lang w:val="es-ES"/>
        </w:rPr>
      </w:pPr>
      <w:r w:rsidRPr="00D0078E">
        <w:sym w:font="Wingdings" w:char="F09F"/>
      </w:r>
      <w:r w:rsidRPr="00C414E3">
        <w:rPr>
          <w:lang w:val="es-ES"/>
        </w:rPr>
        <w:tab/>
      </w:r>
      <w:hyperlink r:id="rId20" w:tgtFrame="_blank" w:history="1">
        <w:r w:rsidR="00D94106" w:rsidRPr="00C414E3">
          <w:rPr>
            <w:rStyle w:val="Hyperlink"/>
            <w:rFonts w:eastAsia="SimSun"/>
            <w:lang w:val="es-ES"/>
          </w:rPr>
          <w:t>Demostraciones sobre el Futuro de la Radiodifusión</w:t>
        </w:r>
      </w:hyperlink>
      <w:r w:rsidRPr="00C414E3">
        <w:rPr>
          <w:lang w:val="es-ES"/>
        </w:rPr>
        <w:t xml:space="preserve"> (6 </w:t>
      </w:r>
      <w:r w:rsidR="00D94106">
        <w:rPr>
          <w:lang w:val="es-ES"/>
        </w:rPr>
        <w:t>y</w:t>
      </w:r>
      <w:r w:rsidRPr="00C414E3">
        <w:rPr>
          <w:lang w:val="es-ES"/>
        </w:rPr>
        <w:t xml:space="preserve"> 7 </w:t>
      </w:r>
      <w:r w:rsidR="00D94106">
        <w:rPr>
          <w:lang w:val="es-ES"/>
        </w:rPr>
        <w:t>de noviembre de</w:t>
      </w:r>
      <w:r w:rsidRPr="00C414E3">
        <w:rPr>
          <w:lang w:val="es-ES"/>
        </w:rPr>
        <w:t xml:space="preserve"> 2024)</w:t>
      </w:r>
    </w:p>
    <w:p w14:paraId="2CEDA863" w14:textId="6293DA23" w:rsidR="00335C08" w:rsidRPr="00C414E3" w:rsidRDefault="00335C08" w:rsidP="00335C08">
      <w:pPr>
        <w:pStyle w:val="enumlev1"/>
        <w:rPr>
          <w:lang w:val="es-ES"/>
        </w:rPr>
      </w:pPr>
      <w:r w:rsidRPr="00D0078E">
        <w:sym w:font="Wingdings" w:char="F09F"/>
      </w:r>
      <w:r w:rsidRPr="00C414E3">
        <w:rPr>
          <w:lang w:val="es-ES"/>
        </w:rPr>
        <w:tab/>
      </w:r>
      <w:hyperlink r:id="rId21" w:history="1">
        <w:r w:rsidR="00D94106" w:rsidRPr="00C414E3">
          <w:rPr>
            <w:rStyle w:val="Hyperlink"/>
            <w:rFonts w:eastAsia="SimSun"/>
            <w:lang w:val="es-ES"/>
          </w:rPr>
          <w:t>Taller sobre radiodifusión móvil terrenal de multimedios (TMMB)</w:t>
        </w:r>
      </w:hyperlink>
      <w:r w:rsidRPr="00C414E3">
        <w:rPr>
          <w:lang w:val="es-ES"/>
        </w:rPr>
        <w:t xml:space="preserve"> (8 </w:t>
      </w:r>
      <w:r w:rsidR="00D94106">
        <w:rPr>
          <w:lang w:val="es-ES"/>
        </w:rPr>
        <w:t>de marzo de</w:t>
      </w:r>
      <w:r w:rsidRPr="00C414E3">
        <w:rPr>
          <w:lang w:val="es-ES"/>
        </w:rPr>
        <w:t xml:space="preserve"> 2024)</w:t>
      </w:r>
    </w:p>
    <w:p w14:paraId="34619A5C" w14:textId="176C104F" w:rsidR="00335C08" w:rsidRPr="00C414E3" w:rsidRDefault="00D94106" w:rsidP="00335C08">
      <w:pPr>
        <w:rPr>
          <w:lang w:val="es-ES" w:eastAsia="ja-JP"/>
        </w:rPr>
      </w:pPr>
      <w:r w:rsidRPr="00D94106">
        <w:rPr>
          <w:lang w:val="es-ES" w:eastAsia="ja-JP"/>
        </w:rPr>
        <w:t>Las re</w:t>
      </w:r>
      <w:r w:rsidRPr="00C414E3">
        <w:rPr>
          <w:lang w:val="es-ES" w:eastAsia="ja-JP"/>
        </w:rPr>
        <w:t>uniones de los GT</w:t>
      </w:r>
      <w:r w:rsidR="00335C08" w:rsidRPr="00C414E3">
        <w:rPr>
          <w:lang w:val="es-ES" w:eastAsia="ja-JP"/>
        </w:rPr>
        <w:t xml:space="preserve"> 6A, 6B </w:t>
      </w:r>
      <w:r w:rsidRPr="00C414E3">
        <w:rPr>
          <w:lang w:val="es-ES" w:eastAsia="ja-JP"/>
        </w:rPr>
        <w:t>y</w:t>
      </w:r>
      <w:r w:rsidR="00335C08" w:rsidRPr="00C414E3">
        <w:rPr>
          <w:lang w:val="es-ES" w:eastAsia="ja-JP"/>
        </w:rPr>
        <w:t xml:space="preserve"> 6C </w:t>
      </w:r>
      <w:r w:rsidRPr="00C414E3">
        <w:rPr>
          <w:lang w:val="es-ES" w:eastAsia="ja-JP"/>
        </w:rPr>
        <w:t>se celebrarán del 3 al 13 de marzo de 2025 e irán s</w:t>
      </w:r>
      <w:r>
        <w:rPr>
          <w:lang w:val="es-ES" w:eastAsia="ja-JP"/>
        </w:rPr>
        <w:t>eguidas de la reunión de la CE</w:t>
      </w:r>
      <w:r w:rsidR="00705703">
        <w:rPr>
          <w:lang w:val="es-ES" w:eastAsia="ja-JP"/>
        </w:rPr>
        <w:t> </w:t>
      </w:r>
      <w:r>
        <w:rPr>
          <w:lang w:val="es-ES" w:eastAsia="ja-JP"/>
        </w:rPr>
        <w:t>6 el 14 de marzo de 2025</w:t>
      </w:r>
      <w:r w:rsidR="00335C08" w:rsidRPr="00C414E3">
        <w:rPr>
          <w:lang w:val="es-ES" w:eastAsia="ja-JP"/>
        </w:rPr>
        <w:t>.</w:t>
      </w:r>
    </w:p>
    <w:p w14:paraId="06FED3FD" w14:textId="7FEDC593" w:rsidR="000F62B4" w:rsidRPr="006C7415" w:rsidRDefault="00D94106" w:rsidP="001F6E24">
      <w:pPr>
        <w:keepNext/>
        <w:keepLines/>
        <w:spacing w:before="240"/>
        <w:ind w:left="794" w:hanging="794"/>
        <w:outlineLvl w:val="1"/>
        <w:rPr>
          <w:lang w:val="es-ES"/>
        </w:rPr>
      </w:pPr>
      <w:bookmarkStart w:id="18" w:name="_Toc445972797"/>
      <w:bookmarkEnd w:id="17"/>
      <w:r>
        <w:rPr>
          <w:b/>
          <w:bCs/>
          <w:lang w:val="es-ES"/>
        </w:rPr>
        <w:t>5</w:t>
      </w:r>
      <w:r w:rsidR="00031E56">
        <w:rPr>
          <w:b/>
          <w:bCs/>
          <w:lang w:val="es-ES"/>
        </w:rPr>
        <w:t>.</w:t>
      </w:r>
      <w:r w:rsidR="000F62B4">
        <w:rPr>
          <w:b/>
          <w:bCs/>
          <w:lang w:val="es-ES"/>
        </w:rPr>
        <w:t>6</w:t>
      </w:r>
      <w:r w:rsidR="000F62B4">
        <w:rPr>
          <w:lang w:val="es-ES"/>
        </w:rPr>
        <w:tab/>
      </w:r>
      <w:r w:rsidR="000F62B4">
        <w:rPr>
          <w:b/>
          <w:bCs/>
          <w:lang w:val="es-ES"/>
        </w:rPr>
        <w:t>Comisión de estudio 7</w:t>
      </w:r>
      <w:bookmarkEnd w:id="18"/>
    </w:p>
    <w:p w14:paraId="79173CAA" w14:textId="5CB66249" w:rsidR="000F62B4" w:rsidRPr="006C7415" w:rsidRDefault="000F62B4" w:rsidP="001F6E24">
      <w:pPr>
        <w:rPr>
          <w:lang w:val="es-ES"/>
        </w:rPr>
      </w:pPr>
      <w:r>
        <w:rPr>
          <w:lang w:val="es-ES"/>
        </w:rPr>
        <w:t>La Comisión de Estudio 7 sigue elaborando Recomendaciones, Informes y Manuales del UIT-R que se utilizan para la elaboración y para garantizar que no se cause interferencia al funcionamiento de los sistemas de operaciones espaciales, investigación espacial, exploración de la Tierra y meteorológicos (incluida la utilización conexa de enlaces en el servicio entre satélites), radioastronomía y astronomía por radar. y para la difusión, recepción y coordinación de servicios de frecuencias patrón y señales horarias (incluida la aplicación de técnicas de satélite) a escala mundial.</w:t>
      </w:r>
      <w:r w:rsidR="00D94106">
        <w:rPr>
          <w:lang w:val="es-ES"/>
        </w:rPr>
        <w:t xml:space="preserve"> También estudia los sistemas de radiocomunicaciones utilizados en vehículos espaciales tripulados y no tripulados, los enlaces de comunicación entre cuerpos planetarios y la utilización de satélites de retransmisión de datos.</w:t>
      </w:r>
    </w:p>
    <w:p w14:paraId="0B7F48F6" w14:textId="77777777" w:rsidR="000F62B4" w:rsidRPr="006C7415" w:rsidRDefault="000F62B4" w:rsidP="001F6E24">
      <w:pPr>
        <w:rPr>
          <w:spacing w:val="-2"/>
          <w:lang w:val="es-ES"/>
        </w:rPr>
      </w:pPr>
      <w:r>
        <w:rPr>
          <w:lang w:val="es-ES"/>
        </w:rPr>
        <w:t>Los sistemas vinculados con la CE 7 se emplean en actividades que constituyen una parte crítica en nuestra vida cotidiana, tales como:</w:t>
      </w:r>
    </w:p>
    <w:p w14:paraId="2D1EBAF1" w14:textId="77777777" w:rsidR="000F62B4" w:rsidRPr="004F6DA1" w:rsidRDefault="000F62B4" w:rsidP="004F6DA1">
      <w:pPr>
        <w:pStyle w:val="enumlev1"/>
      </w:pPr>
      <w:r>
        <w:rPr>
          <w:lang w:val="es-ES"/>
        </w:rPr>
        <w:t>–</w:t>
      </w:r>
      <w:r>
        <w:rPr>
          <w:lang w:val="es-ES"/>
        </w:rPr>
        <w:tab/>
      </w:r>
      <w:r w:rsidRPr="004F6DA1">
        <w:t>definición y difusión del tiempo universal coordinado;</w:t>
      </w:r>
    </w:p>
    <w:p w14:paraId="0EF68486" w14:textId="77777777" w:rsidR="000F62B4" w:rsidRPr="004F6DA1" w:rsidRDefault="000F62B4" w:rsidP="004F6DA1">
      <w:pPr>
        <w:pStyle w:val="enumlev1"/>
      </w:pPr>
      <w:r w:rsidRPr="004F6DA1">
        <w:t>–</w:t>
      </w:r>
      <w:r w:rsidRPr="004F6DA1">
        <w:tab/>
        <w:t>vigilancia del medio ambiente mundial – la atmósfera (incluida la emisión de gases de efecto invernadero), los océanos, la superficie terrestre, la biomasa, etc.;</w:t>
      </w:r>
    </w:p>
    <w:p w14:paraId="2246BB69" w14:textId="77777777" w:rsidR="000F62B4" w:rsidRPr="004F6DA1" w:rsidRDefault="000F62B4" w:rsidP="004F6DA1">
      <w:pPr>
        <w:pStyle w:val="enumlev1"/>
      </w:pPr>
      <w:r w:rsidRPr="004F6DA1">
        <w:t>–</w:t>
      </w:r>
      <w:r w:rsidRPr="004F6DA1">
        <w:tab/>
        <w:t>previsiones meteorológicas y supervisión y predicción del cambio climático;</w:t>
      </w:r>
    </w:p>
    <w:p w14:paraId="0E905D80" w14:textId="77777777" w:rsidR="000F62B4" w:rsidRPr="004F6DA1" w:rsidRDefault="000F62B4" w:rsidP="004F6DA1">
      <w:pPr>
        <w:pStyle w:val="enumlev1"/>
      </w:pPr>
      <w:r w:rsidRPr="004F6DA1">
        <w:t>–</w:t>
      </w:r>
      <w:r w:rsidRPr="004F6DA1">
        <w:tab/>
        <w:t>detección y seguimiento de diversas catástrofes naturales o producidas por el hombre (terremotos, maremotos, huracanes, incendios forestales, derrames de crudo, etc.);</w:t>
      </w:r>
    </w:p>
    <w:p w14:paraId="535FAD5F" w14:textId="77777777" w:rsidR="000F62B4" w:rsidRPr="004F6DA1" w:rsidRDefault="000F62B4" w:rsidP="004F6DA1">
      <w:pPr>
        <w:pStyle w:val="enumlev1"/>
      </w:pPr>
      <w:r w:rsidRPr="004F6DA1">
        <w:t>–</w:t>
      </w:r>
      <w:r w:rsidRPr="004F6DA1">
        <w:tab/>
        <w:t>proporcionar información de alerta/aviso;</w:t>
      </w:r>
    </w:p>
    <w:p w14:paraId="188B065B" w14:textId="77777777" w:rsidR="000F62B4" w:rsidRPr="004F6DA1" w:rsidRDefault="000F62B4" w:rsidP="004F6DA1">
      <w:pPr>
        <w:pStyle w:val="enumlev1"/>
      </w:pPr>
      <w:r w:rsidRPr="004F6DA1">
        <w:t>–</w:t>
      </w:r>
      <w:r w:rsidRPr="004F6DA1">
        <w:tab/>
        <w:t>evaluación de daños y planificación de las operaciones de socorro;</w:t>
      </w:r>
    </w:p>
    <w:p w14:paraId="287F99AA" w14:textId="77777777" w:rsidR="000F62B4" w:rsidRPr="006C7415" w:rsidRDefault="000F62B4" w:rsidP="004F6DA1">
      <w:pPr>
        <w:pStyle w:val="enumlev1"/>
        <w:rPr>
          <w:lang w:val="es-ES"/>
        </w:rPr>
      </w:pPr>
      <w:r w:rsidRPr="004F6DA1">
        <w:t>–</w:t>
      </w:r>
      <w:r w:rsidRPr="004F6DA1">
        <w:tab/>
        <w:t>vigilancia</w:t>
      </w:r>
      <w:r>
        <w:rPr>
          <w:lang w:val="es-ES"/>
        </w:rPr>
        <w:t xml:space="preserve"> y mitigación de fenómenos meteorológicos espaciales.</w:t>
      </w:r>
    </w:p>
    <w:p w14:paraId="6B5FD580" w14:textId="58456CDB" w:rsidR="00D94106" w:rsidRPr="00C414E3" w:rsidRDefault="00D94106" w:rsidP="00D94106">
      <w:pPr>
        <w:rPr>
          <w:lang w:val="es-ES"/>
        </w:rPr>
      </w:pPr>
      <w:r w:rsidRPr="00C414E3">
        <w:rPr>
          <w:lang w:val="es-ES"/>
        </w:rPr>
        <w:t xml:space="preserve">La CE 7 también se ocupa de los sistemas para el estudio del espacio </w:t>
      </w:r>
      <w:r>
        <w:rPr>
          <w:lang w:val="es-ES"/>
        </w:rPr>
        <w:t>ultraterrestre</w:t>
      </w:r>
      <w:r w:rsidRPr="00C414E3">
        <w:rPr>
          <w:lang w:val="es-ES"/>
        </w:rPr>
        <w:t>:</w:t>
      </w:r>
    </w:p>
    <w:p w14:paraId="568E87FC" w14:textId="22D1903C" w:rsidR="00D94106" w:rsidRPr="00C414E3" w:rsidRDefault="00D94106" w:rsidP="00D94106">
      <w:pPr>
        <w:pStyle w:val="enumlev1"/>
        <w:rPr>
          <w:lang w:val="es-ES"/>
        </w:rPr>
      </w:pPr>
      <w:r w:rsidRPr="00C414E3">
        <w:rPr>
          <w:lang w:val="es-ES"/>
        </w:rPr>
        <w:t>–</w:t>
      </w:r>
      <w:r w:rsidRPr="00C414E3">
        <w:rPr>
          <w:lang w:val="es-ES"/>
        </w:rPr>
        <w:tab/>
        <w:t>satélites para el estudio del sol, la magnetosfera y todos los elementos de nuestro</w:t>
      </w:r>
      <w:r>
        <w:rPr>
          <w:lang w:val="es-ES"/>
        </w:rPr>
        <w:t xml:space="preserve"> sistema solar</w:t>
      </w:r>
      <w:r w:rsidRPr="00C414E3">
        <w:rPr>
          <w:lang w:val="es-ES"/>
        </w:rPr>
        <w:t>;</w:t>
      </w:r>
    </w:p>
    <w:p w14:paraId="3503AB62" w14:textId="0A998FCD" w:rsidR="00D94106" w:rsidRPr="00C414E3" w:rsidRDefault="00D94106" w:rsidP="00D94106">
      <w:pPr>
        <w:pStyle w:val="enumlev1"/>
        <w:rPr>
          <w:lang w:val="es-ES"/>
        </w:rPr>
      </w:pPr>
      <w:r w:rsidRPr="00C414E3">
        <w:rPr>
          <w:lang w:val="es-ES"/>
        </w:rPr>
        <w:t>–</w:t>
      </w:r>
      <w:r w:rsidRPr="00C414E3">
        <w:rPr>
          <w:lang w:val="es-ES"/>
        </w:rPr>
        <w:tab/>
        <w:t>vehículos espaciales para la exploración humana y robótica de cuer</w:t>
      </w:r>
      <w:r>
        <w:rPr>
          <w:lang w:val="es-ES"/>
        </w:rPr>
        <w:t>pos extraterrestres</w:t>
      </w:r>
      <w:r w:rsidRPr="00C414E3">
        <w:rPr>
          <w:lang w:val="es-ES"/>
        </w:rPr>
        <w:t>;</w:t>
      </w:r>
    </w:p>
    <w:p w14:paraId="68D2AA76" w14:textId="40AD787B" w:rsidR="00D94106" w:rsidRPr="00C414E3" w:rsidRDefault="00D94106" w:rsidP="00D94106">
      <w:pPr>
        <w:pStyle w:val="enumlev1"/>
        <w:rPr>
          <w:lang w:val="es-ES"/>
        </w:rPr>
      </w:pPr>
      <w:r w:rsidRPr="00C414E3">
        <w:rPr>
          <w:lang w:val="es-ES"/>
        </w:rPr>
        <w:t>–</w:t>
      </w:r>
      <w:r w:rsidRPr="00C414E3">
        <w:rPr>
          <w:lang w:val="es-ES"/>
        </w:rPr>
        <w:tab/>
        <w:t>sistemas de investigación lunar, de Lagrange y del espacio lejano</w:t>
      </w:r>
      <w:r w:rsidR="00D70AFF" w:rsidRPr="00C414E3">
        <w:rPr>
          <w:lang w:val="es-ES"/>
        </w:rPr>
        <w:t xml:space="preserve"> y de interfe</w:t>
      </w:r>
      <w:r w:rsidR="00D70AFF">
        <w:rPr>
          <w:lang w:val="es-ES"/>
        </w:rPr>
        <w:t>rometría con línea de base muy larga espacial, incluidas sus estaciones terrenas asociadas</w:t>
      </w:r>
      <w:r w:rsidRPr="00C414E3">
        <w:rPr>
          <w:lang w:val="es-ES"/>
        </w:rPr>
        <w:t>;</w:t>
      </w:r>
    </w:p>
    <w:p w14:paraId="74E2653A" w14:textId="757EB3AF" w:rsidR="00D94106" w:rsidRPr="00C414E3" w:rsidRDefault="00D94106" w:rsidP="00D94106">
      <w:pPr>
        <w:pStyle w:val="enumlev1"/>
        <w:rPr>
          <w:lang w:val="es-ES"/>
        </w:rPr>
      </w:pPr>
      <w:r w:rsidRPr="00C414E3">
        <w:rPr>
          <w:lang w:val="es-ES"/>
        </w:rPr>
        <w:t>–</w:t>
      </w:r>
      <w:r w:rsidRPr="00C414E3">
        <w:rPr>
          <w:lang w:val="es-ES"/>
        </w:rPr>
        <w:tab/>
      </w:r>
      <w:r w:rsidR="00D70AFF" w:rsidRPr="00C414E3">
        <w:rPr>
          <w:lang w:val="es-ES"/>
        </w:rPr>
        <w:t>Radioastronomía terrena y por satélite para el estudio del univ</w:t>
      </w:r>
      <w:r w:rsidR="00D70AFF">
        <w:rPr>
          <w:lang w:val="es-ES"/>
        </w:rPr>
        <w:t>erso y sus fenómenos</w:t>
      </w:r>
      <w:r w:rsidRPr="00C414E3">
        <w:rPr>
          <w:lang w:val="es-ES"/>
        </w:rPr>
        <w:t>.</w:t>
      </w:r>
    </w:p>
    <w:p w14:paraId="2C5265A5" w14:textId="7492E7CE" w:rsidR="00D94106" w:rsidRPr="00C414E3" w:rsidRDefault="00D70AFF" w:rsidP="00D94106">
      <w:pPr>
        <w:rPr>
          <w:lang w:val="es-ES"/>
        </w:rPr>
      </w:pPr>
      <w:r w:rsidRPr="00C414E3">
        <w:rPr>
          <w:lang w:val="es-ES"/>
        </w:rPr>
        <w:t>Los Grupos de Trabajo</w:t>
      </w:r>
      <w:r w:rsidR="00D94106" w:rsidRPr="00C414E3">
        <w:rPr>
          <w:lang w:val="es-ES"/>
        </w:rPr>
        <w:t xml:space="preserve"> 7A, 7B, 7C </w:t>
      </w:r>
      <w:r w:rsidRPr="00C414E3">
        <w:rPr>
          <w:lang w:val="es-ES"/>
        </w:rPr>
        <w:t>y</w:t>
      </w:r>
      <w:r w:rsidR="00D94106" w:rsidRPr="00C414E3">
        <w:rPr>
          <w:lang w:val="es-ES"/>
        </w:rPr>
        <w:t xml:space="preserve"> 7D </w:t>
      </w:r>
      <w:r w:rsidRPr="00C414E3">
        <w:rPr>
          <w:lang w:val="es-ES"/>
        </w:rPr>
        <w:t xml:space="preserve">se reunieron del </w:t>
      </w:r>
      <w:r w:rsidR="00D94106" w:rsidRPr="00C414E3">
        <w:rPr>
          <w:lang w:val="es-ES"/>
        </w:rPr>
        <w:t xml:space="preserve">16 </w:t>
      </w:r>
      <w:r w:rsidRPr="00C414E3">
        <w:rPr>
          <w:lang w:val="es-ES"/>
        </w:rPr>
        <w:t>a</w:t>
      </w:r>
      <w:r>
        <w:rPr>
          <w:lang w:val="es-ES"/>
        </w:rPr>
        <w:t>l</w:t>
      </w:r>
      <w:r w:rsidR="00D94106" w:rsidRPr="00C414E3">
        <w:rPr>
          <w:lang w:val="es-ES"/>
        </w:rPr>
        <w:t xml:space="preserve"> 27 </w:t>
      </w:r>
      <w:r>
        <w:rPr>
          <w:lang w:val="es-ES"/>
        </w:rPr>
        <w:t>de septiembre de</w:t>
      </w:r>
      <w:r w:rsidR="00D94106" w:rsidRPr="00C414E3">
        <w:rPr>
          <w:lang w:val="es-ES"/>
        </w:rPr>
        <w:t xml:space="preserve"> 2024 </w:t>
      </w:r>
      <w:r>
        <w:rPr>
          <w:lang w:val="es-ES"/>
        </w:rPr>
        <w:t>e</w:t>
      </w:r>
      <w:r w:rsidR="00D94106" w:rsidRPr="00C414E3">
        <w:rPr>
          <w:lang w:val="es-ES"/>
        </w:rPr>
        <w:t>n Almaty</w:t>
      </w:r>
      <w:r>
        <w:rPr>
          <w:lang w:val="es-ES"/>
        </w:rPr>
        <w:t xml:space="preserve"> por amable invitación de la Administración de Kazajstán. </w:t>
      </w:r>
      <w:r w:rsidRPr="00D70AFF">
        <w:rPr>
          <w:lang w:val="es-ES"/>
        </w:rPr>
        <w:t xml:space="preserve">En el </w:t>
      </w:r>
      <w:r w:rsidRPr="00C414E3">
        <w:rPr>
          <w:lang w:val="es-ES"/>
        </w:rPr>
        <w:t>marco de estas reuniones se celebraron además los siguientes eventos</w:t>
      </w:r>
      <w:r w:rsidR="00D94106" w:rsidRPr="00C414E3">
        <w:rPr>
          <w:lang w:val="es-ES"/>
        </w:rPr>
        <w:t>:</w:t>
      </w:r>
    </w:p>
    <w:p w14:paraId="70124347" w14:textId="6922CADF" w:rsidR="00D94106" w:rsidRPr="00C414E3" w:rsidRDefault="00D94106" w:rsidP="00D94106">
      <w:pPr>
        <w:pStyle w:val="enumlev1"/>
        <w:rPr>
          <w:lang w:val="es-ES"/>
        </w:rPr>
      </w:pPr>
      <w:r w:rsidRPr="00C414E3">
        <w:rPr>
          <w:lang w:val="es-ES"/>
        </w:rPr>
        <w:t>–</w:t>
      </w:r>
      <w:r w:rsidRPr="00C414E3">
        <w:rPr>
          <w:lang w:val="es-ES"/>
        </w:rPr>
        <w:tab/>
      </w:r>
      <w:r w:rsidR="00D70AFF" w:rsidRPr="00C414E3">
        <w:rPr>
          <w:lang w:val="es-ES"/>
        </w:rPr>
        <w:t xml:space="preserve">Seminario OMM-UIT sobre </w:t>
      </w:r>
      <w:r w:rsidR="00570100" w:rsidRPr="00570100">
        <w:rPr>
          <w:lang w:val="es-ES"/>
        </w:rPr>
        <w:t>«</w:t>
      </w:r>
      <w:r w:rsidR="00D70AFF" w:rsidRPr="00C414E3">
        <w:rPr>
          <w:lang w:val="es-ES"/>
        </w:rPr>
        <w:t xml:space="preserve">Observación de la Tierra </w:t>
      </w:r>
      <w:r w:rsidR="00D70AFF">
        <w:rPr>
          <w:lang w:val="es-ES"/>
        </w:rPr>
        <w:t>para los Objetivos de Desarrollo Sostenible: tecnologías, espectro, aplicaciones, consecuencias</w:t>
      </w:r>
      <w:r w:rsidR="00570100" w:rsidRPr="00570100">
        <w:rPr>
          <w:lang w:val="es-ES"/>
        </w:rPr>
        <w:t>»</w:t>
      </w:r>
      <w:r w:rsidRPr="00C414E3">
        <w:rPr>
          <w:lang w:val="es-ES"/>
        </w:rPr>
        <w:t xml:space="preserve">, 16-17 </w:t>
      </w:r>
      <w:r w:rsidR="00D70AFF">
        <w:rPr>
          <w:lang w:val="es-ES"/>
        </w:rPr>
        <w:t>de septiembre de</w:t>
      </w:r>
      <w:r w:rsidRPr="00C414E3">
        <w:rPr>
          <w:lang w:val="es-ES"/>
        </w:rPr>
        <w:t xml:space="preserve"> 2024, Almaty, Kaza</w:t>
      </w:r>
      <w:r w:rsidR="00D70AFF">
        <w:rPr>
          <w:lang w:val="es-ES"/>
        </w:rPr>
        <w:t>j</w:t>
      </w:r>
      <w:r w:rsidRPr="00C414E3">
        <w:rPr>
          <w:lang w:val="es-ES"/>
        </w:rPr>
        <w:t>st</w:t>
      </w:r>
      <w:r w:rsidR="00D70AFF">
        <w:rPr>
          <w:lang w:val="es-ES"/>
        </w:rPr>
        <w:t>á</w:t>
      </w:r>
      <w:r w:rsidRPr="00C414E3">
        <w:rPr>
          <w:lang w:val="es-ES"/>
        </w:rPr>
        <w:t>n.</w:t>
      </w:r>
    </w:p>
    <w:p w14:paraId="07AC00EB" w14:textId="278CB484" w:rsidR="00D94106" w:rsidRPr="00C414E3" w:rsidRDefault="00D94106" w:rsidP="00D94106">
      <w:pPr>
        <w:pStyle w:val="enumlev1"/>
        <w:rPr>
          <w:lang w:val="es-ES"/>
        </w:rPr>
      </w:pPr>
      <w:r w:rsidRPr="00C414E3">
        <w:rPr>
          <w:lang w:val="es-ES"/>
        </w:rPr>
        <w:t>–</w:t>
      </w:r>
      <w:r w:rsidRPr="00C414E3">
        <w:rPr>
          <w:lang w:val="es-ES"/>
        </w:rPr>
        <w:tab/>
      </w:r>
      <w:r w:rsidR="00D70AFF" w:rsidRPr="00C414E3">
        <w:rPr>
          <w:lang w:val="es-ES"/>
        </w:rPr>
        <w:t xml:space="preserve">Taller de la UIT sobre Radioastronomía, 16 de septiembre de 2024, Almaty, </w:t>
      </w:r>
      <w:r w:rsidR="00D70AFF">
        <w:rPr>
          <w:lang w:val="es-ES"/>
        </w:rPr>
        <w:t>Kazajstán</w:t>
      </w:r>
      <w:r w:rsidRPr="00C414E3">
        <w:rPr>
          <w:lang w:val="es-ES"/>
        </w:rPr>
        <w:t>.</w:t>
      </w:r>
    </w:p>
    <w:p w14:paraId="6CABF03D" w14:textId="3CACC8F2" w:rsidR="00D94106" w:rsidRPr="00C414E3" w:rsidRDefault="00D70AFF" w:rsidP="00D94106">
      <w:pPr>
        <w:rPr>
          <w:lang w:val="es-ES"/>
        </w:rPr>
      </w:pPr>
      <w:r w:rsidRPr="00C414E3">
        <w:rPr>
          <w:lang w:val="es-ES"/>
        </w:rPr>
        <w:lastRenderedPageBreak/>
        <w:t>La próxima reunión de la Comisión de Estudio 7 se celebrará el 27 de marzo de 2025 y los GT</w:t>
      </w:r>
      <w:r w:rsidR="00D94106" w:rsidRPr="00C414E3">
        <w:rPr>
          <w:lang w:val="es-ES"/>
        </w:rPr>
        <w:t xml:space="preserve"> 7A, 7B, 7C </w:t>
      </w:r>
      <w:r w:rsidRPr="00C414E3">
        <w:rPr>
          <w:lang w:val="es-ES"/>
        </w:rPr>
        <w:t>y</w:t>
      </w:r>
      <w:r w:rsidR="00D94106" w:rsidRPr="00C414E3">
        <w:rPr>
          <w:lang w:val="es-ES"/>
        </w:rPr>
        <w:t xml:space="preserve"> 7D </w:t>
      </w:r>
      <w:r>
        <w:rPr>
          <w:lang w:val="es-ES"/>
        </w:rPr>
        <w:t>se reunirán del 17 al 26 de marzo de</w:t>
      </w:r>
      <w:r w:rsidR="00D94106" w:rsidRPr="00C414E3">
        <w:rPr>
          <w:lang w:val="es-ES"/>
        </w:rPr>
        <w:t xml:space="preserve"> 2025.</w:t>
      </w:r>
    </w:p>
    <w:p w14:paraId="53746CD6" w14:textId="41053E42" w:rsidR="000F62B4" w:rsidRPr="006C7415" w:rsidRDefault="00570100" w:rsidP="001F6E24">
      <w:pPr>
        <w:pStyle w:val="Heading2"/>
        <w:rPr>
          <w:lang w:val="es-ES"/>
        </w:rPr>
      </w:pPr>
      <w:r>
        <w:rPr>
          <w:bCs/>
          <w:lang w:val="es-ES"/>
        </w:rPr>
        <w:t>5</w:t>
      </w:r>
      <w:r w:rsidR="000F62B4">
        <w:rPr>
          <w:bCs/>
          <w:lang w:val="es-ES"/>
        </w:rPr>
        <w:t>.7</w:t>
      </w:r>
      <w:r w:rsidR="000F62B4">
        <w:rPr>
          <w:lang w:val="es-ES"/>
        </w:rPr>
        <w:tab/>
      </w:r>
      <w:r w:rsidR="000F62B4">
        <w:rPr>
          <w:bCs/>
          <w:lang w:val="es-ES"/>
        </w:rPr>
        <w:t>Comité de Coordinación de Vocabulario</w:t>
      </w:r>
    </w:p>
    <w:p w14:paraId="2B2FAA4A" w14:textId="77777777" w:rsidR="00D70AFF" w:rsidRPr="006C7415" w:rsidRDefault="00D70AFF" w:rsidP="00D70AFF">
      <w:pPr>
        <w:rPr>
          <w:lang w:val="es-ES"/>
        </w:rPr>
      </w:pPr>
      <w:r>
        <w:rPr>
          <w:lang w:val="es-ES"/>
        </w:rPr>
        <w:t>El CCT UIT está compuesto por:</w:t>
      </w:r>
    </w:p>
    <w:p w14:paraId="5EA4A263" w14:textId="77777777" w:rsidR="00D70AFF" w:rsidRPr="006C7415" w:rsidRDefault="00D70AFF" w:rsidP="00D70AFF">
      <w:pPr>
        <w:pStyle w:val="enumlev1"/>
        <w:rPr>
          <w:lang w:val="es-ES"/>
        </w:rPr>
      </w:pPr>
      <w:r>
        <w:rPr>
          <w:lang w:val="es-ES"/>
        </w:rPr>
        <w:t>−</w:t>
      </w:r>
      <w:r>
        <w:rPr>
          <w:lang w:val="es-ES"/>
        </w:rPr>
        <w:tab/>
        <w:t>el CCV del UIT-R, cuyo funcionamiento se rige por la Resolución UIT-R 36;</w:t>
      </w:r>
    </w:p>
    <w:p w14:paraId="6CF69112" w14:textId="0DE76593" w:rsidR="00D70AFF" w:rsidRDefault="00D70AFF" w:rsidP="00D70AFF">
      <w:pPr>
        <w:pStyle w:val="enumlev1"/>
        <w:rPr>
          <w:lang w:val="es-ES"/>
        </w:rPr>
      </w:pPr>
      <w:r>
        <w:rPr>
          <w:lang w:val="es-ES"/>
        </w:rPr>
        <w:t>−</w:t>
      </w:r>
      <w:r>
        <w:rPr>
          <w:lang w:val="es-ES"/>
        </w:rPr>
        <w:tab/>
        <w:t>el funcionamiento del CNV del UIT-T con arreglo a la Resolución 67 (Rev. Nueva Delhi, 2024) de la AMNT, y</w:t>
      </w:r>
    </w:p>
    <w:p w14:paraId="4A2848F6" w14:textId="77777777" w:rsidR="00D70AFF" w:rsidRPr="006C7415" w:rsidRDefault="00D70AFF" w:rsidP="00D70AFF">
      <w:pPr>
        <w:pStyle w:val="enumlev1"/>
        <w:rPr>
          <w:lang w:val="es-ES"/>
        </w:rPr>
      </w:pPr>
      <w:r>
        <w:rPr>
          <w:lang w:val="es-ES"/>
        </w:rPr>
        <w:t>−</w:t>
      </w:r>
      <w:r>
        <w:rPr>
          <w:lang w:val="es-ES"/>
        </w:rPr>
        <w:tab/>
        <w:t>representantes del UIT-D.</w:t>
      </w:r>
    </w:p>
    <w:p w14:paraId="041D3F49" w14:textId="092521E7" w:rsidR="00D70AFF" w:rsidRPr="00C414E3" w:rsidRDefault="00D70AFF" w:rsidP="00D70AFF">
      <w:pPr>
        <w:rPr>
          <w:lang w:val="es-ES"/>
        </w:rPr>
      </w:pPr>
      <w:r w:rsidRPr="00C414E3">
        <w:rPr>
          <w:lang w:val="es-ES"/>
        </w:rPr>
        <w:t>El CCT UIT prosigue su labor de armonización de la terminología y las definiciones en la UIT sobre la base de las propuestas que le facilitan las Comisiones de Estudio de la UIT en inglés, y validando su tradu</w:t>
      </w:r>
      <w:r>
        <w:rPr>
          <w:lang w:val="es-ES"/>
        </w:rPr>
        <w:t xml:space="preserve">cción a los otros cinco idiomas oficiales de la Unión. </w:t>
      </w:r>
      <w:r w:rsidRPr="00D70AFF">
        <w:rPr>
          <w:lang w:val="es-ES"/>
        </w:rPr>
        <w:t>El trabajo de</w:t>
      </w:r>
      <w:r w:rsidRPr="00C414E3">
        <w:rPr>
          <w:lang w:val="es-ES"/>
        </w:rPr>
        <w:t xml:space="preserve">l CCT está dirigido por los </w:t>
      </w:r>
      <w:proofErr w:type="gramStart"/>
      <w:r w:rsidRPr="00C414E3">
        <w:rPr>
          <w:lang w:val="es-ES"/>
        </w:rPr>
        <w:t>Presidentes</w:t>
      </w:r>
      <w:proofErr w:type="gramEnd"/>
      <w:r w:rsidRPr="00C414E3">
        <w:rPr>
          <w:lang w:val="es-ES"/>
        </w:rPr>
        <w:t xml:space="preserve"> del CCV y el CNV, que cuentan con la activa asistencia de los Vicepresidentes, los Relatores para el Vocabulario y otros representantes de los tres </w:t>
      </w:r>
      <w:r>
        <w:rPr>
          <w:lang w:val="es-ES"/>
        </w:rPr>
        <w:t>Sectores de la UIT</w:t>
      </w:r>
      <w:r w:rsidRPr="00C414E3">
        <w:rPr>
          <w:lang w:val="es-ES"/>
        </w:rPr>
        <w:t xml:space="preserve">. </w:t>
      </w:r>
    </w:p>
    <w:p w14:paraId="7111947B" w14:textId="0D479E00" w:rsidR="00D70AFF" w:rsidRPr="00C414E3" w:rsidRDefault="003C787A" w:rsidP="00D70AFF">
      <w:pPr>
        <w:rPr>
          <w:lang w:val="es-ES"/>
        </w:rPr>
      </w:pPr>
      <w:r w:rsidRPr="003C787A">
        <w:rPr>
          <w:lang w:val="es-ES"/>
        </w:rPr>
        <w:t>A pet</w:t>
      </w:r>
      <w:r w:rsidRPr="00C414E3">
        <w:rPr>
          <w:lang w:val="es-ES"/>
        </w:rPr>
        <w:t xml:space="preserve">ición de los Miembros la nueva página </w:t>
      </w:r>
      <w:hyperlink r:id="rId22" w:anchor="/es" w:history="1">
        <w:r w:rsidRPr="00031E56">
          <w:rPr>
            <w:rStyle w:val="Hyperlink"/>
            <w:lang w:val="es-ES"/>
          </w:rPr>
          <w:t>del CCT UIT</w:t>
        </w:r>
      </w:hyperlink>
      <w:r w:rsidRPr="00C414E3">
        <w:rPr>
          <w:lang w:val="es-ES"/>
        </w:rPr>
        <w:t xml:space="preserve"> se ha puesto en el sitio de la Secretaría General y puede accederse a ella a través de las páginas web del CCV y el CNV, así como desde</w:t>
      </w:r>
      <w:r>
        <w:rPr>
          <w:lang w:val="es-ES"/>
        </w:rPr>
        <w:t xml:space="preserve"> las páginas web dedicadas a la coordinación intersectorial y el </w:t>
      </w:r>
      <w:proofErr w:type="spellStart"/>
      <w:r>
        <w:rPr>
          <w:lang w:val="es-ES"/>
        </w:rPr>
        <w:t>multiligüismo</w:t>
      </w:r>
      <w:proofErr w:type="spellEnd"/>
      <w:r>
        <w:rPr>
          <w:lang w:val="es-ES"/>
        </w:rPr>
        <w:t xml:space="preserve"> y desde la pestaña </w:t>
      </w:r>
      <w:r w:rsidR="00570100" w:rsidRPr="00570100">
        <w:rPr>
          <w:lang w:val="es-ES"/>
        </w:rPr>
        <w:t>«</w:t>
      </w:r>
      <w:r w:rsidRPr="00EF6B94">
        <w:rPr>
          <w:lang w:val="es-ES"/>
        </w:rPr>
        <w:t>Quick</w:t>
      </w:r>
      <w:r w:rsidR="00570100" w:rsidRPr="00EF6B94">
        <w:rPr>
          <w:lang w:val="es-ES"/>
        </w:rPr>
        <w:t> </w:t>
      </w:r>
      <w:r w:rsidRPr="00EF6B94">
        <w:rPr>
          <w:lang w:val="es-ES"/>
        </w:rPr>
        <w:t>links</w:t>
      </w:r>
      <w:r w:rsidR="00570100" w:rsidRPr="00570100">
        <w:rPr>
          <w:lang w:val="es-ES"/>
        </w:rPr>
        <w:t>»</w:t>
      </w:r>
      <w:r>
        <w:rPr>
          <w:lang w:val="es-ES"/>
        </w:rPr>
        <w:t xml:space="preserve"> de la página principal de la Secretaría General. </w:t>
      </w:r>
      <w:r w:rsidRPr="003C787A">
        <w:rPr>
          <w:lang w:val="es-ES"/>
        </w:rPr>
        <w:t>Está en curso la a</w:t>
      </w:r>
      <w:r w:rsidRPr="00C414E3">
        <w:rPr>
          <w:lang w:val="es-ES"/>
        </w:rPr>
        <w:t>daptación de la estética de la página web para armonizarla con la de otros grupos de la Unión</w:t>
      </w:r>
      <w:r w:rsidR="00D70AFF" w:rsidRPr="00C414E3">
        <w:rPr>
          <w:lang w:val="es-ES"/>
        </w:rPr>
        <w:t>.</w:t>
      </w:r>
    </w:p>
    <w:p w14:paraId="4A7A1F08" w14:textId="47B77F6F" w:rsidR="00D70AFF" w:rsidRPr="00C414E3" w:rsidRDefault="003C787A" w:rsidP="00D70AFF">
      <w:pPr>
        <w:rPr>
          <w:color w:val="222A35"/>
          <w:lang w:val="es-ES"/>
        </w:rPr>
      </w:pPr>
      <w:r w:rsidRPr="00C414E3">
        <w:rPr>
          <w:lang w:val="es-ES"/>
        </w:rPr>
        <w:t>En su reunión de junio de 2024 el Consejo de la UIT adoptó una versión actualizada de su Resolución</w:t>
      </w:r>
      <w:r w:rsidR="00D70AFF" w:rsidRPr="00C414E3">
        <w:rPr>
          <w:lang w:val="es-ES"/>
        </w:rPr>
        <w:t xml:space="preserve"> 1386</w:t>
      </w:r>
      <w:r w:rsidRPr="00C414E3">
        <w:rPr>
          <w:lang w:val="es-ES"/>
        </w:rPr>
        <w:t>, rela</w:t>
      </w:r>
      <w:r>
        <w:rPr>
          <w:lang w:val="es-ES"/>
        </w:rPr>
        <w:t>tiva al Comité de Coordinación de la Terminología de la UIT, incluido su mandato, para armonizarla con la Resolución</w:t>
      </w:r>
      <w:r w:rsidR="00D70AFF" w:rsidRPr="00C414E3">
        <w:rPr>
          <w:lang w:val="es-ES"/>
        </w:rPr>
        <w:t xml:space="preserve"> 154 (Rev. Bucarest, 2022) </w:t>
      </w:r>
      <w:r>
        <w:rPr>
          <w:lang w:val="es-ES"/>
        </w:rPr>
        <w:t>de la Conferencia de Plenipotenciarios. A medida que evolucionen los trabajos del CCT UIT, el Comité considerará la posibilidad de someter al GTC-IDIOMAS propuestas de revisión de la Resolución</w:t>
      </w:r>
      <w:r w:rsidR="00D70AFF" w:rsidRPr="00C414E3">
        <w:rPr>
          <w:lang w:val="es-ES"/>
        </w:rPr>
        <w:t xml:space="preserve"> 154 </w:t>
      </w:r>
      <w:r>
        <w:rPr>
          <w:lang w:val="es-ES"/>
        </w:rPr>
        <w:t>que reflejen mejor sus objetivos</w:t>
      </w:r>
      <w:r w:rsidR="00D70AFF" w:rsidRPr="00C414E3">
        <w:rPr>
          <w:lang w:val="es-ES"/>
        </w:rPr>
        <w:t>.</w:t>
      </w:r>
    </w:p>
    <w:p w14:paraId="4A05428F" w14:textId="7FAB6D8E" w:rsidR="00D70AFF" w:rsidRPr="00C414E3" w:rsidRDefault="003C787A" w:rsidP="00D70AFF">
      <w:pPr>
        <w:rPr>
          <w:rFonts w:ascii="Aptos" w:hAnsi="Aptos"/>
          <w:sz w:val="22"/>
          <w:lang w:val="es-ES"/>
        </w:rPr>
      </w:pPr>
      <w:r w:rsidRPr="00C414E3">
        <w:rPr>
          <w:lang w:val="es-ES"/>
        </w:rPr>
        <w:t>Se han recibido respuestas positivas a la Carta Circular</w:t>
      </w:r>
      <w:r w:rsidR="00D70AFF" w:rsidRPr="00C414E3">
        <w:rPr>
          <w:lang w:val="es-ES"/>
        </w:rPr>
        <w:t xml:space="preserve"> </w:t>
      </w:r>
      <w:hyperlink r:id="rId23" w:tgtFrame="_blank" w:tooltip="https://www.itu.int/md/s23-sg-cir-0045/en" w:history="1">
        <w:r w:rsidR="00D70AFF" w:rsidRPr="00C414E3">
          <w:rPr>
            <w:rStyle w:val="Hyperlink"/>
            <w:rFonts w:eastAsia="SimSun"/>
            <w:lang w:val="es-ES"/>
          </w:rPr>
          <w:t>CL-23/45</w:t>
        </w:r>
      </w:hyperlink>
      <w:r w:rsidR="00D70AFF" w:rsidRPr="00C414E3">
        <w:rPr>
          <w:lang w:val="es-ES"/>
        </w:rPr>
        <w:t xml:space="preserve"> </w:t>
      </w:r>
      <w:r w:rsidRPr="00C414E3">
        <w:rPr>
          <w:lang w:val="es-ES"/>
        </w:rPr>
        <w:t>en la que se invita a tod</w:t>
      </w:r>
      <w:r>
        <w:rPr>
          <w:lang w:val="es-ES"/>
        </w:rPr>
        <w:t>os los Estados Miembros a recomendar entidades adecuadas interesadas en colaborar con el Departamento de Conferencias y Publicaciones</w:t>
      </w:r>
      <w:r w:rsidR="00D70AFF" w:rsidRPr="00C414E3">
        <w:rPr>
          <w:lang w:val="es-ES"/>
        </w:rPr>
        <w:t xml:space="preserve"> (C&amp;P) </w:t>
      </w:r>
      <w:r>
        <w:rPr>
          <w:lang w:val="es-ES"/>
        </w:rPr>
        <w:t>en materia de terminología. En julio de 2024 se inició la colaboración con cuatro instituciones: la Comisión de Comunicaciones, Espacio y Tecnología</w:t>
      </w:r>
      <w:r w:rsidR="00D70AFF" w:rsidRPr="00C414E3">
        <w:rPr>
          <w:lang w:val="es-ES"/>
        </w:rPr>
        <w:t xml:space="preserve"> (CST) </w:t>
      </w:r>
      <w:r w:rsidRPr="00C414E3">
        <w:rPr>
          <w:lang w:val="es-ES"/>
        </w:rPr>
        <w:t xml:space="preserve">de </w:t>
      </w:r>
      <w:r>
        <w:rPr>
          <w:lang w:val="es-ES"/>
        </w:rPr>
        <w:t>Arabia Saudita, el Instituto de Comunicaciones de China</w:t>
      </w:r>
      <w:r w:rsidR="00D70AFF" w:rsidRPr="00C414E3">
        <w:rPr>
          <w:lang w:val="es-ES"/>
        </w:rPr>
        <w:t xml:space="preserve"> (CIC), </w:t>
      </w:r>
      <w:r>
        <w:rPr>
          <w:lang w:val="es-ES"/>
        </w:rPr>
        <w:t xml:space="preserve">el Instituto de Investigación y Desarrollo </w:t>
      </w:r>
      <w:r w:rsidR="00D70AFF" w:rsidRPr="00C414E3">
        <w:rPr>
          <w:lang w:val="es-ES"/>
        </w:rPr>
        <w:t xml:space="preserve">M.I. </w:t>
      </w:r>
      <w:proofErr w:type="spellStart"/>
      <w:r w:rsidR="00D70AFF" w:rsidRPr="00C414E3">
        <w:rPr>
          <w:lang w:val="es-ES"/>
        </w:rPr>
        <w:t>Krivosheev</w:t>
      </w:r>
      <w:proofErr w:type="spellEnd"/>
      <w:r w:rsidR="00D70AFF" w:rsidRPr="00C414E3">
        <w:rPr>
          <w:lang w:val="es-ES"/>
        </w:rPr>
        <w:t xml:space="preserve"> (NIIR) </w:t>
      </w:r>
      <w:r>
        <w:rPr>
          <w:lang w:val="es-ES"/>
        </w:rPr>
        <w:t>de</w:t>
      </w:r>
      <w:r w:rsidR="00D70AFF" w:rsidRPr="00C414E3">
        <w:rPr>
          <w:lang w:val="es-ES"/>
        </w:rPr>
        <w:t xml:space="preserve"> Rusia</w:t>
      </w:r>
      <w:r>
        <w:rPr>
          <w:lang w:val="es-ES"/>
        </w:rPr>
        <w:t xml:space="preserve"> y </w:t>
      </w:r>
      <w:r w:rsidRPr="00DB1718">
        <w:rPr>
          <w:i/>
          <w:iCs/>
          <w:lang w:val="es-ES"/>
        </w:rPr>
        <w:t>el</w:t>
      </w:r>
      <w:r w:rsidR="00D70AFF" w:rsidRPr="00C414E3">
        <w:rPr>
          <w:i/>
          <w:iCs/>
          <w:lang w:val="es-ES"/>
        </w:rPr>
        <w:t xml:space="preserve"> Colegio Oficial de Ingenieros de </w:t>
      </w:r>
      <w:proofErr w:type="spellStart"/>
      <w:r w:rsidR="00D70AFF" w:rsidRPr="00C414E3">
        <w:rPr>
          <w:i/>
          <w:iCs/>
          <w:lang w:val="es-ES"/>
        </w:rPr>
        <w:t>Telecommunicación</w:t>
      </w:r>
      <w:proofErr w:type="spellEnd"/>
      <w:r w:rsidR="00D70AFF" w:rsidRPr="00C414E3">
        <w:rPr>
          <w:lang w:val="es-ES"/>
        </w:rPr>
        <w:t xml:space="preserve"> (COIT) </w:t>
      </w:r>
      <w:r>
        <w:rPr>
          <w:lang w:val="es-ES"/>
        </w:rPr>
        <w:t>de España.</w:t>
      </w:r>
      <w:r w:rsidR="00D70AFF" w:rsidRPr="00C414E3">
        <w:rPr>
          <w:lang w:val="es-ES"/>
        </w:rPr>
        <w:t xml:space="preserve"> C&amp;P </w:t>
      </w:r>
      <w:r w:rsidRPr="00C414E3">
        <w:rPr>
          <w:lang w:val="es-ES"/>
        </w:rPr>
        <w:t xml:space="preserve">colabora estrechamente con estas entidades en la traducción de términos </w:t>
      </w:r>
      <w:r>
        <w:rPr>
          <w:lang w:val="es-ES"/>
        </w:rPr>
        <w:t>y definiciones a otros idiomas oficiales.</w:t>
      </w:r>
      <w:r w:rsidR="00114043">
        <w:rPr>
          <w:lang w:val="es-ES"/>
        </w:rPr>
        <w:t xml:space="preserve"> </w:t>
      </w:r>
      <w:r w:rsidR="00114043" w:rsidRPr="00114043">
        <w:rPr>
          <w:lang w:val="es-ES"/>
        </w:rPr>
        <w:t>A fin de aumentar el contenido multi</w:t>
      </w:r>
      <w:r w:rsidR="00114043" w:rsidRPr="00C414E3">
        <w:rPr>
          <w:lang w:val="es-ES"/>
        </w:rPr>
        <w:t xml:space="preserve">lingüe de la base de datos de Términos y </w:t>
      </w:r>
      <w:r w:rsidR="00114043" w:rsidRPr="00114043">
        <w:rPr>
          <w:lang w:val="es-ES"/>
        </w:rPr>
        <w:t>De</w:t>
      </w:r>
      <w:r w:rsidR="00114043" w:rsidRPr="00C414E3">
        <w:rPr>
          <w:lang w:val="es-ES"/>
        </w:rPr>
        <w:t xml:space="preserve">finiciones de la </w:t>
      </w:r>
      <w:r w:rsidR="00114043">
        <w:rPr>
          <w:lang w:val="es-ES"/>
        </w:rPr>
        <w:t xml:space="preserve">UIT, </w:t>
      </w:r>
      <w:r w:rsidR="00D70AFF" w:rsidRPr="00C414E3">
        <w:rPr>
          <w:lang w:val="es-ES"/>
        </w:rPr>
        <w:t xml:space="preserve">C&amp;P </w:t>
      </w:r>
      <w:r w:rsidR="00114043" w:rsidRPr="00C414E3">
        <w:rPr>
          <w:lang w:val="es-ES"/>
        </w:rPr>
        <w:t>y</w:t>
      </w:r>
      <w:r w:rsidR="00114043">
        <w:rPr>
          <w:lang w:val="es-ES"/>
        </w:rPr>
        <w:t xml:space="preserve"> la Oficina de Normalización de las Telecomunicaciones están además preparando una solución para integrar las traducciones de términos y definiciones de Recomendaciones UIT-T ya traducidas</w:t>
      </w:r>
      <w:r w:rsidR="00D70AFF" w:rsidRPr="00C414E3">
        <w:rPr>
          <w:lang w:val="es-ES"/>
        </w:rPr>
        <w:t>.</w:t>
      </w:r>
    </w:p>
    <w:p w14:paraId="46D73AD2" w14:textId="035B77C7" w:rsidR="00D70AFF" w:rsidRPr="00C414E3" w:rsidRDefault="00114043" w:rsidP="00D70AFF">
      <w:pPr>
        <w:rPr>
          <w:lang w:val="es-ES"/>
        </w:rPr>
      </w:pPr>
      <w:r w:rsidRPr="00C414E3">
        <w:rPr>
          <w:lang w:val="es-ES"/>
        </w:rPr>
        <w:t xml:space="preserve">Los términos y definiciones en inglés validados por el CCT se traducen a los otros cinco idiomas oficiales de la Unión antes de integrarlos en </w:t>
      </w:r>
      <w:r>
        <w:rPr>
          <w:lang w:val="es-ES"/>
        </w:rPr>
        <w:t xml:space="preserve">la </w:t>
      </w:r>
      <w:hyperlink r:id="rId24" w:anchor="/" w:history="1">
        <w:r w:rsidRPr="00114043">
          <w:rPr>
            <w:rStyle w:val="Hyperlink"/>
            <w:lang w:val="es-ES"/>
          </w:rPr>
          <w:t>base de datos de Términos y Definiciones de la UIT</w:t>
        </w:r>
      </w:hyperlink>
      <w:r w:rsidR="00D70AFF" w:rsidRPr="00C414E3">
        <w:rPr>
          <w:lang w:val="es-ES"/>
        </w:rPr>
        <w:t>.</w:t>
      </w:r>
    </w:p>
    <w:p w14:paraId="6F1903FA" w14:textId="77777777" w:rsidR="000F62B4" w:rsidRPr="006C7415" w:rsidRDefault="000F62B4" w:rsidP="001F6E24">
      <w:pPr>
        <w:rPr>
          <w:lang w:val="es-ES"/>
        </w:rPr>
      </w:pPr>
      <w:r>
        <w:rPr>
          <w:lang w:val="es-ES"/>
        </w:rPr>
        <w:t>Las Comisiones de Estudio del UIT-R y el UIT-T, en el marco de sus mandatos, deben proseguir su labor sobre los términos técnicos y de explotación, así como sus definiciones, únicamente en inglés;</w:t>
      </w:r>
    </w:p>
    <w:p w14:paraId="2DBA851C" w14:textId="732C97CC" w:rsidR="000F62B4" w:rsidRDefault="000F62B4" w:rsidP="001F6E24">
      <w:pPr>
        <w:rPr>
          <w:lang w:val="es-ES"/>
        </w:rPr>
      </w:pPr>
      <w:r>
        <w:rPr>
          <w:lang w:val="es-ES"/>
        </w:rPr>
        <w:t xml:space="preserve">La próxima reunión del CCT está prevista para </w:t>
      </w:r>
      <w:r w:rsidR="00114043">
        <w:rPr>
          <w:lang w:val="es-ES"/>
        </w:rPr>
        <w:t>el 11 de marzo de 2025</w:t>
      </w:r>
      <w:r>
        <w:rPr>
          <w:lang w:val="es-ES"/>
        </w:rPr>
        <w:t>.</w:t>
      </w:r>
    </w:p>
    <w:p w14:paraId="0E476546" w14:textId="1EE40BC4" w:rsidR="00114043" w:rsidRPr="00C414E3" w:rsidRDefault="00114043" w:rsidP="00114043">
      <w:pPr>
        <w:pStyle w:val="Heading2"/>
        <w:rPr>
          <w:lang w:val="es-ES"/>
        </w:rPr>
      </w:pPr>
      <w:r w:rsidRPr="00C414E3">
        <w:rPr>
          <w:lang w:val="es-ES"/>
        </w:rPr>
        <w:t>5.8</w:t>
      </w:r>
      <w:r w:rsidRPr="00C414E3">
        <w:rPr>
          <w:lang w:val="es-ES"/>
        </w:rPr>
        <w:tab/>
        <w:t xml:space="preserve">Nombramiento de </w:t>
      </w:r>
      <w:proofErr w:type="gramStart"/>
      <w:r w:rsidRPr="00C414E3">
        <w:rPr>
          <w:lang w:val="es-ES"/>
        </w:rPr>
        <w:t>Vicepresidentes</w:t>
      </w:r>
      <w:proofErr w:type="gramEnd"/>
      <w:r w:rsidRPr="00C414E3">
        <w:rPr>
          <w:lang w:val="es-ES"/>
        </w:rPr>
        <w:t xml:space="preserve"> de Comisiones de Estudio y del CCV</w:t>
      </w:r>
    </w:p>
    <w:p w14:paraId="6404DE62" w14:textId="02C87CFF" w:rsidR="00114043" w:rsidRPr="00114043" w:rsidRDefault="00114043" w:rsidP="00114043">
      <w:pPr>
        <w:rPr>
          <w:szCs w:val="24"/>
        </w:rPr>
      </w:pPr>
      <w:r w:rsidRPr="00C414E3">
        <w:rPr>
          <w:lang w:val="es-ES"/>
        </w:rPr>
        <w:t xml:space="preserve">En su tercera Sesión Plenaria (véase el Documento Doc. </w:t>
      </w:r>
      <w:hyperlink r:id="rId25" w:history="1">
        <w:r w:rsidRPr="00114043">
          <w:rPr>
            <w:rStyle w:val="Hyperlink"/>
            <w:rFonts w:eastAsia="SimSun"/>
          </w:rPr>
          <w:t>RA23/PLEN/101(Rev.1)</w:t>
        </w:r>
      </w:hyperlink>
      <w:r w:rsidRPr="00114043">
        <w:t>)</w:t>
      </w:r>
      <w:r w:rsidRPr="00C414E3">
        <w:t xml:space="preserve"> la Asamblea de Radiocomunicaciones de</w:t>
      </w:r>
      <w:r w:rsidRPr="00114043">
        <w:t xml:space="preserve"> 2023 (</w:t>
      </w:r>
      <w:r w:rsidRPr="00C414E3">
        <w:t>A</w:t>
      </w:r>
      <w:r w:rsidRPr="00114043">
        <w:t>R-23) decid</w:t>
      </w:r>
      <w:r w:rsidRPr="00C414E3">
        <w:t>ió delegar en los grupos correspondientes (</w:t>
      </w:r>
      <w:r>
        <w:t xml:space="preserve">CE, CCV, </w:t>
      </w:r>
      <w:r>
        <w:lastRenderedPageBreak/>
        <w:t xml:space="preserve">GAR y RPC) la responsabilidad de nombrar a sus respectivos </w:t>
      </w:r>
      <w:proofErr w:type="gramStart"/>
      <w:r>
        <w:t>Vicepresidentes</w:t>
      </w:r>
      <w:proofErr w:type="gramEnd"/>
      <w:r>
        <w:t xml:space="preserve"> sobre la base del Documento</w:t>
      </w:r>
      <w:r w:rsidRPr="00114043">
        <w:rPr>
          <w:szCs w:val="24"/>
        </w:rPr>
        <w:t xml:space="preserve"> </w:t>
      </w:r>
      <w:hyperlink r:id="rId26" w:history="1">
        <w:r w:rsidRPr="00114043">
          <w:rPr>
            <w:rStyle w:val="Hyperlink"/>
            <w:rFonts w:eastAsia="SimSun"/>
            <w:szCs w:val="24"/>
          </w:rPr>
          <w:t>RA23/PLEN/91</w:t>
        </w:r>
      </w:hyperlink>
      <w:r w:rsidRPr="00114043">
        <w:rPr>
          <w:szCs w:val="24"/>
        </w:rPr>
        <w:t>.</w:t>
      </w:r>
    </w:p>
    <w:p w14:paraId="29D43908" w14:textId="28ED4109" w:rsidR="00114043" w:rsidRPr="00C414E3" w:rsidRDefault="00114043" w:rsidP="00114043">
      <w:pPr>
        <w:rPr>
          <w:szCs w:val="24"/>
          <w:lang w:val="es-ES"/>
        </w:rPr>
      </w:pPr>
      <w:r w:rsidRPr="00C414E3">
        <w:rPr>
          <w:szCs w:val="24"/>
        </w:rPr>
        <w:t xml:space="preserve">En las reuniones celebradas en 2024 cada CE nombró a sus </w:t>
      </w:r>
      <w:proofErr w:type="gramStart"/>
      <w:r w:rsidRPr="00C414E3">
        <w:rPr>
          <w:szCs w:val="24"/>
        </w:rPr>
        <w:t>Vicepresidentes</w:t>
      </w:r>
      <w:proofErr w:type="gramEnd"/>
      <w:r w:rsidRPr="00C414E3">
        <w:rPr>
          <w:szCs w:val="24"/>
        </w:rPr>
        <w:t xml:space="preserve"> siguiendo el procedimiento descrito en el Capítulo II del Reglamento general de las conferencias, asambleas y reuniones de la Unión</w:t>
      </w:r>
      <w:r>
        <w:rPr>
          <w:szCs w:val="24"/>
        </w:rPr>
        <w:t xml:space="preserve"> cuando no pudo hacerse por consenso. </w:t>
      </w:r>
      <w:r w:rsidRPr="00C414E3">
        <w:rPr>
          <w:szCs w:val="24"/>
          <w:lang w:val="es-ES"/>
        </w:rPr>
        <w:t>Todas las Comisiones de Estudio forma</w:t>
      </w:r>
      <w:r w:rsidR="00DB1718">
        <w:rPr>
          <w:szCs w:val="24"/>
          <w:lang w:val="es-ES"/>
        </w:rPr>
        <w:t>n</w:t>
      </w:r>
      <w:r w:rsidRPr="00C414E3">
        <w:rPr>
          <w:szCs w:val="24"/>
          <w:lang w:val="es-ES"/>
        </w:rPr>
        <w:t xml:space="preserve"> convenientemente sus Equipos Directivos.</w:t>
      </w:r>
    </w:p>
    <w:p w14:paraId="4D9CC32B" w14:textId="562788C6" w:rsidR="00114043" w:rsidRPr="00C414E3" w:rsidRDefault="00114043" w:rsidP="00114043">
      <w:pPr>
        <w:rPr>
          <w:lang w:val="es-ES"/>
        </w:rPr>
      </w:pPr>
      <w:r w:rsidRPr="00C414E3">
        <w:rPr>
          <w:szCs w:val="24"/>
          <w:lang w:val="es-ES"/>
        </w:rPr>
        <w:t xml:space="preserve">En su reunión de abril de 2024, el CCV nombró a sus </w:t>
      </w:r>
      <w:proofErr w:type="gramStart"/>
      <w:r w:rsidRPr="00C414E3">
        <w:rPr>
          <w:szCs w:val="24"/>
          <w:lang w:val="es-ES"/>
        </w:rPr>
        <w:t>Vicepresidentes</w:t>
      </w:r>
      <w:proofErr w:type="gramEnd"/>
      <w:r w:rsidRPr="00C414E3">
        <w:rPr>
          <w:szCs w:val="24"/>
          <w:lang w:val="es-ES"/>
        </w:rPr>
        <w:t xml:space="preserve"> por consenso.</w:t>
      </w:r>
    </w:p>
    <w:p w14:paraId="67913D3D" w14:textId="005C7397" w:rsidR="000F62B4" w:rsidRPr="006C7415" w:rsidRDefault="00114043" w:rsidP="001F6E24">
      <w:pPr>
        <w:pStyle w:val="Heading2"/>
        <w:rPr>
          <w:lang w:val="es-ES"/>
        </w:rPr>
      </w:pPr>
      <w:bookmarkStart w:id="19" w:name="_Hlk140676786"/>
      <w:r>
        <w:rPr>
          <w:bCs/>
          <w:lang w:val="es-ES"/>
        </w:rPr>
        <w:t>5.9</w:t>
      </w:r>
      <w:r w:rsidR="000F62B4">
        <w:rPr>
          <w:lang w:val="es-ES"/>
        </w:rPr>
        <w:tab/>
      </w:r>
      <w:r w:rsidR="000F62B4">
        <w:rPr>
          <w:bCs/>
          <w:lang w:val="es-ES"/>
        </w:rPr>
        <w:t xml:space="preserve">Participación de los </w:t>
      </w:r>
      <w:proofErr w:type="gramStart"/>
      <w:r w:rsidR="000F62B4">
        <w:rPr>
          <w:bCs/>
          <w:lang w:val="es-ES"/>
        </w:rPr>
        <w:t>Vicepresidentes</w:t>
      </w:r>
      <w:proofErr w:type="gramEnd"/>
      <w:r w:rsidR="000F62B4">
        <w:rPr>
          <w:bCs/>
          <w:lang w:val="es-ES"/>
        </w:rPr>
        <w:t xml:space="preserve"> en los trabajos de sus respectivos Grupos</w:t>
      </w:r>
    </w:p>
    <w:p w14:paraId="49E74498" w14:textId="02EC7995" w:rsidR="000F62B4" w:rsidRPr="006C7415" w:rsidRDefault="000F62B4" w:rsidP="001F6E24">
      <w:pPr>
        <w:rPr>
          <w:lang w:val="es-ES"/>
        </w:rPr>
      </w:pPr>
      <w:r>
        <w:rPr>
          <w:lang w:val="es-ES"/>
        </w:rPr>
        <w:t>De conformidad con el § A1</w:t>
      </w:r>
      <w:r w:rsidR="00114043">
        <w:rPr>
          <w:lang w:val="es-ES"/>
        </w:rPr>
        <w:t>.</w:t>
      </w:r>
      <w:r>
        <w:rPr>
          <w:lang w:val="es-ES"/>
        </w:rPr>
        <w:t>4</w:t>
      </w:r>
      <w:r w:rsidR="00114043">
        <w:rPr>
          <w:lang w:val="es-ES"/>
        </w:rPr>
        <w:t>.</w:t>
      </w:r>
      <w:r>
        <w:rPr>
          <w:lang w:val="es-ES"/>
        </w:rPr>
        <w:t xml:space="preserve">5 de la Resolución 1-9, se informará al GAR de </w:t>
      </w:r>
      <w:r w:rsidR="00114043">
        <w:rPr>
          <w:lang w:val="es-ES"/>
        </w:rPr>
        <w:t>la no asistencia de</w:t>
      </w:r>
      <w:r>
        <w:rPr>
          <w:lang w:val="es-ES"/>
        </w:rPr>
        <w:t xml:space="preserve"> los </w:t>
      </w:r>
      <w:proofErr w:type="gramStart"/>
      <w:r>
        <w:rPr>
          <w:lang w:val="es-ES"/>
        </w:rPr>
        <w:t>Vicepresidentes</w:t>
      </w:r>
      <w:proofErr w:type="gramEnd"/>
      <w:r>
        <w:rPr>
          <w:lang w:val="es-ES"/>
        </w:rPr>
        <w:t xml:space="preserve"> a las reuniones del GAR y de las CE. A continuación, se informa de la participación de </w:t>
      </w:r>
      <w:proofErr w:type="gramStart"/>
      <w:r>
        <w:rPr>
          <w:lang w:val="es-ES"/>
        </w:rPr>
        <w:t>Vicepresidentes</w:t>
      </w:r>
      <w:proofErr w:type="gramEnd"/>
      <w:r>
        <w:rPr>
          <w:lang w:val="es-ES"/>
        </w:rPr>
        <w:t xml:space="preserve"> en las reuniones de su interés </w:t>
      </w:r>
      <w:r w:rsidR="00114043">
        <w:rPr>
          <w:lang w:val="es-ES"/>
        </w:rPr>
        <w:t>en 2024</w:t>
      </w:r>
      <w:r>
        <w:rPr>
          <w:lang w:val="es-ES"/>
        </w:rPr>
        <w:t>.</w:t>
      </w:r>
    </w:p>
    <w:p w14:paraId="483F6997" w14:textId="606FE853" w:rsidR="000F62B4" w:rsidRPr="006C7415" w:rsidRDefault="00114043" w:rsidP="001F6E24">
      <w:pPr>
        <w:pStyle w:val="Heading3"/>
        <w:rPr>
          <w:lang w:val="es-ES"/>
        </w:rPr>
      </w:pPr>
      <w:r w:rsidRPr="00EF6B94">
        <w:rPr>
          <w:bCs/>
          <w:lang w:val="es-ES"/>
        </w:rPr>
        <w:t>5.9</w:t>
      </w:r>
      <w:r w:rsidR="000F62B4" w:rsidRPr="00EF6B94">
        <w:rPr>
          <w:bCs/>
          <w:lang w:val="es-ES"/>
        </w:rPr>
        <w:t>.1</w:t>
      </w:r>
      <w:r w:rsidR="00DB1718" w:rsidRPr="00EF6B94">
        <w:rPr>
          <w:bCs/>
          <w:lang w:val="es-ES"/>
        </w:rPr>
        <w:tab/>
      </w:r>
      <w:r w:rsidR="000F62B4" w:rsidRPr="00EF6B94">
        <w:rPr>
          <w:bCs/>
          <w:lang w:val="es-ES"/>
        </w:rPr>
        <w:t xml:space="preserve">Participación de los </w:t>
      </w:r>
      <w:proofErr w:type="gramStart"/>
      <w:r w:rsidR="000F62B4" w:rsidRPr="00EF6B94">
        <w:rPr>
          <w:bCs/>
          <w:lang w:val="es-ES"/>
        </w:rPr>
        <w:t>Vicepresidentes</w:t>
      </w:r>
      <w:proofErr w:type="gramEnd"/>
      <w:r w:rsidR="000F62B4" w:rsidRPr="00EF6B94">
        <w:rPr>
          <w:bCs/>
          <w:lang w:val="es-ES"/>
        </w:rPr>
        <w:t xml:space="preserve"> de la CE 1 en los trabajos de la CE 1</w:t>
      </w:r>
    </w:p>
    <w:p w14:paraId="23A482B4" w14:textId="68EECE9B" w:rsidR="00114043" w:rsidRPr="00C414E3" w:rsidRDefault="00114043" w:rsidP="00114043">
      <w:pPr>
        <w:rPr>
          <w:lang w:val="es-ES"/>
        </w:rPr>
      </w:pPr>
      <w:r w:rsidRPr="00C414E3">
        <w:rPr>
          <w:lang w:val="es-ES"/>
        </w:rPr>
        <w:t xml:space="preserve">La CE 1 ha nombrado 15 </w:t>
      </w:r>
      <w:proofErr w:type="gramStart"/>
      <w:r w:rsidRPr="00C414E3">
        <w:rPr>
          <w:lang w:val="es-ES"/>
        </w:rPr>
        <w:t>Vicepresidentes</w:t>
      </w:r>
      <w:proofErr w:type="gramEnd"/>
      <w:r w:rsidRPr="00C414E3">
        <w:rPr>
          <w:lang w:val="es-ES"/>
        </w:rPr>
        <w:t xml:space="preserve"> para el periodo de estudios</w:t>
      </w:r>
      <w:r>
        <w:rPr>
          <w:lang w:val="es-ES"/>
        </w:rPr>
        <w:t xml:space="preserve"> 2023-2027</w:t>
      </w:r>
      <w:r w:rsidRPr="00C414E3">
        <w:rPr>
          <w:lang w:val="es-ES"/>
        </w:rPr>
        <w:t>.</w:t>
      </w:r>
    </w:p>
    <w:p w14:paraId="7936FB78" w14:textId="5F8EBF5F" w:rsidR="00114043" w:rsidRPr="00C414E3" w:rsidRDefault="00114043" w:rsidP="00114043">
      <w:pPr>
        <w:pStyle w:val="enumlev1"/>
        <w:rPr>
          <w:lang w:val="es-ES"/>
        </w:rPr>
      </w:pPr>
      <w:r w:rsidRPr="00C414E3">
        <w:rPr>
          <w:lang w:val="es-ES"/>
        </w:rPr>
        <w:t>−</w:t>
      </w:r>
      <w:r w:rsidRPr="00C414E3">
        <w:rPr>
          <w:lang w:val="es-ES"/>
        </w:rPr>
        <w:tab/>
        <w:t xml:space="preserve">Número de </w:t>
      </w:r>
      <w:proofErr w:type="gramStart"/>
      <w:r w:rsidRPr="00C414E3">
        <w:rPr>
          <w:lang w:val="es-ES"/>
        </w:rPr>
        <w:t>Vicepresidentes</w:t>
      </w:r>
      <w:proofErr w:type="gramEnd"/>
      <w:r w:rsidRPr="00C414E3">
        <w:rPr>
          <w:lang w:val="es-ES"/>
        </w:rPr>
        <w:t xml:space="preserve"> de la CE 1 que </w:t>
      </w:r>
      <w:r w:rsidR="00A65287" w:rsidRPr="00C414E3">
        <w:rPr>
          <w:lang w:val="es-ES"/>
        </w:rPr>
        <w:t>participaron en la reun</w:t>
      </w:r>
      <w:r w:rsidR="00A65287">
        <w:rPr>
          <w:lang w:val="es-ES"/>
        </w:rPr>
        <w:t>ión de la CE1 en 2024</w:t>
      </w:r>
      <w:r w:rsidRPr="00C414E3">
        <w:rPr>
          <w:lang w:val="es-ES"/>
        </w:rPr>
        <w:t xml:space="preserve">: </w:t>
      </w:r>
      <w:r w:rsidRPr="00C414E3">
        <w:rPr>
          <w:b/>
          <w:bCs/>
          <w:lang w:val="es-ES"/>
        </w:rPr>
        <w:t>13/15</w:t>
      </w:r>
    </w:p>
    <w:p w14:paraId="17A8DD92" w14:textId="4B43D13B" w:rsidR="000F62B4" w:rsidRPr="006C7415" w:rsidRDefault="00A65287" w:rsidP="001F6E24">
      <w:pPr>
        <w:pStyle w:val="Heading3"/>
        <w:rPr>
          <w:lang w:val="es-ES"/>
        </w:rPr>
      </w:pPr>
      <w:r>
        <w:rPr>
          <w:bCs/>
          <w:lang w:val="es-ES"/>
        </w:rPr>
        <w:t>5.9</w:t>
      </w:r>
      <w:r w:rsidR="000F62B4">
        <w:rPr>
          <w:bCs/>
          <w:lang w:val="es-ES"/>
        </w:rPr>
        <w:t>.2</w:t>
      </w:r>
      <w:r w:rsidR="000F62B4">
        <w:rPr>
          <w:lang w:val="es-ES"/>
        </w:rPr>
        <w:tab/>
      </w:r>
      <w:r w:rsidR="000F62B4">
        <w:rPr>
          <w:bCs/>
          <w:lang w:val="es-ES"/>
        </w:rPr>
        <w:t xml:space="preserve">Participación de los </w:t>
      </w:r>
      <w:proofErr w:type="gramStart"/>
      <w:r w:rsidR="000F62B4">
        <w:rPr>
          <w:bCs/>
          <w:lang w:val="es-ES"/>
        </w:rPr>
        <w:t>Vicepresidentes</w:t>
      </w:r>
      <w:proofErr w:type="gramEnd"/>
      <w:r w:rsidR="000F62B4">
        <w:rPr>
          <w:bCs/>
          <w:lang w:val="es-ES"/>
        </w:rPr>
        <w:t xml:space="preserve"> de la CE 3 en los trabajos de la CE 3</w:t>
      </w:r>
    </w:p>
    <w:p w14:paraId="4448DF77" w14:textId="3238553B" w:rsidR="000F62B4" w:rsidRPr="006C7415" w:rsidRDefault="000F62B4" w:rsidP="001F6E24">
      <w:pPr>
        <w:rPr>
          <w:lang w:val="es-ES"/>
        </w:rPr>
      </w:pPr>
      <w:r>
        <w:rPr>
          <w:lang w:val="es-ES"/>
        </w:rPr>
        <w:t>La CE 3 ha nombrado 1</w:t>
      </w:r>
      <w:r w:rsidR="00A65287">
        <w:rPr>
          <w:lang w:val="es-ES"/>
        </w:rPr>
        <w:t>1</w:t>
      </w:r>
      <w:r>
        <w:rPr>
          <w:lang w:val="es-ES"/>
        </w:rPr>
        <w:t xml:space="preserve"> </w:t>
      </w:r>
      <w:proofErr w:type="gramStart"/>
      <w:r>
        <w:rPr>
          <w:lang w:val="es-ES"/>
        </w:rPr>
        <w:t>Vicepresidentes</w:t>
      </w:r>
      <w:proofErr w:type="gramEnd"/>
      <w:r>
        <w:rPr>
          <w:lang w:val="es-ES"/>
        </w:rPr>
        <w:t xml:space="preserve"> para el periodo de estudios </w:t>
      </w:r>
      <w:r w:rsidR="00A65287">
        <w:rPr>
          <w:lang w:val="es-ES"/>
        </w:rPr>
        <w:t>2023-2027</w:t>
      </w:r>
      <w:r>
        <w:rPr>
          <w:lang w:val="es-ES"/>
        </w:rPr>
        <w:t>.</w:t>
      </w:r>
    </w:p>
    <w:p w14:paraId="4B37AEAC" w14:textId="4E1F4A46" w:rsidR="000F62B4" w:rsidRPr="006C7415" w:rsidRDefault="000F62B4" w:rsidP="001F6E24">
      <w:pPr>
        <w:pStyle w:val="enumlev1"/>
        <w:rPr>
          <w:b/>
          <w:bCs/>
          <w:lang w:val="es-ES"/>
        </w:rPr>
      </w:pPr>
      <w:r>
        <w:rPr>
          <w:lang w:val="es-ES"/>
        </w:rPr>
        <w:t>−</w:t>
      </w:r>
      <w:r>
        <w:rPr>
          <w:lang w:val="es-ES"/>
        </w:rPr>
        <w:tab/>
        <w:t xml:space="preserve">Número de </w:t>
      </w:r>
      <w:proofErr w:type="gramStart"/>
      <w:r>
        <w:rPr>
          <w:lang w:val="es-ES"/>
        </w:rPr>
        <w:t>Vicepresidentes</w:t>
      </w:r>
      <w:proofErr w:type="gramEnd"/>
      <w:r>
        <w:rPr>
          <w:lang w:val="es-ES"/>
        </w:rPr>
        <w:t xml:space="preserve"> de la CE 3 que participaron en </w:t>
      </w:r>
      <w:r w:rsidR="00A65287">
        <w:rPr>
          <w:lang w:val="es-ES"/>
        </w:rPr>
        <w:t>la reunión</w:t>
      </w:r>
      <w:r>
        <w:rPr>
          <w:lang w:val="es-ES"/>
        </w:rPr>
        <w:t xml:space="preserve"> de la CE 3</w:t>
      </w:r>
      <w:r w:rsidR="00A65287">
        <w:rPr>
          <w:lang w:val="es-ES"/>
        </w:rPr>
        <w:t xml:space="preserve"> en 2024</w:t>
      </w:r>
      <w:r>
        <w:rPr>
          <w:lang w:val="es-ES"/>
        </w:rPr>
        <w:t xml:space="preserve">: </w:t>
      </w:r>
      <w:r>
        <w:rPr>
          <w:b/>
          <w:bCs/>
          <w:lang w:val="es-ES"/>
        </w:rPr>
        <w:t>5/</w:t>
      </w:r>
      <w:r w:rsidR="00A65287">
        <w:rPr>
          <w:b/>
          <w:bCs/>
          <w:lang w:val="es-ES"/>
        </w:rPr>
        <w:t>11</w:t>
      </w:r>
    </w:p>
    <w:p w14:paraId="509B6E27" w14:textId="2928FAB5" w:rsidR="000F62B4" w:rsidRPr="006C7415" w:rsidRDefault="00A65287" w:rsidP="001F6E24">
      <w:pPr>
        <w:pStyle w:val="Heading3"/>
        <w:rPr>
          <w:lang w:val="es-ES"/>
        </w:rPr>
      </w:pPr>
      <w:r>
        <w:rPr>
          <w:bCs/>
          <w:lang w:val="es-ES"/>
        </w:rPr>
        <w:t>5.9</w:t>
      </w:r>
      <w:r w:rsidR="000F62B4">
        <w:rPr>
          <w:bCs/>
          <w:lang w:val="es-ES"/>
        </w:rPr>
        <w:t>.3</w:t>
      </w:r>
      <w:r w:rsidR="000F62B4">
        <w:rPr>
          <w:lang w:val="es-ES"/>
        </w:rPr>
        <w:tab/>
      </w:r>
      <w:r w:rsidR="000F62B4">
        <w:rPr>
          <w:bCs/>
          <w:lang w:val="es-ES"/>
        </w:rPr>
        <w:t xml:space="preserve">Participación de los </w:t>
      </w:r>
      <w:proofErr w:type="gramStart"/>
      <w:r w:rsidR="000F62B4">
        <w:rPr>
          <w:bCs/>
          <w:lang w:val="es-ES"/>
        </w:rPr>
        <w:t>Vicepresidentes</w:t>
      </w:r>
      <w:proofErr w:type="gramEnd"/>
      <w:r w:rsidR="000F62B4">
        <w:rPr>
          <w:bCs/>
          <w:lang w:val="es-ES"/>
        </w:rPr>
        <w:t xml:space="preserve"> de la CE 4 en los trabajos de la CE 4</w:t>
      </w:r>
    </w:p>
    <w:p w14:paraId="75DDA53B" w14:textId="5025478D" w:rsidR="000F62B4" w:rsidRPr="006C7415" w:rsidRDefault="000F62B4" w:rsidP="001F6E24">
      <w:pPr>
        <w:rPr>
          <w:lang w:val="es-ES"/>
        </w:rPr>
      </w:pPr>
      <w:r>
        <w:rPr>
          <w:lang w:val="es-ES"/>
        </w:rPr>
        <w:t xml:space="preserve">La CE 4 ha nombrado 19 </w:t>
      </w:r>
      <w:proofErr w:type="gramStart"/>
      <w:r>
        <w:rPr>
          <w:lang w:val="es-ES"/>
        </w:rPr>
        <w:t>Vicepresidentes</w:t>
      </w:r>
      <w:proofErr w:type="gramEnd"/>
      <w:r>
        <w:rPr>
          <w:lang w:val="es-ES"/>
        </w:rPr>
        <w:t xml:space="preserve"> para el periodo de estudios </w:t>
      </w:r>
      <w:r w:rsidR="00A65287">
        <w:rPr>
          <w:lang w:val="es-ES"/>
        </w:rPr>
        <w:t>2023-2027</w:t>
      </w:r>
      <w:r>
        <w:rPr>
          <w:lang w:val="es-ES"/>
        </w:rPr>
        <w:t>.</w:t>
      </w:r>
    </w:p>
    <w:p w14:paraId="5318CB2F" w14:textId="0A689F07" w:rsidR="000F62B4" w:rsidRPr="006C7415" w:rsidRDefault="000F62B4" w:rsidP="001F6E24">
      <w:pPr>
        <w:rPr>
          <w:lang w:val="es-ES"/>
        </w:rPr>
      </w:pPr>
      <w:r>
        <w:rPr>
          <w:lang w:val="es-ES"/>
        </w:rPr>
        <w:t xml:space="preserve">La CE 4 celebró </w:t>
      </w:r>
      <w:r w:rsidR="00A65287">
        <w:rPr>
          <w:lang w:val="es-ES"/>
        </w:rPr>
        <w:t>tres</w:t>
      </w:r>
      <w:r>
        <w:rPr>
          <w:lang w:val="es-ES"/>
        </w:rPr>
        <w:t xml:space="preserve"> reuniones </w:t>
      </w:r>
      <w:r w:rsidR="00A65287">
        <w:rPr>
          <w:lang w:val="es-ES"/>
        </w:rPr>
        <w:t>en 2024</w:t>
      </w:r>
      <w:r>
        <w:rPr>
          <w:lang w:val="es-ES"/>
        </w:rPr>
        <w:t>.</w:t>
      </w:r>
    </w:p>
    <w:p w14:paraId="7937A290" w14:textId="54D376D0" w:rsidR="000F62B4" w:rsidRPr="006C7415" w:rsidRDefault="000F62B4" w:rsidP="001F6E24">
      <w:pPr>
        <w:pStyle w:val="enumlev1"/>
        <w:rPr>
          <w:b/>
          <w:bCs/>
          <w:lang w:val="es-ES"/>
        </w:rPr>
      </w:pPr>
      <w:r>
        <w:rPr>
          <w:lang w:val="es-ES"/>
        </w:rPr>
        <w:t>−</w:t>
      </w:r>
      <w:r>
        <w:rPr>
          <w:lang w:val="es-ES"/>
        </w:rPr>
        <w:tab/>
        <w:t xml:space="preserve">Número de </w:t>
      </w:r>
      <w:proofErr w:type="gramStart"/>
      <w:r>
        <w:rPr>
          <w:lang w:val="es-ES"/>
        </w:rPr>
        <w:t>Vicepresidentes</w:t>
      </w:r>
      <w:proofErr w:type="gramEnd"/>
      <w:r>
        <w:rPr>
          <w:lang w:val="es-ES"/>
        </w:rPr>
        <w:t xml:space="preserve"> de la CE 4 que participaron en </w:t>
      </w:r>
      <w:r w:rsidR="00A65287">
        <w:rPr>
          <w:lang w:val="es-ES"/>
        </w:rPr>
        <w:t>las</w:t>
      </w:r>
      <w:r>
        <w:rPr>
          <w:lang w:val="es-ES"/>
        </w:rPr>
        <w:t xml:space="preserve"> reuniones de la CE 4</w:t>
      </w:r>
      <w:r w:rsidR="00A65287">
        <w:rPr>
          <w:lang w:val="es-ES"/>
        </w:rPr>
        <w:t xml:space="preserve"> de 23 de abril y 10 de mayo de 2024</w:t>
      </w:r>
      <w:r>
        <w:rPr>
          <w:lang w:val="es-ES"/>
        </w:rPr>
        <w:t xml:space="preserve">: </w:t>
      </w:r>
      <w:r w:rsidR="00A65287">
        <w:rPr>
          <w:b/>
          <w:bCs/>
          <w:lang w:val="es-ES"/>
        </w:rPr>
        <w:t>16</w:t>
      </w:r>
      <w:r>
        <w:rPr>
          <w:b/>
          <w:bCs/>
          <w:lang w:val="es-ES"/>
        </w:rPr>
        <w:t>/19</w:t>
      </w:r>
    </w:p>
    <w:p w14:paraId="66645C01" w14:textId="07AFC9EE" w:rsidR="000F62B4" w:rsidRPr="006C7415" w:rsidRDefault="000F62B4" w:rsidP="001F6E24">
      <w:pPr>
        <w:pStyle w:val="enumlev1"/>
        <w:rPr>
          <w:lang w:val="es-ES"/>
        </w:rPr>
      </w:pPr>
      <w:r>
        <w:rPr>
          <w:lang w:val="es-ES"/>
        </w:rPr>
        <w:t>−</w:t>
      </w:r>
      <w:r>
        <w:rPr>
          <w:lang w:val="es-ES"/>
        </w:rPr>
        <w:tab/>
        <w:t xml:space="preserve">Número de </w:t>
      </w:r>
      <w:proofErr w:type="gramStart"/>
      <w:r>
        <w:rPr>
          <w:lang w:val="es-ES"/>
        </w:rPr>
        <w:t>Vicepresidentes</w:t>
      </w:r>
      <w:proofErr w:type="gramEnd"/>
      <w:r>
        <w:rPr>
          <w:lang w:val="es-ES"/>
        </w:rPr>
        <w:t xml:space="preserve"> de la CE 4 que participaron </w:t>
      </w:r>
      <w:r w:rsidR="00A65287">
        <w:rPr>
          <w:lang w:val="es-ES"/>
        </w:rPr>
        <w:t>en la reunión de la CE4 del 1 de noviembre de 2024</w:t>
      </w:r>
      <w:r>
        <w:rPr>
          <w:lang w:val="es-ES"/>
        </w:rPr>
        <w:t xml:space="preserve">: </w:t>
      </w:r>
      <w:r w:rsidR="00A65287">
        <w:rPr>
          <w:b/>
          <w:bCs/>
          <w:lang w:val="es-ES"/>
        </w:rPr>
        <w:t>17</w:t>
      </w:r>
      <w:r>
        <w:rPr>
          <w:b/>
          <w:bCs/>
          <w:lang w:val="es-ES"/>
        </w:rPr>
        <w:t>/19</w:t>
      </w:r>
    </w:p>
    <w:p w14:paraId="308CBE52" w14:textId="25D77A10" w:rsidR="000F62B4" w:rsidRPr="006C7415" w:rsidRDefault="00A65287" w:rsidP="001F6E24">
      <w:pPr>
        <w:pStyle w:val="Heading3"/>
        <w:rPr>
          <w:lang w:val="es-ES"/>
        </w:rPr>
      </w:pPr>
      <w:r>
        <w:rPr>
          <w:bCs/>
          <w:lang w:val="es-ES"/>
        </w:rPr>
        <w:t>5.9</w:t>
      </w:r>
      <w:r w:rsidR="000F62B4">
        <w:rPr>
          <w:bCs/>
          <w:lang w:val="es-ES"/>
        </w:rPr>
        <w:t>.4</w:t>
      </w:r>
      <w:r w:rsidR="000F62B4">
        <w:rPr>
          <w:lang w:val="es-ES"/>
        </w:rPr>
        <w:tab/>
      </w:r>
      <w:r w:rsidR="000F62B4">
        <w:rPr>
          <w:bCs/>
          <w:lang w:val="es-ES"/>
        </w:rPr>
        <w:t xml:space="preserve">Participación de los </w:t>
      </w:r>
      <w:proofErr w:type="gramStart"/>
      <w:r w:rsidR="000F62B4">
        <w:rPr>
          <w:bCs/>
          <w:lang w:val="es-ES"/>
        </w:rPr>
        <w:t>Vicepresidentes</w:t>
      </w:r>
      <w:proofErr w:type="gramEnd"/>
      <w:r w:rsidR="000F62B4">
        <w:rPr>
          <w:bCs/>
          <w:lang w:val="es-ES"/>
        </w:rPr>
        <w:t xml:space="preserve"> de la CE 5 en los trabajos de la CE 5</w:t>
      </w:r>
    </w:p>
    <w:p w14:paraId="226E2549" w14:textId="6404A090" w:rsidR="000F62B4" w:rsidRPr="006C7415" w:rsidRDefault="000F62B4" w:rsidP="001F6E24">
      <w:pPr>
        <w:rPr>
          <w:lang w:val="es-ES"/>
        </w:rPr>
      </w:pPr>
      <w:r>
        <w:rPr>
          <w:lang w:val="es-ES"/>
        </w:rPr>
        <w:t xml:space="preserve">La CE 5 ha nombrado 19 </w:t>
      </w:r>
      <w:proofErr w:type="gramStart"/>
      <w:r>
        <w:rPr>
          <w:lang w:val="es-ES"/>
        </w:rPr>
        <w:t>Vicepresidentes</w:t>
      </w:r>
      <w:proofErr w:type="gramEnd"/>
      <w:r>
        <w:rPr>
          <w:lang w:val="es-ES"/>
        </w:rPr>
        <w:t xml:space="preserve"> para el periodo de estudios 2023</w:t>
      </w:r>
      <w:r w:rsidR="00A65287">
        <w:rPr>
          <w:lang w:val="es-ES"/>
        </w:rPr>
        <w:t>-2027</w:t>
      </w:r>
      <w:r>
        <w:rPr>
          <w:lang w:val="es-ES"/>
        </w:rPr>
        <w:t>.</w:t>
      </w:r>
    </w:p>
    <w:p w14:paraId="76991EA8" w14:textId="00C40CF8" w:rsidR="000F62B4" w:rsidRPr="006C7415" w:rsidRDefault="000F62B4" w:rsidP="001F6E24">
      <w:pPr>
        <w:rPr>
          <w:lang w:val="es-ES"/>
        </w:rPr>
      </w:pPr>
      <w:r>
        <w:rPr>
          <w:lang w:val="es-ES"/>
        </w:rPr>
        <w:t xml:space="preserve">La CE 5 celebró </w:t>
      </w:r>
      <w:r w:rsidR="00A65287">
        <w:rPr>
          <w:lang w:val="es-ES"/>
        </w:rPr>
        <w:t>dos</w:t>
      </w:r>
      <w:r>
        <w:rPr>
          <w:lang w:val="es-ES"/>
        </w:rPr>
        <w:t xml:space="preserve"> reuniones </w:t>
      </w:r>
      <w:r w:rsidR="00A65287">
        <w:rPr>
          <w:lang w:val="es-ES"/>
        </w:rPr>
        <w:t>en 2024</w:t>
      </w:r>
      <w:r>
        <w:rPr>
          <w:lang w:val="es-ES"/>
        </w:rPr>
        <w:t xml:space="preserve">. </w:t>
      </w:r>
    </w:p>
    <w:p w14:paraId="6B3A1BA0" w14:textId="019F1E71" w:rsidR="000F62B4" w:rsidRPr="006C7415" w:rsidRDefault="000F62B4" w:rsidP="001F6E24">
      <w:pPr>
        <w:pStyle w:val="enumlev1"/>
        <w:rPr>
          <w:lang w:val="es-ES"/>
        </w:rPr>
      </w:pPr>
      <w:r>
        <w:rPr>
          <w:lang w:val="es-ES"/>
        </w:rPr>
        <w:t>−</w:t>
      </w:r>
      <w:r>
        <w:rPr>
          <w:lang w:val="es-ES"/>
        </w:rPr>
        <w:tab/>
        <w:t xml:space="preserve">Número de </w:t>
      </w:r>
      <w:proofErr w:type="gramStart"/>
      <w:r>
        <w:rPr>
          <w:lang w:val="es-ES"/>
        </w:rPr>
        <w:t>Vicepresidentes</w:t>
      </w:r>
      <w:proofErr w:type="gramEnd"/>
      <w:r>
        <w:rPr>
          <w:lang w:val="es-ES"/>
        </w:rPr>
        <w:t xml:space="preserve"> de la CE 5 que participaron en </w:t>
      </w:r>
      <w:r w:rsidR="00A65287">
        <w:rPr>
          <w:lang w:val="es-ES"/>
        </w:rPr>
        <w:t>la reunión de la CE</w:t>
      </w:r>
      <w:r w:rsidR="00031E56">
        <w:rPr>
          <w:lang w:val="es-ES"/>
        </w:rPr>
        <w:t xml:space="preserve"> </w:t>
      </w:r>
      <w:r w:rsidR="00A65287">
        <w:rPr>
          <w:lang w:val="es-ES"/>
        </w:rPr>
        <w:t>5 del 13 de mayo de 2024</w:t>
      </w:r>
      <w:r>
        <w:rPr>
          <w:lang w:val="es-ES"/>
        </w:rPr>
        <w:t xml:space="preserve">: </w:t>
      </w:r>
      <w:r w:rsidR="00A65287">
        <w:rPr>
          <w:b/>
          <w:bCs/>
          <w:lang w:val="es-ES"/>
        </w:rPr>
        <w:t>12</w:t>
      </w:r>
      <w:r>
        <w:rPr>
          <w:b/>
          <w:bCs/>
          <w:lang w:val="es-ES"/>
        </w:rPr>
        <w:t>/19</w:t>
      </w:r>
    </w:p>
    <w:p w14:paraId="2F42A80F" w14:textId="505F91AB" w:rsidR="000F62B4" w:rsidRPr="006C7415" w:rsidRDefault="000F62B4" w:rsidP="001F6E24">
      <w:pPr>
        <w:pStyle w:val="enumlev1"/>
        <w:rPr>
          <w:lang w:val="es-ES"/>
        </w:rPr>
      </w:pPr>
      <w:r>
        <w:rPr>
          <w:lang w:val="es-ES"/>
        </w:rPr>
        <w:t>−</w:t>
      </w:r>
      <w:r>
        <w:rPr>
          <w:lang w:val="es-ES"/>
        </w:rPr>
        <w:tab/>
        <w:t xml:space="preserve">Número de </w:t>
      </w:r>
      <w:proofErr w:type="gramStart"/>
      <w:r>
        <w:rPr>
          <w:lang w:val="es-ES"/>
        </w:rPr>
        <w:t>Vicepresidentes</w:t>
      </w:r>
      <w:proofErr w:type="gramEnd"/>
      <w:r>
        <w:rPr>
          <w:lang w:val="es-ES"/>
        </w:rPr>
        <w:t xml:space="preserve"> de la CE 5 que participaron en </w:t>
      </w:r>
      <w:r w:rsidR="00A65287">
        <w:rPr>
          <w:lang w:val="es-ES"/>
        </w:rPr>
        <w:t>la reunión de la CE</w:t>
      </w:r>
      <w:r w:rsidR="00031E56">
        <w:rPr>
          <w:lang w:val="es-ES"/>
        </w:rPr>
        <w:t xml:space="preserve"> </w:t>
      </w:r>
      <w:r w:rsidR="00A65287">
        <w:rPr>
          <w:lang w:val="es-ES"/>
        </w:rPr>
        <w:t>5 del 2-3 de diciembre de 2024</w:t>
      </w:r>
      <w:r>
        <w:rPr>
          <w:lang w:val="es-ES"/>
        </w:rPr>
        <w:t xml:space="preserve">: </w:t>
      </w:r>
      <w:r w:rsidR="00A65287">
        <w:rPr>
          <w:b/>
          <w:bCs/>
          <w:lang w:val="es-ES"/>
        </w:rPr>
        <w:t>17</w:t>
      </w:r>
      <w:r>
        <w:rPr>
          <w:b/>
          <w:bCs/>
          <w:lang w:val="es-ES"/>
        </w:rPr>
        <w:t>/19</w:t>
      </w:r>
    </w:p>
    <w:p w14:paraId="4A66D4AE" w14:textId="32CF0177" w:rsidR="000F62B4" w:rsidRPr="006C7415" w:rsidRDefault="00A65287" w:rsidP="001F6E24">
      <w:pPr>
        <w:pStyle w:val="Heading3"/>
        <w:rPr>
          <w:lang w:val="es-ES"/>
        </w:rPr>
      </w:pPr>
      <w:r>
        <w:rPr>
          <w:bCs/>
          <w:lang w:val="es-ES"/>
        </w:rPr>
        <w:t>5.9</w:t>
      </w:r>
      <w:r w:rsidR="000F62B4">
        <w:rPr>
          <w:bCs/>
          <w:lang w:val="es-ES"/>
        </w:rPr>
        <w:t>.5</w:t>
      </w:r>
      <w:r w:rsidR="000F62B4">
        <w:rPr>
          <w:lang w:val="es-ES"/>
        </w:rPr>
        <w:tab/>
      </w:r>
      <w:r w:rsidR="000F62B4">
        <w:rPr>
          <w:bCs/>
          <w:lang w:val="es-ES"/>
        </w:rPr>
        <w:t xml:space="preserve">Participación de los </w:t>
      </w:r>
      <w:proofErr w:type="gramStart"/>
      <w:r w:rsidR="000F62B4">
        <w:rPr>
          <w:bCs/>
          <w:lang w:val="es-ES"/>
        </w:rPr>
        <w:t>Vicepresidentes</w:t>
      </w:r>
      <w:proofErr w:type="gramEnd"/>
      <w:r w:rsidR="000F62B4">
        <w:rPr>
          <w:bCs/>
          <w:lang w:val="es-ES"/>
        </w:rPr>
        <w:t xml:space="preserve"> de la CE 6 en los trabajos de la CE 6</w:t>
      </w:r>
    </w:p>
    <w:p w14:paraId="65F9EFC6" w14:textId="032C35A3" w:rsidR="000F62B4" w:rsidRPr="006C7415" w:rsidRDefault="000F62B4" w:rsidP="001F6E24">
      <w:pPr>
        <w:rPr>
          <w:lang w:val="es-ES"/>
        </w:rPr>
      </w:pPr>
      <w:r w:rsidRPr="00A30F89">
        <w:rPr>
          <w:lang w:val="es-ES"/>
        </w:rPr>
        <w:t xml:space="preserve">La CE 6 ha nombrado </w:t>
      </w:r>
      <w:r w:rsidR="00A65287" w:rsidRPr="00A30F89">
        <w:rPr>
          <w:lang w:val="es-ES"/>
        </w:rPr>
        <w:t xml:space="preserve">14 </w:t>
      </w:r>
      <w:proofErr w:type="gramStart"/>
      <w:r w:rsidRPr="00A30F89">
        <w:rPr>
          <w:lang w:val="es-ES"/>
        </w:rPr>
        <w:t>Vicepresidentes</w:t>
      </w:r>
      <w:proofErr w:type="gramEnd"/>
      <w:r w:rsidRPr="00A30F89">
        <w:rPr>
          <w:lang w:val="es-ES"/>
        </w:rPr>
        <w:t xml:space="preserve"> para el periodo de estudios 2023</w:t>
      </w:r>
      <w:r w:rsidR="00A65287" w:rsidRPr="00A30F89">
        <w:rPr>
          <w:lang w:val="es-ES"/>
        </w:rPr>
        <w:t>-2027</w:t>
      </w:r>
      <w:r w:rsidRPr="00A30F89">
        <w:rPr>
          <w:lang w:val="es-ES"/>
        </w:rPr>
        <w:t>.</w:t>
      </w:r>
    </w:p>
    <w:p w14:paraId="40707398" w14:textId="6736A37D" w:rsidR="000F62B4" w:rsidRPr="006C7415" w:rsidRDefault="000F62B4" w:rsidP="001F6E24">
      <w:pPr>
        <w:rPr>
          <w:lang w:val="es-ES"/>
        </w:rPr>
      </w:pPr>
      <w:r>
        <w:rPr>
          <w:lang w:val="es-ES"/>
        </w:rPr>
        <w:t xml:space="preserve">La CE 6 celebró </w:t>
      </w:r>
      <w:r w:rsidR="00A65287">
        <w:rPr>
          <w:lang w:val="es-ES"/>
        </w:rPr>
        <w:t>dos</w:t>
      </w:r>
      <w:r>
        <w:rPr>
          <w:lang w:val="es-ES"/>
        </w:rPr>
        <w:t xml:space="preserve"> reuniones </w:t>
      </w:r>
      <w:r w:rsidR="00A65287">
        <w:rPr>
          <w:lang w:val="es-ES"/>
        </w:rPr>
        <w:t>en 2024</w:t>
      </w:r>
      <w:r>
        <w:rPr>
          <w:lang w:val="es-ES"/>
        </w:rPr>
        <w:t>.</w:t>
      </w:r>
    </w:p>
    <w:p w14:paraId="350F60F1" w14:textId="0F852312" w:rsidR="000F62B4" w:rsidRPr="006C7415" w:rsidRDefault="000F62B4" w:rsidP="001F6E24">
      <w:pPr>
        <w:pStyle w:val="enumlev1"/>
        <w:rPr>
          <w:lang w:val="es-ES"/>
        </w:rPr>
      </w:pPr>
      <w:r>
        <w:rPr>
          <w:lang w:val="es-ES"/>
        </w:rPr>
        <w:t>−</w:t>
      </w:r>
      <w:r>
        <w:rPr>
          <w:lang w:val="es-ES"/>
        </w:rPr>
        <w:tab/>
        <w:t xml:space="preserve">Número de </w:t>
      </w:r>
      <w:proofErr w:type="gramStart"/>
      <w:r>
        <w:rPr>
          <w:lang w:val="es-ES"/>
        </w:rPr>
        <w:t>Vicepresidentes</w:t>
      </w:r>
      <w:proofErr w:type="gramEnd"/>
      <w:r>
        <w:rPr>
          <w:lang w:val="es-ES"/>
        </w:rPr>
        <w:t xml:space="preserve"> de la CE 6 que participaron en </w:t>
      </w:r>
      <w:r w:rsidR="00A65287">
        <w:rPr>
          <w:lang w:val="es-ES"/>
        </w:rPr>
        <w:t>la reunión de la CE</w:t>
      </w:r>
      <w:r w:rsidR="00031E56">
        <w:rPr>
          <w:lang w:val="es-ES"/>
        </w:rPr>
        <w:t xml:space="preserve"> </w:t>
      </w:r>
      <w:r w:rsidR="00A65287">
        <w:rPr>
          <w:lang w:val="es-ES"/>
        </w:rPr>
        <w:t>6 del 15 de marzo de 2024</w:t>
      </w:r>
      <w:r>
        <w:rPr>
          <w:lang w:val="es-ES"/>
        </w:rPr>
        <w:t xml:space="preserve">: </w:t>
      </w:r>
      <w:r w:rsidR="00A65287">
        <w:rPr>
          <w:b/>
          <w:bCs/>
          <w:lang w:val="es-ES"/>
        </w:rPr>
        <w:t>13</w:t>
      </w:r>
      <w:r>
        <w:rPr>
          <w:b/>
          <w:bCs/>
          <w:lang w:val="es-ES"/>
        </w:rPr>
        <w:t>/</w:t>
      </w:r>
      <w:r w:rsidR="00A65287">
        <w:rPr>
          <w:b/>
          <w:bCs/>
          <w:lang w:val="es-ES"/>
        </w:rPr>
        <w:t>14</w:t>
      </w:r>
    </w:p>
    <w:p w14:paraId="2A06C569" w14:textId="1B21EB08" w:rsidR="000F62B4" w:rsidRPr="006C7415" w:rsidRDefault="000F62B4" w:rsidP="001F6E24">
      <w:pPr>
        <w:pStyle w:val="enumlev1"/>
        <w:rPr>
          <w:lang w:val="es-ES"/>
        </w:rPr>
      </w:pPr>
      <w:r>
        <w:rPr>
          <w:lang w:val="es-ES"/>
        </w:rPr>
        <w:lastRenderedPageBreak/>
        <w:t>−</w:t>
      </w:r>
      <w:r>
        <w:rPr>
          <w:lang w:val="es-ES"/>
        </w:rPr>
        <w:tab/>
        <w:t xml:space="preserve">Número de </w:t>
      </w:r>
      <w:proofErr w:type="gramStart"/>
      <w:r>
        <w:rPr>
          <w:lang w:val="es-ES"/>
        </w:rPr>
        <w:t>Vicepresidentes</w:t>
      </w:r>
      <w:proofErr w:type="gramEnd"/>
      <w:r>
        <w:rPr>
          <w:lang w:val="es-ES"/>
        </w:rPr>
        <w:t xml:space="preserve"> de la CE 6 que participaron </w:t>
      </w:r>
      <w:r w:rsidR="00A65287">
        <w:rPr>
          <w:lang w:val="es-ES"/>
        </w:rPr>
        <w:t>en la reunión de la CE6 del 15 de noviembre de 2024</w:t>
      </w:r>
      <w:r>
        <w:rPr>
          <w:lang w:val="es-ES"/>
        </w:rPr>
        <w:t>:</w:t>
      </w:r>
      <w:r>
        <w:rPr>
          <w:b/>
          <w:bCs/>
          <w:lang w:val="es-ES"/>
        </w:rPr>
        <w:t xml:space="preserve"> 1</w:t>
      </w:r>
      <w:r w:rsidR="00A65287">
        <w:rPr>
          <w:b/>
          <w:bCs/>
          <w:lang w:val="es-ES"/>
        </w:rPr>
        <w:t>3</w:t>
      </w:r>
      <w:r>
        <w:rPr>
          <w:b/>
          <w:bCs/>
          <w:lang w:val="es-ES"/>
        </w:rPr>
        <w:t>/</w:t>
      </w:r>
      <w:r w:rsidR="00A65287">
        <w:rPr>
          <w:b/>
          <w:bCs/>
          <w:lang w:val="es-ES"/>
        </w:rPr>
        <w:t>14</w:t>
      </w:r>
    </w:p>
    <w:p w14:paraId="27D138A2" w14:textId="2CD1CB23" w:rsidR="000F62B4" w:rsidRPr="006C7415" w:rsidRDefault="00A65287" w:rsidP="001F6E24">
      <w:pPr>
        <w:pStyle w:val="Heading3"/>
        <w:rPr>
          <w:lang w:val="es-ES"/>
        </w:rPr>
      </w:pPr>
      <w:r>
        <w:rPr>
          <w:bCs/>
          <w:lang w:val="es-ES"/>
        </w:rPr>
        <w:t>5.9</w:t>
      </w:r>
      <w:r w:rsidR="000F62B4">
        <w:rPr>
          <w:bCs/>
          <w:lang w:val="es-ES"/>
        </w:rPr>
        <w:t>.6</w:t>
      </w:r>
      <w:r w:rsidR="000F62B4">
        <w:rPr>
          <w:lang w:val="es-ES"/>
        </w:rPr>
        <w:tab/>
      </w:r>
      <w:r w:rsidR="000F62B4">
        <w:rPr>
          <w:bCs/>
          <w:lang w:val="es-ES"/>
        </w:rPr>
        <w:t xml:space="preserve">Participación de los </w:t>
      </w:r>
      <w:proofErr w:type="gramStart"/>
      <w:r w:rsidR="000F62B4">
        <w:rPr>
          <w:bCs/>
          <w:lang w:val="es-ES"/>
        </w:rPr>
        <w:t>Vicepresidentes</w:t>
      </w:r>
      <w:proofErr w:type="gramEnd"/>
      <w:r w:rsidR="000F62B4">
        <w:rPr>
          <w:bCs/>
          <w:lang w:val="es-ES"/>
        </w:rPr>
        <w:t xml:space="preserve"> de la CE 7 en los trabajos de la CE 7</w:t>
      </w:r>
    </w:p>
    <w:p w14:paraId="20765FE4" w14:textId="19E1D190" w:rsidR="000F62B4" w:rsidRPr="006C7415" w:rsidRDefault="000F62B4" w:rsidP="001F6E24">
      <w:pPr>
        <w:rPr>
          <w:lang w:val="es-ES"/>
        </w:rPr>
      </w:pPr>
      <w:r>
        <w:rPr>
          <w:lang w:val="es-ES"/>
        </w:rPr>
        <w:t>La CE 7 ha nombrado 1</w:t>
      </w:r>
      <w:r w:rsidR="00A65287">
        <w:rPr>
          <w:lang w:val="es-ES"/>
        </w:rPr>
        <w:t>0</w:t>
      </w:r>
      <w:r>
        <w:rPr>
          <w:lang w:val="es-ES"/>
        </w:rPr>
        <w:t xml:space="preserve"> </w:t>
      </w:r>
      <w:proofErr w:type="gramStart"/>
      <w:r>
        <w:rPr>
          <w:lang w:val="es-ES"/>
        </w:rPr>
        <w:t>Vicepresidentes</w:t>
      </w:r>
      <w:proofErr w:type="gramEnd"/>
      <w:r>
        <w:rPr>
          <w:lang w:val="es-ES"/>
        </w:rPr>
        <w:t xml:space="preserve"> para el periodo de estudios 2023</w:t>
      </w:r>
      <w:r w:rsidR="00A65287">
        <w:rPr>
          <w:lang w:val="es-ES"/>
        </w:rPr>
        <w:t>-2027</w:t>
      </w:r>
      <w:r>
        <w:rPr>
          <w:lang w:val="es-ES"/>
        </w:rPr>
        <w:t>.</w:t>
      </w:r>
    </w:p>
    <w:p w14:paraId="35F8130A" w14:textId="7D6424EF" w:rsidR="000F62B4" w:rsidRPr="006C7415" w:rsidRDefault="000F62B4" w:rsidP="001F6E24">
      <w:pPr>
        <w:pStyle w:val="enumlev1"/>
        <w:rPr>
          <w:b/>
          <w:bCs/>
          <w:lang w:val="es-ES"/>
        </w:rPr>
      </w:pPr>
      <w:r>
        <w:rPr>
          <w:lang w:val="es-ES"/>
        </w:rPr>
        <w:t>−</w:t>
      </w:r>
      <w:r>
        <w:rPr>
          <w:lang w:val="es-ES"/>
        </w:rPr>
        <w:tab/>
        <w:t xml:space="preserve">Número de </w:t>
      </w:r>
      <w:proofErr w:type="gramStart"/>
      <w:r>
        <w:rPr>
          <w:lang w:val="es-ES"/>
        </w:rPr>
        <w:t>Vicepresidentes</w:t>
      </w:r>
      <w:proofErr w:type="gramEnd"/>
      <w:r>
        <w:rPr>
          <w:lang w:val="es-ES"/>
        </w:rPr>
        <w:t xml:space="preserve"> de la CE 7 que participaron en </w:t>
      </w:r>
      <w:r w:rsidR="00A65287">
        <w:rPr>
          <w:lang w:val="es-ES"/>
        </w:rPr>
        <w:t>la reunión de la CE</w:t>
      </w:r>
      <w:r w:rsidR="00031E56">
        <w:rPr>
          <w:lang w:val="es-ES"/>
        </w:rPr>
        <w:t xml:space="preserve"> </w:t>
      </w:r>
      <w:r w:rsidR="00A65287">
        <w:rPr>
          <w:lang w:val="es-ES"/>
        </w:rPr>
        <w:t>7 en 2024</w:t>
      </w:r>
      <w:r>
        <w:rPr>
          <w:lang w:val="es-ES"/>
        </w:rPr>
        <w:t xml:space="preserve">: </w:t>
      </w:r>
      <w:r w:rsidR="00A65287">
        <w:rPr>
          <w:b/>
          <w:bCs/>
          <w:lang w:val="es-ES"/>
        </w:rPr>
        <w:t>9</w:t>
      </w:r>
      <w:r>
        <w:rPr>
          <w:b/>
          <w:bCs/>
          <w:lang w:val="es-ES"/>
        </w:rPr>
        <w:t>/</w:t>
      </w:r>
      <w:r w:rsidR="00A65287">
        <w:rPr>
          <w:b/>
          <w:bCs/>
          <w:lang w:val="es-ES"/>
        </w:rPr>
        <w:t>10</w:t>
      </w:r>
    </w:p>
    <w:p w14:paraId="4463CC1E" w14:textId="3FE27702" w:rsidR="000F62B4" w:rsidRPr="006C7415" w:rsidRDefault="00A65287" w:rsidP="001F6E24">
      <w:pPr>
        <w:pStyle w:val="Heading3"/>
        <w:rPr>
          <w:lang w:val="es-ES"/>
        </w:rPr>
      </w:pPr>
      <w:r>
        <w:rPr>
          <w:bCs/>
          <w:lang w:val="es-ES"/>
        </w:rPr>
        <w:t>5.9</w:t>
      </w:r>
      <w:r w:rsidR="000F62B4">
        <w:rPr>
          <w:bCs/>
          <w:lang w:val="es-ES"/>
        </w:rPr>
        <w:t>.7</w:t>
      </w:r>
      <w:r w:rsidR="000F62B4">
        <w:rPr>
          <w:lang w:val="es-ES"/>
        </w:rPr>
        <w:tab/>
      </w:r>
      <w:r w:rsidR="000F62B4">
        <w:rPr>
          <w:bCs/>
          <w:lang w:val="es-ES"/>
        </w:rPr>
        <w:t xml:space="preserve">Participación de los </w:t>
      </w:r>
      <w:proofErr w:type="gramStart"/>
      <w:r w:rsidR="000F62B4">
        <w:rPr>
          <w:bCs/>
          <w:lang w:val="es-ES"/>
        </w:rPr>
        <w:t>Vicepresidentes</w:t>
      </w:r>
      <w:proofErr w:type="gramEnd"/>
      <w:r w:rsidR="000F62B4">
        <w:rPr>
          <w:bCs/>
          <w:lang w:val="es-ES"/>
        </w:rPr>
        <w:t xml:space="preserve"> del CCV en los trabajos del Comité de Coordinación de la Terminología (CCT) de la UIT</w:t>
      </w:r>
    </w:p>
    <w:p w14:paraId="439A6A79" w14:textId="1F29C928" w:rsidR="000F62B4" w:rsidRPr="006C7415" w:rsidRDefault="000F62B4" w:rsidP="001F6E24">
      <w:pPr>
        <w:rPr>
          <w:lang w:val="es-ES"/>
        </w:rPr>
      </w:pPr>
      <w:r>
        <w:rPr>
          <w:lang w:val="es-ES"/>
        </w:rPr>
        <w:t xml:space="preserve">El CCV </w:t>
      </w:r>
      <w:r w:rsidR="00A65287">
        <w:rPr>
          <w:lang w:val="es-ES"/>
        </w:rPr>
        <w:t>ha nombrado</w:t>
      </w:r>
      <w:r>
        <w:rPr>
          <w:lang w:val="es-ES"/>
        </w:rPr>
        <w:t xml:space="preserve"> 6 </w:t>
      </w:r>
      <w:proofErr w:type="gramStart"/>
      <w:r>
        <w:rPr>
          <w:lang w:val="es-ES"/>
        </w:rPr>
        <w:t>Vicepresidentes</w:t>
      </w:r>
      <w:proofErr w:type="gramEnd"/>
      <w:r>
        <w:rPr>
          <w:lang w:val="es-ES"/>
        </w:rPr>
        <w:t xml:space="preserve"> para este periodo de estudios.</w:t>
      </w:r>
    </w:p>
    <w:p w14:paraId="15F37A0D" w14:textId="37003862" w:rsidR="000F62B4" w:rsidRPr="006C7415" w:rsidRDefault="000F62B4" w:rsidP="001F6E24">
      <w:pPr>
        <w:rPr>
          <w:lang w:val="es-ES"/>
        </w:rPr>
      </w:pPr>
      <w:r>
        <w:rPr>
          <w:lang w:val="es-ES"/>
        </w:rPr>
        <w:t xml:space="preserve">El CCT celebró </w:t>
      </w:r>
      <w:r w:rsidR="00A65287">
        <w:rPr>
          <w:lang w:val="es-ES"/>
        </w:rPr>
        <w:t>cuatro</w:t>
      </w:r>
      <w:r>
        <w:rPr>
          <w:lang w:val="es-ES"/>
        </w:rPr>
        <w:t xml:space="preserve"> </w:t>
      </w:r>
      <w:r w:rsidR="00776541">
        <w:rPr>
          <w:lang w:val="es-ES"/>
        </w:rPr>
        <w:t>conferencias telefónicas</w:t>
      </w:r>
      <w:r>
        <w:rPr>
          <w:lang w:val="es-ES"/>
        </w:rPr>
        <w:t xml:space="preserve"> </w:t>
      </w:r>
      <w:r w:rsidR="00A65287">
        <w:rPr>
          <w:lang w:val="es-ES"/>
        </w:rPr>
        <w:t>en 2024</w:t>
      </w:r>
      <w:r>
        <w:rPr>
          <w:lang w:val="es-ES"/>
        </w:rPr>
        <w:t>.</w:t>
      </w:r>
    </w:p>
    <w:p w14:paraId="389E1340" w14:textId="63308E2E" w:rsidR="000F62B4" w:rsidRPr="00705703" w:rsidRDefault="000F62B4" w:rsidP="001F6E24">
      <w:pPr>
        <w:pStyle w:val="enumlev1"/>
        <w:rPr>
          <w:lang w:val="es-ES"/>
        </w:rPr>
      </w:pPr>
      <w:r>
        <w:rPr>
          <w:lang w:val="es-ES"/>
        </w:rPr>
        <w:t>−</w:t>
      </w:r>
      <w:r>
        <w:rPr>
          <w:lang w:val="es-ES"/>
        </w:rPr>
        <w:tab/>
        <w:t xml:space="preserve">Número de </w:t>
      </w:r>
      <w:proofErr w:type="gramStart"/>
      <w:r>
        <w:rPr>
          <w:lang w:val="es-ES"/>
        </w:rPr>
        <w:t>Vicepresidentes</w:t>
      </w:r>
      <w:proofErr w:type="gramEnd"/>
      <w:r>
        <w:rPr>
          <w:lang w:val="es-ES"/>
        </w:rPr>
        <w:t xml:space="preserve"> del CCV que participaron en </w:t>
      </w:r>
      <w:r w:rsidR="00776541">
        <w:rPr>
          <w:lang w:val="es-ES"/>
        </w:rPr>
        <w:t>la</w:t>
      </w:r>
      <w:r>
        <w:rPr>
          <w:lang w:val="es-ES"/>
        </w:rPr>
        <w:t xml:space="preserve"> conferencia telefónica del</w:t>
      </w:r>
      <w:r w:rsidR="00776541">
        <w:rPr>
          <w:lang w:val="es-ES"/>
        </w:rPr>
        <w:t xml:space="preserve"> 16 de abril de 2024</w:t>
      </w:r>
      <w:r>
        <w:rPr>
          <w:lang w:val="es-ES"/>
        </w:rPr>
        <w:t xml:space="preserve">: </w:t>
      </w:r>
      <w:r w:rsidR="00776541">
        <w:rPr>
          <w:b/>
          <w:bCs/>
          <w:lang w:val="es-ES"/>
        </w:rPr>
        <w:t>6</w:t>
      </w:r>
      <w:r>
        <w:rPr>
          <w:b/>
          <w:bCs/>
          <w:lang w:val="es-ES"/>
        </w:rPr>
        <w:t>/6</w:t>
      </w:r>
      <w:r w:rsidR="00705703">
        <w:rPr>
          <w:lang w:val="es-ES"/>
        </w:rPr>
        <w:t>.</w:t>
      </w:r>
    </w:p>
    <w:p w14:paraId="23553F84" w14:textId="58CB5D2A" w:rsidR="000F62B4" w:rsidRPr="00705703" w:rsidRDefault="000F62B4" w:rsidP="001F6E24">
      <w:pPr>
        <w:pStyle w:val="enumlev1"/>
        <w:rPr>
          <w:lang w:val="es-ES"/>
        </w:rPr>
      </w:pPr>
      <w:r>
        <w:rPr>
          <w:lang w:val="es-ES"/>
        </w:rPr>
        <w:t>−</w:t>
      </w:r>
      <w:r>
        <w:rPr>
          <w:lang w:val="es-ES"/>
        </w:rPr>
        <w:tab/>
        <w:t xml:space="preserve">Número de </w:t>
      </w:r>
      <w:proofErr w:type="gramStart"/>
      <w:r>
        <w:rPr>
          <w:lang w:val="es-ES"/>
        </w:rPr>
        <w:t>Vicepresidentes</w:t>
      </w:r>
      <w:proofErr w:type="gramEnd"/>
      <w:r>
        <w:rPr>
          <w:lang w:val="es-ES"/>
        </w:rPr>
        <w:t xml:space="preserve"> del CCV que participaron en </w:t>
      </w:r>
      <w:r w:rsidR="00776541">
        <w:rPr>
          <w:lang w:val="es-ES"/>
        </w:rPr>
        <w:t>la</w:t>
      </w:r>
      <w:r>
        <w:rPr>
          <w:lang w:val="es-ES"/>
        </w:rPr>
        <w:t xml:space="preserve"> conferencia telefónica del</w:t>
      </w:r>
      <w:r w:rsidR="00776541">
        <w:rPr>
          <w:lang w:val="es-ES"/>
        </w:rPr>
        <w:t xml:space="preserve"> 25 de junio de 2024</w:t>
      </w:r>
      <w:r>
        <w:rPr>
          <w:lang w:val="es-ES"/>
        </w:rPr>
        <w:t xml:space="preserve">: </w:t>
      </w:r>
      <w:r w:rsidR="00776541">
        <w:rPr>
          <w:b/>
          <w:bCs/>
          <w:lang w:val="es-ES"/>
        </w:rPr>
        <w:t>4</w:t>
      </w:r>
      <w:r>
        <w:rPr>
          <w:b/>
          <w:bCs/>
          <w:lang w:val="es-ES"/>
        </w:rPr>
        <w:t>/6</w:t>
      </w:r>
      <w:r w:rsidR="00705703">
        <w:rPr>
          <w:lang w:val="es-ES"/>
        </w:rPr>
        <w:t>.</w:t>
      </w:r>
    </w:p>
    <w:p w14:paraId="18726673" w14:textId="0CC20807" w:rsidR="000F62B4" w:rsidRPr="00705703" w:rsidRDefault="000F62B4" w:rsidP="001F6E24">
      <w:pPr>
        <w:pStyle w:val="enumlev1"/>
        <w:rPr>
          <w:lang w:val="es-ES"/>
        </w:rPr>
      </w:pPr>
      <w:r>
        <w:rPr>
          <w:lang w:val="es-ES"/>
        </w:rPr>
        <w:t>−</w:t>
      </w:r>
      <w:r>
        <w:rPr>
          <w:lang w:val="es-ES"/>
        </w:rPr>
        <w:tab/>
        <w:t xml:space="preserve">Número de </w:t>
      </w:r>
      <w:proofErr w:type="gramStart"/>
      <w:r>
        <w:rPr>
          <w:lang w:val="es-ES"/>
        </w:rPr>
        <w:t>Vicepresidentes</w:t>
      </w:r>
      <w:proofErr w:type="gramEnd"/>
      <w:r>
        <w:rPr>
          <w:lang w:val="es-ES"/>
        </w:rPr>
        <w:t xml:space="preserve"> del CCV que participaron en </w:t>
      </w:r>
      <w:r w:rsidR="00776541">
        <w:rPr>
          <w:lang w:val="es-ES"/>
        </w:rPr>
        <w:t>la</w:t>
      </w:r>
      <w:r>
        <w:rPr>
          <w:lang w:val="es-ES"/>
        </w:rPr>
        <w:t xml:space="preserve"> conferencia telefónica del</w:t>
      </w:r>
      <w:r w:rsidR="00776541">
        <w:rPr>
          <w:lang w:val="es-ES"/>
        </w:rPr>
        <w:t xml:space="preserve"> 17 de septiembre de 2024</w:t>
      </w:r>
      <w:r>
        <w:rPr>
          <w:lang w:val="es-ES"/>
        </w:rPr>
        <w:t>:</w:t>
      </w:r>
      <w:r>
        <w:rPr>
          <w:b/>
          <w:bCs/>
          <w:lang w:val="es-ES"/>
        </w:rPr>
        <w:t xml:space="preserve"> </w:t>
      </w:r>
      <w:r w:rsidR="00776541">
        <w:rPr>
          <w:b/>
          <w:bCs/>
          <w:lang w:val="es-ES"/>
        </w:rPr>
        <w:t>4</w:t>
      </w:r>
      <w:r>
        <w:rPr>
          <w:b/>
          <w:bCs/>
          <w:lang w:val="es-ES"/>
        </w:rPr>
        <w:t>/6</w:t>
      </w:r>
      <w:r w:rsidR="00705703">
        <w:rPr>
          <w:lang w:val="es-ES"/>
        </w:rPr>
        <w:t>.</w:t>
      </w:r>
    </w:p>
    <w:p w14:paraId="77D105CB" w14:textId="0ABA9A03" w:rsidR="000F62B4" w:rsidRPr="00705703" w:rsidRDefault="000F62B4" w:rsidP="001F6E24">
      <w:pPr>
        <w:pStyle w:val="enumlev1"/>
        <w:rPr>
          <w:lang w:val="es-ES"/>
        </w:rPr>
      </w:pPr>
      <w:r>
        <w:rPr>
          <w:lang w:val="es-ES"/>
        </w:rPr>
        <w:t>−</w:t>
      </w:r>
      <w:r>
        <w:rPr>
          <w:lang w:val="es-ES"/>
        </w:rPr>
        <w:tab/>
        <w:t xml:space="preserve">Número de </w:t>
      </w:r>
      <w:proofErr w:type="gramStart"/>
      <w:r>
        <w:rPr>
          <w:lang w:val="es-ES"/>
        </w:rPr>
        <w:t>Vicepresidentes</w:t>
      </w:r>
      <w:proofErr w:type="gramEnd"/>
      <w:r>
        <w:rPr>
          <w:lang w:val="es-ES"/>
        </w:rPr>
        <w:t xml:space="preserve"> del CCV que participaron en </w:t>
      </w:r>
      <w:r w:rsidR="00776541">
        <w:rPr>
          <w:lang w:val="es-ES"/>
        </w:rPr>
        <w:t>la</w:t>
      </w:r>
      <w:r>
        <w:rPr>
          <w:lang w:val="es-ES"/>
        </w:rPr>
        <w:t xml:space="preserve"> conferencia telefónica del</w:t>
      </w:r>
      <w:r w:rsidR="00776541">
        <w:rPr>
          <w:lang w:val="es-ES"/>
        </w:rPr>
        <w:t xml:space="preserve"> 10 de diciembre de 2024</w:t>
      </w:r>
      <w:r>
        <w:rPr>
          <w:lang w:val="es-ES"/>
        </w:rPr>
        <w:t xml:space="preserve">: </w:t>
      </w:r>
      <w:r w:rsidR="00776541">
        <w:rPr>
          <w:b/>
          <w:bCs/>
          <w:lang w:val="es-ES"/>
        </w:rPr>
        <w:t>3</w:t>
      </w:r>
      <w:r>
        <w:rPr>
          <w:b/>
          <w:bCs/>
          <w:lang w:val="es-ES"/>
        </w:rPr>
        <w:t>/6</w:t>
      </w:r>
      <w:r w:rsidR="00705703">
        <w:rPr>
          <w:lang w:val="es-ES"/>
        </w:rPr>
        <w:t>.</w:t>
      </w:r>
    </w:p>
    <w:bookmarkEnd w:id="19"/>
    <w:p w14:paraId="28D8298B" w14:textId="53D3CBD9" w:rsidR="000F62B4" w:rsidRPr="006C7415" w:rsidRDefault="00776541" w:rsidP="001F6E24">
      <w:pPr>
        <w:pStyle w:val="Heading2"/>
        <w:rPr>
          <w:lang w:val="es-ES"/>
        </w:rPr>
      </w:pPr>
      <w:r>
        <w:rPr>
          <w:bCs/>
          <w:lang w:val="es-ES"/>
        </w:rPr>
        <w:t>5.10</w:t>
      </w:r>
      <w:r w:rsidR="000F62B4">
        <w:rPr>
          <w:lang w:val="es-ES"/>
        </w:rPr>
        <w:tab/>
      </w:r>
      <w:r>
        <w:rPr>
          <w:lang w:val="es-ES"/>
        </w:rPr>
        <w:t>Actividades de la RPC-27 y preparación de la RPC27-2</w:t>
      </w:r>
    </w:p>
    <w:p w14:paraId="56E306BF" w14:textId="377D3B5A" w:rsidR="00776541" w:rsidRPr="00C414E3" w:rsidRDefault="00776541" w:rsidP="00776541">
      <w:pPr>
        <w:rPr>
          <w:lang w:val="es-ES"/>
        </w:rPr>
      </w:pPr>
      <w:r w:rsidRPr="00C414E3">
        <w:rPr>
          <w:lang w:val="es-ES"/>
        </w:rPr>
        <w:t xml:space="preserve">Puede consultarse un resumen de las actividades de la RPC-27 </w:t>
      </w:r>
      <w:r>
        <w:rPr>
          <w:lang w:val="es-ES"/>
        </w:rPr>
        <w:t xml:space="preserve">y la preparación de la </w:t>
      </w:r>
      <w:r w:rsidRPr="00EF6B94">
        <w:rPr>
          <w:lang w:val="es-ES"/>
        </w:rPr>
        <w:t>RPC27-</w:t>
      </w:r>
      <w:r w:rsidRPr="00C414E3">
        <w:rPr>
          <w:lang w:val="es-ES"/>
        </w:rPr>
        <w:t xml:space="preserve">2 </w:t>
      </w:r>
      <w:r>
        <w:rPr>
          <w:lang w:val="es-ES"/>
        </w:rPr>
        <w:t>en la Sección 4 del Documento</w:t>
      </w:r>
      <w:r w:rsidRPr="00C414E3">
        <w:rPr>
          <w:lang w:val="es-ES"/>
        </w:rPr>
        <w:t xml:space="preserve"> </w:t>
      </w:r>
      <w:hyperlink r:id="rId27" w:history="1">
        <w:r w:rsidRPr="00C414E3">
          <w:rPr>
            <w:rStyle w:val="Hyperlink"/>
            <w:rFonts w:eastAsia="SimSun"/>
            <w:lang w:val="es-ES"/>
          </w:rPr>
          <w:t>RAG/30</w:t>
        </w:r>
      </w:hyperlink>
      <w:r w:rsidRPr="00C414E3">
        <w:rPr>
          <w:lang w:val="es-ES"/>
        </w:rPr>
        <w:t>.</w:t>
      </w:r>
    </w:p>
    <w:p w14:paraId="33ABACFC" w14:textId="23E40628" w:rsidR="000F62B4" w:rsidRPr="006C7415" w:rsidRDefault="00776541" w:rsidP="001F6E24">
      <w:pPr>
        <w:pStyle w:val="Heading1"/>
        <w:rPr>
          <w:lang w:val="es-ES"/>
        </w:rPr>
      </w:pPr>
      <w:r>
        <w:rPr>
          <w:bCs/>
          <w:lang w:val="es-ES"/>
        </w:rPr>
        <w:t>6</w:t>
      </w:r>
      <w:r w:rsidR="000F62B4">
        <w:rPr>
          <w:lang w:val="es-ES"/>
        </w:rPr>
        <w:tab/>
      </w:r>
      <w:proofErr w:type="gramStart"/>
      <w:r w:rsidR="000F62B4">
        <w:rPr>
          <w:bCs/>
          <w:lang w:val="es-ES"/>
        </w:rPr>
        <w:t>Coordinación</w:t>
      </w:r>
      <w:proofErr w:type="gramEnd"/>
      <w:r w:rsidR="000F62B4">
        <w:rPr>
          <w:bCs/>
          <w:lang w:val="es-ES"/>
        </w:rPr>
        <w:t xml:space="preserve"> y colaboración con el UIT-D y el UIT-T y con otras organizaciones</w:t>
      </w:r>
    </w:p>
    <w:p w14:paraId="5C181FD4" w14:textId="77777777" w:rsidR="000F62B4" w:rsidRPr="006C7415" w:rsidRDefault="000F62B4" w:rsidP="001F6E24">
      <w:pPr>
        <w:rPr>
          <w:lang w:val="es-ES"/>
        </w:rPr>
      </w:pPr>
      <w:r>
        <w:rPr>
          <w:lang w:val="es-ES"/>
        </w:rPr>
        <w:t>Las actividades intersectoriales han continuado durante el periodo, centrándose especialmente en los temas prioritarios de la UIT del cambio climático, las comunicaciones de emergencia y la accesibilidad.</w:t>
      </w:r>
    </w:p>
    <w:p w14:paraId="2489F184" w14:textId="77777777" w:rsidR="000F62B4" w:rsidRPr="006B4AAB" w:rsidRDefault="000F62B4" w:rsidP="004F6DA1">
      <w:pPr>
        <w:pStyle w:val="Headingi"/>
        <w:rPr>
          <w:lang w:val="es-ES"/>
        </w:rPr>
      </w:pPr>
      <w:r w:rsidRPr="004F6DA1">
        <w:rPr>
          <w:lang w:val="es-ES"/>
        </w:rPr>
        <w:t>•</w:t>
      </w:r>
      <w:r w:rsidRPr="004F6DA1">
        <w:rPr>
          <w:lang w:val="es-ES"/>
        </w:rPr>
        <w:tab/>
        <w:t>UIT-D</w:t>
      </w:r>
    </w:p>
    <w:p w14:paraId="5B032533" w14:textId="77777777" w:rsidR="000F62B4" w:rsidRPr="006C7415" w:rsidRDefault="000F62B4" w:rsidP="001F6E24">
      <w:pPr>
        <w:keepNext/>
        <w:keepLines/>
        <w:rPr>
          <w:lang w:val="es-ES"/>
        </w:rPr>
      </w:pPr>
      <w:r>
        <w:rPr>
          <w:lang w:val="es-ES"/>
        </w:rPr>
        <w:t>La BR sigue contribuyendo a los diversos talleres y seminarios de la BDT.</w:t>
      </w:r>
    </w:p>
    <w:p w14:paraId="22B703F9" w14:textId="2333C16A" w:rsidR="000F62B4" w:rsidRPr="006C7415" w:rsidRDefault="000F62B4" w:rsidP="001F6E24">
      <w:pPr>
        <w:rPr>
          <w:lang w:val="es-ES"/>
        </w:rPr>
      </w:pPr>
      <w:r>
        <w:rPr>
          <w:lang w:val="es-ES"/>
        </w:rPr>
        <w:t>La BR participó activamente en las reuniones de las CE del UIT-D para informar sobre los últimos adelantos de las actividades de las CE del UIT-R, así como orientaciones y correspondencias sobre Recomendaciones, Informes y Manuales del UIT-R de particular interés para los países en desarrollo y estudios elaborados por las CE 1 y 2 del UIT-D.</w:t>
      </w:r>
      <w:r w:rsidR="00776541">
        <w:rPr>
          <w:lang w:val="es-ES"/>
        </w:rPr>
        <w:t xml:space="preserve"> Las CE del UIT-R o sus GT respondieron asimismo a varias Declaraciones de coordinación de las CE del UIT-D sobre la preparación de proyectos de Informes del UIT-D a la CMDT-25 relativos a las Cuestiones UIT-D aprobadas por la CMDT-22.</w:t>
      </w:r>
    </w:p>
    <w:p w14:paraId="62203741" w14:textId="77777777" w:rsidR="000F62B4" w:rsidRPr="006B4AAB" w:rsidRDefault="000F62B4" w:rsidP="004F6DA1">
      <w:pPr>
        <w:pStyle w:val="Headingi"/>
        <w:rPr>
          <w:lang w:val="es-ES"/>
        </w:rPr>
      </w:pPr>
      <w:r w:rsidRPr="006B4AAB">
        <w:rPr>
          <w:lang w:val="es-ES"/>
        </w:rPr>
        <w:t>•</w:t>
      </w:r>
      <w:r w:rsidRPr="006B4AAB">
        <w:rPr>
          <w:lang w:val="es-ES"/>
        </w:rPr>
        <w:tab/>
        <w:t>UIT-T</w:t>
      </w:r>
    </w:p>
    <w:p w14:paraId="08F4A39D" w14:textId="77777777" w:rsidR="000F62B4" w:rsidRPr="006C7415" w:rsidRDefault="000F62B4" w:rsidP="001F6E24">
      <w:pPr>
        <w:rPr>
          <w:lang w:val="es-ES"/>
        </w:rPr>
      </w:pPr>
      <w:r>
        <w:rPr>
          <w:lang w:val="es-ES"/>
        </w:rPr>
        <w:t>Además del cambio climático y las comunicaciones de emergencia, los temas de interés tanto para el UIT-R como para el UIT-T comprenden las IMT, los efectos de la exposición de las personas a las frecuencias radioeléctricas, los sistemas de transmisión por líneas eléctricas, la red eléctrica inteligente, las ciudades inteligentes, EMC/EMI, los sistemas de transporte inteligentes, la accesibilidad de los medios audiovisuales, la política común de patentes y los derechos de propiedad intelectual.</w:t>
      </w:r>
    </w:p>
    <w:p w14:paraId="2E3E764D" w14:textId="77777777" w:rsidR="000F62B4" w:rsidRPr="006C7415" w:rsidRDefault="000F62B4" w:rsidP="004F6DA1">
      <w:pPr>
        <w:pStyle w:val="Headingi"/>
        <w:rPr>
          <w:lang w:val="es-ES"/>
        </w:rPr>
      </w:pPr>
      <w:r w:rsidRPr="00CC5CD3">
        <w:rPr>
          <w:lang w:val="es-ES"/>
        </w:rPr>
        <w:lastRenderedPageBreak/>
        <w:t>•</w:t>
      </w:r>
      <w:r>
        <w:rPr>
          <w:lang w:val="es-ES"/>
        </w:rPr>
        <w:tab/>
        <w:t>Otras organizaciones</w:t>
      </w:r>
    </w:p>
    <w:p w14:paraId="2D4D32E7" w14:textId="312972FC" w:rsidR="000F62B4" w:rsidRPr="006C7415" w:rsidRDefault="000F62B4" w:rsidP="001F6E24">
      <w:pPr>
        <w:keepNext/>
        <w:keepLines/>
        <w:rPr>
          <w:lang w:val="es-ES"/>
        </w:rPr>
      </w:pPr>
      <w:r>
        <w:rPr>
          <w:lang w:val="es-ES"/>
        </w:rPr>
        <w:t xml:space="preserve">Ha continuado la colaboración activa entre las CE del UIT-R y otras organizaciones, haciendo la correspondiente referencia, cuando ha sido necesario, a la Resolución </w:t>
      </w:r>
      <w:hyperlink r:id="rId28" w:history="1">
        <w:r w:rsidRPr="00587EE6">
          <w:rPr>
            <w:rStyle w:val="Hyperlink"/>
            <w:rFonts w:eastAsia="SimSun"/>
            <w:lang w:val="es-ES"/>
          </w:rPr>
          <w:t>UIT-R 9</w:t>
        </w:r>
      </w:hyperlink>
      <w:r>
        <w:rPr>
          <w:lang w:val="es-ES"/>
        </w:rPr>
        <w:t xml:space="preserve">. </w:t>
      </w:r>
    </w:p>
    <w:p w14:paraId="05A693F9" w14:textId="77777777" w:rsidR="000F62B4" w:rsidRPr="006C7415" w:rsidRDefault="000F62B4" w:rsidP="001F6E24">
      <w:pPr>
        <w:rPr>
          <w:lang w:val="es-ES"/>
        </w:rPr>
      </w:pPr>
      <w:r>
        <w:rPr>
          <w:lang w:val="es-ES"/>
        </w:rPr>
        <w:t>La Oficina siguió manteniendo una estrecha cooperación con numerosas organizaciones, con los objetivos siguientes:</w:t>
      </w:r>
    </w:p>
    <w:p w14:paraId="628778F1" w14:textId="660C420C" w:rsidR="000F62B4" w:rsidRPr="006C7415" w:rsidRDefault="006B4AAB" w:rsidP="006B4AAB">
      <w:pPr>
        <w:pStyle w:val="enumlev1"/>
        <w:rPr>
          <w:lang w:val="es-ES"/>
        </w:rPr>
      </w:pPr>
      <w:r>
        <w:rPr>
          <w:lang w:val="es-ES"/>
        </w:rPr>
        <w:t>1)</w:t>
      </w:r>
      <w:r>
        <w:rPr>
          <w:lang w:val="es-ES"/>
        </w:rPr>
        <w:tab/>
      </w:r>
      <w:r w:rsidR="000F62B4">
        <w:rPr>
          <w:lang w:val="es-ES"/>
        </w:rPr>
        <w:t>promover el diálogo entre organismos que tienen intereses comunes;</w:t>
      </w:r>
    </w:p>
    <w:p w14:paraId="0237AC51" w14:textId="63FFC3ED" w:rsidR="000F62B4" w:rsidRPr="006C7415" w:rsidRDefault="006B4AAB" w:rsidP="006B4AAB">
      <w:pPr>
        <w:pStyle w:val="enumlev1"/>
        <w:rPr>
          <w:lang w:val="es-ES"/>
        </w:rPr>
      </w:pPr>
      <w:r>
        <w:rPr>
          <w:lang w:val="es-ES"/>
        </w:rPr>
        <w:t>2)</w:t>
      </w:r>
      <w:r>
        <w:rPr>
          <w:lang w:val="es-ES"/>
        </w:rPr>
        <w:tab/>
      </w:r>
      <w:r w:rsidR="000F62B4">
        <w:rPr>
          <w:lang w:val="es-ES"/>
        </w:rPr>
        <w:t>mejorar la coordinación de tal forma que conduzca a una preparación más eficaz de eventos tales como las CMR; y</w:t>
      </w:r>
    </w:p>
    <w:p w14:paraId="2CDA4F15" w14:textId="00C097C7" w:rsidR="000F62B4" w:rsidRPr="006C7415" w:rsidRDefault="006B4AAB" w:rsidP="006B4AAB">
      <w:pPr>
        <w:pStyle w:val="enumlev1"/>
        <w:rPr>
          <w:lang w:val="es-ES"/>
        </w:rPr>
      </w:pPr>
      <w:r>
        <w:rPr>
          <w:lang w:val="es-ES"/>
        </w:rPr>
        <w:t>3)</w:t>
      </w:r>
      <w:r>
        <w:rPr>
          <w:lang w:val="es-ES"/>
        </w:rPr>
        <w:tab/>
      </w:r>
      <w:r w:rsidR="000F62B4">
        <w:rPr>
          <w:lang w:val="es-ES"/>
        </w:rPr>
        <w:t>mantener al UIT-R al tanto de las actividades pertinentes realizadas en otras organizaciones, a fin de planificar de manera más estratégica los programas de trabajo.</w:t>
      </w:r>
    </w:p>
    <w:p w14:paraId="4E18A030" w14:textId="77777777" w:rsidR="000F62B4" w:rsidRPr="006C7415" w:rsidRDefault="000F62B4" w:rsidP="001F6E24">
      <w:pPr>
        <w:rPr>
          <w:lang w:val="es-ES"/>
        </w:rPr>
      </w:pPr>
      <w:r>
        <w:rPr>
          <w:lang w:val="es-ES"/>
        </w:rPr>
        <w:t>La Oficina continua su estrecha colaboración con las organizaciones internacionales y regionales pertinentes, incluidas, entre otras:</w:t>
      </w:r>
    </w:p>
    <w:p w14:paraId="21C62DD4" w14:textId="77777777" w:rsidR="000F62B4" w:rsidRPr="006C7415" w:rsidRDefault="000F62B4" w:rsidP="001F6E24">
      <w:pPr>
        <w:pStyle w:val="enumlev1"/>
        <w:rPr>
          <w:lang w:val="es-ES"/>
        </w:rPr>
      </w:pPr>
      <w:r>
        <w:rPr>
          <w:lang w:val="es-ES"/>
        </w:rPr>
        <w:t>−</w:t>
      </w:r>
      <w:r>
        <w:rPr>
          <w:lang w:val="es-ES"/>
        </w:rPr>
        <w:tab/>
        <w:t>la APT, el ASMG, la ATU, la CEPT, la CITEL y la CRC para la coordinación regional;</w:t>
      </w:r>
    </w:p>
    <w:p w14:paraId="4AD8D011" w14:textId="77777777" w:rsidR="000F62B4" w:rsidRPr="006C7415" w:rsidRDefault="000F62B4" w:rsidP="001F6E24">
      <w:pPr>
        <w:pStyle w:val="enumlev1"/>
        <w:rPr>
          <w:lang w:val="es-ES"/>
        </w:rPr>
      </w:pPr>
      <w:r>
        <w:rPr>
          <w:lang w:val="es-ES"/>
        </w:rPr>
        <w:t>−</w:t>
      </w:r>
      <w:r>
        <w:rPr>
          <w:lang w:val="es-ES"/>
        </w:rPr>
        <w:tab/>
        <w:t>la ABU, la ASBU, la EBU, la SMPT, el ETSI y la HFCC para cuestiones relativas a la radiodifusión;</w:t>
      </w:r>
    </w:p>
    <w:p w14:paraId="7AB302E6" w14:textId="77777777" w:rsidR="000F62B4" w:rsidRPr="006C7415" w:rsidRDefault="000F62B4" w:rsidP="001F6E24">
      <w:pPr>
        <w:pStyle w:val="enumlev1"/>
        <w:rPr>
          <w:lang w:val="es-ES"/>
        </w:rPr>
      </w:pPr>
      <w:r>
        <w:rPr>
          <w:lang w:val="es-ES"/>
        </w:rPr>
        <w:t>−</w:t>
      </w:r>
      <w:r>
        <w:rPr>
          <w:lang w:val="es-ES"/>
        </w:rPr>
        <w:tab/>
        <w:t>la ITSO, la ESOA, el GVF, la GSMA para la utilización de sistemas y servicios de radiocomunicaciones específicos;</w:t>
      </w:r>
    </w:p>
    <w:p w14:paraId="408332E2" w14:textId="77777777" w:rsidR="000F62B4" w:rsidRPr="006C7415" w:rsidRDefault="000F62B4" w:rsidP="001F6E24">
      <w:pPr>
        <w:pStyle w:val="enumlev1"/>
        <w:rPr>
          <w:lang w:val="es-ES"/>
        </w:rPr>
      </w:pPr>
      <w:r>
        <w:rPr>
          <w:lang w:val="es-ES"/>
        </w:rPr>
        <w:t>−</w:t>
      </w:r>
      <w:r>
        <w:rPr>
          <w:lang w:val="es-ES"/>
        </w:rPr>
        <w:tab/>
        <w:t>la 3GPP, el IEEE y varias organizaciones de normalización regionales para las actividades relacionadas con la Colaboración Mundial en materia de Normalización (GSC);</w:t>
      </w:r>
    </w:p>
    <w:p w14:paraId="0443CF5D" w14:textId="09BE890A" w:rsidR="000F62B4" w:rsidRPr="006C7415" w:rsidRDefault="000F62B4" w:rsidP="001F6E24">
      <w:pPr>
        <w:pStyle w:val="enumlev1"/>
        <w:rPr>
          <w:lang w:val="es-ES"/>
        </w:rPr>
      </w:pPr>
      <w:r>
        <w:rPr>
          <w:lang w:val="es-ES"/>
        </w:rPr>
        <w:t>−</w:t>
      </w:r>
      <w:r>
        <w:rPr>
          <w:lang w:val="es-ES"/>
        </w:rPr>
        <w:tab/>
        <w:t>la Organización Meteorológica Mundial</w:t>
      </w:r>
      <w:r w:rsidR="00776541">
        <w:rPr>
          <w:lang w:val="es-ES"/>
        </w:rPr>
        <w:t xml:space="preserve"> (OMM)</w:t>
      </w:r>
      <w:r>
        <w:rPr>
          <w:lang w:val="es-ES"/>
        </w:rPr>
        <w:t>, la Organización Mundial de la Salud</w:t>
      </w:r>
      <w:r w:rsidR="00776541">
        <w:rPr>
          <w:lang w:val="es-ES"/>
        </w:rPr>
        <w:t xml:space="preserve"> (OMS)</w:t>
      </w:r>
      <w:r>
        <w:rPr>
          <w:lang w:val="es-ES"/>
        </w:rPr>
        <w:t xml:space="preserve">, la ISO, la CEI (incluido el </w:t>
      </w:r>
      <w:r w:rsidR="00776541">
        <w:rPr>
          <w:lang w:val="es-ES"/>
        </w:rPr>
        <w:t>Comité Internacional Especial de Perturbaciones Radioeléctricas (</w:t>
      </w:r>
      <w:r>
        <w:rPr>
          <w:lang w:val="es-ES"/>
        </w:rPr>
        <w:t>CISPR</w:t>
      </w:r>
      <w:r w:rsidR="00776541">
        <w:rPr>
          <w:lang w:val="es-ES"/>
        </w:rPr>
        <w:t>)</w:t>
      </w:r>
      <w:r>
        <w:rPr>
          <w:lang w:val="es-ES"/>
        </w:rPr>
        <w:t xml:space="preserve">), el Grupo de Coordinación de Frecuencias Espaciales, la Unión Internacional de Ciencias Radioeléctricas (URSI) y varias otras organizaciones en función de las necesidades para </w:t>
      </w:r>
      <w:r w:rsidR="00776541">
        <w:rPr>
          <w:lang w:val="es-ES"/>
        </w:rPr>
        <w:t>el fructífero intercambio de información</w:t>
      </w:r>
      <w:r>
        <w:rPr>
          <w:lang w:val="es-ES"/>
        </w:rPr>
        <w:t xml:space="preserve"> con respecto a las actividades de las CE</w:t>
      </w:r>
      <w:r w:rsidR="00705703">
        <w:rPr>
          <w:lang w:val="es-ES"/>
        </w:rPr>
        <w:t>;</w:t>
      </w:r>
    </w:p>
    <w:p w14:paraId="3876CC4C" w14:textId="1525295A" w:rsidR="000F62B4" w:rsidRPr="006C7415" w:rsidRDefault="000F62B4" w:rsidP="001F6E24">
      <w:pPr>
        <w:pStyle w:val="enumlev1"/>
        <w:rPr>
          <w:lang w:val="es-ES"/>
        </w:rPr>
      </w:pPr>
      <w:r>
        <w:rPr>
          <w:lang w:val="es-ES"/>
        </w:rPr>
        <w:t>−</w:t>
      </w:r>
      <w:r>
        <w:rPr>
          <w:lang w:val="es-ES"/>
        </w:rPr>
        <w:tab/>
      </w:r>
      <w:r w:rsidR="00705703">
        <w:rPr>
          <w:lang w:val="es-ES"/>
        </w:rPr>
        <w:t>l</w:t>
      </w:r>
      <w:r>
        <w:rPr>
          <w:lang w:val="es-ES"/>
        </w:rPr>
        <w:t>a Comisión de las Naciones Unidas sobre la Utilización del Espacio Ultraterrestre con Fines Pacíficos (UN COPUOS), la Comisión Económica para Europa (CEPE) de las Naciones Unidas, la Organización Marítima Internacional (OMI), la Organización Internacional de Telecomunicaciones Móviles Satélite (IMSO), la Oficina Internacional de Pesos y Medidas (BIPM), la Organización Internacional de Telecomunicaciones por Satélite (ITSO), COSPAS SARSAT, el Comité Internacional de la Cruz Roja (CICR) y la Organización de Aviación Civil Internacional (OACI) con respecto a la aplicación de los textos de la UIT con carácter de tratado.</w:t>
      </w:r>
    </w:p>
    <w:p w14:paraId="40884B36" w14:textId="1C84227E" w:rsidR="000F62B4" w:rsidRPr="006C7415" w:rsidRDefault="00776541" w:rsidP="001F6E24">
      <w:pPr>
        <w:pStyle w:val="Heading1"/>
        <w:rPr>
          <w:lang w:val="es-ES"/>
        </w:rPr>
      </w:pPr>
      <w:bookmarkStart w:id="20" w:name="_Toc445972800"/>
      <w:r>
        <w:rPr>
          <w:bCs/>
          <w:lang w:val="es-ES"/>
        </w:rPr>
        <w:t>7</w:t>
      </w:r>
      <w:r w:rsidR="000F62B4">
        <w:rPr>
          <w:lang w:val="es-ES"/>
        </w:rPr>
        <w:tab/>
      </w:r>
      <w:proofErr w:type="gramStart"/>
      <w:r w:rsidR="000F62B4">
        <w:rPr>
          <w:bCs/>
          <w:lang w:val="es-ES"/>
        </w:rPr>
        <w:t>Otras</w:t>
      </w:r>
      <w:proofErr w:type="gramEnd"/>
      <w:r w:rsidR="000F62B4">
        <w:rPr>
          <w:bCs/>
          <w:lang w:val="es-ES"/>
        </w:rPr>
        <w:t xml:space="preserve"> actividades intersectoriales</w:t>
      </w:r>
      <w:bookmarkEnd w:id="20"/>
    </w:p>
    <w:p w14:paraId="47BA3B05" w14:textId="77777777" w:rsidR="000F62B4" w:rsidRPr="006C7415" w:rsidRDefault="000F62B4" w:rsidP="001F6E24">
      <w:pPr>
        <w:rPr>
          <w:lang w:val="es-ES"/>
        </w:rPr>
      </w:pPr>
      <w:r>
        <w:rPr>
          <w:lang w:val="es-ES"/>
        </w:rPr>
        <w:t>La BR ha participado activamente en otras actividades intersectoriales referentes a los trabajos de las CE del UIT-R, a saber:</w:t>
      </w:r>
    </w:p>
    <w:p w14:paraId="4E7717F1" w14:textId="1440E8C5" w:rsidR="000F62B4" w:rsidRPr="006C7415" w:rsidRDefault="000F62B4" w:rsidP="004F6DA1">
      <w:pPr>
        <w:pStyle w:val="enumlev1"/>
        <w:rPr>
          <w:lang w:val="es-ES"/>
        </w:rPr>
      </w:pPr>
      <w:r>
        <w:rPr>
          <w:i/>
          <w:iCs/>
          <w:lang w:val="es-ES"/>
        </w:rPr>
        <w:t>–</w:t>
      </w:r>
      <w:r>
        <w:rPr>
          <w:lang w:val="es-ES"/>
        </w:rPr>
        <w:tab/>
        <w:t xml:space="preserve">Cambio climático y comunicaciones de emergencia: la BR participa en las actividades intersectoriales coordinadas por el Grupo Especial sobre Cambio Climático y </w:t>
      </w:r>
      <w:r w:rsidRPr="004F6DA1">
        <w:t>Telecomunicaciones</w:t>
      </w:r>
      <w:r>
        <w:rPr>
          <w:lang w:val="es-ES"/>
        </w:rPr>
        <w:t xml:space="preserve"> de Emergencia de la UIT para la aplicación de la Resolución</w:t>
      </w:r>
      <w:r w:rsidR="006B4AAB">
        <w:rPr>
          <w:lang w:val="es-ES"/>
        </w:rPr>
        <w:t> </w:t>
      </w:r>
      <w:r>
        <w:rPr>
          <w:lang w:val="es-ES"/>
        </w:rPr>
        <w:t xml:space="preserve">136 (Rev. Bucarest, 2022). Se realizaron estudios en respuesta a la Resolución UIT-R </w:t>
      </w:r>
      <w:hyperlink r:id="rId29" w:history="1">
        <w:r w:rsidRPr="00587EE6">
          <w:rPr>
            <w:rStyle w:val="Hyperlink"/>
            <w:rFonts w:eastAsia="SimSun"/>
            <w:lang w:val="es-ES"/>
          </w:rPr>
          <w:t>60-3</w:t>
        </w:r>
      </w:hyperlink>
      <w:r>
        <w:rPr>
          <w:lang w:val="es-ES"/>
        </w:rPr>
        <w:t xml:space="preserve"> (Reducción del consumo de energía para la protección del medio ambiente y la reducción del cambio climático mediante la utilización de tecnologías y sistemas de TIC/radiocomunicaciones).</w:t>
      </w:r>
    </w:p>
    <w:p w14:paraId="49DE4C52" w14:textId="77777777" w:rsidR="000F62B4" w:rsidRPr="006C7415" w:rsidRDefault="000F62B4" w:rsidP="004F6DA1">
      <w:pPr>
        <w:pStyle w:val="enumlev1"/>
        <w:rPr>
          <w:lang w:val="es-ES"/>
        </w:rPr>
      </w:pPr>
      <w:r>
        <w:rPr>
          <w:lang w:val="es-ES"/>
        </w:rPr>
        <w:lastRenderedPageBreak/>
        <w:t>–</w:t>
      </w:r>
      <w:r>
        <w:rPr>
          <w:lang w:val="es-ES"/>
        </w:rPr>
        <w:tab/>
      </w:r>
      <w:r w:rsidRPr="004F6DA1">
        <w:t>Accesibilidad</w:t>
      </w:r>
      <w:r>
        <w:rPr>
          <w:lang w:val="es-ES"/>
        </w:rPr>
        <w:t>: el UIT-R participa activamente en la JCA-AHF (Actividad Conjunta de Coordinación sobre accesibilidad y factores humanos) del UIT-T.</w:t>
      </w:r>
    </w:p>
    <w:p w14:paraId="7022C279" w14:textId="77777777" w:rsidR="000F62B4" w:rsidRPr="006C7415" w:rsidRDefault="000F62B4" w:rsidP="004F6DA1">
      <w:pPr>
        <w:pStyle w:val="enumlev1"/>
        <w:rPr>
          <w:lang w:val="es-ES"/>
        </w:rPr>
      </w:pPr>
      <w:r>
        <w:rPr>
          <w:lang w:val="es-ES"/>
        </w:rPr>
        <w:t>–</w:t>
      </w:r>
      <w:r>
        <w:rPr>
          <w:lang w:val="es-ES"/>
        </w:rPr>
        <w:tab/>
        <w:t xml:space="preserve">CMSI y GTC sobre la CMSI y los ODS: en respuesta a la Resolución 140 (Rev. Bucarest, 2022) de la Conferencia de Plenipotenciarios sobre la función de la UIT en la aplicación de los </w:t>
      </w:r>
      <w:r w:rsidRPr="004F6DA1">
        <w:t>resultados</w:t>
      </w:r>
      <w:r>
        <w:rPr>
          <w:lang w:val="es-ES"/>
        </w:rPr>
        <w:t xml:space="preserve"> de la Cumbre Mundial sobre la Sociedad de la Información y de la Agenda 2030 para el Desarrollo Sostenible, así como en sus procesos de seguimiento y revisión, el UIT-R se coordina con el GTC sobre la CMSI y los ODS y facilita información actualizada sobre los trabajos realizados por las Comisiones de Estudio del UIT-R. El SGD de la BR ha preparado y publicado un sitio web en el que se enumeran las publicaciones del UIT-R relacionadas con cada ODS. Esto se puede encontrar aquí: </w:t>
      </w:r>
      <w:hyperlink r:id="rId30" w:history="1">
        <w:r w:rsidRPr="00587EE6">
          <w:rPr>
            <w:rStyle w:val="Hyperlink"/>
            <w:rFonts w:eastAsia="SimSun"/>
            <w:lang w:val="es-ES"/>
          </w:rPr>
          <w:t>https://www.itu.int/en/ITU-R/study-groups/Pages/Sustainable-dev-goals.aspx</w:t>
        </w:r>
      </w:hyperlink>
      <w:r>
        <w:rPr>
          <w:lang w:val="es-ES"/>
        </w:rPr>
        <w:t>.</w:t>
      </w:r>
    </w:p>
    <w:p w14:paraId="008B9040" w14:textId="77777777" w:rsidR="000F62B4" w:rsidRPr="006C7415" w:rsidRDefault="000F62B4" w:rsidP="004F6DA1">
      <w:pPr>
        <w:pStyle w:val="enumlev1"/>
        <w:rPr>
          <w:lang w:val="es-ES"/>
        </w:rPr>
      </w:pPr>
      <w:r>
        <w:rPr>
          <w:lang w:val="es-ES"/>
        </w:rPr>
        <w:t>–</w:t>
      </w:r>
      <w:r>
        <w:rPr>
          <w:lang w:val="es-ES"/>
        </w:rPr>
        <w:tab/>
        <w:t xml:space="preserve">La Oficina sigue participando en las actividades relacionadas con los próximos grandes eventos, </w:t>
      </w:r>
      <w:r w:rsidRPr="004F6DA1">
        <w:t>conferencias</w:t>
      </w:r>
      <w:r>
        <w:rPr>
          <w:lang w:val="es-ES"/>
        </w:rPr>
        <w:t xml:space="preserve"> y reuniones de la UIT. Estas actividades se realizan en apoyo de la Conferencia de Plenipotenciarios, el Consejo de la UIT, la AMNT y la CMDT.</w:t>
      </w:r>
    </w:p>
    <w:p w14:paraId="05299722" w14:textId="2882B772" w:rsidR="000F62B4" w:rsidRPr="006C7415" w:rsidRDefault="000F62B4" w:rsidP="001F6E24">
      <w:pPr>
        <w:rPr>
          <w:lang w:val="es-ES"/>
        </w:rPr>
      </w:pPr>
      <w:r>
        <w:rPr>
          <w:lang w:val="es-ES"/>
        </w:rPr>
        <w:t xml:space="preserve">Como se pide en la nueva Resolución </w:t>
      </w:r>
      <w:hyperlink r:id="rId31" w:history="1">
        <w:r w:rsidRPr="00776541">
          <w:rPr>
            <w:rStyle w:val="Hyperlink"/>
            <w:lang w:val="es-ES"/>
          </w:rPr>
          <w:t>UIT-R 75</w:t>
        </w:r>
      </w:hyperlink>
      <w:r>
        <w:rPr>
          <w:lang w:val="es-ES"/>
        </w:rPr>
        <w:t xml:space="preserve"> sobre «Fortalecimiento de la coordinación y la cooperación entre los tres Sectores en asuntos de interés mutuo», la BR seguirá cooperando con el UIT-D y el UIT-T, según proceda.</w:t>
      </w:r>
    </w:p>
    <w:p w14:paraId="2797A974" w14:textId="6BC376CF" w:rsidR="000F62B4" w:rsidRPr="006C7415" w:rsidRDefault="00776541" w:rsidP="001F6E24">
      <w:pPr>
        <w:pStyle w:val="Heading1"/>
        <w:rPr>
          <w:lang w:val="es-ES"/>
        </w:rPr>
      </w:pPr>
      <w:r>
        <w:rPr>
          <w:bCs/>
          <w:lang w:val="es-ES"/>
        </w:rPr>
        <w:t>8</w:t>
      </w:r>
      <w:r w:rsidR="000F62B4">
        <w:rPr>
          <w:lang w:val="es-ES"/>
        </w:rPr>
        <w:tab/>
      </w:r>
      <w:proofErr w:type="gramStart"/>
      <w:r w:rsidR="000F62B4">
        <w:rPr>
          <w:bCs/>
          <w:lang w:val="es-ES"/>
        </w:rPr>
        <w:t>Acciones</w:t>
      </w:r>
      <w:proofErr w:type="gramEnd"/>
      <w:r w:rsidR="000F62B4">
        <w:rPr>
          <w:bCs/>
          <w:lang w:val="es-ES"/>
        </w:rPr>
        <w:t xml:space="preserve"> solicitadas por el GAR en su reunión de 202</w:t>
      </w:r>
      <w:r>
        <w:rPr>
          <w:bCs/>
          <w:lang w:val="es-ES"/>
        </w:rPr>
        <w:t>4</w:t>
      </w:r>
    </w:p>
    <w:p w14:paraId="004C8BA9" w14:textId="62F32328" w:rsidR="000F62B4" w:rsidRPr="006C7415" w:rsidRDefault="000F62B4" w:rsidP="001F6E24">
      <w:pPr>
        <w:rPr>
          <w:lang w:val="es-ES"/>
        </w:rPr>
      </w:pPr>
      <w:r>
        <w:rPr>
          <w:lang w:val="es-ES"/>
        </w:rPr>
        <w:t>La Oficina llevó a cabo las acciones de seguimiento solicitadas por el GAR en su reunión de ma</w:t>
      </w:r>
      <w:r w:rsidR="00776541">
        <w:rPr>
          <w:lang w:val="es-ES"/>
        </w:rPr>
        <w:t>rzo de 2024</w:t>
      </w:r>
      <w:r>
        <w:rPr>
          <w:lang w:val="es-ES"/>
        </w:rPr>
        <w:t xml:space="preserve"> (como se indica en el Resumen de Conclusiones – Circular Administrativa </w:t>
      </w:r>
      <w:hyperlink r:id="rId32" w:history="1">
        <w:r w:rsidR="00776541">
          <w:rPr>
            <w:rStyle w:val="Hyperlink"/>
            <w:rFonts w:eastAsia="SimSun"/>
            <w:lang w:val="es-ES"/>
          </w:rPr>
          <w:t>CA/273</w:t>
        </w:r>
      </w:hyperlink>
      <w:r>
        <w:rPr>
          <w:lang w:val="es-ES"/>
        </w:rPr>
        <w:t>).</w:t>
      </w:r>
    </w:p>
    <w:p w14:paraId="12F7A277" w14:textId="7F449820" w:rsidR="000F62B4" w:rsidRDefault="000F62B4" w:rsidP="00776541">
      <w:pPr>
        <w:pStyle w:val="enumlev1"/>
        <w:rPr>
          <w:lang w:val="es-ES"/>
        </w:rPr>
      </w:pPr>
      <w:r>
        <w:rPr>
          <w:lang w:val="es-ES"/>
        </w:rPr>
        <w:t>−</w:t>
      </w:r>
      <w:r>
        <w:rPr>
          <w:lang w:val="es-ES"/>
        </w:rPr>
        <w:tab/>
      </w:r>
      <w:r w:rsidR="00776541">
        <w:rPr>
          <w:lang w:val="es-ES"/>
        </w:rPr>
        <w:t xml:space="preserve">El Gar solicitó al </w:t>
      </w:r>
      <w:proofErr w:type="gramStart"/>
      <w:r w:rsidR="00776541">
        <w:rPr>
          <w:lang w:val="es-ES"/>
        </w:rPr>
        <w:t>Director</w:t>
      </w:r>
      <w:proofErr w:type="gramEnd"/>
      <w:r w:rsidR="00776541">
        <w:rPr>
          <w:lang w:val="es-ES"/>
        </w:rPr>
        <w:t xml:space="preserve"> de la BR que recabase información sobre las actividades de las Comisiones de Estudio del UIT-R sobre la transformación digital sostenible (TDS), algunas de las cuales se presentan en el Anexo a este documento a título informativo</w:t>
      </w:r>
      <w:r>
        <w:rPr>
          <w:lang w:val="es-ES"/>
        </w:rPr>
        <w:t>.</w:t>
      </w:r>
    </w:p>
    <w:p w14:paraId="34D9729F" w14:textId="77777777" w:rsidR="006B4AAB" w:rsidRPr="00C414E3" w:rsidRDefault="006B4AAB" w:rsidP="00411C49">
      <w:pPr>
        <w:pStyle w:val="Reasons"/>
        <w:rPr>
          <w:lang w:val="es-ES"/>
        </w:rPr>
      </w:pPr>
    </w:p>
    <w:p w14:paraId="678A2565" w14:textId="77777777" w:rsidR="009412C4" w:rsidRDefault="009412C4" w:rsidP="009412C4">
      <w:pPr>
        <w:spacing w:before="0"/>
        <w:jc w:val="both"/>
        <w:rPr>
          <w:rFonts w:eastAsia="SimSun"/>
        </w:rPr>
        <w:sectPr w:rsidR="009412C4" w:rsidSect="004D6C09">
          <w:headerReference w:type="default" r:id="rId33"/>
          <w:headerReference w:type="first" r:id="rId34"/>
          <w:pgSz w:w="11907" w:h="16834"/>
          <w:pgMar w:top="1418" w:right="1134" w:bottom="1418" w:left="1134" w:header="720" w:footer="720" w:gutter="0"/>
          <w:paperSrc w:first="15" w:other="15"/>
          <w:cols w:space="720"/>
          <w:titlePg/>
        </w:sectPr>
      </w:pPr>
    </w:p>
    <w:p w14:paraId="7EF667C4" w14:textId="64A7A579" w:rsidR="009412C4" w:rsidRPr="00C414E3" w:rsidRDefault="009412C4" w:rsidP="009412C4">
      <w:pPr>
        <w:pStyle w:val="Annextitle"/>
        <w:rPr>
          <w:lang w:val="es-ES"/>
        </w:rPr>
      </w:pPr>
      <w:r w:rsidRPr="00C414E3">
        <w:rPr>
          <w:lang w:val="es-ES"/>
        </w:rPr>
        <w:lastRenderedPageBreak/>
        <w:t>Anexo</w:t>
      </w:r>
      <w:r w:rsidRPr="00C414E3">
        <w:rPr>
          <w:lang w:val="es-ES"/>
        </w:rPr>
        <w:br/>
      </w:r>
      <w:r w:rsidRPr="00C414E3">
        <w:rPr>
          <w:lang w:val="es-ES"/>
        </w:rPr>
        <w:br/>
        <w:t>Actividades y estudios relacionados con la transformaci</w:t>
      </w:r>
      <w:r>
        <w:rPr>
          <w:lang w:val="es-ES"/>
        </w:rPr>
        <w:t>ón digital sostenible</w:t>
      </w:r>
    </w:p>
    <w:p w14:paraId="4DF7B4D3" w14:textId="77777777" w:rsidR="009412C4" w:rsidRPr="00C414E3" w:rsidRDefault="009412C4" w:rsidP="009412C4">
      <w:pPr>
        <w:rPr>
          <w:lang w:val="es-ES"/>
        </w:rPr>
      </w:pPr>
    </w:p>
    <w:tbl>
      <w:tblPr>
        <w:tblW w:w="14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06"/>
        <w:gridCol w:w="1717"/>
        <w:gridCol w:w="2472"/>
        <w:gridCol w:w="3600"/>
        <w:gridCol w:w="1866"/>
        <w:gridCol w:w="2801"/>
      </w:tblGrid>
      <w:tr w:rsidR="009412C4" w:rsidRPr="00E237B6" w14:paraId="1F786671" w14:textId="77777777" w:rsidTr="00FB4DBF">
        <w:trPr>
          <w:tblHeader/>
        </w:trPr>
        <w:tc>
          <w:tcPr>
            <w:tcW w:w="2106" w:type="dxa"/>
            <w:shd w:val="clear" w:color="auto" w:fill="C6D9F1" w:themeFill="text2" w:themeFillTint="33"/>
            <w:vAlign w:val="center"/>
          </w:tcPr>
          <w:p w14:paraId="32E0EEC6" w14:textId="0859B6E0" w:rsidR="009412C4" w:rsidRPr="00BE6491" w:rsidRDefault="009412C4" w:rsidP="00523CC6">
            <w:pPr>
              <w:pStyle w:val="Tablehead"/>
              <w:rPr>
                <w:sz w:val="20"/>
                <w:szCs w:val="18"/>
              </w:rPr>
            </w:pPr>
            <w:r w:rsidRPr="00BE6491">
              <w:rPr>
                <w:sz w:val="20"/>
                <w:szCs w:val="18"/>
              </w:rPr>
              <w:t>Sector/</w:t>
            </w:r>
            <w:r>
              <w:rPr>
                <w:sz w:val="20"/>
                <w:szCs w:val="18"/>
              </w:rPr>
              <w:t>Ámbito</w:t>
            </w:r>
          </w:p>
        </w:tc>
        <w:tc>
          <w:tcPr>
            <w:tcW w:w="1717" w:type="dxa"/>
            <w:shd w:val="clear" w:color="auto" w:fill="C6D9F1" w:themeFill="text2" w:themeFillTint="33"/>
            <w:vAlign w:val="center"/>
          </w:tcPr>
          <w:p w14:paraId="7A34FFE3" w14:textId="081710D3" w:rsidR="009412C4" w:rsidRPr="00BE6491" w:rsidRDefault="009412C4" w:rsidP="00523CC6">
            <w:pPr>
              <w:pStyle w:val="Tablehead"/>
              <w:rPr>
                <w:sz w:val="20"/>
                <w:szCs w:val="18"/>
              </w:rPr>
            </w:pPr>
            <w:r>
              <w:rPr>
                <w:sz w:val="20"/>
                <w:szCs w:val="18"/>
              </w:rPr>
              <w:t>Comisión de Estudio u organismo de normalización</w:t>
            </w:r>
          </w:p>
        </w:tc>
        <w:tc>
          <w:tcPr>
            <w:tcW w:w="2472" w:type="dxa"/>
            <w:shd w:val="clear" w:color="auto" w:fill="C6D9F1" w:themeFill="text2" w:themeFillTint="33"/>
            <w:vAlign w:val="center"/>
          </w:tcPr>
          <w:p w14:paraId="5E499F20" w14:textId="4B13DE0B" w:rsidR="009412C4" w:rsidRPr="00BE6491" w:rsidRDefault="00CA7D82" w:rsidP="00523CC6">
            <w:pPr>
              <w:pStyle w:val="Tablehead"/>
              <w:rPr>
                <w:sz w:val="20"/>
                <w:szCs w:val="18"/>
              </w:rPr>
            </w:pPr>
            <w:r>
              <w:rPr>
                <w:sz w:val="20"/>
                <w:szCs w:val="18"/>
              </w:rPr>
              <w:t>T</w:t>
            </w:r>
            <w:r w:rsidR="009412C4">
              <w:rPr>
                <w:sz w:val="20"/>
                <w:szCs w:val="18"/>
              </w:rPr>
              <w:t>ítulo del producto</w:t>
            </w:r>
          </w:p>
        </w:tc>
        <w:tc>
          <w:tcPr>
            <w:tcW w:w="3600" w:type="dxa"/>
            <w:shd w:val="clear" w:color="auto" w:fill="C6D9F1" w:themeFill="text2" w:themeFillTint="33"/>
            <w:vAlign w:val="center"/>
          </w:tcPr>
          <w:p w14:paraId="496A6B9C" w14:textId="2C306BDB" w:rsidR="009412C4" w:rsidRPr="00BE6491" w:rsidRDefault="009412C4" w:rsidP="00523CC6">
            <w:pPr>
              <w:pStyle w:val="Tablehead"/>
              <w:rPr>
                <w:sz w:val="20"/>
                <w:szCs w:val="18"/>
              </w:rPr>
            </w:pPr>
            <w:r>
              <w:rPr>
                <w:sz w:val="20"/>
                <w:szCs w:val="18"/>
              </w:rPr>
              <w:t>Alcance del producto</w:t>
            </w:r>
          </w:p>
        </w:tc>
        <w:tc>
          <w:tcPr>
            <w:tcW w:w="1866" w:type="dxa"/>
            <w:shd w:val="clear" w:color="auto" w:fill="C6D9F1" w:themeFill="text2" w:themeFillTint="33"/>
            <w:vAlign w:val="center"/>
          </w:tcPr>
          <w:p w14:paraId="12AF2979" w14:textId="1495D2B9" w:rsidR="009412C4" w:rsidRPr="00BE6491" w:rsidRDefault="009412C4" w:rsidP="00523CC6">
            <w:pPr>
              <w:pStyle w:val="Tablehead"/>
              <w:rPr>
                <w:sz w:val="20"/>
                <w:szCs w:val="18"/>
              </w:rPr>
            </w:pPr>
            <w:r>
              <w:rPr>
                <w:sz w:val="20"/>
                <w:szCs w:val="18"/>
              </w:rPr>
              <w:t>Situación</w:t>
            </w:r>
          </w:p>
        </w:tc>
        <w:tc>
          <w:tcPr>
            <w:tcW w:w="2801" w:type="dxa"/>
            <w:shd w:val="clear" w:color="auto" w:fill="C6D9F1" w:themeFill="text2" w:themeFillTint="33"/>
            <w:vAlign w:val="center"/>
          </w:tcPr>
          <w:p w14:paraId="64D6CCB7" w14:textId="1ACCC222" w:rsidR="009412C4" w:rsidRPr="00BE6491" w:rsidRDefault="009412C4" w:rsidP="00523CC6">
            <w:pPr>
              <w:pStyle w:val="Tablehead"/>
              <w:rPr>
                <w:sz w:val="20"/>
                <w:szCs w:val="18"/>
              </w:rPr>
            </w:pPr>
            <w:r w:rsidRPr="00BE6491">
              <w:rPr>
                <w:sz w:val="20"/>
                <w:szCs w:val="18"/>
              </w:rPr>
              <w:t>Referenc</w:t>
            </w:r>
            <w:r>
              <w:rPr>
                <w:sz w:val="20"/>
                <w:szCs w:val="18"/>
              </w:rPr>
              <w:t>ia</w:t>
            </w:r>
            <w:r w:rsidRPr="00BE6491">
              <w:rPr>
                <w:sz w:val="20"/>
                <w:szCs w:val="18"/>
              </w:rPr>
              <w:t>/UR</w:t>
            </w:r>
            <w:r>
              <w:rPr>
                <w:sz w:val="20"/>
                <w:szCs w:val="18"/>
              </w:rPr>
              <w:t>L</w:t>
            </w:r>
          </w:p>
        </w:tc>
      </w:tr>
      <w:tr w:rsidR="009412C4" w:rsidRPr="00F1295D" w14:paraId="76ABC41D" w14:textId="77777777" w:rsidTr="00FB4DBF">
        <w:trPr>
          <w:trHeight w:val="3000"/>
        </w:trPr>
        <w:tc>
          <w:tcPr>
            <w:tcW w:w="2106" w:type="dxa"/>
            <w:vMerge w:val="restart"/>
          </w:tcPr>
          <w:p w14:paraId="68FECE59" w14:textId="444AA28B" w:rsidR="009412C4" w:rsidRPr="00BE6491" w:rsidRDefault="009412C4" w:rsidP="00523CC6">
            <w:pPr>
              <w:pStyle w:val="Tabletext"/>
              <w:rPr>
                <w:sz w:val="20"/>
              </w:rPr>
            </w:pPr>
            <w:r>
              <w:rPr>
                <w:sz w:val="20"/>
              </w:rPr>
              <w:t>Radiodifusión sensible al consumo energético</w:t>
            </w:r>
          </w:p>
        </w:tc>
        <w:tc>
          <w:tcPr>
            <w:tcW w:w="1717" w:type="dxa"/>
            <w:vMerge w:val="restart"/>
          </w:tcPr>
          <w:p w14:paraId="123F093F" w14:textId="435603FB" w:rsidR="009412C4" w:rsidRPr="00C414E3" w:rsidRDefault="009412C4" w:rsidP="00523CC6">
            <w:pPr>
              <w:pStyle w:val="Tabletext"/>
              <w:rPr>
                <w:sz w:val="20"/>
                <w:lang w:val="fr-CH"/>
              </w:rPr>
            </w:pPr>
            <w:r w:rsidRPr="00C414E3">
              <w:rPr>
                <w:sz w:val="20"/>
                <w:lang w:val="fr-CH"/>
              </w:rPr>
              <w:t>CE 6 del UIT-R</w:t>
            </w:r>
          </w:p>
        </w:tc>
        <w:tc>
          <w:tcPr>
            <w:tcW w:w="2472" w:type="dxa"/>
          </w:tcPr>
          <w:p w14:paraId="1752725B" w14:textId="355FA5B6" w:rsidR="009412C4" w:rsidRPr="00C414E3" w:rsidRDefault="009412C4" w:rsidP="00523CC6">
            <w:pPr>
              <w:pStyle w:val="Tabletext"/>
              <w:rPr>
                <w:sz w:val="20"/>
                <w:lang w:val="es-ES" w:eastAsia="zh-CN"/>
              </w:rPr>
            </w:pPr>
            <w:r w:rsidRPr="00C414E3">
              <w:rPr>
                <w:sz w:val="20"/>
                <w:lang w:val="es-ES" w:eastAsia="zh-CN"/>
              </w:rPr>
              <w:t xml:space="preserve">Cuestión UIT -R 147/6 </w:t>
            </w:r>
            <w:r w:rsidR="002C2B6C" w:rsidRPr="00570100">
              <w:rPr>
                <w:lang w:val="es-ES"/>
              </w:rPr>
              <w:t>«</w:t>
            </w:r>
            <w:r w:rsidRPr="00C414E3">
              <w:rPr>
                <w:sz w:val="20"/>
                <w:lang w:val="es-ES" w:eastAsia="zh-CN"/>
              </w:rPr>
              <w:t>Sistemas de radiodifusión sensibles al consumo energ</w:t>
            </w:r>
            <w:r>
              <w:rPr>
                <w:sz w:val="20"/>
                <w:lang w:val="es-ES" w:eastAsia="zh-CN"/>
              </w:rPr>
              <w:t>ético</w:t>
            </w:r>
            <w:r w:rsidR="002C2B6C" w:rsidRPr="00570100">
              <w:rPr>
                <w:lang w:val="es-ES"/>
              </w:rPr>
              <w:t>»</w:t>
            </w:r>
          </w:p>
        </w:tc>
        <w:tc>
          <w:tcPr>
            <w:tcW w:w="3600" w:type="dxa"/>
          </w:tcPr>
          <w:p w14:paraId="27C108B1" w14:textId="77777777" w:rsidR="009412C4" w:rsidRPr="00C414E3" w:rsidRDefault="009412C4" w:rsidP="009412C4">
            <w:pPr>
              <w:pStyle w:val="Call"/>
              <w:rPr>
                <w:sz w:val="20"/>
              </w:rPr>
            </w:pPr>
            <w:r w:rsidRPr="00C414E3">
              <w:rPr>
                <w:sz w:val="20"/>
              </w:rPr>
              <w:t xml:space="preserve">decide </w:t>
            </w:r>
            <w:r w:rsidRPr="00C414E3">
              <w:rPr>
                <w:i w:val="0"/>
                <w:iCs/>
                <w:sz w:val="20"/>
              </w:rPr>
              <w:t>que se estudien las siguientes Cuestiones</w:t>
            </w:r>
          </w:p>
          <w:p w14:paraId="3377272C" w14:textId="77777777" w:rsidR="009412C4" w:rsidRPr="00C414E3" w:rsidRDefault="009412C4" w:rsidP="009412C4">
            <w:pPr>
              <w:rPr>
                <w:sz w:val="20"/>
                <w:lang w:eastAsia="nl-NL"/>
              </w:rPr>
            </w:pPr>
            <w:r w:rsidRPr="00C414E3">
              <w:rPr>
                <w:sz w:val="20"/>
                <w:lang w:eastAsia="nl-NL"/>
              </w:rPr>
              <w:t>1</w:t>
            </w:r>
            <w:r w:rsidRPr="00C414E3">
              <w:rPr>
                <w:sz w:val="20"/>
                <w:lang w:eastAsia="nl-NL"/>
              </w:rPr>
              <w:tab/>
              <w:t xml:space="preserve">¿Qué consecuencias </w:t>
            </w:r>
            <w:r w:rsidRPr="00C414E3">
              <w:rPr>
                <w:i/>
                <w:iCs/>
                <w:sz w:val="20"/>
                <w:lang w:eastAsia="nl-NL"/>
              </w:rPr>
              <w:t xml:space="preserve">directas </w:t>
            </w:r>
            <w:r w:rsidRPr="00C414E3">
              <w:rPr>
                <w:sz w:val="20"/>
                <w:lang w:eastAsia="nl-NL"/>
              </w:rPr>
              <w:t>tienen tecnologías y funcionalidades utilizadas para la radiodifusión en el consumo energético?</w:t>
            </w:r>
          </w:p>
          <w:p w14:paraId="7D2697A6" w14:textId="77777777" w:rsidR="009412C4" w:rsidRPr="00C414E3" w:rsidRDefault="009412C4" w:rsidP="009412C4">
            <w:pPr>
              <w:rPr>
                <w:sz w:val="20"/>
                <w:lang w:eastAsia="nl-NL"/>
              </w:rPr>
            </w:pPr>
            <w:r w:rsidRPr="00C414E3">
              <w:rPr>
                <w:sz w:val="20"/>
                <w:lang w:eastAsia="nl-NL"/>
              </w:rPr>
              <w:t>2</w:t>
            </w:r>
            <w:r w:rsidRPr="00C414E3">
              <w:rPr>
                <w:sz w:val="20"/>
                <w:lang w:eastAsia="nl-NL"/>
              </w:rPr>
              <w:tab/>
              <w:t xml:space="preserve">¿Qué consecuencias </w:t>
            </w:r>
            <w:r w:rsidRPr="00C414E3">
              <w:rPr>
                <w:i/>
                <w:iCs/>
                <w:sz w:val="20"/>
                <w:lang w:eastAsia="nl-NL"/>
              </w:rPr>
              <w:t xml:space="preserve">indirectas </w:t>
            </w:r>
            <w:r w:rsidRPr="00C414E3">
              <w:rPr>
                <w:sz w:val="20"/>
                <w:lang w:eastAsia="nl-NL"/>
              </w:rPr>
              <w:t>tiene la utilización de servicios externos para la radiodifusión para el consumo energético global?</w:t>
            </w:r>
          </w:p>
          <w:p w14:paraId="4C94C53F" w14:textId="77777777" w:rsidR="009412C4" w:rsidRPr="00C414E3" w:rsidRDefault="009412C4" w:rsidP="009412C4">
            <w:pPr>
              <w:rPr>
                <w:sz w:val="20"/>
                <w:lang w:eastAsia="nl-NL"/>
              </w:rPr>
            </w:pPr>
            <w:r w:rsidRPr="00C414E3">
              <w:rPr>
                <w:sz w:val="20"/>
                <w:lang w:eastAsia="nl-NL"/>
              </w:rPr>
              <w:t>3</w:t>
            </w:r>
            <w:r w:rsidRPr="00C414E3">
              <w:rPr>
                <w:sz w:val="20"/>
                <w:lang w:eastAsia="nl-NL"/>
              </w:rPr>
              <w:tab/>
              <w:t>¿Qué parámetros deben utilizarse para cuantificar y dar cuenta de las consecuencias directas e indirectas para el consumo energético?</w:t>
            </w:r>
          </w:p>
          <w:p w14:paraId="025FEB2A" w14:textId="77777777" w:rsidR="009412C4" w:rsidRPr="00C414E3" w:rsidRDefault="009412C4" w:rsidP="009412C4">
            <w:pPr>
              <w:rPr>
                <w:sz w:val="20"/>
              </w:rPr>
            </w:pPr>
            <w:r w:rsidRPr="00C414E3">
              <w:rPr>
                <w:sz w:val="20"/>
              </w:rPr>
              <w:t>4</w:t>
            </w:r>
            <w:r w:rsidRPr="00C414E3">
              <w:rPr>
                <w:sz w:val="20"/>
              </w:rPr>
              <w:tab/>
              <w:t>¿Cómo puede reducirse el consumo energético de la radiodifusión para contribuir a la consecución de los Objetivos de Desarrollo Sostenible de las Naciones Unidas pertinentes?</w:t>
            </w:r>
          </w:p>
          <w:p w14:paraId="242D28F4" w14:textId="194283A5" w:rsidR="009412C4" w:rsidRPr="009412C4" w:rsidRDefault="009412C4" w:rsidP="00523CC6">
            <w:pPr>
              <w:pStyle w:val="Tabletext"/>
              <w:rPr>
                <w:sz w:val="20"/>
              </w:rPr>
            </w:pPr>
          </w:p>
        </w:tc>
        <w:tc>
          <w:tcPr>
            <w:tcW w:w="1866" w:type="dxa"/>
          </w:tcPr>
          <w:p w14:paraId="7388D4BB" w14:textId="066B44C8" w:rsidR="009412C4" w:rsidRPr="00BE6491" w:rsidRDefault="009412C4" w:rsidP="00523CC6">
            <w:pPr>
              <w:pStyle w:val="Tabletext"/>
              <w:rPr>
                <w:sz w:val="20"/>
              </w:rPr>
            </w:pPr>
            <w:r>
              <w:rPr>
                <w:sz w:val="20"/>
              </w:rPr>
              <w:t>Publicado</w:t>
            </w:r>
          </w:p>
        </w:tc>
        <w:tc>
          <w:tcPr>
            <w:tcW w:w="2801" w:type="dxa"/>
          </w:tcPr>
          <w:p w14:paraId="63560933" w14:textId="721E04B3" w:rsidR="009412C4" w:rsidRPr="00BE6491" w:rsidRDefault="002C2B6C" w:rsidP="00523CC6">
            <w:pPr>
              <w:pStyle w:val="Tabletext"/>
              <w:rPr>
                <w:sz w:val="20"/>
              </w:rPr>
            </w:pPr>
            <w:hyperlink r:id="rId35" w:history="1">
              <w:r>
                <w:rPr>
                  <w:rStyle w:val="Hyperlink"/>
                  <w:rFonts w:eastAsia="SimSun"/>
                  <w:sz w:val="20"/>
                </w:rPr>
                <w:t>https://www.itu.int/pub/R-QUE-SG06.147/es</w:t>
              </w:r>
            </w:hyperlink>
            <w:r w:rsidR="009412C4" w:rsidRPr="00BE6491">
              <w:rPr>
                <w:sz w:val="20"/>
              </w:rPr>
              <w:t xml:space="preserve"> </w:t>
            </w:r>
          </w:p>
        </w:tc>
      </w:tr>
      <w:tr w:rsidR="009412C4" w:rsidRPr="00F1295D" w14:paraId="42EDF759" w14:textId="77777777" w:rsidTr="00FB4DBF">
        <w:trPr>
          <w:trHeight w:val="776"/>
        </w:trPr>
        <w:tc>
          <w:tcPr>
            <w:tcW w:w="2106" w:type="dxa"/>
            <w:vMerge/>
          </w:tcPr>
          <w:p w14:paraId="368F7D87" w14:textId="77777777" w:rsidR="009412C4" w:rsidRPr="00BE6491" w:rsidRDefault="009412C4" w:rsidP="00523CC6">
            <w:pPr>
              <w:pStyle w:val="Tabletext"/>
              <w:rPr>
                <w:sz w:val="20"/>
              </w:rPr>
            </w:pPr>
          </w:p>
        </w:tc>
        <w:tc>
          <w:tcPr>
            <w:tcW w:w="1717" w:type="dxa"/>
            <w:vMerge/>
          </w:tcPr>
          <w:p w14:paraId="39CF7A96" w14:textId="77777777" w:rsidR="009412C4" w:rsidRPr="00BE6491" w:rsidRDefault="009412C4" w:rsidP="00523CC6">
            <w:pPr>
              <w:pStyle w:val="Tabletext"/>
              <w:rPr>
                <w:sz w:val="20"/>
              </w:rPr>
            </w:pPr>
          </w:p>
        </w:tc>
        <w:tc>
          <w:tcPr>
            <w:tcW w:w="2472" w:type="dxa"/>
            <w:vMerge w:val="restart"/>
          </w:tcPr>
          <w:p w14:paraId="679E9E76" w14:textId="1287169E" w:rsidR="009412C4" w:rsidRPr="00C414E3" w:rsidRDefault="009412C4" w:rsidP="00523CC6">
            <w:pPr>
              <w:pStyle w:val="Tabletext"/>
              <w:rPr>
                <w:sz w:val="20"/>
                <w:lang w:val="en-GB" w:eastAsia="zh-CN"/>
              </w:rPr>
            </w:pPr>
            <w:proofErr w:type="spellStart"/>
            <w:r w:rsidRPr="00C414E3">
              <w:rPr>
                <w:sz w:val="20"/>
                <w:lang w:val="en-US" w:eastAsia="zh-CN"/>
              </w:rPr>
              <w:t>Opini</w:t>
            </w:r>
            <w:r>
              <w:rPr>
                <w:sz w:val="20"/>
                <w:lang w:val="en-US" w:eastAsia="zh-CN"/>
              </w:rPr>
              <w:t>ó</w:t>
            </w:r>
            <w:r w:rsidRPr="00C414E3">
              <w:rPr>
                <w:sz w:val="20"/>
                <w:lang w:val="en-US" w:eastAsia="zh-CN"/>
              </w:rPr>
              <w:t>n</w:t>
            </w:r>
            <w:proofErr w:type="spellEnd"/>
            <w:r w:rsidRPr="00C414E3">
              <w:rPr>
                <w:sz w:val="20"/>
                <w:lang w:val="en-US" w:eastAsia="zh-CN"/>
              </w:rPr>
              <w:t xml:space="preserve"> </w:t>
            </w:r>
            <w:r>
              <w:rPr>
                <w:sz w:val="20"/>
                <w:lang w:val="en-US" w:eastAsia="zh-CN"/>
              </w:rPr>
              <w:t>UIT</w:t>
            </w:r>
            <w:r w:rsidRPr="00C414E3">
              <w:rPr>
                <w:sz w:val="20"/>
                <w:lang w:val="en-US" w:eastAsia="zh-CN"/>
              </w:rPr>
              <w:t xml:space="preserve">-R 104 </w:t>
            </w:r>
            <w:r w:rsidR="002C2B6C" w:rsidRPr="002C2B6C">
              <w:rPr>
                <w:lang w:val="en-GB"/>
              </w:rPr>
              <w:t>«</w:t>
            </w:r>
            <w:r w:rsidRPr="00C414E3">
              <w:rPr>
                <w:sz w:val="20"/>
                <w:lang w:val="en-US" w:eastAsia="zh-CN"/>
              </w:rPr>
              <w:t xml:space="preserve">Advice for sustainability </w:t>
            </w:r>
            <w:r w:rsidRPr="00C414E3">
              <w:rPr>
                <w:sz w:val="20"/>
                <w:lang w:val="en-US" w:eastAsia="zh-CN"/>
              </w:rPr>
              <w:lastRenderedPageBreak/>
              <w:t>strategies incorporating carbon offsetting policies</w:t>
            </w:r>
            <w:r w:rsidR="002C2B6C" w:rsidRPr="002C2B6C">
              <w:rPr>
                <w:lang w:val="en-GB"/>
              </w:rPr>
              <w:t>»</w:t>
            </w:r>
          </w:p>
        </w:tc>
        <w:tc>
          <w:tcPr>
            <w:tcW w:w="3600" w:type="dxa"/>
            <w:vMerge w:val="restart"/>
          </w:tcPr>
          <w:p w14:paraId="4B320A21" w14:textId="74992370" w:rsidR="009412C4" w:rsidRPr="00C414E3" w:rsidRDefault="009412C4" w:rsidP="00523CC6">
            <w:pPr>
              <w:pStyle w:val="Tabletext"/>
              <w:rPr>
                <w:sz w:val="20"/>
                <w:lang w:val="es-ES"/>
              </w:rPr>
            </w:pPr>
            <w:r w:rsidRPr="00C414E3">
              <w:rPr>
                <w:sz w:val="20"/>
                <w:lang w:val="es-ES"/>
              </w:rPr>
              <w:lastRenderedPageBreak/>
              <w:t xml:space="preserve">que los radiodifusores y organizaciones de radiodifusión de todo el mundo dispongan de estrategias de sostenibilidad </w:t>
            </w:r>
            <w:r w:rsidRPr="00C414E3">
              <w:rPr>
                <w:sz w:val="20"/>
                <w:lang w:val="es-ES"/>
              </w:rPr>
              <w:lastRenderedPageBreak/>
              <w:t>robustas</w:t>
            </w:r>
            <w:r w:rsidR="00375CD0" w:rsidRPr="00C414E3">
              <w:rPr>
                <w:sz w:val="20"/>
                <w:lang w:val="es-ES"/>
              </w:rPr>
              <w:t xml:space="preserve"> que les permitan avanzar hacia el cero neto y propicien la implementación</w:t>
            </w:r>
            <w:r w:rsidR="00375CD0">
              <w:rPr>
                <w:sz w:val="20"/>
                <w:lang w:val="es-ES"/>
              </w:rPr>
              <w:t xml:space="preserve"> </w:t>
            </w:r>
            <w:r w:rsidR="00375CD0" w:rsidRPr="00C414E3">
              <w:rPr>
                <w:sz w:val="20"/>
                <w:lang w:val="es-ES"/>
              </w:rPr>
              <w:t>de planes de eficiencia energética robustos que reduzcan con consumo energético antes de considerar la posibilidad de aplicar, como ú</w:t>
            </w:r>
            <w:r w:rsidR="00375CD0">
              <w:rPr>
                <w:sz w:val="20"/>
                <w:lang w:val="es-ES"/>
              </w:rPr>
              <w:t>ltimo recurso, protocolos de compensación de emisiones de carbono.</w:t>
            </w:r>
          </w:p>
        </w:tc>
        <w:tc>
          <w:tcPr>
            <w:tcW w:w="1866" w:type="dxa"/>
          </w:tcPr>
          <w:p w14:paraId="59BB7817" w14:textId="61ACF150" w:rsidR="009412C4" w:rsidRPr="00BE6491" w:rsidRDefault="00375CD0" w:rsidP="00523CC6">
            <w:pPr>
              <w:pStyle w:val="Tabletext"/>
              <w:rPr>
                <w:sz w:val="20"/>
              </w:rPr>
            </w:pPr>
            <w:r>
              <w:rPr>
                <w:sz w:val="20"/>
              </w:rPr>
              <w:lastRenderedPageBreak/>
              <w:t>Publicado</w:t>
            </w:r>
          </w:p>
        </w:tc>
        <w:tc>
          <w:tcPr>
            <w:tcW w:w="2801" w:type="dxa"/>
          </w:tcPr>
          <w:p w14:paraId="07FAFDF9" w14:textId="69427D0C" w:rsidR="009412C4" w:rsidRPr="00BE6491" w:rsidRDefault="002C2B6C" w:rsidP="00523CC6">
            <w:pPr>
              <w:pStyle w:val="Tabletext"/>
              <w:rPr>
                <w:sz w:val="20"/>
              </w:rPr>
            </w:pPr>
            <w:hyperlink r:id="rId36" w:history="1">
              <w:r>
                <w:rPr>
                  <w:rStyle w:val="Hyperlink"/>
                  <w:rFonts w:eastAsia="SimSun"/>
                  <w:sz w:val="20"/>
                </w:rPr>
                <w:t>https://www.itu.int/pub/R-OP-R.104/es</w:t>
              </w:r>
            </w:hyperlink>
            <w:r w:rsidR="009412C4" w:rsidRPr="00BE6491">
              <w:rPr>
                <w:sz w:val="20"/>
              </w:rPr>
              <w:t xml:space="preserve"> </w:t>
            </w:r>
          </w:p>
        </w:tc>
      </w:tr>
      <w:tr w:rsidR="009412C4" w:rsidRPr="00F1295D" w14:paraId="501E34A1" w14:textId="77777777" w:rsidTr="00FB4DBF">
        <w:trPr>
          <w:trHeight w:val="776"/>
        </w:trPr>
        <w:tc>
          <w:tcPr>
            <w:tcW w:w="2106" w:type="dxa"/>
            <w:vMerge/>
          </w:tcPr>
          <w:p w14:paraId="3E36EC85" w14:textId="77777777" w:rsidR="009412C4" w:rsidRPr="00BE6491" w:rsidRDefault="009412C4" w:rsidP="00523CC6">
            <w:pPr>
              <w:pStyle w:val="Tabletext"/>
              <w:rPr>
                <w:sz w:val="20"/>
              </w:rPr>
            </w:pPr>
          </w:p>
        </w:tc>
        <w:tc>
          <w:tcPr>
            <w:tcW w:w="1717" w:type="dxa"/>
            <w:vMerge/>
          </w:tcPr>
          <w:p w14:paraId="5C1C8654" w14:textId="77777777" w:rsidR="009412C4" w:rsidRPr="00BE6491" w:rsidRDefault="009412C4" w:rsidP="00523CC6">
            <w:pPr>
              <w:pStyle w:val="Tabletext"/>
              <w:rPr>
                <w:sz w:val="20"/>
              </w:rPr>
            </w:pPr>
          </w:p>
        </w:tc>
        <w:tc>
          <w:tcPr>
            <w:tcW w:w="2472" w:type="dxa"/>
            <w:vMerge/>
          </w:tcPr>
          <w:p w14:paraId="4D5A2074" w14:textId="77777777" w:rsidR="009412C4" w:rsidRPr="00BE6491" w:rsidRDefault="009412C4" w:rsidP="00523CC6">
            <w:pPr>
              <w:pStyle w:val="Tabletext"/>
              <w:rPr>
                <w:sz w:val="20"/>
                <w:lang w:eastAsia="zh-CN"/>
              </w:rPr>
            </w:pPr>
          </w:p>
        </w:tc>
        <w:tc>
          <w:tcPr>
            <w:tcW w:w="3600" w:type="dxa"/>
            <w:vMerge/>
          </w:tcPr>
          <w:p w14:paraId="159BD71D" w14:textId="77777777" w:rsidR="009412C4" w:rsidRPr="00BE6491" w:rsidRDefault="009412C4" w:rsidP="00523CC6">
            <w:pPr>
              <w:pStyle w:val="Tabletext"/>
              <w:rPr>
                <w:sz w:val="20"/>
              </w:rPr>
            </w:pPr>
          </w:p>
        </w:tc>
        <w:tc>
          <w:tcPr>
            <w:tcW w:w="1866" w:type="dxa"/>
          </w:tcPr>
          <w:p w14:paraId="16982644" w14:textId="361370A4" w:rsidR="009412C4" w:rsidRPr="00BE6491" w:rsidRDefault="00375CD0" w:rsidP="00523CC6">
            <w:pPr>
              <w:pStyle w:val="Tabletext"/>
              <w:rPr>
                <w:sz w:val="20"/>
              </w:rPr>
            </w:pPr>
            <w:r>
              <w:rPr>
                <w:sz w:val="20"/>
              </w:rPr>
              <w:t>en revisión</w:t>
            </w:r>
          </w:p>
        </w:tc>
        <w:tc>
          <w:tcPr>
            <w:tcW w:w="2801" w:type="dxa"/>
          </w:tcPr>
          <w:p w14:paraId="6600B10E" w14:textId="173C2588" w:rsidR="009412C4" w:rsidRPr="00375CD0" w:rsidRDefault="00375CD0" w:rsidP="00523CC6">
            <w:pPr>
              <w:pStyle w:val="Tabletext"/>
              <w:rPr>
                <w:sz w:val="20"/>
              </w:rPr>
            </w:pPr>
            <w:r w:rsidRPr="00C414E3">
              <w:rPr>
                <w:sz w:val="20"/>
              </w:rPr>
              <w:t>Documento de trabajo disponible adjunto al Informe de la reunión del Grupo de Trabajo 6</w:t>
            </w:r>
            <w:r>
              <w:rPr>
                <w:sz w:val="20"/>
              </w:rPr>
              <w:t>C de marzo de 2024</w:t>
            </w:r>
          </w:p>
          <w:p w14:paraId="43954253" w14:textId="574BEA9A" w:rsidR="009412C4" w:rsidRPr="000806AE" w:rsidRDefault="009412C4" w:rsidP="00523CC6">
            <w:pPr>
              <w:pStyle w:val="Tabletext"/>
              <w:rPr>
                <w:sz w:val="20"/>
              </w:rPr>
            </w:pPr>
            <w:r w:rsidRPr="000806AE">
              <w:rPr>
                <w:sz w:val="20"/>
              </w:rPr>
              <w:t xml:space="preserve">Doc. </w:t>
            </w:r>
            <w:hyperlink r:id="rId37" w:history="1">
              <w:r w:rsidRPr="00BE6491">
                <w:rPr>
                  <w:rStyle w:val="Hyperlink"/>
                  <w:rFonts w:eastAsia="SimSun"/>
                </w:rPr>
                <w:t>6C/77</w:t>
              </w:r>
            </w:hyperlink>
            <w:r w:rsidRPr="000806AE">
              <w:rPr>
                <w:sz w:val="20"/>
              </w:rPr>
              <w:t xml:space="preserve"> (</w:t>
            </w:r>
            <w:hyperlink r:id="rId38" w:history="1">
              <w:r w:rsidRPr="00BE6491">
                <w:rPr>
                  <w:rStyle w:val="Hyperlink"/>
                  <w:rFonts w:eastAsia="SimSun"/>
                </w:rPr>
                <w:t>C</w:t>
              </w:r>
              <w:r w:rsidR="00375CD0">
                <w:rPr>
                  <w:rStyle w:val="Hyperlink"/>
                  <w:rFonts w:eastAsia="SimSun"/>
                </w:rPr>
                <w:t>apítulo</w:t>
              </w:r>
              <w:r w:rsidRPr="00BE6491">
                <w:rPr>
                  <w:rStyle w:val="Hyperlink"/>
                  <w:rFonts w:eastAsia="SimSun"/>
                </w:rPr>
                <w:t xml:space="preserve"> 4, Anex</w:t>
              </w:r>
              <w:r w:rsidR="00375CD0">
                <w:rPr>
                  <w:rStyle w:val="Hyperlink"/>
                  <w:rFonts w:eastAsia="SimSun"/>
                </w:rPr>
                <w:t>o</w:t>
              </w:r>
              <w:r w:rsidRPr="00BE6491">
                <w:rPr>
                  <w:rStyle w:val="Hyperlink"/>
                  <w:rFonts w:eastAsia="SimSun"/>
                </w:rPr>
                <w:t xml:space="preserve"> 4.1</w:t>
              </w:r>
            </w:hyperlink>
            <w:r w:rsidRPr="000806AE">
              <w:rPr>
                <w:sz w:val="20"/>
              </w:rPr>
              <w:t xml:space="preserve">) </w:t>
            </w:r>
            <w:r w:rsidRPr="00BE6491">
              <w:rPr>
                <w:sz w:val="20"/>
              </w:rPr>
              <w:t>(</w:t>
            </w:r>
            <w:r w:rsidR="00375CD0">
              <w:rPr>
                <w:sz w:val="20"/>
              </w:rPr>
              <w:t xml:space="preserve">acceso </w:t>
            </w:r>
            <w:r w:rsidRPr="00BE6491">
              <w:rPr>
                <w:sz w:val="20"/>
              </w:rPr>
              <w:t>TIES)</w:t>
            </w:r>
          </w:p>
        </w:tc>
      </w:tr>
      <w:tr w:rsidR="009412C4" w:rsidRPr="00F1295D" w14:paraId="5825FA48" w14:textId="77777777" w:rsidTr="00FB4DBF">
        <w:trPr>
          <w:trHeight w:val="2483"/>
        </w:trPr>
        <w:tc>
          <w:tcPr>
            <w:tcW w:w="2106" w:type="dxa"/>
            <w:vMerge/>
          </w:tcPr>
          <w:p w14:paraId="31D5F375" w14:textId="77777777" w:rsidR="009412C4" w:rsidRPr="00BE6491" w:rsidRDefault="009412C4" w:rsidP="00523CC6">
            <w:pPr>
              <w:pStyle w:val="Tabletext"/>
              <w:rPr>
                <w:sz w:val="20"/>
              </w:rPr>
            </w:pPr>
          </w:p>
        </w:tc>
        <w:tc>
          <w:tcPr>
            <w:tcW w:w="1717" w:type="dxa"/>
            <w:vMerge/>
          </w:tcPr>
          <w:p w14:paraId="77E9A9B7" w14:textId="77777777" w:rsidR="009412C4" w:rsidRPr="00BE6491" w:rsidRDefault="009412C4" w:rsidP="00523CC6">
            <w:pPr>
              <w:pStyle w:val="Tabletext"/>
              <w:rPr>
                <w:sz w:val="20"/>
              </w:rPr>
            </w:pPr>
          </w:p>
        </w:tc>
        <w:tc>
          <w:tcPr>
            <w:tcW w:w="2472" w:type="dxa"/>
          </w:tcPr>
          <w:p w14:paraId="5A20C5FE" w14:textId="0FB77066" w:rsidR="009412C4" w:rsidRPr="00C414E3" w:rsidRDefault="00375CD0" w:rsidP="00523CC6">
            <w:pPr>
              <w:pStyle w:val="Tabletext"/>
              <w:rPr>
                <w:sz w:val="20"/>
                <w:lang w:val="en-US" w:eastAsia="zh-CN"/>
              </w:rPr>
            </w:pPr>
            <w:r>
              <w:rPr>
                <w:sz w:val="20"/>
                <w:lang w:val="en-US" w:eastAsia="zh-CN"/>
              </w:rPr>
              <w:t>Informe</w:t>
            </w:r>
            <w:r w:rsidR="009412C4" w:rsidRPr="00C414E3">
              <w:rPr>
                <w:sz w:val="20"/>
                <w:lang w:val="en-US" w:eastAsia="zh-CN"/>
              </w:rPr>
              <w:t xml:space="preserve"> ITU-R BT.2385-1. </w:t>
            </w:r>
            <w:r w:rsidR="002C2B6C" w:rsidRPr="002C2B6C">
              <w:rPr>
                <w:lang w:val="en-GB"/>
              </w:rPr>
              <w:t>«</w:t>
            </w:r>
            <w:r w:rsidR="009412C4" w:rsidRPr="00C414E3">
              <w:rPr>
                <w:sz w:val="20"/>
                <w:lang w:val="en-US" w:eastAsia="zh-CN"/>
              </w:rPr>
              <w:t>Reducing the environmental impact of terrestrial broadcasting systems</w:t>
            </w:r>
            <w:r w:rsidR="002C2B6C" w:rsidRPr="002C2B6C">
              <w:rPr>
                <w:lang w:val="en-GB"/>
              </w:rPr>
              <w:t>»</w:t>
            </w:r>
          </w:p>
        </w:tc>
        <w:tc>
          <w:tcPr>
            <w:tcW w:w="3600" w:type="dxa"/>
          </w:tcPr>
          <w:p w14:paraId="36588C7F" w14:textId="241629F9" w:rsidR="009412C4" w:rsidRPr="00C414E3" w:rsidRDefault="00375CD0" w:rsidP="00523CC6">
            <w:pPr>
              <w:pStyle w:val="Tabletext"/>
              <w:rPr>
                <w:sz w:val="20"/>
                <w:lang w:val="es-ES"/>
              </w:rPr>
            </w:pPr>
            <w:r w:rsidRPr="00C414E3">
              <w:rPr>
                <w:sz w:val="20"/>
                <w:lang w:val="es-ES"/>
              </w:rPr>
              <w:t xml:space="preserve">En este Informe se propone una metodología de evaluación de la vida útil (EVU) destinada a evaluar las consecuencias medioambientales de la radiodifusión. Se presentan además casos de estudio de radiodifusores en los que </w:t>
            </w:r>
            <w:r>
              <w:rPr>
                <w:sz w:val="20"/>
                <w:lang w:val="es-ES"/>
              </w:rPr>
              <w:t>se explica cómo pueden reducir las consecuencias medioambientales de sus actividades comerciales</w:t>
            </w:r>
            <w:r w:rsidR="009412C4" w:rsidRPr="00C414E3">
              <w:rPr>
                <w:sz w:val="20"/>
                <w:lang w:val="es-ES"/>
              </w:rPr>
              <w:t>.</w:t>
            </w:r>
          </w:p>
        </w:tc>
        <w:tc>
          <w:tcPr>
            <w:tcW w:w="1866" w:type="dxa"/>
          </w:tcPr>
          <w:p w14:paraId="7E12BB33" w14:textId="1F9AF068" w:rsidR="009412C4" w:rsidRPr="00BE6491" w:rsidRDefault="00375CD0" w:rsidP="00523CC6">
            <w:pPr>
              <w:pStyle w:val="Tabletext"/>
              <w:rPr>
                <w:sz w:val="20"/>
              </w:rPr>
            </w:pPr>
            <w:r>
              <w:rPr>
                <w:sz w:val="20"/>
              </w:rPr>
              <w:t>publicado</w:t>
            </w:r>
          </w:p>
        </w:tc>
        <w:tc>
          <w:tcPr>
            <w:tcW w:w="2801" w:type="dxa"/>
          </w:tcPr>
          <w:p w14:paraId="2FA49647" w14:textId="11E1B3FE" w:rsidR="009412C4" w:rsidRPr="00BE6491" w:rsidRDefault="002C2B6C" w:rsidP="00523CC6">
            <w:pPr>
              <w:pStyle w:val="Tabletext"/>
              <w:rPr>
                <w:sz w:val="20"/>
              </w:rPr>
            </w:pPr>
            <w:hyperlink r:id="rId39" w:history="1">
              <w:r>
                <w:rPr>
                  <w:rStyle w:val="Hyperlink"/>
                  <w:rFonts w:eastAsia="SimSun"/>
                  <w:sz w:val="20"/>
                </w:rPr>
                <w:t>https://www.itu.int/pub/R-REP-BT.2385-1-2022/es</w:t>
              </w:r>
            </w:hyperlink>
            <w:r w:rsidR="009412C4" w:rsidRPr="00BE6491">
              <w:rPr>
                <w:sz w:val="20"/>
              </w:rPr>
              <w:t xml:space="preserve"> </w:t>
            </w:r>
          </w:p>
        </w:tc>
      </w:tr>
      <w:tr w:rsidR="009412C4" w:rsidRPr="00F1295D" w14:paraId="37E110F8" w14:textId="77777777" w:rsidTr="00FB4DBF">
        <w:trPr>
          <w:trHeight w:val="2483"/>
        </w:trPr>
        <w:tc>
          <w:tcPr>
            <w:tcW w:w="2106" w:type="dxa"/>
            <w:vMerge/>
          </w:tcPr>
          <w:p w14:paraId="43FF89DA" w14:textId="77777777" w:rsidR="009412C4" w:rsidRPr="00BE6491" w:rsidRDefault="009412C4" w:rsidP="00523CC6">
            <w:pPr>
              <w:pStyle w:val="Tabletext"/>
              <w:rPr>
                <w:sz w:val="20"/>
              </w:rPr>
            </w:pPr>
          </w:p>
        </w:tc>
        <w:tc>
          <w:tcPr>
            <w:tcW w:w="1717" w:type="dxa"/>
            <w:vMerge/>
          </w:tcPr>
          <w:p w14:paraId="3D58470A" w14:textId="77777777" w:rsidR="009412C4" w:rsidRPr="00BE6491" w:rsidRDefault="009412C4" w:rsidP="00523CC6">
            <w:pPr>
              <w:pStyle w:val="Tabletext"/>
              <w:rPr>
                <w:sz w:val="20"/>
              </w:rPr>
            </w:pPr>
          </w:p>
        </w:tc>
        <w:tc>
          <w:tcPr>
            <w:tcW w:w="2472" w:type="dxa"/>
          </w:tcPr>
          <w:p w14:paraId="7EAA121C" w14:textId="2F63FFA5" w:rsidR="009412C4" w:rsidRPr="00C414E3" w:rsidRDefault="00375CD0" w:rsidP="00523CC6">
            <w:pPr>
              <w:pStyle w:val="Tabletext"/>
              <w:rPr>
                <w:sz w:val="20"/>
                <w:lang w:val="en-GB" w:eastAsia="zh-CN"/>
              </w:rPr>
            </w:pPr>
            <w:r>
              <w:rPr>
                <w:sz w:val="20"/>
                <w:lang w:val="en-US" w:eastAsia="zh-CN"/>
              </w:rPr>
              <w:t>Informe UIT</w:t>
            </w:r>
            <w:r w:rsidR="009412C4" w:rsidRPr="00C414E3">
              <w:rPr>
                <w:sz w:val="20"/>
                <w:lang w:val="en-US" w:eastAsia="zh-CN"/>
              </w:rPr>
              <w:t xml:space="preserve">-R </w:t>
            </w:r>
            <w:r>
              <w:rPr>
                <w:sz w:val="20"/>
                <w:lang w:val="en-US" w:eastAsia="zh-CN"/>
              </w:rPr>
              <w:t>BT.</w:t>
            </w:r>
            <w:r w:rsidR="009412C4" w:rsidRPr="00C414E3">
              <w:rPr>
                <w:sz w:val="20"/>
                <w:lang w:val="en-US" w:eastAsia="zh-CN"/>
              </w:rPr>
              <w:t xml:space="preserve">2521-1 </w:t>
            </w:r>
            <w:r w:rsidR="002C2B6C" w:rsidRPr="002C2B6C">
              <w:rPr>
                <w:lang w:val="en-GB"/>
              </w:rPr>
              <w:t>«</w:t>
            </w:r>
            <w:r w:rsidR="009412C4" w:rsidRPr="00C414E3">
              <w:rPr>
                <w:sz w:val="20"/>
                <w:lang w:val="en-US" w:eastAsia="zh-CN"/>
              </w:rPr>
              <w:t>Practical examples of actions to realize energy aware broadcasting</w:t>
            </w:r>
            <w:r w:rsidR="002C2B6C" w:rsidRPr="002C2B6C">
              <w:rPr>
                <w:lang w:val="en-GB"/>
              </w:rPr>
              <w:t>»</w:t>
            </w:r>
          </w:p>
        </w:tc>
        <w:tc>
          <w:tcPr>
            <w:tcW w:w="3600" w:type="dxa"/>
          </w:tcPr>
          <w:p w14:paraId="5D85C750" w14:textId="1616D2F8" w:rsidR="009412C4" w:rsidRPr="00C414E3" w:rsidRDefault="00375CD0" w:rsidP="00523CC6">
            <w:pPr>
              <w:pStyle w:val="Tabletext"/>
              <w:rPr>
                <w:sz w:val="20"/>
                <w:lang w:val="es-ES"/>
              </w:rPr>
            </w:pPr>
            <w:r w:rsidRPr="00C414E3">
              <w:rPr>
                <w:sz w:val="20"/>
                <w:lang w:val="es-ES"/>
              </w:rPr>
              <w:t>El objetivo de este Informe es ayudar a los radiodifusores y organizaciones conexas a implementar estrategias de sostenibilidad, evaluar sus repercusiones sobre el medio ambiente y reducirlas</w:t>
            </w:r>
            <w:r w:rsidR="009412C4" w:rsidRPr="00C414E3">
              <w:rPr>
                <w:sz w:val="20"/>
                <w:lang w:val="es-ES"/>
              </w:rPr>
              <w:t>.</w:t>
            </w:r>
          </w:p>
        </w:tc>
        <w:tc>
          <w:tcPr>
            <w:tcW w:w="1866" w:type="dxa"/>
          </w:tcPr>
          <w:p w14:paraId="703C2DBD" w14:textId="4F3D8CA1" w:rsidR="009412C4" w:rsidRPr="00BE6491" w:rsidRDefault="00375CD0" w:rsidP="00523CC6">
            <w:pPr>
              <w:pStyle w:val="Tabletext"/>
              <w:rPr>
                <w:sz w:val="20"/>
              </w:rPr>
            </w:pPr>
            <w:r>
              <w:rPr>
                <w:sz w:val="20"/>
              </w:rPr>
              <w:t>Publicado</w:t>
            </w:r>
          </w:p>
        </w:tc>
        <w:tc>
          <w:tcPr>
            <w:tcW w:w="2801" w:type="dxa"/>
          </w:tcPr>
          <w:p w14:paraId="4FB39828" w14:textId="1A8361A7" w:rsidR="009412C4" w:rsidRPr="00BE6491" w:rsidRDefault="002C2B6C" w:rsidP="00523CC6">
            <w:pPr>
              <w:pStyle w:val="Tabletext"/>
              <w:rPr>
                <w:sz w:val="20"/>
              </w:rPr>
            </w:pPr>
            <w:hyperlink r:id="rId40" w:history="1">
              <w:r>
                <w:rPr>
                  <w:rStyle w:val="Hyperlink"/>
                  <w:rFonts w:eastAsia="SimSun"/>
                  <w:sz w:val="20"/>
                </w:rPr>
                <w:t>https://www.itu.int/pub/R-REP-BT.2521/es</w:t>
              </w:r>
            </w:hyperlink>
            <w:r w:rsidR="009412C4" w:rsidRPr="00BE6491">
              <w:rPr>
                <w:sz w:val="20"/>
              </w:rPr>
              <w:t xml:space="preserve"> </w:t>
            </w:r>
          </w:p>
        </w:tc>
      </w:tr>
      <w:tr w:rsidR="009412C4" w:rsidRPr="00F1295D" w14:paraId="22713D96" w14:textId="77777777" w:rsidTr="00FB4DBF">
        <w:trPr>
          <w:trHeight w:val="2483"/>
        </w:trPr>
        <w:tc>
          <w:tcPr>
            <w:tcW w:w="2106" w:type="dxa"/>
            <w:vMerge/>
          </w:tcPr>
          <w:p w14:paraId="5054DD26" w14:textId="77777777" w:rsidR="009412C4" w:rsidRPr="00BE6491" w:rsidRDefault="009412C4" w:rsidP="00523CC6">
            <w:pPr>
              <w:pStyle w:val="Tabletext"/>
              <w:rPr>
                <w:sz w:val="20"/>
              </w:rPr>
            </w:pPr>
          </w:p>
        </w:tc>
        <w:tc>
          <w:tcPr>
            <w:tcW w:w="1717" w:type="dxa"/>
            <w:vMerge/>
          </w:tcPr>
          <w:p w14:paraId="62B4D996" w14:textId="77777777" w:rsidR="009412C4" w:rsidRPr="00BE6491" w:rsidRDefault="009412C4" w:rsidP="00523CC6">
            <w:pPr>
              <w:pStyle w:val="Tabletext"/>
              <w:rPr>
                <w:sz w:val="20"/>
              </w:rPr>
            </w:pPr>
          </w:p>
        </w:tc>
        <w:tc>
          <w:tcPr>
            <w:tcW w:w="2472" w:type="dxa"/>
          </w:tcPr>
          <w:p w14:paraId="4F0C4714" w14:textId="14B8702E" w:rsidR="009412C4" w:rsidRPr="00C414E3" w:rsidRDefault="00375CD0" w:rsidP="00523CC6">
            <w:pPr>
              <w:pStyle w:val="Tabletext"/>
              <w:rPr>
                <w:sz w:val="20"/>
                <w:lang w:val="en-US" w:eastAsia="zh-CN"/>
              </w:rPr>
            </w:pPr>
            <w:r>
              <w:rPr>
                <w:sz w:val="20"/>
                <w:lang w:val="en-US" w:eastAsia="zh-CN"/>
              </w:rPr>
              <w:t>Informe UIT</w:t>
            </w:r>
            <w:r w:rsidR="009412C4" w:rsidRPr="00C414E3">
              <w:rPr>
                <w:sz w:val="20"/>
                <w:lang w:val="en-US" w:eastAsia="zh-CN"/>
              </w:rPr>
              <w:t xml:space="preserve">-R BT.2540-0 </w:t>
            </w:r>
            <w:r w:rsidR="002C2B6C" w:rsidRPr="002C2B6C">
              <w:rPr>
                <w:lang w:val="en-GB"/>
              </w:rPr>
              <w:t>«</w:t>
            </w:r>
            <w:r w:rsidR="009412C4" w:rsidRPr="00C414E3">
              <w:rPr>
                <w:sz w:val="20"/>
                <w:lang w:val="en-US" w:eastAsia="zh-CN"/>
              </w:rPr>
              <w:t>Display energy reduction through image signal processing</w:t>
            </w:r>
            <w:r w:rsidR="002C2B6C" w:rsidRPr="002C2B6C">
              <w:rPr>
                <w:lang w:val="en-GB"/>
              </w:rPr>
              <w:t>»</w:t>
            </w:r>
          </w:p>
        </w:tc>
        <w:tc>
          <w:tcPr>
            <w:tcW w:w="3600" w:type="dxa"/>
          </w:tcPr>
          <w:p w14:paraId="250FA036" w14:textId="217D07D8" w:rsidR="009412C4" w:rsidRPr="00BE6491" w:rsidRDefault="00375CD0" w:rsidP="00523CC6">
            <w:pPr>
              <w:pStyle w:val="Tabletext"/>
              <w:rPr>
                <w:sz w:val="20"/>
              </w:rPr>
            </w:pPr>
            <w:r w:rsidRPr="00C414E3">
              <w:rPr>
                <w:sz w:val="20"/>
                <w:lang w:val="es-ES"/>
              </w:rPr>
              <w:t>Las tecnologías de radiodifusión y de difusión por flujo directo tienen un coste en términos de energía que se distribuye a lo largo de toda la cadena de transmisión, desde la produc</w:t>
            </w:r>
            <w:r>
              <w:rPr>
                <w:sz w:val="20"/>
                <w:lang w:val="es-ES"/>
              </w:rPr>
              <w:t>ción a la visualización por los consumidores, pasando por la distribución/transmisión</w:t>
            </w:r>
            <w:r w:rsidR="009412C4" w:rsidRPr="00C414E3">
              <w:rPr>
                <w:sz w:val="20"/>
                <w:lang w:val="es-ES"/>
              </w:rPr>
              <w:t xml:space="preserve">. </w:t>
            </w:r>
            <w:r w:rsidRPr="00375CD0">
              <w:rPr>
                <w:sz w:val="20"/>
                <w:lang w:val="es-ES"/>
              </w:rPr>
              <w:t>Si consideramos su n</w:t>
            </w:r>
            <w:r w:rsidRPr="00C414E3">
              <w:rPr>
                <w:sz w:val="20"/>
                <w:lang w:val="es-ES"/>
              </w:rPr>
              <w:t>úmero a escala mundial, los televisores consumen una parte relativamente import</w:t>
            </w:r>
            <w:r>
              <w:rPr>
                <w:sz w:val="20"/>
                <w:lang w:val="es-ES"/>
              </w:rPr>
              <w:t xml:space="preserve">ante de esa energía. </w:t>
            </w:r>
            <w:r w:rsidRPr="00375CD0">
              <w:rPr>
                <w:sz w:val="20"/>
                <w:lang w:val="es-ES"/>
              </w:rPr>
              <w:t xml:space="preserve">Es posible reducir </w:t>
            </w:r>
            <w:r w:rsidRPr="00C414E3">
              <w:rPr>
                <w:sz w:val="20"/>
                <w:lang w:val="es-ES"/>
              </w:rPr>
              <w:t>el consumo energético gracias a un procesamiento de la</w:t>
            </w:r>
            <w:r>
              <w:rPr>
                <w:sz w:val="20"/>
                <w:lang w:val="es-ES"/>
              </w:rPr>
              <w:t xml:space="preserve"> señal de imagen adaptable al contenido, minimizando</w:t>
            </w:r>
            <w:r w:rsidR="0024345C">
              <w:rPr>
                <w:sz w:val="20"/>
                <w:lang w:val="es-ES"/>
              </w:rPr>
              <w:t xml:space="preserve"> las consecuencias para la calidad visual. </w:t>
            </w:r>
            <w:r w:rsidR="0024345C" w:rsidRPr="00C414E3">
              <w:rPr>
                <w:sz w:val="20"/>
                <w:lang w:val="en-US"/>
              </w:rPr>
              <w:t xml:space="preserve">En </w:t>
            </w:r>
            <w:proofErr w:type="spellStart"/>
            <w:r w:rsidR="0024345C" w:rsidRPr="00C414E3">
              <w:rPr>
                <w:sz w:val="20"/>
                <w:lang w:val="en-US"/>
              </w:rPr>
              <w:t>este</w:t>
            </w:r>
            <w:proofErr w:type="spellEnd"/>
            <w:r w:rsidR="0024345C" w:rsidRPr="00C414E3">
              <w:rPr>
                <w:sz w:val="20"/>
                <w:lang w:val="en-US"/>
              </w:rPr>
              <w:t xml:space="preserve"> Informe se </w:t>
            </w:r>
            <w:proofErr w:type="spellStart"/>
            <w:r w:rsidR="0024345C" w:rsidRPr="00C414E3">
              <w:rPr>
                <w:sz w:val="20"/>
                <w:lang w:val="en-US"/>
              </w:rPr>
              <w:t>desc</w:t>
            </w:r>
            <w:r w:rsidR="0024345C">
              <w:rPr>
                <w:sz w:val="20"/>
                <w:lang w:val="en-US"/>
              </w:rPr>
              <w:t>riben</w:t>
            </w:r>
            <w:proofErr w:type="spellEnd"/>
            <w:r w:rsidR="0024345C">
              <w:rPr>
                <w:sz w:val="20"/>
                <w:lang w:val="en-US"/>
              </w:rPr>
              <w:t xml:space="preserve"> </w:t>
            </w:r>
            <w:proofErr w:type="spellStart"/>
            <w:r w:rsidR="0024345C">
              <w:rPr>
                <w:sz w:val="20"/>
                <w:lang w:val="en-US"/>
              </w:rPr>
              <w:t>esas</w:t>
            </w:r>
            <w:proofErr w:type="spellEnd"/>
            <w:r w:rsidR="0024345C">
              <w:rPr>
                <w:sz w:val="20"/>
                <w:lang w:val="en-US"/>
              </w:rPr>
              <w:t xml:space="preserve"> </w:t>
            </w:r>
            <w:proofErr w:type="spellStart"/>
            <w:r w:rsidR="0024345C">
              <w:rPr>
                <w:sz w:val="20"/>
                <w:lang w:val="en-US"/>
              </w:rPr>
              <w:t>técnicas</w:t>
            </w:r>
            <w:proofErr w:type="spellEnd"/>
            <w:r w:rsidR="009412C4" w:rsidRPr="00BE6491">
              <w:rPr>
                <w:sz w:val="20"/>
              </w:rPr>
              <w:t>.</w:t>
            </w:r>
          </w:p>
        </w:tc>
        <w:tc>
          <w:tcPr>
            <w:tcW w:w="1866" w:type="dxa"/>
          </w:tcPr>
          <w:p w14:paraId="6381F834" w14:textId="54C0FF42" w:rsidR="009412C4" w:rsidRPr="00BE6491" w:rsidRDefault="0024345C" w:rsidP="00523CC6">
            <w:pPr>
              <w:pStyle w:val="Tabletext"/>
              <w:rPr>
                <w:sz w:val="20"/>
              </w:rPr>
            </w:pPr>
            <w:r>
              <w:rPr>
                <w:sz w:val="20"/>
              </w:rPr>
              <w:t>publicado</w:t>
            </w:r>
          </w:p>
        </w:tc>
        <w:tc>
          <w:tcPr>
            <w:tcW w:w="2801" w:type="dxa"/>
          </w:tcPr>
          <w:p w14:paraId="0C1BD2C3" w14:textId="59C7A9CD" w:rsidR="009412C4" w:rsidRPr="00C63CD6" w:rsidRDefault="00FB4DBF" w:rsidP="00523CC6">
            <w:pPr>
              <w:pStyle w:val="Tabletext"/>
              <w:rPr>
                <w:sz w:val="20"/>
                <w:szCs w:val="18"/>
              </w:rPr>
            </w:pPr>
            <w:hyperlink r:id="rId41" w:history="1">
              <w:r>
                <w:rPr>
                  <w:rStyle w:val="Hyperlink"/>
                  <w:rFonts w:eastAsia="SimSun"/>
                  <w:sz w:val="20"/>
                  <w:szCs w:val="18"/>
                </w:rPr>
                <w:t>https://www.itu.int/pub/R-REP-BT.2540/es</w:t>
              </w:r>
            </w:hyperlink>
          </w:p>
        </w:tc>
      </w:tr>
      <w:tr w:rsidR="009412C4" w:rsidRPr="00E237B6" w14:paraId="1A3ADDA5" w14:textId="77777777" w:rsidTr="00FB4DBF">
        <w:trPr>
          <w:trHeight w:val="2483"/>
        </w:trPr>
        <w:tc>
          <w:tcPr>
            <w:tcW w:w="2106" w:type="dxa"/>
            <w:vMerge w:val="restart"/>
          </w:tcPr>
          <w:p w14:paraId="6D54668D" w14:textId="77777777" w:rsidR="009412C4" w:rsidRPr="00BE6491" w:rsidRDefault="009412C4" w:rsidP="00523CC6">
            <w:pPr>
              <w:pStyle w:val="Tabletext"/>
              <w:rPr>
                <w:sz w:val="20"/>
              </w:rPr>
            </w:pPr>
          </w:p>
        </w:tc>
        <w:tc>
          <w:tcPr>
            <w:tcW w:w="1717" w:type="dxa"/>
            <w:vMerge w:val="restart"/>
          </w:tcPr>
          <w:p w14:paraId="59EF1EDD" w14:textId="77777777" w:rsidR="009412C4" w:rsidRPr="00BE6491" w:rsidRDefault="009412C4" w:rsidP="00523CC6">
            <w:pPr>
              <w:pStyle w:val="Tabletext"/>
              <w:rPr>
                <w:sz w:val="20"/>
              </w:rPr>
            </w:pPr>
          </w:p>
        </w:tc>
        <w:tc>
          <w:tcPr>
            <w:tcW w:w="2472" w:type="dxa"/>
          </w:tcPr>
          <w:p w14:paraId="457FF700" w14:textId="6B6B07ED" w:rsidR="009412C4" w:rsidRPr="00C414E3" w:rsidRDefault="009412C4" w:rsidP="00523CC6">
            <w:pPr>
              <w:pStyle w:val="Tabletext"/>
              <w:rPr>
                <w:sz w:val="20"/>
                <w:lang w:val="en-GB" w:eastAsia="zh-CN"/>
              </w:rPr>
            </w:pPr>
            <w:proofErr w:type="spellStart"/>
            <w:r w:rsidRPr="00C414E3">
              <w:rPr>
                <w:sz w:val="20"/>
                <w:lang w:val="en-US" w:eastAsia="zh-CN"/>
              </w:rPr>
              <w:t>Recom</w:t>
            </w:r>
            <w:r w:rsidR="0024345C">
              <w:rPr>
                <w:sz w:val="20"/>
                <w:lang w:val="en-US" w:eastAsia="zh-CN"/>
              </w:rPr>
              <w:t>endación</w:t>
            </w:r>
            <w:proofErr w:type="spellEnd"/>
            <w:r w:rsidR="0024345C">
              <w:rPr>
                <w:sz w:val="20"/>
                <w:lang w:val="en-US" w:eastAsia="zh-CN"/>
              </w:rPr>
              <w:t xml:space="preserve"> UIT</w:t>
            </w:r>
            <w:r w:rsidRPr="00C414E3">
              <w:rPr>
                <w:sz w:val="20"/>
                <w:lang w:val="en-US" w:eastAsia="zh-CN"/>
              </w:rPr>
              <w:t xml:space="preserve">-R BT.2167-0 </w:t>
            </w:r>
            <w:r w:rsidR="002C2B6C" w:rsidRPr="002C2B6C">
              <w:rPr>
                <w:lang w:val="en-GB"/>
              </w:rPr>
              <w:t>«</w:t>
            </w:r>
            <w:r w:rsidRPr="00C414E3">
              <w:rPr>
                <w:sz w:val="20"/>
                <w:lang w:val="en-US" w:eastAsia="zh-CN"/>
              </w:rPr>
              <w:t>A framework for content-adaptive methods for reduction of energy consumption in television displays</w:t>
            </w:r>
            <w:r w:rsidR="002C2B6C" w:rsidRPr="002C2B6C">
              <w:rPr>
                <w:lang w:val="en-GB"/>
              </w:rPr>
              <w:t>»</w:t>
            </w:r>
          </w:p>
        </w:tc>
        <w:tc>
          <w:tcPr>
            <w:tcW w:w="3600" w:type="dxa"/>
          </w:tcPr>
          <w:p w14:paraId="5933985C" w14:textId="6CCABE84" w:rsidR="009412C4" w:rsidRPr="00C414E3" w:rsidRDefault="0024345C" w:rsidP="00523CC6">
            <w:pPr>
              <w:pStyle w:val="Tabletext"/>
              <w:rPr>
                <w:sz w:val="20"/>
                <w:lang w:val="es-ES"/>
              </w:rPr>
            </w:pPr>
            <w:r w:rsidRPr="00C414E3">
              <w:rPr>
                <w:sz w:val="20"/>
                <w:lang w:val="es-ES"/>
              </w:rPr>
              <w:t>Los televisores consumen una parte relativamente importante de la energía total consumida en la cadena de radiodifusión de extremo a extremo, desde la producción de los programas a su visualización por los consumidores</w:t>
            </w:r>
            <w:r>
              <w:rPr>
                <w:sz w:val="20"/>
                <w:lang w:val="es-ES"/>
              </w:rPr>
              <w:t xml:space="preserve">. </w:t>
            </w:r>
            <w:r w:rsidRPr="0024345C">
              <w:rPr>
                <w:sz w:val="20"/>
                <w:lang w:val="es-ES"/>
              </w:rPr>
              <w:t>El consu</w:t>
            </w:r>
            <w:r w:rsidRPr="00C414E3">
              <w:rPr>
                <w:sz w:val="20"/>
                <w:lang w:val="es-ES"/>
              </w:rPr>
              <w:t>mo energético de los televisores puede reducirse gracias a métodos adaptables al contenido sin que ello repercuta indebidamente en la calidad</w:t>
            </w:r>
            <w:r>
              <w:rPr>
                <w:sz w:val="20"/>
                <w:lang w:val="es-ES"/>
              </w:rPr>
              <w:t xml:space="preserve"> visual. </w:t>
            </w:r>
            <w:r w:rsidRPr="0024345C">
              <w:rPr>
                <w:sz w:val="20"/>
                <w:lang w:val="es-ES"/>
              </w:rPr>
              <w:t>En esta Recomendación se define un mar</w:t>
            </w:r>
            <w:r w:rsidRPr="00C414E3">
              <w:rPr>
                <w:sz w:val="20"/>
                <w:lang w:val="es-ES"/>
              </w:rPr>
              <w:t>co para tales técnicas</w:t>
            </w:r>
            <w:r w:rsidR="009412C4" w:rsidRPr="00C414E3">
              <w:rPr>
                <w:sz w:val="20"/>
                <w:lang w:val="es-ES"/>
              </w:rPr>
              <w:t>.</w:t>
            </w:r>
          </w:p>
          <w:p w14:paraId="2B68E7B3" w14:textId="4DB02D4C" w:rsidR="009412C4" w:rsidRPr="00C414E3" w:rsidRDefault="009412C4" w:rsidP="00523CC6">
            <w:pPr>
              <w:pStyle w:val="Tabletext"/>
              <w:rPr>
                <w:sz w:val="20"/>
                <w:lang w:val="es-ES"/>
              </w:rPr>
            </w:pPr>
            <w:r w:rsidRPr="00C414E3">
              <w:rPr>
                <w:sz w:val="20"/>
                <w:lang w:val="es-ES"/>
              </w:rPr>
              <w:t>NOT</w:t>
            </w:r>
            <w:r w:rsidR="0024345C" w:rsidRPr="00C414E3">
              <w:rPr>
                <w:sz w:val="20"/>
                <w:lang w:val="es-ES"/>
              </w:rPr>
              <w:t>A</w:t>
            </w:r>
            <w:r w:rsidRPr="00C414E3">
              <w:rPr>
                <w:sz w:val="20"/>
                <w:lang w:val="es-ES"/>
              </w:rPr>
              <w:t xml:space="preserve"> – </w:t>
            </w:r>
            <w:r w:rsidR="0024345C" w:rsidRPr="00C414E3">
              <w:rPr>
                <w:sz w:val="20"/>
                <w:lang w:val="es-ES"/>
              </w:rPr>
              <w:t>Complementario del Informe UIT</w:t>
            </w:r>
            <w:r w:rsidRPr="00C414E3">
              <w:rPr>
                <w:sz w:val="20"/>
                <w:lang w:val="es-ES" w:eastAsia="zh-CN"/>
              </w:rPr>
              <w:noBreakHyphen/>
              <w:t>R BT.2540-0</w:t>
            </w:r>
            <w:r w:rsidR="00705703">
              <w:rPr>
                <w:sz w:val="20"/>
                <w:lang w:val="es-ES" w:eastAsia="zh-CN"/>
              </w:rPr>
              <w:t>.</w:t>
            </w:r>
          </w:p>
        </w:tc>
        <w:tc>
          <w:tcPr>
            <w:tcW w:w="1866" w:type="dxa"/>
          </w:tcPr>
          <w:p w14:paraId="728D958A" w14:textId="53C8AD3F" w:rsidR="009412C4" w:rsidRPr="00BE6491" w:rsidRDefault="0024345C" w:rsidP="00523CC6">
            <w:pPr>
              <w:pStyle w:val="Tabletext"/>
              <w:rPr>
                <w:sz w:val="20"/>
              </w:rPr>
            </w:pPr>
            <w:r>
              <w:rPr>
                <w:sz w:val="20"/>
              </w:rPr>
              <w:t>aprobada</w:t>
            </w:r>
          </w:p>
        </w:tc>
        <w:tc>
          <w:tcPr>
            <w:tcW w:w="2801" w:type="dxa"/>
          </w:tcPr>
          <w:p w14:paraId="3CAED554" w14:textId="7920CD08" w:rsidR="009412C4" w:rsidRPr="00BE6491" w:rsidRDefault="00FB4DBF" w:rsidP="00523CC6">
            <w:pPr>
              <w:pStyle w:val="Tabletext"/>
              <w:rPr>
                <w:sz w:val="20"/>
                <w:highlight w:val="yellow"/>
              </w:rPr>
            </w:pPr>
            <w:hyperlink r:id="rId42" w:history="1">
              <w:r>
                <w:rPr>
                  <w:rStyle w:val="Hyperlink"/>
                  <w:rFonts w:eastAsia="SimSun"/>
                  <w:sz w:val="20"/>
                  <w:szCs w:val="18"/>
                </w:rPr>
                <w:t>https://www.itu.int/rec/R-REC-BT.2167/es</w:t>
              </w:r>
            </w:hyperlink>
          </w:p>
        </w:tc>
      </w:tr>
      <w:tr w:rsidR="009412C4" w:rsidRPr="00E237B6" w14:paraId="6B6C6F1C" w14:textId="77777777" w:rsidTr="00FB4DBF">
        <w:trPr>
          <w:trHeight w:val="2483"/>
        </w:trPr>
        <w:tc>
          <w:tcPr>
            <w:tcW w:w="2106" w:type="dxa"/>
            <w:vMerge/>
          </w:tcPr>
          <w:p w14:paraId="5F55CC85" w14:textId="77777777" w:rsidR="009412C4" w:rsidRPr="00BE6491" w:rsidRDefault="009412C4" w:rsidP="00523CC6">
            <w:pPr>
              <w:pStyle w:val="Tabletext"/>
              <w:rPr>
                <w:sz w:val="20"/>
              </w:rPr>
            </w:pPr>
          </w:p>
        </w:tc>
        <w:tc>
          <w:tcPr>
            <w:tcW w:w="1717" w:type="dxa"/>
            <w:vMerge/>
          </w:tcPr>
          <w:p w14:paraId="7993F263" w14:textId="77777777" w:rsidR="009412C4" w:rsidRPr="00BE6491" w:rsidRDefault="009412C4" w:rsidP="00523CC6">
            <w:pPr>
              <w:pStyle w:val="Tabletext"/>
              <w:rPr>
                <w:sz w:val="20"/>
              </w:rPr>
            </w:pPr>
          </w:p>
        </w:tc>
        <w:tc>
          <w:tcPr>
            <w:tcW w:w="2472" w:type="dxa"/>
          </w:tcPr>
          <w:p w14:paraId="3BC6CBA2" w14:textId="55CFF10E" w:rsidR="009412C4" w:rsidRPr="0024345C" w:rsidRDefault="0024345C" w:rsidP="00523CC6">
            <w:pPr>
              <w:pStyle w:val="Tabletext"/>
              <w:rPr>
                <w:sz w:val="20"/>
                <w:lang w:eastAsia="zh-CN"/>
              </w:rPr>
            </w:pPr>
            <w:r w:rsidRPr="00C414E3">
              <w:rPr>
                <w:sz w:val="20"/>
                <w:lang w:eastAsia="zh-CN"/>
              </w:rPr>
              <w:t>Propuesta de nueva Recomendación</w:t>
            </w:r>
            <w:r w:rsidR="009412C4" w:rsidRPr="0024345C">
              <w:rPr>
                <w:sz w:val="20"/>
                <w:lang w:eastAsia="zh-CN"/>
              </w:rPr>
              <w:t xml:space="preserve"> </w:t>
            </w:r>
            <w:r w:rsidR="009412C4" w:rsidRPr="0024345C">
              <w:rPr>
                <w:sz w:val="20"/>
                <w:lang w:eastAsia="zh-CN"/>
              </w:rPr>
              <w:br/>
            </w:r>
            <w:r w:rsidR="002C2B6C" w:rsidRPr="00570100">
              <w:rPr>
                <w:lang w:val="es-ES"/>
              </w:rPr>
              <w:t>«</w:t>
            </w:r>
            <w:r w:rsidRPr="00C414E3">
              <w:rPr>
                <w:sz w:val="20"/>
                <w:lang w:eastAsia="zh-CN"/>
              </w:rPr>
              <w:t xml:space="preserve">Marco de medición para que los radiodifusores evalúen </w:t>
            </w:r>
            <w:r>
              <w:rPr>
                <w:sz w:val="20"/>
                <w:lang w:eastAsia="zh-CN"/>
              </w:rPr>
              <w:t>las repercusiones de alcance 3 de la reproducción en televisores de un programa de televisión</w:t>
            </w:r>
            <w:r w:rsidR="002C2B6C" w:rsidRPr="00570100">
              <w:rPr>
                <w:lang w:val="es-ES"/>
              </w:rPr>
              <w:t>»</w:t>
            </w:r>
          </w:p>
        </w:tc>
        <w:tc>
          <w:tcPr>
            <w:tcW w:w="3600" w:type="dxa"/>
          </w:tcPr>
          <w:p w14:paraId="547ECF81" w14:textId="46C11082" w:rsidR="009412C4" w:rsidRPr="00C414E3" w:rsidRDefault="0024345C" w:rsidP="00523CC6">
            <w:pPr>
              <w:pStyle w:val="Tabletext"/>
              <w:rPr>
                <w:sz w:val="20"/>
                <w:lang w:val="es-ES"/>
              </w:rPr>
            </w:pPr>
            <w:r w:rsidRPr="00C414E3">
              <w:rPr>
                <w:sz w:val="20"/>
              </w:rPr>
              <w:t>Para los radiodifusores se considera que las repercusiones de la radiodifusión</w:t>
            </w:r>
            <w:r>
              <w:rPr>
                <w:sz w:val="20"/>
              </w:rPr>
              <w:t xml:space="preserve"> </w:t>
            </w:r>
            <w:r w:rsidRPr="00C414E3">
              <w:rPr>
                <w:sz w:val="20"/>
              </w:rPr>
              <w:t>de</w:t>
            </w:r>
            <w:r>
              <w:rPr>
                <w:sz w:val="20"/>
              </w:rPr>
              <w:t xml:space="preserve"> </w:t>
            </w:r>
            <w:r w:rsidRPr="00C414E3">
              <w:rPr>
                <w:sz w:val="20"/>
              </w:rPr>
              <w:t>un programa de televisión forman parte de la Categoría 11 del Alcance 3, emisiones en fase de utilización i</w:t>
            </w:r>
            <w:r>
              <w:rPr>
                <w:sz w:val="20"/>
              </w:rPr>
              <w:t xml:space="preserve">ndirectas de productos vendidos, cuya comunicación es en la actualidad voluntaria. </w:t>
            </w:r>
            <w:r w:rsidRPr="0024345C">
              <w:rPr>
                <w:sz w:val="20"/>
              </w:rPr>
              <w:t>En esta Recomendación se define un marco para evaluar</w:t>
            </w:r>
            <w:r w:rsidRPr="00C414E3">
              <w:rPr>
                <w:sz w:val="20"/>
              </w:rPr>
              <w:t xml:space="preserve"> esas repercusiones, siempre en relación con dispositivos de visualización de usuario extremo</w:t>
            </w:r>
            <w:r w:rsidR="009412C4" w:rsidRPr="00C414E3">
              <w:rPr>
                <w:sz w:val="20"/>
                <w:lang w:val="es-ES"/>
              </w:rPr>
              <w:t>.</w:t>
            </w:r>
          </w:p>
        </w:tc>
        <w:tc>
          <w:tcPr>
            <w:tcW w:w="1866" w:type="dxa"/>
          </w:tcPr>
          <w:p w14:paraId="1FEB76E9" w14:textId="1642226E" w:rsidR="009412C4" w:rsidRPr="00BE6491" w:rsidRDefault="0024345C" w:rsidP="00523CC6">
            <w:pPr>
              <w:pStyle w:val="Tabletext"/>
              <w:rPr>
                <w:sz w:val="20"/>
              </w:rPr>
            </w:pPr>
            <w:r>
              <w:rPr>
                <w:sz w:val="20"/>
              </w:rPr>
              <w:t>En estudio</w:t>
            </w:r>
          </w:p>
        </w:tc>
        <w:tc>
          <w:tcPr>
            <w:tcW w:w="2801" w:type="dxa"/>
          </w:tcPr>
          <w:p w14:paraId="273D8377" w14:textId="412B70F6" w:rsidR="009412C4" w:rsidRPr="0024345C" w:rsidRDefault="0024345C" w:rsidP="00523CC6">
            <w:pPr>
              <w:pStyle w:val="Tabletext"/>
              <w:rPr>
                <w:sz w:val="20"/>
              </w:rPr>
            </w:pPr>
            <w:r w:rsidRPr="00C414E3">
              <w:rPr>
                <w:sz w:val="20"/>
              </w:rPr>
              <w:t xml:space="preserve">Documento de trabajo disponible adjunto al Informe de la reunión del Grupo de Trabajo </w:t>
            </w:r>
            <w:r>
              <w:rPr>
                <w:sz w:val="20"/>
              </w:rPr>
              <w:t>6C de marzo de 2024</w:t>
            </w:r>
          </w:p>
          <w:p w14:paraId="7DE93642" w14:textId="73C2176F" w:rsidR="009412C4" w:rsidRPr="00BE6491" w:rsidRDefault="009412C4" w:rsidP="00523CC6">
            <w:pPr>
              <w:pStyle w:val="Tabletext"/>
              <w:rPr>
                <w:rStyle w:val="Hyperlink"/>
                <w:rFonts w:eastAsia="SimSun"/>
                <w:sz w:val="20"/>
              </w:rPr>
            </w:pPr>
            <w:hyperlink r:id="rId43" w:history="1">
              <w:r w:rsidRPr="00BE6491">
                <w:rPr>
                  <w:rStyle w:val="Hyperlink"/>
                  <w:rFonts w:eastAsia="SimSun"/>
                  <w:sz w:val="20"/>
                </w:rPr>
                <w:t>6C/37</w:t>
              </w:r>
              <w:r>
                <w:rPr>
                  <w:rStyle w:val="Hyperlink"/>
                  <w:rFonts w:eastAsia="SimSun"/>
                  <w:sz w:val="20"/>
                </w:rPr>
                <w:t xml:space="preserve"> (</w:t>
              </w:r>
              <w:r w:rsidRPr="00BE6491">
                <w:rPr>
                  <w:rStyle w:val="Hyperlink"/>
                  <w:rFonts w:eastAsia="SimSun"/>
                  <w:sz w:val="20"/>
                </w:rPr>
                <w:t>Anex</w:t>
              </w:r>
              <w:r w:rsidR="0024345C">
                <w:rPr>
                  <w:rStyle w:val="Hyperlink"/>
                  <w:rFonts w:eastAsia="SimSun"/>
                  <w:sz w:val="20"/>
                </w:rPr>
                <w:t>o</w:t>
              </w:r>
              <w:r w:rsidRPr="00BE6491">
                <w:rPr>
                  <w:rStyle w:val="Hyperlink"/>
                  <w:rFonts w:eastAsia="SimSun"/>
                  <w:sz w:val="20"/>
                </w:rPr>
                <w:t xml:space="preserve"> 3.1</w:t>
              </w:r>
            </w:hyperlink>
            <w:r>
              <w:rPr>
                <w:rStyle w:val="Hyperlink"/>
                <w:rFonts w:eastAsia="SimSun"/>
                <w:sz w:val="20"/>
              </w:rPr>
              <w:t>)</w:t>
            </w:r>
          </w:p>
          <w:p w14:paraId="76D36D7F" w14:textId="50810FC3" w:rsidR="009412C4" w:rsidRPr="00BE6491" w:rsidRDefault="009412C4" w:rsidP="00523CC6">
            <w:pPr>
              <w:pStyle w:val="Tabletext"/>
              <w:rPr>
                <w:rStyle w:val="Hyperlink"/>
                <w:rFonts w:eastAsia="SimSun"/>
                <w:sz w:val="20"/>
              </w:rPr>
            </w:pPr>
            <w:r w:rsidRPr="00BE6491">
              <w:rPr>
                <w:sz w:val="20"/>
              </w:rPr>
              <w:t>(</w:t>
            </w:r>
            <w:r w:rsidR="0024345C">
              <w:rPr>
                <w:sz w:val="20"/>
              </w:rPr>
              <w:t xml:space="preserve">acceso </w:t>
            </w:r>
            <w:r w:rsidRPr="00BE6491">
              <w:rPr>
                <w:sz w:val="20"/>
              </w:rPr>
              <w:t>TIES)</w:t>
            </w:r>
          </w:p>
          <w:p w14:paraId="281C9427" w14:textId="77777777" w:rsidR="009412C4" w:rsidRPr="00BE6491" w:rsidRDefault="009412C4" w:rsidP="00523CC6">
            <w:pPr>
              <w:pStyle w:val="Tabletext"/>
              <w:rPr>
                <w:sz w:val="20"/>
              </w:rPr>
            </w:pPr>
          </w:p>
        </w:tc>
      </w:tr>
    </w:tbl>
    <w:p w14:paraId="473E5EBF" w14:textId="77777777" w:rsidR="002C2B6C" w:rsidRDefault="002C2B6C" w:rsidP="00411C49">
      <w:pPr>
        <w:pStyle w:val="Reasons"/>
      </w:pPr>
    </w:p>
    <w:p w14:paraId="3EC5B22F" w14:textId="77777777" w:rsidR="002C2B6C" w:rsidRDefault="002C2B6C">
      <w:pPr>
        <w:jc w:val="center"/>
      </w:pPr>
      <w:r>
        <w:t>______________</w:t>
      </w:r>
    </w:p>
    <w:sectPr w:rsidR="002C2B6C" w:rsidSect="00C414E3">
      <w:headerReference w:type="first" r:id="rId44"/>
      <w:pgSz w:w="16834" w:h="11907" w:orient="landscape" w:code="9"/>
      <w:pgMar w:top="1134" w:right="1418" w:bottom="1134" w:left="1418" w:header="720" w:footer="720" w:gutter="0"/>
      <w:paperSrc w:first="1517" w:other="1517"/>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FFA6D3" w14:textId="77777777" w:rsidR="00022CAA" w:rsidRDefault="00022CAA">
      <w:r>
        <w:separator/>
      </w:r>
    </w:p>
  </w:endnote>
  <w:endnote w:type="continuationSeparator" w:id="0">
    <w:p w14:paraId="480BC7BA" w14:textId="77777777" w:rsidR="00022CAA" w:rsidRDefault="00022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55C606" w14:textId="77777777" w:rsidR="00022CAA" w:rsidRDefault="00022CAA">
      <w:r>
        <w:t>____________________</w:t>
      </w:r>
    </w:p>
  </w:footnote>
  <w:footnote w:type="continuationSeparator" w:id="0">
    <w:p w14:paraId="63245DBB" w14:textId="77777777" w:rsidR="00022CAA" w:rsidRDefault="00022C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1171B8" w14:textId="77777777" w:rsidR="00616601" w:rsidRDefault="004D6C09">
    <w:pPr>
      <w:pStyle w:val="Header"/>
      <w:rPr>
        <w:lang w:val="es-ES"/>
      </w:rPr>
    </w:pPr>
    <w:r>
      <w:rPr>
        <w:rStyle w:val="PageNumber"/>
      </w:rPr>
      <w:fldChar w:fldCharType="begin"/>
    </w:r>
    <w:r w:rsidR="00616601">
      <w:rPr>
        <w:rStyle w:val="PageNumber"/>
      </w:rPr>
      <w:instrText xml:space="preserve"> PAGE </w:instrText>
    </w:r>
    <w:r>
      <w:rPr>
        <w:rStyle w:val="PageNumber"/>
      </w:rPr>
      <w:fldChar w:fldCharType="separate"/>
    </w:r>
    <w:r w:rsidR="00AB4BAD">
      <w:rPr>
        <w:rStyle w:val="PageNumber"/>
        <w:noProof/>
      </w:rPr>
      <w:t>2</w:t>
    </w:r>
    <w:r>
      <w:rPr>
        <w:rStyle w:val="PageNumber"/>
      </w:rPr>
      <w:fldChar w:fldCharType="end"/>
    </w:r>
  </w:p>
  <w:p w14:paraId="4F4454AB" w14:textId="1CDA49BA" w:rsidR="00616601" w:rsidRDefault="0034043B" w:rsidP="00A341DD">
    <w:pPr>
      <w:pStyle w:val="Header"/>
      <w:spacing w:after="120"/>
      <w:rPr>
        <w:lang w:val="es-ES"/>
      </w:rPr>
    </w:pPr>
    <w:r>
      <w:rPr>
        <w:lang w:val="es-ES"/>
      </w:rPr>
      <w:t>RAG</w:t>
    </w:r>
    <w:r w:rsidR="00616601">
      <w:rPr>
        <w:lang w:val="es-ES"/>
      </w:rPr>
      <w:t>/</w:t>
    </w:r>
    <w:r w:rsidR="006B2B9E">
      <w:rPr>
        <w:lang w:val="es-ES"/>
      </w:rPr>
      <w:t>30</w:t>
    </w:r>
    <w:r w:rsidR="000F62B4">
      <w:rPr>
        <w:lang w:val="es-ES"/>
      </w:rPr>
      <w:t>(Add.1)-S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E7680B" w14:textId="7259E862" w:rsidR="00C54F5A" w:rsidRPr="00C54F5A" w:rsidRDefault="00C54F5A" w:rsidP="00C54F5A">
    <w:pPr>
      <w:pStyle w:val="Header"/>
      <w:spacing w:after="120"/>
      <w:rPr>
        <w:lang w:val="es-E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0FF87C" w14:textId="77777777" w:rsidR="00093991" w:rsidRDefault="00093991" w:rsidP="00093991">
    <w:pPr>
      <w:pStyle w:val="Header"/>
      <w:rPr>
        <w:lang w:val="es-ES"/>
      </w:rPr>
    </w:pPr>
    <w:r>
      <w:rPr>
        <w:rStyle w:val="PageNumber"/>
      </w:rPr>
      <w:fldChar w:fldCharType="begin"/>
    </w:r>
    <w:r>
      <w:rPr>
        <w:rStyle w:val="PageNumber"/>
      </w:rPr>
      <w:instrText xml:space="preserve"> PAGE </w:instrText>
    </w:r>
    <w:r>
      <w:rPr>
        <w:rStyle w:val="PageNumber"/>
      </w:rPr>
      <w:fldChar w:fldCharType="separate"/>
    </w:r>
    <w:r>
      <w:rPr>
        <w:rStyle w:val="PageNumber"/>
      </w:rPr>
      <w:t>16</w:t>
    </w:r>
    <w:r>
      <w:rPr>
        <w:rStyle w:val="PageNumber"/>
      </w:rPr>
      <w:fldChar w:fldCharType="end"/>
    </w:r>
  </w:p>
  <w:p w14:paraId="53AF4A38" w14:textId="2721F21C" w:rsidR="00093991" w:rsidRPr="00C54F5A" w:rsidRDefault="00093991" w:rsidP="00C54F5A">
    <w:pPr>
      <w:pStyle w:val="Header"/>
      <w:spacing w:after="120"/>
      <w:rPr>
        <w:lang w:val="es-ES"/>
      </w:rPr>
    </w:pPr>
    <w:r>
      <w:rPr>
        <w:lang w:val="es-ES"/>
      </w:rPr>
      <w:t>RAG/1(Add.1)-S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F22BB3"/>
    <w:multiLevelType w:val="hybridMultilevel"/>
    <w:tmpl w:val="1C58BC1C"/>
    <w:lvl w:ilvl="0" w:tplc="D166D5FE">
      <w:start w:val="1"/>
      <w:numFmt w:val="decimal"/>
      <w:lvlText w:val="%1)"/>
      <w:lvlJc w:val="left"/>
      <w:pPr>
        <w:ind w:left="780" w:hanging="360"/>
      </w:pPr>
      <w:rPr>
        <w:rFonts w:hint="default"/>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1" w15:restartNumberingAfterBreak="0">
    <w:nsid w:val="455816E0"/>
    <w:multiLevelType w:val="hybridMultilevel"/>
    <w:tmpl w:val="0CF43B8A"/>
    <w:lvl w:ilvl="0" w:tplc="B5366B68">
      <w:start w:val="1"/>
      <w:numFmt w:val="decimal"/>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214393385">
    <w:abstractNumId w:val="0"/>
  </w:num>
  <w:num w:numId="2" w16cid:durableId="18500249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2B4"/>
    <w:rsid w:val="00022CAA"/>
    <w:rsid w:val="00027A94"/>
    <w:rsid w:val="00031E56"/>
    <w:rsid w:val="00043718"/>
    <w:rsid w:val="00077737"/>
    <w:rsid w:val="00093991"/>
    <w:rsid w:val="000C62BA"/>
    <w:rsid w:val="000D756D"/>
    <w:rsid w:val="000F62B4"/>
    <w:rsid w:val="00112AB9"/>
    <w:rsid w:val="00114043"/>
    <w:rsid w:val="0012592F"/>
    <w:rsid w:val="001737A6"/>
    <w:rsid w:val="001977E3"/>
    <w:rsid w:val="001A7C66"/>
    <w:rsid w:val="001F2F50"/>
    <w:rsid w:val="001F6E24"/>
    <w:rsid w:val="0024345C"/>
    <w:rsid w:val="0024708F"/>
    <w:rsid w:val="002A600B"/>
    <w:rsid w:val="002C2B6C"/>
    <w:rsid w:val="0031432E"/>
    <w:rsid w:val="00335C08"/>
    <w:rsid w:val="0034043B"/>
    <w:rsid w:val="00351C79"/>
    <w:rsid w:val="00375CD0"/>
    <w:rsid w:val="00391AF8"/>
    <w:rsid w:val="003A2AF0"/>
    <w:rsid w:val="003C787A"/>
    <w:rsid w:val="004108F3"/>
    <w:rsid w:val="00414D8B"/>
    <w:rsid w:val="00426B3B"/>
    <w:rsid w:val="004620F8"/>
    <w:rsid w:val="004762CD"/>
    <w:rsid w:val="00482905"/>
    <w:rsid w:val="00486BF4"/>
    <w:rsid w:val="00494752"/>
    <w:rsid w:val="00497682"/>
    <w:rsid w:val="004C1CCA"/>
    <w:rsid w:val="004D6C09"/>
    <w:rsid w:val="004F6DA1"/>
    <w:rsid w:val="00502D59"/>
    <w:rsid w:val="0051240C"/>
    <w:rsid w:val="0052511E"/>
    <w:rsid w:val="0053216B"/>
    <w:rsid w:val="00560CEB"/>
    <w:rsid w:val="00570100"/>
    <w:rsid w:val="0057336B"/>
    <w:rsid w:val="005806FA"/>
    <w:rsid w:val="005A2195"/>
    <w:rsid w:val="005B36F4"/>
    <w:rsid w:val="005C6162"/>
    <w:rsid w:val="005D3E02"/>
    <w:rsid w:val="00605005"/>
    <w:rsid w:val="00610642"/>
    <w:rsid w:val="00616601"/>
    <w:rsid w:val="00640458"/>
    <w:rsid w:val="00646EEF"/>
    <w:rsid w:val="00663829"/>
    <w:rsid w:val="00675B96"/>
    <w:rsid w:val="006A42AB"/>
    <w:rsid w:val="006B2B9E"/>
    <w:rsid w:val="006B4AAB"/>
    <w:rsid w:val="006B5313"/>
    <w:rsid w:val="006E291F"/>
    <w:rsid w:val="00705703"/>
    <w:rsid w:val="007169C4"/>
    <w:rsid w:val="00735893"/>
    <w:rsid w:val="00776541"/>
    <w:rsid w:val="007B711C"/>
    <w:rsid w:val="007D0B3D"/>
    <w:rsid w:val="007F4158"/>
    <w:rsid w:val="008506C9"/>
    <w:rsid w:val="008C6D55"/>
    <w:rsid w:val="008F0106"/>
    <w:rsid w:val="008F14F3"/>
    <w:rsid w:val="00924B63"/>
    <w:rsid w:val="009412C4"/>
    <w:rsid w:val="00982618"/>
    <w:rsid w:val="00993D91"/>
    <w:rsid w:val="009C205E"/>
    <w:rsid w:val="009D1FA3"/>
    <w:rsid w:val="009F3A12"/>
    <w:rsid w:val="00A0579C"/>
    <w:rsid w:val="00A30F89"/>
    <w:rsid w:val="00A341DD"/>
    <w:rsid w:val="00A65287"/>
    <w:rsid w:val="00A7167B"/>
    <w:rsid w:val="00A7663C"/>
    <w:rsid w:val="00A76996"/>
    <w:rsid w:val="00AB4BAD"/>
    <w:rsid w:val="00AD3C5B"/>
    <w:rsid w:val="00B23643"/>
    <w:rsid w:val="00B32E51"/>
    <w:rsid w:val="00B87D68"/>
    <w:rsid w:val="00BA671A"/>
    <w:rsid w:val="00C01B3C"/>
    <w:rsid w:val="00C15C1D"/>
    <w:rsid w:val="00C414E3"/>
    <w:rsid w:val="00C54F5A"/>
    <w:rsid w:val="00C55204"/>
    <w:rsid w:val="00C837F0"/>
    <w:rsid w:val="00CA7D82"/>
    <w:rsid w:val="00CB5EC7"/>
    <w:rsid w:val="00CB7A43"/>
    <w:rsid w:val="00CC0B2C"/>
    <w:rsid w:val="00CF4CAC"/>
    <w:rsid w:val="00D43702"/>
    <w:rsid w:val="00D51E1E"/>
    <w:rsid w:val="00D5260E"/>
    <w:rsid w:val="00D545D6"/>
    <w:rsid w:val="00D70AFF"/>
    <w:rsid w:val="00D94106"/>
    <w:rsid w:val="00DB1718"/>
    <w:rsid w:val="00DE77E6"/>
    <w:rsid w:val="00E1661F"/>
    <w:rsid w:val="00E72EA7"/>
    <w:rsid w:val="00EA4101"/>
    <w:rsid w:val="00EF6B94"/>
    <w:rsid w:val="00F23715"/>
    <w:rsid w:val="00F44767"/>
    <w:rsid w:val="00F77D5F"/>
    <w:rsid w:val="00F92889"/>
    <w:rsid w:val="00FB4DBF"/>
    <w:rsid w:val="00FC5440"/>
    <w:rsid w:val="00FE1CA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2442B284"/>
  <w15:docId w15:val="{8047F9CD-7546-40B7-B591-2CAD450B0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6C09"/>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link w:val="Heading1Char"/>
    <w:qFormat/>
    <w:rsid w:val="004D6C09"/>
    <w:pPr>
      <w:keepNext/>
      <w:keepLines/>
      <w:spacing w:before="360"/>
      <w:ind w:left="794" w:hanging="794"/>
      <w:outlineLvl w:val="0"/>
    </w:pPr>
    <w:rPr>
      <w:b/>
    </w:rPr>
  </w:style>
  <w:style w:type="paragraph" w:styleId="Heading2">
    <w:name w:val="heading 2"/>
    <w:basedOn w:val="Heading1"/>
    <w:next w:val="Normal"/>
    <w:link w:val="Heading2Char"/>
    <w:qFormat/>
    <w:rsid w:val="004D6C09"/>
    <w:pPr>
      <w:spacing w:before="240"/>
      <w:outlineLvl w:val="1"/>
    </w:pPr>
  </w:style>
  <w:style w:type="paragraph" w:styleId="Heading3">
    <w:name w:val="heading 3"/>
    <w:basedOn w:val="Heading1"/>
    <w:next w:val="Normal"/>
    <w:link w:val="Heading3Char"/>
    <w:qFormat/>
    <w:rsid w:val="004D6C09"/>
    <w:pPr>
      <w:spacing w:before="160"/>
      <w:outlineLvl w:val="2"/>
    </w:pPr>
  </w:style>
  <w:style w:type="paragraph" w:styleId="Heading4">
    <w:name w:val="heading 4"/>
    <w:basedOn w:val="Heading3"/>
    <w:next w:val="Normal"/>
    <w:link w:val="Heading4Char"/>
    <w:qFormat/>
    <w:rsid w:val="004D6C09"/>
    <w:pPr>
      <w:tabs>
        <w:tab w:val="clear" w:pos="794"/>
        <w:tab w:val="left" w:pos="1021"/>
      </w:tabs>
      <w:ind w:left="1021" w:hanging="1021"/>
      <w:outlineLvl w:val="3"/>
    </w:pPr>
  </w:style>
  <w:style w:type="paragraph" w:styleId="Heading5">
    <w:name w:val="heading 5"/>
    <w:basedOn w:val="Heading4"/>
    <w:next w:val="Normal"/>
    <w:link w:val="Heading5Char"/>
    <w:qFormat/>
    <w:rsid w:val="004D6C09"/>
    <w:pPr>
      <w:outlineLvl w:val="4"/>
    </w:pPr>
  </w:style>
  <w:style w:type="paragraph" w:styleId="Heading6">
    <w:name w:val="heading 6"/>
    <w:basedOn w:val="Heading4"/>
    <w:next w:val="Normal"/>
    <w:link w:val="Heading6Char"/>
    <w:qFormat/>
    <w:rsid w:val="004D6C09"/>
    <w:pPr>
      <w:tabs>
        <w:tab w:val="clear" w:pos="1021"/>
        <w:tab w:val="clear" w:pos="1191"/>
      </w:tabs>
      <w:ind w:left="1588" w:hanging="1588"/>
      <w:outlineLvl w:val="5"/>
    </w:pPr>
  </w:style>
  <w:style w:type="paragraph" w:styleId="Heading7">
    <w:name w:val="heading 7"/>
    <w:basedOn w:val="Heading6"/>
    <w:next w:val="Normal"/>
    <w:link w:val="Heading7Char"/>
    <w:qFormat/>
    <w:rsid w:val="004D6C09"/>
    <w:pPr>
      <w:outlineLvl w:val="6"/>
    </w:pPr>
  </w:style>
  <w:style w:type="paragraph" w:styleId="Heading8">
    <w:name w:val="heading 8"/>
    <w:basedOn w:val="Heading6"/>
    <w:next w:val="Normal"/>
    <w:link w:val="Heading8Char"/>
    <w:qFormat/>
    <w:rsid w:val="004D6C09"/>
    <w:pPr>
      <w:outlineLvl w:val="7"/>
    </w:pPr>
  </w:style>
  <w:style w:type="paragraph" w:styleId="Heading9">
    <w:name w:val="heading 9"/>
    <w:basedOn w:val="Heading6"/>
    <w:next w:val="Normal"/>
    <w:link w:val="Heading9Char"/>
    <w:qFormat/>
    <w:rsid w:val="004D6C0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rsid w:val="004D6C09"/>
    <w:pPr>
      <w:keepLines/>
      <w:spacing w:before="240" w:after="120"/>
      <w:jc w:val="center"/>
    </w:pPr>
    <w:rPr>
      <w:b/>
    </w:rPr>
  </w:style>
  <w:style w:type="paragraph" w:customStyle="1" w:styleId="Normalaftertitle">
    <w:name w:val="Normal_after_title"/>
    <w:basedOn w:val="Normal"/>
    <w:next w:val="Normal"/>
    <w:rsid w:val="004D6C09"/>
    <w:pPr>
      <w:spacing w:before="360"/>
    </w:pPr>
  </w:style>
  <w:style w:type="paragraph" w:customStyle="1" w:styleId="TabletitleBR">
    <w:name w:val="Table_title_BR"/>
    <w:basedOn w:val="Normal"/>
    <w:next w:val="Tablehead"/>
    <w:rsid w:val="004D6C09"/>
    <w:pPr>
      <w:keepNext/>
      <w:keepLines/>
      <w:spacing w:before="0" w:after="120"/>
      <w:jc w:val="center"/>
    </w:pPr>
    <w:rPr>
      <w:b/>
    </w:rPr>
  </w:style>
  <w:style w:type="paragraph" w:customStyle="1" w:styleId="Tablehead">
    <w:name w:val="Table_head"/>
    <w:basedOn w:val="Normal"/>
    <w:next w:val="Tabletext"/>
    <w:link w:val="TableheadChar"/>
    <w:rsid w:val="004D6C09"/>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qFormat/>
    <w:rsid w:val="004D6C0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rsid w:val="004D6C09"/>
    <w:pPr>
      <w:keepNext/>
      <w:keepLines/>
      <w:spacing w:before="480"/>
      <w:jc w:val="center"/>
    </w:pPr>
    <w:rPr>
      <w:b/>
      <w:sz w:val="28"/>
    </w:rPr>
  </w:style>
  <w:style w:type="paragraph" w:customStyle="1" w:styleId="AppendixNotitle">
    <w:name w:val="Appendix_No &amp; title"/>
    <w:basedOn w:val="AnnexNotitle"/>
    <w:next w:val="Normalaftertitle"/>
    <w:rsid w:val="004D6C09"/>
  </w:style>
  <w:style w:type="paragraph" w:customStyle="1" w:styleId="Figure">
    <w:name w:val="Figure"/>
    <w:basedOn w:val="Normal"/>
    <w:next w:val="FigureNotitle"/>
    <w:rsid w:val="004D6C09"/>
    <w:pPr>
      <w:keepNext/>
      <w:keepLines/>
      <w:spacing w:before="240" w:after="120"/>
      <w:jc w:val="center"/>
    </w:pPr>
  </w:style>
  <w:style w:type="paragraph" w:customStyle="1" w:styleId="Artheading">
    <w:name w:val="Art_heading"/>
    <w:basedOn w:val="Normal"/>
    <w:next w:val="Normalaftertitle"/>
    <w:rsid w:val="004D6C09"/>
    <w:pPr>
      <w:spacing w:before="480"/>
      <w:jc w:val="center"/>
    </w:pPr>
    <w:rPr>
      <w:b/>
      <w:sz w:val="28"/>
    </w:rPr>
  </w:style>
  <w:style w:type="paragraph" w:customStyle="1" w:styleId="ArtNo">
    <w:name w:val="Art_No"/>
    <w:basedOn w:val="Normal"/>
    <w:next w:val="Arttitle"/>
    <w:rsid w:val="004D6C09"/>
    <w:pPr>
      <w:keepNext/>
      <w:keepLines/>
      <w:spacing w:before="480"/>
      <w:jc w:val="center"/>
    </w:pPr>
    <w:rPr>
      <w:caps/>
      <w:sz w:val="28"/>
    </w:rPr>
  </w:style>
  <w:style w:type="paragraph" w:customStyle="1" w:styleId="Arttitle">
    <w:name w:val="Art_title"/>
    <w:basedOn w:val="Normal"/>
    <w:next w:val="Normalaftertitle"/>
    <w:rsid w:val="004D6C09"/>
    <w:pPr>
      <w:keepNext/>
      <w:keepLines/>
      <w:spacing w:before="240"/>
      <w:jc w:val="center"/>
    </w:pPr>
    <w:rPr>
      <w:b/>
      <w:sz w:val="28"/>
    </w:rPr>
  </w:style>
  <w:style w:type="paragraph" w:customStyle="1" w:styleId="Call">
    <w:name w:val="Call"/>
    <w:basedOn w:val="Normal"/>
    <w:next w:val="Normal"/>
    <w:link w:val="CallChar"/>
    <w:rsid w:val="004D6C09"/>
    <w:pPr>
      <w:keepNext/>
      <w:keepLines/>
      <w:spacing w:before="160"/>
      <w:ind w:left="794"/>
    </w:pPr>
    <w:rPr>
      <w:i/>
    </w:rPr>
  </w:style>
  <w:style w:type="paragraph" w:customStyle="1" w:styleId="ChapNo">
    <w:name w:val="Chap_No"/>
    <w:basedOn w:val="Normal"/>
    <w:next w:val="Chaptitle"/>
    <w:rsid w:val="004D6C09"/>
    <w:pPr>
      <w:keepNext/>
      <w:keepLines/>
      <w:spacing w:before="480"/>
      <w:jc w:val="center"/>
    </w:pPr>
    <w:rPr>
      <w:b/>
      <w:caps/>
      <w:sz w:val="28"/>
    </w:rPr>
  </w:style>
  <w:style w:type="paragraph" w:customStyle="1" w:styleId="Chaptitle">
    <w:name w:val="Chap_title"/>
    <w:basedOn w:val="Normal"/>
    <w:next w:val="Normalaftertitle"/>
    <w:rsid w:val="004D6C09"/>
    <w:pPr>
      <w:keepNext/>
      <w:keepLines/>
      <w:spacing w:before="240"/>
      <w:jc w:val="center"/>
    </w:pPr>
    <w:rPr>
      <w:b/>
      <w:sz w:val="28"/>
    </w:rPr>
  </w:style>
  <w:style w:type="character" w:styleId="EndnoteReference">
    <w:name w:val="endnote reference"/>
    <w:basedOn w:val="DefaultParagraphFont"/>
    <w:uiPriority w:val="99"/>
    <w:rsid w:val="004D6C09"/>
    <w:rPr>
      <w:vertAlign w:val="superscript"/>
    </w:rPr>
  </w:style>
  <w:style w:type="paragraph" w:customStyle="1" w:styleId="enumlev1">
    <w:name w:val="enumlev1"/>
    <w:basedOn w:val="Normal"/>
    <w:link w:val="enumlev1Char"/>
    <w:qFormat/>
    <w:rsid w:val="004D6C09"/>
    <w:pPr>
      <w:spacing w:before="80"/>
      <w:ind w:left="794" w:hanging="794"/>
    </w:pPr>
  </w:style>
  <w:style w:type="paragraph" w:customStyle="1" w:styleId="enumlev2">
    <w:name w:val="enumlev2"/>
    <w:basedOn w:val="enumlev1"/>
    <w:uiPriority w:val="99"/>
    <w:rsid w:val="004D6C09"/>
    <w:pPr>
      <w:ind w:left="1191" w:hanging="397"/>
    </w:pPr>
  </w:style>
  <w:style w:type="paragraph" w:customStyle="1" w:styleId="enumlev3">
    <w:name w:val="enumlev3"/>
    <w:basedOn w:val="enumlev2"/>
    <w:rsid w:val="004D6C09"/>
    <w:pPr>
      <w:ind w:left="1588"/>
    </w:pPr>
  </w:style>
  <w:style w:type="paragraph" w:customStyle="1" w:styleId="Equation">
    <w:name w:val="Equation"/>
    <w:basedOn w:val="Normal"/>
    <w:rsid w:val="004D6C09"/>
    <w:pPr>
      <w:tabs>
        <w:tab w:val="clear" w:pos="1191"/>
        <w:tab w:val="clear" w:pos="1588"/>
        <w:tab w:val="clear" w:pos="1985"/>
        <w:tab w:val="center" w:pos="4820"/>
        <w:tab w:val="right" w:pos="9639"/>
      </w:tabs>
    </w:pPr>
  </w:style>
  <w:style w:type="paragraph" w:customStyle="1" w:styleId="Equationlegend">
    <w:name w:val="Equation_legend"/>
    <w:basedOn w:val="Normal"/>
    <w:rsid w:val="004D6C09"/>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D6C09"/>
    <w:pPr>
      <w:keepNext/>
      <w:keepLines/>
      <w:tabs>
        <w:tab w:val="clear" w:pos="794"/>
        <w:tab w:val="clear" w:pos="1191"/>
        <w:tab w:val="clear" w:pos="1588"/>
        <w:tab w:val="clear" w:pos="1985"/>
      </w:tabs>
      <w:spacing w:before="20" w:after="20"/>
    </w:pPr>
    <w:rPr>
      <w:sz w:val="18"/>
    </w:rPr>
  </w:style>
  <w:style w:type="paragraph" w:customStyle="1" w:styleId="RecNoBR">
    <w:name w:val="Rec_No_BR"/>
    <w:basedOn w:val="Normal"/>
    <w:next w:val="Rectitle"/>
    <w:rsid w:val="004D6C09"/>
    <w:pPr>
      <w:keepNext/>
      <w:keepLines/>
      <w:spacing w:before="480"/>
      <w:jc w:val="center"/>
    </w:pPr>
    <w:rPr>
      <w:caps/>
      <w:sz w:val="28"/>
    </w:rPr>
  </w:style>
  <w:style w:type="paragraph" w:customStyle="1" w:styleId="Rectitle">
    <w:name w:val="Rec_title"/>
    <w:basedOn w:val="Normal"/>
    <w:next w:val="Normalaftertitle"/>
    <w:rsid w:val="004D6C09"/>
    <w:pPr>
      <w:keepNext/>
      <w:keepLines/>
      <w:spacing w:before="360"/>
      <w:jc w:val="center"/>
    </w:pPr>
    <w:rPr>
      <w:b/>
      <w:sz w:val="28"/>
    </w:rPr>
  </w:style>
  <w:style w:type="paragraph" w:customStyle="1" w:styleId="QuestionNoBR">
    <w:name w:val="Question_No_BR"/>
    <w:basedOn w:val="RecNoBR"/>
    <w:next w:val="Questiontitle"/>
    <w:rsid w:val="004D6C09"/>
  </w:style>
  <w:style w:type="paragraph" w:customStyle="1" w:styleId="Questiontitle">
    <w:name w:val="Question_title"/>
    <w:basedOn w:val="Rectitle"/>
    <w:next w:val="Questionref"/>
    <w:rsid w:val="004D6C09"/>
  </w:style>
  <w:style w:type="paragraph" w:customStyle="1" w:styleId="Questionref">
    <w:name w:val="Question_ref"/>
    <w:basedOn w:val="Recref"/>
    <w:next w:val="Questiondate"/>
    <w:rsid w:val="004D6C09"/>
  </w:style>
  <w:style w:type="paragraph" w:customStyle="1" w:styleId="Recref">
    <w:name w:val="Rec_ref"/>
    <w:basedOn w:val="Normal"/>
    <w:next w:val="Recdate"/>
    <w:rsid w:val="004D6C09"/>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4D6C09"/>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4D6C09"/>
  </w:style>
  <w:style w:type="paragraph" w:customStyle="1" w:styleId="RepNoBR">
    <w:name w:val="Rep_No_BR"/>
    <w:basedOn w:val="RecNoBR"/>
    <w:next w:val="Reptitle"/>
    <w:rsid w:val="004D6C09"/>
  </w:style>
  <w:style w:type="paragraph" w:customStyle="1" w:styleId="Reptitle">
    <w:name w:val="Rep_title"/>
    <w:basedOn w:val="Rectitle"/>
    <w:next w:val="Repref"/>
    <w:rsid w:val="004D6C09"/>
  </w:style>
  <w:style w:type="paragraph" w:customStyle="1" w:styleId="Repref">
    <w:name w:val="Rep_ref"/>
    <w:basedOn w:val="Recref"/>
    <w:next w:val="Repdate"/>
    <w:rsid w:val="004D6C09"/>
  </w:style>
  <w:style w:type="paragraph" w:customStyle="1" w:styleId="Repdate">
    <w:name w:val="Rep_date"/>
    <w:basedOn w:val="Recdate"/>
    <w:next w:val="Normalaftertitle"/>
    <w:rsid w:val="004D6C09"/>
  </w:style>
  <w:style w:type="paragraph" w:customStyle="1" w:styleId="ResNoBR">
    <w:name w:val="Res_No_BR"/>
    <w:basedOn w:val="RecNoBR"/>
    <w:next w:val="Restitle"/>
    <w:rsid w:val="004D6C09"/>
  </w:style>
  <w:style w:type="paragraph" w:customStyle="1" w:styleId="Restitle">
    <w:name w:val="Res_title"/>
    <w:basedOn w:val="Rectitle"/>
    <w:next w:val="Resref"/>
    <w:link w:val="RestitleChar"/>
    <w:rsid w:val="004D6C09"/>
  </w:style>
  <w:style w:type="paragraph" w:customStyle="1" w:styleId="Resref">
    <w:name w:val="Res_ref"/>
    <w:basedOn w:val="Recref"/>
    <w:next w:val="Resdate"/>
    <w:rsid w:val="004D6C09"/>
  </w:style>
  <w:style w:type="paragraph" w:customStyle="1" w:styleId="Resdate">
    <w:name w:val="Res_date"/>
    <w:basedOn w:val="Recdate"/>
    <w:next w:val="Normalaftertitle"/>
    <w:rsid w:val="004D6C09"/>
  </w:style>
  <w:style w:type="paragraph" w:customStyle="1" w:styleId="Figurewithouttitle">
    <w:name w:val="Figure_without_title"/>
    <w:basedOn w:val="Normal"/>
    <w:next w:val="Normalaftertitle"/>
    <w:rsid w:val="004D6C09"/>
    <w:pPr>
      <w:keepLines/>
      <w:spacing w:before="240" w:after="120"/>
      <w:jc w:val="center"/>
    </w:pPr>
  </w:style>
  <w:style w:type="paragraph" w:styleId="Footer">
    <w:name w:val="footer"/>
    <w:basedOn w:val="Normal"/>
    <w:link w:val="FooterChar"/>
    <w:rsid w:val="004D6C09"/>
    <w:pPr>
      <w:tabs>
        <w:tab w:val="clear" w:pos="794"/>
        <w:tab w:val="clear" w:pos="1191"/>
        <w:tab w:val="clear" w:pos="1588"/>
        <w:tab w:val="clear" w:pos="1985"/>
        <w:tab w:val="left" w:pos="5954"/>
        <w:tab w:val="right" w:pos="9639"/>
      </w:tabs>
      <w:spacing w:before="0"/>
    </w:pPr>
    <w:rPr>
      <w:caps/>
      <w:noProof/>
      <w:sz w:val="16"/>
    </w:rPr>
  </w:style>
  <w:style w:type="character" w:styleId="FootnoteReference">
    <w:name w:val="footnote reference"/>
    <w:aliases w:val="Appel note de bas de p,Footnote Reference/,Footnote,Style 12,(NECG) Footnote Reference,FR,Style 13,Style 124,o,fr,Style 3,Footnote symbol,Voetnootverwijzing,Times 10 Point,Exposant 3 Point,footnote ref,Fuكnotenzeichen diss neu"/>
    <w:basedOn w:val="DefaultParagraphFont"/>
    <w:rsid w:val="004D6C09"/>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Char,fn"/>
    <w:basedOn w:val="Note"/>
    <w:link w:val="FootnoteTextChar"/>
    <w:rsid w:val="004D6C09"/>
    <w:pPr>
      <w:keepLines/>
      <w:tabs>
        <w:tab w:val="left" w:pos="255"/>
      </w:tabs>
      <w:ind w:left="255" w:hanging="255"/>
    </w:pPr>
  </w:style>
  <w:style w:type="paragraph" w:customStyle="1" w:styleId="Note">
    <w:name w:val="Note"/>
    <w:basedOn w:val="Normal"/>
    <w:rsid w:val="004D6C09"/>
    <w:pPr>
      <w:spacing w:before="80"/>
    </w:pPr>
  </w:style>
  <w:style w:type="paragraph" w:styleId="Header">
    <w:name w:val="header"/>
    <w:aliases w:val="encabezado,he"/>
    <w:basedOn w:val="Normal"/>
    <w:link w:val="HeaderChar"/>
    <w:uiPriority w:val="99"/>
    <w:rsid w:val="004D6C09"/>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link w:val="HeadingbChar"/>
    <w:qFormat/>
    <w:rsid w:val="004D6C09"/>
    <w:pPr>
      <w:keepNext/>
      <w:spacing w:before="160"/>
    </w:pPr>
    <w:rPr>
      <w:b/>
    </w:rPr>
  </w:style>
  <w:style w:type="paragraph" w:customStyle="1" w:styleId="Headingi">
    <w:name w:val="Heading_i"/>
    <w:basedOn w:val="Normal"/>
    <w:next w:val="Normal"/>
    <w:rsid w:val="004D6C09"/>
    <w:pPr>
      <w:keepNext/>
      <w:spacing w:before="160"/>
    </w:pPr>
    <w:rPr>
      <w:i/>
    </w:rPr>
  </w:style>
  <w:style w:type="paragraph" w:styleId="Index1">
    <w:name w:val="index 1"/>
    <w:basedOn w:val="Normal"/>
    <w:next w:val="Normal"/>
    <w:rsid w:val="004D6C09"/>
  </w:style>
  <w:style w:type="paragraph" w:styleId="Index2">
    <w:name w:val="index 2"/>
    <w:basedOn w:val="Normal"/>
    <w:next w:val="Normal"/>
    <w:rsid w:val="004D6C09"/>
    <w:pPr>
      <w:ind w:left="283"/>
    </w:pPr>
  </w:style>
  <w:style w:type="paragraph" w:styleId="Index3">
    <w:name w:val="index 3"/>
    <w:basedOn w:val="Normal"/>
    <w:next w:val="Normal"/>
    <w:rsid w:val="004D6C09"/>
    <w:pPr>
      <w:ind w:left="566"/>
    </w:pPr>
  </w:style>
  <w:style w:type="paragraph" w:customStyle="1" w:styleId="Section1">
    <w:name w:val="Section_1"/>
    <w:basedOn w:val="Normal"/>
    <w:next w:val="Normal"/>
    <w:rsid w:val="004D6C09"/>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D6C09"/>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4D6C09"/>
    <w:pPr>
      <w:keepNext/>
      <w:keepLines/>
      <w:spacing w:before="360" w:after="120"/>
      <w:jc w:val="center"/>
    </w:pPr>
    <w:rPr>
      <w:b/>
    </w:rPr>
  </w:style>
  <w:style w:type="paragraph" w:customStyle="1" w:styleId="TableNoBR">
    <w:name w:val="Table_No_BR"/>
    <w:basedOn w:val="Normal"/>
    <w:next w:val="TabletitleBR"/>
    <w:rsid w:val="004D6C09"/>
    <w:pPr>
      <w:keepNext/>
      <w:spacing w:before="560" w:after="120"/>
      <w:jc w:val="center"/>
    </w:pPr>
    <w:rPr>
      <w:caps/>
    </w:rPr>
  </w:style>
  <w:style w:type="paragraph" w:customStyle="1" w:styleId="FirstFooter">
    <w:name w:val="FirstFooter"/>
    <w:basedOn w:val="Footer"/>
    <w:rsid w:val="004D6C09"/>
    <w:pPr>
      <w:tabs>
        <w:tab w:val="clear" w:pos="5954"/>
        <w:tab w:val="clear" w:pos="9639"/>
      </w:tabs>
      <w:overflowPunct/>
      <w:autoSpaceDE/>
      <w:autoSpaceDN/>
      <w:adjustRightInd/>
      <w:spacing w:before="40"/>
      <w:textAlignment w:val="auto"/>
    </w:pPr>
    <w:rPr>
      <w:caps w:val="0"/>
      <w:noProof w:val="0"/>
    </w:rPr>
  </w:style>
  <w:style w:type="paragraph" w:customStyle="1" w:styleId="PartNo">
    <w:name w:val="Part_No"/>
    <w:basedOn w:val="Normal"/>
    <w:next w:val="Partref"/>
    <w:rsid w:val="004D6C09"/>
    <w:pPr>
      <w:keepNext/>
      <w:keepLines/>
      <w:spacing w:before="480" w:after="80"/>
      <w:jc w:val="center"/>
    </w:pPr>
    <w:rPr>
      <w:caps/>
      <w:sz w:val="28"/>
    </w:rPr>
  </w:style>
  <w:style w:type="paragraph" w:customStyle="1" w:styleId="Partref">
    <w:name w:val="Part_ref"/>
    <w:basedOn w:val="Normal"/>
    <w:next w:val="Parttitle"/>
    <w:rsid w:val="004D6C09"/>
    <w:pPr>
      <w:keepNext/>
      <w:keepLines/>
      <w:spacing w:before="280"/>
      <w:jc w:val="center"/>
    </w:pPr>
  </w:style>
  <w:style w:type="paragraph" w:customStyle="1" w:styleId="Parttitle">
    <w:name w:val="Part_title"/>
    <w:basedOn w:val="Normal"/>
    <w:next w:val="Normalaftertitle"/>
    <w:rsid w:val="004D6C09"/>
    <w:pPr>
      <w:keepNext/>
      <w:keepLines/>
      <w:spacing w:before="240" w:after="280"/>
      <w:jc w:val="center"/>
    </w:pPr>
    <w:rPr>
      <w:b/>
      <w:sz w:val="28"/>
    </w:rPr>
  </w:style>
  <w:style w:type="paragraph" w:customStyle="1" w:styleId="RecNo">
    <w:name w:val="Rec_No"/>
    <w:basedOn w:val="Normal"/>
    <w:next w:val="Rectitle"/>
    <w:rsid w:val="004D6C09"/>
    <w:pPr>
      <w:keepNext/>
      <w:keepLines/>
      <w:spacing w:before="0"/>
    </w:pPr>
    <w:rPr>
      <w:b/>
      <w:sz w:val="28"/>
    </w:rPr>
  </w:style>
  <w:style w:type="paragraph" w:customStyle="1" w:styleId="QuestionNo">
    <w:name w:val="Question_No"/>
    <w:basedOn w:val="RecNo"/>
    <w:next w:val="Questiontitle"/>
    <w:rsid w:val="004D6C09"/>
  </w:style>
  <w:style w:type="paragraph" w:customStyle="1" w:styleId="Reftext">
    <w:name w:val="Ref_text"/>
    <w:basedOn w:val="Normal"/>
    <w:rsid w:val="004D6C09"/>
    <w:pPr>
      <w:ind w:left="794" w:hanging="794"/>
    </w:pPr>
  </w:style>
  <w:style w:type="paragraph" w:customStyle="1" w:styleId="Reftitle">
    <w:name w:val="Ref_title"/>
    <w:basedOn w:val="Normal"/>
    <w:next w:val="Reftext"/>
    <w:rsid w:val="004D6C09"/>
    <w:pPr>
      <w:spacing w:before="480"/>
      <w:jc w:val="center"/>
    </w:pPr>
    <w:rPr>
      <w:b/>
    </w:rPr>
  </w:style>
  <w:style w:type="paragraph" w:customStyle="1" w:styleId="RepNo">
    <w:name w:val="Rep_No"/>
    <w:basedOn w:val="RecNo"/>
    <w:next w:val="Reptitle"/>
    <w:rsid w:val="004D6C09"/>
  </w:style>
  <w:style w:type="paragraph" w:customStyle="1" w:styleId="ResNo">
    <w:name w:val="Res_No"/>
    <w:basedOn w:val="RecNo"/>
    <w:next w:val="Restitle"/>
    <w:rsid w:val="004D6C09"/>
  </w:style>
  <w:style w:type="paragraph" w:customStyle="1" w:styleId="SectionNo">
    <w:name w:val="Section_No"/>
    <w:basedOn w:val="Normal"/>
    <w:next w:val="Sectiontitle"/>
    <w:rsid w:val="004D6C09"/>
    <w:pPr>
      <w:keepNext/>
      <w:keepLines/>
      <w:spacing w:before="480" w:after="80"/>
      <w:jc w:val="center"/>
    </w:pPr>
    <w:rPr>
      <w:caps/>
      <w:sz w:val="28"/>
    </w:rPr>
  </w:style>
  <w:style w:type="paragraph" w:customStyle="1" w:styleId="Sectiontitle">
    <w:name w:val="Section_title"/>
    <w:basedOn w:val="Normal"/>
    <w:next w:val="Normalaftertitle"/>
    <w:rsid w:val="004D6C09"/>
    <w:pPr>
      <w:keepNext/>
      <w:keepLines/>
      <w:spacing w:before="480" w:after="280"/>
      <w:jc w:val="center"/>
    </w:pPr>
    <w:rPr>
      <w:b/>
      <w:sz w:val="28"/>
    </w:rPr>
  </w:style>
  <w:style w:type="paragraph" w:customStyle="1" w:styleId="Source">
    <w:name w:val="Source"/>
    <w:basedOn w:val="Normal"/>
    <w:next w:val="Normalaftertitle"/>
    <w:link w:val="SourceChar"/>
    <w:qFormat/>
    <w:rsid w:val="004D6C09"/>
    <w:pPr>
      <w:spacing w:before="840" w:after="200"/>
      <w:jc w:val="center"/>
    </w:pPr>
    <w:rPr>
      <w:b/>
      <w:sz w:val="28"/>
    </w:rPr>
  </w:style>
  <w:style w:type="paragraph" w:customStyle="1" w:styleId="SpecialFooter">
    <w:name w:val="Special Footer"/>
    <w:basedOn w:val="Footer"/>
    <w:rsid w:val="004D6C09"/>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rsid w:val="004D6C0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4D6C09"/>
    <w:pPr>
      <w:keepNext/>
      <w:spacing w:before="0" w:after="120"/>
      <w:jc w:val="center"/>
    </w:pPr>
  </w:style>
  <w:style w:type="paragraph" w:customStyle="1" w:styleId="Title1">
    <w:name w:val="Title 1"/>
    <w:basedOn w:val="Source"/>
    <w:next w:val="Title2"/>
    <w:link w:val="Title1Char"/>
    <w:qFormat/>
    <w:rsid w:val="004D6C09"/>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D6C09"/>
  </w:style>
  <w:style w:type="paragraph" w:customStyle="1" w:styleId="Title3">
    <w:name w:val="Title 3"/>
    <w:basedOn w:val="Title2"/>
    <w:next w:val="Title4"/>
    <w:rsid w:val="004D6C09"/>
    <w:rPr>
      <w:caps w:val="0"/>
    </w:rPr>
  </w:style>
  <w:style w:type="paragraph" w:customStyle="1" w:styleId="Title4">
    <w:name w:val="Title 4"/>
    <w:basedOn w:val="Title3"/>
    <w:next w:val="Heading1"/>
    <w:rsid w:val="004D6C09"/>
    <w:rPr>
      <w:b/>
    </w:rPr>
  </w:style>
  <w:style w:type="paragraph" w:customStyle="1" w:styleId="toc0">
    <w:name w:val="toc 0"/>
    <w:basedOn w:val="Normal"/>
    <w:next w:val="TOC1"/>
    <w:rsid w:val="004D6C09"/>
    <w:pPr>
      <w:tabs>
        <w:tab w:val="clear" w:pos="794"/>
        <w:tab w:val="clear" w:pos="1191"/>
        <w:tab w:val="clear" w:pos="1588"/>
        <w:tab w:val="clear" w:pos="1985"/>
        <w:tab w:val="right" w:pos="9639"/>
      </w:tabs>
    </w:pPr>
    <w:rPr>
      <w:b/>
    </w:rPr>
  </w:style>
  <w:style w:type="paragraph" w:styleId="TOC1">
    <w:name w:val="toc 1"/>
    <w:basedOn w:val="Normal"/>
    <w:uiPriority w:val="39"/>
    <w:rsid w:val="004D6C09"/>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uiPriority w:val="39"/>
    <w:rsid w:val="004D6C09"/>
    <w:pPr>
      <w:spacing w:before="80"/>
      <w:ind w:left="1531" w:hanging="851"/>
    </w:pPr>
  </w:style>
  <w:style w:type="paragraph" w:styleId="TOC3">
    <w:name w:val="toc 3"/>
    <w:basedOn w:val="TOC2"/>
    <w:uiPriority w:val="39"/>
    <w:rsid w:val="004D6C09"/>
  </w:style>
  <w:style w:type="paragraph" w:styleId="TOC4">
    <w:name w:val="toc 4"/>
    <w:basedOn w:val="TOC3"/>
    <w:rsid w:val="004D6C09"/>
  </w:style>
  <w:style w:type="paragraph" w:styleId="TOC5">
    <w:name w:val="toc 5"/>
    <w:basedOn w:val="TOC4"/>
    <w:rsid w:val="004D6C09"/>
  </w:style>
  <w:style w:type="paragraph" w:styleId="TOC6">
    <w:name w:val="toc 6"/>
    <w:basedOn w:val="TOC4"/>
    <w:rsid w:val="004D6C09"/>
  </w:style>
  <w:style w:type="paragraph" w:styleId="TOC7">
    <w:name w:val="toc 7"/>
    <w:basedOn w:val="TOC4"/>
    <w:rsid w:val="004D6C09"/>
  </w:style>
  <w:style w:type="paragraph" w:styleId="TOC8">
    <w:name w:val="toc 8"/>
    <w:basedOn w:val="TOC4"/>
    <w:rsid w:val="004D6C09"/>
  </w:style>
  <w:style w:type="character" w:styleId="PageNumber">
    <w:name w:val="page number"/>
    <w:basedOn w:val="DefaultParagraphFont"/>
    <w:uiPriority w:val="99"/>
    <w:rsid w:val="004D6C09"/>
  </w:style>
  <w:style w:type="character" w:customStyle="1" w:styleId="Appdef">
    <w:name w:val="App_def"/>
    <w:basedOn w:val="DefaultParagraphFont"/>
    <w:rsid w:val="004D6C09"/>
    <w:rPr>
      <w:rFonts w:ascii="Times New Roman" w:hAnsi="Times New Roman"/>
      <w:b/>
    </w:rPr>
  </w:style>
  <w:style w:type="character" w:customStyle="1" w:styleId="Appref">
    <w:name w:val="App_ref"/>
    <w:basedOn w:val="DefaultParagraphFont"/>
    <w:rsid w:val="004D6C09"/>
  </w:style>
  <w:style w:type="character" w:customStyle="1" w:styleId="Artdef">
    <w:name w:val="Art_def"/>
    <w:basedOn w:val="DefaultParagraphFont"/>
    <w:rsid w:val="004D6C09"/>
    <w:rPr>
      <w:rFonts w:ascii="Times New Roman" w:hAnsi="Times New Roman"/>
      <w:b/>
    </w:rPr>
  </w:style>
  <w:style w:type="character" w:customStyle="1" w:styleId="Artref">
    <w:name w:val="Art_ref"/>
    <w:basedOn w:val="DefaultParagraphFont"/>
    <w:rsid w:val="004D6C09"/>
  </w:style>
  <w:style w:type="character" w:customStyle="1" w:styleId="Recdef">
    <w:name w:val="Rec_def"/>
    <w:basedOn w:val="DefaultParagraphFont"/>
    <w:rsid w:val="004D6C09"/>
    <w:rPr>
      <w:b/>
    </w:rPr>
  </w:style>
  <w:style w:type="character" w:customStyle="1" w:styleId="Resdef">
    <w:name w:val="Res_def"/>
    <w:basedOn w:val="DefaultParagraphFont"/>
    <w:rsid w:val="004D6C09"/>
    <w:rPr>
      <w:rFonts w:ascii="Times New Roman" w:hAnsi="Times New Roman"/>
      <w:b/>
    </w:rPr>
  </w:style>
  <w:style w:type="character" w:customStyle="1" w:styleId="Tablefreq">
    <w:name w:val="Table_freq"/>
    <w:basedOn w:val="DefaultParagraphFont"/>
    <w:rsid w:val="004D6C09"/>
    <w:rPr>
      <w:b/>
      <w:color w:val="auto"/>
    </w:rPr>
  </w:style>
  <w:style w:type="paragraph" w:customStyle="1" w:styleId="FiguretitleBR">
    <w:name w:val="Figure_title_BR"/>
    <w:basedOn w:val="TabletitleBR"/>
    <w:next w:val="Figurewithouttitle"/>
    <w:rsid w:val="004D6C09"/>
    <w:pPr>
      <w:keepNext w:val="0"/>
      <w:spacing w:after="480"/>
    </w:pPr>
  </w:style>
  <w:style w:type="paragraph" w:customStyle="1" w:styleId="FigureNoBR">
    <w:name w:val="Figure_No_BR"/>
    <w:basedOn w:val="Normal"/>
    <w:next w:val="FiguretitleBR"/>
    <w:rsid w:val="004D6C09"/>
    <w:pPr>
      <w:keepNext/>
      <w:keepLines/>
      <w:spacing w:before="480" w:after="120"/>
      <w:jc w:val="center"/>
    </w:pPr>
    <w:rPr>
      <w:caps/>
    </w:rPr>
  </w:style>
  <w:style w:type="character" w:customStyle="1" w:styleId="FooterChar">
    <w:name w:val="Footer Char"/>
    <w:basedOn w:val="DefaultParagraphFont"/>
    <w:link w:val="Footer"/>
    <w:rsid w:val="000F62B4"/>
    <w:rPr>
      <w:rFonts w:ascii="Times New Roman" w:hAnsi="Times New Roman"/>
      <w:caps/>
      <w:noProof/>
      <w:sz w:val="16"/>
      <w:lang w:val="es-ES_tradnl"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Char Char,fn Char"/>
    <w:basedOn w:val="DefaultParagraphFont"/>
    <w:link w:val="FootnoteText"/>
    <w:rsid w:val="000F62B4"/>
    <w:rPr>
      <w:rFonts w:ascii="Times New Roman" w:hAnsi="Times New Roman"/>
      <w:sz w:val="24"/>
      <w:lang w:val="es-ES_tradnl" w:eastAsia="en-US"/>
    </w:rPr>
  </w:style>
  <w:style w:type="paragraph" w:customStyle="1" w:styleId="Formal">
    <w:name w:val="Formal"/>
    <w:basedOn w:val="Normal"/>
    <w:rsid w:val="000F62B4"/>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noProof/>
      <w:sz w:val="20"/>
      <w:lang w:val="en-GB"/>
    </w:rPr>
  </w:style>
  <w:style w:type="character" w:customStyle="1" w:styleId="HeaderChar">
    <w:name w:val="Header Char"/>
    <w:aliases w:val="encabezado Char,he Char"/>
    <w:basedOn w:val="DefaultParagraphFont"/>
    <w:link w:val="Header"/>
    <w:uiPriority w:val="99"/>
    <w:rsid w:val="000F62B4"/>
    <w:rPr>
      <w:rFonts w:ascii="Times New Roman" w:hAnsi="Times New Roman"/>
      <w:sz w:val="18"/>
      <w:lang w:val="es-ES_tradnl" w:eastAsia="en-US"/>
    </w:rPr>
  </w:style>
  <w:style w:type="paragraph" w:customStyle="1" w:styleId="Docnumber">
    <w:name w:val="Docnumber"/>
    <w:basedOn w:val="Normal"/>
    <w:link w:val="DocnumberChar"/>
    <w:qFormat/>
    <w:rsid w:val="000F62B4"/>
    <w:pPr>
      <w:jc w:val="right"/>
    </w:pPr>
    <w:rPr>
      <w:rFonts w:eastAsia="SimSun"/>
      <w:b/>
      <w:sz w:val="32"/>
      <w:lang w:val="en-GB"/>
    </w:rPr>
  </w:style>
  <w:style w:type="character" w:customStyle="1" w:styleId="DocnumberChar">
    <w:name w:val="Docnumber Char"/>
    <w:link w:val="Docnumber"/>
    <w:rsid w:val="000F62B4"/>
    <w:rPr>
      <w:rFonts w:ascii="Times New Roman" w:eastAsia="SimSun" w:hAnsi="Times New Roman"/>
      <w:b/>
      <w:sz w:val="32"/>
      <w:lang w:val="en-GB" w:eastAsia="en-US"/>
    </w:rPr>
  </w:style>
  <w:style w:type="character" w:styleId="Hyperlink">
    <w:name w:val="Hyperlink"/>
    <w:aliases w:val="超级链接,超?级链,CEO_Hyperlink,Style 58,超????,하이퍼링크2,超链接1,하이퍼링크21,超??级链Ú,fL????,fL?级,超??级链,超?级链Ú,’´?级链,’´????,’´??级链Ú,’´??级,超?级链?,Style?,S"/>
    <w:basedOn w:val="DefaultParagraphFont"/>
    <w:qFormat/>
    <w:rsid w:val="000F62B4"/>
    <w:rPr>
      <w:color w:val="0000FF"/>
      <w:u w:val="single"/>
    </w:rPr>
  </w:style>
  <w:style w:type="paragraph" w:customStyle="1" w:styleId="LSDeadline">
    <w:name w:val="LSDeadline"/>
    <w:basedOn w:val="Normal"/>
    <w:next w:val="Normal"/>
    <w:rsid w:val="000F62B4"/>
    <w:pPr>
      <w:tabs>
        <w:tab w:val="clear" w:pos="794"/>
        <w:tab w:val="clear" w:pos="1191"/>
        <w:tab w:val="clear" w:pos="1588"/>
        <w:tab w:val="clear" w:pos="1985"/>
      </w:tabs>
      <w:overflowPunct/>
      <w:autoSpaceDE/>
      <w:autoSpaceDN/>
      <w:adjustRightInd/>
      <w:textAlignment w:val="auto"/>
    </w:pPr>
    <w:rPr>
      <w:rFonts w:eastAsiaTheme="minorHAnsi"/>
      <w:szCs w:val="24"/>
      <w:lang w:val="en-GB" w:eastAsia="ja-JP"/>
    </w:rPr>
  </w:style>
  <w:style w:type="paragraph" w:customStyle="1" w:styleId="LSForAction">
    <w:name w:val="LSForAction"/>
    <w:basedOn w:val="Normal"/>
    <w:next w:val="Normal"/>
    <w:rsid w:val="000F62B4"/>
    <w:rPr>
      <w:lang w:val="en-GB"/>
    </w:rPr>
  </w:style>
  <w:style w:type="paragraph" w:customStyle="1" w:styleId="LSForInfo">
    <w:name w:val="LSForInfo"/>
    <w:basedOn w:val="Normal"/>
    <w:next w:val="Normal"/>
    <w:rsid w:val="000F62B4"/>
    <w:pPr>
      <w:tabs>
        <w:tab w:val="clear" w:pos="794"/>
        <w:tab w:val="clear" w:pos="1191"/>
        <w:tab w:val="clear" w:pos="1588"/>
        <w:tab w:val="clear" w:pos="1985"/>
      </w:tabs>
      <w:overflowPunct/>
      <w:autoSpaceDE/>
      <w:autoSpaceDN/>
      <w:adjustRightInd/>
      <w:textAlignment w:val="auto"/>
    </w:pPr>
    <w:rPr>
      <w:rFonts w:eastAsiaTheme="minorHAnsi"/>
      <w:bCs/>
      <w:szCs w:val="24"/>
      <w:lang w:val="en-GB" w:eastAsia="ja-JP"/>
    </w:rPr>
  </w:style>
  <w:style w:type="paragraph" w:customStyle="1" w:styleId="VenueDate">
    <w:name w:val="VenueDate"/>
    <w:basedOn w:val="Normal"/>
    <w:qFormat/>
    <w:rsid w:val="000F62B4"/>
    <w:pPr>
      <w:tabs>
        <w:tab w:val="clear" w:pos="794"/>
        <w:tab w:val="clear" w:pos="1191"/>
        <w:tab w:val="clear" w:pos="1588"/>
        <w:tab w:val="clear" w:pos="1985"/>
      </w:tabs>
      <w:jc w:val="right"/>
    </w:pPr>
    <w:rPr>
      <w:lang w:val="en-GB"/>
    </w:rPr>
  </w:style>
  <w:style w:type="paragraph" w:customStyle="1" w:styleId="TSBHeaderQuestion">
    <w:name w:val="TSBHeaderQuestion"/>
    <w:basedOn w:val="Normal"/>
    <w:qFormat/>
    <w:rsid w:val="000F62B4"/>
    <w:pPr>
      <w:tabs>
        <w:tab w:val="clear" w:pos="794"/>
        <w:tab w:val="clear" w:pos="1191"/>
        <w:tab w:val="clear" w:pos="1588"/>
        <w:tab w:val="clear" w:pos="1985"/>
      </w:tabs>
      <w:overflowPunct/>
      <w:autoSpaceDE/>
      <w:autoSpaceDN/>
      <w:adjustRightInd/>
      <w:textAlignment w:val="auto"/>
    </w:pPr>
    <w:rPr>
      <w:rFonts w:eastAsiaTheme="minorEastAsia"/>
      <w:szCs w:val="24"/>
      <w:lang w:val="en-GB" w:eastAsia="ja-JP"/>
    </w:rPr>
  </w:style>
  <w:style w:type="paragraph" w:customStyle="1" w:styleId="TSBHeaderSource">
    <w:name w:val="TSBHeaderSource"/>
    <w:basedOn w:val="Normal"/>
    <w:qFormat/>
    <w:rsid w:val="000F62B4"/>
    <w:pPr>
      <w:tabs>
        <w:tab w:val="clear" w:pos="794"/>
        <w:tab w:val="clear" w:pos="1191"/>
        <w:tab w:val="clear" w:pos="1588"/>
        <w:tab w:val="clear" w:pos="1985"/>
      </w:tabs>
      <w:overflowPunct/>
      <w:autoSpaceDE/>
      <w:autoSpaceDN/>
      <w:adjustRightInd/>
      <w:textAlignment w:val="auto"/>
    </w:pPr>
    <w:rPr>
      <w:rFonts w:eastAsiaTheme="minorEastAsia"/>
      <w:szCs w:val="24"/>
      <w:lang w:val="en-GB" w:eastAsia="ja-JP"/>
    </w:rPr>
  </w:style>
  <w:style w:type="paragraph" w:customStyle="1" w:styleId="TSBHeaderTitle">
    <w:name w:val="TSBHeaderTitle"/>
    <w:basedOn w:val="Normal"/>
    <w:qFormat/>
    <w:rsid w:val="000F62B4"/>
    <w:pPr>
      <w:tabs>
        <w:tab w:val="clear" w:pos="794"/>
        <w:tab w:val="clear" w:pos="1191"/>
        <w:tab w:val="clear" w:pos="1588"/>
        <w:tab w:val="clear" w:pos="1985"/>
      </w:tabs>
      <w:overflowPunct/>
      <w:autoSpaceDE/>
      <w:autoSpaceDN/>
      <w:adjustRightInd/>
      <w:textAlignment w:val="auto"/>
    </w:pPr>
    <w:rPr>
      <w:rFonts w:eastAsiaTheme="minorEastAsia"/>
      <w:szCs w:val="24"/>
      <w:lang w:val="en-GB" w:eastAsia="ja-JP"/>
    </w:rPr>
  </w:style>
  <w:style w:type="paragraph" w:customStyle="1" w:styleId="TSBHeaderSummary">
    <w:name w:val="TSBHeaderSummary"/>
    <w:basedOn w:val="Normal"/>
    <w:rsid w:val="000F62B4"/>
    <w:pPr>
      <w:tabs>
        <w:tab w:val="clear" w:pos="794"/>
        <w:tab w:val="clear" w:pos="1191"/>
        <w:tab w:val="clear" w:pos="1588"/>
        <w:tab w:val="clear" w:pos="1985"/>
      </w:tabs>
      <w:overflowPunct/>
      <w:autoSpaceDE/>
      <w:autoSpaceDN/>
      <w:adjustRightInd/>
      <w:textAlignment w:val="auto"/>
    </w:pPr>
    <w:rPr>
      <w:rFonts w:eastAsiaTheme="minorEastAsia"/>
      <w:szCs w:val="24"/>
      <w:lang w:val="en-GB" w:eastAsia="ja-JP"/>
    </w:rPr>
  </w:style>
  <w:style w:type="paragraph" w:customStyle="1" w:styleId="LSApproval">
    <w:name w:val="LSApproval"/>
    <w:basedOn w:val="Normal"/>
    <w:rsid w:val="000F62B4"/>
    <w:pPr>
      <w:tabs>
        <w:tab w:val="clear" w:pos="794"/>
        <w:tab w:val="clear" w:pos="1191"/>
        <w:tab w:val="clear" w:pos="1588"/>
        <w:tab w:val="clear" w:pos="1985"/>
      </w:tabs>
      <w:overflowPunct/>
      <w:autoSpaceDE/>
      <w:autoSpaceDN/>
      <w:adjustRightInd/>
      <w:textAlignment w:val="auto"/>
    </w:pPr>
    <w:rPr>
      <w:rFonts w:eastAsiaTheme="minorEastAsia"/>
      <w:b/>
      <w:bCs/>
      <w:szCs w:val="24"/>
      <w:lang w:val="en-GB" w:eastAsia="ja-JP"/>
    </w:rPr>
  </w:style>
  <w:style w:type="paragraph" w:customStyle="1" w:styleId="TSBHeaderRight14">
    <w:name w:val="TSBHeaderRight14"/>
    <w:basedOn w:val="Normal"/>
    <w:qFormat/>
    <w:rsid w:val="000F62B4"/>
    <w:pPr>
      <w:jc w:val="right"/>
    </w:pPr>
    <w:rPr>
      <w:b/>
      <w:bCs/>
      <w:sz w:val="28"/>
      <w:szCs w:val="28"/>
      <w:lang w:val="en-GB"/>
    </w:rPr>
  </w:style>
  <w:style w:type="table" w:styleId="TableGrid">
    <w:name w:val="Table Grid"/>
    <w:basedOn w:val="TableNormal"/>
    <w:uiPriority w:val="59"/>
    <w:rsid w:val="000F62B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ourceChar">
    <w:name w:val="Source Char"/>
    <w:link w:val="Source"/>
    <w:locked/>
    <w:rsid w:val="000F62B4"/>
    <w:rPr>
      <w:rFonts w:ascii="Times New Roman" w:hAnsi="Times New Roman"/>
      <w:b/>
      <w:sz w:val="28"/>
      <w:lang w:val="es-ES_tradnl" w:eastAsia="en-US"/>
    </w:rPr>
  </w:style>
  <w:style w:type="character" w:customStyle="1" w:styleId="Title1Char">
    <w:name w:val="Title 1 Char"/>
    <w:link w:val="Title1"/>
    <w:qFormat/>
    <w:locked/>
    <w:rsid w:val="000F62B4"/>
    <w:rPr>
      <w:rFonts w:ascii="Times New Roman" w:hAnsi="Times New Roman"/>
      <w:caps/>
      <w:sz w:val="28"/>
      <w:lang w:val="es-ES_tradnl" w:eastAsia="en-US"/>
    </w:rPr>
  </w:style>
  <w:style w:type="paragraph" w:styleId="ListParagraph">
    <w:name w:val="List Paragraph"/>
    <w:aliases w:val="Recommendation,List Paragraph11,O5,Para_sk,Resume Title,- Bullets"/>
    <w:basedOn w:val="Normal"/>
    <w:link w:val="ListParagraphChar"/>
    <w:uiPriority w:val="34"/>
    <w:qFormat/>
    <w:rsid w:val="000F62B4"/>
    <w:pPr>
      <w:tabs>
        <w:tab w:val="clear" w:pos="794"/>
        <w:tab w:val="clear" w:pos="1191"/>
        <w:tab w:val="clear" w:pos="1588"/>
        <w:tab w:val="clear" w:pos="1985"/>
      </w:tabs>
      <w:overflowPunct/>
      <w:autoSpaceDE/>
      <w:autoSpaceDN/>
      <w:adjustRightInd/>
      <w:ind w:left="720"/>
      <w:contextualSpacing/>
      <w:textAlignment w:val="auto"/>
    </w:pPr>
    <w:rPr>
      <w:rFonts w:eastAsiaTheme="minorEastAsia"/>
      <w:szCs w:val="24"/>
      <w:lang w:val="en-GB" w:eastAsia="ja-JP"/>
    </w:rPr>
  </w:style>
  <w:style w:type="character" w:customStyle="1" w:styleId="ListParagraphChar">
    <w:name w:val="List Paragraph Char"/>
    <w:aliases w:val="Recommendation Char,List Paragraph11 Char,O5 Char,Para_sk Char,Resume Title Char,- Bullets Char"/>
    <w:basedOn w:val="DefaultParagraphFont"/>
    <w:link w:val="ListParagraph"/>
    <w:uiPriority w:val="34"/>
    <w:locked/>
    <w:rsid w:val="000F62B4"/>
    <w:rPr>
      <w:rFonts w:ascii="Times New Roman" w:eastAsiaTheme="minorEastAsia" w:hAnsi="Times New Roman"/>
      <w:sz w:val="24"/>
      <w:szCs w:val="24"/>
      <w:lang w:val="en-GB" w:eastAsia="ja-JP"/>
    </w:rPr>
  </w:style>
  <w:style w:type="character" w:styleId="PlaceholderText">
    <w:name w:val="Placeholder Text"/>
    <w:basedOn w:val="DefaultParagraphFont"/>
    <w:uiPriority w:val="99"/>
    <w:semiHidden/>
    <w:rsid w:val="000F62B4"/>
    <w:rPr>
      <w:color w:val="808080"/>
    </w:rPr>
  </w:style>
  <w:style w:type="character" w:customStyle="1" w:styleId="Heading1Char">
    <w:name w:val="Heading 1 Char"/>
    <w:basedOn w:val="DefaultParagraphFont"/>
    <w:link w:val="Heading1"/>
    <w:rsid w:val="000F62B4"/>
    <w:rPr>
      <w:rFonts w:ascii="Times New Roman" w:hAnsi="Times New Roman"/>
      <w:b/>
      <w:sz w:val="24"/>
      <w:lang w:val="es-ES_tradnl" w:eastAsia="en-US"/>
    </w:rPr>
  </w:style>
  <w:style w:type="character" w:customStyle="1" w:styleId="Heading2Char">
    <w:name w:val="Heading 2 Char"/>
    <w:basedOn w:val="DefaultParagraphFont"/>
    <w:link w:val="Heading2"/>
    <w:rsid w:val="000F62B4"/>
    <w:rPr>
      <w:rFonts w:ascii="Times New Roman" w:hAnsi="Times New Roman"/>
      <w:b/>
      <w:sz w:val="24"/>
      <w:lang w:val="es-ES_tradnl" w:eastAsia="en-US"/>
    </w:rPr>
  </w:style>
  <w:style w:type="character" w:customStyle="1" w:styleId="Heading3Char">
    <w:name w:val="Heading 3 Char"/>
    <w:basedOn w:val="DefaultParagraphFont"/>
    <w:link w:val="Heading3"/>
    <w:rsid w:val="000F62B4"/>
    <w:rPr>
      <w:rFonts w:ascii="Times New Roman" w:hAnsi="Times New Roman"/>
      <w:b/>
      <w:sz w:val="24"/>
      <w:lang w:val="es-ES_tradnl" w:eastAsia="en-US"/>
    </w:rPr>
  </w:style>
  <w:style w:type="character" w:customStyle="1" w:styleId="Heading4Char">
    <w:name w:val="Heading 4 Char"/>
    <w:basedOn w:val="DefaultParagraphFont"/>
    <w:link w:val="Heading4"/>
    <w:rsid w:val="000F62B4"/>
    <w:rPr>
      <w:rFonts w:ascii="Times New Roman" w:hAnsi="Times New Roman"/>
      <w:b/>
      <w:sz w:val="24"/>
      <w:lang w:val="es-ES_tradnl" w:eastAsia="en-US"/>
    </w:rPr>
  </w:style>
  <w:style w:type="character" w:customStyle="1" w:styleId="Heading5Char">
    <w:name w:val="Heading 5 Char"/>
    <w:basedOn w:val="DefaultParagraphFont"/>
    <w:link w:val="Heading5"/>
    <w:rsid w:val="000F62B4"/>
    <w:rPr>
      <w:rFonts w:ascii="Times New Roman" w:hAnsi="Times New Roman"/>
      <w:b/>
      <w:sz w:val="24"/>
      <w:lang w:val="es-ES_tradnl" w:eastAsia="en-US"/>
    </w:rPr>
  </w:style>
  <w:style w:type="character" w:customStyle="1" w:styleId="Heading6Char">
    <w:name w:val="Heading 6 Char"/>
    <w:basedOn w:val="DefaultParagraphFont"/>
    <w:link w:val="Heading6"/>
    <w:rsid w:val="000F62B4"/>
    <w:rPr>
      <w:rFonts w:ascii="Times New Roman" w:hAnsi="Times New Roman"/>
      <w:b/>
      <w:sz w:val="24"/>
      <w:lang w:val="es-ES_tradnl" w:eastAsia="en-US"/>
    </w:rPr>
  </w:style>
  <w:style w:type="character" w:customStyle="1" w:styleId="Heading7Char">
    <w:name w:val="Heading 7 Char"/>
    <w:basedOn w:val="DefaultParagraphFont"/>
    <w:link w:val="Heading7"/>
    <w:rsid w:val="000F62B4"/>
    <w:rPr>
      <w:rFonts w:ascii="Times New Roman" w:hAnsi="Times New Roman"/>
      <w:b/>
      <w:sz w:val="24"/>
      <w:lang w:val="es-ES_tradnl" w:eastAsia="en-US"/>
    </w:rPr>
  </w:style>
  <w:style w:type="character" w:customStyle="1" w:styleId="Heading8Char">
    <w:name w:val="Heading 8 Char"/>
    <w:basedOn w:val="DefaultParagraphFont"/>
    <w:link w:val="Heading8"/>
    <w:rsid w:val="000F62B4"/>
    <w:rPr>
      <w:rFonts w:ascii="Times New Roman" w:hAnsi="Times New Roman"/>
      <w:b/>
      <w:sz w:val="24"/>
      <w:lang w:val="es-ES_tradnl" w:eastAsia="en-US"/>
    </w:rPr>
  </w:style>
  <w:style w:type="character" w:customStyle="1" w:styleId="Heading9Char">
    <w:name w:val="Heading 9 Char"/>
    <w:basedOn w:val="DefaultParagraphFont"/>
    <w:link w:val="Heading9"/>
    <w:rsid w:val="000F62B4"/>
    <w:rPr>
      <w:rFonts w:ascii="Times New Roman" w:hAnsi="Times New Roman"/>
      <w:b/>
      <w:sz w:val="24"/>
      <w:lang w:val="es-ES_tradnl" w:eastAsia="en-US"/>
    </w:rPr>
  </w:style>
  <w:style w:type="paragraph" w:customStyle="1" w:styleId="Reasons">
    <w:name w:val="Reasons"/>
    <w:basedOn w:val="Normal"/>
    <w:qFormat/>
    <w:rsid w:val="000F62B4"/>
    <w:pPr>
      <w:tabs>
        <w:tab w:val="clear" w:pos="794"/>
        <w:tab w:val="clear" w:pos="1191"/>
        <w:tab w:val="left" w:pos="1134"/>
      </w:tabs>
    </w:pPr>
    <w:rPr>
      <w:lang w:val="en-GB"/>
    </w:rPr>
  </w:style>
  <w:style w:type="paragraph" w:customStyle="1" w:styleId="ASN1">
    <w:name w:val="ASN.1"/>
    <w:basedOn w:val="Normal"/>
    <w:rsid w:val="000F62B4"/>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lang w:val="en-GB"/>
    </w:rPr>
  </w:style>
  <w:style w:type="paragraph" w:customStyle="1" w:styleId="FooterQP">
    <w:name w:val="Footer_QP"/>
    <w:basedOn w:val="Normal"/>
    <w:rsid w:val="000F62B4"/>
    <w:pPr>
      <w:tabs>
        <w:tab w:val="clear" w:pos="794"/>
        <w:tab w:val="clear" w:pos="1191"/>
        <w:tab w:val="clear" w:pos="1588"/>
        <w:tab w:val="clear" w:pos="1985"/>
        <w:tab w:val="left" w:pos="907"/>
        <w:tab w:val="right" w:pos="8789"/>
        <w:tab w:val="right" w:pos="9639"/>
      </w:tabs>
      <w:spacing w:before="0"/>
    </w:pPr>
    <w:rPr>
      <w:b/>
      <w:sz w:val="22"/>
      <w:lang w:val="en-GB"/>
    </w:rPr>
  </w:style>
  <w:style w:type="paragraph" w:styleId="BalloonText">
    <w:name w:val="Balloon Text"/>
    <w:basedOn w:val="Normal"/>
    <w:link w:val="BalloonTextChar"/>
    <w:rsid w:val="000F62B4"/>
    <w:pPr>
      <w:spacing w:before="0"/>
    </w:pPr>
    <w:rPr>
      <w:rFonts w:ascii="Tahoma" w:hAnsi="Tahoma" w:cs="Tahoma"/>
      <w:sz w:val="16"/>
      <w:szCs w:val="16"/>
      <w:lang w:val="en-GB"/>
    </w:rPr>
  </w:style>
  <w:style w:type="character" w:customStyle="1" w:styleId="BalloonTextChar">
    <w:name w:val="Balloon Text Char"/>
    <w:basedOn w:val="DefaultParagraphFont"/>
    <w:link w:val="BalloonText"/>
    <w:rsid w:val="000F62B4"/>
    <w:rPr>
      <w:rFonts w:ascii="Tahoma" w:hAnsi="Tahoma" w:cs="Tahoma"/>
      <w:sz w:val="16"/>
      <w:szCs w:val="16"/>
      <w:lang w:val="en-GB" w:eastAsia="en-US"/>
    </w:rPr>
  </w:style>
  <w:style w:type="paragraph" w:customStyle="1" w:styleId="Normalaftertitle0">
    <w:name w:val="Normal after title"/>
    <w:basedOn w:val="Normal"/>
    <w:next w:val="Normal"/>
    <w:rsid w:val="000F62B4"/>
    <w:pPr>
      <w:tabs>
        <w:tab w:val="clear" w:pos="794"/>
        <w:tab w:val="clear" w:pos="1191"/>
        <w:tab w:val="clear" w:pos="1588"/>
        <w:tab w:val="clear" w:pos="1985"/>
        <w:tab w:val="left" w:pos="1134"/>
        <w:tab w:val="left" w:pos="1871"/>
        <w:tab w:val="left" w:pos="2268"/>
      </w:tabs>
      <w:spacing w:before="280"/>
      <w:textAlignment w:val="auto"/>
    </w:pPr>
    <w:rPr>
      <w:lang w:val="en-GB"/>
    </w:rPr>
  </w:style>
  <w:style w:type="paragraph" w:customStyle="1" w:styleId="headingb0">
    <w:name w:val="heading_b"/>
    <w:basedOn w:val="Heading3"/>
    <w:next w:val="Normal"/>
    <w:rsid w:val="000F62B4"/>
    <w:pPr>
      <w:tabs>
        <w:tab w:val="clear" w:pos="1191"/>
        <w:tab w:val="clear" w:pos="1588"/>
        <w:tab w:val="clear" w:pos="1985"/>
        <w:tab w:val="left" w:pos="1134"/>
        <w:tab w:val="left" w:pos="1871"/>
        <w:tab w:val="left" w:pos="2127"/>
        <w:tab w:val="left" w:pos="2268"/>
        <w:tab w:val="left" w:pos="2410"/>
        <w:tab w:val="left" w:pos="2921"/>
        <w:tab w:val="left" w:pos="3261"/>
      </w:tabs>
      <w:ind w:left="0" w:firstLine="0"/>
      <w:textAlignment w:val="auto"/>
      <w:outlineLvl w:val="9"/>
    </w:pPr>
    <w:rPr>
      <w:b w:val="0"/>
      <w:lang w:val="en-GB"/>
    </w:rPr>
  </w:style>
  <w:style w:type="paragraph" w:styleId="PlainText">
    <w:name w:val="Plain Text"/>
    <w:basedOn w:val="Normal"/>
    <w:link w:val="PlainTextChar"/>
    <w:uiPriority w:val="99"/>
    <w:unhideWhenUsed/>
    <w:rsid w:val="000F62B4"/>
    <w:pPr>
      <w:tabs>
        <w:tab w:val="clear" w:pos="794"/>
        <w:tab w:val="clear" w:pos="1191"/>
        <w:tab w:val="clear" w:pos="1588"/>
        <w:tab w:val="clear" w:pos="1985"/>
      </w:tabs>
      <w:overflowPunct/>
      <w:autoSpaceDE/>
      <w:autoSpaceDN/>
      <w:adjustRightInd/>
      <w:spacing w:before="0"/>
      <w:textAlignment w:val="auto"/>
    </w:pPr>
    <w:rPr>
      <w:rFonts w:ascii="Consolas" w:eastAsiaTheme="minorEastAsia" w:hAnsi="Consolas" w:cstheme="minorBidi"/>
      <w:sz w:val="21"/>
      <w:szCs w:val="21"/>
      <w:lang w:val="en-US" w:eastAsia="zh-CN"/>
    </w:rPr>
  </w:style>
  <w:style w:type="character" w:customStyle="1" w:styleId="PlainTextChar">
    <w:name w:val="Plain Text Char"/>
    <w:basedOn w:val="DefaultParagraphFont"/>
    <w:link w:val="PlainText"/>
    <w:uiPriority w:val="99"/>
    <w:rsid w:val="000F62B4"/>
    <w:rPr>
      <w:rFonts w:ascii="Consolas" w:eastAsiaTheme="minorEastAsia" w:hAnsi="Consolas" w:cstheme="minorBidi"/>
      <w:sz w:val="21"/>
      <w:szCs w:val="21"/>
    </w:rPr>
  </w:style>
  <w:style w:type="paragraph" w:styleId="NoSpacing">
    <w:name w:val="No Spacing"/>
    <w:uiPriority w:val="1"/>
    <w:qFormat/>
    <w:rsid w:val="000F62B4"/>
    <w:rPr>
      <w:rFonts w:asciiTheme="minorHAnsi" w:eastAsiaTheme="minorEastAsia" w:hAnsiTheme="minorHAnsi" w:cstheme="minorBidi"/>
      <w:sz w:val="22"/>
      <w:szCs w:val="22"/>
    </w:rPr>
  </w:style>
  <w:style w:type="character" w:customStyle="1" w:styleId="TabletextChar">
    <w:name w:val="Table_text Char"/>
    <w:basedOn w:val="DefaultParagraphFont"/>
    <w:link w:val="Tabletext"/>
    <w:locked/>
    <w:rsid w:val="000F62B4"/>
    <w:rPr>
      <w:rFonts w:ascii="Times New Roman" w:hAnsi="Times New Roman"/>
      <w:sz w:val="22"/>
      <w:lang w:val="es-ES_tradnl" w:eastAsia="en-US"/>
    </w:rPr>
  </w:style>
  <w:style w:type="character" w:customStyle="1" w:styleId="enumlev1Char">
    <w:name w:val="enumlev1 Char"/>
    <w:basedOn w:val="DefaultParagraphFont"/>
    <w:link w:val="enumlev1"/>
    <w:locked/>
    <w:rsid w:val="000F62B4"/>
    <w:rPr>
      <w:rFonts w:ascii="Times New Roman" w:hAnsi="Times New Roman"/>
      <w:sz w:val="24"/>
      <w:lang w:val="es-ES_tradnl" w:eastAsia="en-US"/>
    </w:rPr>
  </w:style>
  <w:style w:type="character" w:customStyle="1" w:styleId="apple-converted-space">
    <w:name w:val="apple-converted-space"/>
    <w:basedOn w:val="DefaultParagraphFont"/>
    <w:rsid w:val="000F62B4"/>
  </w:style>
  <w:style w:type="table" w:customStyle="1" w:styleId="TableGrid1">
    <w:name w:val="Table Grid1"/>
    <w:basedOn w:val="TableNormal"/>
    <w:next w:val="TableGrid"/>
    <w:rsid w:val="000F62B4"/>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0F62B4"/>
    <w:rPr>
      <w:b/>
      <w:bCs/>
    </w:rPr>
  </w:style>
  <w:style w:type="paragraph" w:customStyle="1" w:styleId="Annextitle">
    <w:name w:val="Annex_title"/>
    <w:basedOn w:val="Normal"/>
    <w:next w:val="Normal"/>
    <w:rsid w:val="000F62B4"/>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hAnsi="Times New Roman Bold"/>
      <w:b/>
      <w:sz w:val="28"/>
      <w:lang w:val="en-GB"/>
    </w:rPr>
  </w:style>
  <w:style w:type="paragraph" w:customStyle="1" w:styleId="AnnexNo">
    <w:name w:val="Annex_No"/>
    <w:basedOn w:val="Normal"/>
    <w:next w:val="Normal"/>
    <w:rsid w:val="000F62B4"/>
    <w:pPr>
      <w:keepNext/>
      <w:keepLines/>
      <w:tabs>
        <w:tab w:val="clear" w:pos="794"/>
        <w:tab w:val="clear" w:pos="1191"/>
        <w:tab w:val="clear" w:pos="1588"/>
        <w:tab w:val="clear" w:pos="1985"/>
        <w:tab w:val="left" w:pos="1134"/>
        <w:tab w:val="left" w:pos="1871"/>
        <w:tab w:val="left" w:pos="2268"/>
      </w:tabs>
      <w:spacing w:before="480" w:after="80"/>
      <w:jc w:val="center"/>
    </w:pPr>
    <w:rPr>
      <w:sz w:val="28"/>
      <w:lang w:val="en-GB"/>
    </w:rPr>
  </w:style>
  <w:style w:type="character" w:customStyle="1" w:styleId="CallChar">
    <w:name w:val="Call Char"/>
    <w:basedOn w:val="DefaultParagraphFont"/>
    <w:link w:val="Call"/>
    <w:locked/>
    <w:rsid w:val="000F62B4"/>
    <w:rPr>
      <w:rFonts w:ascii="Times New Roman" w:hAnsi="Times New Roman"/>
      <w:i/>
      <w:sz w:val="24"/>
      <w:lang w:val="es-ES_tradnl" w:eastAsia="en-US"/>
    </w:rPr>
  </w:style>
  <w:style w:type="character" w:customStyle="1" w:styleId="HeadingbChar">
    <w:name w:val="Heading_b Char"/>
    <w:link w:val="Headingb"/>
    <w:locked/>
    <w:rsid w:val="000F62B4"/>
    <w:rPr>
      <w:rFonts w:ascii="Times New Roman" w:hAnsi="Times New Roman"/>
      <w:b/>
      <w:sz w:val="24"/>
      <w:lang w:val="es-ES_tradnl" w:eastAsia="en-US"/>
    </w:rPr>
  </w:style>
  <w:style w:type="character" w:customStyle="1" w:styleId="RestitleChar">
    <w:name w:val="Res_title Char"/>
    <w:basedOn w:val="DefaultParagraphFont"/>
    <w:link w:val="Restitle"/>
    <w:locked/>
    <w:rsid w:val="000F62B4"/>
    <w:rPr>
      <w:rFonts w:ascii="Times New Roman" w:hAnsi="Times New Roman"/>
      <w:b/>
      <w:sz w:val="28"/>
      <w:lang w:val="es-ES_tradnl" w:eastAsia="en-US"/>
    </w:rPr>
  </w:style>
  <w:style w:type="character" w:styleId="FollowedHyperlink">
    <w:name w:val="FollowedHyperlink"/>
    <w:basedOn w:val="DefaultParagraphFont"/>
    <w:unhideWhenUsed/>
    <w:rsid w:val="000F62B4"/>
    <w:rPr>
      <w:color w:val="606420"/>
      <w:u w:val="single"/>
    </w:rPr>
  </w:style>
  <w:style w:type="paragraph" w:styleId="NormalWeb">
    <w:name w:val="Normal (Web)"/>
    <w:basedOn w:val="Normal"/>
    <w:uiPriority w:val="99"/>
    <w:unhideWhenUsed/>
    <w:rsid w:val="000F62B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paragraph" w:styleId="EndnoteText">
    <w:name w:val="endnote text"/>
    <w:basedOn w:val="Normal"/>
    <w:link w:val="EndnoteTextChar"/>
    <w:uiPriority w:val="99"/>
    <w:unhideWhenUsed/>
    <w:rsid w:val="000F62B4"/>
    <w:pPr>
      <w:spacing w:before="0"/>
      <w:textAlignment w:val="auto"/>
    </w:pPr>
    <w:rPr>
      <w:sz w:val="20"/>
      <w:lang w:val="en-GB"/>
    </w:rPr>
  </w:style>
  <w:style w:type="character" w:customStyle="1" w:styleId="EndnoteTextChar">
    <w:name w:val="Endnote Text Char"/>
    <w:basedOn w:val="DefaultParagraphFont"/>
    <w:link w:val="EndnoteText"/>
    <w:uiPriority w:val="99"/>
    <w:rsid w:val="000F62B4"/>
    <w:rPr>
      <w:rFonts w:ascii="Times New Roman" w:hAnsi="Times New Roman"/>
      <w:lang w:val="en-GB" w:eastAsia="en-US"/>
    </w:rPr>
  </w:style>
  <w:style w:type="paragraph" w:styleId="Title">
    <w:name w:val="Title"/>
    <w:basedOn w:val="Normal"/>
    <w:next w:val="Normal"/>
    <w:link w:val="TitleChar"/>
    <w:qFormat/>
    <w:rsid w:val="000F62B4"/>
    <w:pPr>
      <w:pBdr>
        <w:bottom w:val="single" w:sz="8" w:space="4" w:color="4F81BD" w:themeColor="accent1"/>
      </w:pBdr>
      <w:spacing w:before="0" w:after="300"/>
      <w:contextualSpacing/>
      <w:textAlignment w:val="auto"/>
    </w:pPr>
    <w:rPr>
      <w:rFonts w:asciiTheme="majorHAnsi" w:eastAsiaTheme="majorEastAsia" w:hAnsiTheme="majorHAnsi" w:cstheme="majorBidi"/>
      <w:color w:val="17365D" w:themeColor="text2" w:themeShade="BF"/>
      <w:spacing w:val="5"/>
      <w:kern w:val="28"/>
      <w:sz w:val="52"/>
      <w:szCs w:val="52"/>
      <w:lang w:val="en-GB"/>
    </w:rPr>
  </w:style>
  <w:style w:type="character" w:customStyle="1" w:styleId="TitleChar">
    <w:name w:val="Title Char"/>
    <w:basedOn w:val="DefaultParagraphFont"/>
    <w:link w:val="Title"/>
    <w:rsid w:val="000F62B4"/>
    <w:rPr>
      <w:rFonts w:asciiTheme="majorHAnsi" w:eastAsiaTheme="majorEastAsia" w:hAnsiTheme="majorHAnsi" w:cstheme="majorBidi"/>
      <w:color w:val="17365D" w:themeColor="text2" w:themeShade="BF"/>
      <w:spacing w:val="5"/>
      <w:kern w:val="28"/>
      <w:sz w:val="52"/>
      <w:szCs w:val="52"/>
      <w:lang w:val="en-GB" w:eastAsia="en-US"/>
    </w:rPr>
  </w:style>
  <w:style w:type="paragraph" w:styleId="BodyText">
    <w:name w:val="Body Text"/>
    <w:basedOn w:val="Normal"/>
    <w:link w:val="BodyTextChar"/>
    <w:unhideWhenUsed/>
    <w:rsid w:val="000F62B4"/>
    <w:pPr>
      <w:textAlignment w:val="auto"/>
    </w:pPr>
    <w:rPr>
      <w:b/>
      <w:bCs/>
      <w:i/>
      <w:iCs/>
      <w:szCs w:val="24"/>
      <w:lang w:val="en-GB"/>
    </w:rPr>
  </w:style>
  <w:style w:type="character" w:customStyle="1" w:styleId="BodyTextChar">
    <w:name w:val="Body Text Char"/>
    <w:basedOn w:val="DefaultParagraphFont"/>
    <w:link w:val="BodyText"/>
    <w:rsid w:val="000F62B4"/>
    <w:rPr>
      <w:rFonts w:ascii="Times New Roman" w:hAnsi="Times New Roman"/>
      <w:b/>
      <w:bCs/>
      <w:i/>
      <w:iCs/>
      <w:sz w:val="24"/>
      <w:szCs w:val="24"/>
      <w:lang w:val="en-GB" w:eastAsia="en-US"/>
    </w:rPr>
  </w:style>
  <w:style w:type="paragraph" w:styleId="BodyTextIndent">
    <w:name w:val="Body Text Indent"/>
    <w:basedOn w:val="Normal"/>
    <w:link w:val="BodyTextIndentChar"/>
    <w:unhideWhenUsed/>
    <w:rsid w:val="000F62B4"/>
    <w:pPr>
      <w:spacing w:after="120"/>
      <w:ind w:left="360"/>
      <w:textAlignment w:val="auto"/>
    </w:pPr>
    <w:rPr>
      <w:lang w:val="en-GB"/>
    </w:rPr>
  </w:style>
  <w:style w:type="character" w:customStyle="1" w:styleId="BodyTextIndentChar">
    <w:name w:val="Body Text Indent Char"/>
    <w:basedOn w:val="DefaultParagraphFont"/>
    <w:link w:val="BodyTextIndent"/>
    <w:rsid w:val="000F62B4"/>
    <w:rPr>
      <w:rFonts w:ascii="Times New Roman" w:hAnsi="Times New Roman"/>
      <w:sz w:val="24"/>
      <w:lang w:val="en-GB" w:eastAsia="en-US"/>
    </w:rPr>
  </w:style>
  <w:style w:type="paragraph" w:styleId="Subtitle">
    <w:name w:val="Subtitle"/>
    <w:basedOn w:val="Normal"/>
    <w:next w:val="Normal"/>
    <w:link w:val="SubtitleChar"/>
    <w:uiPriority w:val="11"/>
    <w:qFormat/>
    <w:rsid w:val="000F62B4"/>
    <w:pPr>
      <w:tabs>
        <w:tab w:val="clear" w:pos="794"/>
        <w:tab w:val="clear" w:pos="1191"/>
        <w:tab w:val="clear" w:pos="1588"/>
        <w:tab w:val="clear" w:pos="1985"/>
      </w:tabs>
      <w:overflowPunct/>
      <w:autoSpaceDE/>
      <w:autoSpaceDN/>
      <w:adjustRightInd/>
      <w:spacing w:before="0" w:after="200" w:line="276" w:lineRule="auto"/>
      <w:textAlignment w:val="auto"/>
    </w:pPr>
    <w:rPr>
      <w:rFonts w:ascii="Cambria" w:eastAsia="SimSun" w:hAnsi="Cambria"/>
      <w:i/>
      <w:iCs/>
      <w:color w:val="4F81BD"/>
      <w:spacing w:val="15"/>
      <w:szCs w:val="24"/>
      <w:lang w:val="en-US" w:eastAsia="zh-CN"/>
    </w:rPr>
  </w:style>
  <w:style w:type="character" w:customStyle="1" w:styleId="SubtitleChar">
    <w:name w:val="Subtitle Char"/>
    <w:basedOn w:val="DefaultParagraphFont"/>
    <w:link w:val="Subtitle"/>
    <w:uiPriority w:val="11"/>
    <w:rsid w:val="000F62B4"/>
    <w:rPr>
      <w:rFonts w:ascii="Cambria" w:eastAsia="SimSun" w:hAnsi="Cambria"/>
      <w:i/>
      <w:iCs/>
      <w:color w:val="4F81BD"/>
      <w:spacing w:val="15"/>
      <w:sz w:val="24"/>
      <w:szCs w:val="24"/>
    </w:rPr>
  </w:style>
  <w:style w:type="paragraph" w:styleId="BodyText2">
    <w:name w:val="Body Text 2"/>
    <w:basedOn w:val="Normal"/>
    <w:link w:val="BodyText2Char"/>
    <w:unhideWhenUsed/>
    <w:rsid w:val="000F62B4"/>
    <w:pPr>
      <w:spacing w:after="120" w:line="480" w:lineRule="auto"/>
      <w:textAlignment w:val="auto"/>
    </w:pPr>
    <w:rPr>
      <w:lang w:val="en-GB"/>
    </w:rPr>
  </w:style>
  <w:style w:type="character" w:customStyle="1" w:styleId="BodyText2Char">
    <w:name w:val="Body Text 2 Char"/>
    <w:basedOn w:val="DefaultParagraphFont"/>
    <w:link w:val="BodyText2"/>
    <w:rsid w:val="000F62B4"/>
    <w:rPr>
      <w:rFonts w:ascii="Times New Roman" w:hAnsi="Times New Roman"/>
      <w:sz w:val="24"/>
      <w:lang w:val="en-GB" w:eastAsia="en-US"/>
    </w:rPr>
  </w:style>
  <w:style w:type="paragraph" w:styleId="Revision">
    <w:name w:val="Revision"/>
    <w:uiPriority w:val="99"/>
    <w:semiHidden/>
    <w:rsid w:val="000F62B4"/>
    <w:rPr>
      <w:rFonts w:ascii="Times New Roman" w:hAnsi="Times New Roman"/>
      <w:sz w:val="24"/>
      <w:lang w:val="en-GB" w:eastAsia="en-US"/>
    </w:rPr>
  </w:style>
  <w:style w:type="character" w:styleId="CommentReference">
    <w:name w:val="annotation reference"/>
    <w:basedOn w:val="DefaultParagraphFont"/>
    <w:semiHidden/>
    <w:unhideWhenUsed/>
    <w:rsid w:val="000F62B4"/>
    <w:rPr>
      <w:sz w:val="16"/>
      <w:szCs w:val="16"/>
    </w:rPr>
  </w:style>
  <w:style w:type="paragraph" w:styleId="CommentText">
    <w:name w:val="annotation text"/>
    <w:basedOn w:val="Normal"/>
    <w:link w:val="CommentTextChar"/>
    <w:unhideWhenUsed/>
    <w:rsid w:val="000F62B4"/>
    <w:rPr>
      <w:sz w:val="20"/>
      <w:lang w:val="en-GB"/>
    </w:rPr>
  </w:style>
  <w:style w:type="character" w:customStyle="1" w:styleId="CommentTextChar">
    <w:name w:val="Comment Text Char"/>
    <w:basedOn w:val="DefaultParagraphFont"/>
    <w:link w:val="CommentText"/>
    <w:rsid w:val="000F62B4"/>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0F62B4"/>
    <w:rPr>
      <w:b/>
      <w:bCs/>
    </w:rPr>
  </w:style>
  <w:style w:type="character" w:customStyle="1" w:styleId="CommentSubjectChar">
    <w:name w:val="Comment Subject Char"/>
    <w:basedOn w:val="CommentTextChar"/>
    <w:link w:val="CommentSubject"/>
    <w:semiHidden/>
    <w:rsid w:val="000F62B4"/>
    <w:rPr>
      <w:rFonts w:ascii="Times New Roman" w:hAnsi="Times New Roman"/>
      <w:b/>
      <w:bCs/>
      <w:lang w:val="en-GB" w:eastAsia="en-US"/>
    </w:rPr>
  </w:style>
  <w:style w:type="table" w:customStyle="1" w:styleId="GridTable1Light-Accent512">
    <w:name w:val="Grid Table 1 Light - Accent 512"/>
    <w:basedOn w:val="TableNormal"/>
    <w:uiPriority w:val="46"/>
    <w:rsid w:val="000F62B4"/>
    <w:rPr>
      <w:rFonts w:ascii="Calibri" w:eastAsia="Calibri" w:hAnsi="Calibri" w:cs="Arial"/>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4-Accent112">
    <w:name w:val="Grid Table 4 - Accent 112"/>
    <w:basedOn w:val="TableNormal"/>
    <w:uiPriority w:val="49"/>
    <w:rsid w:val="000F62B4"/>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22">
    <w:name w:val="Grid Table 4 - Accent 122"/>
    <w:basedOn w:val="TableNormal"/>
    <w:uiPriority w:val="49"/>
    <w:rsid w:val="000F62B4"/>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TableheadChar">
    <w:name w:val="Table_head Char"/>
    <w:basedOn w:val="DefaultParagraphFont"/>
    <w:link w:val="Tablehead"/>
    <w:rsid w:val="000F62B4"/>
    <w:rPr>
      <w:rFonts w:ascii="Times New Roman" w:hAnsi="Times New Roman"/>
      <w:b/>
      <w:sz w:val="22"/>
      <w:lang w:val="es-ES_tradnl" w:eastAsia="en-US"/>
    </w:rPr>
  </w:style>
  <w:style w:type="paragraph" w:customStyle="1" w:styleId="TableNo">
    <w:name w:val="Table_No"/>
    <w:basedOn w:val="Normal"/>
    <w:next w:val="Normal"/>
    <w:uiPriority w:val="99"/>
    <w:rsid w:val="000F62B4"/>
    <w:pPr>
      <w:keepNext/>
      <w:tabs>
        <w:tab w:val="clear" w:pos="794"/>
        <w:tab w:val="clear" w:pos="1191"/>
        <w:tab w:val="clear" w:pos="1588"/>
        <w:tab w:val="clear" w:pos="1985"/>
        <w:tab w:val="left" w:pos="1134"/>
        <w:tab w:val="left" w:pos="1871"/>
        <w:tab w:val="left" w:pos="2268"/>
      </w:tabs>
      <w:spacing w:before="560" w:after="120"/>
      <w:jc w:val="center"/>
    </w:pPr>
    <w:rPr>
      <w:lang w:val="en-GB"/>
    </w:rPr>
  </w:style>
  <w:style w:type="paragraph" w:customStyle="1" w:styleId="Tabletitle">
    <w:name w:val="Table_title"/>
    <w:basedOn w:val="Normal"/>
    <w:next w:val="Tabletext"/>
    <w:rsid w:val="000F62B4"/>
    <w:pPr>
      <w:keepNext/>
      <w:keepLines/>
      <w:tabs>
        <w:tab w:val="clear" w:pos="794"/>
        <w:tab w:val="clear" w:pos="1191"/>
        <w:tab w:val="clear" w:pos="1588"/>
        <w:tab w:val="clear" w:pos="1985"/>
        <w:tab w:val="left" w:pos="1134"/>
        <w:tab w:val="left" w:pos="1871"/>
        <w:tab w:val="left" w:pos="2268"/>
      </w:tabs>
      <w:spacing w:before="0" w:after="120"/>
      <w:jc w:val="center"/>
    </w:pPr>
    <w:rPr>
      <w:rFonts w:ascii="Times New Roman Bold" w:hAnsi="Times New Roman Bold"/>
      <w:b/>
      <w:sz w:val="20"/>
      <w:lang w:val="en-GB"/>
    </w:rPr>
  </w:style>
  <w:style w:type="paragraph" w:styleId="Index4">
    <w:name w:val="index 4"/>
    <w:basedOn w:val="Normal"/>
    <w:next w:val="Normal"/>
    <w:autoRedefine/>
    <w:uiPriority w:val="99"/>
    <w:unhideWhenUsed/>
    <w:rsid w:val="000F62B4"/>
    <w:pPr>
      <w:tabs>
        <w:tab w:val="clear" w:pos="794"/>
        <w:tab w:val="clear" w:pos="1191"/>
        <w:tab w:val="clear" w:pos="1588"/>
        <w:tab w:val="clear" w:pos="1985"/>
      </w:tabs>
      <w:overflowPunct/>
      <w:autoSpaceDE/>
      <w:autoSpaceDN/>
      <w:adjustRightInd/>
      <w:spacing w:before="0" w:line="259" w:lineRule="auto"/>
      <w:ind w:left="880" w:hanging="220"/>
      <w:textAlignment w:val="auto"/>
    </w:pPr>
    <w:rPr>
      <w:rFonts w:eastAsiaTheme="minorEastAsia" w:cstheme="minorBidi"/>
      <w:sz w:val="18"/>
      <w:szCs w:val="18"/>
      <w:lang w:val="en-US" w:eastAsia="zh-CN"/>
    </w:rPr>
  </w:style>
  <w:style w:type="paragraph" w:styleId="Index5">
    <w:name w:val="index 5"/>
    <w:basedOn w:val="Normal"/>
    <w:next w:val="Normal"/>
    <w:autoRedefine/>
    <w:uiPriority w:val="99"/>
    <w:unhideWhenUsed/>
    <w:rsid w:val="000F62B4"/>
    <w:pPr>
      <w:tabs>
        <w:tab w:val="clear" w:pos="794"/>
        <w:tab w:val="clear" w:pos="1191"/>
        <w:tab w:val="clear" w:pos="1588"/>
        <w:tab w:val="clear" w:pos="1985"/>
      </w:tabs>
      <w:overflowPunct/>
      <w:autoSpaceDE/>
      <w:autoSpaceDN/>
      <w:adjustRightInd/>
      <w:spacing w:before="0" w:line="259" w:lineRule="auto"/>
      <w:ind w:left="1100" w:hanging="220"/>
      <w:textAlignment w:val="auto"/>
    </w:pPr>
    <w:rPr>
      <w:rFonts w:eastAsiaTheme="minorEastAsia" w:cstheme="minorBidi"/>
      <w:sz w:val="18"/>
      <w:szCs w:val="18"/>
      <w:lang w:val="en-US" w:eastAsia="zh-CN"/>
    </w:rPr>
  </w:style>
  <w:style w:type="paragraph" w:styleId="Index6">
    <w:name w:val="index 6"/>
    <w:basedOn w:val="Normal"/>
    <w:next w:val="Normal"/>
    <w:autoRedefine/>
    <w:uiPriority w:val="99"/>
    <w:unhideWhenUsed/>
    <w:rsid w:val="000F62B4"/>
    <w:pPr>
      <w:tabs>
        <w:tab w:val="clear" w:pos="794"/>
        <w:tab w:val="clear" w:pos="1191"/>
        <w:tab w:val="clear" w:pos="1588"/>
        <w:tab w:val="clear" w:pos="1985"/>
      </w:tabs>
      <w:overflowPunct/>
      <w:autoSpaceDE/>
      <w:autoSpaceDN/>
      <w:adjustRightInd/>
      <w:spacing w:before="0" w:line="259" w:lineRule="auto"/>
      <w:ind w:left="1320" w:hanging="220"/>
      <w:textAlignment w:val="auto"/>
    </w:pPr>
    <w:rPr>
      <w:rFonts w:eastAsiaTheme="minorEastAsia" w:cstheme="minorBidi"/>
      <w:sz w:val="18"/>
      <w:szCs w:val="18"/>
      <w:lang w:val="en-US" w:eastAsia="zh-CN"/>
    </w:rPr>
  </w:style>
  <w:style w:type="paragraph" w:styleId="Index7">
    <w:name w:val="index 7"/>
    <w:basedOn w:val="Normal"/>
    <w:next w:val="Normal"/>
    <w:autoRedefine/>
    <w:uiPriority w:val="99"/>
    <w:unhideWhenUsed/>
    <w:rsid w:val="000F62B4"/>
    <w:pPr>
      <w:tabs>
        <w:tab w:val="clear" w:pos="794"/>
        <w:tab w:val="clear" w:pos="1191"/>
        <w:tab w:val="clear" w:pos="1588"/>
        <w:tab w:val="clear" w:pos="1985"/>
      </w:tabs>
      <w:overflowPunct/>
      <w:autoSpaceDE/>
      <w:autoSpaceDN/>
      <w:adjustRightInd/>
      <w:spacing w:before="0" w:line="259" w:lineRule="auto"/>
      <w:ind w:left="1540" w:hanging="220"/>
      <w:textAlignment w:val="auto"/>
    </w:pPr>
    <w:rPr>
      <w:rFonts w:eastAsiaTheme="minorEastAsia" w:cstheme="minorBidi"/>
      <w:sz w:val="18"/>
      <w:szCs w:val="18"/>
      <w:lang w:val="en-US" w:eastAsia="zh-CN"/>
    </w:rPr>
  </w:style>
  <w:style w:type="paragraph" w:styleId="Index8">
    <w:name w:val="index 8"/>
    <w:basedOn w:val="Normal"/>
    <w:next w:val="Normal"/>
    <w:autoRedefine/>
    <w:uiPriority w:val="99"/>
    <w:unhideWhenUsed/>
    <w:rsid w:val="000F62B4"/>
    <w:pPr>
      <w:tabs>
        <w:tab w:val="clear" w:pos="794"/>
        <w:tab w:val="clear" w:pos="1191"/>
        <w:tab w:val="clear" w:pos="1588"/>
        <w:tab w:val="clear" w:pos="1985"/>
      </w:tabs>
      <w:overflowPunct/>
      <w:autoSpaceDE/>
      <w:autoSpaceDN/>
      <w:adjustRightInd/>
      <w:spacing w:before="0" w:line="259" w:lineRule="auto"/>
      <w:ind w:left="1760" w:hanging="220"/>
      <w:textAlignment w:val="auto"/>
    </w:pPr>
    <w:rPr>
      <w:rFonts w:eastAsiaTheme="minorEastAsia" w:cstheme="minorBidi"/>
      <w:sz w:val="18"/>
      <w:szCs w:val="18"/>
      <w:lang w:val="en-US" w:eastAsia="zh-CN"/>
    </w:rPr>
  </w:style>
  <w:style w:type="paragraph" w:styleId="Index9">
    <w:name w:val="index 9"/>
    <w:basedOn w:val="Normal"/>
    <w:next w:val="Normal"/>
    <w:autoRedefine/>
    <w:uiPriority w:val="99"/>
    <w:unhideWhenUsed/>
    <w:rsid w:val="000F62B4"/>
    <w:pPr>
      <w:tabs>
        <w:tab w:val="clear" w:pos="794"/>
        <w:tab w:val="clear" w:pos="1191"/>
        <w:tab w:val="clear" w:pos="1588"/>
        <w:tab w:val="clear" w:pos="1985"/>
      </w:tabs>
      <w:overflowPunct/>
      <w:autoSpaceDE/>
      <w:autoSpaceDN/>
      <w:adjustRightInd/>
      <w:spacing w:before="0" w:line="259" w:lineRule="auto"/>
      <w:ind w:left="1980" w:hanging="220"/>
      <w:textAlignment w:val="auto"/>
    </w:pPr>
    <w:rPr>
      <w:rFonts w:eastAsiaTheme="minorEastAsia" w:cstheme="minorBidi"/>
      <w:sz w:val="18"/>
      <w:szCs w:val="18"/>
      <w:lang w:val="en-US" w:eastAsia="zh-CN"/>
    </w:rPr>
  </w:style>
  <w:style w:type="paragraph" w:styleId="IndexHeading">
    <w:name w:val="index heading"/>
    <w:basedOn w:val="Normal"/>
    <w:next w:val="Index1"/>
    <w:uiPriority w:val="99"/>
    <w:unhideWhenUsed/>
    <w:rsid w:val="000F62B4"/>
    <w:pPr>
      <w:tabs>
        <w:tab w:val="clear" w:pos="794"/>
        <w:tab w:val="clear" w:pos="1191"/>
        <w:tab w:val="clear" w:pos="1588"/>
        <w:tab w:val="clear" w:pos="1985"/>
      </w:tabs>
      <w:overflowPunct/>
      <w:autoSpaceDE/>
      <w:autoSpaceDN/>
      <w:adjustRightInd/>
      <w:spacing w:before="240" w:after="120" w:line="259" w:lineRule="auto"/>
      <w:jc w:val="center"/>
      <w:textAlignment w:val="auto"/>
    </w:pPr>
    <w:rPr>
      <w:rFonts w:eastAsiaTheme="minorEastAsia" w:cstheme="minorBidi"/>
      <w:b/>
      <w:bCs/>
      <w:sz w:val="26"/>
      <w:szCs w:val="26"/>
      <w:lang w:val="en-US" w:eastAsia="zh-CN"/>
    </w:rPr>
  </w:style>
  <w:style w:type="paragraph" w:styleId="TOC9">
    <w:name w:val="toc 9"/>
    <w:basedOn w:val="Normal"/>
    <w:next w:val="Normal"/>
    <w:autoRedefine/>
    <w:uiPriority w:val="39"/>
    <w:unhideWhenUsed/>
    <w:rsid w:val="000F62B4"/>
    <w:pPr>
      <w:tabs>
        <w:tab w:val="clear" w:pos="794"/>
        <w:tab w:val="clear" w:pos="1191"/>
        <w:tab w:val="clear" w:pos="1588"/>
        <w:tab w:val="clear" w:pos="1985"/>
      </w:tabs>
      <w:overflowPunct/>
      <w:autoSpaceDE/>
      <w:autoSpaceDN/>
      <w:adjustRightInd/>
      <w:spacing w:before="0" w:line="259" w:lineRule="auto"/>
      <w:ind w:left="1760"/>
      <w:textAlignment w:val="auto"/>
    </w:pPr>
    <w:rPr>
      <w:rFonts w:eastAsiaTheme="minorEastAsia" w:cstheme="minorBidi"/>
      <w:sz w:val="20"/>
      <w:lang w:val="en-US" w:eastAsia="zh-CN"/>
    </w:rPr>
  </w:style>
  <w:style w:type="table" w:customStyle="1" w:styleId="TableGrid2">
    <w:name w:val="Table Grid2"/>
    <w:basedOn w:val="TableNormal"/>
    <w:next w:val="TableGrid"/>
    <w:uiPriority w:val="39"/>
    <w:rsid w:val="000F62B4"/>
    <w:rPr>
      <w:rFonts w:asciiTheme="minorHAnsi" w:eastAsiaTheme="minorEastAsia" w:hAnsiTheme="minorHAnsi" w:cstheme="minorBidi"/>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0F62B4"/>
    <w:pPr>
      <w:tabs>
        <w:tab w:val="clear" w:pos="794"/>
        <w:tab w:val="clear" w:pos="1191"/>
        <w:tab w:val="clear" w:pos="1588"/>
        <w:tab w:val="clear" w:pos="1985"/>
      </w:tabs>
      <w:overflowPunct/>
      <w:autoSpaceDE/>
      <w:autoSpaceDN/>
      <w:adjustRightInd/>
      <w:spacing w:before="240" w:line="259" w:lineRule="auto"/>
      <w:ind w:left="0" w:firstLine="0"/>
      <w:textAlignment w:val="auto"/>
      <w:outlineLvl w:val="9"/>
    </w:pPr>
    <w:rPr>
      <w:rFonts w:asciiTheme="majorHAnsi" w:eastAsiaTheme="majorEastAsia" w:hAnsiTheme="majorHAnsi" w:cstheme="majorBidi"/>
      <w:b w:val="0"/>
      <w:color w:val="365F91" w:themeColor="accent1" w:themeShade="BF"/>
      <w:sz w:val="32"/>
      <w:szCs w:val="32"/>
      <w:lang w:val="en-US" w:eastAsia="zh-CN"/>
    </w:rPr>
  </w:style>
  <w:style w:type="table" w:styleId="ListTable1Light-Accent1">
    <w:name w:val="List Table 1 Light Accent 1"/>
    <w:basedOn w:val="TableNormal"/>
    <w:uiPriority w:val="46"/>
    <w:rsid w:val="000F62B4"/>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1">
    <w:name w:val="List Table 2 Accent 1"/>
    <w:basedOn w:val="TableNormal"/>
    <w:uiPriority w:val="47"/>
    <w:rsid w:val="000F62B4"/>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5Dark-Accent1">
    <w:name w:val="Grid Table 5 Dark Accent 1"/>
    <w:basedOn w:val="TableNormal"/>
    <w:uiPriority w:val="50"/>
    <w:rsid w:val="000F62B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4-Accent1">
    <w:name w:val="Grid Table 4 Accent 1"/>
    <w:basedOn w:val="TableNormal"/>
    <w:uiPriority w:val="49"/>
    <w:rsid w:val="000F62B4"/>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Date">
    <w:name w:val="Date"/>
    <w:basedOn w:val="Normal"/>
    <w:next w:val="Normal"/>
    <w:link w:val="DateChar"/>
    <w:rsid w:val="000F62B4"/>
    <w:rPr>
      <w:lang w:val="en-GB"/>
    </w:rPr>
  </w:style>
  <w:style w:type="character" w:customStyle="1" w:styleId="DateChar">
    <w:name w:val="Date Char"/>
    <w:basedOn w:val="DefaultParagraphFont"/>
    <w:link w:val="Date"/>
    <w:rsid w:val="000F62B4"/>
    <w:rPr>
      <w:rFonts w:ascii="Times New Roman" w:hAnsi="Times New Roman"/>
      <w:sz w:val="24"/>
      <w:lang w:val="en-GB" w:eastAsia="en-US"/>
    </w:rPr>
  </w:style>
  <w:style w:type="paragraph" w:customStyle="1" w:styleId="Tablefin">
    <w:name w:val="Table_fin"/>
    <w:basedOn w:val="Tabletext"/>
    <w:rsid w:val="000F62B4"/>
    <w:rPr>
      <w:sz w:val="20"/>
      <w:lang w:val="en-GB"/>
    </w:rPr>
  </w:style>
  <w:style w:type="table" w:customStyle="1" w:styleId="ListTable1Light-Accent11">
    <w:name w:val="List Table 1 Light - Accent 11"/>
    <w:basedOn w:val="TableNormal"/>
    <w:next w:val="ListTable1Light-Accent1"/>
    <w:uiPriority w:val="46"/>
    <w:rsid w:val="000F62B4"/>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UnresolvedMention">
    <w:name w:val="Unresolved Mention"/>
    <w:basedOn w:val="DefaultParagraphFont"/>
    <w:uiPriority w:val="99"/>
    <w:semiHidden/>
    <w:unhideWhenUsed/>
    <w:rsid w:val="000F62B4"/>
    <w:rPr>
      <w:color w:val="605E5C"/>
      <w:shd w:val="clear" w:color="auto" w:fill="E1DFDD"/>
    </w:rPr>
  </w:style>
  <w:style w:type="paragraph" w:customStyle="1" w:styleId="paragraph">
    <w:name w:val="paragraph"/>
    <w:basedOn w:val="Normal"/>
    <w:rsid w:val="000F62B4"/>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GB" w:eastAsia="en-GB"/>
    </w:rPr>
  </w:style>
  <w:style w:type="character" w:customStyle="1" w:styleId="normaltextrun">
    <w:name w:val="normaltextrun"/>
    <w:basedOn w:val="DefaultParagraphFont"/>
    <w:rsid w:val="000F62B4"/>
  </w:style>
  <w:style w:type="character" w:customStyle="1" w:styleId="eop">
    <w:name w:val="eop"/>
    <w:basedOn w:val="DefaultParagraphFont"/>
    <w:rsid w:val="000F62B4"/>
  </w:style>
  <w:style w:type="paragraph" w:customStyle="1" w:styleId="Figuretitle">
    <w:name w:val="Figure_title"/>
    <w:basedOn w:val="Normal"/>
    <w:next w:val="Normal"/>
    <w:rsid w:val="000F62B4"/>
    <w:pPr>
      <w:keepNext/>
      <w:keepLines/>
      <w:tabs>
        <w:tab w:val="clear" w:pos="794"/>
        <w:tab w:val="clear" w:pos="1191"/>
        <w:tab w:val="clear" w:pos="1588"/>
        <w:tab w:val="clear" w:pos="1985"/>
        <w:tab w:val="left" w:pos="1134"/>
        <w:tab w:val="left" w:pos="1871"/>
        <w:tab w:val="left" w:pos="2268"/>
      </w:tabs>
      <w:spacing w:before="0" w:after="120"/>
      <w:jc w:val="center"/>
    </w:pPr>
    <w:rPr>
      <w:rFonts w:ascii="Times New Roman Bold" w:hAnsi="Times New Roman Bold"/>
      <w:b/>
      <w:sz w:val="20"/>
      <w:lang w:val="en-US"/>
    </w:rPr>
  </w:style>
  <w:style w:type="paragraph" w:customStyle="1" w:styleId="FigureNo">
    <w:name w:val="Figure_No"/>
    <w:basedOn w:val="Normal"/>
    <w:next w:val="Normal"/>
    <w:rsid w:val="000F62B4"/>
    <w:pPr>
      <w:keepNext/>
      <w:keepLines/>
      <w:tabs>
        <w:tab w:val="clear" w:pos="794"/>
        <w:tab w:val="clear" w:pos="1191"/>
        <w:tab w:val="clear" w:pos="1588"/>
        <w:tab w:val="clear" w:pos="1985"/>
        <w:tab w:val="left" w:pos="1134"/>
        <w:tab w:val="left" w:pos="1871"/>
        <w:tab w:val="left" w:pos="2268"/>
      </w:tabs>
      <w:spacing w:before="480" w:after="120"/>
      <w:jc w:val="center"/>
    </w:pPr>
    <w:rPr>
      <w:sz w:val="20"/>
      <w:lang w:val="en-GB"/>
    </w:rPr>
  </w:style>
  <w:style w:type="character" w:customStyle="1" w:styleId="ui-provider">
    <w:name w:val="ui-provider"/>
    <w:basedOn w:val="DefaultParagraphFont"/>
    <w:rsid w:val="000F62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R00-CACE-CIR-1131/es" TargetMode="External"/><Relationship Id="rId18" Type="http://schemas.openxmlformats.org/officeDocument/2006/relationships/hyperlink" Target="https://www.itu.int/md/R00-SG04-CIR-0140/es" TargetMode="External"/><Relationship Id="rId26" Type="http://schemas.openxmlformats.org/officeDocument/2006/relationships/hyperlink" Target="https://www.itu.int/md/R23-RA23-C-0091/es" TargetMode="External"/><Relationship Id="rId39" Type="http://schemas.openxmlformats.org/officeDocument/2006/relationships/hyperlink" Target="https://www.itu.int/pub/R-REP-BT.2385-1-2022/es" TargetMode="External"/><Relationship Id="rId21" Type="http://schemas.openxmlformats.org/officeDocument/2006/relationships/hyperlink" Target="https://www.itu.int/en/ITU-R/seminars/sg6-tmmb-2024/Pages/default.aspx" TargetMode="External"/><Relationship Id="rId34" Type="http://schemas.openxmlformats.org/officeDocument/2006/relationships/header" Target="header2.xml"/><Relationship Id="rId42" Type="http://schemas.openxmlformats.org/officeDocument/2006/relationships/hyperlink" Target="https://www.itu.int/rec/R-REC-BT.2167/es"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tu.int/oth/R0A04000095/es" TargetMode="External"/><Relationship Id="rId29" Type="http://schemas.openxmlformats.org/officeDocument/2006/relationships/hyperlink" Target="https://www.itu.int/pub/R-RES-R.60/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oth/R0A0E000097/es" TargetMode="External"/><Relationship Id="rId24" Type="http://schemas.openxmlformats.org/officeDocument/2006/relationships/hyperlink" Target="https://www.itu.int/br_tsb_terms/" TargetMode="External"/><Relationship Id="rId32" Type="http://schemas.openxmlformats.org/officeDocument/2006/relationships/hyperlink" Target="https://www.itu.int/md/R00-CA-CIR-0273/es" TargetMode="External"/><Relationship Id="rId37" Type="http://schemas.openxmlformats.org/officeDocument/2006/relationships/hyperlink" Target="https://www.itu.int/md/R23-WP6C-C-0077/en" TargetMode="External"/><Relationship Id="rId40" Type="http://schemas.openxmlformats.org/officeDocument/2006/relationships/hyperlink" Target="https://www.itu.int/pub/R-REP-BT.2521/es"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itu.int/oth/R0A04000096/es" TargetMode="External"/><Relationship Id="rId23" Type="http://schemas.openxmlformats.org/officeDocument/2006/relationships/hyperlink" Target="https://www.itu.int/md/S23-SG-CIR-0045/es" TargetMode="External"/><Relationship Id="rId28" Type="http://schemas.openxmlformats.org/officeDocument/2006/relationships/hyperlink" Target="https://www.itu.int/pub/R-RES-R.9/es" TargetMode="External"/><Relationship Id="rId36" Type="http://schemas.openxmlformats.org/officeDocument/2006/relationships/hyperlink" Target="https://www.itu.int/pub/R-OP-R.104/es" TargetMode="External"/><Relationship Id="rId10" Type="http://schemas.openxmlformats.org/officeDocument/2006/relationships/chart" Target="charts/chart1.xml"/><Relationship Id="rId19" Type="http://schemas.openxmlformats.org/officeDocument/2006/relationships/hyperlink" Target="https://www.itu.int/en/ITU-R/seminars/Future-of-tv-europe/Pages/default.aspx" TargetMode="External"/><Relationship Id="rId31" Type="http://schemas.openxmlformats.org/officeDocument/2006/relationships/hyperlink" Target="https://www.itu.int/pub/R-RES-R.75/es" TargetMode="External"/><Relationship Id="rId44"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itu.int/md/R00-CA-CIR-0276/es" TargetMode="External"/><Relationship Id="rId14" Type="http://schemas.openxmlformats.org/officeDocument/2006/relationships/hyperlink" Target="https://www.itu.int/md/R00-SG01-CIR-0113/es" TargetMode="External"/><Relationship Id="rId22" Type="http://schemas.openxmlformats.org/officeDocument/2006/relationships/hyperlink" Target="https://www.itu.int/en/general-secretariat/Pages/coordination-committee-for-terminology.aspx" TargetMode="External"/><Relationship Id="rId27" Type="http://schemas.openxmlformats.org/officeDocument/2006/relationships/hyperlink" Target="https://www.itu.int/md/R23-RAG-C-0030/en" TargetMode="External"/><Relationship Id="rId30" Type="http://schemas.openxmlformats.org/officeDocument/2006/relationships/hyperlink" Target="https://www.itu.int/en/ITU-R/study-groups/Pages/Sustainable-dev-goals.aspx" TargetMode="External"/><Relationship Id="rId35" Type="http://schemas.openxmlformats.org/officeDocument/2006/relationships/hyperlink" Target="https://www.itu.int/pub/R-QUE-SG06.147/es" TargetMode="External"/><Relationship Id="rId43" Type="http://schemas.openxmlformats.org/officeDocument/2006/relationships/hyperlink" Target="https://www.itu.int/dms_ties/itu-r/md/23/wp6c/c/R23-WP6C-C-0037!H3-N3.01!MSW-E.docx" TargetMode="Externa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s://www.itu.int/md/R23-SG01-C-0027/es" TargetMode="External"/><Relationship Id="rId17" Type="http://schemas.openxmlformats.org/officeDocument/2006/relationships/hyperlink" Target="https://www.itu.int/md/R00-CACE-CIR-1129/es" TargetMode="External"/><Relationship Id="rId25" Type="http://schemas.openxmlformats.org/officeDocument/2006/relationships/hyperlink" Target="https://www.itu.int/md/R23-RA23-C-0101/es" TargetMode="External"/><Relationship Id="rId33" Type="http://schemas.openxmlformats.org/officeDocument/2006/relationships/header" Target="header1.xml"/><Relationship Id="rId38" Type="http://schemas.openxmlformats.org/officeDocument/2006/relationships/hyperlink" Target="https://www.itu.int/dms_ties/itu-r/md/23/wp6c/c/R23-WP6C-C-0077!H4-N4.01!MSW-E.docx" TargetMode="External"/><Relationship Id="rId46" Type="http://schemas.openxmlformats.org/officeDocument/2006/relationships/theme" Target="theme/theme1.xml"/><Relationship Id="rId20" Type="http://schemas.openxmlformats.org/officeDocument/2006/relationships/hyperlink" Target="https://www.itu.int/dms_pub/itu-r/oth/0a/07/R0A070000470001PDFE.pdf" TargetMode="External"/><Relationship Id="rId41" Type="http://schemas.openxmlformats.org/officeDocument/2006/relationships/hyperlink" Target="https://www.itu.int/pub/R-REP-BT.2540/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yala\AppData\Roaming\Microsoft\Templates\POOL%20S%20-%20ITU\BR\PS_RAG.dotm"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Physical</c:v>
                </c:pt>
              </c:strCache>
            </c:strRef>
          </c:tx>
          <c:spPr>
            <a:solidFill>
              <a:schemeClr val="accent1"/>
            </a:solidFill>
            <a:ln>
              <a:noFill/>
            </a:ln>
            <a:effectLst/>
          </c:spPr>
          <c:invertIfNegative val="0"/>
          <c:dPt>
            <c:idx val="4"/>
            <c:invertIfNegative val="0"/>
            <c:bubble3D val="0"/>
            <c:spPr>
              <a:solidFill>
                <a:srgbClr val="B85410"/>
              </a:solidFill>
              <a:ln>
                <a:noFill/>
              </a:ln>
              <a:effectLst/>
            </c:spPr>
            <c:extLst>
              <c:ext xmlns:c16="http://schemas.microsoft.com/office/drawing/2014/chart" uri="{C3380CC4-5D6E-409C-BE32-E72D297353CC}">
                <c16:uniqueId val="{00000001-6CF4-4738-9063-109FD1DCCDFA}"/>
              </c:ext>
            </c:extLst>
          </c:dPt>
          <c:dPt>
            <c:idx val="5"/>
            <c:invertIfNegative val="0"/>
            <c:bubble3D val="0"/>
            <c:spPr>
              <a:solidFill>
                <a:srgbClr val="ED7D31"/>
              </a:solidFill>
              <a:ln>
                <a:noFill/>
              </a:ln>
              <a:effectLst/>
            </c:spPr>
            <c:extLst>
              <c:ext xmlns:c16="http://schemas.microsoft.com/office/drawing/2014/chart" uri="{C3380CC4-5D6E-409C-BE32-E72D297353CC}">
                <c16:uniqueId val="{00000003-6CF4-4738-9063-109FD1DCCDFA}"/>
              </c:ext>
            </c:extLst>
          </c:dPt>
          <c:dPt>
            <c:idx val="6"/>
            <c:invertIfNegative val="0"/>
            <c:bubble3D val="0"/>
            <c:spPr>
              <a:solidFill>
                <a:srgbClr val="ED7D31"/>
              </a:solidFill>
              <a:ln>
                <a:noFill/>
              </a:ln>
              <a:effectLst/>
            </c:spPr>
            <c:extLst>
              <c:ext xmlns:c16="http://schemas.microsoft.com/office/drawing/2014/chart" uri="{C3380CC4-5D6E-409C-BE32-E72D297353CC}">
                <c16:uniqueId val="{00000005-6CF4-4738-9063-109FD1DCCDFA}"/>
              </c:ext>
            </c:extLst>
          </c:dPt>
          <c:dPt>
            <c:idx val="7"/>
            <c:invertIfNegative val="0"/>
            <c:bubble3D val="0"/>
            <c:spPr>
              <a:solidFill>
                <a:srgbClr val="ED7D31"/>
              </a:solidFill>
              <a:ln>
                <a:noFill/>
              </a:ln>
              <a:effectLst/>
            </c:spPr>
            <c:extLst>
              <c:ext xmlns:c16="http://schemas.microsoft.com/office/drawing/2014/chart" uri="{C3380CC4-5D6E-409C-BE32-E72D297353CC}">
                <c16:uniqueId val="{00000007-6CF4-4738-9063-109FD1DCCDFA}"/>
              </c:ext>
            </c:extLst>
          </c:dPt>
          <c:dPt>
            <c:idx val="8"/>
            <c:invertIfNegative val="0"/>
            <c:bubble3D val="0"/>
            <c:spPr>
              <a:solidFill>
                <a:srgbClr val="ED7D31"/>
              </a:solidFill>
              <a:ln>
                <a:noFill/>
              </a:ln>
              <a:effectLst/>
            </c:spPr>
            <c:extLst>
              <c:ext xmlns:c16="http://schemas.microsoft.com/office/drawing/2014/chart" uri="{C3380CC4-5D6E-409C-BE32-E72D297353CC}">
                <c16:uniqueId val="{00000009-6CF4-4738-9063-109FD1DCCDFA}"/>
              </c:ext>
            </c:extLst>
          </c:dPt>
          <c:dPt>
            <c:idx val="9"/>
            <c:invertIfNegative val="0"/>
            <c:bubble3D val="0"/>
            <c:spPr>
              <a:solidFill>
                <a:srgbClr val="00823B"/>
              </a:solidFill>
              <a:ln>
                <a:noFill/>
              </a:ln>
              <a:effectLst/>
            </c:spPr>
            <c:extLst>
              <c:ext xmlns:c16="http://schemas.microsoft.com/office/drawing/2014/chart" uri="{C3380CC4-5D6E-409C-BE32-E72D297353CC}">
                <c16:uniqueId val="{0000000B-6CF4-4738-9063-109FD1DCCDFA}"/>
              </c:ext>
            </c:extLst>
          </c:dPt>
          <c:dPt>
            <c:idx val="10"/>
            <c:invertIfNegative val="0"/>
            <c:bubble3D val="0"/>
            <c:spPr>
              <a:solidFill>
                <a:srgbClr val="00B050"/>
              </a:solidFill>
              <a:ln>
                <a:noFill/>
              </a:ln>
              <a:effectLst/>
            </c:spPr>
            <c:extLst>
              <c:ext xmlns:c16="http://schemas.microsoft.com/office/drawing/2014/chart" uri="{C3380CC4-5D6E-409C-BE32-E72D297353CC}">
                <c16:uniqueId val="{0000000D-6CF4-4738-9063-109FD1DCCDFA}"/>
              </c:ext>
            </c:extLst>
          </c:dPt>
          <c:dPt>
            <c:idx val="11"/>
            <c:invertIfNegative val="0"/>
            <c:bubble3D val="0"/>
            <c:spPr>
              <a:solidFill>
                <a:srgbClr val="00B050"/>
              </a:solidFill>
              <a:ln>
                <a:noFill/>
              </a:ln>
              <a:effectLst/>
            </c:spPr>
            <c:extLst>
              <c:ext xmlns:c16="http://schemas.microsoft.com/office/drawing/2014/chart" uri="{C3380CC4-5D6E-409C-BE32-E72D297353CC}">
                <c16:uniqueId val="{0000000F-6CF4-4738-9063-109FD1DCCDFA}"/>
              </c:ext>
            </c:extLst>
          </c:dPt>
          <c:dPt>
            <c:idx val="12"/>
            <c:invertIfNegative val="0"/>
            <c:bubble3D val="0"/>
            <c:spPr>
              <a:solidFill>
                <a:srgbClr val="00B050"/>
              </a:solidFill>
              <a:ln>
                <a:noFill/>
              </a:ln>
              <a:effectLst/>
            </c:spPr>
            <c:extLst>
              <c:ext xmlns:c16="http://schemas.microsoft.com/office/drawing/2014/chart" uri="{C3380CC4-5D6E-409C-BE32-E72D297353CC}">
                <c16:uniqueId val="{00000011-6CF4-4738-9063-109FD1DCCDFA}"/>
              </c:ext>
            </c:extLst>
          </c:dPt>
          <c:dPt>
            <c:idx val="13"/>
            <c:invertIfNegative val="0"/>
            <c:bubble3D val="0"/>
            <c:spPr>
              <a:solidFill>
                <a:srgbClr val="532476"/>
              </a:solidFill>
              <a:ln>
                <a:noFill/>
              </a:ln>
              <a:effectLst/>
            </c:spPr>
            <c:extLst>
              <c:ext xmlns:c16="http://schemas.microsoft.com/office/drawing/2014/chart" uri="{C3380CC4-5D6E-409C-BE32-E72D297353CC}">
                <c16:uniqueId val="{00000013-6CF4-4738-9063-109FD1DCCDFA}"/>
              </c:ext>
            </c:extLst>
          </c:dPt>
          <c:dPt>
            <c:idx val="14"/>
            <c:invertIfNegative val="0"/>
            <c:bubble3D val="0"/>
            <c:spPr>
              <a:solidFill>
                <a:srgbClr val="7030A0"/>
              </a:solidFill>
              <a:ln>
                <a:noFill/>
              </a:ln>
              <a:effectLst/>
            </c:spPr>
            <c:extLst>
              <c:ext xmlns:c16="http://schemas.microsoft.com/office/drawing/2014/chart" uri="{C3380CC4-5D6E-409C-BE32-E72D297353CC}">
                <c16:uniqueId val="{00000015-6CF4-4738-9063-109FD1DCCDFA}"/>
              </c:ext>
            </c:extLst>
          </c:dPt>
          <c:dPt>
            <c:idx val="15"/>
            <c:invertIfNegative val="0"/>
            <c:bubble3D val="0"/>
            <c:spPr>
              <a:solidFill>
                <a:srgbClr val="7030A0"/>
              </a:solidFill>
              <a:ln>
                <a:noFill/>
              </a:ln>
              <a:effectLst/>
            </c:spPr>
            <c:extLst>
              <c:ext xmlns:c16="http://schemas.microsoft.com/office/drawing/2014/chart" uri="{C3380CC4-5D6E-409C-BE32-E72D297353CC}">
                <c16:uniqueId val="{00000017-6CF4-4738-9063-109FD1DCCDFA}"/>
              </c:ext>
            </c:extLst>
          </c:dPt>
          <c:dPt>
            <c:idx val="16"/>
            <c:invertIfNegative val="0"/>
            <c:bubble3D val="0"/>
            <c:spPr>
              <a:solidFill>
                <a:srgbClr val="7030A0"/>
              </a:solidFill>
              <a:ln>
                <a:noFill/>
              </a:ln>
              <a:effectLst/>
            </c:spPr>
            <c:extLst>
              <c:ext xmlns:c16="http://schemas.microsoft.com/office/drawing/2014/chart" uri="{C3380CC4-5D6E-409C-BE32-E72D297353CC}">
                <c16:uniqueId val="{00000019-6CF4-4738-9063-109FD1DCCDFA}"/>
              </c:ext>
            </c:extLst>
          </c:dPt>
          <c:dPt>
            <c:idx val="17"/>
            <c:invertIfNegative val="0"/>
            <c:bubble3D val="0"/>
            <c:spPr>
              <a:solidFill>
                <a:srgbClr val="7030A0"/>
              </a:solidFill>
              <a:ln>
                <a:noFill/>
              </a:ln>
              <a:effectLst/>
            </c:spPr>
            <c:extLst>
              <c:ext xmlns:c16="http://schemas.microsoft.com/office/drawing/2014/chart" uri="{C3380CC4-5D6E-409C-BE32-E72D297353CC}">
                <c16:uniqueId val="{0000001B-6CF4-4738-9063-109FD1DCCDFA}"/>
              </c:ext>
            </c:extLst>
          </c:dPt>
          <c:dPt>
            <c:idx val="18"/>
            <c:invertIfNegative val="0"/>
            <c:bubble3D val="0"/>
            <c:spPr>
              <a:solidFill>
                <a:srgbClr val="A80000"/>
              </a:solidFill>
              <a:ln>
                <a:noFill/>
              </a:ln>
              <a:effectLst/>
            </c:spPr>
            <c:extLst>
              <c:ext xmlns:c16="http://schemas.microsoft.com/office/drawing/2014/chart" uri="{C3380CC4-5D6E-409C-BE32-E72D297353CC}">
                <c16:uniqueId val="{0000001D-6CF4-4738-9063-109FD1DCCDFA}"/>
              </c:ext>
            </c:extLst>
          </c:dPt>
          <c:dPt>
            <c:idx val="19"/>
            <c:invertIfNegative val="0"/>
            <c:bubble3D val="0"/>
            <c:spPr>
              <a:solidFill>
                <a:srgbClr val="C00000"/>
              </a:solidFill>
              <a:ln>
                <a:noFill/>
              </a:ln>
              <a:effectLst/>
            </c:spPr>
            <c:extLst>
              <c:ext xmlns:c16="http://schemas.microsoft.com/office/drawing/2014/chart" uri="{C3380CC4-5D6E-409C-BE32-E72D297353CC}">
                <c16:uniqueId val="{0000001F-6CF4-4738-9063-109FD1DCCDFA}"/>
              </c:ext>
            </c:extLst>
          </c:dPt>
          <c:dPt>
            <c:idx val="20"/>
            <c:invertIfNegative val="0"/>
            <c:bubble3D val="0"/>
            <c:spPr>
              <a:solidFill>
                <a:srgbClr val="C00000"/>
              </a:solidFill>
              <a:ln>
                <a:noFill/>
              </a:ln>
              <a:effectLst/>
            </c:spPr>
            <c:extLst>
              <c:ext xmlns:c16="http://schemas.microsoft.com/office/drawing/2014/chart" uri="{C3380CC4-5D6E-409C-BE32-E72D297353CC}">
                <c16:uniqueId val="{00000021-6CF4-4738-9063-109FD1DCCDFA}"/>
              </c:ext>
            </c:extLst>
          </c:dPt>
          <c:dPt>
            <c:idx val="21"/>
            <c:invertIfNegative val="0"/>
            <c:bubble3D val="0"/>
            <c:spPr>
              <a:solidFill>
                <a:srgbClr val="C00000"/>
              </a:solidFill>
              <a:ln>
                <a:noFill/>
              </a:ln>
              <a:effectLst/>
            </c:spPr>
            <c:extLst>
              <c:ext xmlns:c16="http://schemas.microsoft.com/office/drawing/2014/chart" uri="{C3380CC4-5D6E-409C-BE32-E72D297353CC}">
                <c16:uniqueId val="{00000023-6CF4-4738-9063-109FD1DCCDFA}"/>
              </c:ext>
            </c:extLst>
          </c:dPt>
          <c:dPt>
            <c:idx val="22"/>
            <c:invertIfNegative val="0"/>
            <c:bubble3D val="0"/>
            <c:spPr>
              <a:solidFill>
                <a:schemeClr val="bg1">
                  <a:lumMod val="50000"/>
                </a:schemeClr>
              </a:solidFill>
              <a:ln>
                <a:noFill/>
              </a:ln>
              <a:effectLst/>
            </c:spPr>
            <c:extLst>
              <c:ext xmlns:c16="http://schemas.microsoft.com/office/drawing/2014/chart" uri="{C3380CC4-5D6E-409C-BE32-E72D297353CC}">
                <c16:uniqueId val="{00000025-6CF4-4738-9063-109FD1DCCDFA}"/>
              </c:ext>
            </c:extLst>
          </c:dPt>
          <c:dPt>
            <c:idx val="23"/>
            <c:invertIfNegative val="0"/>
            <c:bubble3D val="0"/>
            <c:spPr>
              <a:solidFill>
                <a:schemeClr val="bg1">
                  <a:lumMod val="65000"/>
                </a:schemeClr>
              </a:solidFill>
              <a:ln>
                <a:noFill/>
              </a:ln>
              <a:effectLst/>
            </c:spPr>
            <c:extLst>
              <c:ext xmlns:c16="http://schemas.microsoft.com/office/drawing/2014/chart" uri="{C3380CC4-5D6E-409C-BE32-E72D297353CC}">
                <c16:uniqueId val="{00000027-6CF4-4738-9063-109FD1DCCDFA}"/>
              </c:ext>
            </c:extLst>
          </c:dPt>
          <c:dPt>
            <c:idx val="24"/>
            <c:invertIfNegative val="0"/>
            <c:bubble3D val="0"/>
            <c:spPr>
              <a:solidFill>
                <a:schemeClr val="bg1">
                  <a:lumMod val="65000"/>
                </a:schemeClr>
              </a:solidFill>
              <a:ln>
                <a:noFill/>
              </a:ln>
              <a:effectLst/>
            </c:spPr>
            <c:extLst>
              <c:ext xmlns:c16="http://schemas.microsoft.com/office/drawing/2014/chart" uri="{C3380CC4-5D6E-409C-BE32-E72D297353CC}">
                <c16:uniqueId val="{00000029-6CF4-4738-9063-109FD1DCCDFA}"/>
              </c:ext>
            </c:extLst>
          </c:dPt>
          <c:dPt>
            <c:idx val="25"/>
            <c:invertIfNegative val="0"/>
            <c:bubble3D val="0"/>
            <c:spPr>
              <a:solidFill>
                <a:schemeClr val="bg1">
                  <a:lumMod val="65000"/>
                </a:schemeClr>
              </a:solidFill>
              <a:ln>
                <a:noFill/>
              </a:ln>
              <a:effectLst/>
            </c:spPr>
            <c:extLst>
              <c:ext xmlns:c16="http://schemas.microsoft.com/office/drawing/2014/chart" uri="{C3380CC4-5D6E-409C-BE32-E72D297353CC}">
                <c16:uniqueId val="{0000002B-6CF4-4738-9063-109FD1DCCDFA}"/>
              </c:ext>
            </c:extLst>
          </c:dPt>
          <c:dPt>
            <c:idx val="26"/>
            <c:invertIfNegative val="0"/>
            <c:bubble3D val="0"/>
            <c:spPr>
              <a:solidFill>
                <a:schemeClr val="bg1">
                  <a:lumMod val="65000"/>
                </a:schemeClr>
              </a:solidFill>
              <a:ln>
                <a:noFill/>
              </a:ln>
              <a:effectLst/>
            </c:spPr>
            <c:extLst>
              <c:ext xmlns:c16="http://schemas.microsoft.com/office/drawing/2014/chart" uri="{C3380CC4-5D6E-409C-BE32-E72D297353CC}">
                <c16:uniqueId val="{0000002D-6CF4-4738-9063-109FD1DCCDFA}"/>
              </c:ext>
            </c:extLst>
          </c:dPt>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s-E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Sheet1!$A$2:$A$28</c:f>
              <c:strCache>
                <c:ptCount val="27"/>
                <c:pt idx="0">
                  <c:v>CE 1</c:v>
                </c:pt>
                <c:pt idx="1">
                  <c:v>GT 1A</c:v>
                </c:pt>
                <c:pt idx="2">
                  <c:v>GT 1B</c:v>
                </c:pt>
                <c:pt idx="3">
                  <c:v>GT 1C</c:v>
                </c:pt>
                <c:pt idx="4">
                  <c:v>CE 3</c:v>
                </c:pt>
                <c:pt idx="5">
                  <c:v>GT 3J</c:v>
                </c:pt>
                <c:pt idx="6">
                  <c:v>GT 3K</c:v>
                </c:pt>
                <c:pt idx="7">
                  <c:v>GT 3L</c:v>
                </c:pt>
                <c:pt idx="8">
                  <c:v>GT 3M</c:v>
                </c:pt>
                <c:pt idx="9">
                  <c:v>CE 4</c:v>
                </c:pt>
                <c:pt idx="10">
                  <c:v>GT 4A</c:v>
                </c:pt>
                <c:pt idx="11">
                  <c:v>GT 4B</c:v>
                </c:pt>
                <c:pt idx="12">
                  <c:v>GT 4C</c:v>
                </c:pt>
                <c:pt idx="13">
                  <c:v>CE 5</c:v>
                </c:pt>
                <c:pt idx="14">
                  <c:v>GT 5A</c:v>
                </c:pt>
                <c:pt idx="15">
                  <c:v>GT 5B</c:v>
                </c:pt>
                <c:pt idx="16">
                  <c:v>GT 5C</c:v>
                </c:pt>
                <c:pt idx="17">
                  <c:v>GT 5D</c:v>
                </c:pt>
                <c:pt idx="18">
                  <c:v>CE 6</c:v>
                </c:pt>
                <c:pt idx="19">
                  <c:v>GT 6A</c:v>
                </c:pt>
                <c:pt idx="20">
                  <c:v>GT 6B</c:v>
                </c:pt>
                <c:pt idx="21">
                  <c:v>GT 6C</c:v>
                </c:pt>
                <c:pt idx="22">
                  <c:v>CE 7</c:v>
                </c:pt>
                <c:pt idx="23">
                  <c:v>GT 7A</c:v>
                </c:pt>
                <c:pt idx="24">
                  <c:v>GT 7B</c:v>
                </c:pt>
                <c:pt idx="25">
                  <c:v>GT 7C</c:v>
                </c:pt>
                <c:pt idx="26">
                  <c:v>GT 7D</c:v>
                </c:pt>
              </c:strCache>
            </c:strRef>
          </c:cat>
          <c:val>
            <c:numRef>
              <c:f>Sheet1!$B$2:$B$28</c:f>
              <c:numCache>
                <c:formatCode>General</c:formatCode>
                <c:ptCount val="27"/>
                <c:pt idx="0">
                  <c:v>141</c:v>
                </c:pt>
                <c:pt idx="1">
                  <c:v>110</c:v>
                </c:pt>
                <c:pt idx="2">
                  <c:v>93</c:v>
                </c:pt>
                <c:pt idx="3">
                  <c:v>109</c:v>
                </c:pt>
                <c:pt idx="4">
                  <c:v>51</c:v>
                </c:pt>
                <c:pt idx="5">
                  <c:v>57</c:v>
                </c:pt>
                <c:pt idx="6">
                  <c:v>53</c:v>
                </c:pt>
                <c:pt idx="7">
                  <c:v>43</c:v>
                </c:pt>
                <c:pt idx="8">
                  <c:v>54</c:v>
                </c:pt>
                <c:pt idx="9">
                  <c:v>208</c:v>
                </c:pt>
                <c:pt idx="10">
                  <c:v>443</c:v>
                </c:pt>
                <c:pt idx="11">
                  <c:v>206</c:v>
                </c:pt>
                <c:pt idx="12">
                  <c:v>347</c:v>
                </c:pt>
                <c:pt idx="13">
                  <c:v>150</c:v>
                </c:pt>
                <c:pt idx="14">
                  <c:v>179</c:v>
                </c:pt>
                <c:pt idx="15">
                  <c:v>183</c:v>
                </c:pt>
                <c:pt idx="16">
                  <c:v>142</c:v>
                </c:pt>
                <c:pt idx="17">
                  <c:v>307</c:v>
                </c:pt>
                <c:pt idx="18">
                  <c:v>117</c:v>
                </c:pt>
                <c:pt idx="19">
                  <c:v>92</c:v>
                </c:pt>
                <c:pt idx="20">
                  <c:v>67</c:v>
                </c:pt>
                <c:pt idx="21">
                  <c:v>78</c:v>
                </c:pt>
                <c:pt idx="22">
                  <c:v>136</c:v>
                </c:pt>
                <c:pt idx="23">
                  <c:v>108</c:v>
                </c:pt>
                <c:pt idx="24">
                  <c:v>106</c:v>
                </c:pt>
                <c:pt idx="25">
                  <c:v>105</c:v>
                </c:pt>
                <c:pt idx="26">
                  <c:v>85</c:v>
                </c:pt>
              </c:numCache>
            </c:numRef>
          </c:val>
          <c:extLst>
            <c:ext xmlns:c16="http://schemas.microsoft.com/office/drawing/2014/chart" uri="{C3380CC4-5D6E-409C-BE32-E72D297353CC}">
              <c16:uniqueId val="{0000002E-6CF4-4738-9063-109FD1DCCDFA}"/>
            </c:ext>
          </c:extLst>
        </c:ser>
        <c:dLbls>
          <c:dLblPos val="outEnd"/>
          <c:showLegendKey val="0"/>
          <c:showVal val="1"/>
          <c:showCatName val="0"/>
          <c:showSerName val="0"/>
          <c:showPercent val="0"/>
          <c:showBubbleSize val="0"/>
        </c:dLbls>
        <c:gapWidth val="444"/>
        <c:overlap val="-90"/>
        <c:axId val="883584144"/>
        <c:axId val="883574064"/>
      </c:barChart>
      <c:catAx>
        <c:axId val="883584144"/>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800" b="0" i="0" u="none" strike="noStrike" kern="1200" cap="all" baseline="0">
                    <a:solidFill>
                      <a:schemeClr val="tx1">
                        <a:lumMod val="65000"/>
                        <a:lumOff val="35000"/>
                      </a:schemeClr>
                    </a:solidFill>
                    <a:latin typeface="+mn-lt"/>
                    <a:ea typeface="+mn-ea"/>
                    <a:cs typeface="+mn-cs"/>
                  </a:defRPr>
                </a:pPr>
                <a:r>
                  <a:rPr lang="en-GB" sz="800" cap="none" dirty="0"/>
                  <a:t>Comisión /Grupo</a:t>
                </a:r>
                <a:endParaRPr lang="en-GB" sz="800" dirty="0"/>
              </a:p>
            </c:rich>
          </c:tx>
          <c:overlay val="0"/>
          <c:spPr>
            <a:noFill/>
            <a:ln>
              <a:noFill/>
            </a:ln>
            <a:effectLst/>
          </c:spPr>
          <c:txPr>
            <a:bodyPr rot="0" spcFirstLastPara="1" vertOverflow="ellipsis" vert="horz" wrap="square" anchor="ctr" anchorCtr="1"/>
            <a:lstStyle/>
            <a:p>
              <a:pPr>
                <a:defRPr sz="800" b="0" i="0" u="none" strike="noStrike" kern="1200" cap="all" baseline="0">
                  <a:solidFill>
                    <a:schemeClr val="tx1">
                      <a:lumMod val="65000"/>
                      <a:lumOff val="35000"/>
                    </a:schemeClr>
                  </a:solidFill>
                  <a:latin typeface="+mn-lt"/>
                  <a:ea typeface="+mn-ea"/>
                  <a:cs typeface="+mn-cs"/>
                </a:defRPr>
              </a:pPr>
              <a:endParaRPr lang="en-GB"/>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0" spcFirstLastPara="1" vertOverflow="ellipsis" wrap="square" anchor="ctr" anchorCtr="1"/>
          <a:lstStyle/>
          <a:p>
            <a:pPr>
              <a:defRPr sz="500" b="0" i="0" u="none" strike="noStrike" kern="1200" cap="all" spc="120" normalizeH="0" baseline="0">
                <a:solidFill>
                  <a:schemeClr val="tx1">
                    <a:lumMod val="65000"/>
                    <a:lumOff val="35000"/>
                  </a:schemeClr>
                </a:solidFill>
                <a:latin typeface="+mn-lt"/>
                <a:ea typeface="+mn-ea"/>
                <a:cs typeface="+mn-cs"/>
              </a:defRPr>
            </a:pPr>
            <a:endParaRPr lang="es-ES"/>
          </a:p>
        </c:txPr>
        <c:crossAx val="883574064"/>
        <c:crosses val="autoZero"/>
        <c:auto val="1"/>
        <c:lblAlgn val="ctr"/>
        <c:lblOffset val="100"/>
        <c:noMultiLvlLbl val="0"/>
      </c:catAx>
      <c:valAx>
        <c:axId val="883574064"/>
        <c:scaling>
          <c:orientation val="minMax"/>
        </c:scaling>
        <c:delete val="1"/>
        <c:axPos val="l"/>
        <c:title>
          <c:tx>
            <c:rich>
              <a:bodyPr rot="-5400000" spcFirstLastPara="1" vertOverflow="ellipsis" vert="horz" wrap="square" anchor="ctr" anchorCtr="1"/>
              <a:lstStyle/>
              <a:p>
                <a:pPr>
                  <a:defRPr sz="800" b="0" i="0" u="none" strike="noStrike" kern="1200" cap="all" baseline="0">
                    <a:solidFill>
                      <a:schemeClr val="tx1">
                        <a:lumMod val="65000"/>
                        <a:lumOff val="35000"/>
                      </a:schemeClr>
                    </a:solidFill>
                    <a:latin typeface="+mn-lt"/>
                    <a:ea typeface="+mn-ea"/>
                    <a:cs typeface="+mn-cs"/>
                  </a:defRPr>
                </a:pPr>
                <a:r>
                  <a:rPr lang="es-ES" sz="800" b="0" i="0" u="sng" strike="noStrike" cap="all" baseline="0">
                    <a:effectLst/>
                  </a:rPr>
                  <a:t>Número de participantes presenciales</a:t>
                </a:r>
                <a:endParaRPr lang="en-GB" sz="800" cap="none" dirty="0"/>
              </a:p>
            </c:rich>
          </c:tx>
          <c:layout>
            <c:manualLayout>
              <c:xMode val="edge"/>
              <c:yMode val="edge"/>
              <c:x val="2.2826312512969495E-2"/>
              <c:y val="0.10523698770191497"/>
            </c:manualLayout>
          </c:layout>
          <c:overlay val="0"/>
          <c:spPr>
            <a:noFill/>
            <a:ln>
              <a:noFill/>
            </a:ln>
            <a:effectLst/>
          </c:spPr>
          <c:txPr>
            <a:bodyPr rot="-5400000" spcFirstLastPara="1" vertOverflow="ellipsis" vert="horz" wrap="square" anchor="ctr" anchorCtr="1"/>
            <a:lstStyle/>
            <a:p>
              <a:pPr>
                <a:defRPr sz="800" b="0" i="0" u="none" strike="noStrike" kern="1200" cap="all" baseline="0">
                  <a:solidFill>
                    <a:schemeClr val="tx1">
                      <a:lumMod val="65000"/>
                      <a:lumOff val="35000"/>
                    </a:schemeClr>
                  </a:solidFill>
                  <a:latin typeface="+mn-lt"/>
                  <a:ea typeface="+mn-ea"/>
                  <a:cs typeface="+mn-cs"/>
                </a:defRPr>
              </a:pPr>
              <a:endParaRPr lang="en-GB"/>
            </a:p>
          </c:txPr>
        </c:title>
        <c:numFmt formatCode="General" sourceLinked="1"/>
        <c:majorTickMark val="none"/>
        <c:minorTickMark val="none"/>
        <c:tickLblPos val="nextTo"/>
        <c:crossAx val="88358414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s-E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1197"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064"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1197" kern="1200"/>
  </cs:chartArea>
  <cs:dataLabel>
    <cs:lnRef idx="0"/>
    <cs:fillRef idx="0"/>
    <cs:effectRef idx="0"/>
    <cs:fontRef idx="minor">
      <a:schemeClr val="tx1">
        <a:lumMod val="50000"/>
        <a:lumOff val="50000"/>
      </a:schemeClr>
    </cs:fontRef>
    <cs:defRPr sz="1064"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1197"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2128"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1064"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1197"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174772-696A-4A2F-A801-759C12211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PS_RAG.dotm</Template>
  <TotalTime>264</TotalTime>
  <Pages>20</Pages>
  <Words>7595</Words>
  <Characters>43712</Characters>
  <Application>Microsoft Office Word</Application>
  <DocSecurity>0</DocSecurity>
  <Lines>364</Lines>
  <Paragraphs>102</Paragraphs>
  <ScaleCrop>false</ScaleCrop>
  <HeadingPairs>
    <vt:vector size="2" baseType="variant">
      <vt:variant>
        <vt:lpstr>Title</vt:lpstr>
      </vt:variant>
      <vt:variant>
        <vt:i4>1</vt:i4>
      </vt:variant>
    </vt:vector>
  </HeadingPairs>
  <TitlesOfParts>
    <vt:vector size="1" baseType="lpstr">
      <vt:lpstr>INFORME A LA TRIGÉSIMA PRIMERA REUNIÓN DEL GRUPO ASESOR DE RADIOCOMUNICACIONES</vt:lpstr>
    </vt:vector>
  </TitlesOfParts>
  <Manager>General Secretariat - Pool</Manager>
  <Company>International Telecommunication Union (ITU)</Company>
  <LinksUpToDate>false</LinksUpToDate>
  <CharactersWithSpaces>51205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A LA TRIGÉSIMA PRIMERA REUNIÓN DEL GRUPO ASESOR DE RADIOCOMUNICACIONES</dc:title>
  <dc:subject>GRUPO ASESOR DE RADIOCOMUNICACIONES</dc:subject>
  <dc:creator>Director de la Oficina de Radiocomunicaciones</dc:creator>
  <cp:keywords>RAG03-1</cp:keywords>
  <dc:description>Addéndum 1 al Documento RAG/1-S  For: _x000d_Document date: 13 de febrero de 2024_x000d_Saved by ITU51013774 at 14:17:35 on 05/03/2024</dc:description>
  <cp:lastModifiedBy>Xue, Kun</cp:lastModifiedBy>
  <cp:revision>24</cp:revision>
  <cp:lastPrinted>2024-03-05T10:50:00Z</cp:lastPrinted>
  <dcterms:created xsi:type="dcterms:W3CDTF">2025-03-07T09:25:00Z</dcterms:created>
  <dcterms:modified xsi:type="dcterms:W3CDTF">2025-03-13T15:11:00Z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Addéndum 1 al Documento RAG/1-S</vt:lpwstr>
  </property>
  <property fmtid="{D5CDD505-2E9C-101B-9397-08002B2CF9AE}" pid="3" name="Docdate">
    <vt:lpwstr>13 de febrero de 2024</vt:lpwstr>
  </property>
  <property fmtid="{D5CDD505-2E9C-101B-9397-08002B2CF9AE}" pid="4" name="Docorlang">
    <vt:lpwstr>Original: inglés</vt:lpwstr>
  </property>
  <property fmtid="{D5CDD505-2E9C-101B-9397-08002B2CF9AE}" pid="5" name="Docauthor">
    <vt:lpwstr>Director de la Oficina de Radiocomunicaciones</vt:lpwstr>
  </property>
</Properties>
</file>