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84016E" w14:paraId="29EBD4F0" w14:textId="77777777" w:rsidTr="00EC0BE3">
        <w:trPr>
          <w:cantSplit/>
        </w:trPr>
        <w:tc>
          <w:tcPr>
            <w:tcW w:w="6477" w:type="dxa"/>
            <w:vAlign w:val="center"/>
          </w:tcPr>
          <w:p w14:paraId="0E73BCD5" w14:textId="1864C3F9" w:rsidR="00EC0BE3" w:rsidRPr="0084016E" w:rsidRDefault="00EC0BE3" w:rsidP="00C126C1">
            <w:pPr>
              <w:shd w:val="solid" w:color="FFFFFF" w:fill="FFFFFF"/>
              <w:tabs>
                <w:tab w:val="clear" w:pos="794"/>
                <w:tab w:val="left" w:pos="601"/>
              </w:tabs>
              <w:spacing w:before="360" w:after="240"/>
              <w:rPr>
                <w:rFonts w:ascii="Verdana" w:hAnsi="Verdana" w:cs="Times New Roman Bold"/>
                <w:b/>
                <w:bCs/>
                <w:lang w:val="fr-FR"/>
              </w:rPr>
            </w:pPr>
            <w:r w:rsidRPr="0084016E">
              <w:rPr>
                <w:rFonts w:ascii="Verdana" w:hAnsi="Verdana"/>
                <w:b/>
                <w:bCs/>
                <w:color w:val="000000"/>
                <w:lang w:val="fr-FR"/>
              </w:rPr>
              <w:t>Groupe consultatif des radiocommunications</w:t>
            </w:r>
          </w:p>
        </w:tc>
        <w:tc>
          <w:tcPr>
            <w:tcW w:w="3412" w:type="dxa"/>
            <w:gridSpan w:val="2"/>
            <w:vAlign w:val="center"/>
          </w:tcPr>
          <w:p w14:paraId="091FF44D" w14:textId="77777777" w:rsidR="00EC0BE3" w:rsidRPr="0084016E" w:rsidRDefault="00C126C1" w:rsidP="00AF7CE7">
            <w:pPr>
              <w:shd w:val="solid" w:color="FFFFFF" w:fill="FFFFFF"/>
              <w:spacing w:before="0" w:line="240" w:lineRule="atLeast"/>
              <w:rPr>
                <w:rFonts w:ascii="Verdana" w:hAnsi="Verdana"/>
                <w:b/>
                <w:bCs/>
                <w:lang w:val="fr-FR"/>
              </w:rPr>
            </w:pPr>
            <w:r w:rsidRPr="0084016E">
              <w:rPr>
                <w:rFonts w:ascii="Verdana" w:hAnsi="Verdana"/>
                <w:b/>
                <w:bCs/>
                <w:noProof/>
                <w:color w:val="000000"/>
                <w:lang w:val="fr-FR"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84016E" w14:paraId="7EEB28FB" w14:textId="77777777" w:rsidTr="00B35BE4">
        <w:trPr>
          <w:cantSplit/>
        </w:trPr>
        <w:tc>
          <w:tcPr>
            <w:tcW w:w="6487" w:type="dxa"/>
            <w:gridSpan w:val="2"/>
            <w:tcBorders>
              <w:bottom w:val="single" w:sz="12" w:space="0" w:color="auto"/>
            </w:tcBorders>
          </w:tcPr>
          <w:p w14:paraId="5754C00C" w14:textId="77777777" w:rsidR="0051782D" w:rsidRPr="0084016E" w:rsidRDefault="0051782D" w:rsidP="00B35BE4">
            <w:pPr>
              <w:shd w:val="solid" w:color="FFFFFF" w:fill="FFFFFF"/>
              <w:spacing w:before="0" w:after="48"/>
              <w:rPr>
                <w:rFonts w:ascii="Verdana" w:hAnsi="Verdana" w:cs="Times New Roman Bold"/>
                <w:b/>
                <w:bCs/>
                <w:sz w:val="22"/>
                <w:szCs w:val="22"/>
                <w:lang w:val="fr-FR"/>
              </w:rPr>
            </w:pPr>
          </w:p>
        </w:tc>
        <w:tc>
          <w:tcPr>
            <w:tcW w:w="3402" w:type="dxa"/>
            <w:tcBorders>
              <w:bottom w:val="single" w:sz="12" w:space="0" w:color="auto"/>
            </w:tcBorders>
          </w:tcPr>
          <w:p w14:paraId="6958636D" w14:textId="77777777" w:rsidR="0051782D" w:rsidRPr="0084016E" w:rsidRDefault="0051782D" w:rsidP="00B35BE4">
            <w:pPr>
              <w:shd w:val="solid" w:color="FFFFFF" w:fill="FFFFFF"/>
              <w:spacing w:before="0" w:after="48" w:line="240" w:lineRule="atLeast"/>
              <w:rPr>
                <w:rFonts w:ascii="Verdana" w:hAnsi="Verdana"/>
                <w:b/>
                <w:bCs/>
                <w:sz w:val="22"/>
                <w:szCs w:val="22"/>
                <w:lang w:val="fr-FR"/>
              </w:rPr>
            </w:pPr>
          </w:p>
        </w:tc>
      </w:tr>
      <w:tr w:rsidR="0051782D" w:rsidRPr="0084016E" w14:paraId="653F22AE" w14:textId="77777777" w:rsidTr="00B35BE4">
        <w:trPr>
          <w:cantSplit/>
        </w:trPr>
        <w:tc>
          <w:tcPr>
            <w:tcW w:w="6487" w:type="dxa"/>
            <w:gridSpan w:val="2"/>
            <w:tcBorders>
              <w:top w:val="single" w:sz="12" w:space="0" w:color="auto"/>
            </w:tcBorders>
          </w:tcPr>
          <w:p w14:paraId="1E9023F7" w14:textId="77777777" w:rsidR="0051782D" w:rsidRPr="0084016E" w:rsidRDefault="0051782D" w:rsidP="00B35BE4">
            <w:pPr>
              <w:shd w:val="solid" w:color="FFFFFF" w:fill="FFFFFF"/>
              <w:spacing w:before="0" w:after="48"/>
              <w:rPr>
                <w:rFonts w:ascii="Verdana" w:hAnsi="Verdana" w:cs="Times New Roman Bold"/>
                <w:b/>
                <w:bCs/>
                <w:sz w:val="22"/>
                <w:szCs w:val="22"/>
                <w:lang w:val="fr-FR"/>
              </w:rPr>
            </w:pPr>
          </w:p>
        </w:tc>
        <w:tc>
          <w:tcPr>
            <w:tcW w:w="3402" w:type="dxa"/>
            <w:tcBorders>
              <w:top w:val="single" w:sz="12" w:space="0" w:color="auto"/>
            </w:tcBorders>
          </w:tcPr>
          <w:p w14:paraId="1AC07B19" w14:textId="77777777" w:rsidR="0051782D" w:rsidRPr="0084016E" w:rsidRDefault="0051782D" w:rsidP="00B35BE4">
            <w:pPr>
              <w:shd w:val="solid" w:color="FFFFFF" w:fill="FFFFFF"/>
              <w:spacing w:before="0" w:after="48" w:line="240" w:lineRule="atLeast"/>
              <w:rPr>
                <w:rFonts w:ascii="Verdana" w:hAnsi="Verdana"/>
                <w:b/>
                <w:bCs/>
                <w:lang w:val="fr-FR"/>
              </w:rPr>
            </w:pPr>
          </w:p>
        </w:tc>
      </w:tr>
      <w:tr w:rsidR="0051782D" w:rsidRPr="0084016E" w14:paraId="30F64E70" w14:textId="77777777" w:rsidTr="00B35BE4">
        <w:trPr>
          <w:cantSplit/>
        </w:trPr>
        <w:tc>
          <w:tcPr>
            <w:tcW w:w="6487" w:type="dxa"/>
            <w:gridSpan w:val="2"/>
            <w:vMerge w:val="restart"/>
          </w:tcPr>
          <w:p w14:paraId="42225AAE" w14:textId="77777777" w:rsidR="0051782D" w:rsidRPr="0084016E" w:rsidRDefault="0051782D" w:rsidP="00B35BE4">
            <w:pPr>
              <w:shd w:val="solid" w:color="FFFFFF" w:fill="FFFFFF"/>
              <w:spacing w:after="240"/>
              <w:rPr>
                <w:rFonts w:ascii="Verdana" w:hAnsi="Verdana"/>
                <w:b/>
                <w:bCs/>
                <w:sz w:val="20"/>
                <w:lang w:val="fr-FR"/>
              </w:rPr>
            </w:pPr>
            <w:bookmarkStart w:id="0" w:name="dnum" w:colFirst="1" w:colLast="1"/>
          </w:p>
        </w:tc>
        <w:tc>
          <w:tcPr>
            <w:tcW w:w="3402" w:type="dxa"/>
          </w:tcPr>
          <w:p w14:paraId="3AFDAD83" w14:textId="6CBEDB9B" w:rsidR="0051782D" w:rsidRPr="0084016E" w:rsidRDefault="003A7B7A" w:rsidP="001A0041">
            <w:pPr>
              <w:shd w:val="solid" w:color="FFFFFF" w:fill="FFFFFF"/>
              <w:spacing w:before="0" w:line="240" w:lineRule="atLeast"/>
              <w:rPr>
                <w:rFonts w:ascii="Verdana" w:hAnsi="Verdana"/>
                <w:b/>
                <w:bCs/>
                <w:sz w:val="20"/>
                <w:lang w:val="fr-FR"/>
              </w:rPr>
            </w:pPr>
            <w:r w:rsidRPr="0084016E">
              <w:rPr>
                <w:rFonts w:ascii="Verdana" w:hAnsi="Verdana"/>
                <w:b/>
                <w:bCs/>
                <w:color w:val="000000"/>
                <w:sz w:val="20"/>
                <w:lang w:val="fr-FR"/>
              </w:rPr>
              <w:t>Addendum 1 au</w:t>
            </w:r>
            <w:r w:rsidR="00271B4F" w:rsidRPr="0084016E">
              <w:rPr>
                <w:rFonts w:ascii="Verdana" w:hAnsi="Verdana"/>
                <w:b/>
                <w:bCs/>
                <w:color w:val="000000"/>
                <w:sz w:val="20"/>
                <w:lang w:val="fr-FR"/>
              </w:rPr>
              <w:br/>
            </w:r>
            <w:r w:rsidRPr="0084016E">
              <w:rPr>
                <w:rFonts w:ascii="Verdana" w:hAnsi="Verdana"/>
                <w:b/>
                <w:bCs/>
                <w:color w:val="000000"/>
                <w:sz w:val="20"/>
                <w:lang w:val="fr-FR"/>
              </w:rPr>
              <w:t>Document RAG/30</w:t>
            </w:r>
            <w:r w:rsidR="009C1307" w:rsidRPr="0084016E">
              <w:rPr>
                <w:rFonts w:ascii="Verdana" w:hAnsi="Verdana"/>
                <w:b/>
                <w:bCs/>
                <w:color w:val="000000"/>
                <w:sz w:val="20"/>
                <w:lang w:val="fr-FR"/>
              </w:rPr>
              <w:t>-F</w:t>
            </w:r>
          </w:p>
        </w:tc>
      </w:tr>
      <w:tr w:rsidR="0051782D" w:rsidRPr="0084016E" w14:paraId="73C3C199" w14:textId="77777777" w:rsidTr="00B35BE4">
        <w:trPr>
          <w:cantSplit/>
        </w:trPr>
        <w:tc>
          <w:tcPr>
            <w:tcW w:w="6487" w:type="dxa"/>
            <w:gridSpan w:val="2"/>
            <w:vMerge/>
          </w:tcPr>
          <w:p w14:paraId="742BDBFA" w14:textId="77777777" w:rsidR="0051782D" w:rsidRPr="0084016E" w:rsidRDefault="0051782D" w:rsidP="00B35BE4">
            <w:pPr>
              <w:spacing w:before="60"/>
              <w:jc w:val="center"/>
              <w:rPr>
                <w:rFonts w:ascii="Verdana" w:hAnsi="Verdana"/>
                <w:b/>
                <w:bCs/>
                <w:smallCaps/>
                <w:sz w:val="32"/>
                <w:lang w:val="fr-FR"/>
              </w:rPr>
            </w:pPr>
            <w:bookmarkStart w:id="1" w:name="ddate" w:colFirst="1" w:colLast="1"/>
            <w:bookmarkEnd w:id="0"/>
          </w:p>
        </w:tc>
        <w:tc>
          <w:tcPr>
            <w:tcW w:w="3402" w:type="dxa"/>
          </w:tcPr>
          <w:p w14:paraId="51A2F5FD" w14:textId="217A4A1F" w:rsidR="0051782D" w:rsidRPr="0084016E" w:rsidRDefault="004A0B11" w:rsidP="001A0041">
            <w:pPr>
              <w:shd w:val="solid" w:color="FFFFFF" w:fill="FFFFFF"/>
              <w:spacing w:before="0" w:line="240" w:lineRule="atLeast"/>
              <w:rPr>
                <w:rFonts w:ascii="Verdana" w:hAnsi="Verdana"/>
                <w:b/>
                <w:bCs/>
                <w:sz w:val="20"/>
                <w:lang w:val="fr-FR"/>
              </w:rPr>
            </w:pPr>
            <w:r w:rsidRPr="0084016E">
              <w:rPr>
                <w:rFonts w:ascii="Verdana" w:hAnsi="Verdana"/>
                <w:b/>
                <w:bCs/>
                <w:color w:val="000000"/>
                <w:sz w:val="20"/>
                <w:lang w:val="fr-FR"/>
              </w:rPr>
              <w:t>28 février 2025</w:t>
            </w:r>
          </w:p>
        </w:tc>
      </w:tr>
      <w:tr w:rsidR="0051782D" w:rsidRPr="0084016E" w14:paraId="2A70EAD6" w14:textId="77777777" w:rsidTr="00B35BE4">
        <w:trPr>
          <w:cantSplit/>
        </w:trPr>
        <w:tc>
          <w:tcPr>
            <w:tcW w:w="6487" w:type="dxa"/>
            <w:gridSpan w:val="2"/>
            <w:vMerge/>
          </w:tcPr>
          <w:p w14:paraId="37E710DB" w14:textId="77777777" w:rsidR="0051782D" w:rsidRPr="0084016E" w:rsidRDefault="0051782D" w:rsidP="00B35BE4">
            <w:pPr>
              <w:spacing w:before="60"/>
              <w:jc w:val="center"/>
              <w:rPr>
                <w:rFonts w:ascii="Verdana" w:hAnsi="Verdana"/>
                <w:b/>
                <w:bCs/>
                <w:smallCaps/>
                <w:sz w:val="32"/>
                <w:lang w:val="fr-FR"/>
              </w:rPr>
            </w:pPr>
            <w:bookmarkStart w:id="2" w:name="dorlang" w:colFirst="1" w:colLast="1"/>
            <w:bookmarkEnd w:id="1"/>
          </w:p>
        </w:tc>
        <w:tc>
          <w:tcPr>
            <w:tcW w:w="3402" w:type="dxa"/>
          </w:tcPr>
          <w:p w14:paraId="367E6838" w14:textId="0BC24AA7" w:rsidR="0051782D" w:rsidRPr="0084016E" w:rsidRDefault="00C17522" w:rsidP="001A0041">
            <w:pPr>
              <w:shd w:val="solid" w:color="FFFFFF" w:fill="FFFFFF"/>
              <w:spacing w:before="0" w:after="120" w:line="240" w:lineRule="atLeast"/>
              <w:rPr>
                <w:rFonts w:ascii="Verdana" w:hAnsi="Verdana"/>
                <w:b/>
                <w:bCs/>
                <w:sz w:val="20"/>
                <w:lang w:val="fr-FR"/>
              </w:rPr>
            </w:pPr>
            <w:r w:rsidRPr="0084016E">
              <w:rPr>
                <w:rFonts w:ascii="Verdana" w:hAnsi="Verdana"/>
                <w:b/>
                <w:bCs/>
                <w:color w:val="000000"/>
                <w:sz w:val="20"/>
                <w:lang w:val="fr-FR"/>
              </w:rPr>
              <w:t>Original: anglais</w:t>
            </w:r>
          </w:p>
        </w:tc>
      </w:tr>
      <w:tr w:rsidR="00093C73" w:rsidRPr="0084016E"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rsidRPr="0084016E" w14:paraId="68DC1573" w14:textId="77777777" w:rsidTr="00E757EA">
              <w:trPr>
                <w:cantSplit/>
              </w:trPr>
              <w:tc>
                <w:tcPr>
                  <w:tcW w:w="9889" w:type="dxa"/>
                </w:tcPr>
                <w:p w14:paraId="259F3C61" w14:textId="1CDB2DF8" w:rsidR="00762732" w:rsidRPr="0084016E" w:rsidRDefault="0069388B" w:rsidP="00762732">
                  <w:pPr>
                    <w:pStyle w:val="Source"/>
                    <w:rPr>
                      <w:lang w:val="fr-FR"/>
                    </w:rPr>
                  </w:pPr>
                  <w:bookmarkStart w:id="3" w:name="dsource" w:colFirst="0" w:colLast="0"/>
                  <w:bookmarkEnd w:id="2"/>
                  <w:r w:rsidRPr="0084016E">
                    <w:rPr>
                      <w:bCs/>
                      <w:color w:val="000000"/>
                      <w:lang w:val="fr-FR"/>
                    </w:rPr>
                    <w:t>Directeur du Bureau des radiocommunications</w:t>
                  </w:r>
                </w:p>
              </w:tc>
            </w:tr>
            <w:tr w:rsidR="00CA4427" w:rsidRPr="0084016E" w14:paraId="7F8F9ADC" w14:textId="77777777" w:rsidTr="00E757EA">
              <w:trPr>
                <w:cantSplit/>
              </w:trPr>
              <w:tc>
                <w:tcPr>
                  <w:tcW w:w="9889" w:type="dxa"/>
                </w:tcPr>
                <w:p w14:paraId="0996F708" w14:textId="412C82A4" w:rsidR="00CA4427" w:rsidRPr="0084016E" w:rsidRDefault="00CA4427" w:rsidP="00762732">
                  <w:pPr>
                    <w:pStyle w:val="Title1"/>
                    <w:rPr>
                      <w:lang w:val="fr-FR"/>
                    </w:rPr>
                  </w:pPr>
                  <w:r w:rsidRPr="0084016E">
                    <w:rPr>
                      <w:color w:val="000000"/>
                      <w:lang w:val="fr-FR"/>
                    </w:rPr>
                    <w:t>RAPPORT À LA TRENTE-</w:t>
                  </w:r>
                  <w:r w:rsidR="009C1307" w:rsidRPr="0084016E">
                    <w:rPr>
                      <w:color w:val="000000"/>
                      <w:lang w:val="fr-FR"/>
                    </w:rPr>
                    <w:t>DEUXIÈME</w:t>
                  </w:r>
                  <w:r w:rsidRPr="0084016E">
                    <w:rPr>
                      <w:color w:val="000000"/>
                      <w:lang w:val="fr-FR"/>
                    </w:rPr>
                    <w:t xml:space="preserve"> RÉUNION DU GROUPE</w:t>
                  </w:r>
                  <w:r w:rsidR="00242B81" w:rsidRPr="0084016E">
                    <w:rPr>
                      <w:color w:val="000000"/>
                      <w:lang w:val="fr-FR"/>
                    </w:rPr>
                    <w:br/>
                  </w:r>
                  <w:r w:rsidRPr="0084016E">
                    <w:rPr>
                      <w:color w:val="000000"/>
                      <w:lang w:val="fr-FR"/>
                    </w:rPr>
                    <w:t>CONSULTATIF DES RADIOCOMMUNICATIONS</w:t>
                  </w:r>
                </w:p>
              </w:tc>
            </w:tr>
            <w:tr w:rsidR="00762732" w:rsidRPr="0084016E" w14:paraId="3CCAA1A5" w14:textId="77777777" w:rsidTr="00E757EA">
              <w:trPr>
                <w:cantSplit/>
              </w:trPr>
              <w:tc>
                <w:tcPr>
                  <w:tcW w:w="9889" w:type="dxa"/>
                </w:tcPr>
                <w:p w14:paraId="6B51D0F8" w14:textId="3DD27778" w:rsidR="00762732" w:rsidRPr="0084016E" w:rsidRDefault="00CA4427" w:rsidP="00242B81">
                  <w:pPr>
                    <w:pStyle w:val="Title1"/>
                    <w:rPr>
                      <w:caps/>
                      <w:lang w:val="fr-FR"/>
                    </w:rPr>
                  </w:pPr>
                  <w:r w:rsidRPr="0084016E">
                    <w:rPr>
                      <w:color w:val="000000"/>
                      <w:lang w:val="fr-FR"/>
                    </w:rPr>
                    <w:t>ACTIVITÉS DES COMMISSIONS D</w:t>
                  </w:r>
                  <w:r w:rsidR="009C1307" w:rsidRPr="0084016E">
                    <w:rPr>
                      <w:color w:val="000000"/>
                      <w:lang w:val="fr-FR"/>
                    </w:rPr>
                    <w:t>'</w:t>
                  </w:r>
                  <w:r w:rsidRPr="0084016E">
                    <w:rPr>
                      <w:color w:val="000000"/>
                      <w:lang w:val="fr-FR"/>
                    </w:rPr>
                    <w:t>ÉTUDES</w:t>
                  </w:r>
                </w:p>
              </w:tc>
            </w:tr>
          </w:tbl>
          <w:p w14:paraId="48EDD9F3" w14:textId="77777777" w:rsidR="00093C73" w:rsidRPr="0084016E" w:rsidRDefault="00093C73" w:rsidP="005B2C58">
            <w:pPr>
              <w:pStyle w:val="Source"/>
              <w:rPr>
                <w:lang w:val="fr-FR"/>
              </w:rPr>
            </w:pPr>
          </w:p>
        </w:tc>
      </w:tr>
    </w:tbl>
    <w:p w14:paraId="57374DD3" w14:textId="77777777" w:rsidR="00D66C84" w:rsidRPr="0084016E" w:rsidRDefault="00D66C84" w:rsidP="001732C2">
      <w:pPr>
        <w:pStyle w:val="Heading1"/>
        <w:rPr>
          <w:lang w:val="fr-FR"/>
        </w:rPr>
      </w:pPr>
      <w:bookmarkStart w:id="4" w:name="_Toc446060751"/>
      <w:bookmarkStart w:id="5" w:name="_Toc445972791"/>
      <w:bookmarkEnd w:id="3"/>
      <w:r w:rsidRPr="0084016E">
        <w:rPr>
          <w:bCs/>
          <w:lang w:val="fr-FR"/>
        </w:rPr>
        <w:t>1</w:t>
      </w:r>
      <w:r w:rsidRPr="0084016E">
        <w:rPr>
          <w:lang w:val="fr-FR"/>
        </w:rPr>
        <w:tab/>
      </w:r>
      <w:r w:rsidRPr="0084016E">
        <w:rPr>
          <w:bCs/>
          <w:lang w:val="fr-FR"/>
        </w:rPr>
        <w:t>Introduction</w:t>
      </w:r>
      <w:bookmarkEnd w:id="4"/>
    </w:p>
    <w:p w14:paraId="5444ECFD" w14:textId="3ED5EDD1" w:rsidR="00D66C84" w:rsidRPr="0084016E" w:rsidRDefault="00D66C84" w:rsidP="001732C2">
      <w:pPr>
        <w:rPr>
          <w:lang w:val="fr-FR"/>
        </w:rPr>
      </w:pPr>
      <w:r w:rsidRPr="0084016E">
        <w:rPr>
          <w:lang w:val="fr-FR"/>
        </w:rPr>
        <w:t xml:space="preserve">Le présent document </w:t>
      </w:r>
      <w:r w:rsidR="00271B4F" w:rsidRPr="0084016E">
        <w:rPr>
          <w:lang w:val="fr-FR"/>
        </w:rPr>
        <w:t>vise à</w:t>
      </w:r>
      <w:r w:rsidRPr="0084016E">
        <w:rPr>
          <w:lang w:val="fr-FR"/>
        </w:rPr>
        <w:t xml:space="preserve"> faire le point et </w:t>
      </w:r>
      <w:r w:rsidR="00271B4F" w:rsidRPr="0084016E">
        <w:rPr>
          <w:lang w:val="fr-FR"/>
        </w:rPr>
        <w:t>à fournir des</w:t>
      </w:r>
      <w:r w:rsidRPr="0084016E">
        <w:rPr>
          <w:lang w:val="fr-FR"/>
        </w:rPr>
        <w:t xml:space="preserve"> renseignements sur certaines des questions figurant dans le projet d</w:t>
      </w:r>
      <w:r w:rsidR="009C1307" w:rsidRPr="0084016E">
        <w:rPr>
          <w:lang w:val="fr-FR"/>
        </w:rPr>
        <w:t>'</w:t>
      </w:r>
      <w:r w:rsidRPr="0084016E">
        <w:rPr>
          <w:lang w:val="fr-FR"/>
        </w:rPr>
        <w:t>ordre du jour de la 3</w:t>
      </w:r>
      <w:r w:rsidR="009C1307" w:rsidRPr="0084016E">
        <w:rPr>
          <w:lang w:val="fr-FR"/>
        </w:rPr>
        <w:t>2</w:t>
      </w:r>
      <w:r w:rsidRPr="0084016E">
        <w:rPr>
          <w:lang w:val="fr-FR"/>
        </w:rPr>
        <w:t xml:space="preserve">ème réunion du </w:t>
      </w:r>
      <w:r w:rsidR="009C1307" w:rsidRPr="0084016E">
        <w:rPr>
          <w:lang w:val="fr-FR"/>
        </w:rPr>
        <w:t>Groupe consultatif des radiocommunications (</w:t>
      </w:r>
      <w:r w:rsidRPr="0084016E">
        <w:rPr>
          <w:lang w:val="fr-FR"/>
        </w:rPr>
        <w:t>GCR</w:t>
      </w:r>
      <w:r w:rsidR="009C1307" w:rsidRPr="0084016E">
        <w:rPr>
          <w:lang w:val="fr-FR"/>
        </w:rPr>
        <w:t>)</w:t>
      </w:r>
      <w:r w:rsidRPr="0084016E">
        <w:rPr>
          <w:lang w:val="fr-FR"/>
        </w:rPr>
        <w:t xml:space="preserve"> (voir la Circulaire administrative </w:t>
      </w:r>
      <w:hyperlink r:id="rId12" w:history="1">
        <w:r w:rsidRPr="0084016E">
          <w:rPr>
            <w:rStyle w:val="Hyperlink"/>
            <w:lang w:val="fr-FR"/>
          </w:rPr>
          <w:t>CA/27</w:t>
        </w:r>
        <w:r w:rsidR="009C1307" w:rsidRPr="0084016E">
          <w:rPr>
            <w:rStyle w:val="Hyperlink"/>
            <w:lang w:val="fr-FR"/>
          </w:rPr>
          <w:t>6</w:t>
        </w:r>
      </w:hyperlink>
      <w:r w:rsidRPr="0084016E">
        <w:rPr>
          <w:lang w:val="fr-FR"/>
        </w:rPr>
        <w:t>).</w:t>
      </w:r>
    </w:p>
    <w:p w14:paraId="59FFDBD9" w14:textId="10278A26" w:rsidR="00D66C84" w:rsidRPr="0084016E" w:rsidRDefault="0052011E" w:rsidP="001732C2">
      <w:pPr>
        <w:pStyle w:val="Heading1"/>
        <w:rPr>
          <w:lang w:val="fr-FR"/>
        </w:rPr>
      </w:pPr>
      <w:bookmarkStart w:id="6" w:name="_Toc445972781"/>
      <w:r w:rsidRPr="0084016E">
        <w:rPr>
          <w:bCs/>
          <w:lang w:val="fr-FR"/>
        </w:rPr>
        <w:t>2</w:t>
      </w:r>
      <w:r w:rsidRPr="0084016E">
        <w:rPr>
          <w:lang w:val="fr-FR"/>
        </w:rPr>
        <w:tab/>
      </w:r>
      <w:r w:rsidRPr="0084016E">
        <w:rPr>
          <w:bCs/>
          <w:lang w:val="fr-FR"/>
        </w:rPr>
        <w:t>Moyens de travail électroniques</w:t>
      </w:r>
      <w:bookmarkEnd w:id="6"/>
    </w:p>
    <w:p w14:paraId="47A1F636" w14:textId="3360A03B" w:rsidR="00D66C84" w:rsidRPr="0084016E" w:rsidRDefault="00DA2B77" w:rsidP="001732C2">
      <w:pPr>
        <w:rPr>
          <w:lang w:val="fr-FR"/>
        </w:rPr>
      </w:pPr>
      <w:r w:rsidRPr="0084016E">
        <w:rPr>
          <w:lang w:val="fr-FR"/>
        </w:rPr>
        <w:t xml:space="preserve">Toutes les réunions des </w:t>
      </w:r>
      <w:r w:rsidR="009C1307" w:rsidRPr="0084016E">
        <w:rPr>
          <w:lang w:val="fr-FR"/>
        </w:rPr>
        <w:t>commissions d'études</w:t>
      </w:r>
      <w:r w:rsidR="00B12D95" w:rsidRPr="0084016E">
        <w:rPr>
          <w:lang w:val="fr-FR"/>
        </w:rPr>
        <w:t xml:space="preserve"> (CE)</w:t>
      </w:r>
      <w:r w:rsidR="00951D34" w:rsidRPr="0084016E">
        <w:rPr>
          <w:lang w:val="fr-FR"/>
        </w:rPr>
        <w:t xml:space="preserve"> et des </w:t>
      </w:r>
      <w:r w:rsidR="009C1307" w:rsidRPr="0084016E">
        <w:rPr>
          <w:lang w:val="fr-FR"/>
        </w:rPr>
        <w:t>groupes de travail</w:t>
      </w:r>
      <w:r w:rsidR="00B12D95" w:rsidRPr="0084016E">
        <w:rPr>
          <w:lang w:val="fr-FR"/>
        </w:rPr>
        <w:t xml:space="preserve"> (GT)</w:t>
      </w:r>
      <w:r w:rsidR="009C1307" w:rsidRPr="0084016E">
        <w:rPr>
          <w:lang w:val="fr-FR"/>
        </w:rPr>
        <w:t xml:space="preserve"> </w:t>
      </w:r>
      <w:r w:rsidRPr="0084016E">
        <w:rPr>
          <w:lang w:val="fr-FR"/>
        </w:rPr>
        <w:t>de l</w:t>
      </w:r>
      <w:r w:rsidR="009C1307" w:rsidRPr="0084016E">
        <w:rPr>
          <w:lang w:val="fr-FR"/>
        </w:rPr>
        <w:t>'</w:t>
      </w:r>
      <w:r w:rsidRPr="0084016E">
        <w:rPr>
          <w:lang w:val="fr-FR"/>
        </w:rPr>
        <w:t xml:space="preserve">UIT-R </w:t>
      </w:r>
      <w:r w:rsidR="00836332" w:rsidRPr="0084016E">
        <w:rPr>
          <w:lang w:val="fr-FR"/>
        </w:rPr>
        <w:t>se déroulent</w:t>
      </w:r>
      <w:r w:rsidR="003A12F3" w:rsidRPr="0084016E">
        <w:rPr>
          <w:lang w:val="fr-FR"/>
        </w:rPr>
        <w:t xml:space="preserve"> </w:t>
      </w:r>
      <w:r w:rsidR="00A15587" w:rsidRPr="0084016E">
        <w:rPr>
          <w:lang w:val="fr-FR"/>
        </w:rPr>
        <w:t>sans document papier</w:t>
      </w:r>
      <w:r w:rsidRPr="0084016E">
        <w:rPr>
          <w:lang w:val="fr-FR"/>
        </w:rPr>
        <w:t xml:space="preserve"> et les documents de réunion </w:t>
      </w:r>
      <w:r w:rsidR="00B212E5" w:rsidRPr="0084016E">
        <w:rPr>
          <w:lang w:val="fr-FR"/>
        </w:rPr>
        <w:t>sont</w:t>
      </w:r>
      <w:r w:rsidRPr="0084016E">
        <w:rPr>
          <w:lang w:val="fr-FR"/>
        </w:rPr>
        <w:t xml:space="preserve"> </w:t>
      </w:r>
      <w:r w:rsidR="00A62C5C" w:rsidRPr="0084016E">
        <w:rPr>
          <w:lang w:val="fr-FR"/>
        </w:rPr>
        <w:t>disponibles</w:t>
      </w:r>
      <w:r w:rsidR="00A06462" w:rsidRPr="0084016E">
        <w:rPr>
          <w:lang w:val="fr-FR"/>
        </w:rPr>
        <w:t xml:space="preserve"> sur</w:t>
      </w:r>
      <w:r w:rsidRPr="0084016E">
        <w:rPr>
          <w:lang w:val="fr-FR"/>
        </w:rPr>
        <w:t xml:space="preserve"> les sites web respectifs. L</w:t>
      </w:r>
      <w:r w:rsidR="009C1307" w:rsidRPr="0084016E">
        <w:rPr>
          <w:lang w:val="fr-FR"/>
        </w:rPr>
        <w:t>'</w:t>
      </w:r>
      <w:r w:rsidRPr="0084016E">
        <w:rPr>
          <w:lang w:val="fr-FR"/>
        </w:rPr>
        <w:t>accent a continué d</w:t>
      </w:r>
      <w:r w:rsidR="009C1307" w:rsidRPr="0084016E">
        <w:rPr>
          <w:lang w:val="fr-FR"/>
        </w:rPr>
        <w:t>'</w:t>
      </w:r>
      <w:r w:rsidRPr="0084016E">
        <w:rPr>
          <w:lang w:val="fr-FR"/>
        </w:rPr>
        <w:t>être mis sur le développement et l</w:t>
      </w:r>
      <w:r w:rsidR="009C1307" w:rsidRPr="0084016E">
        <w:rPr>
          <w:lang w:val="fr-FR"/>
        </w:rPr>
        <w:t>'</w:t>
      </w:r>
      <w:r w:rsidRPr="0084016E">
        <w:rPr>
          <w:lang w:val="fr-FR"/>
        </w:rPr>
        <w:t>utilisation des moyens électroniques, ce qui a été extrêmement utile aux délégués.</w:t>
      </w:r>
    </w:p>
    <w:p w14:paraId="2B6F626A" w14:textId="040A6BCE" w:rsidR="00D66C84" w:rsidRPr="0084016E" w:rsidRDefault="0052011E" w:rsidP="001732C2">
      <w:pPr>
        <w:pStyle w:val="Heading2"/>
        <w:rPr>
          <w:lang w:val="fr-FR"/>
        </w:rPr>
      </w:pPr>
      <w:bookmarkStart w:id="7" w:name="_Toc445972782"/>
      <w:r w:rsidRPr="0084016E">
        <w:rPr>
          <w:bCs/>
          <w:lang w:val="fr-FR"/>
        </w:rPr>
        <w:t>2.1</w:t>
      </w:r>
      <w:r w:rsidRPr="0084016E">
        <w:rPr>
          <w:lang w:val="fr-FR"/>
        </w:rPr>
        <w:tab/>
      </w:r>
      <w:r w:rsidRPr="0084016E">
        <w:rPr>
          <w:bCs/>
          <w:lang w:val="fr-FR"/>
        </w:rPr>
        <w:t>Site web SharePoint</w:t>
      </w:r>
      <w:bookmarkEnd w:id="7"/>
    </w:p>
    <w:p w14:paraId="6B1F4C74" w14:textId="41077721" w:rsidR="00D66C84" w:rsidRPr="0084016E" w:rsidRDefault="005940C2" w:rsidP="001732C2">
      <w:pPr>
        <w:rPr>
          <w:lang w:val="fr-FR"/>
        </w:rPr>
      </w:pPr>
      <w:bookmarkStart w:id="8" w:name="_Toc445972783"/>
      <w:r w:rsidRPr="0084016E">
        <w:rPr>
          <w:lang w:val="fr-FR"/>
        </w:rPr>
        <w:t>L'accès à la documentation pendant les réunions via un site web SharePoint créé à cet effet a été pratique courante</w:t>
      </w:r>
      <w:r w:rsidR="00D66C84" w:rsidRPr="0084016E">
        <w:rPr>
          <w:lang w:val="fr-FR"/>
        </w:rPr>
        <w:t>.</w:t>
      </w:r>
    </w:p>
    <w:p w14:paraId="2AC4F714" w14:textId="05FF893F" w:rsidR="00D66C84" w:rsidRPr="0084016E" w:rsidRDefault="00D66C84" w:rsidP="001732C2">
      <w:pPr>
        <w:rPr>
          <w:lang w:val="fr-FR"/>
        </w:rPr>
      </w:pPr>
      <w:r w:rsidRPr="0084016E">
        <w:rPr>
          <w:lang w:val="fr-FR"/>
        </w:rPr>
        <w:t xml:space="preserve">Les sites SharePoint pour les groupes de travail par correspondance et les groupes du Rapporteur </w:t>
      </w:r>
      <w:r w:rsidR="00FE5D16" w:rsidRPr="0084016E">
        <w:rPr>
          <w:lang w:val="fr-FR"/>
        </w:rPr>
        <w:t>ont</w:t>
      </w:r>
      <w:r w:rsidRPr="0084016E">
        <w:rPr>
          <w:lang w:val="fr-FR"/>
        </w:rPr>
        <w:t xml:space="preserve"> également</w:t>
      </w:r>
      <w:r w:rsidR="002B0D11" w:rsidRPr="0084016E">
        <w:rPr>
          <w:lang w:val="fr-FR"/>
        </w:rPr>
        <w:t xml:space="preserve"> été</w:t>
      </w:r>
      <w:r w:rsidRPr="0084016E">
        <w:rPr>
          <w:lang w:val="fr-FR"/>
        </w:rPr>
        <w:t xml:space="preserve"> très utilisés pendant les périodes entre les réunions des </w:t>
      </w:r>
      <w:r w:rsidR="00623D11" w:rsidRPr="0084016E">
        <w:rPr>
          <w:lang w:val="fr-FR"/>
        </w:rPr>
        <w:t>GT</w:t>
      </w:r>
      <w:r w:rsidRPr="0084016E">
        <w:rPr>
          <w:lang w:val="fr-FR"/>
        </w:rPr>
        <w:t>.</w:t>
      </w:r>
    </w:p>
    <w:p w14:paraId="61477455" w14:textId="615B8C99" w:rsidR="00D66C84" w:rsidRPr="0084016E" w:rsidRDefault="0052011E" w:rsidP="001732C2">
      <w:pPr>
        <w:pStyle w:val="Heading2"/>
        <w:rPr>
          <w:lang w:val="fr-FR"/>
        </w:rPr>
      </w:pPr>
      <w:r w:rsidRPr="0084016E">
        <w:rPr>
          <w:bCs/>
          <w:lang w:val="fr-FR"/>
        </w:rPr>
        <w:t>2.2</w:t>
      </w:r>
      <w:r w:rsidRPr="0084016E">
        <w:rPr>
          <w:lang w:val="fr-FR"/>
        </w:rPr>
        <w:tab/>
      </w:r>
      <w:r w:rsidRPr="0084016E">
        <w:rPr>
          <w:bCs/>
          <w:lang w:val="fr-FR"/>
        </w:rPr>
        <w:t>Synchronisation des fichiers</w:t>
      </w:r>
      <w:bookmarkEnd w:id="8"/>
    </w:p>
    <w:p w14:paraId="0D46D851" w14:textId="0CB57B33" w:rsidR="00D66C84" w:rsidRPr="0084016E" w:rsidRDefault="00D66C84" w:rsidP="001732C2">
      <w:pPr>
        <w:rPr>
          <w:lang w:val="fr-FR"/>
        </w:rPr>
      </w:pPr>
      <w:bookmarkStart w:id="9" w:name="_Toc445972784"/>
      <w:r w:rsidRPr="0084016E">
        <w:rPr>
          <w:lang w:val="fr-FR"/>
        </w:rPr>
        <w:t xml:space="preserve">Le dispositif de synchronisation des fichiers a été mis à jour pour toutes les réunions des </w:t>
      </w:r>
      <w:r w:rsidR="00847F8F" w:rsidRPr="0084016E">
        <w:rPr>
          <w:lang w:val="fr-FR"/>
        </w:rPr>
        <w:t>CE</w:t>
      </w:r>
      <w:r w:rsidRPr="0084016E">
        <w:rPr>
          <w:lang w:val="fr-FR"/>
        </w:rPr>
        <w:t xml:space="preserve"> et des</w:t>
      </w:r>
      <w:r w:rsidR="00242B81" w:rsidRPr="0084016E">
        <w:rPr>
          <w:lang w:val="fr-FR"/>
        </w:rPr>
        <w:t> </w:t>
      </w:r>
      <w:r w:rsidR="00847F8F" w:rsidRPr="0084016E">
        <w:rPr>
          <w:lang w:val="fr-FR"/>
        </w:rPr>
        <w:t>GT</w:t>
      </w:r>
      <w:r w:rsidRPr="0084016E">
        <w:rPr>
          <w:lang w:val="fr-FR"/>
        </w:rPr>
        <w:t>, afin de faciliter l</w:t>
      </w:r>
      <w:r w:rsidR="009C1307" w:rsidRPr="0084016E">
        <w:rPr>
          <w:lang w:val="fr-FR"/>
        </w:rPr>
        <w:t>'</w:t>
      </w:r>
      <w:r w:rsidRPr="0084016E">
        <w:rPr>
          <w:lang w:val="fr-FR"/>
        </w:rPr>
        <w:t>accès aux versions les plus récentes des documents pendant les réunions et aux salles de réunion attribuées.</w:t>
      </w:r>
    </w:p>
    <w:p w14:paraId="71E5636E" w14:textId="32CDAB3E" w:rsidR="00D66C84" w:rsidRPr="0084016E" w:rsidRDefault="0052011E" w:rsidP="001732C2">
      <w:pPr>
        <w:pStyle w:val="Heading2"/>
        <w:rPr>
          <w:lang w:val="fr-FR"/>
        </w:rPr>
      </w:pPr>
      <w:bookmarkStart w:id="10" w:name="_Toc445972785"/>
      <w:bookmarkEnd w:id="9"/>
      <w:r w:rsidRPr="0084016E">
        <w:rPr>
          <w:bCs/>
          <w:lang w:val="fr-FR"/>
        </w:rPr>
        <w:t>2.3</w:t>
      </w:r>
      <w:r w:rsidRPr="0084016E">
        <w:rPr>
          <w:lang w:val="fr-FR"/>
        </w:rPr>
        <w:tab/>
      </w:r>
      <w:r w:rsidRPr="0084016E">
        <w:rPr>
          <w:bCs/>
          <w:lang w:val="fr-FR"/>
        </w:rPr>
        <w:t>Réunions physiques avec participation à distance</w:t>
      </w:r>
      <w:bookmarkEnd w:id="10"/>
    </w:p>
    <w:p w14:paraId="76D66149" w14:textId="29441624" w:rsidR="00D66C84" w:rsidRPr="0084016E" w:rsidRDefault="00562D2C" w:rsidP="001732C2">
      <w:pPr>
        <w:rPr>
          <w:lang w:val="fr-FR"/>
        </w:rPr>
      </w:pPr>
      <w:r w:rsidRPr="0084016E">
        <w:rPr>
          <w:lang w:val="fr-FR"/>
        </w:rPr>
        <w:t>Depuis avril 2022, les réunions des CE et des GT de l</w:t>
      </w:r>
      <w:r w:rsidR="009C1307" w:rsidRPr="0084016E">
        <w:rPr>
          <w:lang w:val="fr-FR"/>
        </w:rPr>
        <w:t>'</w:t>
      </w:r>
      <w:r w:rsidRPr="0084016E">
        <w:rPr>
          <w:lang w:val="fr-FR"/>
        </w:rPr>
        <w:t xml:space="preserve">UIT-R </w:t>
      </w:r>
      <w:r w:rsidR="00FA6844" w:rsidRPr="0084016E">
        <w:rPr>
          <w:lang w:val="fr-FR"/>
        </w:rPr>
        <w:t>se sont tenues</w:t>
      </w:r>
      <w:r w:rsidRPr="0084016E">
        <w:rPr>
          <w:lang w:val="fr-FR"/>
        </w:rPr>
        <w:t xml:space="preserve"> en présentiel avec participation à distance. La plate-forme utilisée pour ces réunions (Zoom) a permis la participation interactive à distance des présidents et des délégués. Toutes les dispositions pour les réunions ont été prises en accord avec les équipes directives des CE</w:t>
      </w:r>
      <w:r w:rsidR="00142061" w:rsidRPr="0084016E">
        <w:rPr>
          <w:lang w:val="fr-FR"/>
        </w:rPr>
        <w:t xml:space="preserve"> et des </w:t>
      </w:r>
      <w:r w:rsidR="002D655F" w:rsidRPr="0084016E">
        <w:rPr>
          <w:lang w:val="fr-FR"/>
        </w:rPr>
        <w:t>GT</w:t>
      </w:r>
      <w:r w:rsidRPr="0084016E">
        <w:rPr>
          <w:lang w:val="fr-FR"/>
        </w:rPr>
        <w:t>.</w:t>
      </w:r>
    </w:p>
    <w:p w14:paraId="7A1300F7" w14:textId="19569B5E" w:rsidR="00D66C84" w:rsidRPr="0084016E" w:rsidRDefault="00EE41B2" w:rsidP="001732C2">
      <w:pPr>
        <w:rPr>
          <w:lang w:val="fr-FR"/>
        </w:rPr>
      </w:pPr>
      <w:r w:rsidRPr="0084016E">
        <w:rPr>
          <w:lang w:val="fr-FR"/>
        </w:rPr>
        <w:lastRenderedPageBreak/>
        <w:t>À compter de 2025, l</w:t>
      </w:r>
      <w:r w:rsidR="009C1307" w:rsidRPr="0084016E">
        <w:rPr>
          <w:lang w:val="fr-FR"/>
        </w:rPr>
        <w:t>'</w:t>
      </w:r>
      <w:r w:rsidRPr="0084016E">
        <w:rPr>
          <w:lang w:val="fr-FR"/>
        </w:rPr>
        <w:t>interprétation dans les langues officielles de l</w:t>
      </w:r>
      <w:r w:rsidR="009C1307" w:rsidRPr="0084016E">
        <w:rPr>
          <w:lang w:val="fr-FR"/>
        </w:rPr>
        <w:t>'</w:t>
      </w:r>
      <w:r w:rsidRPr="0084016E">
        <w:rPr>
          <w:lang w:val="fr-FR"/>
        </w:rPr>
        <w:t>Union a été assurée à la demande des administrations, comme indiqué dans les lettres d</w:t>
      </w:r>
      <w:r w:rsidR="009C1307" w:rsidRPr="0084016E">
        <w:rPr>
          <w:lang w:val="fr-FR"/>
        </w:rPr>
        <w:t>'</w:t>
      </w:r>
      <w:r w:rsidRPr="0084016E">
        <w:rPr>
          <w:lang w:val="fr-FR"/>
        </w:rPr>
        <w:t>invitation aux réunions des CE. Le Bureau a ainsi pu économiser des ressources.</w:t>
      </w:r>
    </w:p>
    <w:p w14:paraId="3C5C6297" w14:textId="2C3CC96E" w:rsidR="00F17E04" w:rsidRPr="0084016E" w:rsidRDefault="00D92CC6" w:rsidP="001732C2">
      <w:pPr>
        <w:rPr>
          <w:lang w:val="fr-FR"/>
        </w:rPr>
      </w:pPr>
      <w:r w:rsidRPr="0084016E">
        <w:rPr>
          <w:lang w:val="fr-FR"/>
        </w:rPr>
        <w:t>T</w:t>
      </w:r>
      <w:r w:rsidR="00F17E04" w:rsidRPr="0084016E">
        <w:rPr>
          <w:lang w:val="fr-FR"/>
        </w:rPr>
        <w:t>outes les réunions des CE se sont tenues avec sous</w:t>
      </w:r>
      <w:r w:rsidRPr="0084016E">
        <w:rPr>
          <w:lang w:val="fr-FR"/>
        </w:rPr>
        <w:t>-</w:t>
      </w:r>
      <w:r w:rsidR="00F17E04" w:rsidRPr="0084016E">
        <w:rPr>
          <w:lang w:val="fr-FR"/>
        </w:rPr>
        <w:t xml:space="preserve">titrage en direct en anglais. Toutefois, cette fonctionnalité a des incidences sur les coûts des réunions, </w:t>
      </w:r>
      <w:r w:rsidR="00036163" w:rsidRPr="0084016E">
        <w:rPr>
          <w:lang w:val="fr-FR"/>
        </w:rPr>
        <w:t xml:space="preserve">en particulier </w:t>
      </w:r>
      <w:r w:rsidR="00F17E04" w:rsidRPr="0084016E">
        <w:rPr>
          <w:lang w:val="fr-FR"/>
        </w:rPr>
        <w:t xml:space="preserve">les réunions </w:t>
      </w:r>
      <w:r w:rsidR="00B008F5" w:rsidRPr="0084016E">
        <w:rPr>
          <w:lang w:val="fr-FR"/>
        </w:rPr>
        <w:t>qui se tiennent</w:t>
      </w:r>
      <w:r w:rsidR="00F17E04" w:rsidRPr="0084016E">
        <w:rPr>
          <w:lang w:val="fr-FR"/>
        </w:rPr>
        <w:t xml:space="preserve"> en dehors des locaux de l</w:t>
      </w:r>
      <w:r w:rsidR="009C1307" w:rsidRPr="0084016E">
        <w:rPr>
          <w:lang w:val="fr-FR"/>
        </w:rPr>
        <w:t>'</w:t>
      </w:r>
      <w:r w:rsidR="00F17E04" w:rsidRPr="0084016E">
        <w:rPr>
          <w:lang w:val="fr-FR"/>
        </w:rPr>
        <w:t>UIT.</w:t>
      </w:r>
    </w:p>
    <w:p w14:paraId="4618EB0E" w14:textId="2C2443AB" w:rsidR="00D66C84" w:rsidRPr="0084016E" w:rsidDel="008163D4" w:rsidRDefault="0052011E" w:rsidP="001732C2">
      <w:pPr>
        <w:pStyle w:val="Heading2"/>
        <w:rPr>
          <w:lang w:val="fr-FR"/>
        </w:rPr>
      </w:pPr>
      <w:r w:rsidRPr="0084016E">
        <w:rPr>
          <w:bCs/>
          <w:lang w:val="fr-FR"/>
        </w:rPr>
        <w:t>2.4</w:t>
      </w:r>
      <w:r w:rsidRPr="0084016E">
        <w:rPr>
          <w:lang w:val="fr-FR"/>
        </w:rPr>
        <w:tab/>
      </w:r>
      <w:r w:rsidRPr="0084016E">
        <w:rPr>
          <w:bCs/>
          <w:lang w:val="fr-FR"/>
        </w:rPr>
        <w:t>Pages web des commissions d</w:t>
      </w:r>
      <w:r w:rsidR="009C1307" w:rsidRPr="0084016E">
        <w:rPr>
          <w:bCs/>
          <w:lang w:val="fr-FR"/>
        </w:rPr>
        <w:t>'</w:t>
      </w:r>
      <w:r w:rsidRPr="0084016E">
        <w:rPr>
          <w:bCs/>
          <w:lang w:val="fr-FR"/>
        </w:rPr>
        <w:t>études</w:t>
      </w:r>
    </w:p>
    <w:p w14:paraId="44FE6482" w14:textId="00768703" w:rsidR="00D66C84" w:rsidRPr="0084016E" w:rsidDel="008163D4" w:rsidRDefault="00D66C84" w:rsidP="001732C2">
      <w:pPr>
        <w:rPr>
          <w:lang w:val="fr-FR"/>
        </w:rPr>
      </w:pPr>
      <w:bookmarkStart w:id="11" w:name="_Toc445972789"/>
      <w:r w:rsidRPr="0084016E">
        <w:rPr>
          <w:lang w:val="fr-FR"/>
        </w:rPr>
        <w:t>Conformément à la politique de l</w:t>
      </w:r>
      <w:r w:rsidR="009C1307" w:rsidRPr="0084016E">
        <w:rPr>
          <w:lang w:val="fr-FR"/>
        </w:rPr>
        <w:t>'</w:t>
      </w:r>
      <w:r w:rsidRPr="0084016E">
        <w:rPr>
          <w:lang w:val="fr-FR"/>
        </w:rPr>
        <w:t xml:space="preserve">UIT, les pages web </w:t>
      </w:r>
      <w:r w:rsidR="00CC5659" w:rsidRPr="0084016E">
        <w:rPr>
          <w:lang w:val="fr-FR"/>
        </w:rPr>
        <w:t>ont été</w:t>
      </w:r>
      <w:r w:rsidRPr="0084016E">
        <w:rPr>
          <w:lang w:val="fr-FR"/>
        </w:rPr>
        <w:t xml:space="preserve"> mises à jour en permanence afin de fournir les informations nécessaires aux délégués.</w:t>
      </w:r>
    </w:p>
    <w:p w14:paraId="6E62A2B2" w14:textId="502E6DB2" w:rsidR="00D66C84" w:rsidRPr="0084016E" w:rsidRDefault="00D66C84" w:rsidP="001732C2">
      <w:pPr>
        <w:rPr>
          <w:lang w:val="fr-FR"/>
        </w:rPr>
      </w:pPr>
      <w:r w:rsidRPr="0084016E">
        <w:rPr>
          <w:lang w:val="fr-FR"/>
        </w:rPr>
        <w:t>La liste des groupes de travail par correspondance</w:t>
      </w:r>
      <w:r w:rsidR="008A0899" w:rsidRPr="0084016E">
        <w:rPr>
          <w:lang w:val="fr-FR"/>
        </w:rPr>
        <w:t xml:space="preserve"> et des </w:t>
      </w:r>
      <w:r w:rsidRPr="0084016E">
        <w:rPr>
          <w:lang w:val="fr-FR"/>
        </w:rPr>
        <w:t>groupes du Rapporteur est disponible sur la page principale de chaque CE sous un lien précis, une harmonisation étant assurée pour toutes les</w:t>
      </w:r>
      <w:r w:rsidR="00531982" w:rsidRPr="0084016E">
        <w:rPr>
          <w:lang w:val="fr-FR"/>
        </w:rPr>
        <w:t> </w:t>
      </w:r>
      <w:r w:rsidRPr="0084016E">
        <w:rPr>
          <w:lang w:val="fr-FR"/>
        </w:rPr>
        <w:t>CE. Des informations telles que le nom du groupe, la page SharePoint, le Rapporteur/Président/Coordonnateur, la liste de diffusion, les archives et d</w:t>
      </w:r>
      <w:r w:rsidR="009C1307" w:rsidRPr="0084016E">
        <w:rPr>
          <w:lang w:val="fr-FR"/>
        </w:rPr>
        <w:t>'</w:t>
      </w:r>
      <w:r w:rsidRPr="0084016E">
        <w:rPr>
          <w:lang w:val="fr-FR"/>
        </w:rPr>
        <w:t xml:space="preserve">autres informations </w:t>
      </w:r>
      <w:r w:rsidR="00E03AD1" w:rsidRPr="0084016E">
        <w:rPr>
          <w:lang w:val="fr-FR"/>
        </w:rPr>
        <w:t>utiles</w:t>
      </w:r>
      <w:r w:rsidRPr="0084016E">
        <w:rPr>
          <w:lang w:val="fr-FR"/>
        </w:rPr>
        <w:t xml:space="preserve"> sont mises à la disposition des utilisateurs.</w:t>
      </w:r>
    </w:p>
    <w:p w14:paraId="78C63630" w14:textId="5E2638E8" w:rsidR="0044582B" w:rsidRPr="0084016E" w:rsidRDefault="0044582B" w:rsidP="001732C2">
      <w:pPr>
        <w:rPr>
          <w:lang w:val="fr-FR"/>
        </w:rPr>
      </w:pPr>
      <w:r w:rsidRPr="0084016E">
        <w:rPr>
          <w:lang w:val="fr-FR"/>
        </w:rPr>
        <w:t>Conformément aux dispositions de la Résolution UIT-R 1, les documents de réunion sont publiés par le personnel du Département des commissions d</w:t>
      </w:r>
      <w:r w:rsidR="009C1307" w:rsidRPr="0084016E">
        <w:rPr>
          <w:lang w:val="fr-FR"/>
        </w:rPr>
        <w:t>'</w:t>
      </w:r>
      <w:r w:rsidRPr="0084016E">
        <w:rPr>
          <w:lang w:val="fr-FR"/>
        </w:rPr>
        <w:t>études du BR tels qu</w:t>
      </w:r>
      <w:r w:rsidR="009C1307" w:rsidRPr="0084016E">
        <w:rPr>
          <w:lang w:val="fr-FR"/>
        </w:rPr>
        <w:t>'</w:t>
      </w:r>
      <w:r w:rsidRPr="0084016E">
        <w:rPr>
          <w:lang w:val="fr-FR"/>
        </w:rPr>
        <w:t>«ils ont été reçus», dans un délai d</w:t>
      </w:r>
      <w:r w:rsidR="009C1307" w:rsidRPr="0084016E">
        <w:rPr>
          <w:lang w:val="fr-FR"/>
        </w:rPr>
        <w:t>'</w:t>
      </w:r>
      <w:r w:rsidRPr="0084016E">
        <w:rPr>
          <w:lang w:val="fr-FR"/>
        </w:rPr>
        <w:t>un jour ouvrable, sur une page web créée à cet effet, et les versions officielles sont mises en ligne sur le site web dans un délai de trois jours ouvrables.</w:t>
      </w:r>
    </w:p>
    <w:p w14:paraId="76243456" w14:textId="5FBBD895" w:rsidR="0044582B" w:rsidRPr="0084016E" w:rsidDel="008163D4" w:rsidRDefault="0044582B" w:rsidP="001732C2">
      <w:pPr>
        <w:rPr>
          <w:lang w:val="fr-FR"/>
        </w:rPr>
      </w:pPr>
      <w:r w:rsidRPr="0084016E">
        <w:rPr>
          <w:lang w:val="fr-FR"/>
        </w:rPr>
        <w:t>Le Département des commissions d</w:t>
      </w:r>
      <w:r w:rsidR="009C1307" w:rsidRPr="0084016E">
        <w:rPr>
          <w:lang w:val="fr-FR"/>
        </w:rPr>
        <w:t>'</w:t>
      </w:r>
      <w:r w:rsidRPr="0084016E">
        <w:rPr>
          <w:lang w:val="fr-FR"/>
        </w:rPr>
        <w:t xml:space="preserve">études du BR a achevé la mise en </w:t>
      </w:r>
      <w:r w:rsidR="00CC5659" w:rsidRPr="0084016E">
        <w:rPr>
          <w:lang w:val="fr-FR"/>
        </w:rPr>
        <w:t>œuvre</w:t>
      </w:r>
      <w:r w:rsidRPr="0084016E">
        <w:rPr>
          <w:lang w:val="fr-FR"/>
        </w:rPr>
        <w:t xml:space="preserve"> d</w:t>
      </w:r>
      <w:r w:rsidR="009C1307" w:rsidRPr="0084016E">
        <w:rPr>
          <w:lang w:val="fr-FR"/>
        </w:rPr>
        <w:t>'</w:t>
      </w:r>
      <w:r w:rsidRPr="0084016E">
        <w:rPr>
          <w:lang w:val="fr-FR"/>
        </w:rPr>
        <w:t>un outil qui enregistre automatiquement les contributions «telles qu</w:t>
      </w:r>
      <w:r w:rsidR="009C1307" w:rsidRPr="0084016E">
        <w:rPr>
          <w:lang w:val="fr-FR"/>
        </w:rPr>
        <w:t>'</w:t>
      </w:r>
      <w:r w:rsidRPr="0084016E">
        <w:rPr>
          <w:lang w:val="fr-FR"/>
        </w:rPr>
        <w:t>elles ont été reçues».</w:t>
      </w:r>
    </w:p>
    <w:bookmarkEnd w:id="11"/>
    <w:p w14:paraId="1EDF0F92" w14:textId="37D06CA7" w:rsidR="00D66C84" w:rsidRPr="0084016E" w:rsidRDefault="002D33DC" w:rsidP="001732C2">
      <w:pPr>
        <w:pStyle w:val="Heading1"/>
        <w:rPr>
          <w:lang w:val="fr-FR"/>
        </w:rPr>
      </w:pPr>
      <w:r w:rsidRPr="0084016E">
        <w:rPr>
          <w:bCs/>
          <w:lang w:val="fr-FR"/>
        </w:rPr>
        <w:t>3</w:t>
      </w:r>
      <w:r w:rsidRPr="0084016E">
        <w:rPr>
          <w:lang w:val="fr-FR"/>
        </w:rPr>
        <w:tab/>
      </w:r>
      <w:r w:rsidR="00CC5659" w:rsidRPr="0084016E">
        <w:rPr>
          <w:bCs/>
          <w:lang w:val="fr-FR"/>
        </w:rPr>
        <w:t>Participation</w:t>
      </w:r>
    </w:p>
    <w:p w14:paraId="6E65141A" w14:textId="581CAF31" w:rsidR="00D66C84" w:rsidRPr="0084016E" w:rsidRDefault="00D66C84" w:rsidP="001732C2">
      <w:pPr>
        <w:rPr>
          <w:lang w:val="fr-FR"/>
        </w:rPr>
      </w:pPr>
      <w:r w:rsidRPr="0084016E">
        <w:rPr>
          <w:lang w:val="fr-FR"/>
        </w:rPr>
        <w:t>Le niveau de participation aux réunions des CE et des GT de l</w:t>
      </w:r>
      <w:r w:rsidR="009C1307" w:rsidRPr="0084016E">
        <w:rPr>
          <w:lang w:val="fr-FR"/>
        </w:rPr>
        <w:t>'</w:t>
      </w:r>
      <w:r w:rsidRPr="0084016E">
        <w:rPr>
          <w:lang w:val="fr-FR"/>
        </w:rPr>
        <w:t xml:space="preserve">UIT-R a considérablement augmenté, en particulier depuis 2020, année durant laquelle toutes les réunions se sont tenues </w:t>
      </w:r>
      <w:r w:rsidR="00352914" w:rsidRPr="0084016E">
        <w:rPr>
          <w:lang w:val="fr-FR"/>
        </w:rPr>
        <w:t>de manière électronique</w:t>
      </w:r>
      <w:r w:rsidRPr="0084016E">
        <w:rPr>
          <w:lang w:val="fr-FR"/>
        </w:rPr>
        <w:t xml:space="preserve"> ou </w:t>
      </w:r>
      <w:r w:rsidR="000E66DC" w:rsidRPr="0084016E">
        <w:rPr>
          <w:lang w:val="fr-FR"/>
        </w:rPr>
        <w:t>en présentiel</w:t>
      </w:r>
      <w:r w:rsidRPr="0084016E">
        <w:rPr>
          <w:lang w:val="fr-FR"/>
        </w:rPr>
        <w:t xml:space="preserve"> avec participation à distance. Cette situation est très encourageante, </w:t>
      </w:r>
      <w:r w:rsidR="005F49FF" w:rsidRPr="0084016E">
        <w:rPr>
          <w:lang w:val="fr-FR"/>
        </w:rPr>
        <w:t>même si elle n'est pas sans créer</w:t>
      </w:r>
      <w:r w:rsidRPr="0084016E">
        <w:rPr>
          <w:lang w:val="fr-FR"/>
        </w:rPr>
        <w:t xml:space="preserve"> des difficultés </w:t>
      </w:r>
      <w:r w:rsidR="000778B0" w:rsidRPr="0084016E">
        <w:rPr>
          <w:lang w:val="fr-FR"/>
        </w:rPr>
        <w:t>lorsqu'il s'agit de planifier</w:t>
      </w:r>
      <w:r w:rsidRPr="0084016E">
        <w:rPr>
          <w:lang w:val="fr-FR"/>
        </w:rPr>
        <w:t xml:space="preserve"> des réunions en grands groupes.</w:t>
      </w:r>
    </w:p>
    <w:p w14:paraId="36C10EE6" w14:textId="3EC7BABB" w:rsidR="00D66C84" w:rsidRPr="0084016E" w:rsidRDefault="00D66C84" w:rsidP="001732C2">
      <w:pPr>
        <w:rPr>
          <w:lang w:val="fr-FR"/>
        </w:rPr>
      </w:pPr>
      <w:r w:rsidRPr="0084016E">
        <w:rPr>
          <w:lang w:val="fr-FR"/>
        </w:rPr>
        <w:t>La Figure 1 illustre la participation physique par groupe en 2024.</w:t>
      </w:r>
    </w:p>
    <w:p w14:paraId="2765654C" w14:textId="77777777" w:rsidR="00D66C84" w:rsidRPr="0084016E" w:rsidRDefault="00D66C84" w:rsidP="00D66C84">
      <w:pPr>
        <w:pStyle w:val="FigureNo"/>
        <w:rPr>
          <w:lang w:val="fr-FR"/>
        </w:rPr>
      </w:pPr>
      <w:r w:rsidRPr="0084016E">
        <w:rPr>
          <w:lang w:val="fr-FR"/>
        </w:rPr>
        <w:lastRenderedPageBreak/>
        <w:t>FIGURE 1</w:t>
      </w:r>
    </w:p>
    <w:p w14:paraId="77EBE2FB" w14:textId="5AFD850B" w:rsidR="00D66C84" w:rsidRPr="0084016E" w:rsidRDefault="005C3F25" w:rsidP="00D66C84">
      <w:pPr>
        <w:pStyle w:val="Figuretitle"/>
        <w:rPr>
          <w:lang w:val="fr-FR"/>
        </w:rPr>
      </w:pPr>
      <w:r w:rsidRPr="0084016E">
        <w:rPr>
          <w:bCs/>
          <w:lang w:val="fr-FR"/>
        </w:rPr>
        <w:t>Nombre total de participants en présentiel par réunion des commissions d</w:t>
      </w:r>
      <w:r w:rsidR="009C1307" w:rsidRPr="0084016E">
        <w:rPr>
          <w:bCs/>
          <w:lang w:val="fr-FR"/>
        </w:rPr>
        <w:t>'</w:t>
      </w:r>
      <w:r w:rsidRPr="0084016E">
        <w:rPr>
          <w:bCs/>
          <w:lang w:val="fr-FR"/>
        </w:rPr>
        <w:t>études</w:t>
      </w:r>
      <w:r w:rsidR="00C5676B" w:rsidRPr="0084016E">
        <w:rPr>
          <w:bCs/>
          <w:lang w:val="fr-FR"/>
        </w:rPr>
        <w:br/>
      </w:r>
      <w:r w:rsidR="0004204C" w:rsidRPr="0084016E">
        <w:rPr>
          <w:bCs/>
          <w:lang w:val="fr-FR"/>
        </w:rPr>
        <w:t xml:space="preserve">et des </w:t>
      </w:r>
      <w:r w:rsidRPr="0084016E">
        <w:rPr>
          <w:bCs/>
          <w:lang w:val="fr-FR"/>
        </w:rPr>
        <w:t>groupes de travail de l</w:t>
      </w:r>
      <w:r w:rsidR="009C1307" w:rsidRPr="0084016E">
        <w:rPr>
          <w:bCs/>
          <w:lang w:val="fr-FR"/>
        </w:rPr>
        <w:t>'</w:t>
      </w:r>
      <w:r w:rsidRPr="0084016E">
        <w:rPr>
          <w:bCs/>
          <w:lang w:val="fr-FR"/>
        </w:rPr>
        <w:t>UIT-R en 2024</w:t>
      </w:r>
    </w:p>
    <w:p w14:paraId="449B59FD" w14:textId="4189B58E" w:rsidR="007935B5" w:rsidRPr="0084016E" w:rsidRDefault="00C01E41" w:rsidP="00531982">
      <w:pPr>
        <w:pStyle w:val="Figure"/>
        <w:rPr>
          <w:lang w:val="fr-FR"/>
        </w:rPr>
      </w:pPr>
      <w:r w:rsidRPr="0084016E">
        <w:rPr>
          <w:noProof/>
          <w:lang w:val="fr-FR"/>
        </w:rPr>
        <w:drawing>
          <wp:inline distT="0" distB="0" distL="0" distR="0" wp14:anchorId="65042DDE" wp14:editId="14F6BB23">
            <wp:extent cx="6120321" cy="2900275"/>
            <wp:effectExtent l="0" t="0" r="13970" b="14605"/>
            <wp:docPr id="1677447098" name="Chart 1">
              <a:extLst xmlns:a="http://schemas.openxmlformats.org/drawingml/2006/main">
                <a:ext uri="{FF2B5EF4-FFF2-40B4-BE49-F238E27FC236}">
                  <a16:creationId xmlns:a16="http://schemas.microsoft.com/office/drawing/2014/main" id="{E0D01347-FF51-628D-F741-C8B79A42B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378F5F" w14:textId="0BB222F6" w:rsidR="00262733" w:rsidRPr="0084016E" w:rsidRDefault="00F24C7D" w:rsidP="00BE6491">
      <w:pPr>
        <w:pStyle w:val="Heading2"/>
        <w:rPr>
          <w:lang w:val="fr-FR"/>
        </w:rPr>
      </w:pPr>
      <w:r w:rsidRPr="0084016E">
        <w:rPr>
          <w:bCs/>
          <w:lang w:val="fr-FR"/>
        </w:rPr>
        <w:t>3.1</w:t>
      </w:r>
      <w:r w:rsidRPr="0084016E">
        <w:rPr>
          <w:lang w:val="fr-FR"/>
        </w:rPr>
        <w:tab/>
      </w:r>
      <w:r w:rsidRPr="0084016E">
        <w:rPr>
          <w:bCs/>
          <w:lang w:val="fr-FR"/>
        </w:rPr>
        <w:t xml:space="preserve">Bourses </w:t>
      </w:r>
      <w:r w:rsidR="00C74DBC" w:rsidRPr="0084016E">
        <w:rPr>
          <w:bCs/>
          <w:lang w:val="fr-FR"/>
        </w:rPr>
        <w:t xml:space="preserve">destinées à </w:t>
      </w:r>
      <w:r w:rsidR="001A57CC" w:rsidRPr="0084016E">
        <w:rPr>
          <w:bCs/>
          <w:lang w:val="fr-FR"/>
        </w:rPr>
        <w:t>faciliter</w:t>
      </w:r>
      <w:r w:rsidRPr="0084016E">
        <w:rPr>
          <w:bCs/>
          <w:lang w:val="fr-FR"/>
        </w:rPr>
        <w:t xml:space="preserve"> la participation aux activités des </w:t>
      </w:r>
      <w:r w:rsidR="00683255" w:rsidRPr="0084016E">
        <w:rPr>
          <w:bCs/>
          <w:lang w:val="fr-FR"/>
        </w:rPr>
        <w:t>c</w:t>
      </w:r>
      <w:r w:rsidRPr="0084016E">
        <w:rPr>
          <w:bCs/>
          <w:lang w:val="fr-FR"/>
        </w:rPr>
        <w:t>ommissions d</w:t>
      </w:r>
      <w:r w:rsidR="009C1307" w:rsidRPr="0084016E">
        <w:rPr>
          <w:bCs/>
          <w:lang w:val="fr-FR"/>
        </w:rPr>
        <w:t>'</w:t>
      </w:r>
      <w:r w:rsidRPr="0084016E">
        <w:rPr>
          <w:bCs/>
          <w:lang w:val="fr-FR"/>
        </w:rPr>
        <w:t>études de</w:t>
      </w:r>
      <w:r w:rsidR="00531982" w:rsidRPr="0084016E">
        <w:rPr>
          <w:bCs/>
          <w:lang w:val="fr-FR"/>
        </w:rPr>
        <w:t> </w:t>
      </w:r>
      <w:r w:rsidRPr="0084016E">
        <w:rPr>
          <w:bCs/>
          <w:lang w:val="fr-FR"/>
        </w:rPr>
        <w:t>l</w:t>
      </w:r>
      <w:r w:rsidR="009C1307" w:rsidRPr="0084016E">
        <w:rPr>
          <w:bCs/>
          <w:lang w:val="fr-FR"/>
        </w:rPr>
        <w:t>'</w:t>
      </w:r>
      <w:r w:rsidRPr="0084016E">
        <w:rPr>
          <w:bCs/>
          <w:lang w:val="fr-FR"/>
        </w:rPr>
        <w:t>UIT-R</w:t>
      </w:r>
    </w:p>
    <w:p w14:paraId="61573A43" w14:textId="1EB5E94C" w:rsidR="009E317D" w:rsidRPr="0084016E" w:rsidRDefault="00255CED" w:rsidP="001732C2">
      <w:pPr>
        <w:rPr>
          <w:lang w:val="fr-FR"/>
        </w:rPr>
      </w:pPr>
      <w:r w:rsidRPr="0084016E">
        <w:rPr>
          <w:lang w:val="fr-FR"/>
        </w:rPr>
        <w:t>Conformément au § A1</w:t>
      </w:r>
      <w:r w:rsidR="001A57CC" w:rsidRPr="0084016E">
        <w:rPr>
          <w:lang w:val="fr-FR"/>
        </w:rPr>
        <w:t>.</w:t>
      </w:r>
      <w:r w:rsidRPr="0084016E">
        <w:rPr>
          <w:lang w:val="fr-FR"/>
        </w:rPr>
        <w:t>3</w:t>
      </w:r>
      <w:r w:rsidR="001A57CC" w:rsidRPr="0084016E">
        <w:rPr>
          <w:lang w:val="fr-FR"/>
        </w:rPr>
        <w:t>.</w:t>
      </w:r>
      <w:r w:rsidRPr="0084016E">
        <w:rPr>
          <w:lang w:val="fr-FR"/>
        </w:rPr>
        <w:t>2</w:t>
      </w:r>
      <w:r w:rsidR="001A57CC" w:rsidRPr="0084016E">
        <w:rPr>
          <w:lang w:val="fr-FR"/>
        </w:rPr>
        <w:t>.</w:t>
      </w:r>
      <w:r w:rsidRPr="0084016E">
        <w:rPr>
          <w:lang w:val="fr-FR"/>
        </w:rPr>
        <w:t>1</w:t>
      </w:r>
      <w:r w:rsidRPr="0084016E">
        <w:rPr>
          <w:i/>
          <w:iCs/>
          <w:lang w:val="fr-FR"/>
        </w:rPr>
        <w:t>quinquies</w:t>
      </w:r>
      <w:r w:rsidRPr="0084016E">
        <w:rPr>
          <w:lang w:val="fr-FR"/>
        </w:rPr>
        <w:t xml:space="preserve"> de la Résolution UIT-R 1-9, l</w:t>
      </w:r>
      <w:r w:rsidR="009C1307" w:rsidRPr="0084016E">
        <w:rPr>
          <w:lang w:val="fr-FR"/>
        </w:rPr>
        <w:t>'</w:t>
      </w:r>
      <w:r w:rsidRPr="0084016E">
        <w:rPr>
          <w:lang w:val="fr-FR"/>
        </w:rPr>
        <w:t>UIT devrait</w:t>
      </w:r>
      <w:r w:rsidR="00683255" w:rsidRPr="0084016E">
        <w:rPr>
          <w:lang w:val="fr-FR"/>
        </w:rPr>
        <w:t>,</w:t>
      </w:r>
      <w:r w:rsidRPr="0084016E">
        <w:rPr>
          <w:lang w:val="fr-FR"/>
        </w:rPr>
        <w:t xml:space="preserve"> dans la mesure du possible</w:t>
      </w:r>
      <w:r w:rsidR="00683255" w:rsidRPr="0084016E">
        <w:rPr>
          <w:lang w:val="fr-FR"/>
        </w:rPr>
        <w:t>,</w:t>
      </w:r>
      <w:r w:rsidRPr="0084016E">
        <w:rPr>
          <w:lang w:val="fr-FR"/>
        </w:rPr>
        <w:t xml:space="preserve"> faciliter et soutenir </w:t>
      </w:r>
      <w:r w:rsidR="00BF26B8" w:rsidRPr="0084016E">
        <w:rPr>
          <w:lang w:val="fr-FR"/>
        </w:rPr>
        <w:t xml:space="preserve">la participation aux </w:t>
      </w:r>
      <w:r w:rsidRPr="0084016E">
        <w:rPr>
          <w:lang w:val="fr-FR"/>
        </w:rPr>
        <w:t>travaux des commissions d</w:t>
      </w:r>
      <w:r w:rsidR="009C1307" w:rsidRPr="0084016E">
        <w:rPr>
          <w:lang w:val="fr-FR"/>
        </w:rPr>
        <w:t>'</w:t>
      </w:r>
      <w:r w:rsidRPr="0084016E">
        <w:rPr>
          <w:lang w:val="fr-FR"/>
        </w:rPr>
        <w:t>études de l</w:t>
      </w:r>
      <w:r w:rsidR="009C1307" w:rsidRPr="0084016E">
        <w:rPr>
          <w:lang w:val="fr-FR"/>
        </w:rPr>
        <w:t>'</w:t>
      </w:r>
      <w:r w:rsidRPr="0084016E">
        <w:rPr>
          <w:lang w:val="fr-FR"/>
        </w:rPr>
        <w:t>UIT-R, en</w:t>
      </w:r>
      <w:r w:rsidR="00531982" w:rsidRPr="0084016E">
        <w:rPr>
          <w:lang w:val="fr-FR"/>
        </w:rPr>
        <w:t> </w:t>
      </w:r>
      <w:r w:rsidRPr="0084016E">
        <w:rPr>
          <w:lang w:val="fr-FR"/>
        </w:rPr>
        <w:t>particulier</w:t>
      </w:r>
      <w:r w:rsidR="00683255" w:rsidRPr="0084016E">
        <w:rPr>
          <w:lang w:val="fr-FR"/>
        </w:rPr>
        <w:t xml:space="preserve"> pour</w:t>
      </w:r>
      <w:r w:rsidRPr="0084016E">
        <w:rPr>
          <w:lang w:val="fr-FR"/>
        </w:rPr>
        <w:t xml:space="preserve"> les personnes originaires de pays en développement. Afin d</w:t>
      </w:r>
      <w:r w:rsidR="00683255" w:rsidRPr="0084016E">
        <w:rPr>
          <w:lang w:val="fr-FR"/>
        </w:rPr>
        <w:t>e déterminer</w:t>
      </w:r>
      <w:r w:rsidRPr="0084016E">
        <w:rPr>
          <w:lang w:val="fr-FR"/>
        </w:rPr>
        <w:t xml:space="preserve"> le budget alloué à l</w:t>
      </w:r>
      <w:r w:rsidR="009C1307" w:rsidRPr="0084016E">
        <w:rPr>
          <w:lang w:val="fr-FR"/>
        </w:rPr>
        <w:t>'</w:t>
      </w:r>
      <w:r w:rsidRPr="0084016E">
        <w:rPr>
          <w:lang w:val="fr-FR"/>
        </w:rPr>
        <w:t>octroi de bourses pour les réunions de l</w:t>
      </w:r>
      <w:r w:rsidR="009C1307" w:rsidRPr="0084016E">
        <w:rPr>
          <w:lang w:val="fr-FR"/>
        </w:rPr>
        <w:t>'</w:t>
      </w:r>
      <w:r w:rsidRPr="0084016E">
        <w:rPr>
          <w:lang w:val="fr-FR"/>
        </w:rPr>
        <w:t>UIT-R, une demande a été adressée à la session de</w:t>
      </w:r>
      <w:r w:rsidR="00531982" w:rsidRPr="0084016E">
        <w:rPr>
          <w:lang w:val="fr-FR"/>
        </w:rPr>
        <w:t> </w:t>
      </w:r>
      <w:r w:rsidRPr="0084016E">
        <w:rPr>
          <w:lang w:val="fr-FR"/>
        </w:rPr>
        <w:t>2025 du Conseil de l</w:t>
      </w:r>
      <w:r w:rsidR="009C1307" w:rsidRPr="0084016E">
        <w:rPr>
          <w:lang w:val="fr-FR"/>
        </w:rPr>
        <w:t>'</w:t>
      </w:r>
      <w:r w:rsidRPr="0084016E">
        <w:rPr>
          <w:lang w:val="fr-FR"/>
        </w:rPr>
        <w:t>UIT.</w:t>
      </w:r>
    </w:p>
    <w:p w14:paraId="3CE7F205" w14:textId="108FA1D6" w:rsidR="00D66C84" w:rsidRPr="0084016E" w:rsidRDefault="00F24C7D" w:rsidP="00BE6491">
      <w:pPr>
        <w:pStyle w:val="Heading1"/>
        <w:rPr>
          <w:lang w:val="fr-FR"/>
        </w:rPr>
      </w:pPr>
      <w:r w:rsidRPr="0084016E">
        <w:rPr>
          <w:bCs/>
          <w:lang w:val="fr-FR"/>
        </w:rPr>
        <w:t>4</w:t>
      </w:r>
      <w:r w:rsidRPr="0084016E">
        <w:rPr>
          <w:lang w:val="fr-FR"/>
        </w:rPr>
        <w:tab/>
      </w:r>
      <w:r w:rsidRPr="0084016E">
        <w:rPr>
          <w:bCs/>
          <w:lang w:val="fr-FR"/>
        </w:rPr>
        <w:t>Salles de réunion</w:t>
      </w:r>
    </w:p>
    <w:p w14:paraId="293C7D10" w14:textId="79C7FE3F" w:rsidR="00D66C84" w:rsidRPr="0084016E" w:rsidRDefault="00D66C84" w:rsidP="001732C2">
      <w:pPr>
        <w:rPr>
          <w:lang w:val="fr-FR"/>
        </w:rPr>
      </w:pPr>
      <w:r w:rsidRPr="0084016E">
        <w:rPr>
          <w:lang w:val="fr-FR"/>
        </w:rPr>
        <w:t>La pénurie de salles de réunion au siège de l</w:t>
      </w:r>
      <w:r w:rsidR="009C1307" w:rsidRPr="0084016E">
        <w:rPr>
          <w:lang w:val="fr-FR"/>
        </w:rPr>
        <w:t>'</w:t>
      </w:r>
      <w:r w:rsidRPr="0084016E">
        <w:rPr>
          <w:lang w:val="fr-FR"/>
        </w:rPr>
        <w:t xml:space="preserve">UIT </w:t>
      </w:r>
      <w:r w:rsidR="003C7FAB" w:rsidRPr="0084016E">
        <w:rPr>
          <w:lang w:val="fr-FR"/>
        </w:rPr>
        <w:t xml:space="preserve">a continué </w:t>
      </w:r>
      <w:r w:rsidRPr="0084016E">
        <w:rPr>
          <w:lang w:val="fr-FR"/>
        </w:rPr>
        <w:t>de nuire à la planification efficace des réunions. Ce problème a encore été aggravé par les facteurs suivants:</w:t>
      </w:r>
    </w:p>
    <w:p w14:paraId="1096A116" w14:textId="6B7E9642" w:rsidR="00D66C84" w:rsidRPr="0084016E" w:rsidRDefault="00D66C84" w:rsidP="009E4F77">
      <w:pPr>
        <w:pStyle w:val="enumlev1"/>
        <w:rPr>
          <w:lang w:val="fr-FR"/>
        </w:rPr>
      </w:pPr>
      <w:r w:rsidRPr="0084016E">
        <w:rPr>
          <w:lang w:val="fr-FR"/>
        </w:rPr>
        <w:t>–</w:t>
      </w:r>
      <w:r w:rsidRPr="0084016E">
        <w:rPr>
          <w:lang w:val="fr-FR"/>
        </w:rPr>
        <w:tab/>
      </w:r>
      <w:r w:rsidR="00FE4255" w:rsidRPr="0084016E">
        <w:rPr>
          <w:lang w:val="fr-FR"/>
        </w:rPr>
        <w:t>L</w:t>
      </w:r>
      <w:r w:rsidRPr="0084016E">
        <w:rPr>
          <w:lang w:val="fr-FR"/>
        </w:rPr>
        <w:t>e nombre croissant de réunions organisées par tous les Secteurs et le Secrétariat général</w:t>
      </w:r>
      <w:r w:rsidR="00FE4255" w:rsidRPr="0084016E">
        <w:rPr>
          <w:lang w:val="fr-FR"/>
        </w:rPr>
        <w:t>.</w:t>
      </w:r>
    </w:p>
    <w:p w14:paraId="7DAE8D66" w14:textId="18568A66" w:rsidR="00D66C84" w:rsidRPr="0084016E" w:rsidRDefault="00D66C84" w:rsidP="009E4F77">
      <w:pPr>
        <w:pStyle w:val="enumlev1"/>
        <w:rPr>
          <w:lang w:val="fr-FR"/>
        </w:rPr>
      </w:pPr>
      <w:r w:rsidRPr="0084016E">
        <w:rPr>
          <w:lang w:val="fr-FR"/>
        </w:rPr>
        <w:t>–</w:t>
      </w:r>
      <w:r w:rsidRPr="0084016E">
        <w:rPr>
          <w:lang w:val="fr-FR"/>
        </w:rPr>
        <w:tab/>
      </w:r>
      <w:r w:rsidR="00FE4255" w:rsidRPr="0084016E">
        <w:rPr>
          <w:lang w:val="fr-FR"/>
        </w:rPr>
        <w:t>L</w:t>
      </w:r>
      <w:r w:rsidRPr="0084016E">
        <w:rPr>
          <w:lang w:val="fr-FR"/>
        </w:rPr>
        <w:t>a pénurie de salles de réunion pouvant accueillir plus de 120 participants</w:t>
      </w:r>
      <w:r w:rsidR="00FE4255" w:rsidRPr="0084016E">
        <w:rPr>
          <w:lang w:val="fr-FR"/>
        </w:rPr>
        <w:t>.</w:t>
      </w:r>
    </w:p>
    <w:p w14:paraId="2C737C0A" w14:textId="133D056C" w:rsidR="00D66C84" w:rsidRPr="0084016E" w:rsidRDefault="00D66C84" w:rsidP="009E4F77">
      <w:pPr>
        <w:pStyle w:val="enumlev1"/>
        <w:rPr>
          <w:lang w:val="fr-FR"/>
        </w:rPr>
      </w:pPr>
      <w:r w:rsidRPr="0084016E">
        <w:rPr>
          <w:lang w:val="fr-FR"/>
        </w:rPr>
        <w:t>–</w:t>
      </w:r>
      <w:r w:rsidRPr="0084016E">
        <w:rPr>
          <w:lang w:val="fr-FR"/>
        </w:rPr>
        <w:tab/>
      </w:r>
      <w:r w:rsidR="00FE4255" w:rsidRPr="0084016E">
        <w:rPr>
          <w:lang w:val="fr-FR"/>
        </w:rPr>
        <w:t>L</w:t>
      </w:r>
      <w:r w:rsidRPr="0084016E">
        <w:rPr>
          <w:lang w:val="fr-FR"/>
        </w:rPr>
        <w:t>a nécessité d</w:t>
      </w:r>
      <w:r w:rsidR="009C1307" w:rsidRPr="0084016E">
        <w:rPr>
          <w:lang w:val="fr-FR"/>
        </w:rPr>
        <w:t>'</w:t>
      </w:r>
      <w:r w:rsidRPr="0084016E">
        <w:rPr>
          <w:lang w:val="fr-FR"/>
        </w:rPr>
        <w:t>éviter les chevauchements entre les dates des réunions ainsi que la nécessité d</w:t>
      </w:r>
      <w:r w:rsidR="009C1307" w:rsidRPr="0084016E">
        <w:rPr>
          <w:lang w:val="fr-FR"/>
        </w:rPr>
        <w:t>'</w:t>
      </w:r>
      <w:r w:rsidRPr="0084016E">
        <w:rPr>
          <w:lang w:val="fr-FR"/>
        </w:rPr>
        <w:t>organiser les séances des groupes de l</w:t>
      </w:r>
      <w:r w:rsidR="009C1307" w:rsidRPr="0084016E">
        <w:rPr>
          <w:lang w:val="fr-FR"/>
        </w:rPr>
        <w:t>'</w:t>
      </w:r>
      <w:r w:rsidRPr="0084016E">
        <w:rPr>
          <w:lang w:val="fr-FR"/>
        </w:rPr>
        <w:t>UIT-R en parallèle</w:t>
      </w:r>
      <w:r w:rsidR="00FE4255" w:rsidRPr="0084016E">
        <w:rPr>
          <w:lang w:val="fr-FR"/>
        </w:rPr>
        <w:t>.</w:t>
      </w:r>
    </w:p>
    <w:p w14:paraId="656A5A61" w14:textId="2497B314" w:rsidR="00D66C84" w:rsidRPr="0084016E" w:rsidRDefault="00D66C84" w:rsidP="009E4F77">
      <w:pPr>
        <w:pStyle w:val="enumlev1"/>
        <w:rPr>
          <w:lang w:val="fr-FR"/>
        </w:rPr>
      </w:pPr>
      <w:r w:rsidRPr="0084016E">
        <w:rPr>
          <w:lang w:val="fr-FR"/>
        </w:rPr>
        <w:t>–</w:t>
      </w:r>
      <w:r w:rsidRPr="0084016E">
        <w:rPr>
          <w:lang w:val="fr-FR"/>
        </w:rPr>
        <w:tab/>
      </w:r>
      <w:r w:rsidR="00FE4255" w:rsidRPr="0084016E">
        <w:rPr>
          <w:lang w:val="fr-FR"/>
        </w:rPr>
        <w:t>L</w:t>
      </w:r>
      <w:r w:rsidRPr="0084016E">
        <w:rPr>
          <w:lang w:val="fr-FR"/>
        </w:rPr>
        <w:t>es très longs délais nécessaires pour les réservations d</w:t>
      </w:r>
      <w:r w:rsidR="009C1307" w:rsidRPr="0084016E">
        <w:rPr>
          <w:lang w:val="fr-FR"/>
        </w:rPr>
        <w:t>'</w:t>
      </w:r>
      <w:r w:rsidRPr="0084016E">
        <w:rPr>
          <w:lang w:val="fr-FR"/>
        </w:rPr>
        <w:t>installations de remplacement et le nombre limité de ces installations, par exemple le CICG</w:t>
      </w:r>
      <w:r w:rsidR="00FE4255" w:rsidRPr="0084016E">
        <w:rPr>
          <w:lang w:val="fr-FR"/>
        </w:rPr>
        <w:t>.</w:t>
      </w:r>
    </w:p>
    <w:p w14:paraId="1492CF97" w14:textId="0F73D2B1" w:rsidR="00FD6916" w:rsidRPr="0084016E" w:rsidRDefault="00FD6916" w:rsidP="009E4F77">
      <w:pPr>
        <w:pStyle w:val="enumlev1"/>
        <w:rPr>
          <w:lang w:val="fr-FR"/>
        </w:rPr>
      </w:pPr>
      <w:r w:rsidRPr="0084016E">
        <w:rPr>
          <w:lang w:val="fr-FR"/>
        </w:rPr>
        <w:t>–</w:t>
      </w:r>
      <w:r w:rsidRPr="0084016E">
        <w:rPr>
          <w:lang w:val="fr-FR"/>
        </w:rPr>
        <w:tab/>
      </w:r>
      <w:r w:rsidR="00FE4255" w:rsidRPr="0084016E">
        <w:rPr>
          <w:lang w:val="fr-FR"/>
        </w:rPr>
        <w:t>E</w:t>
      </w:r>
      <w:r w:rsidRPr="0084016E">
        <w:rPr>
          <w:lang w:val="fr-FR"/>
        </w:rPr>
        <w:t>n outre, les conditions contractuelles du CICG ont évolué et sont devenues plus strictes:</w:t>
      </w:r>
      <w:r w:rsidR="008D0AD0" w:rsidRPr="0084016E">
        <w:rPr>
          <w:lang w:val="fr-FR"/>
        </w:rPr>
        <w:t xml:space="preserve"> ainsi,</w:t>
      </w:r>
      <w:r w:rsidRPr="0084016E">
        <w:rPr>
          <w:lang w:val="fr-FR"/>
        </w:rPr>
        <w:t xml:space="preserve"> le CICG ne fournit plus automatiquement de salle de réunion à l</w:t>
      </w:r>
      <w:r w:rsidR="009C1307" w:rsidRPr="0084016E">
        <w:rPr>
          <w:lang w:val="fr-FR"/>
        </w:rPr>
        <w:t>'</w:t>
      </w:r>
      <w:r w:rsidRPr="0084016E">
        <w:rPr>
          <w:lang w:val="fr-FR"/>
        </w:rPr>
        <w:t>UIT ou à d</w:t>
      </w:r>
      <w:r w:rsidR="009C1307" w:rsidRPr="0084016E">
        <w:rPr>
          <w:lang w:val="fr-FR"/>
        </w:rPr>
        <w:t>'</w:t>
      </w:r>
      <w:r w:rsidRPr="0084016E">
        <w:rPr>
          <w:lang w:val="fr-FR"/>
        </w:rPr>
        <w:t>autres organisations internationales</w:t>
      </w:r>
      <w:r w:rsidR="004C1FD1" w:rsidRPr="0084016E">
        <w:rPr>
          <w:lang w:val="fr-FR"/>
        </w:rPr>
        <w:t xml:space="preserve"> à titre gracieux</w:t>
      </w:r>
      <w:r w:rsidRPr="0084016E">
        <w:rPr>
          <w:lang w:val="fr-FR"/>
        </w:rPr>
        <w:t xml:space="preserve">, les </w:t>
      </w:r>
      <w:r w:rsidR="004C1FD1" w:rsidRPr="0084016E">
        <w:rPr>
          <w:lang w:val="fr-FR"/>
        </w:rPr>
        <w:t>salles de réunion étant attribuées</w:t>
      </w:r>
      <w:r w:rsidRPr="0084016E">
        <w:rPr>
          <w:lang w:val="fr-FR"/>
        </w:rPr>
        <w:t xml:space="preserve"> gratuitement sous réserve de la disponibilité budgétaire du CICG, et toutes les demandes devant être soumises 18 mois à l</w:t>
      </w:r>
      <w:r w:rsidR="009C1307" w:rsidRPr="0084016E">
        <w:rPr>
          <w:lang w:val="fr-FR"/>
        </w:rPr>
        <w:t>'</w:t>
      </w:r>
      <w:r w:rsidRPr="0084016E">
        <w:rPr>
          <w:lang w:val="fr-FR"/>
        </w:rPr>
        <w:t xml:space="preserve">avance pour être examinées </w:t>
      </w:r>
      <w:r w:rsidR="006F40B2" w:rsidRPr="0084016E">
        <w:rPr>
          <w:lang w:val="fr-FR"/>
        </w:rPr>
        <w:t xml:space="preserve">en vue </w:t>
      </w:r>
      <w:r w:rsidR="00597735" w:rsidRPr="0084016E">
        <w:rPr>
          <w:lang w:val="fr-FR"/>
        </w:rPr>
        <w:t>d'être attribuées</w:t>
      </w:r>
      <w:r w:rsidR="006F40B2" w:rsidRPr="0084016E">
        <w:rPr>
          <w:lang w:val="fr-FR"/>
        </w:rPr>
        <w:t xml:space="preserve"> sans frais de location</w:t>
      </w:r>
      <w:r w:rsidR="00FE4255" w:rsidRPr="0084016E">
        <w:rPr>
          <w:lang w:val="fr-FR"/>
        </w:rPr>
        <w:t>.</w:t>
      </w:r>
    </w:p>
    <w:p w14:paraId="3C1A37C5" w14:textId="4C5BB08B" w:rsidR="00D66C84" w:rsidRPr="0084016E" w:rsidRDefault="00D66C84" w:rsidP="009E4F77">
      <w:pPr>
        <w:pStyle w:val="enumlev1"/>
        <w:rPr>
          <w:lang w:val="fr-FR"/>
        </w:rPr>
      </w:pPr>
      <w:r w:rsidRPr="0084016E">
        <w:rPr>
          <w:lang w:val="fr-FR"/>
        </w:rPr>
        <w:t>–</w:t>
      </w:r>
      <w:r w:rsidRPr="0084016E">
        <w:rPr>
          <w:lang w:val="fr-FR"/>
        </w:rPr>
        <w:tab/>
      </w:r>
      <w:r w:rsidR="00FE4255" w:rsidRPr="0084016E">
        <w:rPr>
          <w:lang w:val="fr-FR"/>
        </w:rPr>
        <w:t>L</w:t>
      </w:r>
      <w:r w:rsidRPr="0084016E">
        <w:rPr>
          <w:lang w:val="fr-FR"/>
        </w:rPr>
        <w:t>a démolition future du bâtiment Varembé et la construction du nouveau bâtiment de l</w:t>
      </w:r>
      <w:r w:rsidR="009C1307" w:rsidRPr="0084016E">
        <w:rPr>
          <w:lang w:val="fr-FR"/>
        </w:rPr>
        <w:t>'</w:t>
      </w:r>
      <w:r w:rsidRPr="0084016E">
        <w:rPr>
          <w:lang w:val="fr-FR"/>
        </w:rPr>
        <w:t>UIT, qui aur</w:t>
      </w:r>
      <w:r w:rsidR="003255C5" w:rsidRPr="0084016E">
        <w:rPr>
          <w:lang w:val="fr-FR"/>
        </w:rPr>
        <w:t>aient</w:t>
      </w:r>
      <w:r w:rsidRPr="0084016E">
        <w:rPr>
          <w:lang w:val="fr-FR"/>
        </w:rPr>
        <w:t xml:space="preserve"> des incidences sur plusieurs salles de réunion.</w:t>
      </w:r>
    </w:p>
    <w:p w14:paraId="54DA560F" w14:textId="44E3EA86" w:rsidR="00D66C84" w:rsidRPr="0084016E" w:rsidRDefault="00D66C84" w:rsidP="00FE4255">
      <w:pPr>
        <w:keepLines/>
        <w:rPr>
          <w:lang w:val="fr-FR"/>
        </w:rPr>
      </w:pPr>
      <w:r w:rsidRPr="0084016E">
        <w:rPr>
          <w:lang w:val="fr-FR"/>
        </w:rPr>
        <w:lastRenderedPageBreak/>
        <w:t xml:space="preserve">Par conséquent, lorsque </w:t>
      </w:r>
      <w:r w:rsidR="007237BC" w:rsidRPr="0084016E">
        <w:rPr>
          <w:lang w:val="fr-FR"/>
        </w:rPr>
        <w:t>la démolition du bâtiment de Varembé aura débuté</w:t>
      </w:r>
      <w:r w:rsidRPr="0084016E">
        <w:rPr>
          <w:lang w:val="fr-FR"/>
        </w:rPr>
        <w:t>, un nombre croissant de réunions devront être organisées ailleurs qu</w:t>
      </w:r>
      <w:r w:rsidR="009C1307" w:rsidRPr="0084016E">
        <w:rPr>
          <w:lang w:val="fr-FR"/>
        </w:rPr>
        <w:t>'</w:t>
      </w:r>
      <w:r w:rsidR="00037D61" w:rsidRPr="0084016E">
        <w:rPr>
          <w:lang w:val="fr-FR"/>
        </w:rPr>
        <w:t>au siège de</w:t>
      </w:r>
      <w:r w:rsidRPr="0084016E">
        <w:rPr>
          <w:lang w:val="fr-FR"/>
        </w:rPr>
        <w:t xml:space="preserve"> l</w:t>
      </w:r>
      <w:r w:rsidR="009C1307" w:rsidRPr="0084016E">
        <w:rPr>
          <w:lang w:val="fr-FR"/>
        </w:rPr>
        <w:t>'</w:t>
      </w:r>
      <w:r w:rsidRPr="0084016E">
        <w:rPr>
          <w:lang w:val="fr-FR"/>
        </w:rPr>
        <w:t>UIT ou sous la forme de réunions mixtes, avec une participation en présentiel et une participation à distance. À cette fin, les membres sont particulièrement encouragés à proposer d</w:t>
      </w:r>
      <w:r w:rsidR="009C1307" w:rsidRPr="0084016E">
        <w:rPr>
          <w:lang w:val="fr-FR"/>
        </w:rPr>
        <w:t>'</w:t>
      </w:r>
      <w:r w:rsidRPr="0084016E">
        <w:rPr>
          <w:lang w:val="fr-FR"/>
        </w:rPr>
        <w:t>accueillir des réunions de CE ou de GT. En outre,</w:t>
      </w:r>
      <w:r w:rsidR="00070740" w:rsidRPr="0084016E">
        <w:rPr>
          <w:lang w:val="fr-FR"/>
        </w:rPr>
        <w:t xml:space="preserve"> il convient que</w:t>
      </w:r>
      <w:r w:rsidRPr="0084016E">
        <w:rPr>
          <w:lang w:val="fr-FR"/>
        </w:rPr>
        <w:t xml:space="preserve"> de tels arrangements </w:t>
      </w:r>
      <w:r w:rsidR="008D28A1" w:rsidRPr="0084016E">
        <w:rPr>
          <w:lang w:val="fr-FR"/>
        </w:rPr>
        <w:t>soient</w:t>
      </w:r>
      <w:r w:rsidRPr="0084016E">
        <w:rPr>
          <w:lang w:val="fr-FR"/>
        </w:rPr>
        <w:t xml:space="preserve"> planifiés et préparés largement en amont.</w:t>
      </w:r>
    </w:p>
    <w:p w14:paraId="5AD8472A" w14:textId="176C82B0" w:rsidR="00EE53AC" w:rsidRPr="0084016E" w:rsidRDefault="006B7B00" w:rsidP="001732C2">
      <w:pPr>
        <w:rPr>
          <w:sz w:val="22"/>
          <w:szCs w:val="22"/>
          <w:lang w:val="fr-FR"/>
        </w:rPr>
      </w:pPr>
      <w:r w:rsidRPr="0084016E">
        <w:rPr>
          <w:lang w:val="fr-FR"/>
        </w:rPr>
        <w:t>Les chevauchements avec les réunions des autres Secteurs de l</w:t>
      </w:r>
      <w:r w:rsidR="009C1307" w:rsidRPr="0084016E">
        <w:rPr>
          <w:lang w:val="fr-FR"/>
        </w:rPr>
        <w:t>'</w:t>
      </w:r>
      <w:r w:rsidRPr="0084016E">
        <w:rPr>
          <w:lang w:val="fr-FR"/>
        </w:rPr>
        <w:t>UIT et du Secrétariat général ont été évités dans toute la mesure du possible en 2024. Malheureusement, le nombre de manifestations autres que celles organisées par l</w:t>
      </w:r>
      <w:r w:rsidR="009C1307" w:rsidRPr="0084016E">
        <w:rPr>
          <w:lang w:val="fr-FR"/>
        </w:rPr>
        <w:t>'</w:t>
      </w:r>
      <w:r w:rsidRPr="0084016E">
        <w:rPr>
          <w:lang w:val="fr-FR"/>
        </w:rPr>
        <w:t>UIT-R a considérablement augmenté. Il est devenu difficile, et parfois impossible, d</w:t>
      </w:r>
      <w:r w:rsidR="009C1307" w:rsidRPr="0084016E">
        <w:rPr>
          <w:lang w:val="fr-FR"/>
        </w:rPr>
        <w:t>'</w:t>
      </w:r>
      <w:r w:rsidRPr="0084016E">
        <w:rPr>
          <w:lang w:val="fr-FR"/>
        </w:rPr>
        <w:t>éviter ces chevauchements. Une situation analogue est prévue en 2025 et une coordination régulière entre les Secteurs de l</w:t>
      </w:r>
      <w:r w:rsidR="009C1307" w:rsidRPr="0084016E">
        <w:rPr>
          <w:lang w:val="fr-FR"/>
        </w:rPr>
        <w:t>'</w:t>
      </w:r>
      <w:r w:rsidRPr="0084016E">
        <w:rPr>
          <w:lang w:val="fr-FR"/>
        </w:rPr>
        <w:t xml:space="preserve">UIT est en cours pour atténuer les </w:t>
      </w:r>
      <w:r w:rsidR="00D44493" w:rsidRPr="0084016E">
        <w:rPr>
          <w:lang w:val="fr-FR"/>
        </w:rPr>
        <w:t>effets associés</w:t>
      </w:r>
      <w:r w:rsidRPr="0084016E">
        <w:rPr>
          <w:lang w:val="fr-FR"/>
        </w:rPr>
        <w:t>.</w:t>
      </w:r>
    </w:p>
    <w:p w14:paraId="0BD9F6A4" w14:textId="02A9DCAF" w:rsidR="00F325B7" w:rsidRPr="0084016E" w:rsidRDefault="000C6BEC" w:rsidP="001732C2">
      <w:pPr>
        <w:pStyle w:val="Heading1"/>
        <w:rPr>
          <w:lang w:val="fr-FR"/>
        </w:rPr>
      </w:pPr>
      <w:bookmarkStart w:id="12" w:name="_Toc445972792"/>
      <w:bookmarkEnd w:id="5"/>
      <w:r w:rsidRPr="0084016E">
        <w:rPr>
          <w:bCs/>
          <w:lang w:val="fr-FR"/>
        </w:rPr>
        <w:t>5</w:t>
      </w:r>
      <w:r w:rsidRPr="0084016E">
        <w:rPr>
          <w:lang w:val="fr-FR"/>
        </w:rPr>
        <w:tab/>
      </w:r>
      <w:r w:rsidRPr="0084016E">
        <w:rPr>
          <w:bCs/>
          <w:lang w:val="fr-FR"/>
        </w:rPr>
        <w:t>Activités menées par les commissions d</w:t>
      </w:r>
      <w:r w:rsidR="009C1307" w:rsidRPr="0084016E">
        <w:rPr>
          <w:bCs/>
          <w:lang w:val="fr-FR"/>
        </w:rPr>
        <w:t>'</w:t>
      </w:r>
      <w:r w:rsidRPr="0084016E">
        <w:rPr>
          <w:bCs/>
          <w:lang w:val="fr-FR"/>
        </w:rPr>
        <w:t>études</w:t>
      </w:r>
    </w:p>
    <w:p w14:paraId="5736498C" w14:textId="09023E49" w:rsidR="0052011E" w:rsidRPr="0084016E" w:rsidRDefault="0052011E" w:rsidP="001732C2">
      <w:pPr>
        <w:rPr>
          <w:lang w:val="fr-FR"/>
        </w:rPr>
      </w:pPr>
      <w:r w:rsidRPr="0084016E">
        <w:rPr>
          <w:lang w:val="fr-FR"/>
        </w:rPr>
        <w:t xml:space="preserve">Les méthodes de travail des </w:t>
      </w:r>
      <w:r w:rsidR="000B3AD7" w:rsidRPr="0084016E">
        <w:rPr>
          <w:lang w:val="fr-FR"/>
        </w:rPr>
        <w:t>CE</w:t>
      </w:r>
      <w:r w:rsidRPr="0084016E">
        <w:rPr>
          <w:lang w:val="fr-FR"/>
        </w:rPr>
        <w:t xml:space="preserve"> et</w:t>
      </w:r>
      <w:r w:rsidR="00A7252A" w:rsidRPr="0084016E">
        <w:rPr>
          <w:lang w:val="fr-FR"/>
        </w:rPr>
        <w:t xml:space="preserve"> des</w:t>
      </w:r>
      <w:r w:rsidRPr="0084016E">
        <w:rPr>
          <w:lang w:val="fr-FR"/>
        </w:rPr>
        <w:t xml:space="preserve"> </w:t>
      </w:r>
      <w:r w:rsidR="000B3AD7" w:rsidRPr="0084016E">
        <w:rPr>
          <w:lang w:val="fr-FR"/>
        </w:rPr>
        <w:t>GT</w:t>
      </w:r>
      <w:r w:rsidRPr="0084016E">
        <w:rPr>
          <w:lang w:val="fr-FR"/>
        </w:rPr>
        <w:t xml:space="preserve"> ont été appliquées conformément à la Résolution UIT</w:t>
      </w:r>
      <w:r w:rsidR="00596235" w:rsidRPr="0084016E">
        <w:rPr>
          <w:lang w:val="fr-FR"/>
        </w:rPr>
        <w:noBreakHyphen/>
      </w:r>
      <w:r w:rsidRPr="0084016E">
        <w:rPr>
          <w:lang w:val="fr-FR"/>
        </w:rPr>
        <w:t>R</w:t>
      </w:r>
      <w:r w:rsidR="00596235" w:rsidRPr="0084016E">
        <w:rPr>
          <w:lang w:val="fr-FR"/>
        </w:rPr>
        <w:t> </w:t>
      </w:r>
      <w:r w:rsidRPr="0084016E">
        <w:rPr>
          <w:lang w:val="fr-FR"/>
        </w:rPr>
        <w:t>1 ainsi qu</w:t>
      </w:r>
      <w:r w:rsidR="009C1307" w:rsidRPr="0084016E">
        <w:rPr>
          <w:lang w:val="fr-FR"/>
        </w:rPr>
        <w:t>'</w:t>
      </w:r>
      <w:r w:rsidRPr="0084016E">
        <w:rPr>
          <w:lang w:val="fr-FR"/>
        </w:rPr>
        <w:t xml:space="preserve">aux </w:t>
      </w:r>
      <w:hyperlink r:id="rId14" w:history="1">
        <w:r w:rsidRPr="0084016E">
          <w:rPr>
            <w:rStyle w:val="Hyperlink"/>
            <w:lang w:val="fr-FR"/>
          </w:rPr>
          <w:t>lignes directr</w:t>
        </w:r>
        <w:r w:rsidRPr="0084016E">
          <w:rPr>
            <w:rStyle w:val="Hyperlink"/>
            <w:lang w:val="fr-FR"/>
          </w:rPr>
          <w:t>i</w:t>
        </w:r>
        <w:r w:rsidRPr="0084016E">
          <w:rPr>
            <w:rStyle w:val="Hyperlink"/>
            <w:lang w:val="fr-FR"/>
          </w:rPr>
          <w:t>ces associées relatives aux méthodes de travail</w:t>
        </w:r>
      </w:hyperlink>
      <w:r w:rsidRPr="0084016E">
        <w:rPr>
          <w:lang w:val="fr-FR"/>
        </w:rPr>
        <w:t>.</w:t>
      </w:r>
    </w:p>
    <w:p w14:paraId="43D7AF52" w14:textId="4D563E70" w:rsidR="00F325B7" w:rsidRPr="0084016E" w:rsidRDefault="00F325B7" w:rsidP="00FE4255">
      <w:pPr>
        <w:spacing w:after="240"/>
        <w:rPr>
          <w:lang w:val="fr-FR"/>
        </w:rPr>
      </w:pPr>
      <w:r w:rsidRPr="0084016E">
        <w:rPr>
          <w:lang w:val="fr-FR"/>
        </w:rPr>
        <w:t>On trouvera ci-après la description de certaines activités et d</w:t>
      </w:r>
      <w:r w:rsidR="009C1307" w:rsidRPr="0084016E">
        <w:rPr>
          <w:lang w:val="fr-FR"/>
        </w:rPr>
        <w:t>'</w:t>
      </w:r>
      <w:r w:rsidRPr="0084016E">
        <w:rPr>
          <w:lang w:val="fr-FR"/>
        </w:rPr>
        <w:t>autres études de normalisation en cours, qui résument les études effectuées depuis la réunion de 2024 du GCR, ainsi que l</w:t>
      </w:r>
      <w:r w:rsidR="009C1307" w:rsidRPr="0084016E">
        <w:rPr>
          <w:lang w:val="fr-FR"/>
        </w:rPr>
        <w:t>'</w:t>
      </w:r>
      <w:r w:rsidRPr="0084016E">
        <w:rPr>
          <w:lang w:val="fr-FR"/>
        </w:rPr>
        <w:t>élaboration de Recommandations UIT-R et de Rapports UIT-R approuvés depuis.</w:t>
      </w:r>
    </w:p>
    <w:tbl>
      <w:tblPr>
        <w:tblStyle w:val="TableGrid1"/>
        <w:tblW w:w="0" w:type="auto"/>
        <w:jc w:val="center"/>
        <w:tblLayout w:type="fixed"/>
        <w:tblLook w:val="04A0" w:firstRow="1" w:lastRow="0" w:firstColumn="1" w:lastColumn="0" w:noHBand="0" w:noVBand="1"/>
      </w:tblPr>
      <w:tblGrid>
        <w:gridCol w:w="1413"/>
        <w:gridCol w:w="1843"/>
        <w:gridCol w:w="2126"/>
        <w:gridCol w:w="1559"/>
        <w:gridCol w:w="1418"/>
        <w:gridCol w:w="1360"/>
      </w:tblGrid>
      <w:tr w:rsidR="00F325B7" w:rsidRPr="0084016E" w14:paraId="18B750A8" w14:textId="77777777" w:rsidTr="00FE4255">
        <w:trPr>
          <w:trHeight w:val="287"/>
          <w:tblHeader/>
          <w:jc w:val="center"/>
        </w:trPr>
        <w:tc>
          <w:tcPr>
            <w:tcW w:w="1413" w:type="dxa"/>
            <w:vMerge w:val="restart"/>
            <w:tcBorders>
              <w:right w:val="single" w:sz="4" w:space="0" w:color="000000" w:themeColor="text1"/>
            </w:tcBorders>
            <w:shd w:val="clear" w:color="auto" w:fill="DBE5F1" w:themeFill="accent1" w:themeFillTint="33"/>
            <w:vAlign w:val="center"/>
          </w:tcPr>
          <w:p w14:paraId="446DAA0A" w14:textId="04F42C1C" w:rsidR="00F325B7" w:rsidRPr="0084016E" w:rsidRDefault="00F325B7" w:rsidP="00E757EA">
            <w:pPr>
              <w:pStyle w:val="Tablehead"/>
              <w:rPr>
                <w:sz w:val="20"/>
                <w:lang w:val="fr-FR"/>
              </w:rPr>
            </w:pPr>
            <w:r w:rsidRPr="0084016E">
              <w:rPr>
                <w:color w:val="000000"/>
                <w:sz w:val="20"/>
                <w:lang w:val="fr-FR"/>
              </w:rPr>
              <w:t>Commission d</w:t>
            </w:r>
            <w:r w:rsidR="009C1307" w:rsidRPr="0084016E">
              <w:rPr>
                <w:color w:val="000000"/>
                <w:sz w:val="20"/>
                <w:lang w:val="fr-FR"/>
              </w:rPr>
              <w:t>'</w:t>
            </w:r>
            <w:r w:rsidRPr="0084016E">
              <w:rPr>
                <w:color w:val="000000"/>
                <w:sz w:val="20"/>
                <w:lang w:val="fr-FR"/>
              </w:rPr>
              <w:t>études</w:t>
            </w:r>
          </w:p>
        </w:tc>
        <w:tc>
          <w:tcPr>
            <w:tcW w:w="8306" w:type="dxa"/>
            <w:gridSpan w:val="5"/>
            <w:tcBorders>
              <w:left w:val="single" w:sz="4" w:space="0" w:color="000000" w:themeColor="text1"/>
            </w:tcBorders>
            <w:shd w:val="clear" w:color="auto" w:fill="DBE5F1" w:themeFill="accent1" w:themeFillTint="33"/>
            <w:vAlign w:val="center"/>
          </w:tcPr>
          <w:p w14:paraId="3E2125E3" w14:textId="6FF4E966" w:rsidR="00F325B7" w:rsidRPr="0084016E" w:rsidRDefault="00F325B7" w:rsidP="00E757EA">
            <w:pPr>
              <w:pStyle w:val="Tablehead"/>
              <w:rPr>
                <w:sz w:val="20"/>
                <w:lang w:val="fr-FR"/>
              </w:rPr>
            </w:pPr>
            <w:r w:rsidRPr="0084016E">
              <w:rPr>
                <w:bCs/>
                <w:color w:val="000000"/>
                <w:sz w:val="20"/>
                <w:lang w:val="fr-FR"/>
              </w:rPr>
              <w:t>État d</w:t>
            </w:r>
            <w:r w:rsidR="009C1307" w:rsidRPr="0084016E">
              <w:rPr>
                <w:bCs/>
                <w:color w:val="000000"/>
                <w:sz w:val="20"/>
                <w:lang w:val="fr-FR"/>
              </w:rPr>
              <w:t>'</w:t>
            </w:r>
            <w:r w:rsidRPr="0084016E">
              <w:rPr>
                <w:bCs/>
                <w:color w:val="000000"/>
                <w:sz w:val="20"/>
                <w:lang w:val="fr-FR"/>
              </w:rPr>
              <w:t>avancement des études</w:t>
            </w:r>
          </w:p>
        </w:tc>
      </w:tr>
      <w:tr w:rsidR="00981AA3" w:rsidRPr="0084016E" w14:paraId="5E8CE96B" w14:textId="77777777" w:rsidTr="00FE4255">
        <w:trPr>
          <w:trHeight w:val="270"/>
          <w:tblHeader/>
          <w:jc w:val="center"/>
        </w:trPr>
        <w:tc>
          <w:tcPr>
            <w:tcW w:w="1413" w:type="dxa"/>
            <w:vMerge/>
            <w:vAlign w:val="center"/>
          </w:tcPr>
          <w:p w14:paraId="4B9DF2AE" w14:textId="77777777" w:rsidR="00F325B7" w:rsidRPr="0084016E" w:rsidDel="00A14716" w:rsidRDefault="00F325B7" w:rsidP="00E757EA">
            <w:pPr>
              <w:pStyle w:val="Tablehead"/>
              <w:rPr>
                <w:sz w:val="20"/>
                <w:lang w:val="fr-FR"/>
              </w:rPr>
            </w:pPr>
          </w:p>
        </w:tc>
        <w:tc>
          <w:tcPr>
            <w:tcW w:w="1843" w:type="dxa"/>
            <w:tcBorders>
              <w:left w:val="single" w:sz="4" w:space="0" w:color="000000" w:themeColor="text1"/>
            </w:tcBorders>
            <w:shd w:val="clear" w:color="auto" w:fill="DBE5F1" w:themeFill="accent1" w:themeFillTint="33"/>
            <w:vAlign w:val="center"/>
          </w:tcPr>
          <w:p w14:paraId="0573D927" w14:textId="2AAB48C6" w:rsidR="00F325B7" w:rsidRPr="0084016E" w:rsidRDefault="00F325B7" w:rsidP="00E757EA">
            <w:pPr>
              <w:pStyle w:val="Tablehead"/>
              <w:rPr>
                <w:sz w:val="20"/>
                <w:lang w:val="fr-FR"/>
              </w:rPr>
            </w:pPr>
            <w:r w:rsidRPr="0084016E">
              <w:rPr>
                <w:bCs/>
                <w:color w:val="000000"/>
                <w:sz w:val="20"/>
                <w:lang w:val="fr-FR"/>
              </w:rPr>
              <w:t xml:space="preserve">Recommandations </w:t>
            </w:r>
            <w:r w:rsidR="003E0E33" w:rsidRPr="0084016E">
              <w:rPr>
                <w:bCs/>
                <w:color w:val="000000"/>
                <w:sz w:val="20"/>
                <w:lang w:val="fr-FR"/>
              </w:rPr>
              <w:br/>
            </w:r>
            <w:r w:rsidRPr="0084016E">
              <w:rPr>
                <w:bCs/>
                <w:color w:val="000000"/>
                <w:sz w:val="20"/>
                <w:lang w:val="fr-FR"/>
              </w:rPr>
              <w:t xml:space="preserve">UIT-R </w:t>
            </w:r>
            <w:r w:rsidR="00FE4255" w:rsidRPr="0084016E">
              <w:rPr>
                <w:bCs/>
                <w:color w:val="000000"/>
                <w:sz w:val="20"/>
                <w:lang w:val="fr-FR"/>
              </w:rPr>
              <w:br/>
            </w:r>
            <w:r w:rsidRPr="0084016E">
              <w:rPr>
                <w:bCs/>
                <w:color w:val="000000"/>
                <w:sz w:val="20"/>
                <w:lang w:val="fr-FR"/>
              </w:rPr>
              <w:t>approuvées</w:t>
            </w:r>
          </w:p>
        </w:tc>
        <w:tc>
          <w:tcPr>
            <w:tcW w:w="2126" w:type="dxa"/>
            <w:tcBorders>
              <w:left w:val="single" w:sz="4" w:space="0" w:color="000000" w:themeColor="text1"/>
            </w:tcBorders>
            <w:shd w:val="clear" w:color="auto" w:fill="DBE5F1" w:themeFill="accent1" w:themeFillTint="33"/>
          </w:tcPr>
          <w:p w14:paraId="485E5BC6" w14:textId="11635472" w:rsidR="00F325B7" w:rsidRPr="0084016E" w:rsidRDefault="00F325B7" w:rsidP="00E757EA">
            <w:pPr>
              <w:pStyle w:val="Tablehead"/>
              <w:rPr>
                <w:sz w:val="20"/>
                <w:lang w:val="fr-FR"/>
              </w:rPr>
            </w:pPr>
            <w:r w:rsidRPr="0084016E">
              <w:rPr>
                <w:bCs/>
                <w:color w:val="000000"/>
                <w:sz w:val="20"/>
                <w:lang w:val="fr-FR"/>
              </w:rPr>
              <w:t xml:space="preserve">Rapports </w:t>
            </w:r>
            <w:r w:rsidR="00FE4255" w:rsidRPr="0084016E">
              <w:rPr>
                <w:bCs/>
                <w:color w:val="000000"/>
                <w:sz w:val="20"/>
                <w:lang w:val="fr-FR"/>
              </w:rPr>
              <w:br/>
            </w:r>
            <w:r w:rsidRPr="0084016E">
              <w:rPr>
                <w:bCs/>
                <w:color w:val="000000"/>
                <w:sz w:val="20"/>
                <w:lang w:val="fr-FR"/>
              </w:rPr>
              <w:t xml:space="preserve">UIT-R </w:t>
            </w:r>
            <w:r w:rsidR="00FE4255" w:rsidRPr="0084016E">
              <w:rPr>
                <w:bCs/>
                <w:color w:val="000000"/>
                <w:sz w:val="20"/>
                <w:lang w:val="fr-FR"/>
              </w:rPr>
              <w:br/>
            </w:r>
            <w:r w:rsidRPr="0084016E">
              <w:rPr>
                <w:bCs/>
                <w:color w:val="000000"/>
                <w:sz w:val="20"/>
                <w:lang w:val="fr-FR"/>
              </w:rPr>
              <w:t>approuvés</w:t>
            </w:r>
          </w:p>
        </w:tc>
        <w:tc>
          <w:tcPr>
            <w:tcW w:w="1559" w:type="dxa"/>
            <w:tcBorders>
              <w:left w:val="single" w:sz="4" w:space="0" w:color="000000" w:themeColor="text1"/>
            </w:tcBorders>
            <w:shd w:val="clear" w:color="auto" w:fill="DBE5F1" w:themeFill="accent1" w:themeFillTint="33"/>
          </w:tcPr>
          <w:p w14:paraId="66F39404" w14:textId="54A495CA" w:rsidR="00F325B7" w:rsidRPr="0084016E" w:rsidRDefault="00F325B7" w:rsidP="00E757EA">
            <w:pPr>
              <w:pStyle w:val="Tablehead"/>
              <w:rPr>
                <w:sz w:val="20"/>
                <w:lang w:val="fr-FR"/>
              </w:rPr>
            </w:pPr>
            <w:r w:rsidRPr="0084016E">
              <w:rPr>
                <w:bCs/>
                <w:color w:val="000000"/>
                <w:sz w:val="20"/>
                <w:lang w:val="fr-FR"/>
              </w:rPr>
              <w:t xml:space="preserve">Questions </w:t>
            </w:r>
            <w:r w:rsidR="00FE4255" w:rsidRPr="0084016E">
              <w:rPr>
                <w:bCs/>
                <w:color w:val="000000"/>
                <w:sz w:val="20"/>
                <w:lang w:val="fr-FR"/>
              </w:rPr>
              <w:br/>
            </w:r>
            <w:r w:rsidRPr="0084016E">
              <w:rPr>
                <w:bCs/>
                <w:color w:val="000000"/>
                <w:sz w:val="20"/>
                <w:lang w:val="fr-FR"/>
              </w:rPr>
              <w:t>UIT-R approuvées</w:t>
            </w:r>
          </w:p>
        </w:tc>
        <w:tc>
          <w:tcPr>
            <w:tcW w:w="1418" w:type="dxa"/>
            <w:tcBorders>
              <w:left w:val="single" w:sz="4" w:space="0" w:color="000000" w:themeColor="text1"/>
            </w:tcBorders>
            <w:shd w:val="clear" w:color="auto" w:fill="DBE5F1" w:themeFill="accent1" w:themeFillTint="33"/>
          </w:tcPr>
          <w:p w14:paraId="29825C88" w14:textId="77777777" w:rsidR="00F325B7" w:rsidRPr="0084016E" w:rsidRDefault="00F325B7" w:rsidP="00E757EA">
            <w:pPr>
              <w:pStyle w:val="Tablehead"/>
              <w:rPr>
                <w:sz w:val="20"/>
                <w:lang w:val="fr-FR"/>
              </w:rPr>
            </w:pPr>
            <w:r w:rsidRPr="0084016E">
              <w:rPr>
                <w:bCs/>
                <w:color w:val="000000"/>
                <w:sz w:val="20"/>
                <w:lang w:val="fr-FR"/>
              </w:rPr>
              <w:t>Manuels UIT-R approuvés</w:t>
            </w:r>
          </w:p>
        </w:tc>
        <w:tc>
          <w:tcPr>
            <w:tcW w:w="1360" w:type="dxa"/>
            <w:tcBorders>
              <w:left w:val="single" w:sz="4" w:space="0" w:color="000000" w:themeColor="text1"/>
            </w:tcBorders>
            <w:shd w:val="clear" w:color="auto" w:fill="DBE5F1" w:themeFill="accent1" w:themeFillTint="33"/>
          </w:tcPr>
          <w:p w14:paraId="0924A9A6" w14:textId="491341B8" w:rsidR="00F325B7" w:rsidRPr="0084016E" w:rsidRDefault="00F325B7" w:rsidP="00E757EA">
            <w:pPr>
              <w:pStyle w:val="Tablehead"/>
              <w:rPr>
                <w:sz w:val="20"/>
                <w:lang w:val="fr-FR"/>
              </w:rPr>
            </w:pPr>
            <w:r w:rsidRPr="0084016E">
              <w:rPr>
                <w:bCs/>
                <w:color w:val="000000"/>
                <w:sz w:val="20"/>
                <w:lang w:val="fr-FR"/>
              </w:rPr>
              <w:t xml:space="preserve">Vœux </w:t>
            </w:r>
            <w:r w:rsidR="00FE4255" w:rsidRPr="0084016E">
              <w:rPr>
                <w:bCs/>
                <w:color w:val="000000"/>
                <w:sz w:val="20"/>
                <w:lang w:val="fr-FR"/>
              </w:rPr>
              <w:br/>
            </w:r>
            <w:r w:rsidRPr="0084016E">
              <w:rPr>
                <w:bCs/>
                <w:color w:val="000000"/>
                <w:sz w:val="20"/>
                <w:lang w:val="fr-FR"/>
              </w:rPr>
              <w:t>UIT-R approuvés</w:t>
            </w:r>
          </w:p>
        </w:tc>
      </w:tr>
      <w:tr w:rsidR="00B403BA" w:rsidRPr="0084016E" w14:paraId="6CBBB472" w14:textId="77777777" w:rsidTr="00FE4255">
        <w:trPr>
          <w:trHeight w:val="270"/>
          <w:jc w:val="center"/>
        </w:trPr>
        <w:tc>
          <w:tcPr>
            <w:tcW w:w="1413" w:type="dxa"/>
            <w:tcBorders>
              <w:right w:val="single" w:sz="4" w:space="0" w:color="000000" w:themeColor="text1"/>
            </w:tcBorders>
            <w:shd w:val="clear" w:color="auto" w:fill="auto"/>
          </w:tcPr>
          <w:p w14:paraId="5EE39CD7" w14:textId="3B07D1C6" w:rsidR="00B403BA" w:rsidRPr="0084016E" w:rsidDel="00A14716" w:rsidRDefault="00B403BA" w:rsidP="00B403BA">
            <w:pPr>
              <w:pStyle w:val="Tabletext"/>
              <w:jc w:val="center"/>
              <w:rPr>
                <w:b/>
                <w:bCs/>
                <w:sz w:val="20"/>
                <w:lang w:val="fr-FR"/>
              </w:rPr>
            </w:pPr>
            <w:r w:rsidRPr="0084016E">
              <w:rPr>
                <w:b/>
                <w:bCs/>
                <w:color w:val="000000"/>
                <w:sz w:val="20"/>
                <w:lang w:val="fr-FR"/>
              </w:rPr>
              <w:t>CE 1</w:t>
            </w:r>
          </w:p>
        </w:tc>
        <w:tc>
          <w:tcPr>
            <w:tcW w:w="1843" w:type="dxa"/>
            <w:tcBorders>
              <w:left w:val="single" w:sz="4" w:space="0" w:color="000000" w:themeColor="text1"/>
            </w:tcBorders>
            <w:shd w:val="clear" w:color="auto" w:fill="auto"/>
          </w:tcPr>
          <w:p w14:paraId="5D04BE51" w14:textId="2AE364DE" w:rsidR="00B403BA" w:rsidRPr="0084016E" w:rsidRDefault="00B403BA" w:rsidP="00B403BA">
            <w:pPr>
              <w:pStyle w:val="Tabletext"/>
              <w:rPr>
                <w:sz w:val="20"/>
                <w:lang w:val="fr-FR"/>
              </w:rPr>
            </w:pPr>
            <w:r w:rsidRPr="0084016E">
              <w:rPr>
                <w:rFonts w:asciiTheme="majorBidi" w:hAnsiTheme="majorBidi" w:cstheme="majorBidi"/>
                <w:sz w:val="20"/>
                <w:lang w:val="fr-FR" w:eastAsia="ja-JP"/>
              </w:rPr>
              <w:t>SM.329-13, SM.853</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2, SM.1539</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2, SM.1541-7, SM.2129-1</w:t>
            </w:r>
          </w:p>
        </w:tc>
        <w:tc>
          <w:tcPr>
            <w:tcW w:w="2126" w:type="dxa"/>
            <w:tcBorders>
              <w:left w:val="single" w:sz="4" w:space="0" w:color="000000" w:themeColor="text1"/>
            </w:tcBorders>
            <w:shd w:val="clear" w:color="auto" w:fill="auto"/>
          </w:tcPr>
          <w:p w14:paraId="1A061DF1" w14:textId="7285F832" w:rsidR="00B403BA" w:rsidRPr="0084016E" w:rsidRDefault="00B403BA" w:rsidP="00B403BA">
            <w:pPr>
              <w:pStyle w:val="Tabletext"/>
              <w:rPr>
                <w:sz w:val="20"/>
                <w:lang w:val="fr-FR"/>
              </w:rPr>
            </w:pPr>
            <w:r w:rsidRPr="0084016E">
              <w:rPr>
                <w:sz w:val="20"/>
                <w:lang w:val="fr-FR"/>
              </w:rPr>
              <w:t>SM.2486-1,</w:t>
            </w:r>
            <w:r w:rsidR="00FE4255" w:rsidRPr="0084016E">
              <w:rPr>
                <w:sz w:val="20"/>
                <w:lang w:val="fr-FR"/>
              </w:rPr>
              <w:t xml:space="preserve"> </w:t>
            </w:r>
            <w:r w:rsidRPr="0084016E">
              <w:rPr>
                <w:sz w:val="20"/>
                <w:lang w:val="fr-FR"/>
              </w:rPr>
              <w:t>SM.2449</w:t>
            </w:r>
            <w:r w:rsidR="00FE4255" w:rsidRPr="0084016E">
              <w:rPr>
                <w:sz w:val="20"/>
                <w:lang w:val="fr-FR"/>
              </w:rPr>
              <w:noBreakHyphen/>
            </w:r>
            <w:r w:rsidRPr="0084016E">
              <w:rPr>
                <w:sz w:val="20"/>
                <w:lang w:val="fr-FR"/>
              </w:rPr>
              <w:t>1, SM.2542</w:t>
            </w:r>
            <w:r w:rsidR="00FE4255" w:rsidRPr="0084016E">
              <w:rPr>
                <w:sz w:val="20"/>
                <w:lang w:val="fr-FR"/>
              </w:rPr>
              <w:noBreakHyphen/>
            </w:r>
            <w:r w:rsidRPr="0084016E">
              <w:rPr>
                <w:sz w:val="20"/>
                <w:lang w:val="fr-FR"/>
              </w:rPr>
              <w:t>0</w:t>
            </w:r>
          </w:p>
        </w:tc>
        <w:tc>
          <w:tcPr>
            <w:tcW w:w="1559" w:type="dxa"/>
            <w:tcBorders>
              <w:left w:val="single" w:sz="4" w:space="0" w:color="000000" w:themeColor="text1"/>
            </w:tcBorders>
            <w:shd w:val="clear" w:color="auto" w:fill="auto"/>
          </w:tcPr>
          <w:p w14:paraId="77B76B55" w14:textId="65867099" w:rsidR="00B403BA" w:rsidRPr="0084016E" w:rsidRDefault="00B403BA" w:rsidP="00B403BA">
            <w:pPr>
              <w:pStyle w:val="Tabletext"/>
              <w:rPr>
                <w:sz w:val="20"/>
                <w:lang w:val="fr-FR"/>
              </w:rPr>
            </w:pPr>
          </w:p>
        </w:tc>
        <w:tc>
          <w:tcPr>
            <w:tcW w:w="1418" w:type="dxa"/>
            <w:tcBorders>
              <w:left w:val="single" w:sz="4" w:space="0" w:color="000000" w:themeColor="text1"/>
            </w:tcBorders>
          </w:tcPr>
          <w:p w14:paraId="529D9257" w14:textId="2C64E06A" w:rsidR="00B403BA" w:rsidRPr="0084016E" w:rsidRDefault="00B403BA" w:rsidP="00B403BA">
            <w:pPr>
              <w:pStyle w:val="Tabletext"/>
              <w:rPr>
                <w:sz w:val="20"/>
                <w:lang w:val="fr-FR"/>
              </w:rPr>
            </w:pPr>
          </w:p>
        </w:tc>
        <w:tc>
          <w:tcPr>
            <w:tcW w:w="1360" w:type="dxa"/>
            <w:tcBorders>
              <w:left w:val="single" w:sz="4" w:space="0" w:color="000000" w:themeColor="text1"/>
            </w:tcBorders>
          </w:tcPr>
          <w:p w14:paraId="0203F431" w14:textId="77777777" w:rsidR="00B403BA" w:rsidRPr="0084016E" w:rsidRDefault="00B403BA" w:rsidP="00B403BA">
            <w:pPr>
              <w:pStyle w:val="Tabletext"/>
              <w:rPr>
                <w:sz w:val="20"/>
                <w:lang w:val="fr-FR"/>
              </w:rPr>
            </w:pPr>
          </w:p>
        </w:tc>
      </w:tr>
      <w:tr w:rsidR="00B403BA" w:rsidRPr="0084016E" w14:paraId="476926B8" w14:textId="77777777" w:rsidTr="00FE4255">
        <w:trPr>
          <w:trHeight w:val="270"/>
          <w:jc w:val="center"/>
        </w:trPr>
        <w:tc>
          <w:tcPr>
            <w:tcW w:w="1413" w:type="dxa"/>
            <w:tcBorders>
              <w:right w:val="single" w:sz="4" w:space="0" w:color="000000" w:themeColor="text1"/>
            </w:tcBorders>
            <w:shd w:val="clear" w:color="auto" w:fill="auto"/>
          </w:tcPr>
          <w:p w14:paraId="78065F8A" w14:textId="05FB30D6" w:rsidR="00B403BA" w:rsidRPr="0084016E" w:rsidDel="00A14716" w:rsidRDefault="00B403BA" w:rsidP="00B403BA">
            <w:pPr>
              <w:pStyle w:val="Tabletext"/>
              <w:jc w:val="center"/>
              <w:rPr>
                <w:b/>
                <w:bCs/>
                <w:sz w:val="20"/>
                <w:lang w:val="fr-FR"/>
              </w:rPr>
            </w:pPr>
            <w:r w:rsidRPr="0084016E">
              <w:rPr>
                <w:b/>
                <w:bCs/>
                <w:color w:val="000000"/>
                <w:sz w:val="20"/>
                <w:lang w:val="fr-FR"/>
              </w:rPr>
              <w:t>CE 3</w:t>
            </w:r>
          </w:p>
        </w:tc>
        <w:tc>
          <w:tcPr>
            <w:tcW w:w="1843" w:type="dxa"/>
            <w:tcBorders>
              <w:left w:val="single" w:sz="4" w:space="0" w:color="000000" w:themeColor="text1"/>
            </w:tcBorders>
            <w:shd w:val="clear" w:color="auto" w:fill="auto"/>
          </w:tcPr>
          <w:p w14:paraId="278C3815" w14:textId="0F8F1788" w:rsidR="00B403BA" w:rsidRPr="0084016E" w:rsidRDefault="00B403BA" w:rsidP="00B403BA">
            <w:pPr>
              <w:pStyle w:val="Tabletext"/>
              <w:rPr>
                <w:sz w:val="20"/>
                <w:lang w:val="fr-FR"/>
              </w:rPr>
            </w:pPr>
            <w:r w:rsidRPr="0084016E">
              <w:rPr>
                <w:sz w:val="20"/>
                <w:lang w:val="fr-FR"/>
              </w:rPr>
              <w:t>P.372-17, P.525-5, P.835</w:t>
            </w:r>
            <w:r w:rsidRPr="0084016E">
              <w:rPr>
                <w:sz w:val="20"/>
                <w:lang w:val="fr-FR"/>
              </w:rPr>
              <w:noBreakHyphen/>
              <w:t>7, P.1511-3</w:t>
            </w:r>
          </w:p>
        </w:tc>
        <w:tc>
          <w:tcPr>
            <w:tcW w:w="2126" w:type="dxa"/>
            <w:tcBorders>
              <w:left w:val="single" w:sz="4" w:space="0" w:color="000000" w:themeColor="text1"/>
            </w:tcBorders>
            <w:shd w:val="clear" w:color="auto" w:fill="auto"/>
          </w:tcPr>
          <w:p w14:paraId="49503659" w14:textId="4CA70CF6" w:rsidR="00B403BA" w:rsidRPr="0084016E" w:rsidRDefault="00B403BA" w:rsidP="00B403BA">
            <w:pPr>
              <w:pStyle w:val="Tabletext"/>
              <w:rPr>
                <w:rFonts w:asciiTheme="majorBidi" w:hAnsiTheme="majorBidi" w:cstheme="majorBidi"/>
                <w:sz w:val="20"/>
                <w:lang w:val="fr-FR" w:eastAsia="ja-JP"/>
              </w:rPr>
            </w:pPr>
          </w:p>
        </w:tc>
        <w:tc>
          <w:tcPr>
            <w:tcW w:w="1559" w:type="dxa"/>
            <w:tcBorders>
              <w:left w:val="single" w:sz="4" w:space="0" w:color="000000" w:themeColor="text1"/>
            </w:tcBorders>
            <w:shd w:val="clear" w:color="auto" w:fill="auto"/>
          </w:tcPr>
          <w:p w14:paraId="2541E16E" w14:textId="3FA9159B" w:rsidR="00B403BA" w:rsidRPr="0084016E" w:rsidRDefault="00B403BA" w:rsidP="00B403BA">
            <w:pPr>
              <w:pStyle w:val="Tabletext"/>
              <w:rPr>
                <w:sz w:val="20"/>
                <w:lang w:val="fr-FR"/>
              </w:rPr>
            </w:pPr>
          </w:p>
        </w:tc>
        <w:tc>
          <w:tcPr>
            <w:tcW w:w="1418" w:type="dxa"/>
            <w:tcBorders>
              <w:left w:val="single" w:sz="4" w:space="0" w:color="000000" w:themeColor="text1"/>
            </w:tcBorders>
          </w:tcPr>
          <w:p w14:paraId="6B71FE6B" w14:textId="77777777" w:rsidR="00B403BA" w:rsidRPr="0084016E" w:rsidRDefault="00B403BA" w:rsidP="00B403BA">
            <w:pPr>
              <w:pStyle w:val="Tabletext"/>
              <w:rPr>
                <w:sz w:val="20"/>
                <w:lang w:val="fr-FR"/>
              </w:rPr>
            </w:pPr>
          </w:p>
        </w:tc>
        <w:tc>
          <w:tcPr>
            <w:tcW w:w="1360" w:type="dxa"/>
            <w:tcBorders>
              <w:left w:val="single" w:sz="4" w:space="0" w:color="000000" w:themeColor="text1"/>
            </w:tcBorders>
          </w:tcPr>
          <w:p w14:paraId="0F3A3753" w14:textId="77777777" w:rsidR="00B403BA" w:rsidRPr="0084016E" w:rsidRDefault="00B403BA" w:rsidP="00B403BA">
            <w:pPr>
              <w:pStyle w:val="Tabletext"/>
              <w:rPr>
                <w:sz w:val="20"/>
                <w:lang w:val="fr-FR"/>
              </w:rPr>
            </w:pPr>
          </w:p>
        </w:tc>
      </w:tr>
      <w:tr w:rsidR="00B403BA" w:rsidRPr="0084016E" w14:paraId="6A20534E" w14:textId="77777777" w:rsidTr="00FE4255">
        <w:trPr>
          <w:trHeight w:val="270"/>
          <w:jc w:val="center"/>
        </w:trPr>
        <w:tc>
          <w:tcPr>
            <w:tcW w:w="1413" w:type="dxa"/>
            <w:tcBorders>
              <w:right w:val="single" w:sz="4" w:space="0" w:color="000000" w:themeColor="text1"/>
            </w:tcBorders>
            <w:shd w:val="clear" w:color="auto" w:fill="auto"/>
          </w:tcPr>
          <w:p w14:paraId="27FF4A32" w14:textId="12F4E5E4" w:rsidR="00B403BA" w:rsidRPr="0084016E" w:rsidDel="00A14716" w:rsidRDefault="00B403BA" w:rsidP="00B403BA">
            <w:pPr>
              <w:pStyle w:val="Tabletext"/>
              <w:jc w:val="center"/>
              <w:rPr>
                <w:b/>
                <w:bCs/>
                <w:sz w:val="20"/>
                <w:lang w:val="fr-FR"/>
              </w:rPr>
            </w:pPr>
            <w:r w:rsidRPr="0084016E">
              <w:rPr>
                <w:b/>
                <w:bCs/>
                <w:color w:val="000000"/>
                <w:sz w:val="20"/>
                <w:lang w:val="fr-FR"/>
              </w:rPr>
              <w:t>CE 4</w:t>
            </w:r>
          </w:p>
        </w:tc>
        <w:tc>
          <w:tcPr>
            <w:tcW w:w="1843" w:type="dxa"/>
            <w:tcBorders>
              <w:left w:val="single" w:sz="4" w:space="0" w:color="000000" w:themeColor="text1"/>
            </w:tcBorders>
            <w:shd w:val="clear" w:color="auto" w:fill="auto"/>
          </w:tcPr>
          <w:p w14:paraId="07CE227B" w14:textId="6539AEDB" w:rsidR="00B403BA" w:rsidRPr="0084016E" w:rsidRDefault="00B403BA" w:rsidP="00B403BA">
            <w:pPr>
              <w:pStyle w:val="Tabletext"/>
              <w:rPr>
                <w:sz w:val="20"/>
                <w:lang w:val="fr-FR"/>
              </w:rPr>
            </w:pPr>
            <w:r w:rsidRPr="0084016E">
              <w:rPr>
                <w:sz w:val="20"/>
                <w:lang w:val="fr-FR"/>
              </w:rPr>
              <w:t>M.1787-5, S.1328-5</w:t>
            </w:r>
          </w:p>
        </w:tc>
        <w:tc>
          <w:tcPr>
            <w:tcW w:w="2126" w:type="dxa"/>
            <w:tcBorders>
              <w:left w:val="single" w:sz="4" w:space="0" w:color="000000" w:themeColor="text1"/>
            </w:tcBorders>
            <w:shd w:val="clear" w:color="auto" w:fill="auto"/>
          </w:tcPr>
          <w:p w14:paraId="0A0D72A6" w14:textId="4D1589FE" w:rsidR="00B403BA" w:rsidRPr="0084016E" w:rsidRDefault="00B403BA" w:rsidP="00B403BA">
            <w:pPr>
              <w:pStyle w:val="Tabletext"/>
              <w:rPr>
                <w:sz w:val="20"/>
                <w:lang w:val="fr-FR"/>
              </w:rPr>
            </w:pPr>
            <w:r w:rsidRPr="0084016E">
              <w:rPr>
                <w:sz w:val="20"/>
                <w:lang w:val="fr-FR"/>
              </w:rPr>
              <w:t>BO.2497-1, M.2513-1, M.2543-0, S.2546-0</w:t>
            </w:r>
          </w:p>
        </w:tc>
        <w:tc>
          <w:tcPr>
            <w:tcW w:w="1559" w:type="dxa"/>
            <w:tcBorders>
              <w:left w:val="single" w:sz="4" w:space="0" w:color="000000" w:themeColor="text1"/>
            </w:tcBorders>
            <w:shd w:val="clear" w:color="auto" w:fill="auto"/>
          </w:tcPr>
          <w:p w14:paraId="40F3F2FE" w14:textId="345C4983" w:rsidR="00B403BA" w:rsidRPr="0084016E" w:rsidRDefault="00B403BA" w:rsidP="00B403BA">
            <w:pPr>
              <w:pStyle w:val="Tabletext"/>
              <w:rPr>
                <w:sz w:val="20"/>
                <w:lang w:val="fr-FR"/>
              </w:rPr>
            </w:pPr>
          </w:p>
        </w:tc>
        <w:tc>
          <w:tcPr>
            <w:tcW w:w="1418" w:type="dxa"/>
            <w:tcBorders>
              <w:left w:val="single" w:sz="4" w:space="0" w:color="000000" w:themeColor="text1"/>
            </w:tcBorders>
          </w:tcPr>
          <w:p w14:paraId="69BDC5F3" w14:textId="537CE8FA" w:rsidR="00B403BA" w:rsidRPr="0084016E" w:rsidRDefault="00B403BA" w:rsidP="00B403BA">
            <w:pPr>
              <w:pStyle w:val="Tabletext"/>
              <w:rPr>
                <w:sz w:val="20"/>
                <w:lang w:val="fr-FR"/>
              </w:rPr>
            </w:pPr>
          </w:p>
        </w:tc>
        <w:tc>
          <w:tcPr>
            <w:tcW w:w="1360" w:type="dxa"/>
            <w:tcBorders>
              <w:left w:val="single" w:sz="4" w:space="0" w:color="000000" w:themeColor="text1"/>
            </w:tcBorders>
          </w:tcPr>
          <w:p w14:paraId="305FE6A7" w14:textId="77777777" w:rsidR="00B403BA" w:rsidRPr="0084016E" w:rsidRDefault="00B403BA" w:rsidP="00B403BA">
            <w:pPr>
              <w:pStyle w:val="Tabletext"/>
              <w:rPr>
                <w:sz w:val="20"/>
                <w:lang w:val="fr-FR"/>
              </w:rPr>
            </w:pPr>
          </w:p>
        </w:tc>
      </w:tr>
      <w:tr w:rsidR="00B403BA" w:rsidRPr="0084016E" w14:paraId="41BAD7B9" w14:textId="77777777" w:rsidTr="00FE4255">
        <w:trPr>
          <w:trHeight w:val="270"/>
          <w:jc w:val="center"/>
        </w:trPr>
        <w:tc>
          <w:tcPr>
            <w:tcW w:w="1413" w:type="dxa"/>
            <w:tcBorders>
              <w:right w:val="single" w:sz="4" w:space="0" w:color="000000" w:themeColor="text1"/>
            </w:tcBorders>
            <w:shd w:val="clear" w:color="auto" w:fill="auto"/>
          </w:tcPr>
          <w:p w14:paraId="7528D1D7" w14:textId="7C62FE5F" w:rsidR="00B403BA" w:rsidRPr="0084016E" w:rsidDel="00A14716" w:rsidRDefault="00B403BA" w:rsidP="00B403BA">
            <w:pPr>
              <w:pStyle w:val="Tabletext"/>
              <w:jc w:val="center"/>
              <w:rPr>
                <w:b/>
                <w:bCs/>
                <w:sz w:val="20"/>
                <w:lang w:val="fr-FR"/>
              </w:rPr>
            </w:pPr>
            <w:r w:rsidRPr="0084016E">
              <w:rPr>
                <w:b/>
                <w:bCs/>
                <w:color w:val="000000"/>
                <w:sz w:val="20"/>
                <w:lang w:val="fr-FR"/>
              </w:rPr>
              <w:t>CE 5</w:t>
            </w:r>
          </w:p>
        </w:tc>
        <w:tc>
          <w:tcPr>
            <w:tcW w:w="1843" w:type="dxa"/>
            <w:tcBorders>
              <w:left w:val="single" w:sz="4" w:space="0" w:color="000000" w:themeColor="text1"/>
            </w:tcBorders>
            <w:shd w:val="clear" w:color="auto" w:fill="auto"/>
          </w:tcPr>
          <w:p w14:paraId="3A0724A2" w14:textId="26643A3E" w:rsidR="00B403BA" w:rsidRPr="0084016E" w:rsidRDefault="00B403BA" w:rsidP="00B403BA">
            <w:pPr>
              <w:pStyle w:val="Tabletext"/>
              <w:rPr>
                <w:sz w:val="20"/>
                <w:lang w:val="fr-FR"/>
              </w:rPr>
            </w:pPr>
            <w:r w:rsidRPr="0084016E">
              <w:rPr>
                <w:rFonts w:asciiTheme="majorBidi" w:hAnsiTheme="majorBidi" w:cstheme="majorBidi"/>
                <w:sz w:val="20"/>
                <w:lang w:val="fr-FR" w:eastAsia="ja-JP"/>
              </w:rPr>
              <w:t>F.758-8, M.1041-3</w:t>
            </w:r>
          </w:p>
        </w:tc>
        <w:tc>
          <w:tcPr>
            <w:tcW w:w="2126" w:type="dxa"/>
            <w:tcBorders>
              <w:left w:val="single" w:sz="4" w:space="0" w:color="000000" w:themeColor="text1"/>
            </w:tcBorders>
            <w:shd w:val="clear" w:color="auto" w:fill="auto"/>
          </w:tcPr>
          <w:p w14:paraId="3F153AAF" w14:textId="2EB898F1" w:rsidR="00B403BA" w:rsidRPr="0084016E" w:rsidRDefault="00B403BA" w:rsidP="00B403BA">
            <w:pPr>
              <w:pStyle w:val="Tabletext"/>
              <w:rPr>
                <w:sz w:val="20"/>
                <w:lang w:val="fr-FR"/>
              </w:rPr>
            </w:pPr>
            <w:r w:rsidRPr="0084016E">
              <w:rPr>
                <w:rFonts w:asciiTheme="majorBidi" w:hAnsiTheme="majorBidi" w:cstheme="majorBidi"/>
                <w:sz w:val="20"/>
                <w:lang w:val="fr-FR" w:eastAsia="ja-JP"/>
              </w:rPr>
              <w:t>F.2416-1, M.2442-1, M.2541-0, M.2547-0, M.2548-0</w:t>
            </w:r>
          </w:p>
        </w:tc>
        <w:tc>
          <w:tcPr>
            <w:tcW w:w="1559" w:type="dxa"/>
            <w:tcBorders>
              <w:left w:val="single" w:sz="4" w:space="0" w:color="000000" w:themeColor="text1"/>
            </w:tcBorders>
            <w:shd w:val="clear" w:color="auto" w:fill="auto"/>
          </w:tcPr>
          <w:p w14:paraId="2C7931A1" w14:textId="13F787A9" w:rsidR="00B403BA" w:rsidRPr="0084016E" w:rsidRDefault="00B403BA" w:rsidP="00B403BA">
            <w:pPr>
              <w:pStyle w:val="Tabletext"/>
              <w:rPr>
                <w:sz w:val="20"/>
                <w:lang w:val="fr-FR"/>
              </w:rPr>
            </w:pPr>
            <w:r w:rsidRPr="0084016E">
              <w:rPr>
                <w:color w:val="000000"/>
                <w:sz w:val="20"/>
                <w:lang w:val="fr-FR"/>
              </w:rPr>
              <w:t>265/5, 266/5</w:t>
            </w:r>
          </w:p>
        </w:tc>
        <w:tc>
          <w:tcPr>
            <w:tcW w:w="1418" w:type="dxa"/>
            <w:tcBorders>
              <w:left w:val="single" w:sz="4" w:space="0" w:color="000000" w:themeColor="text1"/>
            </w:tcBorders>
          </w:tcPr>
          <w:p w14:paraId="4071B01A" w14:textId="0077B743" w:rsidR="00B403BA" w:rsidRPr="0084016E" w:rsidRDefault="00B403BA" w:rsidP="00B403BA">
            <w:pPr>
              <w:pStyle w:val="Tabletext"/>
              <w:rPr>
                <w:sz w:val="20"/>
                <w:lang w:val="fr-FR"/>
              </w:rPr>
            </w:pPr>
          </w:p>
        </w:tc>
        <w:tc>
          <w:tcPr>
            <w:tcW w:w="1360" w:type="dxa"/>
            <w:tcBorders>
              <w:left w:val="single" w:sz="4" w:space="0" w:color="000000" w:themeColor="text1"/>
            </w:tcBorders>
          </w:tcPr>
          <w:p w14:paraId="647D9B47" w14:textId="77777777" w:rsidR="00B403BA" w:rsidRPr="0084016E" w:rsidRDefault="00B403BA" w:rsidP="00B403BA">
            <w:pPr>
              <w:pStyle w:val="Tabletext"/>
              <w:rPr>
                <w:sz w:val="20"/>
                <w:lang w:val="fr-FR"/>
              </w:rPr>
            </w:pPr>
          </w:p>
        </w:tc>
      </w:tr>
      <w:tr w:rsidR="00B403BA" w:rsidRPr="0084016E" w14:paraId="0B78ED65" w14:textId="77777777" w:rsidTr="00FE4255">
        <w:trPr>
          <w:trHeight w:val="270"/>
          <w:jc w:val="center"/>
        </w:trPr>
        <w:tc>
          <w:tcPr>
            <w:tcW w:w="1413" w:type="dxa"/>
            <w:tcBorders>
              <w:right w:val="single" w:sz="4" w:space="0" w:color="000000" w:themeColor="text1"/>
            </w:tcBorders>
            <w:shd w:val="clear" w:color="auto" w:fill="auto"/>
          </w:tcPr>
          <w:p w14:paraId="37F2A162" w14:textId="414B4B9C" w:rsidR="00B403BA" w:rsidRPr="0084016E" w:rsidDel="00A14716" w:rsidRDefault="00B403BA" w:rsidP="00B403BA">
            <w:pPr>
              <w:pStyle w:val="Tabletext"/>
              <w:jc w:val="center"/>
              <w:rPr>
                <w:b/>
                <w:bCs/>
                <w:sz w:val="20"/>
                <w:lang w:val="fr-FR"/>
              </w:rPr>
            </w:pPr>
            <w:r w:rsidRPr="0084016E">
              <w:rPr>
                <w:b/>
                <w:bCs/>
                <w:color w:val="000000"/>
                <w:sz w:val="20"/>
                <w:lang w:val="fr-FR"/>
              </w:rPr>
              <w:t>CE 6</w:t>
            </w:r>
          </w:p>
        </w:tc>
        <w:tc>
          <w:tcPr>
            <w:tcW w:w="1843" w:type="dxa"/>
            <w:tcBorders>
              <w:left w:val="single" w:sz="4" w:space="0" w:color="000000" w:themeColor="text1"/>
            </w:tcBorders>
            <w:shd w:val="clear" w:color="auto" w:fill="auto"/>
          </w:tcPr>
          <w:p w14:paraId="722609E2" w14:textId="54A7FE07" w:rsidR="00B403BA" w:rsidRPr="0084016E" w:rsidRDefault="00B403BA" w:rsidP="00B403BA">
            <w:pPr>
              <w:pStyle w:val="Tabletext"/>
              <w:rPr>
                <w:rFonts w:asciiTheme="majorBidi" w:hAnsiTheme="majorBidi" w:cstheme="majorBidi"/>
                <w:sz w:val="20"/>
                <w:lang w:val="fr-FR" w:eastAsia="ja-JP"/>
              </w:rPr>
            </w:pPr>
            <w:r w:rsidRPr="0084016E">
              <w:rPr>
                <w:rFonts w:asciiTheme="majorBidi" w:hAnsiTheme="majorBidi" w:cstheme="majorBidi"/>
                <w:sz w:val="20"/>
                <w:lang w:val="fr-FR" w:eastAsia="ja-JP"/>
              </w:rPr>
              <w:t>BS.2076-3, BS.2094</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2, BS.2168</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0,</w:t>
            </w:r>
            <w:r w:rsidR="00FE4255" w:rsidRPr="0084016E">
              <w:rPr>
                <w:rFonts w:asciiTheme="majorBidi" w:hAnsiTheme="majorBidi" w:cstheme="majorBidi"/>
                <w:sz w:val="20"/>
                <w:lang w:val="fr-FR" w:eastAsia="ja-JP"/>
              </w:rPr>
              <w:br/>
            </w:r>
            <w:r w:rsidRPr="0084016E">
              <w:rPr>
                <w:rFonts w:asciiTheme="majorBidi" w:hAnsiTheme="majorBidi" w:cstheme="majorBidi"/>
                <w:sz w:val="20"/>
                <w:lang w:val="fr-FR" w:eastAsia="ja-JP"/>
              </w:rPr>
              <w:t>BT.1662-1, BT.1666</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1, BT.2016</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4, BT.2100</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3, BT.2123</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1, BT.2166</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0, BT.2167</w:t>
            </w:r>
            <w:r w:rsidR="00FE4255" w:rsidRPr="0084016E">
              <w:rPr>
                <w:rFonts w:asciiTheme="majorBidi" w:hAnsiTheme="majorBidi" w:cstheme="majorBidi"/>
                <w:sz w:val="20"/>
                <w:lang w:val="fr-FR" w:eastAsia="ja-JP"/>
              </w:rPr>
              <w:noBreakHyphen/>
            </w:r>
            <w:r w:rsidRPr="0084016E">
              <w:rPr>
                <w:rFonts w:asciiTheme="majorBidi" w:hAnsiTheme="majorBidi" w:cstheme="majorBidi"/>
                <w:sz w:val="20"/>
                <w:lang w:val="fr-FR" w:eastAsia="ja-JP"/>
              </w:rPr>
              <w:t>0</w:t>
            </w:r>
          </w:p>
        </w:tc>
        <w:tc>
          <w:tcPr>
            <w:tcW w:w="2126" w:type="dxa"/>
            <w:tcBorders>
              <w:left w:val="single" w:sz="4" w:space="0" w:color="000000" w:themeColor="text1"/>
            </w:tcBorders>
            <w:shd w:val="clear" w:color="auto" w:fill="auto"/>
          </w:tcPr>
          <w:p w14:paraId="385628C6" w14:textId="77F6FE0D" w:rsidR="00B403BA" w:rsidRPr="0084016E" w:rsidRDefault="00B403BA" w:rsidP="00B403BA">
            <w:pPr>
              <w:pStyle w:val="Tabletext"/>
              <w:rPr>
                <w:sz w:val="20"/>
                <w:lang w:val="fr-FR"/>
              </w:rPr>
            </w:pPr>
            <w:r w:rsidRPr="0084016E">
              <w:rPr>
                <w:sz w:val="20"/>
                <w:lang w:val="fr-FR"/>
              </w:rPr>
              <w:t>BS.2388-5, BS.2493-1, BT.2343-9, BT.2386-5, BT.2389-1, BT.2408-8, BT.2420-7, BT.2467-3, BT.2468-2, BT.2485-3, BT.2506-1, BT.2521-1, BT.2522-1, BT.2526-1, BT.2538-0, BT.2539-0, BT.2540-0, BT.2544-0, BT.2545-0</w:t>
            </w:r>
          </w:p>
        </w:tc>
        <w:tc>
          <w:tcPr>
            <w:tcW w:w="1559" w:type="dxa"/>
            <w:tcBorders>
              <w:left w:val="single" w:sz="4" w:space="0" w:color="000000" w:themeColor="text1"/>
            </w:tcBorders>
            <w:shd w:val="clear" w:color="auto" w:fill="auto"/>
          </w:tcPr>
          <w:p w14:paraId="5C670F91" w14:textId="1A1C202F" w:rsidR="00B403BA" w:rsidRPr="0084016E" w:rsidRDefault="00B403BA" w:rsidP="00B403BA">
            <w:pPr>
              <w:pStyle w:val="Tabletext"/>
              <w:rPr>
                <w:sz w:val="20"/>
                <w:lang w:val="fr-FR"/>
              </w:rPr>
            </w:pPr>
            <w:r w:rsidRPr="0084016E">
              <w:rPr>
                <w:color w:val="000000"/>
                <w:sz w:val="20"/>
                <w:lang w:val="fr-FR"/>
              </w:rPr>
              <w:t>148/6</w:t>
            </w:r>
          </w:p>
        </w:tc>
        <w:tc>
          <w:tcPr>
            <w:tcW w:w="1418" w:type="dxa"/>
            <w:tcBorders>
              <w:left w:val="single" w:sz="4" w:space="0" w:color="000000" w:themeColor="text1"/>
            </w:tcBorders>
          </w:tcPr>
          <w:p w14:paraId="78CD0D22" w14:textId="77777777" w:rsidR="00B403BA" w:rsidRPr="0084016E" w:rsidRDefault="00B403BA" w:rsidP="00B403BA">
            <w:pPr>
              <w:pStyle w:val="Tabletext"/>
              <w:rPr>
                <w:rFonts w:asciiTheme="majorBidi" w:hAnsiTheme="majorBidi" w:cstheme="majorBidi"/>
                <w:sz w:val="20"/>
                <w:lang w:val="fr-FR" w:eastAsia="ja-JP"/>
              </w:rPr>
            </w:pPr>
          </w:p>
        </w:tc>
        <w:tc>
          <w:tcPr>
            <w:tcW w:w="1360" w:type="dxa"/>
            <w:tcBorders>
              <w:left w:val="single" w:sz="4" w:space="0" w:color="000000" w:themeColor="text1"/>
            </w:tcBorders>
          </w:tcPr>
          <w:p w14:paraId="6D7DBAEC" w14:textId="24C98F56" w:rsidR="00B403BA" w:rsidRPr="0084016E" w:rsidRDefault="00B403BA" w:rsidP="00B403BA">
            <w:pPr>
              <w:pStyle w:val="Tabletext"/>
              <w:rPr>
                <w:rFonts w:asciiTheme="majorBidi" w:hAnsiTheme="majorBidi" w:cstheme="majorBidi"/>
                <w:sz w:val="20"/>
                <w:lang w:val="fr-FR" w:eastAsia="ja-JP"/>
              </w:rPr>
            </w:pPr>
          </w:p>
        </w:tc>
      </w:tr>
      <w:tr w:rsidR="00981AA3" w:rsidRPr="0084016E" w14:paraId="07E6B4DE" w14:textId="77777777" w:rsidTr="00FE4255">
        <w:trPr>
          <w:trHeight w:val="270"/>
          <w:jc w:val="center"/>
        </w:trPr>
        <w:tc>
          <w:tcPr>
            <w:tcW w:w="1413" w:type="dxa"/>
            <w:tcBorders>
              <w:bottom w:val="single" w:sz="4" w:space="0" w:color="000000" w:themeColor="text1"/>
              <w:right w:val="single" w:sz="4" w:space="0" w:color="000000" w:themeColor="text1"/>
            </w:tcBorders>
            <w:shd w:val="clear" w:color="auto" w:fill="auto"/>
          </w:tcPr>
          <w:p w14:paraId="3937E055" w14:textId="24EA04B7" w:rsidR="00F325B7" w:rsidRPr="0084016E" w:rsidRDefault="001C4F36" w:rsidP="00E757EA">
            <w:pPr>
              <w:pStyle w:val="Tabletext"/>
              <w:jc w:val="center"/>
              <w:rPr>
                <w:b/>
                <w:bCs/>
                <w:sz w:val="20"/>
                <w:lang w:val="fr-FR"/>
              </w:rPr>
            </w:pPr>
            <w:r w:rsidRPr="0084016E">
              <w:rPr>
                <w:b/>
                <w:bCs/>
                <w:color w:val="000000"/>
                <w:sz w:val="20"/>
                <w:lang w:val="fr-FR"/>
              </w:rPr>
              <w:t>CE</w:t>
            </w:r>
            <w:r w:rsidR="00F325B7" w:rsidRPr="0084016E">
              <w:rPr>
                <w:b/>
                <w:bCs/>
                <w:color w:val="000000"/>
                <w:sz w:val="20"/>
                <w:lang w:val="fr-FR"/>
              </w:rPr>
              <w:t xml:space="preserve"> 7</w:t>
            </w:r>
          </w:p>
        </w:tc>
        <w:tc>
          <w:tcPr>
            <w:tcW w:w="1843" w:type="dxa"/>
            <w:tcBorders>
              <w:left w:val="single" w:sz="4" w:space="0" w:color="000000" w:themeColor="text1"/>
            </w:tcBorders>
            <w:shd w:val="clear" w:color="auto" w:fill="auto"/>
          </w:tcPr>
          <w:p w14:paraId="2FA5EFE7" w14:textId="2E7EA397" w:rsidR="00F325B7" w:rsidRPr="0084016E" w:rsidRDefault="00F325B7" w:rsidP="00E757EA">
            <w:pPr>
              <w:pStyle w:val="Tabletext"/>
              <w:rPr>
                <w:sz w:val="20"/>
                <w:lang w:val="fr-FR"/>
              </w:rPr>
            </w:pPr>
          </w:p>
        </w:tc>
        <w:tc>
          <w:tcPr>
            <w:tcW w:w="2126" w:type="dxa"/>
            <w:tcBorders>
              <w:left w:val="single" w:sz="4" w:space="0" w:color="000000" w:themeColor="text1"/>
            </w:tcBorders>
            <w:shd w:val="clear" w:color="auto" w:fill="auto"/>
          </w:tcPr>
          <w:p w14:paraId="0BF12E4A" w14:textId="4B56ADF3" w:rsidR="00F325B7" w:rsidRPr="0084016E" w:rsidRDefault="00F325B7" w:rsidP="00E757EA">
            <w:pPr>
              <w:pStyle w:val="Tabletext"/>
              <w:rPr>
                <w:sz w:val="20"/>
                <w:lang w:val="fr-FR"/>
              </w:rPr>
            </w:pPr>
          </w:p>
        </w:tc>
        <w:tc>
          <w:tcPr>
            <w:tcW w:w="1559" w:type="dxa"/>
            <w:tcBorders>
              <w:left w:val="single" w:sz="4" w:space="0" w:color="000000" w:themeColor="text1"/>
            </w:tcBorders>
            <w:shd w:val="clear" w:color="auto" w:fill="auto"/>
          </w:tcPr>
          <w:p w14:paraId="3E89774B" w14:textId="328019F1" w:rsidR="00F325B7" w:rsidRPr="0084016E" w:rsidRDefault="00F325B7" w:rsidP="00E757EA">
            <w:pPr>
              <w:pStyle w:val="Tabletext"/>
              <w:rPr>
                <w:sz w:val="20"/>
                <w:lang w:val="fr-FR"/>
              </w:rPr>
            </w:pPr>
          </w:p>
        </w:tc>
        <w:tc>
          <w:tcPr>
            <w:tcW w:w="1418" w:type="dxa"/>
            <w:tcBorders>
              <w:left w:val="single" w:sz="4" w:space="0" w:color="000000" w:themeColor="text1"/>
            </w:tcBorders>
          </w:tcPr>
          <w:p w14:paraId="3AB24ABE" w14:textId="77777777" w:rsidR="00F325B7" w:rsidRPr="0084016E" w:rsidRDefault="00F325B7" w:rsidP="00E757EA">
            <w:pPr>
              <w:pStyle w:val="Tabletext"/>
              <w:rPr>
                <w:sz w:val="20"/>
                <w:lang w:val="fr-FR"/>
              </w:rPr>
            </w:pPr>
          </w:p>
        </w:tc>
        <w:tc>
          <w:tcPr>
            <w:tcW w:w="1360" w:type="dxa"/>
            <w:tcBorders>
              <w:left w:val="single" w:sz="4" w:space="0" w:color="000000" w:themeColor="text1"/>
            </w:tcBorders>
          </w:tcPr>
          <w:p w14:paraId="64EA3456" w14:textId="77777777" w:rsidR="00F325B7" w:rsidRPr="0084016E" w:rsidRDefault="00F325B7" w:rsidP="00E757EA">
            <w:pPr>
              <w:pStyle w:val="Tabletext"/>
              <w:rPr>
                <w:sz w:val="20"/>
                <w:lang w:val="fr-FR"/>
              </w:rPr>
            </w:pPr>
          </w:p>
        </w:tc>
      </w:tr>
    </w:tbl>
    <w:p w14:paraId="3D428436" w14:textId="6309A910" w:rsidR="002A70F8" w:rsidRPr="0084016E" w:rsidRDefault="00C2663D" w:rsidP="00FE4255">
      <w:pPr>
        <w:pStyle w:val="Note"/>
        <w:rPr>
          <w:lang w:val="fr-FR"/>
        </w:rPr>
      </w:pPr>
      <w:bookmarkStart w:id="13" w:name="_Toc445972794"/>
      <w:bookmarkEnd w:id="12"/>
      <w:r w:rsidRPr="0084016E">
        <w:rPr>
          <w:lang w:val="fr-FR"/>
        </w:rPr>
        <w:t xml:space="preserve">NOTE – Les </w:t>
      </w:r>
      <w:r w:rsidR="001C4F36" w:rsidRPr="0084016E">
        <w:rPr>
          <w:lang w:val="fr-FR"/>
        </w:rPr>
        <w:t>produits</w:t>
      </w:r>
      <w:r w:rsidRPr="0084016E">
        <w:rPr>
          <w:lang w:val="fr-FR"/>
        </w:rPr>
        <w:t xml:space="preserve"> énumérés ci-dessus ont été compilés au moment de l</w:t>
      </w:r>
      <w:r w:rsidR="009C1307" w:rsidRPr="0084016E">
        <w:rPr>
          <w:lang w:val="fr-FR"/>
        </w:rPr>
        <w:t>'</w:t>
      </w:r>
      <w:r w:rsidRPr="0084016E">
        <w:rPr>
          <w:lang w:val="fr-FR"/>
        </w:rPr>
        <w:t>élaboration du présent document.</w:t>
      </w:r>
    </w:p>
    <w:p w14:paraId="09B62234" w14:textId="43C3CD3E" w:rsidR="00A154EE" w:rsidRPr="0084016E" w:rsidRDefault="00A154EE" w:rsidP="00BE6491">
      <w:pPr>
        <w:rPr>
          <w:lang w:val="fr-FR"/>
        </w:rPr>
      </w:pPr>
      <w:r w:rsidRPr="0084016E">
        <w:rPr>
          <w:lang w:val="fr-FR"/>
        </w:rPr>
        <w:t>Il convient de noter que les révisions d</w:t>
      </w:r>
      <w:r w:rsidR="009C1307" w:rsidRPr="0084016E">
        <w:rPr>
          <w:lang w:val="fr-FR"/>
        </w:rPr>
        <w:t>'</w:t>
      </w:r>
      <w:r w:rsidRPr="0084016E">
        <w:rPr>
          <w:lang w:val="fr-FR"/>
        </w:rPr>
        <w:t>ordre rédactionnel des Rapports UIT-R ont été traitées, par analogie, conformément aux § A2</w:t>
      </w:r>
      <w:r w:rsidR="00F051BF" w:rsidRPr="0084016E">
        <w:rPr>
          <w:lang w:val="fr-FR"/>
        </w:rPr>
        <w:t>.</w:t>
      </w:r>
      <w:r w:rsidRPr="0084016E">
        <w:rPr>
          <w:lang w:val="fr-FR"/>
        </w:rPr>
        <w:t>5</w:t>
      </w:r>
      <w:r w:rsidR="00F051BF" w:rsidRPr="0084016E">
        <w:rPr>
          <w:lang w:val="fr-FR"/>
        </w:rPr>
        <w:t>.</w:t>
      </w:r>
      <w:r w:rsidRPr="0084016E">
        <w:rPr>
          <w:lang w:val="fr-FR"/>
        </w:rPr>
        <w:t>2</w:t>
      </w:r>
      <w:r w:rsidR="00F051BF" w:rsidRPr="0084016E">
        <w:rPr>
          <w:lang w:val="fr-FR"/>
        </w:rPr>
        <w:t>.</w:t>
      </w:r>
      <w:r w:rsidRPr="0084016E">
        <w:rPr>
          <w:lang w:val="fr-FR"/>
        </w:rPr>
        <w:t>4 et A2</w:t>
      </w:r>
      <w:r w:rsidR="00F051BF" w:rsidRPr="0084016E">
        <w:rPr>
          <w:lang w:val="fr-FR"/>
        </w:rPr>
        <w:t>.</w:t>
      </w:r>
      <w:r w:rsidRPr="0084016E">
        <w:rPr>
          <w:lang w:val="fr-FR"/>
        </w:rPr>
        <w:t>6</w:t>
      </w:r>
      <w:r w:rsidR="00F051BF" w:rsidRPr="0084016E">
        <w:rPr>
          <w:lang w:val="fr-FR"/>
        </w:rPr>
        <w:t>.</w:t>
      </w:r>
      <w:r w:rsidRPr="0084016E">
        <w:rPr>
          <w:lang w:val="fr-FR"/>
        </w:rPr>
        <w:t>2</w:t>
      </w:r>
      <w:r w:rsidR="00F051BF" w:rsidRPr="0084016E">
        <w:rPr>
          <w:lang w:val="fr-FR"/>
        </w:rPr>
        <w:t>.</w:t>
      </w:r>
      <w:r w:rsidRPr="0084016E">
        <w:rPr>
          <w:lang w:val="fr-FR"/>
        </w:rPr>
        <w:t>5 de la Résolution UIT-R 1-9.</w:t>
      </w:r>
    </w:p>
    <w:p w14:paraId="3BD6DAE4" w14:textId="3654ACE6" w:rsidR="002A70F8" w:rsidRPr="0084016E" w:rsidRDefault="00DF23F6" w:rsidP="002A70F8">
      <w:pPr>
        <w:pStyle w:val="Heading2"/>
        <w:rPr>
          <w:lang w:val="fr-FR"/>
        </w:rPr>
      </w:pPr>
      <w:r w:rsidRPr="0084016E">
        <w:rPr>
          <w:bCs/>
          <w:lang w:val="fr-FR"/>
        </w:rPr>
        <w:lastRenderedPageBreak/>
        <w:t>5.1</w:t>
      </w:r>
      <w:r w:rsidRPr="0084016E">
        <w:rPr>
          <w:lang w:val="fr-FR"/>
        </w:rPr>
        <w:tab/>
        <w:t>Commission d</w:t>
      </w:r>
      <w:r w:rsidR="009C1307" w:rsidRPr="0084016E">
        <w:rPr>
          <w:lang w:val="fr-FR"/>
        </w:rPr>
        <w:t>'</w:t>
      </w:r>
      <w:r w:rsidRPr="0084016E">
        <w:rPr>
          <w:lang w:val="fr-FR"/>
        </w:rPr>
        <w:t>études 1</w:t>
      </w:r>
    </w:p>
    <w:p w14:paraId="4B710692" w14:textId="41D04E3C" w:rsidR="00A67A4B" w:rsidRPr="0084016E" w:rsidRDefault="00A67A4B" w:rsidP="001732C2">
      <w:pPr>
        <w:rPr>
          <w:lang w:val="fr-FR"/>
        </w:rPr>
      </w:pPr>
      <w:r w:rsidRPr="0084016E">
        <w:rPr>
          <w:lang w:val="fr-FR"/>
        </w:rPr>
        <w:t>La Commission d</w:t>
      </w:r>
      <w:r w:rsidR="009C1307" w:rsidRPr="0084016E">
        <w:rPr>
          <w:lang w:val="fr-FR"/>
        </w:rPr>
        <w:t>'</w:t>
      </w:r>
      <w:r w:rsidRPr="0084016E">
        <w:rPr>
          <w:lang w:val="fr-FR"/>
        </w:rPr>
        <w:t xml:space="preserve">études 1 </w:t>
      </w:r>
      <w:r w:rsidR="00F051BF" w:rsidRPr="0084016E">
        <w:rPr>
          <w:lang w:val="fr-FR"/>
        </w:rPr>
        <w:t>a poursuivi</w:t>
      </w:r>
      <w:r w:rsidRPr="0084016E">
        <w:rPr>
          <w:lang w:val="fr-FR"/>
        </w:rPr>
        <w:t xml:space="preserve"> l</w:t>
      </w:r>
      <w:r w:rsidR="009C1307" w:rsidRPr="0084016E">
        <w:rPr>
          <w:lang w:val="fr-FR"/>
        </w:rPr>
        <w:t>'</w:t>
      </w:r>
      <w:r w:rsidRPr="0084016E">
        <w:rPr>
          <w:lang w:val="fr-FR"/>
        </w:rPr>
        <w:t>élaboration de Recommandations, de Rapports et de Manuels de l</w:t>
      </w:r>
      <w:r w:rsidR="009C1307" w:rsidRPr="0084016E">
        <w:rPr>
          <w:lang w:val="fr-FR"/>
        </w:rPr>
        <w:t>'</w:t>
      </w:r>
      <w:r w:rsidRPr="0084016E">
        <w:rPr>
          <w:lang w:val="fr-FR"/>
        </w:rPr>
        <w:t>UIT-R concernant les principes et techniques applicables à la gestion du spectre, aux principes généraux en matière de partage, au contrôle du spectre, aux stratégies à long terme relatives à l</w:t>
      </w:r>
      <w:r w:rsidR="009C1307" w:rsidRPr="0084016E">
        <w:rPr>
          <w:lang w:val="fr-FR"/>
        </w:rPr>
        <w:t>'</w:t>
      </w:r>
      <w:r w:rsidRPr="0084016E">
        <w:rPr>
          <w:lang w:val="fr-FR"/>
        </w:rPr>
        <w:t>utilisation du spectre, aux approches économiques concernant la gestion du spectre au niveau national, aux techniques automatisées et à l</w:t>
      </w:r>
      <w:r w:rsidR="009C1307" w:rsidRPr="0084016E">
        <w:rPr>
          <w:lang w:val="fr-FR"/>
        </w:rPr>
        <w:t>'</w:t>
      </w:r>
      <w:r w:rsidRPr="0084016E">
        <w:rPr>
          <w:lang w:val="fr-FR"/>
        </w:rPr>
        <w:t>assistance apportée aux pays en développement en coopération avec le Secteur du développement des télécommunications. Les études menées par la</w:t>
      </w:r>
      <w:r w:rsidR="00960D7D" w:rsidRPr="0084016E">
        <w:rPr>
          <w:lang w:val="fr-FR"/>
        </w:rPr>
        <w:t> </w:t>
      </w:r>
      <w:r w:rsidRPr="0084016E">
        <w:rPr>
          <w:lang w:val="fr-FR"/>
        </w:rPr>
        <w:t>CE</w:t>
      </w:r>
      <w:r w:rsidR="00960D7D" w:rsidRPr="0084016E">
        <w:rPr>
          <w:lang w:val="fr-FR"/>
        </w:rPr>
        <w:t> </w:t>
      </w:r>
      <w:r w:rsidRPr="0084016E">
        <w:rPr>
          <w:lang w:val="fr-FR"/>
        </w:rPr>
        <w:t xml:space="preserve">1 </w:t>
      </w:r>
      <w:r w:rsidR="0059592D" w:rsidRPr="0084016E">
        <w:rPr>
          <w:lang w:val="fr-FR"/>
        </w:rPr>
        <w:t>ont porté</w:t>
      </w:r>
      <w:r w:rsidRPr="0084016E">
        <w:rPr>
          <w:lang w:val="fr-FR"/>
        </w:rPr>
        <w:t xml:space="preserve"> également sur les méthodes d</w:t>
      </w:r>
      <w:r w:rsidR="009C1307" w:rsidRPr="0084016E">
        <w:rPr>
          <w:lang w:val="fr-FR"/>
        </w:rPr>
        <w:t>'</w:t>
      </w:r>
      <w:r w:rsidRPr="0084016E">
        <w:rPr>
          <w:lang w:val="fr-FR"/>
        </w:rPr>
        <w:t>identification et d</w:t>
      </w:r>
      <w:r w:rsidR="009C1307" w:rsidRPr="0084016E">
        <w:rPr>
          <w:lang w:val="fr-FR"/>
        </w:rPr>
        <w:t>'</w:t>
      </w:r>
      <w:r w:rsidRPr="0084016E">
        <w:rPr>
          <w:lang w:val="fr-FR"/>
        </w:rPr>
        <w:t>élimination des brouillages, les rayonnements non désirés, la tenue à jour des dictionnaires de données, le redéploiement du spectre, la mesure de l</w:t>
      </w:r>
      <w:r w:rsidR="009C1307" w:rsidRPr="0084016E">
        <w:rPr>
          <w:lang w:val="fr-FR"/>
        </w:rPr>
        <w:t>'</w:t>
      </w:r>
      <w:r w:rsidRPr="0084016E">
        <w:rPr>
          <w:lang w:val="fr-FR"/>
        </w:rPr>
        <w:t>utilisation du spectre, les utilisations du spectre sans licence et en partage, l</w:t>
      </w:r>
      <w:r w:rsidR="009C1307" w:rsidRPr="0084016E">
        <w:rPr>
          <w:lang w:val="fr-FR"/>
        </w:rPr>
        <w:t>'</w:t>
      </w:r>
      <w:r w:rsidRPr="0084016E">
        <w:rPr>
          <w:lang w:val="fr-FR"/>
        </w:rPr>
        <w:t>accès dynamique au spectre, les réseaux électriques intelligents et la transmission d</w:t>
      </w:r>
      <w:r w:rsidR="009C1307" w:rsidRPr="0084016E">
        <w:rPr>
          <w:lang w:val="fr-FR"/>
        </w:rPr>
        <w:t>'</w:t>
      </w:r>
      <w:r w:rsidRPr="0084016E">
        <w:rPr>
          <w:lang w:val="fr-FR"/>
        </w:rPr>
        <w:t>énergie sans fil.</w:t>
      </w:r>
    </w:p>
    <w:p w14:paraId="4A15E030" w14:textId="71BA38AC" w:rsidR="00A67A4B" w:rsidRPr="0084016E" w:rsidRDefault="00A67A4B" w:rsidP="001732C2">
      <w:pPr>
        <w:rPr>
          <w:lang w:val="fr-FR"/>
        </w:rPr>
      </w:pPr>
      <w:r w:rsidRPr="0084016E">
        <w:rPr>
          <w:lang w:val="fr-FR"/>
        </w:rPr>
        <w:t>Les Groupes de travail 1A, 1B et 1C et la Commission d</w:t>
      </w:r>
      <w:r w:rsidR="009C1307" w:rsidRPr="0084016E">
        <w:rPr>
          <w:lang w:val="fr-FR"/>
        </w:rPr>
        <w:t>'</w:t>
      </w:r>
      <w:r w:rsidRPr="0084016E">
        <w:rPr>
          <w:lang w:val="fr-FR"/>
        </w:rPr>
        <w:t xml:space="preserve">études 1 ont tenu une série de réunions physiques avec participation à distance du 12 au 20 juin 2024 à Genève. Outre les publications approuvées indiquées au § 5 ci-dessus et </w:t>
      </w:r>
      <w:r w:rsidR="00526BBD" w:rsidRPr="0084016E">
        <w:rPr>
          <w:lang w:val="fr-FR"/>
        </w:rPr>
        <w:t xml:space="preserve">présentées en détail </w:t>
      </w:r>
      <w:r w:rsidRPr="0084016E">
        <w:rPr>
          <w:lang w:val="fr-FR"/>
        </w:rPr>
        <w:t>ci-dessous, d</w:t>
      </w:r>
      <w:r w:rsidR="009C1307" w:rsidRPr="0084016E">
        <w:rPr>
          <w:lang w:val="fr-FR"/>
        </w:rPr>
        <w:t>'</w:t>
      </w:r>
      <w:r w:rsidRPr="0084016E">
        <w:rPr>
          <w:lang w:val="fr-FR"/>
        </w:rPr>
        <w:t>importants progrès ont également été réalisés pour d</w:t>
      </w:r>
      <w:r w:rsidR="009C1307" w:rsidRPr="0084016E">
        <w:rPr>
          <w:lang w:val="fr-FR"/>
        </w:rPr>
        <w:t>'</w:t>
      </w:r>
      <w:r w:rsidRPr="0084016E">
        <w:rPr>
          <w:lang w:val="fr-FR"/>
        </w:rPr>
        <w:t>autres activités de la CE 1. Il a été décidé en juin 2024 de programmer les réunions suivantes en novembre 2024 au siège de l</w:t>
      </w:r>
      <w:r w:rsidR="009C1307" w:rsidRPr="0084016E">
        <w:rPr>
          <w:lang w:val="fr-FR"/>
        </w:rPr>
        <w:t>'</w:t>
      </w:r>
      <w:r w:rsidRPr="0084016E">
        <w:rPr>
          <w:lang w:val="fr-FR"/>
        </w:rPr>
        <w:t>UIT à Genève:</w:t>
      </w:r>
    </w:p>
    <w:p w14:paraId="5AED8737" w14:textId="35611254" w:rsidR="00A67A4B" w:rsidRPr="0084016E" w:rsidRDefault="00A67A4B" w:rsidP="009E4F77">
      <w:pPr>
        <w:pStyle w:val="enumlev1"/>
        <w:rPr>
          <w:lang w:val="fr-FR"/>
        </w:rPr>
      </w:pPr>
      <w:r w:rsidRPr="0084016E">
        <w:rPr>
          <w:lang w:val="fr-FR"/>
        </w:rPr>
        <w:t>–</w:t>
      </w:r>
      <w:r w:rsidRPr="0084016E">
        <w:rPr>
          <w:lang w:val="fr-FR"/>
        </w:rPr>
        <w:tab/>
        <w:t>Le GT 1B s</w:t>
      </w:r>
      <w:r w:rsidR="009C1307" w:rsidRPr="0084016E">
        <w:rPr>
          <w:lang w:val="fr-FR"/>
        </w:rPr>
        <w:t>'</w:t>
      </w:r>
      <w:r w:rsidRPr="0084016E">
        <w:rPr>
          <w:lang w:val="fr-FR"/>
        </w:rPr>
        <w:t xml:space="preserve">est réuni du 5 au 8 novembre 2024 pour faire avancer les travaux et, étant donné que ce GT est un groupe contributeur </w:t>
      </w:r>
      <w:r w:rsidR="00384395" w:rsidRPr="0084016E">
        <w:rPr>
          <w:lang w:val="fr-FR"/>
        </w:rPr>
        <w:t xml:space="preserve">concernant </w:t>
      </w:r>
      <w:r w:rsidRPr="0084016E">
        <w:rPr>
          <w:lang w:val="fr-FR"/>
        </w:rPr>
        <w:t>le point 1</w:t>
      </w:r>
      <w:r w:rsidR="00C230EF" w:rsidRPr="0084016E">
        <w:rPr>
          <w:lang w:val="fr-FR"/>
        </w:rPr>
        <w:t>.</w:t>
      </w:r>
      <w:r w:rsidRPr="0084016E">
        <w:rPr>
          <w:lang w:val="fr-FR"/>
        </w:rPr>
        <w:t>5 de l</w:t>
      </w:r>
      <w:r w:rsidR="009C1307" w:rsidRPr="0084016E">
        <w:rPr>
          <w:lang w:val="fr-FR"/>
        </w:rPr>
        <w:t>'</w:t>
      </w:r>
      <w:r w:rsidRPr="0084016E">
        <w:rPr>
          <w:lang w:val="fr-FR"/>
        </w:rPr>
        <w:t>ordre du jour de la</w:t>
      </w:r>
      <w:r w:rsidR="00960D7D" w:rsidRPr="0084016E">
        <w:rPr>
          <w:lang w:val="fr-FR"/>
        </w:rPr>
        <w:t> </w:t>
      </w:r>
      <w:r w:rsidRPr="0084016E">
        <w:rPr>
          <w:lang w:val="fr-FR"/>
        </w:rPr>
        <w:t>CMR</w:t>
      </w:r>
      <w:r w:rsidR="00960D7D" w:rsidRPr="0084016E">
        <w:rPr>
          <w:lang w:val="fr-FR"/>
        </w:rPr>
        <w:noBreakHyphen/>
      </w:r>
      <w:r w:rsidRPr="0084016E">
        <w:rPr>
          <w:lang w:val="fr-FR"/>
        </w:rPr>
        <w:t>27, pour être en mesure de fournir des informations en temps utile au GT 4A, selon qu</w:t>
      </w:r>
      <w:r w:rsidR="009C1307" w:rsidRPr="0084016E">
        <w:rPr>
          <w:lang w:val="fr-FR"/>
        </w:rPr>
        <w:t>'</w:t>
      </w:r>
      <w:r w:rsidRPr="0084016E">
        <w:rPr>
          <w:lang w:val="fr-FR"/>
        </w:rPr>
        <w:t>il conviendra.</w:t>
      </w:r>
    </w:p>
    <w:p w14:paraId="65693879" w14:textId="451987DB" w:rsidR="00A67A4B" w:rsidRPr="0084016E" w:rsidRDefault="00A67A4B" w:rsidP="009E4F77">
      <w:pPr>
        <w:pStyle w:val="enumlev1"/>
        <w:rPr>
          <w:lang w:val="fr-FR"/>
        </w:rPr>
      </w:pPr>
      <w:r w:rsidRPr="0084016E">
        <w:rPr>
          <w:lang w:val="fr-FR"/>
        </w:rPr>
        <w:t>–</w:t>
      </w:r>
      <w:r w:rsidRPr="0084016E">
        <w:rPr>
          <w:lang w:val="fr-FR"/>
        </w:rPr>
        <w:tab/>
        <w:t>Le Groupe du Rapporteur (RG) du GT 1C sur le Manuel de l</w:t>
      </w:r>
      <w:r w:rsidR="009C1307" w:rsidRPr="0084016E">
        <w:rPr>
          <w:lang w:val="fr-FR"/>
        </w:rPr>
        <w:t>'</w:t>
      </w:r>
      <w:r w:rsidRPr="0084016E">
        <w:rPr>
          <w:lang w:val="fr-FR"/>
        </w:rPr>
        <w:t>UIT-R sur le contrôle du spectre</w:t>
      </w:r>
      <w:r w:rsidR="00C230EF" w:rsidRPr="0084016E">
        <w:rPr>
          <w:lang w:val="fr-FR"/>
        </w:rPr>
        <w:t xml:space="preserve"> radioélectrique</w:t>
      </w:r>
      <w:r w:rsidRPr="0084016E">
        <w:rPr>
          <w:lang w:val="fr-FR"/>
        </w:rPr>
        <w:t xml:space="preserve"> (SMH) s</w:t>
      </w:r>
      <w:r w:rsidR="009C1307" w:rsidRPr="0084016E">
        <w:rPr>
          <w:lang w:val="fr-FR"/>
        </w:rPr>
        <w:t>'</w:t>
      </w:r>
      <w:r w:rsidRPr="0084016E">
        <w:rPr>
          <w:lang w:val="fr-FR"/>
        </w:rPr>
        <w:t xml:space="preserve">est réuni du 5 au 12 novembre 2024 pour faire avancer les travaux sur la révision de ce </w:t>
      </w:r>
      <w:r w:rsidR="00142B64" w:rsidRPr="0084016E">
        <w:rPr>
          <w:lang w:val="fr-FR"/>
        </w:rPr>
        <w:t>m</w:t>
      </w:r>
      <w:r w:rsidRPr="0084016E">
        <w:rPr>
          <w:lang w:val="fr-FR"/>
        </w:rPr>
        <w:t xml:space="preserve">anuel important destiné aux régulateurs nationaux et aux </w:t>
      </w:r>
      <w:r w:rsidR="00F10057" w:rsidRPr="0084016E">
        <w:rPr>
          <w:lang w:val="fr-FR"/>
        </w:rPr>
        <w:t>fabricants qui leur fournissent des équipements</w:t>
      </w:r>
      <w:r w:rsidRPr="0084016E">
        <w:rPr>
          <w:lang w:val="fr-FR"/>
        </w:rPr>
        <w:t>.</w:t>
      </w:r>
    </w:p>
    <w:p w14:paraId="4599AAE5" w14:textId="361C3084" w:rsidR="002A70F8" w:rsidRPr="0084016E" w:rsidRDefault="002A70F8" w:rsidP="00960D7D">
      <w:pPr>
        <w:pStyle w:val="Headingb"/>
        <w:rPr>
          <w:lang w:val="fr-FR"/>
        </w:rPr>
      </w:pPr>
      <w:r w:rsidRPr="0084016E">
        <w:rPr>
          <w:bCs/>
          <w:lang w:val="fr-FR"/>
        </w:rPr>
        <w:t>Recommandation</w:t>
      </w:r>
      <w:r w:rsidR="00180B2C" w:rsidRPr="0084016E">
        <w:rPr>
          <w:bCs/>
          <w:lang w:val="fr-FR"/>
        </w:rPr>
        <w:t>s</w:t>
      </w:r>
      <w:r w:rsidRPr="0084016E">
        <w:rPr>
          <w:bCs/>
          <w:lang w:val="fr-FR"/>
        </w:rPr>
        <w:t xml:space="preserve"> UIT-R</w:t>
      </w:r>
      <w:r w:rsidR="00596235" w:rsidRPr="0084016E">
        <w:rPr>
          <w:bCs/>
          <w:lang w:val="fr-FR"/>
        </w:rPr>
        <w:t>:</w:t>
      </w:r>
    </w:p>
    <w:p w14:paraId="0F78060D" w14:textId="0793FBF5" w:rsidR="00F26A97" w:rsidRPr="0084016E" w:rsidRDefault="00F26A97" w:rsidP="009E4F77">
      <w:pPr>
        <w:pStyle w:val="enumlev1"/>
        <w:rPr>
          <w:lang w:val="fr-FR"/>
        </w:rPr>
      </w:pPr>
      <w:r w:rsidRPr="0084016E">
        <w:rPr>
          <w:lang w:val="fr-FR"/>
        </w:rPr>
        <w:t>–</w:t>
      </w:r>
      <w:r w:rsidRPr="0084016E">
        <w:rPr>
          <w:lang w:val="fr-FR"/>
        </w:rPr>
        <w:tab/>
      </w:r>
      <w:r w:rsidR="00BD425E" w:rsidRPr="0084016E">
        <w:rPr>
          <w:lang w:val="fr-FR"/>
        </w:rPr>
        <w:t>SM.329-13</w:t>
      </w:r>
      <w:r w:rsidR="006D2FA4" w:rsidRPr="0084016E">
        <w:rPr>
          <w:lang w:val="fr-FR"/>
        </w:rPr>
        <w:t xml:space="preserve"> –</w:t>
      </w:r>
      <w:r w:rsidR="00596235" w:rsidRPr="0084016E">
        <w:rPr>
          <w:lang w:val="fr-FR"/>
        </w:rPr>
        <w:t xml:space="preserve"> «</w:t>
      </w:r>
      <w:r w:rsidRPr="0084016E">
        <w:rPr>
          <w:lang w:val="fr-FR"/>
        </w:rPr>
        <w:t>Rayonnements non désirés dans le domaine des rayonnements non essentiels</w:t>
      </w:r>
      <w:r w:rsidR="00596235" w:rsidRPr="0084016E">
        <w:rPr>
          <w:lang w:val="fr-FR"/>
        </w:rPr>
        <w:t>»</w:t>
      </w:r>
    </w:p>
    <w:p w14:paraId="09D63781" w14:textId="4CCEEF82" w:rsidR="00F26A97" w:rsidRPr="0084016E" w:rsidRDefault="00F26A97" w:rsidP="009E4F77">
      <w:pPr>
        <w:pStyle w:val="enumlev1"/>
        <w:rPr>
          <w:lang w:val="fr-FR"/>
        </w:rPr>
      </w:pPr>
      <w:r w:rsidRPr="0084016E">
        <w:rPr>
          <w:lang w:val="fr-FR"/>
        </w:rPr>
        <w:t>–</w:t>
      </w:r>
      <w:r w:rsidRPr="0084016E">
        <w:rPr>
          <w:lang w:val="fr-FR"/>
        </w:rPr>
        <w:tab/>
        <w:t xml:space="preserve">SM.853-2 </w:t>
      </w:r>
      <w:r w:rsidR="006D2FA4" w:rsidRPr="0084016E">
        <w:rPr>
          <w:lang w:val="fr-FR"/>
        </w:rPr>
        <w:t xml:space="preserve">– </w:t>
      </w:r>
      <w:r w:rsidR="00596235" w:rsidRPr="0084016E">
        <w:rPr>
          <w:lang w:val="fr-FR"/>
        </w:rPr>
        <w:t>«</w:t>
      </w:r>
      <w:r w:rsidRPr="0084016E">
        <w:rPr>
          <w:lang w:val="fr-FR"/>
        </w:rPr>
        <w:t>Largeur de bande nécessaire</w:t>
      </w:r>
      <w:r w:rsidR="00596235" w:rsidRPr="0084016E">
        <w:rPr>
          <w:lang w:val="fr-FR"/>
        </w:rPr>
        <w:t>»</w:t>
      </w:r>
    </w:p>
    <w:p w14:paraId="413F578E" w14:textId="2AA34B77" w:rsidR="00F26A97" w:rsidRPr="0084016E" w:rsidRDefault="00F26A97" w:rsidP="006D2FA4">
      <w:pPr>
        <w:pStyle w:val="enumlev1"/>
        <w:tabs>
          <w:tab w:val="clear" w:pos="794"/>
          <w:tab w:val="clear" w:pos="1191"/>
          <w:tab w:val="clear" w:pos="1588"/>
          <w:tab w:val="clear" w:pos="1985"/>
        </w:tabs>
        <w:rPr>
          <w:lang w:val="fr-FR"/>
        </w:rPr>
      </w:pPr>
      <w:r w:rsidRPr="0084016E">
        <w:rPr>
          <w:lang w:val="fr-FR"/>
        </w:rPr>
        <w:t>–</w:t>
      </w:r>
      <w:r w:rsidRPr="0084016E">
        <w:rPr>
          <w:lang w:val="fr-FR"/>
        </w:rPr>
        <w:tab/>
      </w:r>
      <w:r w:rsidR="00205F5A" w:rsidRPr="0084016E">
        <w:rPr>
          <w:lang w:val="fr-FR"/>
        </w:rPr>
        <w:t>SM.1539</w:t>
      </w:r>
      <w:r w:rsidR="006D2FA4" w:rsidRPr="0084016E">
        <w:rPr>
          <w:lang w:val="fr-FR"/>
        </w:rPr>
        <w:t>-</w:t>
      </w:r>
      <w:r w:rsidR="00205F5A" w:rsidRPr="0084016E">
        <w:rPr>
          <w:lang w:val="fr-FR"/>
        </w:rPr>
        <w:t xml:space="preserve">2 </w:t>
      </w:r>
      <w:r w:rsidR="006D2FA4" w:rsidRPr="0084016E">
        <w:rPr>
          <w:lang w:val="fr-FR"/>
        </w:rPr>
        <w:t xml:space="preserve">– </w:t>
      </w:r>
      <w:r w:rsidR="00596235" w:rsidRPr="0084016E">
        <w:rPr>
          <w:lang w:val="fr-FR"/>
        </w:rPr>
        <w:t>«</w:t>
      </w:r>
      <w:r w:rsidRPr="0084016E">
        <w:rPr>
          <w:lang w:val="fr-FR"/>
        </w:rPr>
        <w:t>Variation de la frontière entre le domaine des émissions hors bande et le domaine des rayonnements non essentiels dont il faut tenir compte dans l</w:t>
      </w:r>
      <w:r w:rsidR="009C1307" w:rsidRPr="0084016E">
        <w:rPr>
          <w:lang w:val="fr-FR"/>
        </w:rPr>
        <w:t>'</w:t>
      </w:r>
      <w:r w:rsidRPr="0084016E">
        <w:rPr>
          <w:lang w:val="fr-FR"/>
        </w:rPr>
        <w:t>application des Recommandations UIT-R SM.1541 et UIT-R SM.329</w:t>
      </w:r>
      <w:r w:rsidR="00596235" w:rsidRPr="0084016E">
        <w:rPr>
          <w:lang w:val="fr-FR"/>
        </w:rPr>
        <w:t>»</w:t>
      </w:r>
    </w:p>
    <w:p w14:paraId="57C1F0FF" w14:textId="0131354D" w:rsidR="00F26A97" w:rsidRPr="0084016E" w:rsidRDefault="00F26A97" w:rsidP="009E4F77">
      <w:pPr>
        <w:pStyle w:val="enumlev1"/>
        <w:rPr>
          <w:lang w:val="fr-FR"/>
        </w:rPr>
      </w:pPr>
      <w:r w:rsidRPr="0084016E">
        <w:rPr>
          <w:lang w:val="fr-FR"/>
        </w:rPr>
        <w:t>–</w:t>
      </w:r>
      <w:r w:rsidRPr="0084016E">
        <w:rPr>
          <w:lang w:val="fr-FR"/>
        </w:rPr>
        <w:tab/>
      </w:r>
      <w:r w:rsidR="00205F5A" w:rsidRPr="0084016E">
        <w:rPr>
          <w:lang w:val="fr-FR"/>
        </w:rPr>
        <w:t xml:space="preserve">SM.1541-7 </w:t>
      </w:r>
      <w:r w:rsidR="006D2FA4" w:rsidRPr="0084016E">
        <w:rPr>
          <w:lang w:val="fr-FR"/>
        </w:rPr>
        <w:t xml:space="preserve">– </w:t>
      </w:r>
      <w:r w:rsidR="00596235" w:rsidRPr="0084016E">
        <w:rPr>
          <w:lang w:val="fr-FR"/>
        </w:rPr>
        <w:t>«</w:t>
      </w:r>
      <w:r w:rsidRPr="0084016E">
        <w:rPr>
          <w:lang w:val="fr-FR"/>
        </w:rPr>
        <w:t>Rayonnements non désirés dans le domaine des émissions hors bande</w:t>
      </w:r>
      <w:r w:rsidR="00596235" w:rsidRPr="0084016E">
        <w:rPr>
          <w:lang w:val="fr-FR"/>
        </w:rPr>
        <w:t>»</w:t>
      </w:r>
    </w:p>
    <w:p w14:paraId="1D5CBD70" w14:textId="5A33D9A8" w:rsidR="00F26A97" w:rsidRPr="0084016E" w:rsidRDefault="00F26A97" w:rsidP="009E4F77">
      <w:pPr>
        <w:pStyle w:val="enumlev1"/>
        <w:rPr>
          <w:lang w:val="fr-FR"/>
        </w:rPr>
      </w:pPr>
      <w:r w:rsidRPr="0084016E">
        <w:rPr>
          <w:lang w:val="fr-FR"/>
        </w:rPr>
        <w:t>–</w:t>
      </w:r>
      <w:r w:rsidRPr="0084016E">
        <w:rPr>
          <w:lang w:val="fr-FR"/>
        </w:rPr>
        <w:tab/>
      </w:r>
      <w:r w:rsidR="00205F5A" w:rsidRPr="0084016E">
        <w:rPr>
          <w:lang w:val="fr-FR"/>
        </w:rPr>
        <w:t>SM.2129-1</w:t>
      </w:r>
      <w:r w:rsidR="006D2FA4" w:rsidRPr="0084016E">
        <w:rPr>
          <w:lang w:val="fr-FR"/>
        </w:rPr>
        <w:t xml:space="preserve"> –</w:t>
      </w:r>
      <w:r w:rsidR="00205F5A" w:rsidRPr="0084016E">
        <w:rPr>
          <w:lang w:val="fr-FR"/>
        </w:rPr>
        <w:t xml:space="preserve"> </w:t>
      </w:r>
      <w:r w:rsidR="00596235" w:rsidRPr="0084016E">
        <w:rPr>
          <w:lang w:val="fr-FR"/>
        </w:rPr>
        <w:t>«</w:t>
      </w:r>
      <w:r w:rsidRPr="0084016E">
        <w:rPr>
          <w:lang w:val="fr-FR"/>
        </w:rPr>
        <w:t>Orientations relatives aux gammes de fréquences pour l</w:t>
      </w:r>
      <w:r w:rsidR="009C1307" w:rsidRPr="0084016E">
        <w:rPr>
          <w:lang w:val="fr-FR"/>
        </w:rPr>
        <w:t>'</w:t>
      </w:r>
      <w:r w:rsidRPr="0084016E">
        <w:rPr>
          <w:lang w:val="fr-FR"/>
        </w:rPr>
        <w:t>exploitation de la transmission d</w:t>
      </w:r>
      <w:r w:rsidR="009C1307" w:rsidRPr="0084016E">
        <w:rPr>
          <w:lang w:val="fr-FR"/>
        </w:rPr>
        <w:t>'</w:t>
      </w:r>
      <w:r w:rsidRPr="0084016E">
        <w:rPr>
          <w:lang w:val="fr-FR"/>
        </w:rPr>
        <w:t>énergie sans fil n</w:t>
      </w:r>
      <w:r w:rsidR="009C1307" w:rsidRPr="0084016E">
        <w:rPr>
          <w:lang w:val="fr-FR"/>
        </w:rPr>
        <w:t>'</w:t>
      </w:r>
      <w:r w:rsidRPr="0084016E">
        <w:rPr>
          <w:lang w:val="fr-FR"/>
        </w:rPr>
        <w:t>utilisant pas de faisceau pour les dispositifs mobiles et portables</w:t>
      </w:r>
      <w:r w:rsidR="00596235" w:rsidRPr="0084016E">
        <w:rPr>
          <w:lang w:val="fr-FR"/>
        </w:rPr>
        <w:t>»</w:t>
      </w:r>
    </w:p>
    <w:p w14:paraId="54E9D19E" w14:textId="727E020E" w:rsidR="002A70F8" w:rsidRPr="0084016E" w:rsidRDefault="002A70F8" w:rsidP="00960D7D">
      <w:pPr>
        <w:pStyle w:val="Headingb"/>
        <w:keepLines/>
        <w:rPr>
          <w:lang w:val="fr-FR"/>
        </w:rPr>
      </w:pPr>
      <w:r w:rsidRPr="0084016E">
        <w:rPr>
          <w:bCs/>
          <w:lang w:val="fr-FR"/>
        </w:rPr>
        <w:t>Rapports UIT-R</w:t>
      </w:r>
      <w:r w:rsidR="00596235" w:rsidRPr="0084016E">
        <w:rPr>
          <w:bCs/>
          <w:lang w:val="fr-FR"/>
        </w:rPr>
        <w:t>:</w:t>
      </w:r>
    </w:p>
    <w:p w14:paraId="6208A7F1" w14:textId="20594E54" w:rsidR="000E62DA" w:rsidRPr="0084016E" w:rsidRDefault="000E62DA" w:rsidP="009E4F77">
      <w:pPr>
        <w:pStyle w:val="enumlev1"/>
        <w:rPr>
          <w:lang w:val="fr-FR"/>
        </w:rPr>
      </w:pPr>
      <w:r w:rsidRPr="0084016E">
        <w:rPr>
          <w:lang w:val="fr-FR"/>
        </w:rPr>
        <w:t>–</w:t>
      </w:r>
      <w:r w:rsidRPr="0084016E">
        <w:rPr>
          <w:lang w:val="fr-FR"/>
        </w:rPr>
        <w:tab/>
        <w:t>SM.2486</w:t>
      </w:r>
      <w:r w:rsidR="00205F5A" w:rsidRPr="0084016E">
        <w:rPr>
          <w:lang w:val="fr-FR"/>
        </w:rPr>
        <w:t>-1</w:t>
      </w:r>
      <w:r w:rsidR="006D2FA4" w:rsidRPr="0084016E">
        <w:rPr>
          <w:lang w:val="fr-FR"/>
        </w:rPr>
        <w:t xml:space="preserve"> –</w:t>
      </w:r>
      <w:r w:rsidRPr="0084016E">
        <w:rPr>
          <w:lang w:val="fr-FR"/>
        </w:rPr>
        <w:t xml:space="preserve"> </w:t>
      </w:r>
      <w:r w:rsidR="00596235" w:rsidRPr="0084016E">
        <w:rPr>
          <w:lang w:val="fr-FR"/>
        </w:rPr>
        <w:t>«</w:t>
      </w:r>
      <w:r w:rsidRPr="0084016E">
        <w:rPr>
          <w:lang w:val="fr-FR"/>
        </w:rPr>
        <w:t>Utilisation de drones commerciaux pour les activités de contrôle du spectre de</w:t>
      </w:r>
      <w:r w:rsidR="006D2FA4" w:rsidRPr="0084016E">
        <w:rPr>
          <w:lang w:val="fr-FR"/>
        </w:rPr>
        <w:t> </w:t>
      </w:r>
      <w:r w:rsidRPr="0084016E">
        <w:rPr>
          <w:lang w:val="fr-FR"/>
        </w:rPr>
        <w:t>l</w:t>
      </w:r>
      <w:r w:rsidR="009C1307" w:rsidRPr="0084016E">
        <w:rPr>
          <w:lang w:val="fr-FR"/>
        </w:rPr>
        <w:t>'</w:t>
      </w:r>
      <w:r w:rsidRPr="0084016E">
        <w:rPr>
          <w:lang w:val="fr-FR"/>
        </w:rPr>
        <w:t>UIT-R</w:t>
      </w:r>
      <w:r w:rsidR="00596235" w:rsidRPr="0084016E">
        <w:rPr>
          <w:lang w:val="fr-FR"/>
        </w:rPr>
        <w:t>»</w:t>
      </w:r>
    </w:p>
    <w:p w14:paraId="3FD6A30F" w14:textId="3E64DCFC" w:rsidR="00B113E8" w:rsidRPr="0084016E" w:rsidRDefault="00B113E8" w:rsidP="009E4F77">
      <w:pPr>
        <w:pStyle w:val="enumlev1"/>
        <w:rPr>
          <w:lang w:val="fr-FR"/>
        </w:rPr>
      </w:pPr>
      <w:r w:rsidRPr="0084016E">
        <w:rPr>
          <w:lang w:val="fr-FR"/>
        </w:rPr>
        <w:t>–</w:t>
      </w:r>
      <w:r w:rsidRPr="0084016E">
        <w:rPr>
          <w:lang w:val="fr-FR"/>
        </w:rPr>
        <w:tab/>
        <w:t>SM.2449-</w:t>
      </w:r>
      <w:r w:rsidR="00205F5A" w:rsidRPr="0084016E">
        <w:rPr>
          <w:lang w:val="fr-FR"/>
        </w:rPr>
        <w:t>1</w:t>
      </w:r>
      <w:r w:rsidR="006D2FA4" w:rsidRPr="0084016E">
        <w:rPr>
          <w:lang w:val="fr-FR"/>
        </w:rPr>
        <w:t xml:space="preserve"> –</w:t>
      </w:r>
      <w:r w:rsidRPr="0084016E">
        <w:rPr>
          <w:lang w:val="fr-FR"/>
        </w:rPr>
        <w:t xml:space="preserve"> </w:t>
      </w:r>
      <w:r w:rsidR="00596235" w:rsidRPr="0084016E">
        <w:rPr>
          <w:lang w:val="fr-FR"/>
        </w:rPr>
        <w:t>«</w:t>
      </w:r>
      <w:r w:rsidR="00205F5A" w:rsidRPr="0084016E">
        <w:rPr>
          <w:lang w:val="fr-FR"/>
        </w:rPr>
        <w:t>Analyse des incidences</w:t>
      </w:r>
      <w:r w:rsidRPr="0084016E">
        <w:rPr>
          <w:lang w:val="fr-FR"/>
        </w:rPr>
        <w:t xml:space="preserve"> des systèmes de transmission d</w:t>
      </w:r>
      <w:r w:rsidR="009C1307" w:rsidRPr="0084016E">
        <w:rPr>
          <w:lang w:val="fr-FR"/>
        </w:rPr>
        <w:t>'</w:t>
      </w:r>
      <w:r w:rsidRPr="0084016E">
        <w:rPr>
          <w:lang w:val="fr-FR"/>
        </w:rPr>
        <w:t>énergie sans fil par induction n</w:t>
      </w:r>
      <w:r w:rsidR="009C1307" w:rsidRPr="0084016E">
        <w:rPr>
          <w:lang w:val="fr-FR"/>
        </w:rPr>
        <w:t>'</w:t>
      </w:r>
      <w:r w:rsidRPr="0084016E">
        <w:rPr>
          <w:lang w:val="fr-FR"/>
        </w:rPr>
        <w:t>utilisant pas de faisceau pour les dispositifs mobiles et portables sur les services de radiocommunication</w:t>
      </w:r>
      <w:r w:rsidR="00596235" w:rsidRPr="0084016E">
        <w:rPr>
          <w:lang w:val="fr-FR"/>
        </w:rPr>
        <w:t>»</w:t>
      </w:r>
    </w:p>
    <w:p w14:paraId="228426B9" w14:textId="163B9A38" w:rsidR="000E62DA" w:rsidRPr="0084016E" w:rsidRDefault="00B113E8" w:rsidP="009E4F77">
      <w:pPr>
        <w:pStyle w:val="enumlev1"/>
        <w:rPr>
          <w:lang w:val="fr-FR"/>
        </w:rPr>
      </w:pPr>
      <w:r w:rsidRPr="0084016E">
        <w:rPr>
          <w:lang w:val="fr-FR"/>
        </w:rPr>
        <w:t>–</w:t>
      </w:r>
      <w:r w:rsidRPr="0084016E">
        <w:rPr>
          <w:lang w:val="fr-FR"/>
        </w:rPr>
        <w:tab/>
      </w:r>
      <w:r w:rsidR="004131CE" w:rsidRPr="0084016E">
        <w:rPr>
          <w:lang w:val="fr-FR"/>
        </w:rPr>
        <w:t xml:space="preserve">SM.2542-0 </w:t>
      </w:r>
      <w:r w:rsidR="006D2FA4" w:rsidRPr="0084016E">
        <w:rPr>
          <w:lang w:val="fr-FR"/>
        </w:rPr>
        <w:t xml:space="preserve">– </w:t>
      </w:r>
      <w:r w:rsidR="00596235" w:rsidRPr="0084016E">
        <w:rPr>
          <w:lang w:val="fr-FR"/>
        </w:rPr>
        <w:t>«</w:t>
      </w:r>
      <w:r w:rsidRPr="0084016E">
        <w:rPr>
          <w:lang w:val="fr-FR"/>
        </w:rPr>
        <w:t>Contrôle du spectre de prochaine génération – Proactif, autonome et axé sur les données</w:t>
      </w:r>
      <w:r w:rsidR="00596235" w:rsidRPr="0084016E">
        <w:rPr>
          <w:lang w:val="fr-FR"/>
        </w:rPr>
        <w:t>»</w:t>
      </w:r>
    </w:p>
    <w:p w14:paraId="3A988D4A" w14:textId="1A0693A8" w:rsidR="002463B1" w:rsidRPr="0084016E" w:rsidRDefault="002463B1" w:rsidP="009E4F77">
      <w:pPr>
        <w:pStyle w:val="enumlev1"/>
        <w:rPr>
          <w:lang w:val="fr-FR"/>
        </w:rPr>
      </w:pPr>
      <w:r w:rsidRPr="0084016E">
        <w:rPr>
          <w:lang w:val="fr-FR"/>
        </w:rPr>
        <w:t>–</w:t>
      </w:r>
      <w:r w:rsidRPr="0084016E">
        <w:rPr>
          <w:lang w:val="fr-FR"/>
        </w:rPr>
        <w:tab/>
        <w:t>SM.2353-0</w:t>
      </w:r>
      <w:r w:rsidR="006D2FA4" w:rsidRPr="0084016E">
        <w:rPr>
          <w:lang w:val="fr-FR"/>
        </w:rPr>
        <w:t xml:space="preserve"> –</w:t>
      </w:r>
      <w:r w:rsidRPr="0084016E">
        <w:rPr>
          <w:lang w:val="fr-FR"/>
        </w:rPr>
        <w:t xml:space="preserve"> </w:t>
      </w:r>
      <w:r w:rsidR="00596235" w:rsidRPr="0084016E">
        <w:rPr>
          <w:lang w:val="fr-FR"/>
        </w:rPr>
        <w:t>«</w:t>
      </w:r>
      <w:r w:rsidRPr="0084016E">
        <w:rPr>
          <w:lang w:val="fr-FR"/>
        </w:rPr>
        <w:t>Défis à relever et possibilités à exploiter en matière de gestion du spectre résultant du passage à la télévision numérique de Terre dans les bandes des ondes décimétriques</w:t>
      </w:r>
      <w:r w:rsidR="00596235" w:rsidRPr="0084016E">
        <w:rPr>
          <w:lang w:val="fr-FR"/>
        </w:rPr>
        <w:t>»</w:t>
      </w:r>
      <w:r w:rsidR="0061797D" w:rsidRPr="0084016E">
        <w:rPr>
          <w:lang w:val="fr-FR"/>
        </w:rPr>
        <w:t xml:space="preserve"> (mise à jour rédactionnelle)</w:t>
      </w:r>
      <w:r w:rsidR="006D0821" w:rsidRPr="0084016E">
        <w:rPr>
          <w:lang w:val="fr-FR"/>
        </w:rPr>
        <w:t>.</w:t>
      </w:r>
    </w:p>
    <w:p w14:paraId="5B196405" w14:textId="77BE68A1" w:rsidR="00CE57F2" w:rsidRPr="0084016E" w:rsidRDefault="00CE57F2" w:rsidP="001732C2">
      <w:pPr>
        <w:rPr>
          <w:lang w:val="fr-FR"/>
        </w:rPr>
      </w:pPr>
      <w:bookmarkStart w:id="14" w:name="_Toc445972793"/>
      <w:r w:rsidRPr="0084016E">
        <w:rPr>
          <w:lang w:val="fr-FR"/>
        </w:rPr>
        <w:lastRenderedPageBreak/>
        <w:t>À sa réunion de juin 2024, la CE 1 a souligné la nécessité pour le GCR d</w:t>
      </w:r>
      <w:r w:rsidR="009C1307" w:rsidRPr="0084016E">
        <w:rPr>
          <w:lang w:val="fr-FR"/>
        </w:rPr>
        <w:t>'</w:t>
      </w:r>
      <w:r w:rsidRPr="0084016E">
        <w:rPr>
          <w:lang w:val="fr-FR"/>
        </w:rPr>
        <w:t xml:space="preserve">examiner la </w:t>
      </w:r>
      <w:hyperlink r:id="rId15" w:history="1">
        <w:r w:rsidRPr="0084016E">
          <w:rPr>
            <w:rStyle w:val="Hyperlink"/>
            <w:lang w:val="fr-FR"/>
          </w:rPr>
          <w:t>prése</w:t>
        </w:r>
        <w:r w:rsidRPr="0084016E">
          <w:rPr>
            <w:rStyle w:val="Hyperlink"/>
            <w:lang w:val="fr-FR"/>
          </w:rPr>
          <w:t>n</w:t>
        </w:r>
        <w:r w:rsidRPr="0084016E">
          <w:rPr>
            <w:rStyle w:val="Hyperlink"/>
            <w:lang w:val="fr-FR"/>
          </w:rPr>
          <w:t>tation des Recommandations UIT-R</w:t>
        </w:r>
      </w:hyperlink>
      <w:r w:rsidRPr="0084016E">
        <w:rPr>
          <w:lang w:val="fr-FR"/>
        </w:rPr>
        <w:t xml:space="preserve">, afin de préciser </w:t>
      </w:r>
      <w:r w:rsidR="004A6CFB" w:rsidRPr="0084016E">
        <w:rPr>
          <w:lang w:val="fr-FR"/>
        </w:rPr>
        <w:t>l'emplacement des</w:t>
      </w:r>
      <w:r w:rsidRPr="0084016E">
        <w:rPr>
          <w:lang w:val="fr-FR"/>
        </w:rPr>
        <w:t xml:space="preserve"> références aux </w:t>
      </w:r>
      <w:r w:rsidR="000226F3" w:rsidRPr="0084016E">
        <w:rPr>
          <w:lang w:val="fr-FR"/>
        </w:rPr>
        <w:t>Rapports UIT</w:t>
      </w:r>
      <w:r w:rsidR="00596235" w:rsidRPr="0084016E">
        <w:rPr>
          <w:lang w:val="fr-FR"/>
        </w:rPr>
        <w:noBreakHyphen/>
      </w:r>
      <w:r w:rsidR="000226F3" w:rsidRPr="0084016E">
        <w:rPr>
          <w:lang w:val="fr-FR"/>
        </w:rPr>
        <w:t>R</w:t>
      </w:r>
      <w:r w:rsidRPr="0084016E">
        <w:rPr>
          <w:lang w:val="fr-FR"/>
        </w:rPr>
        <w:t xml:space="preserve"> dans une Recommandation UIT-R (voir le § 10</w:t>
      </w:r>
      <w:r w:rsidR="00D9135E" w:rsidRPr="0084016E">
        <w:rPr>
          <w:lang w:val="fr-FR"/>
        </w:rPr>
        <w:t>.</w:t>
      </w:r>
      <w:r w:rsidRPr="0084016E">
        <w:rPr>
          <w:lang w:val="fr-FR"/>
        </w:rPr>
        <w:t xml:space="preserve">1 du compte rendu du Document </w:t>
      </w:r>
      <w:hyperlink r:id="rId16" w:history="1">
        <w:r w:rsidRPr="0084016E">
          <w:rPr>
            <w:rStyle w:val="Hyperlink"/>
            <w:lang w:val="fr-FR"/>
          </w:rPr>
          <w:t>1/</w:t>
        </w:r>
        <w:r w:rsidRPr="0084016E">
          <w:rPr>
            <w:rStyle w:val="Hyperlink"/>
            <w:lang w:val="fr-FR"/>
          </w:rPr>
          <w:t>2</w:t>
        </w:r>
        <w:r w:rsidRPr="0084016E">
          <w:rPr>
            <w:rStyle w:val="Hyperlink"/>
            <w:lang w:val="fr-FR"/>
          </w:rPr>
          <w:t>7</w:t>
        </w:r>
      </w:hyperlink>
      <w:r w:rsidRPr="0084016E">
        <w:rPr>
          <w:lang w:val="fr-FR"/>
        </w:rPr>
        <w:t>).</w:t>
      </w:r>
    </w:p>
    <w:p w14:paraId="781F0122" w14:textId="07CCAB39" w:rsidR="00CE57F2" w:rsidRPr="0084016E" w:rsidRDefault="00CE57F2" w:rsidP="001732C2">
      <w:pPr>
        <w:rPr>
          <w:lang w:val="fr-FR"/>
        </w:rPr>
      </w:pPr>
      <w:r w:rsidRPr="0084016E">
        <w:rPr>
          <w:lang w:val="fr-FR"/>
        </w:rPr>
        <w:t xml:space="preserve">Lors des réunions physiques avec participation à distance tenues en novembre 2024, le GT 1B a poursuivi ses études </w:t>
      </w:r>
      <w:r w:rsidR="00D9135E" w:rsidRPr="0084016E">
        <w:rPr>
          <w:lang w:val="fr-FR"/>
        </w:rPr>
        <w:t xml:space="preserve">dans le cadre de ses activités ordinaires </w:t>
      </w:r>
      <w:r w:rsidRPr="0084016E">
        <w:rPr>
          <w:lang w:val="fr-FR"/>
        </w:rPr>
        <w:t>et a décidé de transmettre à la CE 1 un projet de révision du Rapport UIT-R 2015-2</w:t>
      </w:r>
      <w:r w:rsidR="0083371C" w:rsidRPr="0084016E">
        <w:rPr>
          <w:lang w:val="fr-FR"/>
        </w:rPr>
        <w:t>,</w:t>
      </w:r>
      <w:r w:rsidRPr="0084016E">
        <w:rPr>
          <w:lang w:val="fr-FR"/>
        </w:rPr>
        <w:t xml:space="preserve"> intitulé «</w:t>
      </w:r>
      <w:r w:rsidRPr="0084016E">
        <w:rPr>
          <w:i/>
          <w:iCs/>
          <w:lang w:val="fr-FR"/>
        </w:rPr>
        <w:t>Méthodes de détermination des stratégies nationales à long terme pour l</w:t>
      </w:r>
      <w:r w:rsidR="009C1307" w:rsidRPr="0084016E">
        <w:rPr>
          <w:i/>
          <w:iCs/>
          <w:lang w:val="fr-FR"/>
        </w:rPr>
        <w:t>'</w:t>
      </w:r>
      <w:r w:rsidRPr="0084016E">
        <w:rPr>
          <w:i/>
          <w:iCs/>
          <w:lang w:val="fr-FR"/>
        </w:rPr>
        <w:t>utilisation du spectre</w:t>
      </w:r>
      <w:r w:rsidRPr="0084016E">
        <w:rPr>
          <w:lang w:val="fr-FR"/>
        </w:rPr>
        <w:t xml:space="preserve">». Le </w:t>
      </w:r>
      <w:r w:rsidR="00B20832" w:rsidRPr="0084016E">
        <w:rPr>
          <w:lang w:val="fr-FR"/>
        </w:rPr>
        <w:t>Groupe du Rapporteur du GT 1</w:t>
      </w:r>
      <w:r w:rsidR="0083371C" w:rsidRPr="0084016E">
        <w:rPr>
          <w:lang w:val="fr-FR"/>
        </w:rPr>
        <w:t>C</w:t>
      </w:r>
      <w:r w:rsidR="00B20832" w:rsidRPr="0084016E">
        <w:rPr>
          <w:lang w:val="fr-FR"/>
        </w:rPr>
        <w:t xml:space="preserve"> sur le</w:t>
      </w:r>
      <w:r w:rsidR="00142B64" w:rsidRPr="0084016E">
        <w:rPr>
          <w:lang w:val="fr-FR"/>
        </w:rPr>
        <w:t> </w:t>
      </w:r>
      <w:r w:rsidR="00B20832" w:rsidRPr="0084016E">
        <w:rPr>
          <w:lang w:val="fr-FR"/>
        </w:rPr>
        <w:t>Manuel SMH</w:t>
      </w:r>
      <w:r w:rsidRPr="0084016E">
        <w:rPr>
          <w:lang w:val="fr-FR"/>
        </w:rPr>
        <w:t xml:space="preserve"> a également été très productif </w:t>
      </w:r>
      <w:r w:rsidR="00240876" w:rsidRPr="0084016E">
        <w:rPr>
          <w:lang w:val="fr-FR"/>
        </w:rPr>
        <w:t>en ce qu'il a poursuivi</w:t>
      </w:r>
      <w:r w:rsidRPr="0084016E">
        <w:rPr>
          <w:lang w:val="fr-FR"/>
        </w:rPr>
        <w:t xml:space="preserve"> le projet de révision de tous les chapitres et de l</w:t>
      </w:r>
      <w:r w:rsidR="009C1307" w:rsidRPr="0084016E">
        <w:rPr>
          <w:lang w:val="fr-FR"/>
        </w:rPr>
        <w:t>'</w:t>
      </w:r>
      <w:r w:rsidRPr="0084016E">
        <w:rPr>
          <w:lang w:val="fr-FR"/>
        </w:rPr>
        <w:t xml:space="preserve">annexe du </w:t>
      </w:r>
      <w:r w:rsidR="00142B64" w:rsidRPr="0084016E">
        <w:rPr>
          <w:lang w:val="fr-FR"/>
        </w:rPr>
        <w:t>m</w:t>
      </w:r>
      <w:r w:rsidRPr="0084016E">
        <w:rPr>
          <w:lang w:val="fr-FR"/>
        </w:rPr>
        <w:t>anuel</w:t>
      </w:r>
      <w:r w:rsidR="00240876" w:rsidRPr="0084016E">
        <w:rPr>
          <w:lang w:val="fr-FR"/>
        </w:rPr>
        <w:t>,</w:t>
      </w:r>
      <w:r w:rsidRPr="0084016E">
        <w:rPr>
          <w:lang w:val="fr-FR"/>
        </w:rPr>
        <w:t xml:space="preserve"> </w:t>
      </w:r>
      <w:r w:rsidR="00240876" w:rsidRPr="0084016E">
        <w:rPr>
          <w:lang w:val="fr-FR"/>
        </w:rPr>
        <w:t>et élaboré</w:t>
      </w:r>
      <w:r w:rsidRPr="0084016E">
        <w:rPr>
          <w:lang w:val="fr-FR"/>
        </w:rPr>
        <w:t xml:space="preserve"> un projet de nouveau chapitre sur les données et l</w:t>
      </w:r>
      <w:r w:rsidR="009C1307" w:rsidRPr="0084016E">
        <w:rPr>
          <w:lang w:val="fr-FR"/>
        </w:rPr>
        <w:t>'</w:t>
      </w:r>
      <w:r w:rsidRPr="0084016E">
        <w:rPr>
          <w:lang w:val="fr-FR"/>
        </w:rPr>
        <w:t>automatisation. La prochaine réunion du Groupe RG-SMH, initialement prévue en février 2025, a donc été annulée afin de laisser plus de temps pour la préparation de la réunion du GT 1C prévue en</w:t>
      </w:r>
      <w:r w:rsidR="00142B64" w:rsidRPr="0084016E">
        <w:rPr>
          <w:lang w:val="fr-FR"/>
        </w:rPr>
        <w:t> </w:t>
      </w:r>
      <w:r w:rsidRPr="0084016E">
        <w:rPr>
          <w:lang w:val="fr-FR"/>
        </w:rPr>
        <w:t>juin</w:t>
      </w:r>
      <w:r w:rsidR="00142B64" w:rsidRPr="0084016E">
        <w:rPr>
          <w:lang w:val="fr-FR"/>
        </w:rPr>
        <w:t> </w:t>
      </w:r>
      <w:r w:rsidRPr="0084016E">
        <w:rPr>
          <w:lang w:val="fr-FR"/>
        </w:rPr>
        <w:t xml:space="preserve">2025, au cours de laquelle des jours supplémentaires </w:t>
      </w:r>
      <w:r w:rsidR="005F7DAC" w:rsidRPr="0084016E">
        <w:rPr>
          <w:lang w:val="fr-FR"/>
        </w:rPr>
        <w:t>seront consacrés à la</w:t>
      </w:r>
      <w:r w:rsidRPr="0084016E">
        <w:rPr>
          <w:lang w:val="fr-FR"/>
        </w:rPr>
        <w:t xml:space="preserve"> révision du </w:t>
      </w:r>
      <w:r w:rsidR="00AB5AAC" w:rsidRPr="0084016E">
        <w:rPr>
          <w:lang w:val="fr-FR"/>
        </w:rPr>
        <w:t>Manuel</w:t>
      </w:r>
      <w:r w:rsidR="00142B64" w:rsidRPr="0084016E">
        <w:rPr>
          <w:lang w:val="fr-FR"/>
        </w:rPr>
        <w:t> </w:t>
      </w:r>
      <w:r w:rsidRPr="0084016E">
        <w:rPr>
          <w:lang w:val="fr-FR"/>
        </w:rPr>
        <w:t>SMH.</w:t>
      </w:r>
    </w:p>
    <w:p w14:paraId="587B7614" w14:textId="2D472F77" w:rsidR="00CE57F2" w:rsidRPr="0084016E" w:rsidRDefault="00CE57F2" w:rsidP="001732C2">
      <w:pPr>
        <w:rPr>
          <w:lang w:val="fr-FR"/>
        </w:rPr>
      </w:pPr>
      <w:r w:rsidRPr="0084016E">
        <w:rPr>
          <w:lang w:val="fr-FR"/>
        </w:rPr>
        <w:t>Comme indiqué dans les circulaires d</w:t>
      </w:r>
      <w:r w:rsidR="009C1307" w:rsidRPr="0084016E">
        <w:rPr>
          <w:lang w:val="fr-FR"/>
        </w:rPr>
        <w:t>'</w:t>
      </w:r>
      <w:r w:rsidRPr="0084016E">
        <w:rPr>
          <w:lang w:val="fr-FR"/>
        </w:rPr>
        <w:t>invitation (</w:t>
      </w:r>
      <w:hyperlink r:id="rId17" w:history="1">
        <w:r w:rsidRPr="0084016E">
          <w:rPr>
            <w:rStyle w:val="Hyperlink"/>
            <w:lang w:val="fr-FR"/>
          </w:rPr>
          <w:t>CACE/</w:t>
        </w:r>
        <w:r w:rsidRPr="0084016E">
          <w:rPr>
            <w:rStyle w:val="Hyperlink"/>
            <w:lang w:val="fr-FR"/>
          </w:rPr>
          <w:t>1</w:t>
        </w:r>
        <w:r w:rsidRPr="0084016E">
          <w:rPr>
            <w:rStyle w:val="Hyperlink"/>
            <w:lang w:val="fr-FR"/>
          </w:rPr>
          <w:t>131</w:t>
        </w:r>
      </w:hyperlink>
      <w:r w:rsidRPr="0084016E">
        <w:rPr>
          <w:lang w:val="fr-FR"/>
        </w:rPr>
        <w:t xml:space="preserve"> et </w:t>
      </w:r>
      <w:hyperlink r:id="rId18" w:history="1">
        <w:r w:rsidRPr="0084016E">
          <w:rPr>
            <w:rStyle w:val="Hyperlink"/>
            <w:lang w:val="fr-FR"/>
          </w:rPr>
          <w:t>1/LCCE</w:t>
        </w:r>
        <w:r w:rsidRPr="0084016E">
          <w:rPr>
            <w:rStyle w:val="Hyperlink"/>
            <w:lang w:val="fr-FR"/>
          </w:rPr>
          <w:t>/</w:t>
        </w:r>
        <w:r w:rsidRPr="0084016E">
          <w:rPr>
            <w:rStyle w:val="Hyperlink"/>
            <w:lang w:val="fr-FR"/>
          </w:rPr>
          <w:t>113</w:t>
        </w:r>
      </w:hyperlink>
      <w:r w:rsidRPr="0084016E">
        <w:rPr>
          <w:lang w:val="fr-FR"/>
        </w:rPr>
        <w:t>), la prochaine réunion du</w:t>
      </w:r>
      <w:r w:rsidR="00142B64" w:rsidRPr="0084016E">
        <w:rPr>
          <w:lang w:val="fr-FR"/>
        </w:rPr>
        <w:t> </w:t>
      </w:r>
      <w:r w:rsidRPr="0084016E">
        <w:rPr>
          <w:lang w:val="fr-FR"/>
        </w:rPr>
        <w:t>GT</w:t>
      </w:r>
      <w:r w:rsidR="00142B64" w:rsidRPr="0084016E">
        <w:rPr>
          <w:lang w:val="fr-FR"/>
        </w:rPr>
        <w:t> </w:t>
      </w:r>
      <w:r w:rsidRPr="0084016E">
        <w:rPr>
          <w:lang w:val="fr-FR"/>
        </w:rPr>
        <w:t>1C est prévue du 9 au 18 juin 2025, les deux premiers jours étant consacrés aux travaux relatifs à la révision du</w:t>
      </w:r>
      <w:r w:rsidR="00AB5AAC" w:rsidRPr="0084016E">
        <w:rPr>
          <w:lang w:val="fr-FR"/>
        </w:rPr>
        <w:t xml:space="preserve"> Manuel</w:t>
      </w:r>
      <w:r w:rsidRPr="0084016E">
        <w:rPr>
          <w:lang w:val="fr-FR"/>
        </w:rPr>
        <w:t xml:space="preserve"> SMH, et les prochaines réunions des GT 1A et 1B sont prévues du</w:t>
      </w:r>
      <w:r w:rsidR="00142B64" w:rsidRPr="0084016E">
        <w:rPr>
          <w:lang w:val="fr-FR"/>
        </w:rPr>
        <w:t> </w:t>
      </w:r>
      <w:r w:rsidRPr="0084016E">
        <w:rPr>
          <w:lang w:val="fr-FR"/>
        </w:rPr>
        <w:t>11</w:t>
      </w:r>
      <w:r w:rsidR="00142B64" w:rsidRPr="0084016E">
        <w:rPr>
          <w:lang w:val="fr-FR"/>
        </w:rPr>
        <w:t> </w:t>
      </w:r>
      <w:r w:rsidRPr="0084016E">
        <w:rPr>
          <w:lang w:val="fr-FR"/>
        </w:rPr>
        <w:t>au</w:t>
      </w:r>
      <w:r w:rsidR="00142B64" w:rsidRPr="0084016E">
        <w:rPr>
          <w:lang w:val="fr-FR"/>
        </w:rPr>
        <w:t> </w:t>
      </w:r>
      <w:r w:rsidRPr="0084016E">
        <w:rPr>
          <w:lang w:val="fr-FR"/>
        </w:rPr>
        <w:t>18</w:t>
      </w:r>
      <w:r w:rsidR="00142B64" w:rsidRPr="0084016E">
        <w:rPr>
          <w:lang w:val="fr-FR"/>
        </w:rPr>
        <w:t> </w:t>
      </w:r>
      <w:r w:rsidRPr="0084016E">
        <w:rPr>
          <w:lang w:val="fr-FR"/>
        </w:rPr>
        <w:t>juin</w:t>
      </w:r>
      <w:r w:rsidR="00142B64" w:rsidRPr="0084016E">
        <w:rPr>
          <w:lang w:val="fr-FR"/>
        </w:rPr>
        <w:t> </w:t>
      </w:r>
      <w:r w:rsidRPr="0084016E">
        <w:rPr>
          <w:lang w:val="fr-FR"/>
        </w:rPr>
        <w:t>2025. La CE 1 se réunira le 19 juin 2025. Il a également été envisagé de planifier d</w:t>
      </w:r>
      <w:r w:rsidR="009C1307" w:rsidRPr="0084016E">
        <w:rPr>
          <w:lang w:val="fr-FR"/>
        </w:rPr>
        <w:t>'</w:t>
      </w:r>
      <w:r w:rsidRPr="0084016E">
        <w:rPr>
          <w:lang w:val="fr-FR"/>
        </w:rPr>
        <w:t>autres réunions des GT de la CE 1 entre le 5 et le 14 novembre 2025, en fonction de la charge de travail à la fin des réunions de juin 2025 et de la disponibilité des salles à l</w:t>
      </w:r>
      <w:r w:rsidR="009C1307" w:rsidRPr="0084016E">
        <w:rPr>
          <w:lang w:val="fr-FR"/>
        </w:rPr>
        <w:t>'</w:t>
      </w:r>
      <w:r w:rsidRPr="0084016E">
        <w:rPr>
          <w:lang w:val="fr-FR"/>
        </w:rPr>
        <w:t>UIT</w:t>
      </w:r>
      <w:r w:rsidR="00372FB1" w:rsidRPr="0084016E">
        <w:rPr>
          <w:lang w:val="fr-FR"/>
        </w:rPr>
        <w:t>,</w:t>
      </w:r>
      <w:r w:rsidRPr="0084016E">
        <w:rPr>
          <w:lang w:val="fr-FR"/>
        </w:rPr>
        <w:t xml:space="preserve"> compte tenu des priorités. Toutefois, une réunion du </w:t>
      </w:r>
      <w:r w:rsidR="005451A6" w:rsidRPr="0084016E">
        <w:rPr>
          <w:lang w:val="fr-FR"/>
        </w:rPr>
        <w:t>Groupe du Rapporteur du GT 1</w:t>
      </w:r>
      <w:r w:rsidR="00372FB1" w:rsidRPr="0084016E">
        <w:rPr>
          <w:lang w:val="fr-FR"/>
        </w:rPr>
        <w:t>C</w:t>
      </w:r>
      <w:r w:rsidR="005451A6" w:rsidRPr="0084016E">
        <w:rPr>
          <w:lang w:val="fr-FR"/>
        </w:rPr>
        <w:t xml:space="preserve"> sur le Manuel SMH </w:t>
      </w:r>
      <w:r w:rsidRPr="0084016E">
        <w:rPr>
          <w:lang w:val="fr-FR"/>
        </w:rPr>
        <w:t>se tiendra très probablement pendant cette période, afin de respecter l</w:t>
      </w:r>
      <w:r w:rsidR="009C1307" w:rsidRPr="0084016E">
        <w:rPr>
          <w:lang w:val="fr-FR"/>
        </w:rPr>
        <w:t>'</w:t>
      </w:r>
      <w:r w:rsidRPr="0084016E">
        <w:rPr>
          <w:lang w:val="fr-FR"/>
        </w:rPr>
        <w:t xml:space="preserve">échéance prévue de juin 2026 pour la révision de </w:t>
      </w:r>
      <w:r w:rsidR="005451A6" w:rsidRPr="0084016E">
        <w:rPr>
          <w:lang w:val="fr-FR"/>
        </w:rPr>
        <w:t>ce manuel qui revêt une importance certaine</w:t>
      </w:r>
      <w:r w:rsidRPr="0084016E">
        <w:rPr>
          <w:lang w:val="fr-FR"/>
        </w:rPr>
        <w:t>.</w:t>
      </w:r>
    </w:p>
    <w:p w14:paraId="406C9248" w14:textId="4F13971A" w:rsidR="002A70F8" w:rsidRPr="0084016E" w:rsidRDefault="00271B43" w:rsidP="001732C2">
      <w:pPr>
        <w:pStyle w:val="Heading2"/>
        <w:rPr>
          <w:lang w:val="fr-FR"/>
        </w:rPr>
      </w:pPr>
      <w:r w:rsidRPr="0084016E">
        <w:rPr>
          <w:bCs/>
          <w:lang w:val="fr-FR"/>
        </w:rPr>
        <w:t>5.2</w:t>
      </w:r>
      <w:r w:rsidRPr="0084016E">
        <w:rPr>
          <w:lang w:val="fr-FR"/>
        </w:rPr>
        <w:tab/>
        <w:t>Commission d</w:t>
      </w:r>
      <w:r w:rsidR="009C1307" w:rsidRPr="0084016E">
        <w:rPr>
          <w:lang w:val="fr-FR"/>
        </w:rPr>
        <w:t>'</w:t>
      </w:r>
      <w:r w:rsidRPr="0084016E">
        <w:rPr>
          <w:lang w:val="fr-FR"/>
        </w:rPr>
        <w:t>études 3</w:t>
      </w:r>
      <w:bookmarkEnd w:id="14"/>
    </w:p>
    <w:p w14:paraId="2034B6FD" w14:textId="6864CDE3" w:rsidR="002A70F8" w:rsidRPr="0084016E" w:rsidRDefault="002A70F8" w:rsidP="001732C2">
      <w:pPr>
        <w:rPr>
          <w:lang w:val="fr-FR"/>
        </w:rPr>
      </w:pPr>
      <w:r w:rsidRPr="0084016E">
        <w:rPr>
          <w:lang w:val="fr-FR"/>
        </w:rPr>
        <w:t>La Commission d</w:t>
      </w:r>
      <w:r w:rsidR="009C1307" w:rsidRPr="0084016E">
        <w:rPr>
          <w:lang w:val="fr-FR"/>
        </w:rPr>
        <w:t>'</w:t>
      </w:r>
      <w:r w:rsidRPr="0084016E">
        <w:rPr>
          <w:lang w:val="fr-FR"/>
        </w:rPr>
        <w:t xml:space="preserve">études 3 </w:t>
      </w:r>
      <w:r w:rsidR="00F30DE4" w:rsidRPr="0084016E">
        <w:rPr>
          <w:lang w:val="fr-FR"/>
        </w:rPr>
        <w:t>a continué</w:t>
      </w:r>
      <w:r w:rsidRPr="0084016E">
        <w:rPr>
          <w:lang w:val="fr-FR"/>
        </w:rPr>
        <w:t xml:space="preserve"> d</w:t>
      </w:r>
      <w:r w:rsidR="009C1307" w:rsidRPr="0084016E">
        <w:rPr>
          <w:lang w:val="fr-FR"/>
        </w:rPr>
        <w:t>'</w:t>
      </w:r>
      <w:r w:rsidRPr="0084016E">
        <w:rPr>
          <w:lang w:val="fr-FR"/>
        </w:rPr>
        <w:t>entreprendre des recherches approfondies sur les mesures de propagation, l</w:t>
      </w:r>
      <w:r w:rsidR="009C1307" w:rsidRPr="0084016E">
        <w:rPr>
          <w:lang w:val="fr-FR"/>
        </w:rPr>
        <w:t>'</w:t>
      </w:r>
      <w:r w:rsidRPr="0084016E">
        <w:rPr>
          <w:lang w:val="fr-FR"/>
        </w:rPr>
        <w:t>analyse de données et l</w:t>
      </w:r>
      <w:r w:rsidR="009C1307" w:rsidRPr="0084016E">
        <w:rPr>
          <w:lang w:val="fr-FR"/>
        </w:rPr>
        <w:t>'</w:t>
      </w:r>
      <w:r w:rsidRPr="0084016E">
        <w:rPr>
          <w:lang w:val="fr-FR"/>
        </w:rPr>
        <w:t>élaboration de modèles afin d</w:t>
      </w:r>
      <w:r w:rsidR="009C1307" w:rsidRPr="0084016E">
        <w:rPr>
          <w:lang w:val="fr-FR"/>
        </w:rPr>
        <w:t>'</w:t>
      </w:r>
      <w:r w:rsidRPr="0084016E">
        <w:rPr>
          <w:lang w:val="fr-FR"/>
        </w:rPr>
        <w:t>élargir l</w:t>
      </w:r>
      <w:r w:rsidR="009C1307" w:rsidRPr="0084016E">
        <w:rPr>
          <w:lang w:val="fr-FR"/>
        </w:rPr>
        <w:t>'</w:t>
      </w:r>
      <w:r w:rsidRPr="0084016E">
        <w:rPr>
          <w:lang w:val="fr-FR"/>
        </w:rPr>
        <w:t>applicabilité des méthodes de prévision de la propagation des ondes radioélectriques dans les parties concernées du spectre jusqu</w:t>
      </w:r>
      <w:r w:rsidR="009C1307" w:rsidRPr="0084016E">
        <w:rPr>
          <w:lang w:val="fr-FR"/>
        </w:rPr>
        <w:t>'</w:t>
      </w:r>
      <w:r w:rsidRPr="0084016E">
        <w:rPr>
          <w:lang w:val="fr-FR"/>
        </w:rPr>
        <w:t>à 375 THz. En outre, la Commission d</w:t>
      </w:r>
      <w:r w:rsidR="009C1307" w:rsidRPr="0084016E">
        <w:rPr>
          <w:lang w:val="fr-FR"/>
        </w:rPr>
        <w:t>'</w:t>
      </w:r>
      <w:r w:rsidRPr="0084016E">
        <w:rPr>
          <w:lang w:val="fr-FR"/>
        </w:rPr>
        <w:t xml:space="preserve">études 3 </w:t>
      </w:r>
      <w:r w:rsidR="00B13B3A" w:rsidRPr="0084016E">
        <w:rPr>
          <w:lang w:val="fr-FR"/>
        </w:rPr>
        <w:t>a continué</w:t>
      </w:r>
      <w:r w:rsidRPr="0084016E">
        <w:rPr>
          <w:lang w:val="fr-FR"/>
        </w:rPr>
        <w:t xml:space="preserve"> de réviser ou d</w:t>
      </w:r>
      <w:r w:rsidR="009C1307" w:rsidRPr="0084016E">
        <w:rPr>
          <w:lang w:val="fr-FR"/>
        </w:rPr>
        <w:t>'</w:t>
      </w:r>
      <w:r w:rsidRPr="0084016E">
        <w:rPr>
          <w:lang w:val="fr-FR"/>
        </w:rPr>
        <w:t>élaborer de nouvelles Recommandations, de nouveaux Rapports et de nouveaux Manuels relevant de sa compétence, afin de faciliter la conception des systèmes de radiocommunication et l</w:t>
      </w:r>
      <w:r w:rsidR="009C1307" w:rsidRPr="0084016E">
        <w:rPr>
          <w:lang w:val="fr-FR"/>
        </w:rPr>
        <w:t>'</w:t>
      </w:r>
      <w:r w:rsidRPr="0084016E">
        <w:rPr>
          <w:lang w:val="fr-FR"/>
        </w:rPr>
        <w:t xml:space="preserve">évaluation des brouillages. Cette évaluation </w:t>
      </w:r>
      <w:r w:rsidR="00D96D0C" w:rsidRPr="0084016E">
        <w:rPr>
          <w:lang w:val="fr-FR"/>
        </w:rPr>
        <w:t xml:space="preserve">était </w:t>
      </w:r>
      <w:r w:rsidRPr="0084016E">
        <w:rPr>
          <w:lang w:val="fr-FR"/>
        </w:rPr>
        <w:t>souvent nécessaire pour les études de partage et de compatibilité à l</w:t>
      </w:r>
      <w:r w:rsidR="009C1307" w:rsidRPr="0084016E">
        <w:rPr>
          <w:lang w:val="fr-FR"/>
        </w:rPr>
        <w:t>'</w:t>
      </w:r>
      <w:r w:rsidRPr="0084016E">
        <w:rPr>
          <w:lang w:val="fr-FR"/>
        </w:rPr>
        <w:t>appui des travaux relatifs aux points de l</w:t>
      </w:r>
      <w:r w:rsidR="009C1307" w:rsidRPr="0084016E">
        <w:rPr>
          <w:lang w:val="fr-FR"/>
        </w:rPr>
        <w:t>'</w:t>
      </w:r>
      <w:r w:rsidRPr="0084016E">
        <w:rPr>
          <w:lang w:val="fr-FR"/>
        </w:rPr>
        <w:t>ordre du jour des CMR.</w:t>
      </w:r>
    </w:p>
    <w:p w14:paraId="215CD1CB" w14:textId="1A35938E" w:rsidR="002A70F8" w:rsidRPr="0084016E" w:rsidRDefault="002A70F8" w:rsidP="001732C2">
      <w:pPr>
        <w:rPr>
          <w:lang w:val="fr-FR"/>
        </w:rPr>
      </w:pPr>
      <w:r w:rsidRPr="0084016E">
        <w:rPr>
          <w:lang w:val="fr-FR"/>
        </w:rPr>
        <w:t>Depuis le GCR-2</w:t>
      </w:r>
      <w:r w:rsidR="00464C09" w:rsidRPr="0084016E">
        <w:rPr>
          <w:lang w:val="fr-FR"/>
        </w:rPr>
        <w:t>4</w:t>
      </w:r>
      <w:r w:rsidRPr="0084016E">
        <w:rPr>
          <w:lang w:val="fr-FR"/>
        </w:rPr>
        <w:t xml:space="preserve">, </w:t>
      </w:r>
      <w:r w:rsidR="00464C09" w:rsidRPr="0084016E">
        <w:rPr>
          <w:lang w:val="fr-FR"/>
        </w:rPr>
        <w:t>quatre</w:t>
      </w:r>
      <w:r w:rsidRPr="0084016E">
        <w:rPr>
          <w:lang w:val="fr-FR"/>
        </w:rPr>
        <w:t xml:space="preserve"> Recommandations UIT-R révisées ont été adoptées et approuvées</w:t>
      </w:r>
      <w:r w:rsidR="00F75930" w:rsidRPr="0084016E">
        <w:rPr>
          <w:lang w:val="fr-FR"/>
        </w:rPr>
        <w:t xml:space="preserve"> par la</w:t>
      </w:r>
      <w:r w:rsidR="004D3FB3" w:rsidRPr="0084016E">
        <w:rPr>
          <w:lang w:val="fr-FR"/>
        </w:rPr>
        <w:t> </w:t>
      </w:r>
      <w:r w:rsidR="00F75930" w:rsidRPr="0084016E">
        <w:rPr>
          <w:lang w:val="fr-FR"/>
        </w:rPr>
        <w:t>CE</w:t>
      </w:r>
      <w:r w:rsidR="004D3FB3" w:rsidRPr="0084016E">
        <w:rPr>
          <w:lang w:val="fr-FR"/>
        </w:rPr>
        <w:t> </w:t>
      </w:r>
      <w:r w:rsidR="00F75930" w:rsidRPr="0084016E">
        <w:rPr>
          <w:lang w:val="fr-FR"/>
        </w:rPr>
        <w:t>3</w:t>
      </w:r>
      <w:r w:rsidRPr="0084016E">
        <w:rPr>
          <w:lang w:val="fr-FR"/>
        </w:rPr>
        <w:t xml:space="preserve">. En outre, des modifications de forme ont été apportées à </w:t>
      </w:r>
      <w:r w:rsidR="00F75930" w:rsidRPr="0084016E">
        <w:rPr>
          <w:lang w:val="fr-FR"/>
        </w:rPr>
        <w:t>trois</w:t>
      </w:r>
      <w:r w:rsidRPr="0084016E">
        <w:rPr>
          <w:lang w:val="fr-FR"/>
        </w:rPr>
        <w:t xml:space="preserve"> Recommandations UIT-R.</w:t>
      </w:r>
    </w:p>
    <w:p w14:paraId="00E90FF9" w14:textId="179A91F0" w:rsidR="002A70F8" w:rsidRPr="0084016E" w:rsidRDefault="007660FA" w:rsidP="001732C2">
      <w:pPr>
        <w:rPr>
          <w:lang w:val="fr-FR"/>
        </w:rPr>
      </w:pPr>
      <w:r w:rsidRPr="0084016E">
        <w:rPr>
          <w:lang w:val="fr-FR"/>
        </w:rPr>
        <w:t xml:space="preserve">Trois groupes de travail par correspondance supplémentaires ont été créés. Au total, 39 </w:t>
      </w:r>
      <w:r w:rsidR="00116A14" w:rsidRPr="0084016E">
        <w:rPr>
          <w:lang w:val="fr-FR"/>
        </w:rPr>
        <w:t xml:space="preserve">groupes de travail par </w:t>
      </w:r>
      <w:r w:rsidR="00372FB1" w:rsidRPr="0084016E">
        <w:rPr>
          <w:lang w:val="fr-FR"/>
        </w:rPr>
        <w:t>correspondance</w:t>
      </w:r>
      <w:r w:rsidRPr="0084016E">
        <w:rPr>
          <w:lang w:val="fr-FR"/>
        </w:rPr>
        <w:t xml:space="preserve"> des GT 3J, 3K, 3L et 3M ont travaillé activement pour faire avancer les travaux entre les réunions officielles. Ces groupes ont effectué une part importante des travaux entre les réunions officielles des GT. Les GT de la CE 3 utilisent les groupes de travail par correspondance de cette manière depuis plus d</w:t>
      </w:r>
      <w:r w:rsidR="009C1307" w:rsidRPr="0084016E">
        <w:rPr>
          <w:lang w:val="fr-FR"/>
        </w:rPr>
        <w:t>'</w:t>
      </w:r>
      <w:r w:rsidRPr="0084016E">
        <w:rPr>
          <w:lang w:val="fr-FR"/>
        </w:rPr>
        <w:t>une décennie, étant entendu que les quatre groupes de travail ne se réunissent généralement qu</w:t>
      </w:r>
      <w:r w:rsidR="009C1307" w:rsidRPr="0084016E">
        <w:rPr>
          <w:lang w:val="fr-FR"/>
        </w:rPr>
        <w:t>'</w:t>
      </w:r>
      <w:r w:rsidRPr="0084016E">
        <w:rPr>
          <w:lang w:val="fr-FR"/>
        </w:rPr>
        <w:t>une fois par an et que l</w:t>
      </w:r>
      <w:r w:rsidR="009C1307" w:rsidRPr="0084016E">
        <w:rPr>
          <w:lang w:val="fr-FR"/>
        </w:rPr>
        <w:t>'</w:t>
      </w:r>
      <w:r w:rsidRPr="0084016E">
        <w:rPr>
          <w:lang w:val="fr-FR"/>
        </w:rPr>
        <w:t>achèvement de certains thèmes à l</w:t>
      </w:r>
      <w:r w:rsidR="009C1307" w:rsidRPr="0084016E">
        <w:rPr>
          <w:lang w:val="fr-FR"/>
        </w:rPr>
        <w:t>'</w:t>
      </w:r>
      <w:r w:rsidRPr="0084016E">
        <w:rPr>
          <w:lang w:val="fr-FR"/>
        </w:rPr>
        <w:t xml:space="preserve">étude </w:t>
      </w:r>
      <w:r w:rsidR="009C6897" w:rsidRPr="0084016E">
        <w:rPr>
          <w:lang w:val="fr-FR"/>
        </w:rPr>
        <w:t xml:space="preserve">pourrait s'étendre </w:t>
      </w:r>
      <w:r w:rsidRPr="0084016E">
        <w:rPr>
          <w:lang w:val="fr-FR"/>
        </w:rPr>
        <w:t xml:space="preserve">sur des périodes de plus de cinq, voire de dix ans. Par conséquent, il ne faut </w:t>
      </w:r>
      <w:r w:rsidR="00372FB1" w:rsidRPr="0084016E">
        <w:rPr>
          <w:lang w:val="fr-FR"/>
        </w:rPr>
        <w:t xml:space="preserve">pas </w:t>
      </w:r>
      <w:r w:rsidRPr="0084016E">
        <w:rPr>
          <w:lang w:val="fr-FR"/>
        </w:rPr>
        <w:t xml:space="preserve">en déduire que ce recours aux groupes de travail par correspondance était spécifiquement dû à la situation liée à la pandémie de COVID-19, </w:t>
      </w:r>
      <w:r w:rsidR="00372FB1" w:rsidRPr="0084016E">
        <w:rPr>
          <w:lang w:val="fr-FR"/>
        </w:rPr>
        <w:t xml:space="preserve">durant </w:t>
      </w:r>
      <w:r w:rsidRPr="0084016E">
        <w:rPr>
          <w:lang w:val="fr-FR"/>
        </w:rPr>
        <w:t>la période 2020-2022.</w:t>
      </w:r>
    </w:p>
    <w:p w14:paraId="5701BFA4" w14:textId="77777777" w:rsidR="004D3FB3" w:rsidRPr="0084016E" w:rsidRDefault="00334DC6" w:rsidP="001732C2">
      <w:pPr>
        <w:rPr>
          <w:lang w:val="fr-FR"/>
        </w:rPr>
      </w:pPr>
      <w:r w:rsidRPr="0084016E">
        <w:rPr>
          <w:lang w:val="fr-FR"/>
        </w:rPr>
        <w:t>À leurs réunions tenues à Denver (Colorado) (États-Unis)</w:t>
      </w:r>
      <w:r w:rsidR="00AB2B81" w:rsidRPr="0084016E">
        <w:rPr>
          <w:lang w:val="fr-FR"/>
        </w:rPr>
        <w:t>,</w:t>
      </w:r>
      <w:r w:rsidRPr="0084016E">
        <w:rPr>
          <w:lang w:val="fr-FR"/>
        </w:rPr>
        <w:t xml:space="preserve"> du 29 mai au 7 juin 2024, les GT 3J, 3K et</w:t>
      </w:r>
      <w:r w:rsidR="004D3FB3" w:rsidRPr="0084016E">
        <w:rPr>
          <w:lang w:val="fr-FR"/>
        </w:rPr>
        <w:t> </w:t>
      </w:r>
      <w:r w:rsidRPr="0084016E">
        <w:rPr>
          <w:lang w:val="fr-FR"/>
        </w:rPr>
        <w:t>3M ont planifié à titre exceptionnel deux réunions en 2025 (à savoir du 17 au 21 février 2025 et du</w:t>
      </w:r>
      <w:r w:rsidR="004D3FB3" w:rsidRPr="0084016E">
        <w:rPr>
          <w:lang w:val="fr-FR"/>
        </w:rPr>
        <w:t> </w:t>
      </w:r>
      <w:r w:rsidRPr="0084016E">
        <w:rPr>
          <w:lang w:val="fr-FR"/>
        </w:rPr>
        <w:t>25 mai au 5 juin 2025 au siège de l</w:t>
      </w:r>
      <w:r w:rsidR="009C1307" w:rsidRPr="0084016E">
        <w:rPr>
          <w:lang w:val="fr-FR"/>
        </w:rPr>
        <w:t>'</w:t>
      </w:r>
      <w:r w:rsidRPr="0084016E">
        <w:rPr>
          <w:lang w:val="fr-FR"/>
        </w:rPr>
        <w:t xml:space="preserve">UIT, à Genève) pour mener à bien les travaux demandés </w:t>
      </w:r>
      <w:r w:rsidR="00AB2B81" w:rsidRPr="0084016E">
        <w:rPr>
          <w:lang w:val="fr-FR"/>
        </w:rPr>
        <w:t>par les</w:t>
      </w:r>
      <w:r w:rsidRPr="0084016E">
        <w:rPr>
          <w:lang w:val="fr-FR"/>
        </w:rPr>
        <w:t xml:space="preserve"> groupes de travail responsables dans le</w:t>
      </w:r>
      <w:r w:rsidR="00FD0C78" w:rsidRPr="0084016E">
        <w:rPr>
          <w:lang w:val="fr-FR"/>
        </w:rPr>
        <w:t xml:space="preserve"> cadre de leur</w:t>
      </w:r>
      <w:r w:rsidRPr="0084016E">
        <w:rPr>
          <w:lang w:val="fr-FR"/>
        </w:rPr>
        <w:t>s études de partage et de compatibilité à l</w:t>
      </w:r>
      <w:r w:rsidR="009C1307" w:rsidRPr="0084016E">
        <w:rPr>
          <w:lang w:val="fr-FR"/>
        </w:rPr>
        <w:t>'</w:t>
      </w:r>
      <w:r w:rsidRPr="0084016E">
        <w:rPr>
          <w:lang w:val="fr-FR"/>
        </w:rPr>
        <w:t>appui des travaux sur les points de l</w:t>
      </w:r>
      <w:r w:rsidR="009C1307" w:rsidRPr="0084016E">
        <w:rPr>
          <w:lang w:val="fr-FR"/>
        </w:rPr>
        <w:t>'</w:t>
      </w:r>
      <w:r w:rsidRPr="0084016E">
        <w:rPr>
          <w:lang w:val="fr-FR"/>
        </w:rPr>
        <w:t>ordre du jour de la CMR. Le Groupe de travail 3L ne se réunira que du 25 mai au 5 juin 2025. En outre, les quatre GT ont décidé d</w:t>
      </w:r>
      <w:r w:rsidR="009C1307" w:rsidRPr="0084016E">
        <w:rPr>
          <w:lang w:val="fr-FR"/>
        </w:rPr>
        <w:t>'</w:t>
      </w:r>
      <w:r w:rsidRPr="0084016E">
        <w:rPr>
          <w:lang w:val="fr-FR"/>
        </w:rPr>
        <w:t xml:space="preserve">organiser un atelier afin </w:t>
      </w:r>
      <w:r w:rsidR="004D3FB3" w:rsidRPr="0084016E">
        <w:rPr>
          <w:lang w:val="fr-FR"/>
        </w:rPr>
        <w:br w:type="page"/>
      </w:r>
    </w:p>
    <w:p w14:paraId="28830924" w14:textId="3769201D" w:rsidR="00334DC6" w:rsidRPr="0084016E" w:rsidRDefault="00334DC6" w:rsidP="001732C2">
      <w:pPr>
        <w:rPr>
          <w:lang w:val="fr-FR"/>
        </w:rPr>
      </w:pPr>
      <w:r w:rsidRPr="0084016E">
        <w:rPr>
          <w:lang w:val="fr-FR"/>
        </w:rPr>
        <w:lastRenderedPageBreak/>
        <w:t>d</w:t>
      </w:r>
      <w:r w:rsidR="009C1307" w:rsidRPr="0084016E">
        <w:rPr>
          <w:lang w:val="fr-FR"/>
        </w:rPr>
        <w:t>'</w:t>
      </w:r>
      <w:r w:rsidRPr="0084016E">
        <w:rPr>
          <w:lang w:val="fr-FR"/>
        </w:rPr>
        <w:t>échanger des idées sur les applications de l</w:t>
      </w:r>
      <w:r w:rsidR="009C1307" w:rsidRPr="0084016E">
        <w:rPr>
          <w:lang w:val="fr-FR"/>
        </w:rPr>
        <w:t>'</w:t>
      </w:r>
      <w:r w:rsidRPr="0084016E">
        <w:rPr>
          <w:lang w:val="fr-FR"/>
        </w:rPr>
        <w:t>apprentissage automatique à la prévision de la propagation des ondes radioélectriques. L</w:t>
      </w:r>
      <w:r w:rsidR="009C1307" w:rsidRPr="0084016E">
        <w:rPr>
          <w:lang w:val="fr-FR"/>
        </w:rPr>
        <w:t>'</w:t>
      </w:r>
      <w:r w:rsidRPr="0084016E">
        <w:rPr>
          <w:lang w:val="fr-FR"/>
        </w:rPr>
        <w:t xml:space="preserve">atelier coïncidera avec les réunions des GT le 27 mai 2025 et </w:t>
      </w:r>
      <w:r w:rsidR="00372FB1" w:rsidRPr="0084016E">
        <w:rPr>
          <w:lang w:val="fr-FR"/>
        </w:rPr>
        <w:t>il sera possible d'y prendre part à</w:t>
      </w:r>
      <w:r w:rsidRPr="0084016E">
        <w:rPr>
          <w:lang w:val="fr-FR"/>
        </w:rPr>
        <w:t xml:space="preserve"> distance.</w:t>
      </w:r>
    </w:p>
    <w:p w14:paraId="64FF0EA6" w14:textId="58528A7C" w:rsidR="00256CBE" w:rsidRPr="0084016E" w:rsidRDefault="00256CBE" w:rsidP="001732C2">
      <w:pPr>
        <w:rPr>
          <w:lang w:val="fr-FR"/>
        </w:rPr>
      </w:pPr>
      <w:r w:rsidRPr="0084016E">
        <w:rPr>
          <w:lang w:val="fr-FR"/>
        </w:rPr>
        <w:t>En 202</w:t>
      </w:r>
      <w:r w:rsidR="00FD0C78" w:rsidRPr="0084016E">
        <w:rPr>
          <w:lang w:val="fr-FR"/>
        </w:rPr>
        <w:t>4</w:t>
      </w:r>
      <w:r w:rsidRPr="0084016E">
        <w:rPr>
          <w:lang w:val="fr-FR"/>
        </w:rPr>
        <w:t>,</w:t>
      </w:r>
      <w:r w:rsidR="00FD0C78" w:rsidRPr="0084016E">
        <w:rPr>
          <w:lang w:val="fr-FR"/>
        </w:rPr>
        <w:t xml:space="preserve"> comme cela avait été le cas </w:t>
      </w:r>
      <w:r w:rsidR="00643B00" w:rsidRPr="0084016E">
        <w:rPr>
          <w:lang w:val="fr-FR"/>
        </w:rPr>
        <w:t>au cours des</w:t>
      </w:r>
      <w:r w:rsidR="00FD0C78" w:rsidRPr="0084016E">
        <w:rPr>
          <w:lang w:val="fr-FR"/>
        </w:rPr>
        <w:t xml:space="preserve"> trois années précédentes,</w:t>
      </w:r>
      <w:r w:rsidRPr="0084016E">
        <w:rPr>
          <w:lang w:val="fr-FR"/>
        </w:rPr>
        <w:t xml:space="preserve"> les Recommandations de la série P </w:t>
      </w:r>
      <w:r w:rsidR="00DD3A30" w:rsidRPr="0084016E">
        <w:rPr>
          <w:lang w:val="fr-FR"/>
        </w:rPr>
        <w:t>sont restées</w:t>
      </w:r>
      <w:r w:rsidRPr="0084016E">
        <w:rPr>
          <w:lang w:val="fr-FR"/>
        </w:rPr>
        <w:t xml:space="preserve"> les plus </w:t>
      </w:r>
      <w:r w:rsidR="00A02D08" w:rsidRPr="0084016E">
        <w:rPr>
          <w:lang w:val="fr-FR"/>
        </w:rPr>
        <w:t xml:space="preserve">consultées </w:t>
      </w:r>
      <w:r w:rsidRPr="0084016E">
        <w:rPr>
          <w:lang w:val="fr-FR"/>
        </w:rPr>
        <w:t xml:space="preserve">parmi toutes les séries de Recommandations UIT-R, avec plus de </w:t>
      </w:r>
      <w:r w:rsidR="0066460F" w:rsidRPr="0084016E">
        <w:rPr>
          <w:lang w:val="fr-FR"/>
        </w:rPr>
        <w:t>7</w:t>
      </w:r>
      <w:r w:rsidRPr="0084016E">
        <w:rPr>
          <w:lang w:val="fr-FR"/>
        </w:rPr>
        <w:t xml:space="preserve">6 000 téléchargements de plus que pour la deuxième série la plus </w:t>
      </w:r>
      <w:r w:rsidR="005048E8" w:rsidRPr="0084016E">
        <w:rPr>
          <w:lang w:val="fr-FR"/>
        </w:rPr>
        <w:t>consultée</w:t>
      </w:r>
      <w:r w:rsidRPr="0084016E">
        <w:rPr>
          <w:lang w:val="fr-FR"/>
        </w:rPr>
        <w:t xml:space="preserve">, ce qui montre </w:t>
      </w:r>
      <w:r w:rsidR="0066460F" w:rsidRPr="0084016E">
        <w:rPr>
          <w:lang w:val="fr-FR"/>
        </w:rPr>
        <w:t xml:space="preserve">encore </w:t>
      </w:r>
      <w:r w:rsidRPr="0084016E">
        <w:rPr>
          <w:lang w:val="fr-FR"/>
        </w:rPr>
        <w:t>l</w:t>
      </w:r>
      <w:r w:rsidR="009C1307" w:rsidRPr="0084016E">
        <w:rPr>
          <w:lang w:val="fr-FR"/>
        </w:rPr>
        <w:t>'</w:t>
      </w:r>
      <w:r w:rsidRPr="0084016E">
        <w:rPr>
          <w:lang w:val="fr-FR"/>
        </w:rPr>
        <w:t>importance qu</w:t>
      </w:r>
      <w:r w:rsidR="009C1307" w:rsidRPr="0084016E">
        <w:rPr>
          <w:lang w:val="fr-FR"/>
        </w:rPr>
        <w:t>'</w:t>
      </w:r>
      <w:r w:rsidRPr="0084016E">
        <w:rPr>
          <w:lang w:val="fr-FR"/>
        </w:rPr>
        <w:t>elles revêtent pour tous les utilisateurs des systèmes radioélectriques au sein de l</w:t>
      </w:r>
      <w:r w:rsidR="009C1307" w:rsidRPr="0084016E">
        <w:rPr>
          <w:lang w:val="fr-FR"/>
        </w:rPr>
        <w:t>'</w:t>
      </w:r>
      <w:r w:rsidRPr="0084016E">
        <w:rPr>
          <w:lang w:val="fr-FR"/>
        </w:rPr>
        <w:t>UIT et de la communauté des radiocommunications en général.</w:t>
      </w:r>
    </w:p>
    <w:p w14:paraId="76316625" w14:textId="6721C593" w:rsidR="002A70F8" w:rsidRPr="0084016E" w:rsidRDefault="002A70F8" w:rsidP="004D3FB3">
      <w:pPr>
        <w:pStyle w:val="Headingb"/>
        <w:keepLines/>
        <w:rPr>
          <w:lang w:val="fr-FR"/>
        </w:rPr>
      </w:pPr>
      <w:r w:rsidRPr="0084016E">
        <w:rPr>
          <w:bCs/>
          <w:lang w:val="fr-FR"/>
        </w:rPr>
        <w:t>Recommandation</w:t>
      </w:r>
      <w:r w:rsidR="004F2AFD" w:rsidRPr="0084016E">
        <w:rPr>
          <w:bCs/>
          <w:lang w:val="fr-FR"/>
        </w:rPr>
        <w:t>s</w:t>
      </w:r>
      <w:r w:rsidRPr="0084016E">
        <w:rPr>
          <w:bCs/>
          <w:lang w:val="fr-FR"/>
        </w:rPr>
        <w:t xml:space="preserve"> UIT-R</w:t>
      </w:r>
      <w:r w:rsidR="00596235" w:rsidRPr="0084016E">
        <w:rPr>
          <w:bCs/>
          <w:lang w:val="fr-FR"/>
        </w:rPr>
        <w:t>:</w:t>
      </w:r>
    </w:p>
    <w:p w14:paraId="38C27E9E" w14:textId="2658C654" w:rsidR="00895891" w:rsidRPr="0084016E" w:rsidRDefault="00895891" w:rsidP="004D3FB3">
      <w:pPr>
        <w:pStyle w:val="enumlev1"/>
        <w:tabs>
          <w:tab w:val="clear" w:pos="794"/>
          <w:tab w:val="clear" w:pos="1191"/>
          <w:tab w:val="clear" w:pos="1588"/>
          <w:tab w:val="clear" w:pos="1985"/>
        </w:tabs>
        <w:rPr>
          <w:lang w:val="fr-FR"/>
        </w:rPr>
      </w:pPr>
      <w:r w:rsidRPr="0084016E">
        <w:rPr>
          <w:lang w:val="fr-FR"/>
        </w:rPr>
        <w:t>–</w:t>
      </w:r>
      <w:r w:rsidRPr="0084016E">
        <w:rPr>
          <w:lang w:val="fr-FR"/>
        </w:rPr>
        <w:tab/>
        <w:t>P.372-17</w:t>
      </w:r>
      <w:r w:rsidR="004D3FB3" w:rsidRPr="0084016E">
        <w:rPr>
          <w:lang w:val="fr-FR"/>
        </w:rPr>
        <w:t xml:space="preserve"> – </w:t>
      </w:r>
      <w:r w:rsidR="00596235" w:rsidRPr="0084016E">
        <w:rPr>
          <w:lang w:val="fr-FR"/>
        </w:rPr>
        <w:t>«</w:t>
      </w:r>
      <w:r w:rsidRPr="0084016E">
        <w:rPr>
          <w:lang w:val="fr-FR"/>
        </w:rPr>
        <w:t>Bruit radioélectrique</w:t>
      </w:r>
      <w:r w:rsidR="00596235" w:rsidRPr="0084016E">
        <w:rPr>
          <w:lang w:val="fr-FR"/>
        </w:rPr>
        <w:t>»</w:t>
      </w:r>
    </w:p>
    <w:p w14:paraId="0C24CB20" w14:textId="19A8BCEE" w:rsidR="00171B9B" w:rsidRPr="0084016E" w:rsidRDefault="00895891" w:rsidP="004D3FB3">
      <w:pPr>
        <w:pStyle w:val="enumlev1"/>
        <w:tabs>
          <w:tab w:val="clear" w:pos="794"/>
          <w:tab w:val="clear" w:pos="1191"/>
          <w:tab w:val="clear" w:pos="1588"/>
          <w:tab w:val="clear" w:pos="1985"/>
        </w:tabs>
        <w:rPr>
          <w:lang w:val="fr-FR"/>
        </w:rPr>
      </w:pPr>
      <w:r w:rsidRPr="0084016E">
        <w:rPr>
          <w:lang w:val="fr-FR"/>
        </w:rPr>
        <w:t>–</w:t>
      </w:r>
      <w:r w:rsidRPr="0084016E">
        <w:rPr>
          <w:lang w:val="fr-FR"/>
        </w:rPr>
        <w:tab/>
        <w:t>P.525-5</w:t>
      </w:r>
      <w:r w:rsidR="004D3FB3" w:rsidRPr="0084016E">
        <w:rPr>
          <w:lang w:val="fr-FR"/>
        </w:rPr>
        <w:t xml:space="preserve"> – </w:t>
      </w:r>
      <w:r w:rsidR="00596235" w:rsidRPr="0084016E">
        <w:rPr>
          <w:lang w:val="fr-FR"/>
        </w:rPr>
        <w:t>«</w:t>
      </w:r>
      <w:r w:rsidRPr="0084016E">
        <w:rPr>
          <w:lang w:val="fr-FR"/>
        </w:rPr>
        <w:t>Calcul de la propagation en espace libre</w:t>
      </w:r>
      <w:r w:rsidR="00596235" w:rsidRPr="0084016E">
        <w:rPr>
          <w:lang w:val="fr-FR"/>
        </w:rPr>
        <w:t>»</w:t>
      </w:r>
    </w:p>
    <w:p w14:paraId="44ACE66F" w14:textId="2A86D7EF" w:rsidR="00895891" w:rsidRPr="0084016E" w:rsidRDefault="00895891" w:rsidP="004D3FB3">
      <w:pPr>
        <w:pStyle w:val="enumlev1"/>
        <w:tabs>
          <w:tab w:val="clear" w:pos="794"/>
          <w:tab w:val="clear" w:pos="1191"/>
          <w:tab w:val="clear" w:pos="1588"/>
          <w:tab w:val="clear" w:pos="1985"/>
        </w:tabs>
        <w:rPr>
          <w:lang w:val="fr-FR"/>
        </w:rPr>
      </w:pPr>
      <w:r w:rsidRPr="0084016E">
        <w:rPr>
          <w:lang w:val="fr-FR"/>
        </w:rPr>
        <w:t>–</w:t>
      </w:r>
      <w:r w:rsidRPr="0084016E">
        <w:rPr>
          <w:lang w:val="fr-FR"/>
        </w:rPr>
        <w:tab/>
      </w:r>
      <w:r w:rsidR="004F2AFD" w:rsidRPr="0084016E">
        <w:rPr>
          <w:lang w:val="fr-FR"/>
        </w:rPr>
        <w:t xml:space="preserve">P.835-7 </w:t>
      </w:r>
      <w:r w:rsidR="004D3FB3" w:rsidRPr="0084016E">
        <w:rPr>
          <w:lang w:val="fr-FR"/>
        </w:rPr>
        <w:t xml:space="preserve">– </w:t>
      </w:r>
      <w:r w:rsidR="00596235" w:rsidRPr="0084016E">
        <w:rPr>
          <w:lang w:val="fr-FR"/>
        </w:rPr>
        <w:t>«</w:t>
      </w:r>
      <w:r w:rsidRPr="0084016E">
        <w:rPr>
          <w:lang w:val="fr-FR"/>
        </w:rPr>
        <w:t>Atmosphère</w:t>
      </w:r>
      <w:r w:rsidR="004F2AFD" w:rsidRPr="0084016E">
        <w:rPr>
          <w:lang w:val="fr-FR"/>
        </w:rPr>
        <w:t>s</w:t>
      </w:r>
      <w:r w:rsidRPr="0084016E">
        <w:rPr>
          <w:lang w:val="fr-FR"/>
        </w:rPr>
        <w:t xml:space="preserve"> de référence</w:t>
      </w:r>
      <w:r w:rsidR="00596235" w:rsidRPr="0084016E">
        <w:rPr>
          <w:lang w:val="fr-FR"/>
        </w:rPr>
        <w:t>»</w:t>
      </w:r>
    </w:p>
    <w:p w14:paraId="25C493B0" w14:textId="0EA5355B" w:rsidR="00895891" w:rsidRPr="0084016E" w:rsidRDefault="00895891" w:rsidP="004D3FB3">
      <w:pPr>
        <w:pStyle w:val="enumlev1"/>
        <w:tabs>
          <w:tab w:val="clear" w:pos="794"/>
          <w:tab w:val="clear" w:pos="1191"/>
          <w:tab w:val="clear" w:pos="1588"/>
          <w:tab w:val="clear" w:pos="1985"/>
        </w:tabs>
        <w:rPr>
          <w:lang w:val="fr-FR"/>
        </w:rPr>
      </w:pPr>
      <w:r w:rsidRPr="0084016E">
        <w:rPr>
          <w:lang w:val="fr-FR"/>
        </w:rPr>
        <w:t>–</w:t>
      </w:r>
      <w:r w:rsidRPr="0084016E">
        <w:rPr>
          <w:lang w:val="fr-FR"/>
        </w:rPr>
        <w:tab/>
        <w:t>P.1511-</w:t>
      </w:r>
      <w:r w:rsidR="00AA7A8F" w:rsidRPr="0084016E">
        <w:rPr>
          <w:lang w:val="fr-FR"/>
        </w:rPr>
        <w:t>3</w:t>
      </w:r>
      <w:r w:rsidRPr="0084016E">
        <w:rPr>
          <w:lang w:val="fr-FR"/>
        </w:rPr>
        <w:t xml:space="preserve"> </w:t>
      </w:r>
      <w:r w:rsidR="004D3FB3" w:rsidRPr="0084016E">
        <w:rPr>
          <w:lang w:val="fr-FR"/>
        </w:rPr>
        <w:t xml:space="preserve">– </w:t>
      </w:r>
      <w:r w:rsidR="00596235" w:rsidRPr="0084016E">
        <w:rPr>
          <w:lang w:val="fr-FR"/>
        </w:rPr>
        <w:t>«</w:t>
      </w:r>
      <w:r w:rsidRPr="0084016E">
        <w:rPr>
          <w:lang w:val="fr-FR"/>
        </w:rPr>
        <w:t>Topographie pour la modélisation de la propagation Terre vers espace</w:t>
      </w:r>
      <w:r w:rsidR="00596235" w:rsidRPr="0084016E">
        <w:rPr>
          <w:lang w:val="fr-FR"/>
        </w:rPr>
        <w:t>»</w:t>
      </w:r>
    </w:p>
    <w:p w14:paraId="5B194047" w14:textId="6D4ABB3D" w:rsidR="006F1A86" w:rsidRPr="0084016E" w:rsidRDefault="006F1A86" w:rsidP="001732C2">
      <w:pPr>
        <w:rPr>
          <w:lang w:val="fr-FR"/>
        </w:rPr>
      </w:pPr>
      <w:r w:rsidRPr="0084016E">
        <w:rPr>
          <w:lang w:val="fr-FR"/>
        </w:rPr>
        <w:t>Les Groupes de travail de la Commission d</w:t>
      </w:r>
      <w:r w:rsidR="009C1307" w:rsidRPr="0084016E">
        <w:rPr>
          <w:lang w:val="fr-FR"/>
        </w:rPr>
        <w:t>'</w:t>
      </w:r>
      <w:r w:rsidRPr="0084016E">
        <w:rPr>
          <w:lang w:val="fr-FR"/>
        </w:rPr>
        <w:t>études 3 ont continué de tenir à jour un certain nombre de fascicules contenant des informations qu</w:t>
      </w:r>
      <w:r w:rsidR="009C1307" w:rsidRPr="0084016E">
        <w:rPr>
          <w:lang w:val="fr-FR"/>
        </w:rPr>
        <w:t>'</w:t>
      </w:r>
      <w:r w:rsidRPr="0084016E">
        <w:rPr>
          <w:lang w:val="fr-FR"/>
        </w:rPr>
        <w:t>il conviendrait de conserver à des fins de référence, mais qui n</w:t>
      </w:r>
      <w:r w:rsidR="009C1307" w:rsidRPr="0084016E">
        <w:rPr>
          <w:lang w:val="fr-FR"/>
        </w:rPr>
        <w:t>'</w:t>
      </w:r>
      <w:r w:rsidRPr="0084016E">
        <w:rPr>
          <w:lang w:val="fr-FR"/>
        </w:rPr>
        <w:t>étaient pas aptes à figurer dans des Rapports ou des Recommandations de l</w:t>
      </w:r>
      <w:r w:rsidR="009C1307" w:rsidRPr="0084016E">
        <w:rPr>
          <w:lang w:val="fr-FR"/>
        </w:rPr>
        <w:t>'</w:t>
      </w:r>
      <w:r w:rsidRPr="0084016E">
        <w:rPr>
          <w:lang w:val="fr-FR"/>
        </w:rPr>
        <w:t xml:space="preserve">UIT-R. Le Groupe de travail </w:t>
      </w:r>
      <w:r w:rsidR="004F2AFD" w:rsidRPr="0084016E">
        <w:rPr>
          <w:lang w:val="fr-FR"/>
        </w:rPr>
        <w:t>3J</w:t>
      </w:r>
      <w:r w:rsidRPr="0084016E">
        <w:rPr>
          <w:lang w:val="fr-FR"/>
        </w:rPr>
        <w:t xml:space="preserve"> a </w:t>
      </w:r>
      <w:r w:rsidR="004F2AFD" w:rsidRPr="0084016E">
        <w:rPr>
          <w:lang w:val="fr-FR"/>
        </w:rPr>
        <w:t xml:space="preserve">approuvé les nouveaux </w:t>
      </w:r>
      <w:r w:rsidR="0091358F" w:rsidRPr="0084016E">
        <w:rPr>
          <w:lang w:val="fr-FR"/>
        </w:rPr>
        <w:t>fascicules</w:t>
      </w:r>
      <w:r w:rsidR="004F2AFD" w:rsidRPr="0084016E">
        <w:rPr>
          <w:lang w:val="fr-FR"/>
        </w:rPr>
        <w:t xml:space="preserve"> suivants</w:t>
      </w:r>
      <w:r w:rsidRPr="0084016E">
        <w:rPr>
          <w:lang w:val="fr-FR"/>
        </w:rPr>
        <w:t>:</w:t>
      </w:r>
    </w:p>
    <w:p w14:paraId="72C3D84E" w14:textId="261F1A6E" w:rsidR="006F1A86" w:rsidRPr="0084016E" w:rsidRDefault="006F1A86" w:rsidP="009E4F77">
      <w:pPr>
        <w:pStyle w:val="enumlev1"/>
        <w:rPr>
          <w:lang w:val="fr-FR"/>
        </w:rPr>
      </w:pPr>
      <w:r w:rsidRPr="0084016E">
        <w:rPr>
          <w:lang w:val="fr-FR"/>
        </w:rPr>
        <w:t>–</w:t>
      </w:r>
      <w:r w:rsidRPr="0084016E">
        <w:rPr>
          <w:lang w:val="fr-FR"/>
        </w:rPr>
        <w:tab/>
      </w:r>
      <w:hyperlink r:id="rId19" w:history="1">
        <w:r w:rsidRPr="0084016E">
          <w:rPr>
            <w:rStyle w:val="Hyperlink"/>
            <w:lang w:val="fr-FR"/>
          </w:rPr>
          <w:t>3J/FAS/11</w:t>
        </w:r>
      </w:hyperlink>
      <w:r w:rsidRPr="0084016E">
        <w:rPr>
          <w:lang w:val="fr-FR"/>
        </w:rPr>
        <w:t xml:space="preserve"> </w:t>
      </w:r>
      <w:r w:rsidR="004D3FB3" w:rsidRPr="0084016E">
        <w:rPr>
          <w:lang w:val="fr-FR"/>
        </w:rPr>
        <w:t xml:space="preserve">– </w:t>
      </w:r>
      <w:r w:rsidR="00596235" w:rsidRPr="0084016E">
        <w:rPr>
          <w:lang w:val="fr-FR"/>
        </w:rPr>
        <w:t>«</w:t>
      </w:r>
      <w:r w:rsidRPr="0084016E">
        <w:rPr>
          <w:lang w:val="fr-FR"/>
        </w:rPr>
        <w:t>Informations générales sur l</w:t>
      </w:r>
      <w:r w:rsidR="009C1307" w:rsidRPr="0084016E">
        <w:rPr>
          <w:lang w:val="fr-FR"/>
        </w:rPr>
        <w:t>'</w:t>
      </w:r>
      <w:r w:rsidRPr="0084016E">
        <w:rPr>
          <w:lang w:val="fr-FR"/>
        </w:rPr>
        <w:t>Annexe 3 de la Recommandation UIT-R P.835</w:t>
      </w:r>
      <w:r w:rsidR="00596235" w:rsidRPr="0084016E">
        <w:rPr>
          <w:lang w:val="fr-FR"/>
        </w:rPr>
        <w:t>»</w:t>
      </w:r>
    </w:p>
    <w:p w14:paraId="5E4E137B" w14:textId="644EC002" w:rsidR="006F1A86" w:rsidRPr="0084016E" w:rsidRDefault="006F1A86" w:rsidP="009E4F77">
      <w:pPr>
        <w:pStyle w:val="enumlev1"/>
        <w:rPr>
          <w:lang w:val="fr-FR"/>
        </w:rPr>
      </w:pPr>
      <w:r w:rsidRPr="0084016E">
        <w:rPr>
          <w:lang w:val="fr-FR"/>
        </w:rPr>
        <w:t>–</w:t>
      </w:r>
      <w:r w:rsidRPr="0084016E">
        <w:rPr>
          <w:lang w:val="fr-FR"/>
        </w:rPr>
        <w:tab/>
      </w:r>
      <w:hyperlink r:id="rId20" w:history="1">
        <w:r w:rsidRPr="0084016E">
          <w:rPr>
            <w:rStyle w:val="Hyperlink"/>
            <w:lang w:val="fr-FR"/>
          </w:rPr>
          <w:t>3L/FAS/1</w:t>
        </w:r>
      </w:hyperlink>
      <w:r w:rsidRPr="0084016E">
        <w:rPr>
          <w:lang w:val="fr-FR"/>
        </w:rPr>
        <w:t xml:space="preserve"> </w:t>
      </w:r>
      <w:r w:rsidR="004D3FB3" w:rsidRPr="0084016E">
        <w:rPr>
          <w:lang w:val="fr-FR"/>
        </w:rPr>
        <w:t xml:space="preserve">– </w:t>
      </w:r>
      <w:r w:rsidR="00596235" w:rsidRPr="0084016E">
        <w:rPr>
          <w:lang w:val="fr-FR"/>
        </w:rPr>
        <w:t>«</w:t>
      </w:r>
      <w:r w:rsidRPr="0084016E">
        <w:rPr>
          <w:lang w:val="fr-FR"/>
        </w:rPr>
        <w:t>Méthode de prévision de la température de brillance décrite dans la Recommandation UIT-R P.372 – Bruit radioélectrique</w:t>
      </w:r>
      <w:r w:rsidR="00596235" w:rsidRPr="0084016E">
        <w:rPr>
          <w:lang w:val="fr-FR"/>
        </w:rPr>
        <w:t>»</w:t>
      </w:r>
    </w:p>
    <w:p w14:paraId="6D102738" w14:textId="29F9F959" w:rsidR="00751E88" w:rsidRPr="0084016E" w:rsidRDefault="00271B43" w:rsidP="001732C2">
      <w:pPr>
        <w:pStyle w:val="Heading2"/>
        <w:rPr>
          <w:lang w:val="fr-FR"/>
        </w:rPr>
      </w:pPr>
      <w:bookmarkStart w:id="15" w:name="_Toc445972795"/>
      <w:bookmarkEnd w:id="13"/>
      <w:r w:rsidRPr="0084016E">
        <w:rPr>
          <w:bCs/>
          <w:lang w:val="fr-FR"/>
        </w:rPr>
        <w:t>5.3</w:t>
      </w:r>
      <w:r w:rsidRPr="0084016E">
        <w:rPr>
          <w:lang w:val="fr-FR"/>
        </w:rPr>
        <w:tab/>
        <w:t>Commission d</w:t>
      </w:r>
      <w:r w:rsidR="009C1307" w:rsidRPr="0084016E">
        <w:rPr>
          <w:lang w:val="fr-FR"/>
        </w:rPr>
        <w:t>'</w:t>
      </w:r>
      <w:r w:rsidRPr="0084016E">
        <w:rPr>
          <w:lang w:val="fr-FR"/>
        </w:rPr>
        <w:t>études 4</w:t>
      </w:r>
    </w:p>
    <w:p w14:paraId="1FBD7087" w14:textId="5084810E" w:rsidR="00751E88" w:rsidRPr="0084016E" w:rsidRDefault="00751E88" w:rsidP="001732C2">
      <w:pPr>
        <w:rPr>
          <w:lang w:val="fr-FR"/>
        </w:rPr>
      </w:pPr>
      <w:r w:rsidRPr="0084016E">
        <w:rPr>
          <w:lang w:val="fr-FR"/>
        </w:rPr>
        <w:t xml:space="preserve">La CE 4 </w:t>
      </w:r>
      <w:r w:rsidR="00133A42" w:rsidRPr="0084016E">
        <w:rPr>
          <w:lang w:val="fr-FR"/>
        </w:rPr>
        <w:t>a poursuivi l'étude des</w:t>
      </w:r>
      <w:r w:rsidRPr="0084016E">
        <w:rPr>
          <w:lang w:val="fr-FR"/>
        </w:rPr>
        <w:t xml:space="preserve"> caractéristiques des systèmes et des réseaux des services fixe, mobile, de radiodiffusion et de radiorepérage par satellite,</w:t>
      </w:r>
      <w:r w:rsidR="00766980" w:rsidRPr="0084016E">
        <w:rPr>
          <w:lang w:val="fr-FR"/>
        </w:rPr>
        <w:t xml:space="preserve"> y compris l'utilisation connexe des liaisons du service inter-satellites,</w:t>
      </w:r>
      <w:r w:rsidR="00156D41" w:rsidRPr="0084016E">
        <w:rPr>
          <w:lang w:val="fr-FR"/>
        </w:rPr>
        <w:t xml:space="preserve"> selon le cas,</w:t>
      </w:r>
      <w:r w:rsidR="00AB0FA8" w:rsidRPr="0084016E">
        <w:rPr>
          <w:lang w:val="fr-FR"/>
        </w:rPr>
        <w:t xml:space="preserve"> </w:t>
      </w:r>
      <w:r w:rsidRPr="0084016E">
        <w:rPr>
          <w:lang w:val="fr-FR"/>
        </w:rPr>
        <w:t>les interfaces radioélectriques, les objectifs de qualité de fonctionnement et de disponibilité ainsi que le partage des ressources orbites/spectre entre les systèmes à satellites OSG et non OSG, pour assurer le développement durable de l</w:t>
      </w:r>
      <w:r w:rsidR="009C1307" w:rsidRPr="0084016E">
        <w:rPr>
          <w:lang w:val="fr-FR"/>
        </w:rPr>
        <w:t>'</w:t>
      </w:r>
      <w:r w:rsidRPr="0084016E">
        <w:rPr>
          <w:lang w:val="fr-FR"/>
        </w:rPr>
        <w:t>écosystème spatial.</w:t>
      </w:r>
    </w:p>
    <w:p w14:paraId="5EA27C18" w14:textId="310FFF53" w:rsidR="006C00B5" w:rsidRPr="0084016E" w:rsidRDefault="00AB0FA8" w:rsidP="001732C2">
      <w:pPr>
        <w:rPr>
          <w:lang w:val="fr-FR"/>
        </w:rPr>
      </w:pPr>
      <w:r w:rsidRPr="0084016E">
        <w:rPr>
          <w:lang w:val="fr-FR"/>
        </w:rPr>
        <w:t xml:space="preserve">Le Groupe de travail 4A a poursuivi ses travaux concernant la </w:t>
      </w:r>
      <w:r w:rsidR="006B5F12" w:rsidRPr="0084016E">
        <w:rPr>
          <w:lang w:val="fr-FR"/>
        </w:rPr>
        <w:t xml:space="preserve">Résolution UIT-R 74 </w:t>
      </w:r>
      <w:r w:rsidRPr="0084016E">
        <w:rPr>
          <w:lang w:val="fr-FR"/>
        </w:rPr>
        <w:t>sur les a</w:t>
      </w:r>
      <w:r w:rsidR="006B5F12" w:rsidRPr="0084016E">
        <w:rPr>
          <w:lang w:val="fr-FR"/>
        </w:rPr>
        <w:t>ctivités relatives à l</w:t>
      </w:r>
      <w:r w:rsidR="009C1307" w:rsidRPr="0084016E">
        <w:rPr>
          <w:lang w:val="fr-FR"/>
        </w:rPr>
        <w:t>'</w:t>
      </w:r>
      <w:r w:rsidR="006B5F12" w:rsidRPr="0084016E">
        <w:rPr>
          <w:lang w:val="fr-FR"/>
        </w:rPr>
        <w:t>utilisation durable des ressources que sont le spectre des fréquences radioélectriques et les orbites de satellites associées utilisées par les services spatiaux</w:t>
      </w:r>
      <w:r w:rsidRPr="0084016E">
        <w:rPr>
          <w:lang w:val="fr-FR"/>
        </w:rPr>
        <w:t>. Une i</w:t>
      </w:r>
      <w:r w:rsidR="006B5F12" w:rsidRPr="0084016E">
        <w:rPr>
          <w:lang w:val="fr-FR"/>
        </w:rPr>
        <w:t>nvitation à soumettre des propositions concernant un Manuel de l</w:t>
      </w:r>
      <w:r w:rsidR="009C1307" w:rsidRPr="0084016E">
        <w:rPr>
          <w:lang w:val="fr-FR"/>
        </w:rPr>
        <w:t>'</w:t>
      </w:r>
      <w:r w:rsidR="006B5F12" w:rsidRPr="0084016E">
        <w:rPr>
          <w:lang w:val="fr-FR"/>
        </w:rPr>
        <w:t>UIT-R sur les bonnes pratiques en matière d</w:t>
      </w:r>
      <w:r w:rsidR="009C1307" w:rsidRPr="0084016E">
        <w:rPr>
          <w:lang w:val="fr-FR"/>
        </w:rPr>
        <w:t>'</w:t>
      </w:r>
      <w:r w:rsidR="006B5F12" w:rsidRPr="0084016E">
        <w:rPr>
          <w:lang w:val="fr-FR"/>
        </w:rPr>
        <w:t>utilisation durable des fréquences et des orbites de satellites non OSG associées par les services spatiaux de radiocommunication</w:t>
      </w:r>
      <w:r w:rsidRPr="0084016E">
        <w:rPr>
          <w:lang w:val="fr-FR"/>
        </w:rPr>
        <w:t xml:space="preserve"> a été adressée (voir la Circulaire</w:t>
      </w:r>
      <w:r w:rsidR="00133A42" w:rsidRPr="0084016E">
        <w:rPr>
          <w:lang w:val="fr-FR"/>
        </w:rPr>
        <w:t xml:space="preserve"> administrative</w:t>
      </w:r>
      <w:r w:rsidRPr="0084016E">
        <w:rPr>
          <w:lang w:val="fr-FR"/>
        </w:rPr>
        <w:t xml:space="preserve"> </w:t>
      </w:r>
      <w:hyperlink r:id="rId21" w:history="1">
        <w:r w:rsidRPr="0084016E">
          <w:rPr>
            <w:rStyle w:val="Hyperlink"/>
            <w:lang w:val="fr-FR"/>
          </w:rPr>
          <w:t>CACE/1129</w:t>
        </w:r>
      </w:hyperlink>
      <w:r w:rsidRPr="0084016E">
        <w:rPr>
          <w:lang w:val="fr-FR"/>
        </w:rPr>
        <w:t>).</w:t>
      </w:r>
    </w:p>
    <w:p w14:paraId="06471F49" w14:textId="16B5BB8D" w:rsidR="00751E88" w:rsidRPr="0084016E" w:rsidRDefault="0085795F" w:rsidP="001732C2">
      <w:pPr>
        <w:rPr>
          <w:lang w:val="fr-FR"/>
        </w:rPr>
      </w:pPr>
      <w:r w:rsidRPr="0084016E">
        <w:rPr>
          <w:lang w:val="fr-FR"/>
        </w:rPr>
        <w:t>Compte tenu des suggestions formulées à la réunion du GCR tenue en mai 2024, la CE 4 a décidé d</w:t>
      </w:r>
      <w:r w:rsidR="009C1307" w:rsidRPr="0084016E">
        <w:rPr>
          <w:lang w:val="fr-FR"/>
        </w:rPr>
        <w:t>'</w:t>
      </w:r>
      <w:r w:rsidRPr="0084016E">
        <w:rPr>
          <w:lang w:val="fr-FR"/>
        </w:rPr>
        <w:t>élaborer un nouveau Manuel de l</w:t>
      </w:r>
      <w:r w:rsidR="009C1307" w:rsidRPr="0084016E">
        <w:rPr>
          <w:lang w:val="fr-FR"/>
        </w:rPr>
        <w:t>'</w:t>
      </w:r>
      <w:r w:rsidRPr="0084016E">
        <w:rPr>
          <w:lang w:val="fr-FR"/>
        </w:rPr>
        <w:t xml:space="preserve">UIT-R sur les </w:t>
      </w:r>
      <w:r w:rsidR="00F474F7" w:rsidRPr="0084016E">
        <w:rPr>
          <w:lang w:val="fr-FR"/>
        </w:rPr>
        <w:t>communications et les technologies par satellite</w:t>
      </w:r>
      <w:r w:rsidRPr="0084016E">
        <w:rPr>
          <w:lang w:val="fr-FR"/>
        </w:rPr>
        <w:t xml:space="preserve">, </w:t>
      </w:r>
      <w:r w:rsidR="001C6268" w:rsidRPr="0084016E">
        <w:rPr>
          <w:lang w:val="fr-FR"/>
        </w:rPr>
        <w:t>afin de compiler</w:t>
      </w:r>
      <w:r w:rsidRPr="0084016E">
        <w:rPr>
          <w:lang w:val="fr-FR"/>
        </w:rPr>
        <w:t xml:space="preserve"> les documents pertinents sur les systèmes du </w:t>
      </w:r>
      <w:r w:rsidR="001C6268" w:rsidRPr="0084016E">
        <w:rPr>
          <w:lang w:val="fr-FR"/>
        </w:rPr>
        <w:t>service fixe par satellite (</w:t>
      </w:r>
      <w:r w:rsidRPr="0084016E">
        <w:rPr>
          <w:lang w:val="fr-FR"/>
        </w:rPr>
        <w:t>SFS</w:t>
      </w:r>
      <w:r w:rsidR="001C6268" w:rsidRPr="0084016E">
        <w:rPr>
          <w:lang w:val="fr-FR"/>
        </w:rPr>
        <w:t>)</w:t>
      </w:r>
      <w:r w:rsidRPr="0084016E">
        <w:rPr>
          <w:lang w:val="fr-FR"/>
        </w:rPr>
        <w:t xml:space="preserve">, du </w:t>
      </w:r>
      <w:r w:rsidR="001C6268" w:rsidRPr="0084016E">
        <w:rPr>
          <w:lang w:val="fr-FR"/>
        </w:rPr>
        <w:t>service de radiodiffusion par satellite (</w:t>
      </w:r>
      <w:r w:rsidRPr="0084016E">
        <w:rPr>
          <w:lang w:val="fr-FR"/>
        </w:rPr>
        <w:t>SRS</w:t>
      </w:r>
      <w:r w:rsidR="001C6268" w:rsidRPr="0084016E">
        <w:rPr>
          <w:lang w:val="fr-FR"/>
        </w:rPr>
        <w:t>)</w:t>
      </w:r>
      <w:r w:rsidRPr="0084016E">
        <w:rPr>
          <w:lang w:val="fr-FR"/>
        </w:rPr>
        <w:t xml:space="preserve">, du </w:t>
      </w:r>
      <w:r w:rsidR="001C6268" w:rsidRPr="0084016E">
        <w:rPr>
          <w:lang w:val="fr-FR"/>
        </w:rPr>
        <w:t>service mobile par satellite (</w:t>
      </w:r>
      <w:r w:rsidRPr="0084016E">
        <w:rPr>
          <w:lang w:val="fr-FR"/>
        </w:rPr>
        <w:t>SMS</w:t>
      </w:r>
      <w:r w:rsidR="001C6268" w:rsidRPr="0084016E">
        <w:rPr>
          <w:lang w:val="fr-FR"/>
        </w:rPr>
        <w:t>)</w:t>
      </w:r>
      <w:r w:rsidRPr="0084016E">
        <w:rPr>
          <w:lang w:val="fr-FR"/>
        </w:rPr>
        <w:t xml:space="preserve"> et du </w:t>
      </w:r>
      <w:r w:rsidR="001C6268" w:rsidRPr="0084016E">
        <w:rPr>
          <w:lang w:val="fr-FR"/>
        </w:rPr>
        <w:t>service de radiorepérage par satellite (</w:t>
      </w:r>
      <w:r w:rsidRPr="0084016E">
        <w:rPr>
          <w:lang w:val="fr-FR"/>
        </w:rPr>
        <w:t>SRRS</w:t>
      </w:r>
      <w:r w:rsidR="001C6268" w:rsidRPr="0084016E">
        <w:rPr>
          <w:lang w:val="fr-FR"/>
        </w:rPr>
        <w:t>)</w:t>
      </w:r>
      <w:r w:rsidRPr="0084016E">
        <w:rPr>
          <w:lang w:val="fr-FR"/>
        </w:rPr>
        <w:t xml:space="preserve">. Ce </w:t>
      </w:r>
      <w:r w:rsidR="00990F6C" w:rsidRPr="0084016E">
        <w:rPr>
          <w:lang w:val="fr-FR"/>
        </w:rPr>
        <w:t>m</w:t>
      </w:r>
      <w:r w:rsidRPr="0084016E">
        <w:rPr>
          <w:lang w:val="fr-FR"/>
        </w:rPr>
        <w:t>anuel succèdera à l</w:t>
      </w:r>
      <w:r w:rsidR="009C1307" w:rsidRPr="0084016E">
        <w:rPr>
          <w:lang w:val="fr-FR"/>
        </w:rPr>
        <w:t>'</w:t>
      </w:r>
      <w:r w:rsidRPr="0084016E">
        <w:rPr>
          <w:lang w:val="fr-FR"/>
        </w:rPr>
        <w:t>ancien Manuel sur les systèmes à satellites</w:t>
      </w:r>
      <w:r w:rsidR="00990F6C" w:rsidRPr="0084016E">
        <w:rPr>
          <w:lang w:val="fr-FR"/>
        </w:rPr>
        <w:t>,</w:t>
      </w:r>
      <w:r w:rsidRPr="0084016E">
        <w:rPr>
          <w:lang w:val="fr-FR"/>
        </w:rPr>
        <w:t xml:space="preserve"> et son élaboration est en cours. Une invitation à soumettre des propositions en vue de son élaboration a été lancée (voir</w:t>
      </w:r>
      <w:r w:rsidR="001C6268" w:rsidRPr="0084016E">
        <w:rPr>
          <w:lang w:val="fr-FR"/>
        </w:rPr>
        <w:t xml:space="preserve"> la Lettre circulaire</w:t>
      </w:r>
      <w:r w:rsidRPr="0084016E">
        <w:rPr>
          <w:lang w:val="fr-FR"/>
        </w:rPr>
        <w:t xml:space="preserve"> </w:t>
      </w:r>
      <w:hyperlink r:id="rId22" w:history="1">
        <w:r w:rsidRPr="0084016E">
          <w:rPr>
            <w:rStyle w:val="Hyperlink"/>
            <w:lang w:val="fr-FR"/>
          </w:rPr>
          <w:t>4/LCCE/140</w:t>
        </w:r>
      </w:hyperlink>
      <w:r w:rsidRPr="0084016E">
        <w:rPr>
          <w:lang w:val="fr-FR"/>
        </w:rPr>
        <w:t>). Depuis la 24ème réunion du GCR, la</w:t>
      </w:r>
      <w:r w:rsidR="00596235" w:rsidRPr="0084016E">
        <w:rPr>
          <w:lang w:val="fr-FR"/>
        </w:rPr>
        <w:t> </w:t>
      </w:r>
      <w:r w:rsidRPr="0084016E">
        <w:rPr>
          <w:lang w:val="fr-FR"/>
        </w:rPr>
        <w:t>CE</w:t>
      </w:r>
      <w:r w:rsidR="00596235" w:rsidRPr="0084016E">
        <w:rPr>
          <w:lang w:val="fr-FR"/>
        </w:rPr>
        <w:t> </w:t>
      </w:r>
      <w:r w:rsidRPr="0084016E">
        <w:rPr>
          <w:lang w:val="fr-FR"/>
        </w:rPr>
        <w:t xml:space="preserve">4 a adopté et approuvé deux Recommandations UIT-R révisées. En outre, la </w:t>
      </w:r>
      <w:r w:rsidR="00133A42" w:rsidRPr="0084016E">
        <w:rPr>
          <w:lang w:val="fr-FR"/>
        </w:rPr>
        <w:t>CE 4</w:t>
      </w:r>
      <w:r w:rsidRPr="0084016E">
        <w:rPr>
          <w:lang w:val="fr-FR"/>
        </w:rPr>
        <w:t xml:space="preserve"> a approuvé deux nouveaux Rapports UIT-R et </w:t>
      </w:r>
      <w:r w:rsidR="00431ADA" w:rsidRPr="0084016E">
        <w:rPr>
          <w:lang w:val="fr-FR"/>
        </w:rPr>
        <w:t>deux</w:t>
      </w:r>
      <w:r w:rsidRPr="0084016E">
        <w:rPr>
          <w:lang w:val="fr-FR"/>
        </w:rPr>
        <w:t xml:space="preserve"> Rapport</w:t>
      </w:r>
      <w:r w:rsidR="00431ADA" w:rsidRPr="0084016E">
        <w:rPr>
          <w:lang w:val="fr-FR"/>
        </w:rPr>
        <w:t>s</w:t>
      </w:r>
      <w:r w:rsidRPr="0084016E">
        <w:rPr>
          <w:lang w:val="fr-FR"/>
        </w:rPr>
        <w:t xml:space="preserve"> UIT-R révisé</w:t>
      </w:r>
      <w:r w:rsidR="00431ADA" w:rsidRPr="0084016E">
        <w:rPr>
          <w:lang w:val="fr-FR"/>
        </w:rPr>
        <w:t>s</w:t>
      </w:r>
      <w:r w:rsidRPr="0084016E">
        <w:rPr>
          <w:lang w:val="fr-FR"/>
        </w:rPr>
        <w:t>.</w:t>
      </w:r>
    </w:p>
    <w:p w14:paraId="2A8B4FF5" w14:textId="540914A2" w:rsidR="00751E88" w:rsidRPr="0084016E" w:rsidRDefault="00751E88" w:rsidP="001732C2">
      <w:pPr>
        <w:pStyle w:val="Headingb"/>
        <w:rPr>
          <w:lang w:val="fr-FR"/>
        </w:rPr>
      </w:pPr>
      <w:r w:rsidRPr="0084016E">
        <w:rPr>
          <w:bCs/>
          <w:lang w:val="fr-FR"/>
        </w:rPr>
        <w:lastRenderedPageBreak/>
        <w:t>Recommandation</w:t>
      </w:r>
      <w:r w:rsidR="0077599B" w:rsidRPr="0084016E">
        <w:rPr>
          <w:bCs/>
          <w:lang w:val="fr-FR"/>
        </w:rPr>
        <w:t>s</w:t>
      </w:r>
      <w:r w:rsidRPr="0084016E">
        <w:rPr>
          <w:bCs/>
          <w:lang w:val="fr-FR"/>
        </w:rPr>
        <w:t xml:space="preserve"> UIT-R</w:t>
      </w:r>
      <w:r w:rsidR="00596235" w:rsidRPr="0084016E">
        <w:rPr>
          <w:bCs/>
          <w:lang w:val="fr-FR"/>
        </w:rPr>
        <w:t>:</w:t>
      </w:r>
    </w:p>
    <w:p w14:paraId="038730CF" w14:textId="1DBCAFA3" w:rsidR="00420D35" w:rsidRPr="0084016E" w:rsidRDefault="00420D35" w:rsidP="004D3FB3">
      <w:pPr>
        <w:pStyle w:val="enumlev1"/>
        <w:keepLines/>
        <w:rPr>
          <w:lang w:val="fr-FR"/>
        </w:rPr>
      </w:pPr>
      <w:r w:rsidRPr="0084016E">
        <w:rPr>
          <w:lang w:val="fr-FR"/>
        </w:rPr>
        <w:t>–</w:t>
      </w:r>
      <w:r w:rsidRPr="0084016E">
        <w:rPr>
          <w:lang w:val="fr-FR"/>
        </w:rPr>
        <w:tab/>
        <w:t>M.1787</w:t>
      </w:r>
      <w:r w:rsidR="0077599B" w:rsidRPr="0084016E">
        <w:rPr>
          <w:lang w:val="fr-FR"/>
        </w:rPr>
        <w:t>-</w:t>
      </w:r>
      <w:r w:rsidRPr="0084016E">
        <w:rPr>
          <w:lang w:val="fr-FR"/>
        </w:rPr>
        <w:t xml:space="preserve">5 </w:t>
      </w:r>
      <w:r w:rsidR="004D3FB3" w:rsidRPr="0084016E">
        <w:rPr>
          <w:lang w:val="fr-FR"/>
        </w:rPr>
        <w:t xml:space="preserve">– </w:t>
      </w:r>
      <w:r w:rsidR="00596235" w:rsidRPr="0084016E">
        <w:rPr>
          <w:lang w:val="fr-FR"/>
        </w:rPr>
        <w:t>«</w:t>
      </w:r>
      <w:r w:rsidRPr="0084016E">
        <w:rPr>
          <w:lang w:val="fr-FR"/>
        </w:rPr>
        <w:t>Description des systèmes et réseaux du service de radionavigation par satellite (espace vers Terre et espace-espace) et caractéristiques techniques des stations spatiales d</w:t>
      </w:r>
      <w:r w:rsidR="009C1307" w:rsidRPr="0084016E">
        <w:rPr>
          <w:lang w:val="fr-FR"/>
        </w:rPr>
        <w:t>'</w:t>
      </w:r>
      <w:r w:rsidRPr="0084016E">
        <w:rPr>
          <w:lang w:val="fr-FR"/>
        </w:rPr>
        <w:t>émission fonctionnant dans les bandes 1 164-1 215 MHz, 1 215-1 300 MHz et</w:t>
      </w:r>
      <w:r w:rsidR="004D3FB3" w:rsidRPr="0084016E">
        <w:rPr>
          <w:lang w:val="fr-FR"/>
        </w:rPr>
        <w:t> </w:t>
      </w:r>
      <w:r w:rsidRPr="0084016E">
        <w:rPr>
          <w:lang w:val="fr-FR"/>
        </w:rPr>
        <w:t>1 559</w:t>
      </w:r>
      <w:r w:rsidR="004D3FB3" w:rsidRPr="0084016E">
        <w:rPr>
          <w:lang w:val="fr-FR"/>
        </w:rPr>
        <w:noBreakHyphen/>
      </w:r>
      <w:r w:rsidRPr="0084016E">
        <w:rPr>
          <w:lang w:val="fr-FR"/>
        </w:rPr>
        <w:t>1 610</w:t>
      </w:r>
      <w:r w:rsidR="004D3FB3" w:rsidRPr="0084016E">
        <w:rPr>
          <w:lang w:val="fr-FR"/>
        </w:rPr>
        <w:t> </w:t>
      </w:r>
      <w:r w:rsidRPr="0084016E">
        <w:rPr>
          <w:lang w:val="fr-FR"/>
        </w:rPr>
        <w:t>MHz</w:t>
      </w:r>
      <w:r w:rsidR="00596235" w:rsidRPr="0084016E">
        <w:rPr>
          <w:lang w:val="fr-FR"/>
        </w:rPr>
        <w:t>»</w:t>
      </w:r>
    </w:p>
    <w:p w14:paraId="16690221" w14:textId="31E77D09" w:rsidR="0051070C" w:rsidRPr="0084016E" w:rsidRDefault="0051070C" w:rsidP="009E4F77">
      <w:pPr>
        <w:pStyle w:val="enumlev1"/>
        <w:rPr>
          <w:lang w:val="fr-FR"/>
        </w:rPr>
      </w:pPr>
      <w:r w:rsidRPr="0084016E">
        <w:rPr>
          <w:lang w:val="fr-FR"/>
        </w:rPr>
        <w:t>–</w:t>
      </w:r>
      <w:r w:rsidRPr="0084016E">
        <w:rPr>
          <w:lang w:val="fr-FR"/>
        </w:rPr>
        <w:tab/>
      </w:r>
      <w:r w:rsidR="0077599B" w:rsidRPr="0084016E">
        <w:rPr>
          <w:lang w:val="fr-FR"/>
        </w:rPr>
        <w:t xml:space="preserve">S.1328-5 </w:t>
      </w:r>
      <w:r w:rsidR="004D3FB3" w:rsidRPr="0084016E">
        <w:rPr>
          <w:lang w:val="fr-FR"/>
        </w:rPr>
        <w:t xml:space="preserve">– </w:t>
      </w:r>
      <w:r w:rsidR="00596235" w:rsidRPr="0084016E">
        <w:rPr>
          <w:lang w:val="fr-FR"/>
        </w:rPr>
        <w:t>«</w:t>
      </w:r>
      <w:r w:rsidRPr="0084016E">
        <w:rPr>
          <w:lang w:val="fr-FR"/>
        </w:rPr>
        <w:t>Caractéristiques de systèmes à satellites à prendre en compte dans les analyses de partage des fréquences dans le service fixe par satellite</w:t>
      </w:r>
      <w:r w:rsidR="00596235" w:rsidRPr="0084016E">
        <w:rPr>
          <w:lang w:val="fr-FR"/>
        </w:rPr>
        <w:t>»</w:t>
      </w:r>
    </w:p>
    <w:p w14:paraId="7077798A" w14:textId="7B696E34" w:rsidR="00751E88" w:rsidRPr="0084016E" w:rsidRDefault="00751E88" w:rsidP="001732C2">
      <w:pPr>
        <w:pStyle w:val="Headingb"/>
        <w:rPr>
          <w:lang w:val="fr-FR"/>
        </w:rPr>
      </w:pPr>
      <w:r w:rsidRPr="0084016E">
        <w:rPr>
          <w:bCs/>
          <w:lang w:val="fr-FR"/>
        </w:rPr>
        <w:t>Rapports UIT-R</w:t>
      </w:r>
      <w:r w:rsidR="00596235" w:rsidRPr="0084016E">
        <w:rPr>
          <w:bCs/>
          <w:lang w:val="fr-FR"/>
        </w:rPr>
        <w:t>:</w:t>
      </w:r>
    </w:p>
    <w:p w14:paraId="306A906E" w14:textId="6040B919" w:rsidR="006033A0" w:rsidRPr="0084016E" w:rsidRDefault="006033A0" w:rsidP="009E4F77">
      <w:pPr>
        <w:pStyle w:val="enumlev1"/>
        <w:rPr>
          <w:lang w:val="fr-FR"/>
        </w:rPr>
      </w:pPr>
      <w:r w:rsidRPr="0084016E">
        <w:rPr>
          <w:lang w:val="fr-FR"/>
        </w:rPr>
        <w:t>–</w:t>
      </w:r>
      <w:r w:rsidRPr="0084016E">
        <w:rPr>
          <w:lang w:val="fr-FR"/>
        </w:rPr>
        <w:tab/>
        <w:t>BO.2597</w:t>
      </w:r>
      <w:r w:rsidR="0077599B" w:rsidRPr="0084016E">
        <w:rPr>
          <w:lang w:val="fr-FR"/>
        </w:rPr>
        <w:t>-</w:t>
      </w:r>
      <w:r w:rsidRPr="0084016E">
        <w:rPr>
          <w:lang w:val="fr-FR"/>
        </w:rPr>
        <w:t xml:space="preserve">1 </w:t>
      </w:r>
      <w:r w:rsidR="006F44CD" w:rsidRPr="0084016E">
        <w:rPr>
          <w:lang w:val="fr-FR"/>
        </w:rPr>
        <w:t xml:space="preserve">– </w:t>
      </w:r>
      <w:r w:rsidR="00596235" w:rsidRPr="0084016E">
        <w:rPr>
          <w:lang w:val="fr-FR"/>
        </w:rPr>
        <w:t>«</w:t>
      </w:r>
      <w:r w:rsidRPr="0084016E">
        <w:rPr>
          <w:lang w:val="fr-FR"/>
        </w:rPr>
        <w:t>Caractéristiques et efficacité des critères de partage de fréquences concernant le service de radiodiffusion par satellite dans les Régions 1 et 3 relevant de l</w:t>
      </w:r>
      <w:r w:rsidR="009C1307" w:rsidRPr="0084016E">
        <w:rPr>
          <w:lang w:val="fr-FR"/>
        </w:rPr>
        <w:t>'</w:t>
      </w:r>
      <w:r w:rsidRPr="0084016E">
        <w:rPr>
          <w:lang w:val="fr-FR"/>
        </w:rPr>
        <w:t>Appendice 30 du</w:t>
      </w:r>
      <w:r w:rsidR="006F44CD" w:rsidRPr="0084016E">
        <w:rPr>
          <w:lang w:val="fr-FR"/>
        </w:rPr>
        <w:t> </w:t>
      </w:r>
      <w:r w:rsidRPr="0084016E">
        <w:rPr>
          <w:lang w:val="fr-FR"/>
        </w:rPr>
        <w:t>RR</w:t>
      </w:r>
      <w:r w:rsidR="00596235" w:rsidRPr="0084016E">
        <w:rPr>
          <w:lang w:val="fr-FR"/>
        </w:rPr>
        <w:t>»</w:t>
      </w:r>
    </w:p>
    <w:p w14:paraId="2B1E4CBD" w14:textId="4AA63777" w:rsidR="006033A0" w:rsidRPr="0084016E" w:rsidRDefault="006033A0" w:rsidP="009E4F77">
      <w:pPr>
        <w:pStyle w:val="enumlev1"/>
        <w:rPr>
          <w:lang w:val="fr-FR"/>
        </w:rPr>
      </w:pPr>
      <w:r w:rsidRPr="0084016E">
        <w:rPr>
          <w:lang w:val="fr-FR"/>
        </w:rPr>
        <w:t>–</w:t>
      </w:r>
      <w:r w:rsidRPr="0084016E">
        <w:rPr>
          <w:lang w:val="fr-FR"/>
        </w:rPr>
        <w:tab/>
        <w:t>M.2513</w:t>
      </w:r>
      <w:r w:rsidR="0077599B" w:rsidRPr="0084016E">
        <w:rPr>
          <w:lang w:val="fr-FR"/>
        </w:rPr>
        <w:t>-</w:t>
      </w:r>
      <w:r w:rsidRPr="0084016E">
        <w:rPr>
          <w:lang w:val="fr-FR"/>
        </w:rPr>
        <w:t xml:space="preserve">1 </w:t>
      </w:r>
      <w:r w:rsidR="006F44CD" w:rsidRPr="0084016E">
        <w:rPr>
          <w:lang w:val="fr-FR"/>
        </w:rPr>
        <w:t xml:space="preserve">– </w:t>
      </w:r>
      <w:r w:rsidR="00596235" w:rsidRPr="0084016E">
        <w:rPr>
          <w:lang w:val="fr-FR"/>
        </w:rPr>
        <w:t>«</w:t>
      </w:r>
      <w:r w:rsidRPr="0084016E">
        <w:rPr>
          <w:lang w:val="fr-FR"/>
        </w:rPr>
        <w:t>Études concernant la protection du service de radionavigation par satellite (espace vers Terre) à titre primaire par les services d</w:t>
      </w:r>
      <w:r w:rsidR="009C1307" w:rsidRPr="0084016E">
        <w:rPr>
          <w:lang w:val="fr-FR"/>
        </w:rPr>
        <w:t>'</w:t>
      </w:r>
      <w:r w:rsidRPr="0084016E">
        <w:rPr>
          <w:lang w:val="fr-FR"/>
        </w:rPr>
        <w:t>amateur et d</w:t>
      </w:r>
      <w:r w:rsidR="009C1307" w:rsidRPr="0084016E">
        <w:rPr>
          <w:lang w:val="fr-FR"/>
        </w:rPr>
        <w:t>'</w:t>
      </w:r>
      <w:r w:rsidRPr="0084016E">
        <w:rPr>
          <w:lang w:val="fr-FR"/>
        </w:rPr>
        <w:t>amateur par satellite à titre secondaire dans la bande de fréquences 1 240-1 300 MHz</w:t>
      </w:r>
      <w:r w:rsidR="00596235" w:rsidRPr="0084016E">
        <w:rPr>
          <w:lang w:val="fr-FR"/>
        </w:rPr>
        <w:t>»</w:t>
      </w:r>
    </w:p>
    <w:p w14:paraId="219D8633" w14:textId="14865071" w:rsidR="001454A5" w:rsidRPr="0084016E" w:rsidRDefault="001454A5" w:rsidP="009E4F77">
      <w:pPr>
        <w:pStyle w:val="enumlev1"/>
        <w:rPr>
          <w:lang w:val="fr-FR"/>
        </w:rPr>
      </w:pPr>
      <w:r w:rsidRPr="0084016E">
        <w:rPr>
          <w:lang w:val="fr-FR"/>
        </w:rPr>
        <w:t>–</w:t>
      </w:r>
      <w:r w:rsidRPr="0084016E">
        <w:rPr>
          <w:lang w:val="fr-FR"/>
        </w:rPr>
        <w:tab/>
      </w:r>
      <w:r w:rsidR="0077599B" w:rsidRPr="0084016E">
        <w:rPr>
          <w:lang w:val="fr-FR"/>
        </w:rPr>
        <w:t xml:space="preserve">M.2543-0 </w:t>
      </w:r>
      <w:r w:rsidR="006F44CD" w:rsidRPr="0084016E">
        <w:rPr>
          <w:lang w:val="fr-FR"/>
        </w:rPr>
        <w:t xml:space="preserve">– </w:t>
      </w:r>
      <w:r w:rsidR="004E4A89" w:rsidRPr="0084016E">
        <w:rPr>
          <w:lang w:val="fr-FR"/>
        </w:rPr>
        <w:t>«</w:t>
      </w:r>
      <w:r w:rsidR="0077599B" w:rsidRPr="0084016E">
        <w:rPr>
          <w:lang w:val="fr-FR"/>
        </w:rPr>
        <w:t>R</w:t>
      </w:r>
      <w:r w:rsidRPr="0084016E">
        <w:rPr>
          <w:lang w:val="fr-FR"/>
        </w:rPr>
        <w:t>ésultats de l</w:t>
      </w:r>
      <w:r w:rsidR="009C1307" w:rsidRPr="0084016E">
        <w:rPr>
          <w:lang w:val="fr-FR"/>
        </w:rPr>
        <w:t>'</w:t>
      </w:r>
      <w:r w:rsidRPr="0084016E">
        <w:rPr>
          <w:lang w:val="fr-FR"/>
        </w:rPr>
        <w:t>évaluation, recherche d</w:t>
      </w:r>
      <w:r w:rsidR="009C1307" w:rsidRPr="0084016E">
        <w:rPr>
          <w:lang w:val="fr-FR"/>
        </w:rPr>
        <w:t>'</w:t>
      </w:r>
      <w:r w:rsidRPr="0084016E">
        <w:rPr>
          <w:lang w:val="fr-FR"/>
        </w:rPr>
        <w:t>un consensus et décision concernant le processus pour les satellites des IMT-2020 (étapes 4 à 7), y compris les caractéristiques des interfaces radioélectriques de satellite des IMT-2020</w:t>
      </w:r>
      <w:r w:rsidR="004E4A89" w:rsidRPr="0084016E">
        <w:rPr>
          <w:lang w:val="fr-FR"/>
        </w:rPr>
        <w:t>»</w:t>
      </w:r>
    </w:p>
    <w:p w14:paraId="7D801440" w14:textId="52222EF4" w:rsidR="00235EB7" w:rsidRPr="0084016E" w:rsidRDefault="00235EB7" w:rsidP="009E4F77">
      <w:pPr>
        <w:pStyle w:val="enumlev1"/>
        <w:rPr>
          <w:lang w:val="fr-FR"/>
        </w:rPr>
      </w:pPr>
      <w:r w:rsidRPr="0084016E">
        <w:rPr>
          <w:lang w:val="fr-FR"/>
        </w:rPr>
        <w:t>–</w:t>
      </w:r>
      <w:r w:rsidRPr="0084016E">
        <w:rPr>
          <w:lang w:val="fr-FR"/>
        </w:rPr>
        <w:tab/>
      </w:r>
      <w:r w:rsidR="0077599B" w:rsidRPr="0084016E">
        <w:rPr>
          <w:lang w:val="fr-FR"/>
        </w:rPr>
        <w:t xml:space="preserve">S.2546-0 </w:t>
      </w:r>
      <w:r w:rsidR="006F44CD" w:rsidRPr="0084016E">
        <w:rPr>
          <w:lang w:val="fr-FR"/>
        </w:rPr>
        <w:t xml:space="preserve">– </w:t>
      </w:r>
      <w:r w:rsidR="004E4A89" w:rsidRPr="0084016E">
        <w:rPr>
          <w:lang w:val="fr-FR"/>
        </w:rPr>
        <w:t>«</w:t>
      </w:r>
      <w:r w:rsidR="0077599B" w:rsidRPr="0084016E">
        <w:rPr>
          <w:lang w:val="fr-FR"/>
        </w:rPr>
        <w:t>M</w:t>
      </w:r>
      <w:r w:rsidRPr="0084016E">
        <w:rPr>
          <w:lang w:val="fr-FR"/>
        </w:rPr>
        <w:t>esures d</w:t>
      </w:r>
      <w:r w:rsidR="009C1307" w:rsidRPr="0084016E">
        <w:rPr>
          <w:lang w:val="fr-FR"/>
        </w:rPr>
        <w:t>'</w:t>
      </w:r>
      <w:r w:rsidRPr="0084016E">
        <w:rPr>
          <w:lang w:val="fr-FR"/>
        </w:rPr>
        <w:t>atténuation entre le SFS et les IMT dans la bande de fréquences 3 400-3 600 MHz</w:t>
      </w:r>
      <w:r w:rsidR="004E4A89" w:rsidRPr="0084016E">
        <w:rPr>
          <w:lang w:val="fr-FR"/>
        </w:rPr>
        <w:t>»</w:t>
      </w:r>
    </w:p>
    <w:p w14:paraId="69FD9AF4" w14:textId="312324E5" w:rsidR="00751E88" w:rsidRPr="0084016E" w:rsidRDefault="00751E88" w:rsidP="001732C2">
      <w:pPr>
        <w:rPr>
          <w:lang w:val="fr-FR"/>
        </w:rPr>
      </w:pPr>
      <w:r w:rsidRPr="0084016E">
        <w:rPr>
          <w:lang w:val="fr-FR"/>
        </w:rPr>
        <w:t>Les prochaines réunions des GT 4A, 4B et 4C sont prévues du 23 avril au 16 mai 2025 à Shanghai (Chine). La CE 4 se réunira en novembre 2025.</w:t>
      </w:r>
    </w:p>
    <w:bookmarkEnd w:id="15"/>
    <w:p w14:paraId="08EBE868" w14:textId="7A475D8A" w:rsidR="003727E6" w:rsidRPr="0084016E" w:rsidRDefault="0055658E" w:rsidP="001732C2">
      <w:pPr>
        <w:pStyle w:val="Heading2"/>
        <w:rPr>
          <w:lang w:val="fr-FR"/>
        </w:rPr>
      </w:pPr>
      <w:r w:rsidRPr="0084016E">
        <w:rPr>
          <w:bCs/>
          <w:lang w:val="fr-FR"/>
        </w:rPr>
        <w:t>5.4</w:t>
      </w:r>
      <w:r w:rsidRPr="0084016E">
        <w:rPr>
          <w:lang w:val="fr-FR"/>
        </w:rPr>
        <w:tab/>
        <w:t>Commission d</w:t>
      </w:r>
      <w:r w:rsidR="009C1307" w:rsidRPr="0084016E">
        <w:rPr>
          <w:lang w:val="fr-FR"/>
        </w:rPr>
        <w:t>'</w:t>
      </w:r>
      <w:r w:rsidRPr="0084016E">
        <w:rPr>
          <w:lang w:val="fr-FR"/>
        </w:rPr>
        <w:t>études 5</w:t>
      </w:r>
    </w:p>
    <w:p w14:paraId="5D3FA603" w14:textId="6A0BA154" w:rsidR="003727E6" w:rsidRPr="0084016E" w:rsidRDefault="003727E6" w:rsidP="001732C2">
      <w:pPr>
        <w:rPr>
          <w:lang w:val="fr-FR"/>
        </w:rPr>
      </w:pPr>
      <w:r w:rsidRPr="0084016E">
        <w:rPr>
          <w:lang w:val="fr-FR"/>
        </w:rPr>
        <w:t>La Commission d</w:t>
      </w:r>
      <w:r w:rsidR="009C1307" w:rsidRPr="0084016E">
        <w:rPr>
          <w:lang w:val="fr-FR"/>
        </w:rPr>
        <w:t>'</w:t>
      </w:r>
      <w:r w:rsidRPr="0084016E">
        <w:rPr>
          <w:lang w:val="fr-FR"/>
        </w:rPr>
        <w:t xml:space="preserve">études 5 </w:t>
      </w:r>
      <w:r w:rsidR="002107D5" w:rsidRPr="0084016E">
        <w:rPr>
          <w:lang w:val="fr-FR"/>
        </w:rPr>
        <w:t xml:space="preserve">a poursuivi </w:t>
      </w:r>
      <w:r w:rsidRPr="0084016E">
        <w:rPr>
          <w:lang w:val="fr-FR"/>
        </w:rPr>
        <w:t>ses études sur les systèmes et les réseaux des services fixe, mobile (de Terre, aéronautiques et maritimes), de radiorepérage (y compris de radiolocalisation et de radionavigation), d</w:t>
      </w:r>
      <w:r w:rsidR="009C1307" w:rsidRPr="0084016E">
        <w:rPr>
          <w:lang w:val="fr-FR"/>
        </w:rPr>
        <w:t>'</w:t>
      </w:r>
      <w:r w:rsidRPr="0084016E">
        <w:rPr>
          <w:lang w:val="fr-FR"/>
        </w:rPr>
        <w:t>amateur et d</w:t>
      </w:r>
      <w:r w:rsidR="009C1307" w:rsidRPr="0084016E">
        <w:rPr>
          <w:lang w:val="fr-FR"/>
        </w:rPr>
        <w:t>'</w:t>
      </w:r>
      <w:r w:rsidRPr="0084016E">
        <w:rPr>
          <w:lang w:val="fr-FR"/>
        </w:rPr>
        <w:t>amateur par satellite, afin de favoriser le développement continu de tous ces services, y compris les systèmes IMT, HAPS/HIBS, ITS et PPDR.</w:t>
      </w:r>
    </w:p>
    <w:p w14:paraId="6DD09ED3" w14:textId="51693518" w:rsidR="003727E6" w:rsidRPr="0084016E" w:rsidRDefault="003727E6" w:rsidP="001732C2">
      <w:pPr>
        <w:rPr>
          <w:lang w:val="fr-FR"/>
        </w:rPr>
      </w:pPr>
      <w:r w:rsidRPr="0084016E">
        <w:rPr>
          <w:lang w:val="fr-FR"/>
        </w:rPr>
        <w:t xml:space="preserve">La CE 5 a approuvé deux nouvelles Questions UIT-R. En outre, </w:t>
      </w:r>
      <w:r w:rsidR="008C0809" w:rsidRPr="0084016E">
        <w:rPr>
          <w:lang w:val="fr-FR"/>
        </w:rPr>
        <w:t>deux</w:t>
      </w:r>
      <w:r w:rsidRPr="0084016E">
        <w:rPr>
          <w:lang w:val="fr-FR"/>
        </w:rPr>
        <w:t xml:space="preserve"> Recommandations UIT-R révisées, </w:t>
      </w:r>
      <w:r w:rsidR="008C0809" w:rsidRPr="0084016E">
        <w:rPr>
          <w:lang w:val="fr-FR"/>
        </w:rPr>
        <w:t>deux</w:t>
      </w:r>
      <w:r w:rsidRPr="0084016E">
        <w:rPr>
          <w:lang w:val="fr-FR"/>
        </w:rPr>
        <w:t xml:space="preserve"> nouveau</w:t>
      </w:r>
      <w:r w:rsidR="00133A42" w:rsidRPr="0084016E">
        <w:rPr>
          <w:lang w:val="fr-FR"/>
        </w:rPr>
        <w:t>x</w:t>
      </w:r>
      <w:r w:rsidRPr="0084016E">
        <w:rPr>
          <w:lang w:val="fr-FR"/>
        </w:rPr>
        <w:t xml:space="preserve"> Rapports UIT-R et </w:t>
      </w:r>
      <w:r w:rsidR="008C0809" w:rsidRPr="0084016E">
        <w:rPr>
          <w:lang w:val="fr-FR"/>
        </w:rPr>
        <w:t>trois</w:t>
      </w:r>
      <w:r w:rsidRPr="0084016E">
        <w:rPr>
          <w:lang w:val="fr-FR"/>
        </w:rPr>
        <w:t xml:space="preserve"> Rapports UIT-R révisés relevant du domaine de compétence de la CE 5 ont été approuvés.</w:t>
      </w:r>
    </w:p>
    <w:p w14:paraId="34DF6A35" w14:textId="3A104691" w:rsidR="003727E6" w:rsidRPr="0084016E" w:rsidRDefault="003727E6" w:rsidP="00BE6491">
      <w:pPr>
        <w:pStyle w:val="Headingb"/>
        <w:rPr>
          <w:lang w:val="fr-FR"/>
        </w:rPr>
      </w:pPr>
      <w:r w:rsidRPr="0084016E">
        <w:rPr>
          <w:bCs/>
          <w:lang w:val="fr-FR"/>
        </w:rPr>
        <w:t>Question</w:t>
      </w:r>
      <w:r w:rsidR="008C0809" w:rsidRPr="0084016E">
        <w:rPr>
          <w:bCs/>
          <w:lang w:val="fr-FR"/>
        </w:rPr>
        <w:t>s</w:t>
      </w:r>
      <w:r w:rsidRPr="0084016E">
        <w:rPr>
          <w:bCs/>
          <w:lang w:val="fr-FR"/>
        </w:rPr>
        <w:t xml:space="preserve"> UIT-R</w:t>
      </w:r>
      <w:r w:rsidR="001B5EB6" w:rsidRPr="0084016E">
        <w:rPr>
          <w:bCs/>
          <w:lang w:val="fr-FR"/>
        </w:rPr>
        <w:t>:</w:t>
      </w:r>
    </w:p>
    <w:p w14:paraId="7B91AD91" w14:textId="5FBFBC25" w:rsidR="00244B06" w:rsidRPr="0084016E" w:rsidRDefault="00244B06" w:rsidP="009E4F77">
      <w:pPr>
        <w:pStyle w:val="enumlev1"/>
        <w:rPr>
          <w:lang w:val="fr-FR"/>
        </w:rPr>
      </w:pPr>
      <w:r w:rsidRPr="0084016E">
        <w:rPr>
          <w:lang w:val="fr-FR"/>
        </w:rPr>
        <w:t>–</w:t>
      </w:r>
      <w:r w:rsidRPr="0084016E">
        <w:rPr>
          <w:lang w:val="fr-FR"/>
        </w:rPr>
        <w:tab/>
        <w:t xml:space="preserve">265/5 </w:t>
      </w:r>
      <w:r w:rsidR="00AF3A00" w:rsidRPr="0084016E">
        <w:rPr>
          <w:lang w:val="fr-FR"/>
        </w:rPr>
        <w:t xml:space="preserve">– </w:t>
      </w:r>
      <w:r w:rsidR="004E4A89" w:rsidRPr="0084016E">
        <w:rPr>
          <w:lang w:val="fr-FR"/>
        </w:rPr>
        <w:t>«</w:t>
      </w:r>
      <w:r w:rsidR="00133A42" w:rsidRPr="0084016E">
        <w:rPr>
          <w:lang w:val="fr-FR"/>
        </w:rPr>
        <w:t>Coexistence d'un système d'échange de données en ondes métriques avec un système d'échange de données en ondes métriques</w:t>
      </w:r>
      <w:r w:rsidR="004E4A89" w:rsidRPr="0084016E">
        <w:rPr>
          <w:lang w:val="fr-FR"/>
        </w:rPr>
        <w:t>»</w:t>
      </w:r>
    </w:p>
    <w:p w14:paraId="38817497" w14:textId="2A96AEC7" w:rsidR="00244B06" w:rsidRPr="0084016E" w:rsidRDefault="00244B06" w:rsidP="009E4F77">
      <w:pPr>
        <w:pStyle w:val="enumlev1"/>
        <w:rPr>
          <w:lang w:val="fr-FR"/>
        </w:rPr>
      </w:pPr>
      <w:r w:rsidRPr="0084016E">
        <w:rPr>
          <w:lang w:val="fr-FR"/>
        </w:rPr>
        <w:t>–</w:t>
      </w:r>
      <w:r w:rsidRPr="0084016E">
        <w:rPr>
          <w:lang w:val="fr-FR"/>
        </w:rPr>
        <w:tab/>
      </w:r>
      <w:r w:rsidR="008C0809" w:rsidRPr="0084016E">
        <w:rPr>
          <w:lang w:val="fr-FR"/>
        </w:rPr>
        <w:t xml:space="preserve">266/5 </w:t>
      </w:r>
      <w:r w:rsidR="00AF3A00" w:rsidRPr="0084016E">
        <w:rPr>
          <w:lang w:val="fr-FR"/>
        </w:rPr>
        <w:t xml:space="preserve">– </w:t>
      </w:r>
      <w:r w:rsidR="004E4A89" w:rsidRPr="0084016E">
        <w:rPr>
          <w:lang w:val="fr-FR"/>
        </w:rPr>
        <w:t>«</w:t>
      </w:r>
      <w:r w:rsidR="008C0809" w:rsidRPr="0084016E">
        <w:rPr>
          <w:lang w:val="fr-FR"/>
        </w:rPr>
        <w:t>I</w:t>
      </w:r>
      <w:r w:rsidRPr="0084016E">
        <w:rPr>
          <w:lang w:val="fr-FR"/>
        </w:rPr>
        <w:t>ntroduction des communications vocales numériques dans les fréquences en ondes métriques utilisées pour les services maritimes</w:t>
      </w:r>
      <w:r w:rsidR="004E4A89" w:rsidRPr="0084016E">
        <w:rPr>
          <w:lang w:val="fr-FR"/>
        </w:rPr>
        <w:t>»</w:t>
      </w:r>
    </w:p>
    <w:p w14:paraId="1A5FDAA7" w14:textId="1D7004EA" w:rsidR="003727E6" w:rsidRPr="0084016E" w:rsidRDefault="003727E6" w:rsidP="001732C2">
      <w:pPr>
        <w:pStyle w:val="Headingb"/>
        <w:rPr>
          <w:lang w:val="fr-FR"/>
        </w:rPr>
      </w:pPr>
      <w:r w:rsidRPr="0084016E">
        <w:rPr>
          <w:bCs/>
          <w:lang w:val="fr-FR"/>
        </w:rPr>
        <w:t>Recommandation</w:t>
      </w:r>
      <w:r w:rsidR="008C0809" w:rsidRPr="0084016E">
        <w:rPr>
          <w:bCs/>
          <w:lang w:val="fr-FR"/>
        </w:rPr>
        <w:t>s</w:t>
      </w:r>
      <w:r w:rsidRPr="0084016E">
        <w:rPr>
          <w:bCs/>
          <w:lang w:val="fr-FR"/>
        </w:rPr>
        <w:t xml:space="preserve"> UIT-R</w:t>
      </w:r>
      <w:r w:rsidR="001B5EB6" w:rsidRPr="0084016E">
        <w:rPr>
          <w:bCs/>
          <w:lang w:val="fr-FR"/>
        </w:rPr>
        <w:t>:</w:t>
      </w:r>
    </w:p>
    <w:p w14:paraId="64E05671" w14:textId="4F7788AE" w:rsidR="004D5A29" w:rsidRPr="0084016E" w:rsidRDefault="004D5A29" w:rsidP="009E4F77">
      <w:pPr>
        <w:pStyle w:val="enumlev1"/>
        <w:rPr>
          <w:lang w:val="fr-FR"/>
        </w:rPr>
      </w:pPr>
      <w:r w:rsidRPr="0084016E">
        <w:rPr>
          <w:lang w:val="fr-FR"/>
        </w:rPr>
        <w:t>–</w:t>
      </w:r>
      <w:r w:rsidRPr="0084016E">
        <w:rPr>
          <w:lang w:val="fr-FR"/>
        </w:rPr>
        <w:tab/>
        <w:t xml:space="preserve">F.758-8 </w:t>
      </w:r>
      <w:r w:rsidR="00AF3A00" w:rsidRPr="0084016E">
        <w:rPr>
          <w:lang w:val="fr-FR"/>
        </w:rPr>
        <w:t xml:space="preserve">– </w:t>
      </w:r>
      <w:r w:rsidR="004E4A89" w:rsidRPr="0084016E">
        <w:rPr>
          <w:lang w:val="fr-FR"/>
        </w:rPr>
        <w:t>«</w:t>
      </w:r>
      <w:r w:rsidRPr="0084016E">
        <w:rPr>
          <w:lang w:val="fr-FR"/>
        </w:rPr>
        <w:t>Paramètres des systèmes et considérations relatives à la mise au point de critères pour le partage ou la compatibilité entre les systèmes hertziens fixes numériques du service fixe et les systèmes d</w:t>
      </w:r>
      <w:r w:rsidR="009C1307" w:rsidRPr="0084016E">
        <w:rPr>
          <w:lang w:val="fr-FR"/>
        </w:rPr>
        <w:t>'</w:t>
      </w:r>
      <w:r w:rsidRPr="0084016E">
        <w:rPr>
          <w:lang w:val="fr-FR"/>
        </w:rPr>
        <w:t>autres services ainsi que d</w:t>
      </w:r>
      <w:r w:rsidR="009C1307" w:rsidRPr="0084016E">
        <w:rPr>
          <w:lang w:val="fr-FR"/>
        </w:rPr>
        <w:t>'</w:t>
      </w:r>
      <w:r w:rsidRPr="0084016E">
        <w:rPr>
          <w:lang w:val="fr-FR"/>
        </w:rPr>
        <w:t>autres sources de brouillage</w:t>
      </w:r>
      <w:r w:rsidR="004E4A89" w:rsidRPr="0084016E">
        <w:rPr>
          <w:lang w:val="fr-FR"/>
        </w:rPr>
        <w:t>»</w:t>
      </w:r>
    </w:p>
    <w:p w14:paraId="14BE0200" w14:textId="5AD3AEB4" w:rsidR="00DD40B8" w:rsidRPr="0084016E" w:rsidRDefault="00DD40B8" w:rsidP="009E4F77">
      <w:pPr>
        <w:pStyle w:val="enumlev1"/>
        <w:rPr>
          <w:lang w:val="fr-FR"/>
        </w:rPr>
      </w:pPr>
      <w:r w:rsidRPr="0084016E">
        <w:rPr>
          <w:lang w:val="fr-FR"/>
        </w:rPr>
        <w:t>–</w:t>
      </w:r>
      <w:r w:rsidRPr="0084016E">
        <w:rPr>
          <w:lang w:val="fr-FR"/>
        </w:rPr>
        <w:tab/>
      </w:r>
      <w:r w:rsidR="008C0809" w:rsidRPr="0084016E">
        <w:rPr>
          <w:lang w:val="fr-FR"/>
        </w:rPr>
        <w:t xml:space="preserve">M.1041-3 </w:t>
      </w:r>
      <w:r w:rsidR="00AF3A00" w:rsidRPr="0084016E">
        <w:rPr>
          <w:lang w:val="fr-FR"/>
        </w:rPr>
        <w:t xml:space="preserve">– </w:t>
      </w:r>
      <w:r w:rsidR="004E4A89" w:rsidRPr="0084016E">
        <w:rPr>
          <w:lang w:val="fr-FR"/>
        </w:rPr>
        <w:t>«</w:t>
      </w:r>
      <w:r w:rsidRPr="0084016E">
        <w:rPr>
          <w:lang w:val="fr-FR"/>
        </w:rPr>
        <w:t>Futurs systèmes de radiocommunication d</w:t>
      </w:r>
      <w:r w:rsidR="009C1307" w:rsidRPr="0084016E">
        <w:rPr>
          <w:lang w:val="fr-FR"/>
        </w:rPr>
        <w:t>'</w:t>
      </w:r>
      <w:r w:rsidRPr="0084016E">
        <w:rPr>
          <w:lang w:val="fr-FR"/>
        </w:rPr>
        <w:t>amateur</w:t>
      </w:r>
      <w:r w:rsidR="004E4A89" w:rsidRPr="0084016E">
        <w:rPr>
          <w:lang w:val="fr-FR"/>
        </w:rPr>
        <w:t>»</w:t>
      </w:r>
    </w:p>
    <w:p w14:paraId="731C1E42" w14:textId="6D794F7C" w:rsidR="003727E6" w:rsidRPr="0084016E" w:rsidRDefault="003727E6" w:rsidP="001732C2">
      <w:pPr>
        <w:pStyle w:val="Headingb"/>
        <w:rPr>
          <w:lang w:val="fr-FR"/>
        </w:rPr>
      </w:pPr>
      <w:r w:rsidRPr="0084016E">
        <w:rPr>
          <w:bCs/>
          <w:lang w:val="fr-FR"/>
        </w:rPr>
        <w:t>Rapports UIT-R</w:t>
      </w:r>
      <w:r w:rsidR="001B5EB6" w:rsidRPr="0084016E">
        <w:rPr>
          <w:bCs/>
          <w:lang w:val="fr-FR"/>
        </w:rPr>
        <w:t>:</w:t>
      </w:r>
    </w:p>
    <w:p w14:paraId="5C56A09B" w14:textId="4FB07E41" w:rsidR="00264BC7" w:rsidRPr="0084016E" w:rsidRDefault="00264BC7" w:rsidP="009E4F77">
      <w:pPr>
        <w:pStyle w:val="enumlev1"/>
        <w:rPr>
          <w:lang w:val="fr-FR"/>
        </w:rPr>
      </w:pPr>
      <w:r w:rsidRPr="0084016E">
        <w:rPr>
          <w:lang w:val="fr-FR"/>
        </w:rPr>
        <w:t>–</w:t>
      </w:r>
      <w:r w:rsidRPr="0084016E">
        <w:rPr>
          <w:lang w:val="fr-FR"/>
        </w:rPr>
        <w:tab/>
      </w:r>
      <w:r w:rsidR="008C0809" w:rsidRPr="0084016E">
        <w:rPr>
          <w:lang w:val="fr-FR"/>
        </w:rPr>
        <w:t xml:space="preserve">F.2416-1 </w:t>
      </w:r>
      <w:r w:rsidR="00AF3A00" w:rsidRPr="0084016E">
        <w:rPr>
          <w:lang w:val="fr-FR"/>
        </w:rPr>
        <w:t xml:space="preserve">– </w:t>
      </w:r>
      <w:r w:rsidR="004E4A89" w:rsidRPr="0084016E">
        <w:rPr>
          <w:lang w:val="fr-FR"/>
        </w:rPr>
        <w:t>«</w:t>
      </w:r>
      <w:r w:rsidRPr="0084016E">
        <w:rPr>
          <w:lang w:val="fr-FR"/>
        </w:rPr>
        <w:t>Caractéristiques techniques et opérationnelles des applications point à point du service fixe fonctionnant dans la bande de fréquences 275-450 GHz</w:t>
      </w:r>
      <w:r w:rsidR="004E4A89" w:rsidRPr="0084016E">
        <w:rPr>
          <w:lang w:val="fr-FR"/>
        </w:rPr>
        <w:t>»</w:t>
      </w:r>
    </w:p>
    <w:p w14:paraId="3C058FCC" w14:textId="2EBA6CC7" w:rsidR="00E85CEE" w:rsidRPr="0084016E" w:rsidRDefault="00E85CEE" w:rsidP="009E4F77">
      <w:pPr>
        <w:pStyle w:val="enumlev1"/>
        <w:rPr>
          <w:lang w:val="fr-FR"/>
        </w:rPr>
      </w:pPr>
      <w:r w:rsidRPr="0084016E">
        <w:rPr>
          <w:lang w:val="fr-FR"/>
        </w:rPr>
        <w:t>–</w:t>
      </w:r>
      <w:r w:rsidRPr="0084016E">
        <w:rPr>
          <w:lang w:val="fr-FR"/>
        </w:rPr>
        <w:tab/>
      </w:r>
      <w:r w:rsidR="008C0809" w:rsidRPr="0084016E">
        <w:rPr>
          <w:lang w:val="fr-FR"/>
        </w:rPr>
        <w:t xml:space="preserve">M.2442-1 </w:t>
      </w:r>
      <w:r w:rsidR="00AF3A00" w:rsidRPr="0084016E">
        <w:rPr>
          <w:lang w:val="fr-FR"/>
        </w:rPr>
        <w:t xml:space="preserve">– </w:t>
      </w:r>
      <w:r w:rsidR="004E4A89" w:rsidRPr="0084016E">
        <w:rPr>
          <w:lang w:val="fr-FR"/>
        </w:rPr>
        <w:t>«</w:t>
      </w:r>
      <w:r w:rsidRPr="0084016E">
        <w:rPr>
          <w:lang w:val="fr-FR"/>
        </w:rPr>
        <w:t>Utilisation actuelle et future des systèmes de radiocommunication ferroviaires train/voie</w:t>
      </w:r>
      <w:r w:rsidR="004E4A89" w:rsidRPr="0084016E">
        <w:rPr>
          <w:lang w:val="fr-FR"/>
        </w:rPr>
        <w:t>»</w:t>
      </w:r>
    </w:p>
    <w:p w14:paraId="53450DE7" w14:textId="334C8803" w:rsidR="00763EF0" w:rsidRPr="0084016E" w:rsidRDefault="00763EF0" w:rsidP="009E4F77">
      <w:pPr>
        <w:pStyle w:val="enumlev1"/>
        <w:rPr>
          <w:lang w:val="fr-FR"/>
        </w:rPr>
      </w:pPr>
      <w:r w:rsidRPr="0084016E">
        <w:rPr>
          <w:lang w:val="fr-FR"/>
        </w:rPr>
        <w:lastRenderedPageBreak/>
        <w:t>–</w:t>
      </w:r>
      <w:r w:rsidRPr="0084016E">
        <w:rPr>
          <w:lang w:val="fr-FR"/>
        </w:rPr>
        <w:tab/>
      </w:r>
      <w:r w:rsidR="008C0809" w:rsidRPr="0084016E">
        <w:rPr>
          <w:lang w:val="fr-FR"/>
        </w:rPr>
        <w:t xml:space="preserve">M.2541-0 </w:t>
      </w:r>
      <w:r w:rsidR="00AF3A00" w:rsidRPr="0084016E">
        <w:rPr>
          <w:lang w:val="fr-FR"/>
        </w:rPr>
        <w:t xml:space="preserve">– </w:t>
      </w:r>
      <w:r w:rsidR="004E4A89" w:rsidRPr="0084016E">
        <w:rPr>
          <w:lang w:val="fr-FR"/>
        </w:rPr>
        <w:t>«</w:t>
      </w:r>
      <w:r w:rsidRPr="0084016E">
        <w:rPr>
          <w:lang w:val="fr-FR"/>
        </w:rPr>
        <w:t>Faisabilité technique des IMT dans les bandes de fréquences supérieures à</w:t>
      </w:r>
      <w:r w:rsidR="00AF3A00" w:rsidRPr="0084016E">
        <w:rPr>
          <w:lang w:val="fr-FR"/>
        </w:rPr>
        <w:t> </w:t>
      </w:r>
      <w:r w:rsidR="00133A42" w:rsidRPr="0084016E">
        <w:rPr>
          <w:lang w:val="fr-FR"/>
        </w:rPr>
        <w:t>100 </w:t>
      </w:r>
      <w:r w:rsidRPr="0084016E">
        <w:rPr>
          <w:lang w:val="fr-FR"/>
        </w:rPr>
        <w:t>GHz</w:t>
      </w:r>
      <w:r w:rsidR="004E4A89" w:rsidRPr="0084016E">
        <w:rPr>
          <w:lang w:val="fr-FR"/>
        </w:rPr>
        <w:t>»</w:t>
      </w:r>
    </w:p>
    <w:p w14:paraId="3246ECD3" w14:textId="237C11CC" w:rsidR="00E03F23" w:rsidRPr="0084016E" w:rsidRDefault="00E03F23" w:rsidP="009E4F77">
      <w:pPr>
        <w:pStyle w:val="enumlev1"/>
        <w:rPr>
          <w:lang w:val="fr-FR"/>
        </w:rPr>
      </w:pPr>
      <w:r w:rsidRPr="0084016E">
        <w:rPr>
          <w:lang w:val="fr-FR"/>
        </w:rPr>
        <w:t>–</w:t>
      </w:r>
      <w:r w:rsidRPr="0084016E">
        <w:rPr>
          <w:lang w:val="fr-FR"/>
        </w:rPr>
        <w:tab/>
      </w:r>
      <w:r w:rsidR="008336D4" w:rsidRPr="0084016E">
        <w:rPr>
          <w:lang w:val="fr-FR"/>
        </w:rPr>
        <w:t xml:space="preserve">M.2547-0 </w:t>
      </w:r>
      <w:r w:rsidR="00AF3A00" w:rsidRPr="0084016E">
        <w:rPr>
          <w:lang w:val="fr-FR"/>
        </w:rPr>
        <w:t xml:space="preserve">– </w:t>
      </w:r>
      <w:r w:rsidR="004E4A89" w:rsidRPr="0084016E">
        <w:rPr>
          <w:lang w:val="fr-FR"/>
        </w:rPr>
        <w:t>«</w:t>
      </w:r>
      <w:r w:rsidRPr="0084016E">
        <w:rPr>
          <w:lang w:val="fr-FR"/>
        </w:rPr>
        <w:t>Divers aspects des systèmes du service mobile aéronautique non liés à la sécurité dans les bandes de fréquences 15,4-15,7 GHz et 22-22,21 GHz</w:t>
      </w:r>
      <w:r w:rsidR="004E4A89" w:rsidRPr="0084016E">
        <w:rPr>
          <w:lang w:val="fr-FR"/>
        </w:rPr>
        <w:t>»</w:t>
      </w:r>
    </w:p>
    <w:p w14:paraId="0AB64CE8" w14:textId="0B6E6664" w:rsidR="00264BC7" w:rsidRPr="0084016E" w:rsidRDefault="00E03F23" w:rsidP="009E4F77">
      <w:pPr>
        <w:pStyle w:val="enumlev1"/>
        <w:rPr>
          <w:lang w:val="fr-FR"/>
        </w:rPr>
      </w:pPr>
      <w:r w:rsidRPr="0084016E">
        <w:rPr>
          <w:lang w:val="fr-FR"/>
        </w:rPr>
        <w:t>–</w:t>
      </w:r>
      <w:r w:rsidRPr="0084016E">
        <w:rPr>
          <w:lang w:val="fr-FR"/>
        </w:rPr>
        <w:tab/>
        <w:t>M.</w:t>
      </w:r>
      <w:r w:rsidR="008336D4" w:rsidRPr="0084016E">
        <w:rPr>
          <w:lang w:val="fr-FR"/>
        </w:rPr>
        <w:t>2548-0</w:t>
      </w:r>
      <w:r w:rsidRPr="0084016E">
        <w:rPr>
          <w:lang w:val="fr-FR"/>
        </w:rPr>
        <w:t xml:space="preserve"> </w:t>
      </w:r>
      <w:r w:rsidR="00AF3A00" w:rsidRPr="0084016E">
        <w:rPr>
          <w:lang w:val="fr-FR"/>
        </w:rPr>
        <w:t xml:space="preserve">– </w:t>
      </w:r>
      <w:r w:rsidR="004E4A89" w:rsidRPr="0084016E">
        <w:rPr>
          <w:lang w:val="fr-FR"/>
        </w:rPr>
        <w:t>«</w:t>
      </w:r>
      <w:r w:rsidRPr="0084016E">
        <w:rPr>
          <w:lang w:val="fr-FR"/>
        </w:rPr>
        <w:t>Caractéristiques techniques et opérationnelles des applications du service mobile terrestre fonctionnant dans la gamme de fréquences 275-450 GHz</w:t>
      </w:r>
      <w:r w:rsidR="004E4A89" w:rsidRPr="0084016E">
        <w:rPr>
          <w:lang w:val="fr-FR"/>
        </w:rPr>
        <w:t>»</w:t>
      </w:r>
    </w:p>
    <w:p w14:paraId="4B151675" w14:textId="5DDD6EB2" w:rsidR="004E3051" w:rsidRPr="0084016E" w:rsidRDefault="004E3051" w:rsidP="001732C2">
      <w:pPr>
        <w:rPr>
          <w:lang w:val="fr-FR"/>
        </w:rPr>
      </w:pPr>
      <w:r w:rsidRPr="0084016E">
        <w:rPr>
          <w:lang w:val="fr-FR"/>
        </w:rPr>
        <w:t>En raison du grand nombre de participants et pour optimiser l</w:t>
      </w:r>
      <w:r w:rsidR="009C1307" w:rsidRPr="0084016E">
        <w:rPr>
          <w:lang w:val="fr-FR"/>
        </w:rPr>
        <w:t>'</w:t>
      </w:r>
      <w:r w:rsidRPr="0084016E">
        <w:rPr>
          <w:lang w:val="fr-FR"/>
        </w:rPr>
        <w:t>attribution des salles de réunion, il a été décidé que le GT 5B se réunirait du 29 avril au 8 mai 2025, indépendamment des GT 5A et</w:t>
      </w:r>
      <w:r w:rsidR="00AF3A00" w:rsidRPr="0084016E">
        <w:rPr>
          <w:lang w:val="fr-FR"/>
        </w:rPr>
        <w:t> </w:t>
      </w:r>
      <w:r w:rsidRPr="0084016E">
        <w:rPr>
          <w:lang w:val="fr-FR"/>
        </w:rPr>
        <w:t xml:space="preserve">5C. </w:t>
      </w:r>
      <w:r w:rsidR="00E84FD8" w:rsidRPr="0084016E">
        <w:rPr>
          <w:lang w:val="fr-FR"/>
        </w:rPr>
        <w:t>Il</w:t>
      </w:r>
      <w:r w:rsidR="00AF3A00" w:rsidRPr="0084016E">
        <w:rPr>
          <w:lang w:val="fr-FR"/>
        </w:rPr>
        <w:t> </w:t>
      </w:r>
      <w:r w:rsidR="00E84FD8" w:rsidRPr="0084016E">
        <w:rPr>
          <w:lang w:val="fr-FR"/>
        </w:rPr>
        <w:t>est prévu que l</w:t>
      </w:r>
      <w:r w:rsidRPr="0084016E">
        <w:rPr>
          <w:lang w:val="fr-FR"/>
        </w:rPr>
        <w:t xml:space="preserve">es GT 5A et 5C se </w:t>
      </w:r>
      <w:r w:rsidR="00E84FD8" w:rsidRPr="0084016E">
        <w:rPr>
          <w:lang w:val="fr-FR"/>
        </w:rPr>
        <w:t>réunissent</w:t>
      </w:r>
      <w:r w:rsidRPr="0084016E">
        <w:rPr>
          <w:lang w:val="fr-FR"/>
        </w:rPr>
        <w:t xml:space="preserve"> du 12 au 22 mai 2025. À sa première réunion en</w:t>
      </w:r>
      <w:r w:rsidR="00AF3A00" w:rsidRPr="0084016E">
        <w:rPr>
          <w:lang w:val="fr-FR"/>
        </w:rPr>
        <w:t> </w:t>
      </w:r>
      <w:r w:rsidRPr="0084016E">
        <w:rPr>
          <w:lang w:val="fr-FR"/>
        </w:rPr>
        <w:t>février</w:t>
      </w:r>
      <w:r w:rsidR="00AF3A00" w:rsidRPr="0084016E">
        <w:rPr>
          <w:lang w:val="fr-FR"/>
        </w:rPr>
        <w:t> </w:t>
      </w:r>
      <w:r w:rsidRPr="0084016E">
        <w:rPr>
          <w:lang w:val="fr-FR"/>
        </w:rPr>
        <w:t>2025, le GT 5D a confirmé qu</w:t>
      </w:r>
      <w:r w:rsidR="009C1307" w:rsidRPr="0084016E">
        <w:rPr>
          <w:lang w:val="fr-FR"/>
        </w:rPr>
        <w:t>'</w:t>
      </w:r>
      <w:r w:rsidRPr="0084016E">
        <w:rPr>
          <w:lang w:val="fr-FR"/>
        </w:rPr>
        <w:t>il tiendrait sa prochaine réunion à Kobe, à l</w:t>
      </w:r>
      <w:r w:rsidR="009C1307" w:rsidRPr="0084016E">
        <w:rPr>
          <w:lang w:val="fr-FR"/>
        </w:rPr>
        <w:t>'</w:t>
      </w:r>
      <w:r w:rsidRPr="0084016E">
        <w:rPr>
          <w:lang w:val="fr-FR"/>
        </w:rPr>
        <w:t>aimable invitation de l</w:t>
      </w:r>
      <w:r w:rsidR="009C1307" w:rsidRPr="0084016E">
        <w:rPr>
          <w:lang w:val="fr-FR"/>
        </w:rPr>
        <w:t>'</w:t>
      </w:r>
      <w:r w:rsidRPr="0084016E">
        <w:rPr>
          <w:lang w:val="fr-FR"/>
        </w:rPr>
        <w:t>Administration du Japon (24 juin – 3 juillet 2025).</w:t>
      </w:r>
    </w:p>
    <w:p w14:paraId="030B5F5F" w14:textId="37FF9B6D" w:rsidR="004E3051" w:rsidRPr="0084016E" w:rsidRDefault="004E3051" w:rsidP="001732C2">
      <w:pPr>
        <w:rPr>
          <w:lang w:val="fr-FR"/>
        </w:rPr>
      </w:pPr>
      <w:r w:rsidRPr="0084016E">
        <w:rPr>
          <w:lang w:val="fr-FR"/>
        </w:rPr>
        <w:t>Les délégués participant aux réunions de la CE 5 se sont dit préoccupés par le chevauchement avec les réunions d</w:t>
      </w:r>
      <w:r w:rsidR="009C1307" w:rsidRPr="0084016E">
        <w:rPr>
          <w:lang w:val="fr-FR"/>
        </w:rPr>
        <w:t>'</w:t>
      </w:r>
      <w:r w:rsidRPr="0084016E">
        <w:rPr>
          <w:lang w:val="fr-FR"/>
        </w:rPr>
        <w:t xml:space="preserve">autres groupes, </w:t>
      </w:r>
      <w:r w:rsidR="00E84FD8" w:rsidRPr="0084016E">
        <w:rPr>
          <w:lang w:val="fr-FR"/>
        </w:rPr>
        <w:t>qu'il n'</w:t>
      </w:r>
      <w:r w:rsidR="00133A42" w:rsidRPr="0084016E">
        <w:rPr>
          <w:lang w:val="fr-FR"/>
        </w:rPr>
        <w:t>avait pas été</w:t>
      </w:r>
      <w:r w:rsidR="00E84FD8" w:rsidRPr="0084016E">
        <w:rPr>
          <w:lang w:val="fr-FR"/>
        </w:rPr>
        <w:t xml:space="preserve"> possible d'éviter en 2024</w:t>
      </w:r>
      <w:r w:rsidRPr="0084016E">
        <w:rPr>
          <w:lang w:val="fr-FR"/>
        </w:rPr>
        <w:t xml:space="preserve">. Entre autres facteurs, une </w:t>
      </w:r>
      <w:r w:rsidR="003B5359" w:rsidRPr="0084016E">
        <w:rPr>
          <w:lang w:val="fr-FR"/>
        </w:rPr>
        <w:t>raison supplémentaire</w:t>
      </w:r>
      <w:r w:rsidRPr="0084016E">
        <w:rPr>
          <w:lang w:val="fr-FR"/>
        </w:rPr>
        <w:t xml:space="preserve"> est que la durée totale </w:t>
      </w:r>
      <w:r w:rsidR="00FC3588" w:rsidRPr="0084016E">
        <w:rPr>
          <w:lang w:val="fr-FR"/>
        </w:rPr>
        <w:t>de la série de</w:t>
      </w:r>
      <w:r w:rsidRPr="0084016E">
        <w:rPr>
          <w:lang w:val="fr-FR"/>
        </w:rPr>
        <w:t xml:space="preserve"> réunions de la CE 4 a été prolongée de plusieurs jours</w:t>
      </w:r>
      <w:r w:rsidR="004227FB" w:rsidRPr="0084016E">
        <w:rPr>
          <w:lang w:val="fr-FR"/>
        </w:rPr>
        <w:t xml:space="preserve">, d'où un </w:t>
      </w:r>
      <w:r w:rsidRPr="0084016E">
        <w:rPr>
          <w:lang w:val="fr-FR"/>
        </w:rPr>
        <w:t xml:space="preserve">chevauchement </w:t>
      </w:r>
      <w:r w:rsidR="00315E96" w:rsidRPr="0084016E">
        <w:rPr>
          <w:lang w:val="fr-FR"/>
        </w:rPr>
        <w:t xml:space="preserve">inévitable </w:t>
      </w:r>
      <w:r w:rsidRPr="0084016E">
        <w:rPr>
          <w:lang w:val="fr-FR"/>
        </w:rPr>
        <w:t>avec des réunions prévues précédemment.</w:t>
      </w:r>
    </w:p>
    <w:p w14:paraId="5F1606B9" w14:textId="5FCCC6E3" w:rsidR="0025739A" w:rsidRPr="0084016E" w:rsidRDefault="00351F99" w:rsidP="001732C2">
      <w:pPr>
        <w:pStyle w:val="Heading2"/>
        <w:rPr>
          <w:lang w:val="fr-FR"/>
        </w:rPr>
      </w:pPr>
      <w:r w:rsidRPr="0084016E">
        <w:rPr>
          <w:bCs/>
          <w:lang w:val="fr-FR"/>
        </w:rPr>
        <w:t>5.5</w:t>
      </w:r>
      <w:r w:rsidRPr="0084016E">
        <w:rPr>
          <w:lang w:val="fr-FR"/>
        </w:rPr>
        <w:tab/>
        <w:t>Commission d</w:t>
      </w:r>
      <w:r w:rsidR="009C1307" w:rsidRPr="0084016E">
        <w:rPr>
          <w:lang w:val="fr-FR"/>
        </w:rPr>
        <w:t>'</w:t>
      </w:r>
      <w:r w:rsidRPr="0084016E">
        <w:rPr>
          <w:lang w:val="fr-FR"/>
        </w:rPr>
        <w:t>études 6</w:t>
      </w:r>
    </w:p>
    <w:p w14:paraId="6B0CE0AA" w14:textId="2CD3FB20" w:rsidR="0025739A" w:rsidRPr="0084016E" w:rsidRDefault="0025739A" w:rsidP="001732C2">
      <w:pPr>
        <w:rPr>
          <w:lang w:val="fr-FR"/>
        </w:rPr>
      </w:pPr>
      <w:r w:rsidRPr="0084016E">
        <w:rPr>
          <w:lang w:val="fr-FR"/>
        </w:rPr>
        <w:t>La Commission d</w:t>
      </w:r>
      <w:r w:rsidR="009C1307" w:rsidRPr="0084016E">
        <w:rPr>
          <w:lang w:val="fr-FR"/>
        </w:rPr>
        <w:t>'</w:t>
      </w:r>
      <w:r w:rsidRPr="0084016E">
        <w:rPr>
          <w:lang w:val="fr-FR"/>
        </w:rPr>
        <w:t xml:space="preserve">études 6 </w:t>
      </w:r>
      <w:r w:rsidR="00420939" w:rsidRPr="0084016E">
        <w:rPr>
          <w:lang w:val="fr-FR"/>
        </w:rPr>
        <w:t>a poursuivi</w:t>
      </w:r>
      <w:r w:rsidRPr="0084016E">
        <w:rPr>
          <w:lang w:val="fr-FR"/>
        </w:rPr>
        <w:t xml:space="preserve"> ses études sur la radiodiffusion, en particulier sur les nouvelles questions qui se font jour telles que les technologies évoluées utilisées pour la radiodiffusion numérique de Terre, une plate-forme mondiale pour le service de radiodiffusion, les systèmes de télévision à grande plage dynamique (TV-HDR), les systèmes de radiodiffusion large bande intégrés (IBB), les nouveaux codecs audio et vidéo utilisés pour la radiodiffusion numérique, les systèmes audiovisuels en immersion évolués (AIAV), les spécifications des systèmes de restitution des systèmes sonores évolués, l</w:t>
      </w:r>
      <w:r w:rsidR="009C1307" w:rsidRPr="0084016E">
        <w:rPr>
          <w:lang w:val="fr-FR"/>
        </w:rPr>
        <w:t>'</w:t>
      </w:r>
      <w:r w:rsidRPr="0084016E">
        <w:rPr>
          <w:lang w:val="fr-FR"/>
        </w:rPr>
        <w:t>utilisation de l</w:t>
      </w:r>
      <w:r w:rsidR="009C1307" w:rsidRPr="0084016E">
        <w:rPr>
          <w:lang w:val="fr-FR"/>
        </w:rPr>
        <w:t>'</w:t>
      </w:r>
      <w:r w:rsidRPr="0084016E">
        <w:rPr>
          <w:lang w:val="fr-FR"/>
        </w:rPr>
        <w:t>intelligence artificielle en radiodiffusion et l</w:t>
      </w:r>
      <w:r w:rsidR="009C1307" w:rsidRPr="0084016E">
        <w:rPr>
          <w:lang w:val="fr-FR"/>
        </w:rPr>
        <w:t>'</w:t>
      </w:r>
      <w:r w:rsidRPr="0084016E">
        <w:rPr>
          <w:lang w:val="fr-FR"/>
        </w:rPr>
        <w:t>accessibilité des supports audiovisuels (AVA).</w:t>
      </w:r>
    </w:p>
    <w:p w14:paraId="2D2864CC" w14:textId="058DBA49" w:rsidR="007A3797" w:rsidRPr="0084016E" w:rsidRDefault="0025739A" w:rsidP="001732C2">
      <w:pPr>
        <w:rPr>
          <w:rFonts w:asciiTheme="majorBidi" w:hAnsiTheme="majorBidi" w:cstheme="majorBidi"/>
          <w:color w:val="000000"/>
          <w:lang w:val="fr-FR"/>
        </w:rPr>
      </w:pPr>
      <w:r w:rsidRPr="0084016E">
        <w:rPr>
          <w:lang w:val="fr-FR"/>
        </w:rPr>
        <w:t>La Commission d</w:t>
      </w:r>
      <w:r w:rsidR="009C1307" w:rsidRPr="0084016E">
        <w:rPr>
          <w:lang w:val="fr-FR"/>
        </w:rPr>
        <w:t>'</w:t>
      </w:r>
      <w:r w:rsidRPr="0084016E">
        <w:rPr>
          <w:lang w:val="fr-FR"/>
        </w:rPr>
        <w:t>études 6 s</w:t>
      </w:r>
      <w:r w:rsidR="009C1307" w:rsidRPr="0084016E">
        <w:rPr>
          <w:lang w:val="fr-FR"/>
        </w:rPr>
        <w:t>'</w:t>
      </w:r>
      <w:r w:rsidRPr="0084016E">
        <w:rPr>
          <w:lang w:val="fr-FR"/>
        </w:rPr>
        <w:t>est aussi activement employée à coordonner les travaux sur les questions d</w:t>
      </w:r>
      <w:r w:rsidR="009C1307" w:rsidRPr="0084016E">
        <w:rPr>
          <w:lang w:val="fr-FR"/>
        </w:rPr>
        <w:t>'</w:t>
      </w:r>
      <w:r w:rsidRPr="0084016E">
        <w:rPr>
          <w:lang w:val="fr-FR"/>
        </w:rPr>
        <w:t xml:space="preserve">intérêt mutuel avec </w:t>
      </w:r>
      <w:r w:rsidR="000E6EE1" w:rsidRPr="0084016E">
        <w:rPr>
          <w:lang w:val="fr-FR"/>
        </w:rPr>
        <w:t>l</w:t>
      </w:r>
      <w:r w:rsidR="0052247C" w:rsidRPr="0084016E">
        <w:rPr>
          <w:lang w:val="fr-FR"/>
        </w:rPr>
        <w:t>es</w:t>
      </w:r>
      <w:r w:rsidR="000E6EE1" w:rsidRPr="0084016E">
        <w:rPr>
          <w:lang w:val="fr-FR"/>
        </w:rPr>
        <w:t xml:space="preserve"> Commission</w:t>
      </w:r>
      <w:r w:rsidR="0052247C" w:rsidRPr="0084016E">
        <w:rPr>
          <w:lang w:val="fr-FR"/>
        </w:rPr>
        <w:t>s</w:t>
      </w:r>
      <w:r w:rsidR="000E6EE1" w:rsidRPr="0084016E">
        <w:rPr>
          <w:lang w:val="fr-FR"/>
        </w:rPr>
        <w:t xml:space="preserve"> d'études 21 </w:t>
      </w:r>
      <w:r w:rsidR="0052247C" w:rsidRPr="0084016E">
        <w:rPr>
          <w:lang w:val="fr-FR"/>
        </w:rPr>
        <w:t>(</w:t>
      </w:r>
      <w:r w:rsidR="000E6EE1" w:rsidRPr="0084016E">
        <w:rPr>
          <w:lang w:val="fr-FR"/>
        </w:rPr>
        <w:t xml:space="preserve">anciennement les </w:t>
      </w:r>
      <w:r w:rsidRPr="0084016E">
        <w:rPr>
          <w:lang w:val="fr-FR"/>
        </w:rPr>
        <w:t>Commissions d</w:t>
      </w:r>
      <w:r w:rsidR="009C1307" w:rsidRPr="0084016E">
        <w:rPr>
          <w:lang w:val="fr-FR"/>
        </w:rPr>
        <w:t>'</w:t>
      </w:r>
      <w:r w:rsidRPr="0084016E">
        <w:rPr>
          <w:lang w:val="fr-FR"/>
        </w:rPr>
        <w:t>études 9 et</w:t>
      </w:r>
      <w:r w:rsidR="0045575B" w:rsidRPr="0084016E">
        <w:rPr>
          <w:lang w:val="fr-FR"/>
        </w:rPr>
        <w:t> </w:t>
      </w:r>
      <w:r w:rsidRPr="0084016E">
        <w:rPr>
          <w:lang w:val="fr-FR"/>
        </w:rPr>
        <w:t>16 de l</w:t>
      </w:r>
      <w:r w:rsidR="009C1307" w:rsidRPr="0084016E">
        <w:rPr>
          <w:lang w:val="fr-FR"/>
        </w:rPr>
        <w:t>'</w:t>
      </w:r>
      <w:r w:rsidRPr="0084016E">
        <w:rPr>
          <w:lang w:val="fr-FR"/>
        </w:rPr>
        <w:t>UIT-T</w:t>
      </w:r>
      <w:r w:rsidR="000E6EE1" w:rsidRPr="0084016E">
        <w:rPr>
          <w:lang w:val="fr-FR"/>
        </w:rPr>
        <w:t>) et 12</w:t>
      </w:r>
      <w:r w:rsidR="0052247C" w:rsidRPr="0084016E">
        <w:rPr>
          <w:lang w:val="fr-FR"/>
        </w:rPr>
        <w:t xml:space="preserve"> de l'UIT-T</w:t>
      </w:r>
      <w:r w:rsidRPr="0084016E">
        <w:rPr>
          <w:lang w:val="fr-FR"/>
        </w:rPr>
        <w:t>, par l</w:t>
      </w:r>
      <w:r w:rsidR="009C1307" w:rsidRPr="0084016E">
        <w:rPr>
          <w:lang w:val="fr-FR"/>
        </w:rPr>
        <w:t>'</w:t>
      </w:r>
      <w:r w:rsidRPr="0084016E">
        <w:rPr>
          <w:lang w:val="fr-FR"/>
        </w:rPr>
        <w:t>intermédiaire des Groupes du Rapporteur intersectoriels (GRI) sur l</w:t>
      </w:r>
      <w:r w:rsidR="009C1307" w:rsidRPr="0084016E">
        <w:rPr>
          <w:lang w:val="fr-FR"/>
        </w:rPr>
        <w:t>'</w:t>
      </w:r>
      <w:r w:rsidRPr="0084016E">
        <w:rPr>
          <w:lang w:val="fr-FR"/>
        </w:rPr>
        <w:t>accessibilité des supports audiovisuels (GRI-AVA) et</w:t>
      </w:r>
      <w:r w:rsidR="000E6EE1" w:rsidRPr="0084016E">
        <w:rPr>
          <w:lang w:val="fr-FR"/>
        </w:rPr>
        <w:t xml:space="preserve"> sur l'évaluation de la qualité audiovisuelle </w:t>
      </w:r>
      <w:r w:rsidR="0052247C" w:rsidRPr="0084016E">
        <w:rPr>
          <w:lang w:val="fr-FR"/>
        </w:rPr>
        <w:t>(</w:t>
      </w:r>
      <w:r w:rsidR="000E6EE1" w:rsidRPr="0084016E">
        <w:rPr>
          <w:lang w:val="fr-FR"/>
        </w:rPr>
        <w:t>GRI</w:t>
      </w:r>
      <w:r w:rsidR="0045575B" w:rsidRPr="0084016E">
        <w:rPr>
          <w:lang w:val="fr-FR"/>
        </w:rPr>
        <w:noBreakHyphen/>
      </w:r>
      <w:r w:rsidR="000E6EE1" w:rsidRPr="0084016E">
        <w:rPr>
          <w:lang w:val="fr-FR"/>
        </w:rPr>
        <w:t>AVQA), respectivement.</w:t>
      </w:r>
    </w:p>
    <w:p w14:paraId="59648928" w14:textId="7DDA46C9" w:rsidR="0025739A" w:rsidRPr="0084016E" w:rsidRDefault="00242152" w:rsidP="001732C2">
      <w:pPr>
        <w:rPr>
          <w:lang w:val="fr-FR"/>
        </w:rPr>
      </w:pPr>
      <w:r w:rsidRPr="0084016E">
        <w:rPr>
          <w:lang w:val="fr-FR"/>
        </w:rPr>
        <w:t>Depuis la réunion de 202</w:t>
      </w:r>
      <w:r w:rsidR="00FD64FE" w:rsidRPr="0084016E">
        <w:rPr>
          <w:lang w:val="fr-FR"/>
        </w:rPr>
        <w:t>4</w:t>
      </w:r>
      <w:r w:rsidRPr="0084016E">
        <w:rPr>
          <w:lang w:val="fr-FR"/>
        </w:rPr>
        <w:t xml:space="preserve"> du GCR, la CE 6 a approuvé </w:t>
      </w:r>
      <w:r w:rsidR="00FD64FE" w:rsidRPr="0084016E">
        <w:rPr>
          <w:lang w:val="fr-FR"/>
        </w:rPr>
        <w:t>une nouvelle Question UIT-R, trois</w:t>
      </w:r>
      <w:r w:rsidR="0045575B" w:rsidRPr="0084016E">
        <w:rPr>
          <w:lang w:val="fr-FR"/>
        </w:rPr>
        <w:t> </w:t>
      </w:r>
      <w:r w:rsidR="00FD64FE" w:rsidRPr="0084016E">
        <w:rPr>
          <w:lang w:val="fr-FR"/>
        </w:rPr>
        <w:t xml:space="preserve">nouvelles Recommandations UIT-R et sept </w:t>
      </w:r>
      <w:r w:rsidRPr="0084016E">
        <w:rPr>
          <w:lang w:val="fr-FR"/>
        </w:rPr>
        <w:t xml:space="preserve">Recommandations UIT-R révisées, </w:t>
      </w:r>
      <w:r w:rsidR="00FD64FE" w:rsidRPr="0084016E">
        <w:rPr>
          <w:lang w:val="fr-FR"/>
        </w:rPr>
        <w:t>ainsi que cinq</w:t>
      </w:r>
      <w:r w:rsidR="0045575B" w:rsidRPr="0084016E">
        <w:rPr>
          <w:lang w:val="fr-FR"/>
        </w:rPr>
        <w:t> </w:t>
      </w:r>
      <w:r w:rsidRPr="0084016E">
        <w:rPr>
          <w:lang w:val="fr-FR"/>
        </w:rPr>
        <w:t xml:space="preserve">nouveaux Rapports et </w:t>
      </w:r>
      <w:r w:rsidR="00FD64FE" w:rsidRPr="0084016E">
        <w:rPr>
          <w:lang w:val="fr-FR"/>
        </w:rPr>
        <w:t>quinze</w:t>
      </w:r>
      <w:r w:rsidRPr="0084016E">
        <w:rPr>
          <w:lang w:val="fr-FR"/>
        </w:rPr>
        <w:t xml:space="preserve"> Rapports révisés. Le projet de révision de la Recommandation</w:t>
      </w:r>
      <w:r w:rsidR="0045575B" w:rsidRPr="0084016E">
        <w:rPr>
          <w:lang w:val="fr-FR"/>
        </w:rPr>
        <w:t> </w:t>
      </w:r>
      <w:r w:rsidRPr="0084016E">
        <w:rPr>
          <w:lang w:val="fr-FR"/>
        </w:rPr>
        <w:t>UIT-R BT.1774-2 a été adopté par la CE 6 et est actuellement soumis à l</w:t>
      </w:r>
      <w:r w:rsidR="009C1307" w:rsidRPr="0084016E">
        <w:rPr>
          <w:lang w:val="fr-FR"/>
        </w:rPr>
        <w:t>'</w:t>
      </w:r>
      <w:r w:rsidRPr="0084016E">
        <w:rPr>
          <w:lang w:val="fr-FR"/>
        </w:rPr>
        <w:t xml:space="preserve">approbation des membres. En outre, </w:t>
      </w:r>
      <w:r w:rsidR="00F35FF9" w:rsidRPr="0084016E">
        <w:rPr>
          <w:lang w:val="fr-FR"/>
        </w:rPr>
        <w:t>la Recommandation UIT-R BT.500</w:t>
      </w:r>
      <w:r w:rsidR="0052247C" w:rsidRPr="0084016E">
        <w:rPr>
          <w:lang w:val="fr-FR"/>
        </w:rPr>
        <w:t>-15</w:t>
      </w:r>
      <w:r w:rsidR="00F35FF9" w:rsidRPr="0084016E">
        <w:rPr>
          <w:lang w:val="fr-FR"/>
        </w:rPr>
        <w:t xml:space="preserve"> a</w:t>
      </w:r>
      <w:r w:rsidRPr="0084016E">
        <w:rPr>
          <w:lang w:val="fr-FR"/>
        </w:rPr>
        <w:t xml:space="preserve"> fait l</w:t>
      </w:r>
      <w:r w:rsidR="009C1307" w:rsidRPr="0084016E">
        <w:rPr>
          <w:lang w:val="fr-FR"/>
        </w:rPr>
        <w:t>'</w:t>
      </w:r>
      <w:r w:rsidRPr="0084016E">
        <w:rPr>
          <w:lang w:val="fr-FR"/>
        </w:rPr>
        <w:t>objet d</w:t>
      </w:r>
      <w:r w:rsidR="009C1307" w:rsidRPr="0084016E">
        <w:rPr>
          <w:lang w:val="fr-FR"/>
        </w:rPr>
        <w:t>'</w:t>
      </w:r>
      <w:r w:rsidRPr="0084016E">
        <w:rPr>
          <w:lang w:val="fr-FR"/>
        </w:rPr>
        <w:t>une mise</w:t>
      </w:r>
      <w:r w:rsidR="0045575B" w:rsidRPr="0084016E">
        <w:rPr>
          <w:lang w:val="fr-FR"/>
        </w:rPr>
        <w:t> </w:t>
      </w:r>
      <w:r w:rsidRPr="0084016E">
        <w:rPr>
          <w:lang w:val="fr-FR"/>
        </w:rPr>
        <w:t>à jour rédactionnelle. La CE 6 a également approuvé la suppression de deux Questions UIT-R.</w:t>
      </w:r>
    </w:p>
    <w:p w14:paraId="00EE9668" w14:textId="255AB94F" w:rsidR="0025739A" w:rsidRPr="0084016E" w:rsidRDefault="0025739A" w:rsidP="001732C2">
      <w:pPr>
        <w:pStyle w:val="Headingb"/>
        <w:rPr>
          <w:lang w:val="fr-FR"/>
        </w:rPr>
      </w:pPr>
      <w:r w:rsidRPr="0084016E">
        <w:rPr>
          <w:bCs/>
          <w:lang w:val="fr-FR"/>
        </w:rPr>
        <w:t>Question UIT-R</w:t>
      </w:r>
      <w:r w:rsidR="004E4A89" w:rsidRPr="0084016E">
        <w:rPr>
          <w:bCs/>
          <w:lang w:val="fr-FR"/>
        </w:rPr>
        <w:t>:</w:t>
      </w:r>
    </w:p>
    <w:p w14:paraId="4B4D346A" w14:textId="48231475" w:rsidR="00B40514" w:rsidRPr="0084016E" w:rsidRDefault="00B40514" w:rsidP="00063827">
      <w:pPr>
        <w:pStyle w:val="enumlev1"/>
        <w:ind w:hanging="567"/>
        <w:rPr>
          <w:lang w:val="fr-FR"/>
        </w:rPr>
      </w:pPr>
      <w:r w:rsidRPr="0084016E">
        <w:rPr>
          <w:lang w:val="fr-FR"/>
        </w:rPr>
        <w:t>–</w:t>
      </w:r>
      <w:r w:rsidRPr="0084016E">
        <w:rPr>
          <w:lang w:val="fr-FR"/>
        </w:rPr>
        <w:tab/>
      </w:r>
      <w:r w:rsidR="001D55D2" w:rsidRPr="0084016E">
        <w:rPr>
          <w:lang w:val="fr-FR"/>
        </w:rPr>
        <w:t xml:space="preserve">148/6 </w:t>
      </w:r>
      <w:r w:rsidR="00BC4156" w:rsidRPr="0084016E">
        <w:rPr>
          <w:lang w:val="fr-FR"/>
        </w:rPr>
        <w:t xml:space="preserve">– </w:t>
      </w:r>
      <w:r w:rsidR="004E4A89" w:rsidRPr="0084016E">
        <w:rPr>
          <w:lang w:val="fr-FR"/>
        </w:rPr>
        <w:t>«</w:t>
      </w:r>
      <w:r w:rsidRPr="0084016E">
        <w:rPr>
          <w:lang w:val="fr-FR"/>
        </w:rPr>
        <w:t>Évolution des systèmes de radiodiffusion sonore</w:t>
      </w:r>
      <w:r w:rsidR="004E4A89" w:rsidRPr="0084016E">
        <w:rPr>
          <w:lang w:val="fr-FR"/>
        </w:rPr>
        <w:t>»</w:t>
      </w:r>
    </w:p>
    <w:p w14:paraId="7B4966A8" w14:textId="2483E145" w:rsidR="0025739A" w:rsidRPr="0084016E" w:rsidRDefault="0025739A" w:rsidP="001732C2">
      <w:pPr>
        <w:pStyle w:val="Headingb"/>
        <w:rPr>
          <w:lang w:val="fr-FR"/>
        </w:rPr>
      </w:pPr>
      <w:r w:rsidRPr="0084016E">
        <w:rPr>
          <w:bCs/>
          <w:lang w:val="fr-FR"/>
        </w:rPr>
        <w:t>Recommandation</w:t>
      </w:r>
      <w:r w:rsidR="0052247C" w:rsidRPr="0084016E">
        <w:rPr>
          <w:bCs/>
          <w:lang w:val="fr-FR"/>
        </w:rPr>
        <w:t>s</w:t>
      </w:r>
      <w:r w:rsidRPr="0084016E">
        <w:rPr>
          <w:bCs/>
          <w:lang w:val="fr-FR"/>
        </w:rPr>
        <w:t xml:space="preserve"> UIT-R</w:t>
      </w:r>
      <w:r w:rsidR="004E4A89" w:rsidRPr="0084016E">
        <w:rPr>
          <w:bCs/>
          <w:lang w:val="fr-FR"/>
        </w:rPr>
        <w:t>:</w:t>
      </w:r>
    </w:p>
    <w:p w14:paraId="7FF80754" w14:textId="6DCD4654" w:rsidR="000A1596" w:rsidRPr="0084016E" w:rsidRDefault="00713B1B" w:rsidP="009E4F77">
      <w:pPr>
        <w:pStyle w:val="enumlev1"/>
        <w:rPr>
          <w:lang w:val="fr-FR"/>
        </w:rPr>
      </w:pPr>
      <w:r w:rsidRPr="0084016E">
        <w:rPr>
          <w:lang w:val="fr-FR"/>
        </w:rPr>
        <w:t>–</w:t>
      </w:r>
      <w:r w:rsidRPr="0084016E">
        <w:rPr>
          <w:lang w:val="fr-FR"/>
        </w:rPr>
        <w:tab/>
        <w:t>BS.2076</w:t>
      </w:r>
      <w:r w:rsidR="001D55D2" w:rsidRPr="0084016E">
        <w:rPr>
          <w:lang w:val="fr-FR"/>
        </w:rPr>
        <w:t>-</w:t>
      </w:r>
      <w:r w:rsidRPr="0084016E">
        <w:rPr>
          <w:lang w:val="fr-FR"/>
        </w:rPr>
        <w:t>3</w:t>
      </w:r>
      <w:r w:rsidR="00BC4156" w:rsidRPr="0084016E">
        <w:rPr>
          <w:lang w:val="fr-FR"/>
        </w:rPr>
        <w:t xml:space="preserve"> – </w:t>
      </w:r>
      <w:r w:rsidR="004E4A89" w:rsidRPr="0084016E">
        <w:rPr>
          <w:lang w:val="fr-FR"/>
        </w:rPr>
        <w:t>«</w:t>
      </w:r>
      <w:r w:rsidRPr="0084016E">
        <w:rPr>
          <w:lang w:val="fr-FR"/>
        </w:rPr>
        <w:t>Modèle de définition audio</w:t>
      </w:r>
      <w:r w:rsidR="004E4A89" w:rsidRPr="0084016E">
        <w:rPr>
          <w:lang w:val="fr-FR"/>
        </w:rPr>
        <w:t>»</w:t>
      </w:r>
    </w:p>
    <w:p w14:paraId="3A80B55E" w14:textId="3847C9FE" w:rsidR="00861C9D" w:rsidRPr="0084016E" w:rsidRDefault="00861C9D" w:rsidP="009E4F77">
      <w:pPr>
        <w:pStyle w:val="enumlev1"/>
        <w:rPr>
          <w:lang w:val="fr-FR"/>
        </w:rPr>
      </w:pPr>
      <w:r w:rsidRPr="0084016E">
        <w:rPr>
          <w:lang w:val="fr-FR"/>
        </w:rPr>
        <w:t>–</w:t>
      </w:r>
      <w:r w:rsidRPr="0084016E">
        <w:rPr>
          <w:lang w:val="fr-FR"/>
        </w:rPr>
        <w:tab/>
      </w:r>
      <w:r w:rsidR="001D55D2" w:rsidRPr="0084016E">
        <w:rPr>
          <w:lang w:val="fr-FR"/>
        </w:rPr>
        <w:t xml:space="preserve">BS.2094-2 </w:t>
      </w:r>
      <w:r w:rsidR="00BC4156" w:rsidRPr="0084016E">
        <w:rPr>
          <w:lang w:val="fr-FR"/>
        </w:rPr>
        <w:t xml:space="preserve">– </w:t>
      </w:r>
      <w:r w:rsidR="004E4A89" w:rsidRPr="0084016E">
        <w:rPr>
          <w:lang w:val="fr-FR"/>
        </w:rPr>
        <w:t>«</w:t>
      </w:r>
      <w:r w:rsidRPr="0084016E">
        <w:rPr>
          <w:lang w:val="fr-FR"/>
        </w:rPr>
        <w:t>Définitions communes pour le modèle de définition audio</w:t>
      </w:r>
      <w:r w:rsidR="004E4A89" w:rsidRPr="0084016E">
        <w:rPr>
          <w:lang w:val="fr-FR"/>
        </w:rPr>
        <w:t>»</w:t>
      </w:r>
    </w:p>
    <w:p w14:paraId="1B6F47DA" w14:textId="490CC4A9" w:rsidR="00861C9D" w:rsidRPr="0084016E" w:rsidRDefault="00861C9D" w:rsidP="009E4F77">
      <w:pPr>
        <w:pStyle w:val="enumlev1"/>
        <w:rPr>
          <w:lang w:val="fr-FR"/>
        </w:rPr>
      </w:pPr>
      <w:r w:rsidRPr="0084016E">
        <w:rPr>
          <w:lang w:val="fr-FR"/>
        </w:rPr>
        <w:t>–</w:t>
      </w:r>
      <w:r w:rsidRPr="0084016E">
        <w:rPr>
          <w:lang w:val="fr-FR"/>
        </w:rPr>
        <w:tab/>
      </w:r>
      <w:r w:rsidR="001D55D2" w:rsidRPr="0084016E">
        <w:rPr>
          <w:lang w:val="fr-FR"/>
        </w:rPr>
        <w:t xml:space="preserve">BS.2168-0 </w:t>
      </w:r>
      <w:r w:rsidR="00BC4156" w:rsidRPr="0084016E">
        <w:rPr>
          <w:lang w:val="fr-FR"/>
        </w:rPr>
        <w:t xml:space="preserve">– </w:t>
      </w:r>
      <w:r w:rsidR="004E4A89" w:rsidRPr="0084016E">
        <w:rPr>
          <w:lang w:val="fr-FR"/>
        </w:rPr>
        <w:t>«</w:t>
      </w:r>
      <w:r w:rsidR="00662E55" w:rsidRPr="0084016E">
        <w:rPr>
          <w:lang w:val="fr-FR"/>
        </w:rPr>
        <w:t>P</w:t>
      </w:r>
      <w:r w:rsidRPr="0084016E">
        <w:rPr>
          <w:lang w:val="fr-FR"/>
        </w:rPr>
        <w:t>rofil d</w:t>
      </w:r>
      <w:r w:rsidR="009C1307" w:rsidRPr="0084016E">
        <w:rPr>
          <w:lang w:val="fr-FR"/>
        </w:rPr>
        <w:t>'</w:t>
      </w:r>
      <w:r w:rsidRPr="0084016E">
        <w:rPr>
          <w:lang w:val="fr-FR"/>
        </w:rPr>
        <w:t>émission du modèle de définition audio et de la représentation série du modèle de définition audio</w:t>
      </w:r>
      <w:r w:rsidR="00662E55" w:rsidRPr="0084016E">
        <w:rPr>
          <w:lang w:val="fr-FR"/>
        </w:rPr>
        <w:t xml:space="preserve"> pour les systèmes sonores évolués</w:t>
      </w:r>
      <w:r w:rsidR="004E4A89" w:rsidRPr="0084016E">
        <w:rPr>
          <w:lang w:val="fr-FR"/>
        </w:rPr>
        <w:t>»</w:t>
      </w:r>
    </w:p>
    <w:p w14:paraId="29FD6D6C" w14:textId="25CC52F0" w:rsidR="00861C9D" w:rsidRPr="0084016E" w:rsidRDefault="00861C9D" w:rsidP="009E4F77">
      <w:pPr>
        <w:pStyle w:val="enumlev1"/>
        <w:rPr>
          <w:lang w:val="fr-FR"/>
        </w:rPr>
      </w:pPr>
      <w:r w:rsidRPr="0084016E">
        <w:rPr>
          <w:lang w:val="fr-FR"/>
        </w:rPr>
        <w:t>–</w:t>
      </w:r>
      <w:r w:rsidRPr="0084016E">
        <w:rPr>
          <w:lang w:val="fr-FR"/>
        </w:rPr>
        <w:tab/>
      </w:r>
      <w:r w:rsidR="007A6298" w:rsidRPr="0084016E">
        <w:rPr>
          <w:lang w:val="fr-FR"/>
        </w:rPr>
        <w:t xml:space="preserve">BS.1662-1 </w:t>
      </w:r>
      <w:r w:rsidR="00BC4156" w:rsidRPr="0084016E">
        <w:rPr>
          <w:lang w:val="fr-FR"/>
        </w:rPr>
        <w:t xml:space="preserve">– </w:t>
      </w:r>
      <w:r w:rsidR="004E4A89" w:rsidRPr="0084016E">
        <w:rPr>
          <w:lang w:val="fr-FR"/>
        </w:rPr>
        <w:t>«</w:t>
      </w:r>
      <w:r w:rsidRPr="0084016E">
        <w:rPr>
          <w:lang w:val="fr-FR"/>
        </w:rPr>
        <w:t>Chaîne de référence générale et gestion de la marge de post-traitement pour le contenu de présentation des programmes dans les applications télévisuelles</w:t>
      </w:r>
      <w:r w:rsidR="004E4A89" w:rsidRPr="0084016E">
        <w:rPr>
          <w:lang w:val="fr-FR"/>
        </w:rPr>
        <w:t>»</w:t>
      </w:r>
    </w:p>
    <w:p w14:paraId="3A37B36D" w14:textId="6B1757A2" w:rsidR="00861C9D" w:rsidRPr="0084016E" w:rsidRDefault="00861C9D" w:rsidP="009E4F77">
      <w:pPr>
        <w:pStyle w:val="enumlev1"/>
        <w:rPr>
          <w:lang w:val="fr-FR"/>
        </w:rPr>
      </w:pPr>
      <w:r w:rsidRPr="0084016E">
        <w:rPr>
          <w:lang w:val="fr-FR"/>
        </w:rPr>
        <w:t>–</w:t>
      </w:r>
      <w:r w:rsidRPr="0084016E">
        <w:rPr>
          <w:lang w:val="fr-FR"/>
        </w:rPr>
        <w:tab/>
      </w:r>
      <w:r w:rsidR="007A6298" w:rsidRPr="0084016E">
        <w:rPr>
          <w:lang w:val="fr-FR"/>
        </w:rPr>
        <w:t xml:space="preserve">BT.1661-1 </w:t>
      </w:r>
      <w:r w:rsidR="00BC4156" w:rsidRPr="0084016E">
        <w:rPr>
          <w:lang w:val="fr-FR"/>
        </w:rPr>
        <w:t xml:space="preserve">– </w:t>
      </w:r>
      <w:r w:rsidR="004E4A89" w:rsidRPr="0084016E">
        <w:rPr>
          <w:lang w:val="fr-FR"/>
        </w:rPr>
        <w:t>«</w:t>
      </w:r>
      <w:r w:rsidRPr="0084016E">
        <w:rPr>
          <w:lang w:val="fr-FR"/>
        </w:rPr>
        <w:t>Applications télévisuelles pour projection en salle – Spécifications d</w:t>
      </w:r>
      <w:r w:rsidR="009C1307" w:rsidRPr="0084016E">
        <w:rPr>
          <w:lang w:val="fr-FR"/>
        </w:rPr>
        <w:t>'</w:t>
      </w:r>
      <w:r w:rsidRPr="0084016E">
        <w:rPr>
          <w:lang w:val="fr-FR"/>
        </w:rPr>
        <w:t>utilisateur</w:t>
      </w:r>
      <w:r w:rsidR="004E4A89" w:rsidRPr="0084016E">
        <w:rPr>
          <w:lang w:val="fr-FR"/>
        </w:rPr>
        <w:t>»</w:t>
      </w:r>
    </w:p>
    <w:p w14:paraId="464EEDFC" w14:textId="3539F84E" w:rsidR="000A1596" w:rsidRPr="0084016E" w:rsidRDefault="00861C9D" w:rsidP="009E4F77">
      <w:pPr>
        <w:pStyle w:val="enumlev1"/>
        <w:rPr>
          <w:lang w:val="fr-FR"/>
        </w:rPr>
      </w:pPr>
      <w:r w:rsidRPr="0084016E">
        <w:rPr>
          <w:lang w:val="fr-FR"/>
        </w:rPr>
        <w:lastRenderedPageBreak/>
        <w:t>–</w:t>
      </w:r>
      <w:r w:rsidRPr="0084016E">
        <w:rPr>
          <w:lang w:val="fr-FR"/>
        </w:rPr>
        <w:tab/>
        <w:t>BT.2016</w:t>
      </w:r>
      <w:r w:rsidR="008A730C" w:rsidRPr="0084016E">
        <w:rPr>
          <w:lang w:val="fr-FR"/>
        </w:rPr>
        <w:t>-</w:t>
      </w:r>
      <w:r w:rsidRPr="0084016E">
        <w:rPr>
          <w:lang w:val="fr-FR"/>
        </w:rPr>
        <w:t xml:space="preserve">4 </w:t>
      </w:r>
      <w:r w:rsidR="00BC4156" w:rsidRPr="0084016E">
        <w:rPr>
          <w:lang w:val="fr-FR"/>
        </w:rPr>
        <w:t xml:space="preserve">– </w:t>
      </w:r>
      <w:r w:rsidR="004E4A89" w:rsidRPr="0084016E">
        <w:rPr>
          <w:lang w:val="fr-FR"/>
        </w:rPr>
        <w:t>«</w:t>
      </w:r>
      <w:r w:rsidRPr="0084016E">
        <w:rPr>
          <w:lang w:val="fr-FR"/>
        </w:rPr>
        <w:t>Méthodes de correction d</w:t>
      </w:r>
      <w:r w:rsidR="009C1307" w:rsidRPr="0084016E">
        <w:rPr>
          <w:lang w:val="fr-FR"/>
        </w:rPr>
        <w:t>'</w:t>
      </w:r>
      <w:r w:rsidRPr="0084016E">
        <w:rPr>
          <w:lang w:val="fr-FR"/>
        </w:rPr>
        <w:t>erreur, de mise en trame des données, de modulation et d</w:t>
      </w:r>
      <w:r w:rsidR="009C1307" w:rsidRPr="0084016E">
        <w:rPr>
          <w:lang w:val="fr-FR"/>
        </w:rPr>
        <w:t>'</w:t>
      </w:r>
      <w:r w:rsidRPr="0084016E">
        <w:rPr>
          <w:lang w:val="fr-FR"/>
        </w:rPr>
        <w:t>émission pour la radiodiffusion multimédia de Terre, pour la réception mobile au moyen de récepteurs portatifs dans les bandes d</w:t>
      </w:r>
      <w:r w:rsidR="009C1307" w:rsidRPr="0084016E">
        <w:rPr>
          <w:lang w:val="fr-FR"/>
        </w:rPr>
        <w:t>'</w:t>
      </w:r>
      <w:r w:rsidRPr="0084016E">
        <w:rPr>
          <w:lang w:val="fr-FR"/>
        </w:rPr>
        <w:t>ondes métriques/décimétriques</w:t>
      </w:r>
      <w:r w:rsidR="004E4A89" w:rsidRPr="0084016E">
        <w:rPr>
          <w:lang w:val="fr-FR"/>
        </w:rPr>
        <w:t>»</w:t>
      </w:r>
    </w:p>
    <w:p w14:paraId="2986A3D9" w14:textId="35A82EEF" w:rsidR="00861C9D" w:rsidRPr="0084016E" w:rsidRDefault="00861C9D" w:rsidP="009E4F77">
      <w:pPr>
        <w:pStyle w:val="enumlev1"/>
        <w:rPr>
          <w:lang w:val="fr-FR"/>
        </w:rPr>
      </w:pPr>
      <w:r w:rsidRPr="0084016E">
        <w:rPr>
          <w:lang w:val="fr-FR"/>
        </w:rPr>
        <w:t>–</w:t>
      </w:r>
      <w:r w:rsidRPr="0084016E">
        <w:rPr>
          <w:lang w:val="fr-FR"/>
        </w:rPr>
        <w:tab/>
        <w:t>BT.2100</w:t>
      </w:r>
      <w:r w:rsidRPr="0084016E">
        <w:rPr>
          <w:lang w:val="fr-FR"/>
        </w:rPr>
        <w:noBreakHyphen/>
      </w:r>
      <w:r w:rsidR="008A730C" w:rsidRPr="0084016E">
        <w:rPr>
          <w:lang w:val="fr-FR"/>
        </w:rPr>
        <w:t>3</w:t>
      </w:r>
      <w:r w:rsidRPr="0084016E">
        <w:rPr>
          <w:lang w:val="fr-FR"/>
        </w:rPr>
        <w:t xml:space="preserve"> </w:t>
      </w:r>
      <w:r w:rsidR="00BC4156" w:rsidRPr="0084016E">
        <w:rPr>
          <w:lang w:val="fr-FR"/>
        </w:rPr>
        <w:t xml:space="preserve">– </w:t>
      </w:r>
      <w:r w:rsidR="004E4A89" w:rsidRPr="0084016E">
        <w:rPr>
          <w:lang w:val="fr-FR"/>
        </w:rPr>
        <w:t>«</w:t>
      </w:r>
      <w:r w:rsidRPr="0084016E">
        <w:rPr>
          <w:lang w:val="fr-FR"/>
        </w:rPr>
        <w:t>Valeurs des paramètres de l</w:t>
      </w:r>
      <w:r w:rsidR="009C1307" w:rsidRPr="0084016E">
        <w:rPr>
          <w:lang w:val="fr-FR"/>
        </w:rPr>
        <w:t>'</w:t>
      </w:r>
      <w:r w:rsidRPr="0084016E">
        <w:rPr>
          <w:lang w:val="fr-FR"/>
        </w:rPr>
        <w:t xml:space="preserve">image dans le cas de systèmes de télévision à grande plage dynamique à </w:t>
      </w:r>
      <w:r w:rsidR="008A730C" w:rsidRPr="0084016E">
        <w:rPr>
          <w:lang w:val="fr-FR"/>
        </w:rPr>
        <w:t>utiliser</w:t>
      </w:r>
      <w:r w:rsidRPr="0084016E">
        <w:rPr>
          <w:lang w:val="fr-FR"/>
        </w:rPr>
        <w:t xml:space="preserve"> pour la produc</w:t>
      </w:r>
      <w:r w:rsidR="008A730C" w:rsidRPr="0084016E">
        <w:rPr>
          <w:lang w:val="fr-FR"/>
        </w:rPr>
        <w:t>tio</w:t>
      </w:r>
      <w:r w:rsidRPr="0084016E">
        <w:rPr>
          <w:lang w:val="fr-FR"/>
        </w:rPr>
        <w:t>n et l</w:t>
      </w:r>
      <w:r w:rsidR="009C1307" w:rsidRPr="0084016E">
        <w:rPr>
          <w:lang w:val="fr-FR"/>
        </w:rPr>
        <w:t>'</w:t>
      </w:r>
      <w:r w:rsidRPr="0084016E">
        <w:rPr>
          <w:lang w:val="fr-FR"/>
        </w:rPr>
        <w:t xml:space="preserve">échange </w:t>
      </w:r>
      <w:r w:rsidR="008A730C" w:rsidRPr="0084016E">
        <w:rPr>
          <w:lang w:val="fr-FR"/>
        </w:rPr>
        <w:t>international</w:t>
      </w:r>
      <w:r w:rsidRPr="0084016E">
        <w:rPr>
          <w:lang w:val="fr-FR"/>
        </w:rPr>
        <w:t xml:space="preserve"> de programmes</w:t>
      </w:r>
      <w:r w:rsidR="004E4A89" w:rsidRPr="0084016E">
        <w:rPr>
          <w:lang w:val="fr-FR"/>
        </w:rPr>
        <w:t>»</w:t>
      </w:r>
    </w:p>
    <w:p w14:paraId="1F90D5CA" w14:textId="5279A6C6" w:rsidR="00861C9D" w:rsidRPr="0084016E" w:rsidRDefault="00861C9D" w:rsidP="009E4F77">
      <w:pPr>
        <w:pStyle w:val="enumlev1"/>
        <w:rPr>
          <w:lang w:val="fr-FR"/>
        </w:rPr>
      </w:pPr>
      <w:r w:rsidRPr="0084016E">
        <w:rPr>
          <w:lang w:val="fr-FR"/>
        </w:rPr>
        <w:t>–</w:t>
      </w:r>
      <w:r w:rsidRPr="0084016E">
        <w:rPr>
          <w:lang w:val="fr-FR"/>
        </w:rPr>
        <w:tab/>
      </w:r>
      <w:r w:rsidR="008A730C" w:rsidRPr="0084016E">
        <w:rPr>
          <w:lang w:val="fr-FR"/>
        </w:rPr>
        <w:t xml:space="preserve">BT.2123-1 </w:t>
      </w:r>
      <w:r w:rsidR="00BC4156" w:rsidRPr="0084016E">
        <w:rPr>
          <w:lang w:val="fr-FR"/>
        </w:rPr>
        <w:t xml:space="preserve">– </w:t>
      </w:r>
      <w:r w:rsidR="004E4A89" w:rsidRPr="0084016E">
        <w:rPr>
          <w:lang w:val="fr-FR"/>
        </w:rPr>
        <w:t>«</w:t>
      </w:r>
      <w:r w:rsidRPr="0084016E">
        <w:rPr>
          <w:lang w:val="fr-FR"/>
        </w:rPr>
        <w:t>Valeurs de paramètres vidéo des systèmes audiovisuels en immersion évolués pour la production et l</w:t>
      </w:r>
      <w:r w:rsidR="009C1307" w:rsidRPr="0084016E">
        <w:rPr>
          <w:lang w:val="fr-FR"/>
        </w:rPr>
        <w:t>'</w:t>
      </w:r>
      <w:r w:rsidRPr="0084016E">
        <w:rPr>
          <w:lang w:val="fr-FR"/>
        </w:rPr>
        <w:t>échange international de programmes de radiodiffusion</w:t>
      </w:r>
      <w:r w:rsidR="004E4A89" w:rsidRPr="0084016E">
        <w:rPr>
          <w:lang w:val="fr-FR"/>
        </w:rPr>
        <w:t>»</w:t>
      </w:r>
    </w:p>
    <w:p w14:paraId="3E6FE105" w14:textId="351E3639" w:rsidR="003010EF" w:rsidRPr="0084016E" w:rsidRDefault="003010EF" w:rsidP="009E4F77">
      <w:pPr>
        <w:pStyle w:val="enumlev1"/>
        <w:rPr>
          <w:lang w:val="fr-FR"/>
        </w:rPr>
      </w:pPr>
      <w:r w:rsidRPr="0084016E">
        <w:rPr>
          <w:lang w:val="fr-FR"/>
        </w:rPr>
        <w:t>–</w:t>
      </w:r>
      <w:r w:rsidRPr="0084016E">
        <w:rPr>
          <w:lang w:val="fr-FR"/>
        </w:rPr>
        <w:tab/>
        <w:t xml:space="preserve">BT.2166-0 </w:t>
      </w:r>
      <w:r w:rsidR="00BC4156" w:rsidRPr="0084016E">
        <w:rPr>
          <w:lang w:val="fr-FR"/>
        </w:rPr>
        <w:t xml:space="preserve">– </w:t>
      </w:r>
      <w:r w:rsidR="004E4A89" w:rsidRPr="0084016E">
        <w:rPr>
          <w:lang w:val="fr-FR"/>
        </w:rPr>
        <w:t>«</w:t>
      </w:r>
      <w:r w:rsidRPr="0084016E">
        <w:rPr>
          <w:lang w:val="fr-FR"/>
        </w:rPr>
        <w:t>Conditions d</w:t>
      </w:r>
      <w:r w:rsidR="009C1307" w:rsidRPr="0084016E">
        <w:rPr>
          <w:lang w:val="fr-FR"/>
        </w:rPr>
        <w:t>'</w:t>
      </w:r>
      <w:r w:rsidRPr="0084016E">
        <w:rPr>
          <w:lang w:val="fr-FR"/>
        </w:rPr>
        <w:t xml:space="preserve">observation pour le contrôle à grande plage dynamique et à plage dynamique standard à proximité rapprochée dans un environnement de production à plage dynamique élevée </w:t>
      </w:r>
      <w:r w:rsidR="00A94195" w:rsidRPr="0084016E">
        <w:rPr>
          <w:lang w:val="fr-FR"/>
        </w:rPr>
        <w:t>unique</w:t>
      </w:r>
      <w:r w:rsidR="004E4A89" w:rsidRPr="0084016E">
        <w:rPr>
          <w:lang w:val="fr-FR"/>
        </w:rPr>
        <w:t>»</w:t>
      </w:r>
    </w:p>
    <w:p w14:paraId="4EA8AB62" w14:textId="6778B304" w:rsidR="00861C9D" w:rsidRPr="0084016E" w:rsidRDefault="00861C9D" w:rsidP="009E4F77">
      <w:pPr>
        <w:pStyle w:val="enumlev1"/>
        <w:rPr>
          <w:lang w:val="fr-FR"/>
        </w:rPr>
      </w:pPr>
      <w:r w:rsidRPr="0084016E">
        <w:rPr>
          <w:lang w:val="fr-FR"/>
        </w:rPr>
        <w:t>–</w:t>
      </w:r>
      <w:r w:rsidRPr="0084016E">
        <w:rPr>
          <w:lang w:val="fr-FR"/>
        </w:rPr>
        <w:tab/>
      </w:r>
      <w:r w:rsidR="00831B7F" w:rsidRPr="0084016E">
        <w:rPr>
          <w:lang w:val="fr-FR"/>
        </w:rPr>
        <w:t xml:space="preserve">BT.2167-0 </w:t>
      </w:r>
      <w:r w:rsidR="00BC4156" w:rsidRPr="0084016E">
        <w:rPr>
          <w:lang w:val="fr-FR"/>
        </w:rPr>
        <w:t xml:space="preserve">– </w:t>
      </w:r>
      <w:r w:rsidR="004E4A89" w:rsidRPr="0084016E">
        <w:rPr>
          <w:lang w:val="fr-FR"/>
        </w:rPr>
        <w:t>«</w:t>
      </w:r>
      <w:r w:rsidRPr="0084016E">
        <w:rPr>
          <w:lang w:val="fr-FR"/>
        </w:rPr>
        <w:t>Cadre pour les méthodes adaptatives de réduction de la consommation d</w:t>
      </w:r>
      <w:r w:rsidR="009C1307" w:rsidRPr="0084016E">
        <w:rPr>
          <w:lang w:val="fr-FR"/>
        </w:rPr>
        <w:t>'</w:t>
      </w:r>
      <w:r w:rsidRPr="0084016E">
        <w:rPr>
          <w:lang w:val="fr-FR"/>
        </w:rPr>
        <w:t>énergie des écrans de télévision en fonction du contenu</w:t>
      </w:r>
      <w:r w:rsidR="004E4A89" w:rsidRPr="0084016E">
        <w:rPr>
          <w:lang w:val="fr-FR"/>
        </w:rPr>
        <w:t>»</w:t>
      </w:r>
    </w:p>
    <w:p w14:paraId="7AEA6D13" w14:textId="1C789E69" w:rsidR="0025739A" w:rsidRPr="0084016E" w:rsidRDefault="0025739A" w:rsidP="001732C2">
      <w:pPr>
        <w:pStyle w:val="Headingb"/>
        <w:rPr>
          <w:lang w:val="fr-FR"/>
        </w:rPr>
      </w:pPr>
      <w:r w:rsidRPr="0084016E">
        <w:rPr>
          <w:bCs/>
          <w:lang w:val="fr-FR"/>
        </w:rPr>
        <w:t>Rapports UIT-R</w:t>
      </w:r>
      <w:r w:rsidR="004E4A89" w:rsidRPr="0084016E">
        <w:rPr>
          <w:bCs/>
          <w:lang w:val="fr-FR"/>
        </w:rPr>
        <w:t>:</w:t>
      </w:r>
    </w:p>
    <w:p w14:paraId="077553E6" w14:textId="783E500F" w:rsidR="006013A7" w:rsidRPr="0084016E" w:rsidRDefault="000606D2" w:rsidP="009E4F77">
      <w:pPr>
        <w:pStyle w:val="enumlev1"/>
        <w:rPr>
          <w:lang w:val="fr-FR"/>
        </w:rPr>
      </w:pPr>
      <w:r w:rsidRPr="0084016E">
        <w:rPr>
          <w:lang w:val="fr-FR"/>
        </w:rPr>
        <w:t>–</w:t>
      </w:r>
      <w:r w:rsidRPr="0084016E">
        <w:rPr>
          <w:lang w:val="fr-FR"/>
        </w:rPr>
        <w:tab/>
        <w:t>BS.2388</w:t>
      </w:r>
      <w:r w:rsidR="00A36939" w:rsidRPr="0084016E">
        <w:rPr>
          <w:lang w:val="fr-FR"/>
        </w:rPr>
        <w:t>-</w:t>
      </w:r>
      <w:r w:rsidRPr="0084016E">
        <w:rPr>
          <w:lang w:val="fr-FR"/>
        </w:rPr>
        <w:t xml:space="preserve">5 </w:t>
      </w:r>
      <w:r w:rsidR="00BC4156" w:rsidRPr="0084016E">
        <w:rPr>
          <w:lang w:val="fr-FR"/>
        </w:rPr>
        <w:t xml:space="preserve">– </w:t>
      </w:r>
      <w:r w:rsidR="004E4A89" w:rsidRPr="0084016E">
        <w:rPr>
          <w:lang w:val="fr-FR"/>
        </w:rPr>
        <w:t>«</w:t>
      </w:r>
      <w:r w:rsidRPr="0084016E">
        <w:rPr>
          <w:lang w:val="fr-FR"/>
        </w:rPr>
        <w:t>Lignes directrices d</w:t>
      </w:r>
      <w:r w:rsidR="009C1307" w:rsidRPr="0084016E">
        <w:rPr>
          <w:lang w:val="fr-FR"/>
        </w:rPr>
        <w:t>'</w:t>
      </w:r>
      <w:r w:rsidRPr="0084016E">
        <w:rPr>
          <w:lang w:val="fr-FR"/>
        </w:rPr>
        <w:t>utilisation pour le modèle de définition audio et les fichiers audio multivoies</w:t>
      </w:r>
      <w:r w:rsidR="004E4A89" w:rsidRPr="0084016E">
        <w:rPr>
          <w:lang w:val="fr-FR"/>
        </w:rPr>
        <w:t>»</w:t>
      </w:r>
    </w:p>
    <w:p w14:paraId="66631003" w14:textId="4999D2EF" w:rsidR="006013A7" w:rsidRPr="0084016E" w:rsidRDefault="006013A7" w:rsidP="009E4F77">
      <w:pPr>
        <w:pStyle w:val="enumlev1"/>
        <w:rPr>
          <w:lang w:val="fr-FR"/>
        </w:rPr>
      </w:pPr>
      <w:r w:rsidRPr="0084016E">
        <w:rPr>
          <w:lang w:val="fr-FR"/>
        </w:rPr>
        <w:t>–</w:t>
      </w:r>
      <w:r w:rsidRPr="0084016E">
        <w:rPr>
          <w:lang w:val="fr-FR"/>
        </w:rPr>
        <w:tab/>
        <w:t>BS.2493</w:t>
      </w:r>
      <w:r w:rsidR="00A36939" w:rsidRPr="0084016E">
        <w:rPr>
          <w:lang w:val="fr-FR"/>
        </w:rPr>
        <w:t>-</w:t>
      </w:r>
      <w:r w:rsidRPr="0084016E">
        <w:rPr>
          <w:lang w:val="fr-FR"/>
        </w:rPr>
        <w:t xml:space="preserve">1 </w:t>
      </w:r>
      <w:r w:rsidR="00BC4156" w:rsidRPr="0084016E">
        <w:rPr>
          <w:lang w:val="fr-FR"/>
        </w:rPr>
        <w:t xml:space="preserve">– </w:t>
      </w:r>
      <w:r w:rsidR="004E4A89" w:rsidRPr="0084016E">
        <w:rPr>
          <w:lang w:val="fr-FR"/>
        </w:rPr>
        <w:t>«</w:t>
      </w:r>
      <w:r w:rsidRPr="0084016E">
        <w:rPr>
          <w:lang w:val="fr-FR"/>
        </w:rPr>
        <w:t>Mise en œuvre pratique des systèmes de radiodiffusion utilisant des codecs audio pour les systèmes sonores évolués de l</w:t>
      </w:r>
      <w:r w:rsidR="009C1307" w:rsidRPr="0084016E">
        <w:rPr>
          <w:lang w:val="fr-FR"/>
        </w:rPr>
        <w:t>'</w:t>
      </w:r>
      <w:r w:rsidRPr="0084016E">
        <w:rPr>
          <w:lang w:val="fr-FR"/>
        </w:rPr>
        <w:t>UIT</w:t>
      </w:r>
      <w:r w:rsidR="004E4A89" w:rsidRPr="0084016E">
        <w:rPr>
          <w:lang w:val="fr-FR"/>
        </w:rPr>
        <w:t>»</w:t>
      </w:r>
    </w:p>
    <w:p w14:paraId="5249933F" w14:textId="3D8987CD" w:rsidR="006013A7" w:rsidRPr="0084016E" w:rsidRDefault="006013A7" w:rsidP="009E4F77">
      <w:pPr>
        <w:pStyle w:val="enumlev1"/>
        <w:rPr>
          <w:lang w:val="fr-FR"/>
        </w:rPr>
      </w:pPr>
      <w:r w:rsidRPr="0084016E">
        <w:rPr>
          <w:lang w:val="fr-FR"/>
        </w:rPr>
        <w:t>–</w:t>
      </w:r>
      <w:r w:rsidRPr="0084016E">
        <w:rPr>
          <w:lang w:val="fr-FR"/>
        </w:rPr>
        <w:tab/>
        <w:t xml:space="preserve">BT.2343-9 </w:t>
      </w:r>
      <w:r w:rsidR="00BC4156" w:rsidRPr="0084016E">
        <w:rPr>
          <w:lang w:val="fr-FR"/>
        </w:rPr>
        <w:t xml:space="preserve">– </w:t>
      </w:r>
      <w:r w:rsidR="004E4A89" w:rsidRPr="0084016E">
        <w:rPr>
          <w:lang w:val="fr-FR"/>
        </w:rPr>
        <w:t>«</w:t>
      </w:r>
      <w:r w:rsidRPr="0084016E">
        <w:rPr>
          <w:lang w:val="fr-FR"/>
        </w:rPr>
        <w:t>Ensemble d</w:t>
      </w:r>
      <w:r w:rsidR="009C1307" w:rsidRPr="0084016E">
        <w:rPr>
          <w:lang w:val="fr-FR"/>
        </w:rPr>
        <w:t>'</w:t>
      </w:r>
      <w:r w:rsidRPr="0084016E">
        <w:rPr>
          <w:lang w:val="fr-FR"/>
        </w:rPr>
        <w:t>essais sur le terrain de télévision à ultra haute définition sur les réseaux de radiodiffusion télévisuelle numérique de Terre</w:t>
      </w:r>
      <w:r w:rsidR="004E4A89" w:rsidRPr="0084016E">
        <w:rPr>
          <w:lang w:val="fr-FR"/>
        </w:rPr>
        <w:t>»</w:t>
      </w:r>
    </w:p>
    <w:p w14:paraId="2AD4FA9E" w14:textId="023C4EE3" w:rsidR="006013A7" w:rsidRPr="0084016E" w:rsidRDefault="006013A7" w:rsidP="009E4F77">
      <w:pPr>
        <w:pStyle w:val="enumlev1"/>
        <w:rPr>
          <w:lang w:val="fr-FR"/>
        </w:rPr>
      </w:pPr>
      <w:r w:rsidRPr="0084016E">
        <w:rPr>
          <w:lang w:val="fr-FR"/>
        </w:rPr>
        <w:t>–</w:t>
      </w:r>
      <w:r w:rsidRPr="0084016E">
        <w:rPr>
          <w:lang w:val="fr-FR"/>
        </w:rPr>
        <w:tab/>
        <w:t>BT.2386</w:t>
      </w:r>
      <w:r w:rsidR="00A36939" w:rsidRPr="0084016E">
        <w:rPr>
          <w:lang w:val="fr-FR"/>
        </w:rPr>
        <w:t>-</w:t>
      </w:r>
      <w:r w:rsidRPr="0084016E">
        <w:rPr>
          <w:lang w:val="fr-FR"/>
        </w:rPr>
        <w:t xml:space="preserve">5 </w:t>
      </w:r>
      <w:r w:rsidR="00BC4156" w:rsidRPr="0084016E">
        <w:rPr>
          <w:lang w:val="fr-FR"/>
        </w:rPr>
        <w:t xml:space="preserve">– </w:t>
      </w:r>
      <w:r w:rsidR="004E4A89" w:rsidRPr="0084016E">
        <w:rPr>
          <w:lang w:val="fr-FR"/>
        </w:rPr>
        <w:t>«</w:t>
      </w:r>
      <w:r w:rsidRPr="0084016E">
        <w:rPr>
          <w:lang w:val="fr-FR"/>
        </w:rPr>
        <w:t>Radiodiffusion numérique de Terre: conception et mise en œuvre de réseaux monofréquence (SFN)</w:t>
      </w:r>
      <w:r w:rsidR="004E4A89" w:rsidRPr="0084016E">
        <w:rPr>
          <w:lang w:val="fr-FR"/>
        </w:rPr>
        <w:t>»</w:t>
      </w:r>
    </w:p>
    <w:p w14:paraId="04339887" w14:textId="6481B9DE" w:rsidR="006013A7" w:rsidRPr="0084016E" w:rsidRDefault="006013A7" w:rsidP="009E4F77">
      <w:pPr>
        <w:pStyle w:val="enumlev1"/>
        <w:rPr>
          <w:lang w:val="fr-FR"/>
        </w:rPr>
      </w:pPr>
      <w:r w:rsidRPr="0084016E">
        <w:rPr>
          <w:lang w:val="fr-FR"/>
        </w:rPr>
        <w:t>–</w:t>
      </w:r>
      <w:r w:rsidRPr="0084016E">
        <w:rPr>
          <w:lang w:val="fr-FR"/>
        </w:rPr>
        <w:tab/>
        <w:t>BT.2389</w:t>
      </w:r>
      <w:r w:rsidRPr="0084016E">
        <w:rPr>
          <w:lang w:val="fr-FR"/>
        </w:rPr>
        <w:noBreakHyphen/>
      </w:r>
      <w:r w:rsidR="00A36939" w:rsidRPr="0084016E">
        <w:rPr>
          <w:lang w:val="fr-FR"/>
        </w:rPr>
        <w:t>1</w:t>
      </w:r>
      <w:r w:rsidRPr="0084016E">
        <w:rPr>
          <w:lang w:val="fr-FR"/>
        </w:rPr>
        <w:t xml:space="preserve"> </w:t>
      </w:r>
      <w:r w:rsidR="00BC4156" w:rsidRPr="0084016E">
        <w:rPr>
          <w:lang w:val="fr-FR"/>
        </w:rPr>
        <w:t xml:space="preserve">– </w:t>
      </w:r>
      <w:r w:rsidR="004E4A89" w:rsidRPr="0084016E">
        <w:rPr>
          <w:lang w:val="fr-FR"/>
        </w:rPr>
        <w:t>«</w:t>
      </w:r>
      <w:r w:rsidRPr="0084016E">
        <w:rPr>
          <w:lang w:val="fr-FR"/>
        </w:rPr>
        <w:t>Lignes directrices sur la mesure des systèmes de radiodiffusion télévisuelle numérique de Terre</w:t>
      </w:r>
      <w:r w:rsidR="004E4A89" w:rsidRPr="0084016E">
        <w:rPr>
          <w:lang w:val="fr-FR"/>
        </w:rPr>
        <w:t>»</w:t>
      </w:r>
    </w:p>
    <w:p w14:paraId="27D40C37" w14:textId="33CE54D5" w:rsidR="006013A7" w:rsidRPr="0084016E" w:rsidRDefault="006013A7" w:rsidP="009E4F77">
      <w:pPr>
        <w:pStyle w:val="enumlev1"/>
        <w:rPr>
          <w:lang w:val="fr-FR"/>
        </w:rPr>
      </w:pPr>
      <w:r w:rsidRPr="0084016E">
        <w:rPr>
          <w:lang w:val="fr-FR"/>
        </w:rPr>
        <w:t>–</w:t>
      </w:r>
      <w:r w:rsidRPr="0084016E">
        <w:rPr>
          <w:lang w:val="fr-FR"/>
        </w:rPr>
        <w:tab/>
        <w:t>BT.2408-</w:t>
      </w:r>
      <w:r w:rsidR="004E4A89" w:rsidRPr="0084016E">
        <w:rPr>
          <w:lang w:val="fr-FR"/>
        </w:rPr>
        <w:t>8</w:t>
      </w:r>
      <w:r w:rsidRPr="0084016E">
        <w:rPr>
          <w:lang w:val="fr-FR"/>
        </w:rPr>
        <w:t xml:space="preserve"> </w:t>
      </w:r>
      <w:r w:rsidR="00BC4156" w:rsidRPr="0084016E">
        <w:rPr>
          <w:lang w:val="fr-FR"/>
        </w:rPr>
        <w:t xml:space="preserve">– </w:t>
      </w:r>
      <w:r w:rsidR="004E4A89" w:rsidRPr="0084016E">
        <w:rPr>
          <w:lang w:val="fr-FR"/>
        </w:rPr>
        <w:t>«</w:t>
      </w:r>
      <w:r w:rsidR="009032AC" w:rsidRPr="0084016E">
        <w:rPr>
          <w:lang w:val="fr-FR"/>
        </w:rPr>
        <w:t>Proposition de lignes directrices</w:t>
      </w:r>
      <w:r w:rsidRPr="0084016E">
        <w:rPr>
          <w:lang w:val="fr-FR"/>
        </w:rPr>
        <w:t xml:space="preserve"> concernant les pratiques opérationnelles pour la production de programmes de télévision à grande plage dynamique</w:t>
      </w:r>
      <w:r w:rsidR="004E4A89" w:rsidRPr="0084016E">
        <w:rPr>
          <w:lang w:val="fr-FR"/>
        </w:rPr>
        <w:t>»</w:t>
      </w:r>
    </w:p>
    <w:p w14:paraId="51952A1A" w14:textId="4AECC71E" w:rsidR="006013A7" w:rsidRPr="0084016E" w:rsidRDefault="006013A7" w:rsidP="009E4F77">
      <w:pPr>
        <w:pStyle w:val="enumlev1"/>
        <w:rPr>
          <w:lang w:val="fr-FR"/>
        </w:rPr>
      </w:pPr>
      <w:r w:rsidRPr="0084016E">
        <w:rPr>
          <w:lang w:val="fr-FR"/>
        </w:rPr>
        <w:t>–</w:t>
      </w:r>
      <w:r w:rsidRPr="0084016E">
        <w:rPr>
          <w:lang w:val="fr-FR"/>
        </w:rPr>
        <w:tab/>
        <w:t>BT.2420</w:t>
      </w:r>
      <w:r w:rsidR="00CF62A2" w:rsidRPr="0084016E">
        <w:rPr>
          <w:lang w:val="fr-FR"/>
        </w:rPr>
        <w:t>-</w:t>
      </w:r>
      <w:r w:rsidR="00AA7A8F" w:rsidRPr="0084016E">
        <w:rPr>
          <w:lang w:val="fr-FR"/>
        </w:rPr>
        <w:t>7</w:t>
      </w:r>
      <w:r w:rsidRPr="0084016E">
        <w:rPr>
          <w:lang w:val="fr-FR"/>
        </w:rPr>
        <w:t xml:space="preserve"> </w:t>
      </w:r>
      <w:r w:rsidR="00BC4156" w:rsidRPr="0084016E">
        <w:rPr>
          <w:lang w:val="fr-FR"/>
        </w:rPr>
        <w:t xml:space="preserve">– </w:t>
      </w:r>
      <w:r w:rsidR="004E4A89" w:rsidRPr="0084016E">
        <w:rPr>
          <w:lang w:val="fr-FR"/>
        </w:rPr>
        <w:t>«</w:t>
      </w:r>
      <w:r w:rsidR="00CF62A2" w:rsidRPr="0084016E">
        <w:rPr>
          <w:lang w:val="fr-FR"/>
        </w:rPr>
        <w:t>Ensemble de scénarios d'utilisation des systèmes multimédias sensoriels en immersion évolués</w:t>
      </w:r>
      <w:r w:rsidR="004E4A89" w:rsidRPr="0084016E">
        <w:rPr>
          <w:lang w:val="fr-FR"/>
        </w:rPr>
        <w:t>»</w:t>
      </w:r>
    </w:p>
    <w:p w14:paraId="0483215A" w14:textId="20730EA9" w:rsidR="006013A7" w:rsidRPr="0084016E" w:rsidRDefault="006013A7" w:rsidP="009E4F77">
      <w:pPr>
        <w:pStyle w:val="enumlev1"/>
        <w:rPr>
          <w:lang w:val="fr-FR"/>
        </w:rPr>
      </w:pPr>
      <w:r w:rsidRPr="0084016E">
        <w:rPr>
          <w:lang w:val="fr-FR"/>
        </w:rPr>
        <w:t>–</w:t>
      </w:r>
      <w:r w:rsidRPr="0084016E">
        <w:rPr>
          <w:lang w:val="fr-FR"/>
        </w:rPr>
        <w:tab/>
        <w:t>BT.2467-</w:t>
      </w:r>
      <w:r w:rsidR="00AA7A8F" w:rsidRPr="0084016E">
        <w:rPr>
          <w:lang w:val="fr-FR"/>
        </w:rPr>
        <w:t>3</w:t>
      </w:r>
      <w:r w:rsidRPr="0084016E">
        <w:rPr>
          <w:lang w:val="fr-FR"/>
        </w:rPr>
        <w:t xml:space="preserve"> </w:t>
      </w:r>
      <w:r w:rsidR="00BC4156" w:rsidRPr="0084016E">
        <w:rPr>
          <w:lang w:val="fr-FR"/>
        </w:rPr>
        <w:t xml:space="preserve">– </w:t>
      </w:r>
      <w:r w:rsidR="00AA7A8F" w:rsidRPr="0084016E">
        <w:rPr>
          <w:lang w:val="fr-FR"/>
        </w:rPr>
        <w:t>«</w:t>
      </w:r>
      <w:r w:rsidRPr="0084016E">
        <w:rPr>
          <w:lang w:val="fr-FR"/>
        </w:rPr>
        <w:t>Méthodes d</w:t>
      </w:r>
      <w:r w:rsidR="009C1307" w:rsidRPr="0084016E">
        <w:rPr>
          <w:lang w:val="fr-FR"/>
        </w:rPr>
        <w:t>'</w:t>
      </w:r>
      <w:r w:rsidRPr="0084016E">
        <w:rPr>
          <w:lang w:val="fr-FR"/>
        </w:rPr>
        <w:t>évaluation de la qualité de service</w:t>
      </w:r>
      <w:r w:rsidR="00CF62A2" w:rsidRPr="0084016E">
        <w:rPr>
          <w:lang w:val="fr-FR"/>
        </w:rPr>
        <w:t xml:space="preserve"> de</w:t>
      </w:r>
      <w:r w:rsidRPr="0084016E">
        <w:rPr>
          <w:lang w:val="fr-FR"/>
        </w:rPr>
        <w:t xml:space="preserve"> </w:t>
      </w:r>
      <w:r w:rsidR="00CF62A2" w:rsidRPr="0084016E">
        <w:rPr>
          <w:lang w:val="fr-FR"/>
        </w:rPr>
        <w:t>la deuxième génération de systèmes de radiodiffusion télévisuelle numérique de Terre</w:t>
      </w:r>
      <w:r w:rsidR="00AA7A8F" w:rsidRPr="0084016E">
        <w:rPr>
          <w:lang w:val="fr-FR"/>
        </w:rPr>
        <w:t>»</w:t>
      </w:r>
    </w:p>
    <w:p w14:paraId="4991CB87" w14:textId="7D34CA29" w:rsidR="006013A7" w:rsidRPr="0084016E" w:rsidRDefault="006013A7" w:rsidP="009E4F77">
      <w:pPr>
        <w:pStyle w:val="enumlev1"/>
        <w:rPr>
          <w:lang w:val="fr-FR"/>
        </w:rPr>
      </w:pPr>
      <w:r w:rsidRPr="0084016E">
        <w:rPr>
          <w:lang w:val="fr-FR"/>
        </w:rPr>
        <w:t>–</w:t>
      </w:r>
      <w:r w:rsidRPr="0084016E">
        <w:rPr>
          <w:lang w:val="fr-FR"/>
        </w:rPr>
        <w:tab/>
        <w:t>BT.2468</w:t>
      </w:r>
      <w:r w:rsidR="005C6DF5" w:rsidRPr="0084016E">
        <w:rPr>
          <w:lang w:val="fr-FR"/>
        </w:rPr>
        <w:t>-</w:t>
      </w:r>
      <w:r w:rsidRPr="0084016E">
        <w:rPr>
          <w:lang w:val="fr-FR"/>
        </w:rPr>
        <w:t xml:space="preserve">2 </w:t>
      </w:r>
      <w:r w:rsidR="00BC4156" w:rsidRPr="0084016E">
        <w:rPr>
          <w:lang w:val="fr-FR"/>
        </w:rPr>
        <w:t xml:space="preserve">– </w:t>
      </w:r>
      <w:r w:rsidR="00AA7A8F" w:rsidRPr="0084016E">
        <w:rPr>
          <w:lang w:val="fr-FR"/>
        </w:rPr>
        <w:t>«</w:t>
      </w:r>
      <w:r w:rsidR="005C6DF5" w:rsidRPr="0084016E">
        <w:rPr>
          <w:lang w:val="fr-FR"/>
        </w:rPr>
        <w:t>Indications concernant le choix des paramètres des systèmes et mise en place de systèmes DTTB de deuxième génération</w:t>
      </w:r>
      <w:r w:rsidR="00AA7A8F" w:rsidRPr="0084016E">
        <w:rPr>
          <w:lang w:val="fr-FR"/>
        </w:rPr>
        <w:t>»</w:t>
      </w:r>
    </w:p>
    <w:p w14:paraId="15A12421" w14:textId="4406B3A0" w:rsidR="006013A7" w:rsidRPr="0084016E" w:rsidRDefault="006013A7" w:rsidP="009E4F77">
      <w:pPr>
        <w:pStyle w:val="enumlev1"/>
        <w:rPr>
          <w:lang w:val="fr-FR"/>
        </w:rPr>
      </w:pPr>
      <w:r w:rsidRPr="0084016E">
        <w:rPr>
          <w:lang w:val="fr-FR"/>
        </w:rPr>
        <w:t>–</w:t>
      </w:r>
      <w:r w:rsidRPr="0084016E">
        <w:rPr>
          <w:lang w:val="fr-FR"/>
        </w:rPr>
        <w:tab/>
        <w:t>BT.2485</w:t>
      </w:r>
      <w:r w:rsidR="005C6DF5" w:rsidRPr="0084016E">
        <w:rPr>
          <w:lang w:val="fr-FR"/>
        </w:rPr>
        <w:t>-</w:t>
      </w:r>
      <w:r w:rsidRPr="0084016E">
        <w:rPr>
          <w:lang w:val="fr-FR"/>
        </w:rPr>
        <w:t xml:space="preserve">3 </w:t>
      </w:r>
      <w:r w:rsidR="00BC4156" w:rsidRPr="0084016E">
        <w:rPr>
          <w:lang w:val="fr-FR"/>
        </w:rPr>
        <w:t xml:space="preserve">– </w:t>
      </w:r>
      <w:r w:rsidR="00AA7A8F" w:rsidRPr="0084016E">
        <w:rPr>
          <w:lang w:val="fr-FR"/>
        </w:rPr>
        <w:t>«</w:t>
      </w:r>
      <w:r w:rsidRPr="0084016E">
        <w:rPr>
          <w:lang w:val="fr-FR"/>
        </w:rPr>
        <w:t>Méthodes avancées de planification et de transmission des réseaux pour les améliorations de la radiodiffusion télévisuelle numérique de Terre</w:t>
      </w:r>
      <w:r w:rsidR="00AA7A8F" w:rsidRPr="0084016E">
        <w:rPr>
          <w:lang w:val="fr-FR"/>
        </w:rPr>
        <w:t>»</w:t>
      </w:r>
    </w:p>
    <w:p w14:paraId="13FC323C" w14:textId="789A878A" w:rsidR="006013A7" w:rsidRPr="0084016E" w:rsidRDefault="006013A7" w:rsidP="009E4F77">
      <w:pPr>
        <w:pStyle w:val="enumlev1"/>
        <w:rPr>
          <w:lang w:val="fr-FR"/>
        </w:rPr>
      </w:pPr>
      <w:r w:rsidRPr="0084016E">
        <w:rPr>
          <w:lang w:val="fr-FR"/>
        </w:rPr>
        <w:t>–</w:t>
      </w:r>
      <w:r w:rsidRPr="0084016E">
        <w:rPr>
          <w:lang w:val="fr-FR"/>
        </w:rPr>
        <w:tab/>
        <w:t>BT.2506</w:t>
      </w:r>
      <w:r w:rsidR="005C6DF5" w:rsidRPr="0084016E">
        <w:rPr>
          <w:lang w:val="fr-FR"/>
        </w:rPr>
        <w:t>-</w:t>
      </w:r>
      <w:r w:rsidRPr="0084016E">
        <w:rPr>
          <w:lang w:val="fr-FR"/>
        </w:rPr>
        <w:t>1</w:t>
      </w:r>
      <w:r w:rsidR="005C6DF5" w:rsidRPr="0084016E">
        <w:rPr>
          <w:lang w:val="fr-FR"/>
        </w:rPr>
        <w:t xml:space="preserve"> </w:t>
      </w:r>
      <w:r w:rsidR="00BC4156" w:rsidRPr="0084016E">
        <w:rPr>
          <w:lang w:val="fr-FR"/>
        </w:rPr>
        <w:t xml:space="preserve">– </w:t>
      </w:r>
      <w:r w:rsidR="00AA7A8F" w:rsidRPr="0084016E">
        <w:rPr>
          <w:lang w:val="fr-FR"/>
        </w:rPr>
        <w:t>«</w:t>
      </w:r>
      <w:r w:rsidRPr="0084016E">
        <w:rPr>
          <w:lang w:val="fr-FR"/>
        </w:rPr>
        <w:t>Exigences relatives aux caractéristiques spatiales d</w:t>
      </w:r>
      <w:r w:rsidR="009C1307" w:rsidRPr="0084016E">
        <w:rPr>
          <w:lang w:val="fr-FR"/>
        </w:rPr>
        <w:t>'</w:t>
      </w:r>
      <w:r w:rsidRPr="0084016E">
        <w:rPr>
          <w:lang w:val="fr-FR"/>
        </w:rPr>
        <w:t>un visiocasque pour la vidéo en immersion</w:t>
      </w:r>
      <w:r w:rsidR="00AA7A8F" w:rsidRPr="0084016E">
        <w:rPr>
          <w:lang w:val="fr-FR"/>
        </w:rPr>
        <w:t>»</w:t>
      </w:r>
    </w:p>
    <w:p w14:paraId="424233EF" w14:textId="5B4EB2AA" w:rsidR="006013A7" w:rsidRPr="0084016E" w:rsidRDefault="006013A7" w:rsidP="009E4F77">
      <w:pPr>
        <w:pStyle w:val="enumlev1"/>
        <w:rPr>
          <w:lang w:val="fr-FR"/>
        </w:rPr>
      </w:pPr>
      <w:r w:rsidRPr="0084016E">
        <w:rPr>
          <w:lang w:val="fr-FR"/>
        </w:rPr>
        <w:t>–</w:t>
      </w:r>
      <w:r w:rsidRPr="0084016E">
        <w:rPr>
          <w:lang w:val="fr-FR"/>
        </w:rPr>
        <w:tab/>
        <w:t>BT.2521-</w:t>
      </w:r>
      <w:r w:rsidR="005C6DF5" w:rsidRPr="0084016E">
        <w:rPr>
          <w:lang w:val="fr-FR"/>
        </w:rPr>
        <w:t>1</w:t>
      </w:r>
      <w:r w:rsidRPr="0084016E">
        <w:rPr>
          <w:lang w:val="fr-FR"/>
        </w:rPr>
        <w:t xml:space="preserve"> </w:t>
      </w:r>
      <w:r w:rsidR="00BC4156" w:rsidRPr="0084016E">
        <w:rPr>
          <w:lang w:val="fr-FR"/>
        </w:rPr>
        <w:t xml:space="preserve">– </w:t>
      </w:r>
      <w:r w:rsidR="00AA7A8F" w:rsidRPr="0084016E">
        <w:rPr>
          <w:lang w:val="fr-FR"/>
        </w:rPr>
        <w:t>«</w:t>
      </w:r>
      <w:r w:rsidRPr="0084016E">
        <w:rPr>
          <w:lang w:val="fr-FR"/>
        </w:rPr>
        <w:t xml:space="preserve">Exemples concrets de mesures permettant de </w:t>
      </w:r>
      <w:r w:rsidR="005C6DF5" w:rsidRPr="0084016E">
        <w:rPr>
          <w:lang w:val="fr-FR"/>
        </w:rPr>
        <w:t xml:space="preserve">parvenir à </w:t>
      </w:r>
      <w:r w:rsidR="008325A5" w:rsidRPr="0084016E">
        <w:rPr>
          <w:color w:val="000000"/>
          <w:lang w:val="fr-FR"/>
        </w:rPr>
        <w:t>l'efficacité énergétique de la radiodiffusion</w:t>
      </w:r>
      <w:r w:rsidR="00AA7A8F" w:rsidRPr="0084016E">
        <w:rPr>
          <w:color w:val="000000"/>
          <w:lang w:val="fr-FR"/>
        </w:rPr>
        <w:t>»</w:t>
      </w:r>
    </w:p>
    <w:p w14:paraId="2E2B493B" w14:textId="442D7EDF" w:rsidR="006013A7" w:rsidRPr="0084016E" w:rsidRDefault="006013A7" w:rsidP="009E4F77">
      <w:pPr>
        <w:pStyle w:val="enumlev1"/>
        <w:rPr>
          <w:lang w:val="fr-FR"/>
        </w:rPr>
      </w:pPr>
      <w:r w:rsidRPr="0084016E">
        <w:rPr>
          <w:lang w:val="fr-FR"/>
        </w:rPr>
        <w:t>–</w:t>
      </w:r>
      <w:r w:rsidRPr="0084016E">
        <w:rPr>
          <w:lang w:val="fr-FR"/>
        </w:rPr>
        <w:tab/>
        <w:t>BT.2522-</w:t>
      </w:r>
      <w:r w:rsidR="005E159B" w:rsidRPr="0084016E">
        <w:rPr>
          <w:lang w:val="fr-FR"/>
        </w:rPr>
        <w:t>1</w:t>
      </w:r>
      <w:r w:rsidRPr="0084016E">
        <w:rPr>
          <w:lang w:val="fr-FR"/>
        </w:rPr>
        <w:t xml:space="preserve"> </w:t>
      </w:r>
      <w:r w:rsidR="00BC4156" w:rsidRPr="0084016E">
        <w:rPr>
          <w:lang w:val="fr-FR"/>
        </w:rPr>
        <w:t xml:space="preserve">– </w:t>
      </w:r>
      <w:r w:rsidR="00AA7A8F" w:rsidRPr="0084016E">
        <w:rPr>
          <w:lang w:val="fr-FR"/>
        </w:rPr>
        <w:t>«</w:t>
      </w:r>
      <w:r w:rsidRPr="0084016E">
        <w:rPr>
          <w:lang w:val="fr-FR"/>
        </w:rPr>
        <w:t>Cadre pour l</w:t>
      </w:r>
      <w:r w:rsidR="009C1307" w:rsidRPr="0084016E">
        <w:rPr>
          <w:lang w:val="fr-FR"/>
        </w:rPr>
        <w:t>'</w:t>
      </w:r>
      <w:r w:rsidRPr="0084016E">
        <w:rPr>
          <w:lang w:val="fr-FR"/>
        </w:rPr>
        <w:t>avenir de la radiodiffusion</w:t>
      </w:r>
      <w:r w:rsidR="00AA7A8F" w:rsidRPr="0084016E">
        <w:rPr>
          <w:lang w:val="fr-FR"/>
        </w:rPr>
        <w:t>»</w:t>
      </w:r>
    </w:p>
    <w:p w14:paraId="167FA24D" w14:textId="769EB836" w:rsidR="006013A7" w:rsidRPr="0084016E" w:rsidRDefault="006013A7" w:rsidP="009E4F77">
      <w:pPr>
        <w:pStyle w:val="enumlev1"/>
        <w:rPr>
          <w:lang w:val="fr-FR"/>
        </w:rPr>
      </w:pPr>
      <w:r w:rsidRPr="0084016E">
        <w:rPr>
          <w:lang w:val="fr-FR"/>
        </w:rPr>
        <w:t>–</w:t>
      </w:r>
      <w:r w:rsidRPr="0084016E">
        <w:rPr>
          <w:lang w:val="fr-FR"/>
        </w:rPr>
        <w:tab/>
        <w:t>BT.2526-</w:t>
      </w:r>
      <w:r w:rsidR="005E159B" w:rsidRPr="0084016E">
        <w:rPr>
          <w:lang w:val="fr-FR"/>
        </w:rPr>
        <w:t>1</w:t>
      </w:r>
      <w:r w:rsidRPr="0084016E">
        <w:rPr>
          <w:lang w:val="fr-FR"/>
        </w:rPr>
        <w:t xml:space="preserve"> </w:t>
      </w:r>
      <w:r w:rsidR="00BC4156" w:rsidRPr="0084016E">
        <w:rPr>
          <w:lang w:val="fr-FR"/>
        </w:rPr>
        <w:t xml:space="preserve">– </w:t>
      </w:r>
      <w:r w:rsidR="00AA7A8F" w:rsidRPr="0084016E">
        <w:rPr>
          <w:lang w:val="fr-FR"/>
        </w:rPr>
        <w:t>«</w:t>
      </w:r>
      <w:r w:rsidRPr="0084016E">
        <w:rPr>
          <w:lang w:val="fr-FR"/>
        </w:rPr>
        <w:t>Essais sur le terrain de systèmes de radiodiffusion mobile multimédia de Terre</w:t>
      </w:r>
      <w:r w:rsidR="00AA7A8F" w:rsidRPr="0084016E">
        <w:rPr>
          <w:lang w:val="fr-FR"/>
        </w:rPr>
        <w:t>»</w:t>
      </w:r>
    </w:p>
    <w:p w14:paraId="70EA9A7E" w14:textId="45137F03" w:rsidR="006013A7" w:rsidRPr="0084016E" w:rsidRDefault="006013A7" w:rsidP="009E4F77">
      <w:pPr>
        <w:pStyle w:val="enumlev1"/>
        <w:rPr>
          <w:lang w:val="fr-FR"/>
        </w:rPr>
      </w:pPr>
      <w:r w:rsidRPr="0084016E">
        <w:rPr>
          <w:lang w:val="fr-FR"/>
        </w:rPr>
        <w:t>–</w:t>
      </w:r>
      <w:r w:rsidRPr="0084016E">
        <w:rPr>
          <w:lang w:val="fr-FR"/>
        </w:rPr>
        <w:tab/>
        <w:t>BT.253</w:t>
      </w:r>
      <w:r w:rsidR="004C2285" w:rsidRPr="0084016E">
        <w:rPr>
          <w:lang w:val="fr-FR"/>
        </w:rPr>
        <w:t>8</w:t>
      </w:r>
      <w:r w:rsidRPr="0084016E">
        <w:rPr>
          <w:lang w:val="fr-FR"/>
        </w:rPr>
        <w:t xml:space="preserve">-0 </w:t>
      </w:r>
      <w:r w:rsidR="00BC4156" w:rsidRPr="0084016E">
        <w:rPr>
          <w:lang w:val="fr-FR"/>
        </w:rPr>
        <w:t xml:space="preserve">– </w:t>
      </w:r>
      <w:r w:rsidR="00AA7A8F" w:rsidRPr="0084016E">
        <w:rPr>
          <w:lang w:val="fr-FR"/>
        </w:rPr>
        <w:t>«</w:t>
      </w:r>
      <w:r w:rsidRPr="0084016E">
        <w:rPr>
          <w:lang w:val="fr-FR"/>
        </w:rPr>
        <w:t>Cas d</w:t>
      </w:r>
      <w:r w:rsidR="009C1307" w:rsidRPr="0084016E">
        <w:rPr>
          <w:lang w:val="fr-FR"/>
        </w:rPr>
        <w:t>'</w:t>
      </w:r>
      <w:r w:rsidRPr="0084016E">
        <w:rPr>
          <w:lang w:val="fr-FR"/>
        </w:rPr>
        <w:t>utilisation des profils multicouches de codage vidéo polyvalent pour les services de radiodiffusion</w:t>
      </w:r>
      <w:r w:rsidR="00AA7A8F" w:rsidRPr="0084016E">
        <w:rPr>
          <w:lang w:val="fr-FR"/>
        </w:rPr>
        <w:t>»</w:t>
      </w:r>
    </w:p>
    <w:p w14:paraId="0A69B622" w14:textId="3CBA490E" w:rsidR="006013A7" w:rsidRPr="0084016E" w:rsidRDefault="006013A7" w:rsidP="009E4F77">
      <w:pPr>
        <w:pStyle w:val="enumlev1"/>
        <w:rPr>
          <w:lang w:val="fr-FR"/>
        </w:rPr>
      </w:pPr>
      <w:r w:rsidRPr="0084016E">
        <w:rPr>
          <w:lang w:val="fr-FR"/>
        </w:rPr>
        <w:t>–</w:t>
      </w:r>
      <w:r w:rsidRPr="0084016E">
        <w:rPr>
          <w:lang w:val="fr-FR"/>
        </w:rPr>
        <w:tab/>
        <w:t xml:space="preserve">BT.2539-0 </w:t>
      </w:r>
      <w:r w:rsidR="00BC4156" w:rsidRPr="0084016E">
        <w:rPr>
          <w:lang w:val="fr-FR"/>
        </w:rPr>
        <w:t xml:space="preserve">– </w:t>
      </w:r>
      <w:r w:rsidR="00AA7A8F" w:rsidRPr="0084016E">
        <w:rPr>
          <w:lang w:val="fr-FR"/>
        </w:rPr>
        <w:t>«</w:t>
      </w:r>
      <w:r w:rsidRPr="0084016E">
        <w:rPr>
          <w:lang w:val="fr-FR"/>
        </w:rPr>
        <w:t>Utilisation de l</w:t>
      </w:r>
      <w:r w:rsidR="009C1307" w:rsidRPr="0084016E">
        <w:rPr>
          <w:lang w:val="fr-FR"/>
        </w:rPr>
        <w:t>'</w:t>
      </w:r>
      <w:r w:rsidRPr="0084016E">
        <w:rPr>
          <w:lang w:val="fr-FR"/>
        </w:rPr>
        <w:t>informatique en nuage pour la production de programmes</w:t>
      </w:r>
      <w:r w:rsidR="00AA7A8F" w:rsidRPr="0084016E">
        <w:rPr>
          <w:lang w:val="fr-FR"/>
        </w:rPr>
        <w:t>»</w:t>
      </w:r>
    </w:p>
    <w:p w14:paraId="37BEB799" w14:textId="528AA999" w:rsidR="006013A7" w:rsidRPr="0084016E" w:rsidRDefault="006013A7" w:rsidP="009E4F77">
      <w:pPr>
        <w:pStyle w:val="enumlev1"/>
        <w:rPr>
          <w:lang w:val="fr-FR"/>
        </w:rPr>
      </w:pPr>
      <w:r w:rsidRPr="0084016E">
        <w:rPr>
          <w:lang w:val="fr-FR"/>
        </w:rPr>
        <w:t>–</w:t>
      </w:r>
      <w:r w:rsidRPr="0084016E">
        <w:rPr>
          <w:lang w:val="fr-FR"/>
        </w:rPr>
        <w:tab/>
        <w:t xml:space="preserve">BT.2540-0 </w:t>
      </w:r>
      <w:r w:rsidR="00BC4156" w:rsidRPr="0084016E">
        <w:rPr>
          <w:lang w:val="fr-FR"/>
        </w:rPr>
        <w:t xml:space="preserve">– </w:t>
      </w:r>
      <w:r w:rsidR="00AA7A8F" w:rsidRPr="0084016E">
        <w:rPr>
          <w:lang w:val="fr-FR"/>
        </w:rPr>
        <w:t>«</w:t>
      </w:r>
      <w:r w:rsidRPr="0084016E">
        <w:rPr>
          <w:lang w:val="fr-FR"/>
        </w:rPr>
        <w:t>Réduction de l</w:t>
      </w:r>
      <w:r w:rsidR="009C1307" w:rsidRPr="0084016E">
        <w:rPr>
          <w:lang w:val="fr-FR"/>
        </w:rPr>
        <w:t>'</w:t>
      </w:r>
      <w:r w:rsidRPr="0084016E">
        <w:rPr>
          <w:lang w:val="fr-FR"/>
        </w:rPr>
        <w:t>énergie de l</w:t>
      </w:r>
      <w:r w:rsidR="009C1307" w:rsidRPr="0084016E">
        <w:rPr>
          <w:lang w:val="fr-FR"/>
        </w:rPr>
        <w:t>'</w:t>
      </w:r>
      <w:r w:rsidRPr="0084016E">
        <w:rPr>
          <w:lang w:val="fr-FR"/>
        </w:rPr>
        <w:t>écran grâce au traitement du signal d</w:t>
      </w:r>
      <w:r w:rsidR="009C1307" w:rsidRPr="0084016E">
        <w:rPr>
          <w:lang w:val="fr-FR"/>
        </w:rPr>
        <w:t>'</w:t>
      </w:r>
      <w:r w:rsidRPr="0084016E">
        <w:rPr>
          <w:lang w:val="fr-FR"/>
        </w:rPr>
        <w:t>image</w:t>
      </w:r>
      <w:r w:rsidR="00AA7A8F" w:rsidRPr="0084016E">
        <w:rPr>
          <w:lang w:val="fr-FR"/>
        </w:rPr>
        <w:t>»</w:t>
      </w:r>
    </w:p>
    <w:p w14:paraId="53A91017" w14:textId="4B87DF54" w:rsidR="00BC4156" w:rsidRPr="0084016E" w:rsidRDefault="00BC4156" w:rsidP="00BC4156">
      <w:pPr>
        <w:rPr>
          <w:lang w:val="fr-FR"/>
        </w:rPr>
      </w:pPr>
      <w:r w:rsidRPr="0084016E">
        <w:rPr>
          <w:lang w:val="fr-FR"/>
        </w:rPr>
        <w:br w:type="page"/>
      </w:r>
    </w:p>
    <w:p w14:paraId="75B3EC68" w14:textId="0ED0944D" w:rsidR="009C0C62" w:rsidRPr="0084016E" w:rsidRDefault="006013A7" w:rsidP="009E4F77">
      <w:pPr>
        <w:pStyle w:val="enumlev1"/>
        <w:rPr>
          <w:lang w:val="fr-FR"/>
        </w:rPr>
      </w:pPr>
      <w:r w:rsidRPr="0084016E">
        <w:rPr>
          <w:lang w:val="fr-FR"/>
        </w:rPr>
        <w:lastRenderedPageBreak/>
        <w:t>–</w:t>
      </w:r>
      <w:r w:rsidRPr="0084016E">
        <w:rPr>
          <w:lang w:val="fr-FR"/>
        </w:rPr>
        <w:tab/>
        <w:t xml:space="preserve">BT.2544-0 </w:t>
      </w:r>
      <w:r w:rsidR="00BC4156" w:rsidRPr="0084016E">
        <w:rPr>
          <w:lang w:val="fr-FR"/>
        </w:rPr>
        <w:t xml:space="preserve">– </w:t>
      </w:r>
      <w:r w:rsidR="00AA7A8F" w:rsidRPr="0084016E">
        <w:rPr>
          <w:lang w:val="fr-FR"/>
        </w:rPr>
        <w:t>«</w:t>
      </w:r>
      <w:r w:rsidRPr="0084016E">
        <w:rPr>
          <w:lang w:val="fr-FR"/>
        </w:rPr>
        <w:t xml:space="preserve">Compatibilité entre le système TMMB-L et les systèmes DTTB dans la bande </w:t>
      </w:r>
      <w:r w:rsidR="00302CB4" w:rsidRPr="0084016E">
        <w:rPr>
          <w:lang w:val="fr-FR"/>
        </w:rPr>
        <w:t xml:space="preserve">de fréquences </w:t>
      </w:r>
      <w:r w:rsidRPr="0084016E">
        <w:rPr>
          <w:lang w:val="fr-FR"/>
        </w:rPr>
        <w:t>470-694 MHz relevant de l</w:t>
      </w:r>
      <w:r w:rsidR="009C1307" w:rsidRPr="0084016E">
        <w:rPr>
          <w:lang w:val="fr-FR"/>
        </w:rPr>
        <w:t>'</w:t>
      </w:r>
      <w:r w:rsidRPr="0084016E">
        <w:rPr>
          <w:lang w:val="fr-FR"/>
        </w:rPr>
        <w:t>accord GE06</w:t>
      </w:r>
      <w:r w:rsidR="00AA7A8F" w:rsidRPr="0084016E">
        <w:rPr>
          <w:lang w:val="fr-FR"/>
        </w:rPr>
        <w:t>»</w:t>
      </w:r>
    </w:p>
    <w:p w14:paraId="61765142" w14:textId="187DD962" w:rsidR="009C0C62" w:rsidRPr="0084016E" w:rsidRDefault="009C0C62" w:rsidP="009E4F77">
      <w:pPr>
        <w:pStyle w:val="enumlev1"/>
        <w:rPr>
          <w:lang w:val="fr-FR"/>
        </w:rPr>
      </w:pPr>
      <w:r w:rsidRPr="0084016E">
        <w:rPr>
          <w:lang w:val="fr-FR"/>
        </w:rPr>
        <w:t>–</w:t>
      </w:r>
      <w:r w:rsidRPr="0084016E">
        <w:rPr>
          <w:lang w:val="fr-FR"/>
        </w:rPr>
        <w:tab/>
        <w:t xml:space="preserve">BT.2545-0 </w:t>
      </w:r>
      <w:r w:rsidR="00BC4156" w:rsidRPr="0084016E">
        <w:rPr>
          <w:lang w:val="fr-FR"/>
        </w:rPr>
        <w:t xml:space="preserve">– </w:t>
      </w:r>
      <w:r w:rsidR="00AA7A8F" w:rsidRPr="0084016E">
        <w:rPr>
          <w:lang w:val="fr-FR"/>
        </w:rPr>
        <w:t>«</w:t>
      </w:r>
      <w:r w:rsidRPr="0084016E">
        <w:rPr>
          <w:lang w:val="fr-FR"/>
        </w:rPr>
        <w:t>Réseau de communication entre pylônes pour les systèmes de radiodiffusion et de diffusion de données de Terre</w:t>
      </w:r>
      <w:r w:rsidR="00AA7A8F" w:rsidRPr="0084016E">
        <w:rPr>
          <w:lang w:val="fr-FR"/>
        </w:rPr>
        <w:t>»</w:t>
      </w:r>
    </w:p>
    <w:p w14:paraId="03C69F98" w14:textId="44E7D102" w:rsidR="00681437" w:rsidRPr="0084016E" w:rsidRDefault="00681437" w:rsidP="001732C2">
      <w:pPr>
        <w:rPr>
          <w:lang w:val="fr-FR"/>
        </w:rPr>
      </w:pPr>
      <w:bookmarkStart w:id="16" w:name="_Toc445972797"/>
      <w:r w:rsidRPr="0084016E">
        <w:rPr>
          <w:lang w:val="fr-FR"/>
        </w:rPr>
        <w:t>Dans le cadre des séries de réunions de la CE 6 de 2024, les manifestations suivantes ont été organisées:</w:t>
      </w:r>
    </w:p>
    <w:p w14:paraId="75E53CCB" w14:textId="5A84154A" w:rsidR="00681437" w:rsidRPr="0084016E" w:rsidRDefault="00681437" w:rsidP="009E4F77">
      <w:pPr>
        <w:pStyle w:val="enumlev1"/>
        <w:rPr>
          <w:lang w:val="fr-FR"/>
        </w:rPr>
      </w:pPr>
      <w:r w:rsidRPr="0084016E">
        <w:rPr>
          <w:lang w:val="fr-FR"/>
        </w:rPr>
        <w:sym w:font="Wingdings" w:char="F09F"/>
      </w:r>
      <w:r w:rsidRPr="0084016E">
        <w:rPr>
          <w:lang w:val="fr-FR"/>
        </w:rPr>
        <w:tab/>
      </w:r>
      <w:hyperlink r:id="rId23" w:anchor="/fr" w:history="1">
        <w:r w:rsidRPr="0084016E">
          <w:rPr>
            <w:rStyle w:val="Hyperlink"/>
            <w:lang w:val="fr-FR"/>
          </w:rPr>
          <w:t>Atelier de l</w:t>
        </w:r>
        <w:r w:rsidR="009C1307" w:rsidRPr="0084016E">
          <w:rPr>
            <w:rStyle w:val="Hyperlink"/>
            <w:lang w:val="fr-FR"/>
          </w:rPr>
          <w:t>'</w:t>
        </w:r>
        <w:r w:rsidRPr="0084016E">
          <w:rPr>
            <w:rStyle w:val="Hyperlink"/>
            <w:lang w:val="fr-FR"/>
          </w:rPr>
          <w:t>UIT su</w:t>
        </w:r>
        <w:r w:rsidRPr="0084016E">
          <w:rPr>
            <w:rStyle w:val="Hyperlink"/>
            <w:lang w:val="fr-FR"/>
          </w:rPr>
          <w:t>r</w:t>
        </w:r>
        <w:r w:rsidRPr="0084016E">
          <w:rPr>
            <w:rStyle w:val="Hyperlink"/>
            <w:lang w:val="fr-FR"/>
          </w:rPr>
          <w:t xml:space="preserve"> l</w:t>
        </w:r>
        <w:r w:rsidR="009C1307" w:rsidRPr="0084016E">
          <w:rPr>
            <w:rStyle w:val="Hyperlink"/>
            <w:lang w:val="fr-FR"/>
          </w:rPr>
          <w:t>'</w:t>
        </w:r>
        <w:r w:rsidRPr="0084016E">
          <w:rPr>
            <w:rStyle w:val="Hyperlink"/>
            <w:lang w:val="fr-FR"/>
          </w:rPr>
          <w:t>avenir de la télévision en Europe</w:t>
        </w:r>
      </w:hyperlink>
      <w:r w:rsidRPr="0084016E">
        <w:rPr>
          <w:lang w:val="fr-FR"/>
        </w:rPr>
        <w:t xml:space="preserve"> (</w:t>
      </w:r>
      <w:r w:rsidR="00AB6D7A" w:rsidRPr="0084016E">
        <w:rPr>
          <w:lang w:val="fr-FR"/>
        </w:rPr>
        <w:t xml:space="preserve">le </w:t>
      </w:r>
      <w:r w:rsidRPr="0084016E">
        <w:rPr>
          <w:lang w:val="fr-FR"/>
        </w:rPr>
        <w:t>7 novembre 2024, organisé conjointement par la CE 6 de l</w:t>
      </w:r>
      <w:r w:rsidR="009C1307" w:rsidRPr="0084016E">
        <w:rPr>
          <w:lang w:val="fr-FR"/>
        </w:rPr>
        <w:t>'</w:t>
      </w:r>
      <w:r w:rsidRPr="0084016E">
        <w:rPr>
          <w:lang w:val="fr-FR"/>
        </w:rPr>
        <w:t>UIT-R, l</w:t>
      </w:r>
      <w:r w:rsidR="009C1307" w:rsidRPr="0084016E">
        <w:rPr>
          <w:lang w:val="fr-FR"/>
        </w:rPr>
        <w:t>'</w:t>
      </w:r>
      <w:r w:rsidRPr="0084016E">
        <w:rPr>
          <w:lang w:val="fr-FR"/>
        </w:rPr>
        <w:t>UIT-T et l</w:t>
      </w:r>
      <w:r w:rsidR="009C1307" w:rsidRPr="0084016E">
        <w:rPr>
          <w:lang w:val="fr-FR"/>
        </w:rPr>
        <w:t>'</w:t>
      </w:r>
      <w:r w:rsidRPr="0084016E">
        <w:rPr>
          <w:lang w:val="fr-FR"/>
        </w:rPr>
        <w:t>UIT-D)</w:t>
      </w:r>
      <w:r w:rsidR="00302CB4" w:rsidRPr="0084016E">
        <w:rPr>
          <w:lang w:val="fr-FR"/>
        </w:rPr>
        <w:t>.</w:t>
      </w:r>
    </w:p>
    <w:p w14:paraId="765A28E3" w14:textId="181F8FF9" w:rsidR="00681437" w:rsidRPr="0084016E" w:rsidRDefault="00681437" w:rsidP="009E4F77">
      <w:pPr>
        <w:pStyle w:val="enumlev1"/>
        <w:rPr>
          <w:lang w:val="fr-FR"/>
        </w:rPr>
      </w:pPr>
      <w:r w:rsidRPr="0084016E">
        <w:rPr>
          <w:lang w:val="fr-FR"/>
        </w:rPr>
        <w:sym w:font="Wingdings" w:char="F09F"/>
      </w:r>
      <w:r w:rsidRPr="0084016E">
        <w:rPr>
          <w:lang w:val="fr-FR"/>
        </w:rPr>
        <w:tab/>
      </w:r>
      <w:hyperlink r:id="rId24" w:history="1">
        <w:r w:rsidRPr="0084016E">
          <w:rPr>
            <w:rStyle w:val="Hyperlink"/>
            <w:lang w:val="fr-FR"/>
          </w:rPr>
          <w:t>Démonstrations sur l</w:t>
        </w:r>
        <w:r w:rsidR="009C1307" w:rsidRPr="0084016E">
          <w:rPr>
            <w:rStyle w:val="Hyperlink"/>
            <w:lang w:val="fr-FR"/>
          </w:rPr>
          <w:t>'</w:t>
        </w:r>
        <w:r w:rsidRPr="0084016E">
          <w:rPr>
            <w:rStyle w:val="Hyperlink"/>
            <w:lang w:val="fr-FR"/>
          </w:rPr>
          <w:t>a</w:t>
        </w:r>
        <w:r w:rsidRPr="0084016E">
          <w:rPr>
            <w:rStyle w:val="Hyperlink"/>
            <w:lang w:val="fr-FR"/>
          </w:rPr>
          <w:t>venir de la radiodiffusion</w:t>
        </w:r>
      </w:hyperlink>
      <w:r w:rsidRPr="0084016E">
        <w:rPr>
          <w:lang w:val="fr-FR"/>
        </w:rPr>
        <w:t xml:space="preserve"> (</w:t>
      </w:r>
      <w:r w:rsidR="00AB6D7A" w:rsidRPr="0084016E">
        <w:rPr>
          <w:lang w:val="fr-FR"/>
        </w:rPr>
        <w:t xml:space="preserve">les </w:t>
      </w:r>
      <w:r w:rsidRPr="0084016E">
        <w:rPr>
          <w:lang w:val="fr-FR"/>
        </w:rPr>
        <w:t>6 et 7 novembre 2024)</w:t>
      </w:r>
      <w:r w:rsidR="00302CB4" w:rsidRPr="0084016E">
        <w:rPr>
          <w:lang w:val="fr-FR"/>
        </w:rPr>
        <w:t>.</w:t>
      </w:r>
    </w:p>
    <w:p w14:paraId="7BDF7117" w14:textId="22B01135" w:rsidR="00681437" w:rsidRPr="0084016E" w:rsidRDefault="00681437" w:rsidP="009E4F77">
      <w:pPr>
        <w:pStyle w:val="enumlev1"/>
        <w:rPr>
          <w:lang w:val="fr-FR"/>
        </w:rPr>
      </w:pPr>
      <w:r w:rsidRPr="0084016E">
        <w:rPr>
          <w:lang w:val="fr-FR"/>
        </w:rPr>
        <w:sym w:font="Wingdings" w:char="F09F"/>
      </w:r>
      <w:r w:rsidRPr="0084016E">
        <w:rPr>
          <w:lang w:val="fr-FR"/>
        </w:rPr>
        <w:tab/>
      </w:r>
      <w:hyperlink r:id="rId25" w:history="1">
        <w:r w:rsidR="00302CB4" w:rsidRPr="0084016E">
          <w:rPr>
            <w:rStyle w:val="Hyperlink"/>
            <w:lang w:val="fr-FR"/>
          </w:rPr>
          <w:t>A</w:t>
        </w:r>
        <w:r w:rsidRPr="0084016E">
          <w:rPr>
            <w:rStyle w:val="Hyperlink"/>
            <w:lang w:val="fr-FR"/>
          </w:rPr>
          <w:t xml:space="preserve">telier sur la </w:t>
        </w:r>
        <w:r w:rsidR="00302CB4" w:rsidRPr="0084016E">
          <w:rPr>
            <w:rStyle w:val="Hyperlink"/>
            <w:lang w:val="fr-FR"/>
          </w:rPr>
          <w:t>radiodi</w:t>
        </w:r>
        <w:r w:rsidR="00302CB4" w:rsidRPr="0084016E">
          <w:rPr>
            <w:rStyle w:val="Hyperlink"/>
            <w:lang w:val="fr-FR"/>
          </w:rPr>
          <w:t>f</w:t>
        </w:r>
        <w:r w:rsidR="00302CB4" w:rsidRPr="0084016E">
          <w:rPr>
            <w:rStyle w:val="Hyperlink"/>
            <w:lang w:val="fr-FR"/>
          </w:rPr>
          <w:t>fusion mobile multimédia de Terre</w:t>
        </w:r>
      </w:hyperlink>
      <w:r w:rsidR="00302CB4" w:rsidRPr="0084016E">
        <w:rPr>
          <w:lang w:val="fr-FR"/>
        </w:rPr>
        <w:t xml:space="preserve"> </w:t>
      </w:r>
      <w:r w:rsidRPr="0084016E">
        <w:rPr>
          <w:lang w:val="fr-FR"/>
        </w:rPr>
        <w:t>(TMMB)</w:t>
      </w:r>
      <w:r w:rsidR="00AB6D7A" w:rsidRPr="0084016E">
        <w:rPr>
          <w:lang w:val="fr-FR"/>
        </w:rPr>
        <w:t xml:space="preserve"> (le 8 mars 2024)</w:t>
      </w:r>
      <w:r w:rsidR="00EC4DD6" w:rsidRPr="0084016E">
        <w:rPr>
          <w:lang w:val="fr-FR"/>
        </w:rPr>
        <w:t>.</w:t>
      </w:r>
    </w:p>
    <w:p w14:paraId="442CD5E9" w14:textId="7D08313F" w:rsidR="0025739A" w:rsidRPr="0084016E" w:rsidRDefault="0025739A" w:rsidP="001732C2">
      <w:pPr>
        <w:rPr>
          <w:lang w:val="fr-FR"/>
        </w:rPr>
      </w:pPr>
      <w:r w:rsidRPr="0084016E">
        <w:rPr>
          <w:lang w:val="fr-FR"/>
        </w:rPr>
        <w:t>Les réunions des GT 6A, 6B et 6C sont prévues du 3 au 13 mars 2025 et seront suivies de la réunion de la CE 6 le 14 mars 2025.</w:t>
      </w:r>
    </w:p>
    <w:p w14:paraId="2257446D" w14:textId="30083773" w:rsidR="0025739A" w:rsidRPr="0084016E" w:rsidRDefault="0073398E" w:rsidP="001732C2">
      <w:pPr>
        <w:pStyle w:val="Heading2"/>
        <w:rPr>
          <w:lang w:val="fr-FR"/>
        </w:rPr>
      </w:pPr>
      <w:r w:rsidRPr="0084016E">
        <w:rPr>
          <w:bCs/>
          <w:lang w:val="fr-FR"/>
        </w:rPr>
        <w:t>5.6</w:t>
      </w:r>
      <w:r w:rsidRPr="0084016E">
        <w:rPr>
          <w:lang w:val="fr-FR"/>
        </w:rPr>
        <w:tab/>
        <w:t>Commission d</w:t>
      </w:r>
      <w:r w:rsidR="009C1307" w:rsidRPr="0084016E">
        <w:rPr>
          <w:lang w:val="fr-FR"/>
        </w:rPr>
        <w:t>'</w:t>
      </w:r>
      <w:r w:rsidRPr="0084016E">
        <w:rPr>
          <w:lang w:val="fr-FR"/>
        </w:rPr>
        <w:t>études 7</w:t>
      </w:r>
      <w:bookmarkEnd w:id="16"/>
    </w:p>
    <w:p w14:paraId="08E8C971" w14:textId="61966522" w:rsidR="0025739A" w:rsidRPr="0084016E" w:rsidRDefault="0025739A" w:rsidP="001732C2">
      <w:pPr>
        <w:rPr>
          <w:lang w:val="fr-FR"/>
        </w:rPr>
      </w:pPr>
      <w:r w:rsidRPr="0084016E">
        <w:rPr>
          <w:lang w:val="fr-FR"/>
        </w:rPr>
        <w:t>La Commission d</w:t>
      </w:r>
      <w:r w:rsidR="009C1307" w:rsidRPr="0084016E">
        <w:rPr>
          <w:lang w:val="fr-FR"/>
        </w:rPr>
        <w:t>'</w:t>
      </w:r>
      <w:r w:rsidRPr="0084016E">
        <w:rPr>
          <w:lang w:val="fr-FR"/>
        </w:rPr>
        <w:t xml:space="preserve">études 7 </w:t>
      </w:r>
      <w:r w:rsidR="00EC4DD6" w:rsidRPr="0084016E">
        <w:rPr>
          <w:lang w:val="fr-FR"/>
        </w:rPr>
        <w:t>a poursuivi</w:t>
      </w:r>
      <w:r w:rsidRPr="0084016E">
        <w:rPr>
          <w:lang w:val="fr-FR"/>
        </w:rPr>
        <w:t xml:space="preserve"> l</w:t>
      </w:r>
      <w:r w:rsidR="009C1307" w:rsidRPr="0084016E">
        <w:rPr>
          <w:lang w:val="fr-FR"/>
        </w:rPr>
        <w:t>'</w:t>
      </w:r>
      <w:r w:rsidRPr="0084016E">
        <w:rPr>
          <w:lang w:val="fr-FR"/>
        </w:rPr>
        <w:t>élaboration de Recommandations, de Rapports et de</w:t>
      </w:r>
      <w:r w:rsidR="00BC4156" w:rsidRPr="0084016E">
        <w:rPr>
          <w:lang w:val="fr-FR"/>
        </w:rPr>
        <w:t> </w:t>
      </w:r>
      <w:r w:rsidRPr="0084016E">
        <w:rPr>
          <w:lang w:val="fr-FR"/>
        </w:rPr>
        <w:t>Manuels de l</w:t>
      </w:r>
      <w:r w:rsidR="009C1307" w:rsidRPr="0084016E">
        <w:rPr>
          <w:lang w:val="fr-FR"/>
        </w:rPr>
        <w:t>'</w:t>
      </w:r>
      <w:r w:rsidRPr="0084016E">
        <w:rPr>
          <w:lang w:val="fr-FR"/>
        </w:rPr>
        <w:t>UIT-R qui sont utilisés pour concevoir et garantir l</w:t>
      </w:r>
      <w:r w:rsidR="009C1307" w:rsidRPr="0084016E">
        <w:rPr>
          <w:lang w:val="fr-FR"/>
        </w:rPr>
        <w:t>'</w:t>
      </w:r>
      <w:r w:rsidRPr="0084016E">
        <w:rPr>
          <w:lang w:val="fr-FR"/>
        </w:rPr>
        <w:t>exploitation exempte de brouillage des systèmes des services d</w:t>
      </w:r>
      <w:r w:rsidR="009C1307" w:rsidRPr="0084016E">
        <w:rPr>
          <w:lang w:val="fr-FR"/>
        </w:rPr>
        <w:t>'</w:t>
      </w:r>
      <w:r w:rsidRPr="0084016E">
        <w:rPr>
          <w:lang w:val="fr-FR"/>
        </w:rPr>
        <w:t>exploitation spatiale, de recherche spatiale, d</w:t>
      </w:r>
      <w:r w:rsidR="009C1307" w:rsidRPr="0084016E">
        <w:rPr>
          <w:lang w:val="fr-FR"/>
        </w:rPr>
        <w:t>'</w:t>
      </w:r>
      <w:r w:rsidRPr="0084016E">
        <w:rPr>
          <w:lang w:val="fr-FR"/>
        </w:rPr>
        <w:t>exploration de la</w:t>
      </w:r>
      <w:r w:rsidR="00BC4156" w:rsidRPr="0084016E">
        <w:rPr>
          <w:lang w:val="fr-FR"/>
        </w:rPr>
        <w:t> </w:t>
      </w:r>
      <w:r w:rsidRPr="0084016E">
        <w:rPr>
          <w:lang w:val="fr-FR"/>
        </w:rPr>
        <w:t>Terre, de météorologie (y compris l</w:t>
      </w:r>
      <w:r w:rsidR="009C1307" w:rsidRPr="0084016E">
        <w:rPr>
          <w:lang w:val="fr-FR"/>
        </w:rPr>
        <w:t>'</w:t>
      </w:r>
      <w:r w:rsidRPr="0084016E">
        <w:rPr>
          <w:lang w:val="fr-FR"/>
        </w:rPr>
        <w:t>utilisation de liaisons du service inter-satellites), pour la radioastronomie et l</w:t>
      </w:r>
      <w:r w:rsidR="009C1307" w:rsidRPr="0084016E">
        <w:rPr>
          <w:lang w:val="fr-FR"/>
        </w:rPr>
        <w:t>'</w:t>
      </w:r>
      <w:r w:rsidRPr="0084016E">
        <w:rPr>
          <w:lang w:val="fr-FR"/>
        </w:rPr>
        <w:t>astronomie radar, et pour la diffusion, la réception et la coordination des services de fréquences étalon et de signaux horaires, y compris l</w:t>
      </w:r>
      <w:r w:rsidR="009C1307" w:rsidRPr="0084016E">
        <w:rPr>
          <w:lang w:val="fr-FR"/>
        </w:rPr>
        <w:t>'</w:t>
      </w:r>
      <w:r w:rsidRPr="0084016E">
        <w:rPr>
          <w:lang w:val="fr-FR"/>
        </w:rPr>
        <w:t>application des techniques par satellite, à l</w:t>
      </w:r>
      <w:r w:rsidR="009C1307" w:rsidRPr="0084016E">
        <w:rPr>
          <w:lang w:val="fr-FR"/>
        </w:rPr>
        <w:t>'</w:t>
      </w:r>
      <w:r w:rsidRPr="0084016E">
        <w:rPr>
          <w:lang w:val="fr-FR"/>
        </w:rPr>
        <w:t xml:space="preserve">échelon mondial. </w:t>
      </w:r>
      <w:r w:rsidR="00FC6BC8" w:rsidRPr="0084016E">
        <w:rPr>
          <w:lang w:val="fr-FR"/>
        </w:rPr>
        <w:t xml:space="preserve">Ses travaux portent </w:t>
      </w:r>
      <w:r w:rsidR="00BE22AA" w:rsidRPr="0084016E">
        <w:rPr>
          <w:lang w:val="fr-FR"/>
        </w:rPr>
        <w:t xml:space="preserve">également </w:t>
      </w:r>
      <w:r w:rsidR="00FC6BC8" w:rsidRPr="0084016E">
        <w:rPr>
          <w:lang w:val="fr-FR"/>
        </w:rPr>
        <w:t>sur les systèmes de communication destinés à être utilisés à bord d'engins spatiaux habités et non habités, les liaisons de communication entre les planètes, l'utilisation de satellites relais de données.</w:t>
      </w:r>
    </w:p>
    <w:p w14:paraId="65849E3C" w14:textId="77777777" w:rsidR="0025739A" w:rsidRPr="0084016E" w:rsidRDefault="0025739A" w:rsidP="001732C2">
      <w:pPr>
        <w:rPr>
          <w:lang w:val="fr-FR"/>
        </w:rPr>
      </w:pPr>
      <w:r w:rsidRPr="0084016E">
        <w:rPr>
          <w:lang w:val="fr-FR"/>
        </w:rPr>
        <w:t>Les systèmes examinés par la CE 7 sont utilisés dans des activités essentielles de notre vie quotidienne, notamment pour:</w:t>
      </w:r>
    </w:p>
    <w:p w14:paraId="2BB747C1" w14:textId="77777777" w:rsidR="0025739A" w:rsidRPr="0084016E" w:rsidRDefault="0025739A" w:rsidP="009E4F77">
      <w:pPr>
        <w:pStyle w:val="enumlev1"/>
        <w:rPr>
          <w:lang w:val="fr-FR"/>
        </w:rPr>
      </w:pPr>
      <w:r w:rsidRPr="0084016E">
        <w:rPr>
          <w:lang w:val="fr-FR"/>
        </w:rPr>
        <w:t>–</w:t>
      </w:r>
      <w:r w:rsidRPr="0084016E">
        <w:rPr>
          <w:lang w:val="fr-FR"/>
        </w:rPr>
        <w:tab/>
        <w:t>la définition et la diffusion du temps universel coordonné (UTC);</w:t>
      </w:r>
    </w:p>
    <w:p w14:paraId="3148766E" w14:textId="033D5F17" w:rsidR="0025739A" w:rsidRPr="0084016E" w:rsidRDefault="0025739A" w:rsidP="009E4F77">
      <w:pPr>
        <w:pStyle w:val="enumlev1"/>
        <w:rPr>
          <w:lang w:val="fr-FR"/>
        </w:rPr>
      </w:pPr>
      <w:r w:rsidRPr="0084016E">
        <w:rPr>
          <w:lang w:val="fr-FR"/>
        </w:rPr>
        <w:t>–</w:t>
      </w:r>
      <w:r w:rsidRPr="0084016E">
        <w:rPr>
          <w:lang w:val="fr-FR"/>
        </w:rPr>
        <w:tab/>
        <w:t>la surveillance de l</w:t>
      </w:r>
      <w:r w:rsidR="009C1307" w:rsidRPr="0084016E">
        <w:rPr>
          <w:lang w:val="fr-FR"/>
        </w:rPr>
        <w:t>'</w:t>
      </w:r>
      <w:r w:rsidRPr="0084016E">
        <w:rPr>
          <w:lang w:val="fr-FR"/>
        </w:rPr>
        <w:t>environnement à l</w:t>
      </w:r>
      <w:r w:rsidR="009C1307" w:rsidRPr="0084016E">
        <w:rPr>
          <w:lang w:val="fr-FR"/>
        </w:rPr>
        <w:t>'</w:t>
      </w:r>
      <w:r w:rsidRPr="0084016E">
        <w:rPr>
          <w:lang w:val="fr-FR"/>
        </w:rPr>
        <w:t>échelle mondiale – atmosphère (émissions de gaz à effet de serre), océans, surface terrestre, biomasse, etc.;</w:t>
      </w:r>
    </w:p>
    <w:p w14:paraId="43F42018" w14:textId="77777777" w:rsidR="0025739A" w:rsidRPr="0084016E" w:rsidRDefault="0025739A" w:rsidP="009E4F77">
      <w:pPr>
        <w:pStyle w:val="enumlev1"/>
        <w:rPr>
          <w:lang w:val="fr-FR"/>
        </w:rPr>
      </w:pPr>
      <w:r w:rsidRPr="0084016E">
        <w:rPr>
          <w:lang w:val="fr-FR"/>
        </w:rPr>
        <w:t>–</w:t>
      </w:r>
      <w:r w:rsidRPr="0084016E">
        <w:rPr>
          <w:lang w:val="fr-FR"/>
        </w:rPr>
        <w:tab/>
        <w:t>les prévisions météorologiques et le suivi et la prévision des changements climatiques;</w:t>
      </w:r>
    </w:p>
    <w:p w14:paraId="07801329" w14:textId="0E682140" w:rsidR="0025739A" w:rsidRPr="0084016E" w:rsidRDefault="0025739A" w:rsidP="009E4F77">
      <w:pPr>
        <w:pStyle w:val="enumlev1"/>
        <w:rPr>
          <w:lang w:val="fr-FR"/>
        </w:rPr>
      </w:pPr>
      <w:r w:rsidRPr="0084016E">
        <w:rPr>
          <w:lang w:val="fr-FR"/>
        </w:rPr>
        <w:t>–</w:t>
      </w:r>
      <w:r w:rsidRPr="0084016E">
        <w:rPr>
          <w:lang w:val="fr-FR"/>
        </w:rPr>
        <w:tab/>
        <w:t>détection et suivi de nombreuses catastrophes naturelles ou induites par l</w:t>
      </w:r>
      <w:r w:rsidR="009C1307" w:rsidRPr="0084016E">
        <w:rPr>
          <w:lang w:val="fr-FR"/>
        </w:rPr>
        <w:t>'</w:t>
      </w:r>
      <w:r w:rsidRPr="0084016E">
        <w:rPr>
          <w:lang w:val="fr-FR"/>
        </w:rPr>
        <w:t>homme (tremblements de terre, tsunamis, ouragans, feux de forêt, marées noires, etc.);</w:t>
      </w:r>
    </w:p>
    <w:p w14:paraId="576BC896" w14:textId="77777777" w:rsidR="0025739A" w:rsidRPr="0084016E" w:rsidRDefault="0025739A" w:rsidP="009E4F77">
      <w:pPr>
        <w:pStyle w:val="enumlev1"/>
        <w:rPr>
          <w:lang w:val="fr-FR"/>
        </w:rPr>
      </w:pPr>
      <w:r w:rsidRPr="0084016E">
        <w:rPr>
          <w:lang w:val="fr-FR"/>
        </w:rPr>
        <w:t>–</w:t>
      </w:r>
      <w:r w:rsidRPr="0084016E">
        <w:rPr>
          <w:lang w:val="fr-FR"/>
        </w:rPr>
        <w:tab/>
        <w:t>les alertes et avis en cas de catastrophe;</w:t>
      </w:r>
    </w:p>
    <w:p w14:paraId="5CFB0146" w14:textId="10651BDB" w:rsidR="0025739A" w:rsidRPr="0084016E" w:rsidRDefault="0025739A" w:rsidP="009E4F77">
      <w:pPr>
        <w:pStyle w:val="enumlev1"/>
        <w:rPr>
          <w:lang w:val="fr-FR"/>
        </w:rPr>
      </w:pPr>
      <w:r w:rsidRPr="0084016E">
        <w:rPr>
          <w:lang w:val="fr-FR"/>
        </w:rPr>
        <w:t>–</w:t>
      </w:r>
      <w:r w:rsidRPr="0084016E">
        <w:rPr>
          <w:lang w:val="fr-FR"/>
        </w:rPr>
        <w:tab/>
        <w:t>l</w:t>
      </w:r>
      <w:r w:rsidR="009C1307" w:rsidRPr="0084016E">
        <w:rPr>
          <w:lang w:val="fr-FR"/>
        </w:rPr>
        <w:t>'</w:t>
      </w:r>
      <w:r w:rsidRPr="0084016E">
        <w:rPr>
          <w:lang w:val="fr-FR"/>
        </w:rPr>
        <w:t>évaluation des dommages et la planification des opérations de secours; et</w:t>
      </w:r>
    </w:p>
    <w:p w14:paraId="246CD204" w14:textId="697AE2D7" w:rsidR="0025739A" w:rsidRPr="0084016E" w:rsidRDefault="0025739A" w:rsidP="009E4F77">
      <w:pPr>
        <w:pStyle w:val="enumlev1"/>
        <w:rPr>
          <w:lang w:val="fr-FR"/>
        </w:rPr>
      </w:pPr>
      <w:r w:rsidRPr="0084016E">
        <w:rPr>
          <w:lang w:val="fr-FR"/>
        </w:rPr>
        <w:t>–</w:t>
      </w:r>
      <w:r w:rsidRPr="0084016E">
        <w:rPr>
          <w:lang w:val="fr-FR"/>
        </w:rPr>
        <w:tab/>
        <w:t>la surveillance et l</w:t>
      </w:r>
      <w:r w:rsidR="009C1307" w:rsidRPr="0084016E">
        <w:rPr>
          <w:lang w:val="fr-FR"/>
        </w:rPr>
        <w:t>'</w:t>
      </w:r>
      <w:r w:rsidRPr="0084016E">
        <w:rPr>
          <w:lang w:val="fr-FR"/>
        </w:rPr>
        <w:t>atténuation des effets des phénomènes de météorologie spatiale.</w:t>
      </w:r>
    </w:p>
    <w:p w14:paraId="0030212C" w14:textId="568B0BA1" w:rsidR="00E711A8" w:rsidRPr="0084016E" w:rsidRDefault="00E711A8" w:rsidP="001732C2">
      <w:pPr>
        <w:rPr>
          <w:lang w:val="fr-FR"/>
        </w:rPr>
      </w:pPr>
      <w:r w:rsidRPr="0084016E">
        <w:rPr>
          <w:lang w:val="fr-FR"/>
        </w:rPr>
        <w:t xml:space="preserve">La CE 7 </w:t>
      </w:r>
      <w:r w:rsidR="00AB6D7A" w:rsidRPr="0084016E">
        <w:rPr>
          <w:lang w:val="fr-FR"/>
        </w:rPr>
        <w:t>effectue</w:t>
      </w:r>
      <w:r w:rsidRPr="0084016E">
        <w:rPr>
          <w:lang w:val="fr-FR"/>
        </w:rPr>
        <w:t xml:space="preserve"> également</w:t>
      </w:r>
      <w:r w:rsidR="002C09FD" w:rsidRPr="0084016E">
        <w:rPr>
          <w:lang w:val="fr-FR"/>
        </w:rPr>
        <w:t xml:space="preserve"> des travaux sur</w:t>
      </w:r>
      <w:r w:rsidRPr="0084016E">
        <w:rPr>
          <w:lang w:val="fr-FR"/>
        </w:rPr>
        <w:t xml:space="preserve"> les systèmes utilisés pour étudier l</w:t>
      </w:r>
      <w:r w:rsidR="009C1307" w:rsidRPr="0084016E">
        <w:rPr>
          <w:lang w:val="fr-FR"/>
        </w:rPr>
        <w:t>'</w:t>
      </w:r>
      <w:r w:rsidRPr="0084016E">
        <w:rPr>
          <w:lang w:val="fr-FR"/>
        </w:rPr>
        <w:t>espace extra atmosphérique</w:t>
      </w:r>
      <w:r w:rsidR="00415B2C" w:rsidRPr="0084016E">
        <w:rPr>
          <w:lang w:val="fr-FR"/>
        </w:rPr>
        <w:t>, à savoir</w:t>
      </w:r>
      <w:r w:rsidRPr="0084016E">
        <w:rPr>
          <w:lang w:val="fr-FR"/>
        </w:rPr>
        <w:t>:</w:t>
      </w:r>
    </w:p>
    <w:p w14:paraId="517553C6" w14:textId="4626B5E1" w:rsidR="00E711A8" w:rsidRPr="0084016E" w:rsidRDefault="00646775" w:rsidP="009E4F77">
      <w:pPr>
        <w:pStyle w:val="enumlev1"/>
        <w:rPr>
          <w:lang w:val="fr-FR"/>
        </w:rPr>
      </w:pPr>
      <w:r w:rsidRPr="0084016E">
        <w:rPr>
          <w:lang w:val="fr-FR"/>
        </w:rPr>
        <w:t>–</w:t>
      </w:r>
      <w:r w:rsidRPr="0084016E">
        <w:rPr>
          <w:lang w:val="fr-FR"/>
        </w:rPr>
        <w:tab/>
      </w:r>
      <w:r w:rsidR="00CE35B4" w:rsidRPr="0084016E">
        <w:rPr>
          <w:lang w:val="fr-FR"/>
        </w:rPr>
        <w:t xml:space="preserve">les </w:t>
      </w:r>
      <w:r w:rsidRPr="0084016E">
        <w:rPr>
          <w:lang w:val="fr-FR"/>
        </w:rPr>
        <w:t>satellites utilisés pour étudier le soleil, la magnétosphère et tous les éléments de notre système solaire;</w:t>
      </w:r>
    </w:p>
    <w:p w14:paraId="1D1BB504" w14:textId="65F04CBA" w:rsidR="00E711A8" w:rsidRPr="0084016E" w:rsidRDefault="00646775" w:rsidP="009E4F77">
      <w:pPr>
        <w:pStyle w:val="enumlev1"/>
        <w:rPr>
          <w:lang w:val="fr-FR"/>
        </w:rPr>
      </w:pPr>
      <w:r w:rsidRPr="0084016E">
        <w:rPr>
          <w:lang w:val="fr-FR"/>
        </w:rPr>
        <w:t>–</w:t>
      </w:r>
      <w:r w:rsidRPr="0084016E">
        <w:rPr>
          <w:lang w:val="fr-FR"/>
        </w:rPr>
        <w:tab/>
      </w:r>
      <w:r w:rsidR="00CE35B4" w:rsidRPr="0084016E">
        <w:rPr>
          <w:lang w:val="fr-FR"/>
        </w:rPr>
        <w:t xml:space="preserve">les </w:t>
      </w:r>
      <w:r w:rsidRPr="0084016E">
        <w:rPr>
          <w:lang w:val="fr-FR"/>
        </w:rPr>
        <w:t>engins spatiaux pour l</w:t>
      </w:r>
      <w:r w:rsidR="009C1307" w:rsidRPr="0084016E">
        <w:rPr>
          <w:lang w:val="fr-FR"/>
        </w:rPr>
        <w:t>'</w:t>
      </w:r>
      <w:r w:rsidRPr="0084016E">
        <w:rPr>
          <w:lang w:val="fr-FR"/>
        </w:rPr>
        <w:t>exploration habitée et robotisée des corps extraterrestres;</w:t>
      </w:r>
    </w:p>
    <w:p w14:paraId="4AFC1366" w14:textId="24317202" w:rsidR="00E711A8" w:rsidRPr="0084016E" w:rsidRDefault="00646775" w:rsidP="009E4F77">
      <w:pPr>
        <w:pStyle w:val="enumlev1"/>
        <w:rPr>
          <w:lang w:val="fr-FR"/>
        </w:rPr>
      </w:pPr>
      <w:r w:rsidRPr="0084016E">
        <w:rPr>
          <w:lang w:val="fr-FR"/>
        </w:rPr>
        <w:t>–</w:t>
      </w:r>
      <w:r w:rsidRPr="0084016E">
        <w:rPr>
          <w:lang w:val="fr-FR"/>
        </w:rPr>
        <w:tab/>
      </w:r>
      <w:r w:rsidR="00CE35B4" w:rsidRPr="0084016E">
        <w:rPr>
          <w:lang w:val="fr-FR"/>
        </w:rPr>
        <w:t xml:space="preserve">les </w:t>
      </w:r>
      <w:r w:rsidRPr="0084016E">
        <w:rPr>
          <w:lang w:val="fr-FR"/>
        </w:rPr>
        <w:t xml:space="preserve">systèmes de recherche lunaire, </w:t>
      </w:r>
      <w:r w:rsidR="00F80FC6" w:rsidRPr="0084016E">
        <w:rPr>
          <w:lang w:val="fr-FR"/>
        </w:rPr>
        <w:t>de Lagrange</w:t>
      </w:r>
      <w:r w:rsidRPr="0084016E">
        <w:rPr>
          <w:lang w:val="fr-FR"/>
        </w:rPr>
        <w:t>, de recherche dans l</w:t>
      </w:r>
      <w:r w:rsidR="009C1307" w:rsidRPr="0084016E">
        <w:rPr>
          <w:lang w:val="fr-FR"/>
        </w:rPr>
        <w:t>'</w:t>
      </w:r>
      <w:r w:rsidRPr="0084016E">
        <w:rPr>
          <w:lang w:val="fr-FR"/>
        </w:rPr>
        <w:t>espace lointain et l</w:t>
      </w:r>
      <w:r w:rsidR="009C1307" w:rsidRPr="0084016E">
        <w:rPr>
          <w:lang w:val="fr-FR"/>
        </w:rPr>
        <w:t>'</w:t>
      </w:r>
      <w:r w:rsidRPr="0084016E">
        <w:rPr>
          <w:lang w:val="fr-FR"/>
        </w:rPr>
        <w:t>interférométrie spatiale à très grande base, y compris leurs stations terriennes associées;</w:t>
      </w:r>
    </w:p>
    <w:p w14:paraId="50DAF441" w14:textId="02E17B30" w:rsidR="00E711A8" w:rsidRPr="0084016E" w:rsidRDefault="00646775" w:rsidP="009E4F77">
      <w:pPr>
        <w:pStyle w:val="enumlev1"/>
        <w:rPr>
          <w:lang w:val="fr-FR"/>
        </w:rPr>
      </w:pPr>
      <w:r w:rsidRPr="0084016E">
        <w:rPr>
          <w:lang w:val="fr-FR"/>
        </w:rPr>
        <w:t>–</w:t>
      </w:r>
      <w:r w:rsidRPr="0084016E">
        <w:rPr>
          <w:lang w:val="fr-FR"/>
        </w:rPr>
        <w:tab/>
      </w:r>
      <w:r w:rsidR="00CE35B4" w:rsidRPr="0084016E">
        <w:rPr>
          <w:lang w:val="fr-FR"/>
        </w:rPr>
        <w:t xml:space="preserve">la </w:t>
      </w:r>
      <w:r w:rsidRPr="0084016E">
        <w:rPr>
          <w:lang w:val="fr-FR"/>
        </w:rPr>
        <w:t>radioastronomie sur Terre et par satellite pour étudier l</w:t>
      </w:r>
      <w:r w:rsidR="009C1307" w:rsidRPr="0084016E">
        <w:rPr>
          <w:lang w:val="fr-FR"/>
        </w:rPr>
        <w:t>'</w:t>
      </w:r>
      <w:r w:rsidRPr="0084016E">
        <w:rPr>
          <w:lang w:val="fr-FR"/>
        </w:rPr>
        <w:t>univers et ses phénomènes.</w:t>
      </w:r>
    </w:p>
    <w:p w14:paraId="1BDB2924" w14:textId="20953929" w:rsidR="00C97025" w:rsidRPr="0084016E" w:rsidRDefault="00C97025" w:rsidP="00BC4156">
      <w:pPr>
        <w:keepNext/>
        <w:rPr>
          <w:lang w:val="fr-FR"/>
        </w:rPr>
      </w:pPr>
      <w:r w:rsidRPr="0084016E">
        <w:rPr>
          <w:lang w:val="fr-FR"/>
        </w:rPr>
        <w:lastRenderedPageBreak/>
        <w:t>Les Groupes de travail 7A, 7B, 7C et 7D se sont réunis du 16 au 27 septembre 2024 à Almaty, à</w:t>
      </w:r>
      <w:r w:rsidR="00BC4156" w:rsidRPr="0084016E">
        <w:rPr>
          <w:lang w:val="fr-FR"/>
        </w:rPr>
        <w:t> </w:t>
      </w:r>
      <w:r w:rsidRPr="0084016E">
        <w:rPr>
          <w:lang w:val="fr-FR"/>
        </w:rPr>
        <w:t>l</w:t>
      </w:r>
      <w:r w:rsidR="009C1307" w:rsidRPr="0084016E">
        <w:rPr>
          <w:lang w:val="fr-FR"/>
        </w:rPr>
        <w:t>'</w:t>
      </w:r>
      <w:r w:rsidRPr="0084016E">
        <w:rPr>
          <w:lang w:val="fr-FR"/>
        </w:rPr>
        <w:t>aimable invitation de l</w:t>
      </w:r>
      <w:r w:rsidR="009C1307" w:rsidRPr="0084016E">
        <w:rPr>
          <w:lang w:val="fr-FR"/>
        </w:rPr>
        <w:t>'</w:t>
      </w:r>
      <w:r w:rsidRPr="0084016E">
        <w:rPr>
          <w:lang w:val="fr-FR"/>
        </w:rPr>
        <w:t>Administration du Kazakhstan. Dans le cadre de ces réunions, les manifestations suivantes ont également eu lieu:</w:t>
      </w:r>
    </w:p>
    <w:p w14:paraId="29A26CE6" w14:textId="4C5CE833" w:rsidR="009402C9" w:rsidRPr="0084016E" w:rsidRDefault="009402C9" w:rsidP="009E4F77">
      <w:pPr>
        <w:pStyle w:val="enumlev1"/>
        <w:rPr>
          <w:lang w:val="fr-FR"/>
        </w:rPr>
      </w:pPr>
      <w:r w:rsidRPr="0084016E">
        <w:rPr>
          <w:lang w:val="fr-FR"/>
        </w:rPr>
        <w:t>–</w:t>
      </w:r>
      <w:r w:rsidRPr="0084016E">
        <w:rPr>
          <w:lang w:val="fr-FR"/>
        </w:rPr>
        <w:tab/>
        <w:t xml:space="preserve">Séminaire OMM-UIT sur </w:t>
      </w:r>
      <w:r w:rsidR="00755F29" w:rsidRPr="0084016E">
        <w:rPr>
          <w:lang w:val="fr-FR"/>
        </w:rPr>
        <w:t>le thème «O</w:t>
      </w:r>
      <w:r w:rsidRPr="0084016E">
        <w:rPr>
          <w:lang w:val="fr-FR"/>
        </w:rPr>
        <w:t>bservation de la Terre au service des objectifs de développement durable: technologies, spectre, applications, incidences</w:t>
      </w:r>
      <w:r w:rsidR="00755F29" w:rsidRPr="0084016E">
        <w:rPr>
          <w:lang w:val="fr-FR"/>
        </w:rPr>
        <w:t>»</w:t>
      </w:r>
      <w:r w:rsidRPr="0084016E">
        <w:rPr>
          <w:lang w:val="fr-FR"/>
        </w:rPr>
        <w:t>, 16</w:t>
      </w:r>
      <w:r w:rsidR="00BC4156" w:rsidRPr="0084016E">
        <w:rPr>
          <w:lang w:val="fr-FR"/>
        </w:rPr>
        <w:noBreakHyphen/>
      </w:r>
      <w:r w:rsidRPr="0084016E">
        <w:rPr>
          <w:lang w:val="fr-FR"/>
        </w:rPr>
        <w:t>17</w:t>
      </w:r>
      <w:r w:rsidR="00BC4156" w:rsidRPr="0084016E">
        <w:rPr>
          <w:lang w:val="fr-FR"/>
        </w:rPr>
        <w:t> </w:t>
      </w:r>
      <w:r w:rsidRPr="0084016E">
        <w:rPr>
          <w:lang w:val="fr-FR"/>
        </w:rPr>
        <w:t>septembre</w:t>
      </w:r>
      <w:r w:rsidR="00BC4156" w:rsidRPr="0084016E">
        <w:rPr>
          <w:lang w:val="fr-FR"/>
        </w:rPr>
        <w:t> </w:t>
      </w:r>
      <w:r w:rsidRPr="0084016E">
        <w:rPr>
          <w:lang w:val="fr-FR"/>
        </w:rPr>
        <w:t>2024, Almaty (Kazakhstan).</w:t>
      </w:r>
    </w:p>
    <w:p w14:paraId="44E3AA85" w14:textId="0C139F6C" w:rsidR="009402C9" w:rsidRPr="0084016E" w:rsidRDefault="009402C9" w:rsidP="009E4F77">
      <w:pPr>
        <w:pStyle w:val="enumlev1"/>
        <w:rPr>
          <w:lang w:val="fr-FR"/>
        </w:rPr>
      </w:pPr>
      <w:r w:rsidRPr="0084016E">
        <w:rPr>
          <w:lang w:val="fr-FR"/>
        </w:rPr>
        <w:t>–</w:t>
      </w:r>
      <w:r w:rsidRPr="0084016E">
        <w:rPr>
          <w:lang w:val="fr-FR"/>
        </w:rPr>
        <w:tab/>
        <w:t>Atelier de l</w:t>
      </w:r>
      <w:r w:rsidR="009C1307" w:rsidRPr="0084016E">
        <w:rPr>
          <w:lang w:val="fr-FR"/>
        </w:rPr>
        <w:t>'</w:t>
      </w:r>
      <w:r w:rsidRPr="0084016E">
        <w:rPr>
          <w:lang w:val="fr-FR"/>
        </w:rPr>
        <w:t>UIT sur la radioastronomie, 16 septembre 2024, Almaty (Kazakhstan).</w:t>
      </w:r>
    </w:p>
    <w:p w14:paraId="21638328" w14:textId="2272A0F6" w:rsidR="0025739A" w:rsidRPr="0084016E" w:rsidRDefault="0025739A" w:rsidP="001732C2">
      <w:pPr>
        <w:rPr>
          <w:lang w:val="fr-FR"/>
        </w:rPr>
      </w:pPr>
      <w:r w:rsidRPr="0084016E">
        <w:rPr>
          <w:lang w:val="fr-FR"/>
        </w:rPr>
        <w:t>La prochaine réunion de la Commission d</w:t>
      </w:r>
      <w:r w:rsidR="009C1307" w:rsidRPr="0084016E">
        <w:rPr>
          <w:lang w:val="fr-FR"/>
        </w:rPr>
        <w:t>'</w:t>
      </w:r>
      <w:r w:rsidRPr="0084016E">
        <w:rPr>
          <w:lang w:val="fr-FR"/>
        </w:rPr>
        <w:t xml:space="preserve">études </w:t>
      </w:r>
      <w:r w:rsidR="003A3D7E" w:rsidRPr="0084016E">
        <w:rPr>
          <w:lang w:val="fr-FR"/>
        </w:rPr>
        <w:t>7</w:t>
      </w:r>
      <w:r w:rsidRPr="0084016E">
        <w:rPr>
          <w:lang w:val="fr-FR"/>
        </w:rPr>
        <w:t xml:space="preserve"> est prévue le 27 mars 2025, tandis que les réunions des GT 7A, 7B, 7C et 7</w:t>
      </w:r>
      <w:r w:rsidR="00132100" w:rsidRPr="0084016E">
        <w:rPr>
          <w:lang w:val="fr-FR"/>
        </w:rPr>
        <w:t>D</w:t>
      </w:r>
      <w:r w:rsidRPr="0084016E">
        <w:rPr>
          <w:lang w:val="fr-FR"/>
        </w:rPr>
        <w:t xml:space="preserve"> sont prévues du 17 au 26 mars 2025.</w:t>
      </w:r>
    </w:p>
    <w:p w14:paraId="01AB5B4B" w14:textId="404957B3" w:rsidR="0025739A" w:rsidRPr="0084016E" w:rsidRDefault="0073398E" w:rsidP="001732C2">
      <w:pPr>
        <w:pStyle w:val="Heading2"/>
        <w:rPr>
          <w:lang w:val="fr-FR"/>
        </w:rPr>
      </w:pPr>
      <w:r w:rsidRPr="0084016E">
        <w:rPr>
          <w:bCs/>
          <w:lang w:val="fr-FR"/>
        </w:rPr>
        <w:t>5.7</w:t>
      </w:r>
      <w:r w:rsidRPr="0084016E">
        <w:rPr>
          <w:lang w:val="fr-FR"/>
        </w:rPr>
        <w:tab/>
        <w:t>Comité de coordination pour le vocabulaire</w:t>
      </w:r>
    </w:p>
    <w:p w14:paraId="39BF277B" w14:textId="5FBB4D60" w:rsidR="00234E0B" w:rsidRPr="0084016E" w:rsidRDefault="003A3D7E" w:rsidP="001732C2">
      <w:pPr>
        <w:rPr>
          <w:lang w:val="fr-FR"/>
        </w:rPr>
      </w:pPr>
      <w:r w:rsidRPr="0084016E">
        <w:rPr>
          <w:lang w:val="fr-FR"/>
        </w:rPr>
        <w:t>Le C</w:t>
      </w:r>
      <w:r w:rsidR="00234E0B" w:rsidRPr="0084016E">
        <w:rPr>
          <w:lang w:val="fr-FR"/>
        </w:rPr>
        <w:t>omité de coordination de l</w:t>
      </w:r>
      <w:r w:rsidR="009C1307" w:rsidRPr="0084016E">
        <w:rPr>
          <w:lang w:val="fr-FR"/>
        </w:rPr>
        <w:t>'</w:t>
      </w:r>
      <w:r w:rsidR="00234E0B" w:rsidRPr="0084016E">
        <w:rPr>
          <w:lang w:val="fr-FR"/>
        </w:rPr>
        <w:t>UIT pour la terminologie (CCT de l</w:t>
      </w:r>
      <w:r w:rsidR="009C1307" w:rsidRPr="0084016E">
        <w:rPr>
          <w:lang w:val="fr-FR"/>
        </w:rPr>
        <w:t>'</w:t>
      </w:r>
      <w:r w:rsidR="00234E0B" w:rsidRPr="0084016E">
        <w:rPr>
          <w:lang w:val="fr-FR"/>
        </w:rPr>
        <w:t>UIT)</w:t>
      </w:r>
      <w:r w:rsidR="00884337" w:rsidRPr="0084016E">
        <w:rPr>
          <w:lang w:val="fr-FR"/>
        </w:rPr>
        <w:t xml:space="preserve"> est composé:</w:t>
      </w:r>
    </w:p>
    <w:p w14:paraId="755A5AA5" w14:textId="1ED0A054" w:rsidR="00234E0B" w:rsidRPr="0084016E" w:rsidRDefault="00234E0B" w:rsidP="009E4F77">
      <w:pPr>
        <w:pStyle w:val="enumlev1"/>
        <w:rPr>
          <w:lang w:val="fr-FR"/>
        </w:rPr>
      </w:pPr>
      <w:r w:rsidRPr="0084016E">
        <w:rPr>
          <w:lang w:val="fr-FR"/>
        </w:rPr>
        <w:t>−</w:t>
      </w:r>
      <w:r w:rsidRPr="0084016E">
        <w:rPr>
          <w:lang w:val="fr-FR"/>
        </w:rPr>
        <w:tab/>
      </w:r>
      <w:r w:rsidR="00992520" w:rsidRPr="0084016E">
        <w:rPr>
          <w:lang w:val="fr-FR"/>
        </w:rPr>
        <w:t>du</w:t>
      </w:r>
      <w:r w:rsidRPr="0084016E">
        <w:rPr>
          <w:lang w:val="fr-FR"/>
        </w:rPr>
        <w:t xml:space="preserve"> Comité de coordination pour le vocabulaire (CCV)</w:t>
      </w:r>
      <w:r w:rsidR="00992520" w:rsidRPr="0084016E">
        <w:rPr>
          <w:lang w:val="fr-FR"/>
        </w:rPr>
        <w:t xml:space="preserve"> de l'UIT-R, fonctionnant conformément à la Résolution UIT-R 36</w:t>
      </w:r>
      <w:r w:rsidR="00B713A2" w:rsidRPr="0084016E">
        <w:rPr>
          <w:lang w:val="fr-FR"/>
        </w:rPr>
        <w:t>;</w:t>
      </w:r>
    </w:p>
    <w:p w14:paraId="13301F5B" w14:textId="2344C2C6" w:rsidR="00B27590" w:rsidRPr="0084016E" w:rsidRDefault="00234E0B" w:rsidP="009E4F77">
      <w:pPr>
        <w:pStyle w:val="enumlev1"/>
        <w:rPr>
          <w:lang w:val="fr-FR"/>
        </w:rPr>
      </w:pPr>
      <w:r w:rsidRPr="0084016E">
        <w:rPr>
          <w:lang w:val="fr-FR"/>
        </w:rPr>
        <w:t>−</w:t>
      </w:r>
      <w:r w:rsidRPr="0084016E">
        <w:rPr>
          <w:lang w:val="fr-FR"/>
        </w:rPr>
        <w:tab/>
      </w:r>
      <w:r w:rsidR="00992520" w:rsidRPr="0084016E">
        <w:rPr>
          <w:lang w:val="fr-FR"/>
        </w:rPr>
        <w:t>du</w:t>
      </w:r>
      <w:r w:rsidRPr="0084016E">
        <w:rPr>
          <w:lang w:val="fr-FR"/>
        </w:rPr>
        <w:t xml:space="preserve"> Comité de normalisation pour le vocabulaire (SCV) de l</w:t>
      </w:r>
      <w:r w:rsidR="009C1307" w:rsidRPr="0084016E">
        <w:rPr>
          <w:lang w:val="fr-FR"/>
        </w:rPr>
        <w:t>'</w:t>
      </w:r>
      <w:r w:rsidRPr="0084016E">
        <w:rPr>
          <w:lang w:val="fr-FR"/>
        </w:rPr>
        <w:t>UIT-T, fonctionnant conformément à la Résolution 67 (Rév. New Delhi, 2024) de l</w:t>
      </w:r>
      <w:r w:rsidR="009C1307" w:rsidRPr="0084016E">
        <w:rPr>
          <w:lang w:val="fr-FR"/>
        </w:rPr>
        <w:t>'</w:t>
      </w:r>
      <w:r w:rsidRPr="0084016E">
        <w:rPr>
          <w:lang w:val="fr-FR"/>
        </w:rPr>
        <w:t>AMNT; et</w:t>
      </w:r>
    </w:p>
    <w:p w14:paraId="2654584A" w14:textId="269466C7" w:rsidR="00234E0B" w:rsidRPr="0084016E" w:rsidRDefault="00234E0B" w:rsidP="009E4F77">
      <w:pPr>
        <w:pStyle w:val="enumlev1"/>
        <w:rPr>
          <w:lang w:val="fr-FR"/>
        </w:rPr>
      </w:pPr>
      <w:r w:rsidRPr="0084016E">
        <w:rPr>
          <w:lang w:val="fr-FR"/>
        </w:rPr>
        <w:t>−</w:t>
      </w:r>
      <w:r w:rsidRPr="0084016E">
        <w:rPr>
          <w:lang w:val="fr-FR"/>
        </w:rPr>
        <w:tab/>
        <w:t>de représentants de l</w:t>
      </w:r>
      <w:r w:rsidR="009C1307" w:rsidRPr="0084016E">
        <w:rPr>
          <w:lang w:val="fr-FR"/>
        </w:rPr>
        <w:t>'</w:t>
      </w:r>
      <w:r w:rsidRPr="0084016E">
        <w:rPr>
          <w:lang w:val="fr-FR"/>
        </w:rPr>
        <w:t>UIT-D.</w:t>
      </w:r>
    </w:p>
    <w:p w14:paraId="4DF239A3" w14:textId="1EACBB48" w:rsidR="00FB2BB7" w:rsidRPr="0084016E" w:rsidRDefault="00FB2BB7" w:rsidP="001732C2">
      <w:pPr>
        <w:rPr>
          <w:lang w:val="fr-FR"/>
        </w:rPr>
      </w:pPr>
      <w:r w:rsidRPr="0084016E">
        <w:rPr>
          <w:lang w:val="fr-FR"/>
        </w:rPr>
        <w:t>Le CCT de l</w:t>
      </w:r>
      <w:r w:rsidR="009C1307" w:rsidRPr="0084016E">
        <w:rPr>
          <w:lang w:val="fr-FR"/>
        </w:rPr>
        <w:t>'</w:t>
      </w:r>
      <w:r w:rsidRPr="0084016E">
        <w:rPr>
          <w:lang w:val="fr-FR"/>
        </w:rPr>
        <w:t xml:space="preserve">UIT </w:t>
      </w:r>
      <w:r w:rsidR="008A0CCD" w:rsidRPr="0084016E">
        <w:rPr>
          <w:lang w:val="fr-FR"/>
        </w:rPr>
        <w:t xml:space="preserve">a poursuivi </w:t>
      </w:r>
      <w:r w:rsidRPr="0084016E">
        <w:rPr>
          <w:lang w:val="fr-FR"/>
        </w:rPr>
        <w:t>ses travaux d</w:t>
      </w:r>
      <w:r w:rsidR="009C1307" w:rsidRPr="0084016E">
        <w:rPr>
          <w:lang w:val="fr-FR"/>
        </w:rPr>
        <w:t>'</w:t>
      </w:r>
      <w:r w:rsidRPr="0084016E">
        <w:rPr>
          <w:lang w:val="fr-FR"/>
        </w:rPr>
        <w:t>harmonisation de la terminologie et des définitions au sein de l</w:t>
      </w:r>
      <w:r w:rsidR="009C1307" w:rsidRPr="0084016E">
        <w:rPr>
          <w:lang w:val="fr-FR"/>
        </w:rPr>
        <w:t>'</w:t>
      </w:r>
      <w:r w:rsidRPr="0084016E">
        <w:rPr>
          <w:lang w:val="fr-FR"/>
        </w:rPr>
        <w:t xml:space="preserve">UIT, </w:t>
      </w:r>
      <w:r w:rsidR="00407A3F" w:rsidRPr="0084016E">
        <w:rPr>
          <w:lang w:val="fr-FR"/>
        </w:rPr>
        <w:t>compte tenu</w:t>
      </w:r>
      <w:r w:rsidRPr="0084016E">
        <w:rPr>
          <w:lang w:val="fr-FR"/>
        </w:rPr>
        <w:t xml:space="preserve"> des propositions soumises en anglais par les commissions d</w:t>
      </w:r>
      <w:r w:rsidR="009C1307" w:rsidRPr="0084016E">
        <w:rPr>
          <w:lang w:val="fr-FR"/>
        </w:rPr>
        <w:t>'</w:t>
      </w:r>
      <w:r w:rsidRPr="0084016E">
        <w:rPr>
          <w:lang w:val="fr-FR"/>
        </w:rPr>
        <w:t>études de</w:t>
      </w:r>
      <w:r w:rsidR="00BC4156" w:rsidRPr="0084016E">
        <w:rPr>
          <w:lang w:val="fr-FR"/>
        </w:rPr>
        <w:t> </w:t>
      </w:r>
      <w:r w:rsidRPr="0084016E">
        <w:rPr>
          <w:lang w:val="fr-FR"/>
        </w:rPr>
        <w:t>l</w:t>
      </w:r>
      <w:r w:rsidR="009C1307" w:rsidRPr="0084016E">
        <w:rPr>
          <w:lang w:val="fr-FR"/>
        </w:rPr>
        <w:t>'</w:t>
      </w:r>
      <w:r w:rsidRPr="0084016E">
        <w:rPr>
          <w:lang w:val="fr-FR"/>
        </w:rPr>
        <w:t>UIT, et en validant leur traduction dans les cinq autres langues officielles de l</w:t>
      </w:r>
      <w:r w:rsidR="009C1307" w:rsidRPr="0084016E">
        <w:rPr>
          <w:lang w:val="fr-FR"/>
        </w:rPr>
        <w:t>'</w:t>
      </w:r>
      <w:r w:rsidRPr="0084016E">
        <w:rPr>
          <w:lang w:val="fr-FR"/>
        </w:rPr>
        <w:t xml:space="preserve">Union. Les travaux du CCT ont été conduits par les </w:t>
      </w:r>
      <w:r w:rsidR="00AA7A8F" w:rsidRPr="0084016E">
        <w:rPr>
          <w:lang w:val="fr-FR"/>
        </w:rPr>
        <w:t>p</w:t>
      </w:r>
      <w:r w:rsidRPr="0084016E">
        <w:rPr>
          <w:lang w:val="fr-FR"/>
        </w:rPr>
        <w:t xml:space="preserve">résidents du CCV et du SCV, avec le soutien actif des </w:t>
      </w:r>
      <w:r w:rsidR="00AA7A8F" w:rsidRPr="0084016E">
        <w:rPr>
          <w:lang w:val="fr-FR"/>
        </w:rPr>
        <w:t>v</w:t>
      </w:r>
      <w:r w:rsidRPr="0084016E">
        <w:rPr>
          <w:lang w:val="fr-FR"/>
        </w:rPr>
        <w:t>ice</w:t>
      </w:r>
      <w:r w:rsidR="00BC4156" w:rsidRPr="0084016E">
        <w:rPr>
          <w:lang w:val="fr-FR"/>
        </w:rPr>
        <w:noBreakHyphen/>
      </w:r>
      <w:r w:rsidR="00AA7A8F" w:rsidRPr="0084016E">
        <w:rPr>
          <w:lang w:val="fr-FR"/>
        </w:rPr>
        <w:t>p</w:t>
      </w:r>
      <w:r w:rsidRPr="0084016E">
        <w:rPr>
          <w:lang w:val="fr-FR"/>
        </w:rPr>
        <w:t>résidents, des Rapporteurs pour le vocabulaire et d</w:t>
      </w:r>
      <w:r w:rsidR="009C1307" w:rsidRPr="0084016E">
        <w:rPr>
          <w:lang w:val="fr-FR"/>
        </w:rPr>
        <w:t>'</w:t>
      </w:r>
      <w:r w:rsidRPr="0084016E">
        <w:rPr>
          <w:lang w:val="fr-FR"/>
        </w:rPr>
        <w:t>autres représentants des trois Secteurs de</w:t>
      </w:r>
      <w:r w:rsidR="00BC4156" w:rsidRPr="0084016E">
        <w:rPr>
          <w:lang w:val="fr-FR"/>
        </w:rPr>
        <w:t> </w:t>
      </w:r>
      <w:r w:rsidRPr="0084016E">
        <w:rPr>
          <w:lang w:val="fr-FR"/>
        </w:rPr>
        <w:t>l</w:t>
      </w:r>
      <w:r w:rsidR="009C1307" w:rsidRPr="0084016E">
        <w:rPr>
          <w:lang w:val="fr-FR"/>
        </w:rPr>
        <w:t>'</w:t>
      </w:r>
      <w:r w:rsidRPr="0084016E">
        <w:rPr>
          <w:lang w:val="fr-FR"/>
        </w:rPr>
        <w:t>UIT.</w:t>
      </w:r>
    </w:p>
    <w:p w14:paraId="42AFF471" w14:textId="03E60EE6" w:rsidR="004473FB" w:rsidRPr="0084016E" w:rsidRDefault="00D010E4" w:rsidP="001732C2">
      <w:pPr>
        <w:rPr>
          <w:lang w:val="fr-FR"/>
        </w:rPr>
      </w:pPr>
      <w:r w:rsidRPr="0084016E">
        <w:rPr>
          <w:lang w:val="fr-FR"/>
        </w:rPr>
        <w:t xml:space="preserve">La </w:t>
      </w:r>
      <w:hyperlink r:id="rId26" w:anchor="/fr" w:history="1">
        <w:r w:rsidRPr="0084016E">
          <w:rPr>
            <w:rStyle w:val="Hyperlink"/>
            <w:lang w:val="fr-FR"/>
          </w:rPr>
          <w:t xml:space="preserve">nouvelle page </w:t>
        </w:r>
        <w:r w:rsidRPr="0084016E">
          <w:rPr>
            <w:rStyle w:val="Hyperlink"/>
            <w:lang w:val="fr-FR"/>
          </w:rPr>
          <w:t>w</w:t>
        </w:r>
        <w:r w:rsidRPr="0084016E">
          <w:rPr>
            <w:rStyle w:val="Hyperlink"/>
            <w:lang w:val="fr-FR"/>
          </w:rPr>
          <w:t>eb du CCT de l'UIT</w:t>
        </w:r>
      </w:hyperlink>
      <w:r w:rsidR="000D6C6E" w:rsidRPr="0084016E">
        <w:rPr>
          <w:lang w:val="fr-FR"/>
        </w:rPr>
        <w:t xml:space="preserve"> a été placée sous la responsabilité du Secrétariat général, à la demande des membres, et</w:t>
      </w:r>
      <w:r w:rsidR="009C5C81" w:rsidRPr="0084016E">
        <w:rPr>
          <w:lang w:val="fr-FR"/>
        </w:rPr>
        <w:t xml:space="preserve"> est accessible depuis les pages web du SCV et du CCV, ainsi que depuis la page web consacrée à la coordination intersectorielle, depuis la page sur le multilinguisme et depuis la section </w:t>
      </w:r>
      <w:r w:rsidR="004D7324" w:rsidRPr="0084016E">
        <w:rPr>
          <w:lang w:val="fr-FR"/>
        </w:rPr>
        <w:t>«</w:t>
      </w:r>
      <w:r w:rsidR="009C5C81" w:rsidRPr="0084016E">
        <w:rPr>
          <w:lang w:val="fr-FR"/>
        </w:rPr>
        <w:t>Liens rapides</w:t>
      </w:r>
      <w:r w:rsidR="004D7324" w:rsidRPr="0084016E">
        <w:rPr>
          <w:lang w:val="fr-FR"/>
        </w:rPr>
        <w:t>»</w:t>
      </w:r>
      <w:r w:rsidR="009C5C81" w:rsidRPr="0084016E">
        <w:rPr>
          <w:lang w:val="fr-FR"/>
        </w:rPr>
        <w:t xml:space="preserve"> de la page d</w:t>
      </w:r>
      <w:r w:rsidR="009C1307" w:rsidRPr="0084016E">
        <w:rPr>
          <w:lang w:val="fr-FR"/>
        </w:rPr>
        <w:t>'</w:t>
      </w:r>
      <w:r w:rsidR="009C5C81" w:rsidRPr="0084016E">
        <w:rPr>
          <w:lang w:val="fr-FR"/>
        </w:rPr>
        <w:t>accueil principale du Secrétariat général. Les travaux se poursuivent en vue d</w:t>
      </w:r>
      <w:r w:rsidR="009C1307" w:rsidRPr="0084016E">
        <w:rPr>
          <w:lang w:val="fr-FR"/>
        </w:rPr>
        <w:t>'</w:t>
      </w:r>
      <w:r w:rsidR="009C5C81" w:rsidRPr="0084016E">
        <w:rPr>
          <w:lang w:val="fr-FR"/>
        </w:rPr>
        <w:t>adapter la présentation de la page web pour l</w:t>
      </w:r>
      <w:r w:rsidR="009C1307" w:rsidRPr="0084016E">
        <w:rPr>
          <w:lang w:val="fr-FR"/>
        </w:rPr>
        <w:t>'</w:t>
      </w:r>
      <w:r w:rsidR="009C5C81" w:rsidRPr="0084016E">
        <w:rPr>
          <w:lang w:val="fr-FR"/>
        </w:rPr>
        <w:t>harmoniser avec celle des autres groupes de l</w:t>
      </w:r>
      <w:r w:rsidR="009C1307" w:rsidRPr="0084016E">
        <w:rPr>
          <w:lang w:val="fr-FR"/>
        </w:rPr>
        <w:t>'</w:t>
      </w:r>
      <w:r w:rsidR="009C5C81" w:rsidRPr="0084016E">
        <w:rPr>
          <w:lang w:val="fr-FR"/>
        </w:rPr>
        <w:t>Union.</w:t>
      </w:r>
    </w:p>
    <w:p w14:paraId="65B318A8" w14:textId="262B246D" w:rsidR="0075529E" w:rsidRPr="0084016E" w:rsidRDefault="0075529E" w:rsidP="001732C2">
      <w:pPr>
        <w:rPr>
          <w:color w:val="222A35"/>
          <w:lang w:val="fr-FR"/>
        </w:rPr>
      </w:pPr>
      <w:r w:rsidRPr="0084016E">
        <w:rPr>
          <w:lang w:val="fr-FR"/>
        </w:rPr>
        <w:t>Une version actualisée de la Résolution 1386 du Conseil sur le Comité de coordination de l</w:t>
      </w:r>
      <w:r w:rsidR="009C1307" w:rsidRPr="0084016E">
        <w:rPr>
          <w:lang w:val="fr-FR"/>
        </w:rPr>
        <w:t>'</w:t>
      </w:r>
      <w:r w:rsidRPr="0084016E">
        <w:rPr>
          <w:lang w:val="fr-FR"/>
        </w:rPr>
        <w:t>UIT pour la terminologie a été approuvée par le Conseil</w:t>
      </w:r>
      <w:r w:rsidR="004D7324" w:rsidRPr="0084016E">
        <w:rPr>
          <w:lang w:val="fr-FR"/>
        </w:rPr>
        <w:t xml:space="preserve"> de l'Union</w:t>
      </w:r>
      <w:r w:rsidRPr="0084016E">
        <w:rPr>
          <w:lang w:val="fr-FR"/>
        </w:rPr>
        <w:t xml:space="preserve"> en juin 2024, y compris le mandat du CCT de l</w:t>
      </w:r>
      <w:r w:rsidR="009C1307" w:rsidRPr="0084016E">
        <w:rPr>
          <w:lang w:val="fr-FR"/>
        </w:rPr>
        <w:t>'</w:t>
      </w:r>
      <w:r w:rsidRPr="0084016E">
        <w:rPr>
          <w:lang w:val="fr-FR"/>
        </w:rPr>
        <w:t>UIT, qui est aligné sur la Résolution 154 (Rév. Bucarest, 2022) de la Conférence de plénipotentiaires. Compte tenu de l</w:t>
      </w:r>
      <w:r w:rsidR="009C1307" w:rsidRPr="0084016E">
        <w:rPr>
          <w:lang w:val="fr-FR"/>
        </w:rPr>
        <w:t>'</w:t>
      </w:r>
      <w:r w:rsidRPr="0084016E">
        <w:rPr>
          <w:lang w:val="fr-FR"/>
        </w:rPr>
        <w:t>évolution des travaux du CCT de l</w:t>
      </w:r>
      <w:r w:rsidR="009C1307" w:rsidRPr="0084016E">
        <w:rPr>
          <w:lang w:val="fr-FR"/>
        </w:rPr>
        <w:t>'</w:t>
      </w:r>
      <w:r w:rsidRPr="0084016E">
        <w:rPr>
          <w:lang w:val="fr-FR"/>
        </w:rPr>
        <w:t xml:space="preserve">UIT, </w:t>
      </w:r>
      <w:r w:rsidR="00CD6203" w:rsidRPr="0084016E">
        <w:rPr>
          <w:lang w:val="fr-FR"/>
        </w:rPr>
        <w:t>le Comité</w:t>
      </w:r>
      <w:r w:rsidRPr="0084016E">
        <w:rPr>
          <w:lang w:val="fr-FR"/>
        </w:rPr>
        <w:t xml:space="preserve"> envisagera de soumettre au </w:t>
      </w:r>
      <w:r w:rsidR="00A2004B" w:rsidRPr="0084016E">
        <w:rPr>
          <w:lang w:val="fr-FR"/>
        </w:rPr>
        <w:t xml:space="preserve">Groupe de travail du Conseil sur l'utilisation des langues (GTC-LANG) </w:t>
      </w:r>
      <w:r w:rsidRPr="0084016E">
        <w:rPr>
          <w:lang w:val="fr-FR"/>
        </w:rPr>
        <w:t>des propositions de révision de la Résolution 154 afin de mieux rendre compte de ses priorités actuelles.</w:t>
      </w:r>
    </w:p>
    <w:p w14:paraId="2564D87B" w14:textId="1FE7E066" w:rsidR="00462934" w:rsidRPr="0084016E" w:rsidRDefault="00462934" w:rsidP="001732C2">
      <w:pPr>
        <w:rPr>
          <w:rFonts w:ascii="Aptos" w:hAnsi="Aptos"/>
          <w:sz w:val="22"/>
          <w:lang w:val="fr-FR"/>
        </w:rPr>
      </w:pPr>
      <w:r w:rsidRPr="0084016E">
        <w:rPr>
          <w:lang w:val="fr-FR"/>
        </w:rPr>
        <w:t xml:space="preserve">La Lettre circulaire </w:t>
      </w:r>
      <w:hyperlink r:id="rId27" w:history="1">
        <w:r w:rsidRPr="0084016E">
          <w:rPr>
            <w:rStyle w:val="Hyperlink"/>
            <w:lang w:val="fr-FR"/>
          </w:rPr>
          <w:t>CL-2</w:t>
        </w:r>
        <w:r w:rsidRPr="0084016E">
          <w:rPr>
            <w:rStyle w:val="Hyperlink"/>
            <w:lang w:val="fr-FR"/>
          </w:rPr>
          <w:t>3</w:t>
        </w:r>
        <w:r w:rsidRPr="0084016E">
          <w:rPr>
            <w:rStyle w:val="Hyperlink"/>
            <w:lang w:val="fr-FR"/>
          </w:rPr>
          <w:t>/45</w:t>
        </w:r>
      </w:hyperlink>
      <w:r w:rsidRPr="0084016E">
        <w:rPr>
          <w:lang w:val="fr-FR"/>
        </w:rPr>
        <w:t xml:space="preserve"> </w:t>
      </w:r>
      <w:r w:rsidR="00E454F8" w:rsidRPr="0084016E">
        <w:rPr>
          <w:lang w:val="fr-FR"/>
        </w:rPr>
        <w:t>dans</w:t>
      </w:r>
      <w:r w:rsidR="00BB2788" w:rsidRPr="0084016E">
        <w:rPr>
          <w:lang w:val="fr-FR"/>
        </w:rPr>
        <w:t xml:space="preserve"> laquelle </w:t>
      </w:r>
      <w:r w:rsidRPr="0084016E">
        <w:rPr>
          <w:lang w:val="fr-FR"/>
        </w:rPr>
        <w:t xml:space="preserve">tous les </w:t>
      </w:r>
      <w:r w:rsidR="00BB2788" w:rsidRPr="0084016E">
        <w:rPr>
          <w:lang w:val="fr-FR"/>
        </w:rPr>
        <w:t>É</w:t>
      </w:r>
      <w:r w:rsidRPr="0084016E">
        <w:rPr>
          <w:lang w:val="fr-FR"/>
        </w:rPr>
        <w:t>tats Membres</w:t>
      </w:r>
      <w:r w:rsidR="00BB2788" w:rsidRPr="0084016E">
        <w:rPr>
          <w:lang w:val="fr-FR"/>
        </w:rPr>
        <w:t xml:space="preserve"> ont été invités</w:t>
      </w:r>
      <w:r w:rsidRPr="0084016E">
        <w:rPr>
          <w:lang w:val="fr-FR"/>
        </w:rPr>
        <w:t xml:space="preserve"> à recommander des entités </w:t>
      </w:r>
      <w:r w:rsidR="00BB2788" w:rsidRPr="0084016E">
        <w:rPr>
          <w:lang w:val="fr-FR"/>
        </w:rPr>
        <w:t>souhaitant</w:t>
      </w:r>
      <w:r w:rsidRPr="0084016E">
        <w:rPr>
          <w:lang w:val="fr-FR"/>
        </w:rPr>
        <w:t xml:space="preserve"> collaborer avec le Département des conférences et des publications (C&amp;P) dans le domaine de la terminologie a été </w:t>
      </w:r>
      <w:r w:rsidR="00FE7589" w:rsidRPr="0084016E">
        <w:rPr>
          <w:lang w:val="fr-FR"/>
        </w:rPr>
        <w:t>accueillie avec engouement</w:t>
      </w:r>
      <w:r w:rsidRPr="0084016E">
        <w:rPr>
          <w:lang w:val="fr-FR"/>
        </w:rPr>
        <w:t>. La collaboration avec quatre</w:t>
      </w:r>
      <w:r w:rsidR="00117BD8" w:rsidRPr="0084016E">
        <w:rPr>
          <w:lang w:val="fr-FR"/>
        </w:rPr>
        <w:t> </w:t>
      </w:r>
      <w:r w:rsidRPr="0084016E">
        <w:rPr>
          <w:lang w:val="fr-FR"/>
        </w:rPr>
        <w:t>institutions a débuté en juillet 2024, à savoir la Commission des communications, de l</w:t>
      </w:r>
      <w:r w:rsidR="009C1307" w:rsidRPr="0084016E">
        <w:rPr>
          <w:lang w:val="fr-FR"/>
        </w:rPr>
        <w:t>'</w:t>
      </w:r>
      <w:r w:rsidRPr="0084016E">
        <w:rPr>
          <w:lang w:val="fr-FR"/>
        </w:rPr>
        <w:t>espace et de la technologie (CST) d</w:t>
      </w:r>
      <w:r w:rsidR="009C1307" w:rsidRPr="0084016E">
        <w:rPr>
          <w:lang w:val="fr-FR"/>
        </w:rPr>
        <w:t>'</w:t>
      </w:r>
      <w:r w:rsidRPr="0084016E">
        <w:rPr>
          <w:lang w:val="fr-FR"/>
        </w:rPr>
        <w:t>Arabie saoudite, l</w:t>
      </w:r>
      <w:r w:rsidR="009C1307" w:rsidRPr="0084016E">
        <w:rPr>
          <w:lang w:val="fr-FR"/>
        </w:rPr>
        <w:t>'</w:t>
      </w:r>
      <w:r w:rsidRPr="0084016E">
        <w:rPr>
          <w:lang w:val="fr-FR"/>
        </w:rPr>
        <w:t>Institut chinois des communications (CIC), l</w:t>
      </w:r>
      <w:r w:rsidR="009C1307" w:rsidRPr="0084016E">
        <w:rPr>
          <w:lang w:val="fr-FR"/>
        </w:rPr>
        <w:t>'</w:t>
      </w:r>
      <w:r w:rsidRPr="0084016E">
        <w:rPr>
          <w:lang w:val="fr-FR"/>
        </w:rPr>
        <w:t xml:space="preserve">Institut de recherche et de développement des radiocommunications M.I. Krivosheev (NIIR) de Russie et le </w:t>
      </w:r>
      <w:r w:rsidRPr="0084016E">
        <w:rPr>
          <w:i/>
          <w:iCs/>
          <w:lang w:val="fr-FR"/>
        </w:rPr>
        <w:t>Colegio Oficial de Ingenieros de Telecommunicación</w:t>
      </w:r>
      <w:r w:rsidRPr="0084016E">
        <w:rPr>
          <w:lang w:val="fr-FR"/>
        </w:rPr>
        <w:t xml:space="preserve"> (COIT) d</w:t>
      </w:r>
      <w:r w:rsidR="009C1307" w:rsidRPr="0084016E">
        <w:rPr>
          <w:lang w:val="fr-FR"/>
        </w:rPr>
        <w:t>'</w:t>
      </w:r>
      <w:r w:rsidRPr="0084016E">
        <w:rPr>
          <w:lang w:val="fr-FR"/>
        </w:rPr>
        <w:t xml:space="preserve">Espagne. </w:t>
      </w:r>
      <w:r w:rsidR="00641CAF" w:rsidRPr="0084016E">
        <w:rPr>
          <w:lang w:val="fr-FR"/>
        </w:rPr>
        <w:t xml:space="preserve">Le Département </w:t>
      </w:r>
      <w:r w:rsidRPr="0084016E">
        <w:rPr>
          <w:lang w:val="fr-FR"/>
        </w:rPr>
        <w:t>C&amp;P a travaillé en étroite collaboration avec ces instituts pour traduire des termes et des définitions dans d</w:t>
      </w:r>
      <w:r w:rsidR="009C1307" w:rsidRPr="0084016E">
        <w:rPr>
          <w:lang w:val="fr-FR"/>
        </w:rPr>
        <w:t>'</w:t>
      </w:r>
      <w:r w:rsidRPr="0084016E">
        <w:rPr>
          <w:lang w:val="fr-FR"/>
        </w:rPr>
        <w:t>autres langues officielles. Afin de proposer davantage de contenus multilingues dans la base de données des termes et définitions de l</w:t>
      </w:r>
      <w:r w:rsidR="009C1307" w:rsidRPr="0084016E">
        <w:rPr>
          <w:lang w:val="fr-FR"/>
        </w:rPr>
        <w:t>'</w:t>
      </w:r>
      <w:r w:rsidRPr="0084016E">
        <w:rPr>
          <w:lang w:val="fr-FR"/>
        </w:rPr>
        <w:t xml:space="preserve">UIT, le Département C&amp;P et le Bureau de la normalisation des télécommunications élaborent en outre une solution </w:t>
      </w:r>
      <w:r w:rsidR="00EC0B1B" w:rsidRPr="0084016E">
        <w:rPr>
          <w:lang w:val="fr-FR"/>
        </w:rPr>
        <w:t xml:space="preserve">pour </w:t>
      </w:r>
      <w:r w:rsidR="00117BD8" w:rsidRPr="0084016E">
        <w:rPr>
          <w:lang w:val="fr-FR"/>
        </w:rPr>
        <w:t>incorporer</w:t>
      </w:r>
      <w:r w:rsidRPr="0084016E">
        <w:rPr>
          <w:lang w:val="fr-FR"/>
        </w:rPr>
        <w:t xml:space="preserve"> des traductions de termes et définitions de Recommandations UIT-T déjà traduites.</w:t>
      </w:r>
    </w:p>
    <w:p w14:paraId="186039F5" w14:textId="198DA5CA" w:rsidR="00D770C4" w:rsidRPr="0084016E" w:rsidRDefault="00D770C4" w:rsidP="001732C2">
      <w:pPr>
        <w:rPr>
          <w:lang w:val="fr-FR"/>
        </w:rPr>
      </w:pPr>
      <w:r w:rsidRPr="0084016E">
        <w:rPr>
          <w:lang w:val="fr-FR"/>
        </w:rPr>
        <w:lastRenderedPageBreak/>
        <w:t>Les termes et définitions en anglais validés par le CCT sont traduits dans les cinq autres langues officielles de l</w:t>
      </w:r>
      <w:r w:rsidR="009C1307" w:rsidRPr="0084016E">
        <w:rPr>
          <w:lang w:val="fr-FR"/>
        </w:rPr>
        <w:t>'</w:t>
      </w:r>
      <w:r w:rsidRPr="0084016E">
        <w:rPr>
          <w:lang w:val="fr-FR"/>
        </w:rPr>
        <w:t>Union avant d</w:t>
      </w:r>
      <w:r w:rsidR="009C1307" w:rsidRPr="0084016E">
        <w:rPr>
          <w:lang w:val="fr-FR"/>
        </w:rPr>
        <w:t>'</w:t>
      </w:r>
      <w:r w:rsidRPr="0084016E">
        <w:rPr>
          <w:lang w:val="fr-FR"/>
        </w:rPr>
        <w:t xml:space="preserve">être </w:t>
      </w:r>
      <w:r w:rsidR="0096690B" w:rsidRPr="0084016E">
        <w:rPr>
          <w:lang w:val="fr-FR"/>
        </w:rPr>
        <w:t>inclus</w:t>
      </w:r>
      <w:r w:rsidRPr="0084016E">
        <w:rPr>
          <w:lang w:val="fr-FR"/>
        </w:rPr>
        <w:t xml:space="preserve"> dans la </w:t>
      </w:r>
      <w:hyperlink r:id="rId28" w:anchor="/" w:history="1">
        <w:r w:rsidRPr="0084016E">
          <w:rPr>
            <w:rStyle w:val="Hyperlink"/>
            <w:lang w:val="fr-FR"/>
          </w:rPr>
          <w:t>base de données des termes et définitions de l</w:t>
        </w:r>
        <w:r w:rsidR="009C1307" w:rsidRPr="0084016E">
          <w:rPr>
            <w:rStyle w:val="Hyperlink"/>
            <w:lang w:val="fr-FR"/>
          </w:rPr>
          <w:t>'</w:t>
        </w:r>
        <w:r w:rsidRPr="0084016E">
          <w:rPr>
            <w:rStyle w:val="Hyperlink"/>
            <w:lang w:val="fr-FR"/>
          </w:rPr>
          <w:t>UIT</w:t>
        </w:r>
      </w:hyperlink>
      <w:r w:rsidRPr="0084016E">
        <w:rPr>
          <w:lang w:val="fr-FR"/>
        </w:rPr>
        <w:t>.</w:t>
      </w:r>
    </w:p>
    <w:p w14:paraId="4A1E578C" w14:textId="074B6F60" w:rsidR="0025739A" w:rsidRPr="0084016E" w:rsidRDefault="0025739A" w:rsidP="001732C2">
      <w:pPr>
        <w:rPr>
          <w:lang w:val="fr-FR"/>
        </w:rPr>
      </w:pPr>
      <w:r w:rsidRPr="0084016E">
        <w:rPr>
          <w:lang w:val="fr-FR"/>
        </w:rPr>
        <w:t>Les commissions d</w:t>
      </w:r>
      <w:r w:rsidR="009C1307" w:rsidRPr="0084016E">
        <w:rPr>
          <w:lang w:val="fr-FR"/>
        </w:rPr>
        <w:t>'</w:t>
      </w:r>
      <w:r w:rsidRPr="0084016E">
        <w:rPr>
          <w:lang w:val="fr-FR"/>
        </w:rPr>
        <w:t>études de l</w:t>
      </w:r>
      <w:r w:rsidR="009C1307" w:rsidRPr="0084016E">
        <w:rPr>
          <w:lang w:val="fr-FR"/>
        </w:rPr>
        <w:t>'</w:t>
      </w:r>
      <w:r w:rsidRPr="0084016E">
        <w:rPr>
          <w:lang w:val="fr-FR"/>
        </w:rPr>
        <w:t>UIT-R et de l</w:t>
      </w:r>
      <w:r w:rsidR="009C1307" w:rsidRPr="0084016E">
        <w:rPr>
          <w:lang w:val="fr-FR"/>
        </w:rPr>
        <w:t>'</w:t>
      </w:r>
      <w:r w:rsidRPr="0084016E">
        <w:rPr>
          <w:lang w:val="fr-FR"/>
        </w:rPr>
        <w:t>UIT-T doivent, dans le cadre de leur mandat, poursuivre leurs travaux sur les termes techniques et d</w:t>
      </w:r>
      <w:r w:rsidR="009C1307" w:rsidRPr="0084016E">
        <w:rPr>
          <w:lang w:val="fr-FR"/>
        </w:rPr>
        <w:t>'</w:t>
      </w:r>
      <w:r w:rsidRPr="0084016E">
        <w:rPr>
          <w:lang w:val="fr-FR"/>
        </w:rPr>
        <w:t>exploitation et leurs définitions en anglais seulement.</w:t>
      </w:r>
    </w:p>
    <w:p w14:paraId="09117BFE" w14:textId="7C297173" w:rsidR="0025739A" w:rsidRPr="0084016E" w:rsidRDefault="0025739A" w:rsidP="001732C2">
      <w:pPr>
        <w:rPr>
          <w:lang w:val="fr-FR"/>
        </w:rPr>
      </w:pPr>
      <w:r w:rsidRPr="0084016E">
        <w:rPr>
          <w:lang w:val="fr-FR"/>
        </w:rPr>
        <w:t>La prochaine réunion du CCT aura lieu le 11 mars 2025.</w:t>
      </w:r>
    </w:p>
    <w:p w14:paraId="0A245871" w14:textId="338D5BBC" w:rsidR="00325EB8" w:rsidRPr="0084016E" w:rsidRDefault="0073398E" w:rsidP="00577624">
      <w:pPr>
        <w:pStyle w:val="Heading2"/>
        <w:rPr>
          <w:lang w:val="fr-FR"/>
        </w:rPr>
      </w:pPr>
      <w:bookmarkStart w:id="17" w:name="_Hlk140676786"/>
      <w:r w:rsidRPr="0084016E">
        <w:rPr>
          <w:bCs/>
          <w:lang w:val="fr-FR"/>
        </w:rPr>
        <w:t>5.8</w:t>
      </w:r>
      <w:r w:rsidRPr="0084016E">
        <w:rPr>
          <w:lang w:val="fr-FR"/>
        </w:rPr>
        <w:tab/>
      </w:r>
      <w:r w:rsidRPr="0084016E">
        <w:rPr>
          <w:bCs/>
          <w:lang w:val="fr-FR"/>
        </w:rPr>
        <w:t xml:space="preserve">Nomination des </w:t>
      </w:r>
      <w:r w:rsidR="005031A1" w:rsidRPr="0084016E">
        <w:rPr>
          <w:bCs/>
          <w:lang w:val="fr-FR"/>
        </w:rPr>
        <w:t>v</w:t>
      </w:r>
      <w:r w:rsidRPr="0084016E">
        <w:rPr>
          <w:bCs/>
          <w:lang w:val="fr-FR"/>
        </w:rPr>
        <w:t>ice-</w:t>
      </w:r>
      <w:r w:rsidR="005031A1" w:rsidRPr="0084016E">
        <w:rPr>
          <w:bCs/>
          <w:lang w:val="fr-FR"/>
        </w:rPr>
        <w:t>p</w:t>
      </w:r>
      <w:r w:rsidRPr="0084016E">
        <w:rPr>
          <w:bCs/>
          <w:lang w:val="fr-FR"/>
        </w:rPr>
        <w:t xml:space="preserve">résidents des </w:t>
      </w:r>
      <w:r w:rsidR="00BE5B47" w:rsidRPr="0084016E">
        <w:rPr>
          <w:bCs/>
          <w:lang w:val="fr-FR"/>
        </w:rPr>
        <w:t>c</w:t>
      </w:r>
      <w:r w:rsidRPr="0084016E">
        <w:rPr>
          <w:bCs/>
          <w:lang w:val="fr-FR"/>
        </w:rPr>
        <w:t>ommissions d</w:t>
      </w:r>
      <w:r w:rsidR="009C1307" w:rsidRPr="0084016E">
        <w:rPr>
          <w:bCs/>
          <w:lang w:val="fr-FR"/>
        </w:rPr>
        <w:t>'</w:t>
      </w:r>
      <w:r w:rsidRPr="0084016E">
        <w:rPr>
          <w:bCs/>
          <w:lang w:val="fr-FR"/>
        </w:rPr>
        <w:t>études et du CCV</w:t>
      </w:r>
    </w:p>
    <w:p w14:paraId="2AC4C98E" w14:textId="7A5ED0D9" w:rsidR="00202F28" w:rsidRPr="0084016E" w:rsidRDefault="00B53215" w:rsidP="00577624">
      <w:pPr>
        <w:rPr>
          <w:szCs w:val="24"/>
          <w:lang w:val="fr-FR"/>
        </w:rPr>
      </w:pPr>
      <w:r w:rsidRPr="0084016E">
        <w:rPr>
          <w:lang w:val="fr-FR"/>
        </w:rPr>
        <w:t xml:space="preserve">À sa troisième séance plénière (voir le Document </w:t>
      </w:r>
      <w:hyperlink r:id="rId29" w:history="1">
        <w:r w:rsidRPr="0084016E">
          <w:rPr>
            <w:rStyle w:val="Hyperlink"/>
            <w:lang w:val="fr-FR"/>
          </w:rPr>
          <w:t>RA23/PLEN/101(Rév.1)</w:t>
        </w:r>
      </w:hyperlink>
      <w:r w:rsidRPr="0084016E">
        <w:rPr>
          <w:lang w:val="fr-FR"/>
        </w:rPr>
        <w:t>), l</w:t>
      </w:r>
      <w:r w:rsidR="009C1307" w:rsidRPr="0084016E">
        <w:rPr>
          <w:lang w:val="fr-FR"/>
        </w:rPr>
        <w:t>'</w:t>
      </w:r>
      <w:r w:rsidRPr="0084016E">
        <w:rPr>
          <w:lang w:val="fr-FR"/>
        </w:rPr>
        <w:t>Assemblée des radiocommunications de 2023 (AR-23) a décidé de déléguer aux groupes concernés (CE, CCV, GCR, RPC) la responsabilité de nommer leurs vice-présidents respectifs sur la base du Document</w:t>
      </w:r>
      <w:r w:rsidR="00117BD8" w:rsidRPr="0084016E">
        <w:rPr>
          <w:lang w:val="fr-FR"/>
        </w:rPr>
        <w:t> </w:t>
      </w:r>
      <w:hyperlink r:id="rId30" w:history="1">
        <w:r w:rsidRPr="0084016E">
          <w:rPr>
            <w:rStyle w:val="Hyperlink"/>
            <w:lang w:val="fr-FR"/>
          </w:rPr>
          <w:t>RA23/PLEN/91</w:t>
        </w:r>
      </w:hyperlink>
      <w:r w:rsidRPr="0084016E">
        <w:rPr>
          <w:lang w:val="fr-FR"/>
        </w:rPr>
        <w:t>.</w:t>
      </w:r>
    </w:p>
    <w:p w14:paraId="0475CED6" w14:textId="4F74728E" w:rsidR="00B53215" w:rsidRPr="0084016E" w:rsidRDefault="00AF4E3F" w:rsidP="00577624">
      <w:pPr>
        <w:rPr>
          <w:szCs w:val="24"/>
          <w:lang w:val="fr-FR"/>
        </w:rPr>
      </w:pPr>
      <w:r w:rsidRPr="0084016E">
        <w:rPr>
          <w:lang w:val="fr-FR"/>
        </w:rPr>
        <w:t xml:space="preserve">Pendant les réunions de 2024, chaque CE a </w:t>
      </w:r>
      <w:r w:rsidR="003557B0" w:rsidRPr="0084016E">
        <w:rPr>
          <w:lang w:val="fr-FR"/>
        </w:rPr>
        <w:t>nommé</w:t>
      </w:r>
      <w:r w:rsidRPr="0084016E">
        <w:rPr>
          <w:lang w:val="fr-FR"/>
        </w:rPr>
        <w:t xml:space="preserve"> ses vice-présidents selon les mesures décrites dans le Chapitre II des Règles générales régissant les conférences, assemblées et réunions de l</w:t>
      </w:r>
      <w:r w:rsidR="009C1307" w:rsidRPr="0084016E">
        <w:rPr>
          <w:lang w:val="fr-FR"/>
        </w:rPr>
        <w:t>'</w:t>
      </w:r>
      <w:r w:rsidRPr="0084016E">
        <w:rPr>
          <w:lang w:val="fr-FR"/>
        </w:rPr>
        <w:t>Union pour les candidats pour lesquels aucun consensus n</w:t>
      </w:r>
      <w:r w:rsidR="009C1307" w:rsidRPr="0084016E">
        <w:rPr>
          <w:lang w:val="fr-FR"/>
        </w:rPr>
        <w:t>'</w:t>
      </w:r>
      <w:r w:rsidRPr="0084016E">
        <w:rPr>
          <w:lang w:val="fr-FR"/>
        </w:rPr>
        <w:t xml:space="preserve">a été trouvé. </w:t>
      </w:r>
      <w:r w:rsidR="00044B5F" w:rsidRPr="0084016E">
        <w:rPr>
          <w:lang w:val="fr-FR"/>
        </w:rPr>
        <w:t>T</w:t>
      </w:r>
      <w:r w:rsidRPr="0084016E">
        <w:rPr>
          <w:lang w:val="fr-FR"/>
        </w:rPr>
        <w:t>outes les commissions d</w:t>
      </w:r>
      <w:r w:rsidR="009C1307" w:rsidRPr="0084016E">
        <w:rPr>
          <w:lang w:val="fr-FR"/>
        </w:rPr>
        <w:t>'</w:t>
      </w:r>
      <w:r w:rsidRPr="0084016E">
        <w:rPr>
          <w:lang w:val="fr-FR"/>
        </w:rPr>
        <w:t>études ont constitué leur équipe de direction</w:t>
      </w:r>
      <w:r w:rsidR="00044B5F" w:rsidRPr="0084016E">
        <w:rPr>
          <w:lang w:val="fr-FR"/>
        </w:rPr>
        <w:t xml:space="preserve"> en conséquence</w:t>
      </w:r>
      <w:r w:rsidRPr="0084016E">
        <w:rPr>
          <w:lang w:val="fr-FR"/>
        </w:rPr>
        <w:t>.</w:t>
      </w:r>
    </w:p>
    <w:p w14:paraId="6228FFA6" w14:textId="78CB600A" w:rsidR="0026189A" w:rsidRPr="0084016E" w:rsidRDefault="0026189A" w:rsidP="00577624">
      <w:pPr>
        <w:rPr>
          <w:lang w:val="fr-FR"/>
        </w:rPr>
      </w:pPr>
      <w:r w:rsidRPr="0084016E">
        <w:rPr>
          <w:lang w:val="fr-FR"/>
        </w:rPr>
        <w:t>À sa réunion d</w:t>
      </w:r>
      <w:r w:rsidR="009C1307" w:rsidRPr="0084016E">
        <w:rPr>
          <w:lang w:val="fr-FR"/>
        </w:rPr>
        <w:t>'</w:t>
      </w:r>
      <w:r w:rsidRPr="0084016E">
        <w:rPr>
          <w:lang w:val="fr-FR"/>
        </w:rPr>
        <w:t>avril 2024, le CCV a nommé ses vice-présidents par consensus.</w:t>
      </w:r>
    </w:p>
    <w:p w14:paraId="7ECE627C" w14:textId="3010B226" w:rsidR="0025739A" w:rsidRPr="0084016E" w:rsidRDefault="008B399A" w:rsidP="00577624">
      <w:pPr>
        <w:pStyle w:val="Heading2"/>
        <w:rPr>
          <w:lang w:val="fr-FR"/>
        </w:rPr>
      </w:pPr>
      <w:r w:rsidRPr="0084016E">
        <w:rPr>
          <w:bCs/>
          <w:lang w:val="fr-FR"/>
        </w:rPr>
        <w:t>5.9</w:t>
      </w:r>
      <w:r w:rsidRPr="0084016E">
        <w:rPr>
          <w:lang w:val="fr-FR"/>
        </w:rPr>
        <w:tab/>
      </w:r>
      <w:r w:rsidRPr="0084016E">
        <w:rPr>
          <w:bCs/>
          <w:lang w:val="fr-FR"/>
        </w:rPr>
        <w:t>Participation des vice-présidents aux travaux de leurs commissions d</w:t>
      </w:r>
      <w:r w:rsidR="009C1307" w:rsidRPr="0084016E">
        <w:rPr>
          <w:bCs/>
          <w:lang w:val="fr-FR"/>
        </w:rPr>
        <w:t>'</w:t>
      </w:r>
      <w:r w:rsidRPr="0084016E">
        <w:rPr>
          <w:bCs/>
          <w:lang w:val="fr-FR"/>
        </w:rPr>
        <w:t>études respectives</w:t>
      </w:r>
    </w:p>
    <w:p w14:paraId="4EA53D7C" w14:textId="5CA89438" w:rsidR="0025739A" w:rsidRPr="0084016E" w:rsidRDefault="0025739A" w:rsidP="00577624">
      <w:pPr>
        <w:rPr>
          <w:lang w:val="fr-FR"/>
        </w:rPr>
      </w:pPr>
      <w:r w:rsidRPr="0084016E">
        <w:rPr>
          <w:lang w:val="fr-FR"/>
        </w:rPr>
        <w:t>Conformément au § A1.4.5 de la Résolution 1-9, le GCR doit être informé de l</w:t>
      </w:r>
      <w:r w:rsidR="009C1307" w:rsidRPr="0084016E">
        <w:rPr>
          <w:lang w:val="fr-FR"/>
        </w:rPr>
        <w:t>'</w:t>
      </w:r>
      <w:r w:rsidRPr="0084016E">
        <w:rPr>
          <w:lang w:val="fr-FR"/>
        </w:rPr>
        <w:t>absence des vice</w:t>
      </w:r>
      <w:r w:rsidR="001E1056" w:rsidRPr="0084016E">
        <w:rPr>
          <w:lang w:val="fr-FR"/>
        </w:rPr>
        <w:noBreakHyphen/>
      </w:r>
      <w:r w:rsidRPr="0084016E">
        <w:rPr>
          <w:lang w:val="fr-FR"/>
        </w:rPr>
        <w:t>présidents aux réunions du GCR et des CE. Les chiffres de la participation des vice</w:t>
      </w:r>
      <w:r w:rsidR="001E1056" w:rsidRPr="0084016E">
        <w:rPr>
          <w:lang w:val="fr-FR"/>
        </w:rPr>
        <w:noBreakHyphen/>
      </w:r>
      <w:r w:rsidRPr="0084016E">
        <w:rPr>
          <w:lang w:val="fr-FR"/>
        </w:rPr>
        <w:t xml:space="preserve">présidents aux réunions les concernant </w:t>
      </w:r>
      <w:r w:rsidR="00C77DC6" w:rsidRPr="0084016E">
        <w:rPr>
          <w:lang w:val="fr-FR"/>
        </w:rPr>
        <w:t>au cours de l'année</w:t>
      </w:r>
      <w:r w:rsidR="00490C77" w:rsidRPr="0084016E">
        <w:rPr>
          <w:lang w:val="fr-FR"/>
        </w:rPr>
        <w:t xml:space="preserve"> 2024</w:t>
      </w:r>
      <w:r w:rsidRPr="0084016E">
        <w:rPr>
          <w:lang w:val="fr-FR"/>
        </w:rPr>
        <w:t xml:space="preserve"> sont donnés ci-après.</w:t>
      </w:r>
    </w:p>
    <w:p w14:paraId="3434A36D" w14:textId="3ABC241D" w:rsidR="0025739A" w:rsidRPr="0084016E" w:rsidRDefault="008B399A" w:rsidP="00577624">
      <w:pPr>
        <w:pStyle w:val="Heading3"/>
        <w:rPr>
          <w:lang w:val="fr-FR"/>
        </w:rPr>
      </w:pPr>
      <w:r w:rsidRPr="0084016E">
        <w:rPr>
          <w:bCs/>
          <w:lang w:val="fr-FR"/>
        </w:rPr>
        <w:t>5.9.1</w:t>
      </w:r>
      <w:r w:rsidRPr="0084016E">
        <w:rPr>
          <w:lang w:val="fr-FR"/>
        </w:rPr>
        <w:tab/>
      </w:r>
      <w:r w:rsidRPr="0084016E">
        <w:rPr>
          <w:bCs/>
          <w:lang w:val="fr-FR"/>
        </w:rPr>
        <w:t>Participation des Vice-Présidents de la CE 1 aux travaux de la CE 1</w:t>
      </w:r>
    </w:p>
    <w:p w14:paraId="626E5D38" w14:textId="6FA5BF5F" w:rsidR="0025739A" w:rsidRPr="0084016E" w:rsidRDefault="0025739A" w:rsidP="00577624">
      <w:pPr>
        <w:rPr>
          <w:lang w:val="fr-FR"/>
        </w:rPr>
      </w:pPr>
      <w:r w:rsidRPr="0084016E">
        <w:rPr>
          <w:lang w:val="fr-FR"/>
        </w:rPr>
        <w:t xml:space="preserve">La CE 1 </w:t>
      </w:r>
      <w:r w:rsidR="00D706E0" w:rsidRPr="0084016E">
        <w:rPr>
          <w:lang w:val="fr-FR"/>
        </w:rPr>
        <w:t>a nommé</w:t>
      </w:r>
      <w:r w:rsidRPr="0084016E">
        <w:rPr>
          <w:lang w:val="fr-FR"/>
        </w:rPr>
        <w:t xml:space="preserve"> 1</w:t>
      </w:r>
      <w:r w:rsidR="00D706E0" w:rsidRPr="0084016E">
        <w:rPr>
          <w:lang w:val="fr-FR"/>
        </w:rPr>
        <w:t>5</w:t>
      </w:r>
      <w:r w:rsidRPr="0084016E">
        <w:rPr>
          <w:lang w:val="fr-FR"/>
        </w:rPr>
        <w:t xml:space="preserve"> Vice-Présidents pour la période d</w:t>
      </w:r>
      <w:r w:rsidR="009C1307" w:rsidRPr="0084016E">
        <w:rPr>
          <w:lang w:val="fr-FR"/>
        </w:rPr>
        <w:t>'</w:t>
      </w:r>
      <w:r w:rsidRPr="0084016E">
        <w:rPr>
          <w:lang w:val="fr-FR"/>
        </w:rPr>
        <w:t xml:space="preserve">études </w:t>
      </w:r>
      <w:r w:rsidR="00D706E0" w:rsidRPr="0084016E">
        <w:rPr>
          <w:lang w:val="fr-FR"/>
        </w:rPr>
        <w:t>2023-2027</w:t>
      </w:r>
      <w:r w:rsidRPr="0084016E">
        <w:rPr>
          <w:lang w:val="fr-FR"/>
        </w:rPr>
        <w:t>.</w:t>
      </w:r>
    </w:p>
    <w:p w14:paraId="151A8464" w14:textId="25B86D0D" w:rsidR="00A074A1" w:rsidRPr="0084016E" w:rsidRDefault="00A074A1" w:rsidP="009E4F77">
      <w:pPr>
        <w:pStyle w:val="enumlev1"/>
        <w:rPr>
          <w:lang w:val="fr-FR"/>
        </w:rPr>
      </w:pPr>
      <w:r w:rsidRPr="0084016E">
        <w:rPr>
          <w:lang w:val="fr-FR"/>
        </w:rPr>
        <w:t>−</w:t>
      </w:r>
      <w:r w:rsidRPr="0084016E">
        <w:rPr>
          <w:lang w:val="fr-FR"/>
        </w:rPr>
        <w:tab/>
        <w:t xml:space="preserve">Nombre de Vice-Présidents de la CE 1 ayant participé </w:t>
      </w:r>
      <w:r w:rsidR="00D706E0" w:rsidRPr="0084016E">
        <w:rPr>
          <w:lang w:val="fr-FR"/>
        </w:rPr>
        <w:t>à la réunion</w:t>
      </w:r>
      <w:r w:rsidRPr="0084016E">
        <w:rPr>
          <w:lang w:val="fr-FR"/>
        </w:rPr>
        <w:t xml:space="preserve"> de la CE 1 </w:t>
      </w:r>
      <w:r w:rsidR="0046625C" w:rsidRPr="0084016E">
        <w:rPr>
          <w:lang w:val="fr-FR"/>
        </w:rPr>
        <w:t>en 2024</w:t>
      </w:r>
      <w:r w:rsidRPr="0084016E">
        <w:rPr>
          <w:lang w:val="fr-FR"/>
        </w:rPr>
        <w:t xml:space="preserve">: </w:t>
      </w:r>
      <w:r w:rsidR="000F0892" w:rsidRPr="0084016E">
        <w:rPr>
          <w:b/>
          <w:bCs/>
          <w:lang w:val="fr-FR"/>
        </w:rPr>
        <w:t>13</w:t>
      </w:r>
      <w:r w:rsidRPr="0084016E">
        <w:rPr>
          <w:b/>
          <w:bCs/>
          <w:lang w:val="fr-FR"/>
        </w:rPr>
        <w:t>/1</w:t>
      </w:r>
      <w:r w:rsidR="00002845" w:rsidRPr="0084016E">
        <w:rPr>
          <w:b/>
          <w:bCs/>
          <w:lang w:val="fr-FR"/>
        </w:rPr>
        <w:t>5</w:t>
      </w:r>
      <w:r w:rsidRPr="0084016E">
        <w:rPr>
          <w:lang w:val="fr-FR"/>
        </w:rPr>
        <w:t>.</w:t>
      </w:r>
    </w:p>
    <w:p w14:paraId="510DB62F" w14:textId="518811E0" w:rsidR="0025739A" w:rsidRPr="0084016E" w:rsidRDefault="008B399A" w:rsidP="00577624">
      <w:pPr>
        <w:pStyle w:val="Heading3"/>
        <w:rPr>
          <w:lang w:val="fr-FR"/>
        </w:rPr>
      </w:pPr>
      <w:r w:rsidRPr="0084016E">
        <w:rPr>
          <w:bCs/>
          <w:lang w:val="fr-FR"/>
        </w:rPr>
        <w:t>5.9.2</w:t>
      </w:r>
      <w:r w:rsidRPr="0084016E">
        <w:rPr>
          <w:lang w:val="fr-FR"/>
        </w:rPr>
        <w:tab/>
      </w:r>
      <w:r w:rsidRPr="0084016E">
        <w:rPr>
          <w:bCs/>
          <w:lang w:val="fr-FR"/>
        </w:rPr>
        <w:t>Participation des Vice-Présidents de la CE 3 aux travaux de la CE 3</w:t>
      </w:r>
    </w:p>
    <w:p w14:paraId="16130F0E" w14:textId="2F551F7D" w:rsidR="0025739A" w:rsidRPr="0084016E" w:rsidRDefault="0025739A" w:rsidP="00577624">
      <w:pPr>
        <w:rPr>
          <w:lang w:val="fr-FR"/>
        </w:rPr>
      </w:pPr>
      <w:r w:rsidRPr="0084016E">
        <w:rPr>
          <w:lang w:val="fr-FR"/>
        </w:rPr>
        <w:t xml:space="preserve">La CE 3 </w:t>
      </w:r>
      <w:r w:rsidR="00D66505" w:rsidRPr="0084016E">
        <w:rPr>
          <w:lang w:val="fr-FR"/>
        </w:rPr>
        <w:t>a nommé 11</w:t>
      </w:r>
      <w:r w:rsidRPr="0084016E">
        <w:rPr>
          <w:lang w:val="fr-FR"/>
        </w:rPr>
        <w:t xml:space="preserve"> Vice-Présidents pour la période d</w:t>
      </w:r>
      <w:r w:rsidR="009C1307" w:rsidRPr="0084016E">
        <w:rPr>
          <w:lang w:val="fr-FR"/>
        </w:rPr>
        <w:t>'</w:t>
      </w:r>
      <w:r w:rsidRPr="0084016E">
        <w:rPr>
          <w:lang w:val="fr-FR"/>
        </w:rPr>
        <w:t xml:space="preserve">études </w:t>
      </w:r>
      <w:r w:rsidR="00D66505" w:rsidRPr="0084016E">
        <w:rPr>
          <w:lang w:val="fr-FR"/>
        </w:rPr>
        <w:t>2023-2027</w:t>
      </w:r>
      <w:r w:rsidRPr="0084016E">
        <w:rPr>
          <w:lang w:val="fr-FR"/>
        </w:rPr>
        <w:t>.</w:t>
      </w:r>
    </w:p>
    <w:p w14:paraId="0CC19B9C" w14:textId="1EB411B0" w:rsidR="00A36753" w:rsidRPr="0084016E" w:rsidRDefault="00A36753" w:rsidP="00577624">
      <w:pPr>
        <w:pStyle w:val="enumlev1"/>
        <w:rPr>
          <w:lang w:val="fr-FR"/>
        </w:rPr>
      </w:pPr>
      <w:r w:rsidRPr="0084016E">
        <w:rPr>
          <w:lang w:val="fr-FR"/>
        </w:rPr>
        <w:t>−</w:t>
      </w:r>
      <w:r w:rsidRPr="0084016E">
        <w:rPr>
          <w:lang w:val="fr-FR"/>
        </w:rPr>
        <w:tab/>
        <w:t xml:space="preserve">Nombre de Vice-Présidents de la CE 3 ayant participé à </w:t>
      </w:r>
      <w:r w:rsidR="00D66505" w:rsidRPr="0084016E">
        <w:rPr>
          <w:lang w:val="fr-FR"/>
        </w:rPr>
        <w:t>la</w:t>
      </w:r>
      <w:r w:rsidRPr="0084016E">
        <w:rPr>
          <w:lang w:val="fr-FR"/>
        </w:rPr>
        <w:t xml:space="preserve"> réunion de la CE 3 </w:t>
      </w:r>
      <w:r w:rsidR="00D66505" w:rsidRPr="0084016E">
        <w:rPr>
          <w:lang w:val="fr-FR"/>
        </w:rPr>
        <w:t>en 2024</w:t>
      </w:r>
      <w:r w:rsidRPr="0084016E">
        <w:rPr>
          <w:lang w:val="fr-FR"/>
        </w:rPr>
        <w:t xml:space="preserve">: </w:t>
      </w:r>
      <w:r w:rsidR="002B306E" w:rsidRPr="0084016E">
        <w:rPr>
          <w:b/>
          <w:bCs/>
          <w:lang w:val="fr-FR"/>
        </w:rPr>
        <w:t>5/11</w:t>
      </w:r>
      <w:r w:rsidR="002B306E" w:rsidRPr="0084016E">
        <w:rPr>
          <w:lang w:val="fr-FR"/>
        </w:rPr>
        <w:t>.</w:t>
      </w:r>
    </w:p>
    <w:p w14:paraId="280C5A53" w14:textId="1FFB6881" w:rsidR="0025739A" w:rsidRPr="0084016E" w:rsidRDefault="008B399A" w:rsidP="00577624">
      <w:pPr>
        <w:pStyle w:val="Heading3"/>
        <w:rPr>
          <w:lang w:val="fr-FR"/>
        </w:rPr>
      </w:pPr>
      <w:r w:rsidRPr="0084016E">
        <w:rPr>
          <w:bCs/>
          <w:lang w:val="fr-FR"/>
        </w:rPr>
        <w:t>5.9.3</w:t>
      </w:r>
      <w:r w:rsidRPr="0084016E">
        <w:rPr>
          <w:lang w:val="fr-FR"/>
        </w:rPr>
        <w:tab/>
      </w:r>
      <w:r w:rsidRPr="0084016E">
        <w:rPr>
          <w:bCs/>
          <w:lang w:val="fr-FR"/>
        </w:rPr>
        <w:t>Participation des Vice-Présidents de la CE 4 aux travaux de la CE 4</w:t>
      </w:r>
    </w:p>
    <w:p w14:paraId="7CF1E582" w14:textId="3FB67543" w:rsidR="0025739A" w:rsidRPr="0084016E" w:rsidRDefault="0025739A" w:rsidP="00577624">
      <w:pPr>
        <w:rPr>
          <w:lang w:val="fr-FR"/>
        </w:rPr>
      </w:pPr>
      <w:r w:rsidRPr="0084016E">
        <w:rPr>
          <w:lang w:val="fr-FR"/>
        </w:rPr>
        <w:t xml:space="preserve">La CE 4 </w:t>
      </w:r>
      <w:r w:rsidR="002B306E" w:rsidRPr="0084016E">
        <w:rPr>
          <w:lang w:val="fr-FR"/>
        </w:rPr>
        <w:t xml:space="preserve">a nommé </w:t>
      </w:r>
      <w:r w:rsidRPr="0084016E">
        <w:rPr>
          <w:lang w:val="fr-FR"/>
        </w:rPr>
        <w:t>19 Vice-Présidents pour la période d</w:t>
      </w:r>
      <w:r w:rsidR="009C1307" w:rsidRPr="0084016E">
        <w:rPr>
          <w:lang w:val="fr-FR"/>
        </w:rPr>
        <w:t>'</w:t>
      </w:r>
      <w:r w:rsidRPr="0084016E">
        <w:rPr>
          <w:lang w:val="fr-FR"/>
        </w:rPr>
        <w:t xml:space="preserve">études </w:t>
      </w:r>
      <w:r w:rsidR="00C05A97" w:rsidRPr="0084016E">
        <w:rPr>
          <w:lang w:val="fr-FR"/>
        </w:rPr>
        <w:t>2023-2027</w:t>
      </w:r>
      <w:r w:rsidRPr="0084016E">
        <w:rPr>
          <w:lang w:val="fr-FR"/>
        </w:rPr>
        <w:t>.</w:t>
      </w:r>
    </w:p>
    <w:p w14:paraId="66FEB7BE" w14:textId="280D9015" w:rsidR="0025739A" w:rsidRPr="0084016E" w:rsidRDefault="0025739A" w:rsidP="00577624">
      <w:pPr>
        <w:rPr>
          <w:lang w:val="fr-FR"/>
        </w:rPr>
      </w:pPr>
      <w:r w:rsidRPr="0084016E">
        <w:rPr>
          <w:lang w:val="fr-FR"/>
        </w:rPr>
        <w:t>La CE 4 a tenu trois réunions en 2024.</w:t>
      </w:r>
    </w:p>
    <w:p w14:paraId="54DBD641" w14:textId="5B9501C4" w:rsidR="0025739A" w:rsidRPr="0084016E" w:rsidRDefault="0025739A" w:rsidP="009E4F77">
      <w:pPr>
        <w:pStyle w:val="enumlev1"/>
        <w:rPr>
          <w:lang w:val="fr-FR"/>
        </w:rPr>
      </w:pPr>
      <w:r w:rsidRPr="0084016E">
        <w:rPr>
          <w:lang w:val="fr-FR"/>
        </w:rPr>
        <w:t>−</w:t>
      </w:r>
      <w:r w:rsidRPr="0084016E">
        <w:rPr>
          <w:lang w:val="fr-FR"/>
        </w:rPr>
        <w:tab/>
        <w:t xml:space="preserve">Nombre de Vice-Présidents de la CE 4 ayant participé aux réunions de la CE 4 du 23 avril et du 10 mai 2024: </w:t>
      </w:r>
      <w:r w:rsidRPr="0084016E">
        <w:rPr>
          <w:b/>
          <w:bCs/>
          <w:lang w:val="fr-FR"/>
        </w:rPr>
        <w:t>16/19</w:t>
      </w:r>
      <w:r w:rsidR="00C05A97" w:rsidRPr="0084016E">
        <w:rPr>
          <w:lang w:val="fr-FR"/>
        </w:rPr>
        <w:t>.</w:t>
      </w:r>
    </w:p>
    <w:p w14:paraId="10B75A7A" w14:textId="0F81AC60" w:rsidR="0025739A" w:rsidRPr="0084016E" w:rsidRDefault="0025739A" w:rsidP="009E4F77">
      <w:pPr>
        <w:pStyle w:val="enumlev1"/>
        <w:rPr>
          <w:lang w:val="fr-FR"/>
        </w:rPr>
      </w:pPr>
      <w:r w:rsidRPr="0084016E">
        <w:rPr>
          <w:lang w:val="fr-FR"/>
        </w:rPr>
        <w:t>−</w:t>
      </w:r>
      <w:r w:rsidRPr="0084016E">
        <w:rPr>
          <w:lang w:val="fr-FR"/>
        </w:rPr>
        <w:tab/>
        <w:t xml:space="preserve">Nombre de Vice-Présidents de la CE 4 ayant participé </w:t>
      </w:r>
      <w:r w:rsidR="00C05A97" w:rsidRPr="0084016E">
        <w:rPr>
          <w:lang w:val="fr-FR"/>
        </w:rPr>
        <w:t xml:space="preserve">à la réunion </w:t>
      </w:r>
      <w:r w:rsidR="005535DA" w:rsidRPr="0084016E">
        <w:rPr>
          <w:lang w:val="fr-FR"/>
        </w:rPr>
        <w:t xml:space="preserve">de la CE 4 </w:t>
      </w:r>
      <w:r w:rsidR="00C05A97" w:rsidRPr="0084016E">
        <w:rPr>
          <w:lang w:val="fr-FR"/>
        </w:rPr>
        <w:t>du</w:t>
      </w:r>
      <w:r w:rsidR="001E1056" w:rsidRPr="0084016E">
        <w:rPr>
          <w:lang w:val="fr-FR"/>
        </w:rPr>
        <w:t> </w:t>
      </w:r>
      <w:r w:rsidR="00C05A97" w:rsidRPr="0084016E">
        <w:rPr>
          <w:lang w:val="fr-FR"/>
        </w:rPr>
        <w:t>1er</w:t>
      </w:r>
      <w:r w:rsidR="001E1056" w:rsidRPr="0084016E">
        <w:rPr>
          <w:lang w:val="fr-FR"/>
        </w:rPr>
        <w:t> </w:t>
      </w:r>
      <w:r w:rsidR="00C05A97" w:rsidRPr="0084016E">
        <w:rPr>
          <w:lang w:val="fr-FR"/>
        </w:rPr>
        <w:t>novembre</w:t>
      </w:r>
      <w:r w:rsidR="005535DA" w:rsidRPr="0084016E">
        <w:rPr>
          <w:lang w:val="fr-FR"/>
        </w:rPr>
        <w:t xml:space="preserve"> 2024</w:t>
      </w:r>
      <w:r w:rsidRPr="0084016E">
        <w:rPr>
          <w:lang w:val="fr-FR"/>
        </w:rPr>
        <w:t xml:space="preserve">: </w:t>
      </w:r>
      <w:r w:rsidRPr="0084016E">
        <w:rPr>
          <w:b/>
          <w:bCs/>
          <w:lang w:val="fr-FR"/>
        </w:rPr>
        <w:t>1</w:t>
      </w:r>
      <w:r w:rsidR="002010A5" w:rsidRPr="0084016E">
        <w:rPr>
          <w:b/>
          <w:bCs/>
          <w:lang w:val="fr-FR"/>
        </w:rPr>
        <w:t>7</w:t>
      </w:r>
      <w:r w:rsidRPr="0084016E">
        <w:rPr>
          <w:b/>
          <w:bCs/>
          <w:lang w:val="fr-FR"/>
        </w:rPr>
        <w:t>/19</w:t>
      </w:r>
      <w:r w:rsidR="002010A5" w:rsidRPr="0084016E">
        <w:rPr>
          <w:lang w:val="fr-FR"/>
        </w:rPr>
        <w:t>.</w:t>
      </w:r>
    </w:p>
    <w:p w14:paraId="7572C420" w14:textId="64D553FE" w:rsidR="0025739A" w:rsidRPr="0084016E" w:rsidRDefault="008B399A" w:rsidP="00577624">
      <w:pPr>
        <w:pStyle w:val="Heading3"/>
        <w:rPr>
          <w:lang w:val="fr-FR"/>
        </w:rPr>
      </w:pPr>
      <w:r w:rsidRPr="0084016E">
        <w:rPr>
          <w:bCs/>
          <w:lang w:val="fr-FR"/>
        </w:rPr>
        <w:t>5.9.4</w:t>
      </w:r>
      <w:r w:rsidRPr="0084016E">
        <w:rPr>
          <w:lang w:val="fr-FR"/>
        </w:rPr>
        <w:tab/>
      </w:r>
      <w:r w:rsidRPr="0084016E">
        <w:rPr>
          <w:bCs/>
          <w:lang w:val="fr-FR"/>
        </w:rPr>
        <w:t>Participation des Vice-Présidents de la CE 5 aux travaux de la CE 5</w:t>
      </w:r>
    </w:p>
    <w:p w14:paraId="4EDAEAEC" w14:textId="48DAF84B" w:rsidR="0025739A" w:rsidRPr="0084016E" w:rsidRDefault="0025739A" w:rsidP="00577624">
      <w:pPr>
        <w:rPr>
          <w:lang w:val="fr-FR"/>
        </w:rPr>
      </w:pPr>
      <w:r w:rsidRPr="0084016E">
        <w:rPr>
          <w:lang w:val="fr-FR"/>
        </w:rPr>
        <w:t xml:space="preserve">La CE 5 </w:t>
      </w:r>
      <w:r w:rsidR="002010A5" w:rsidRPr="0084016E">
        <w:rPr>
          <w:lang w:val="fr-FR"/>
        </w:rPr>
        <w:t>a nommé</w:t>
      </w:r>
      <w:r w:rsidRPr="0084016E">
        <w:rPr>
          <w:lang w:val="fr-FR"/>
        </w:rPr>
        <w:t xml:space="preserve"> 19 Vice-Présidents pour la période d</w:t>
      </w:r>
      <w:r w:rsidR="009C1307" w:rsidRPr="0084016E">
        <w:rPr>
          <w:lang w:val="fr-FR"/>
        </w:rPr>
        <w:t>'</w:t>
      </w:r>
      <w:r w:rsidRPr="0084016E">
        <w:rPr>
          <w:lang w:val="fr-FR"/>
        </w:rPr>
        <w:t xml:space="preserve">études </w:t>
      </w:r>
      <w:r w:rsidR="002010A5" w:rsidRPr="0084016E">
        <w:rPr>
          <w:lang w:val="fr-FR"/>
        </w:rPr>
        <w:t>2023-2027</w:t>
      </w:r>
      <w:r w:rsidRPr="0084016E">
        <w:rPr>
          <w:lang w:val="fr-FR"/>
        </w:rPr>
        <w:t>.</w:t>
      </w:r>
    </w:p>
    <w:p w14:paraId="3F733DC5" w14:textId="4A4B2014" w:rsidR="0025739A" w:rsidRPr="0084016E" w:rsidRDefault="002010A5" w:rsidP="00577624">
      <w:pPr>
        <w:rPr>
          <w:lang w:val="fr-FR"/>
        </w:rPr>
      </w:pPr>
      <w:r w:rsidRPr="0084016E">
        <w:rPr>
          <w:lang w:val="fr-FR"/>
        </w:rPr>
        <w:t>La CE 5</w:t>
      </w:r>
      <w:r w:rsidR="0025739A" w:rsidRPr="0084016E">
        <w:rPr>
          <w:lang w:val="fr-FR"/>
        </w:rPr>
        <w:t xml:space="preserve"> a organisé deux réunions en 202</w:t>
      </w:r>
      <w:r w:rsidRPr="0084016E">
        <w:rPr>
          <w:lang w:val="fr-FR"/>
        </w:rPr>
        <w:t>4</w:t>
      </w:r>
      <w:r w:rsidR="0025739A" w:rsidRPr="0084016E">
        <w:rPr>
          <w:lang w:val="fr-FR"/>
        </w:rPr>
        <w:t>.</w:t>
      </w:r>
    </w:p>
    <w:p w14:paraId="431586D5" w14:textId="2674F154" w:rsidR="0025739A" w:rsidRPr="0084016E" w:rsidRDefault="0025739A" w:rsidP="009E4F77">
      <w:pPr>
        <w:pStyle w:val="enumlev1"/>
        <w:rPr>
          <w:lang w:val="fr-FR"/>
        </w:rPr>
      </w:pPr>
      <w:r w:rsidRPr="0084016E">
        <w:rPr>
          <w:lang w:val="fr-FR"/>
        </w:rPr>
        <w:t>−</w:t>
      </w:r>
      <w:r w:rsidRPr="0084016E">
        <w:rPr>
          <w:lang w:val="fr-FR"/>
        </w:rPr>
        <w:tab/>
        <w:t xml:space="preserve">Nombre de Vice-Présidents de la CE 5 ayant participé </w:t>
      </w:r>
      <w:r w:rsidR="002010A5" w:rsidRPr="0084016E">
        <w:rPr>
          <w:lang w:val="fr-FR"/>
        </w:rPr>
        <w:t>à la réunion de la CE</w:t>
      </w:r>
      <w:r w:rsidRPr="0084016E">
        <w:rPr>
          <w:lang w:val="fr-FR"/>
        </w:rPr>
        <w:t xml:space="preserve"> 5</w:t>
      </w:r>
      <w:r w:rsidR="002010A5" w:rsidRPr="0084016E">
        <w:rPr>
          <w:lang w:val="fr-FR"/>
        </w:rPr>
        <w:t xml:space="preserve"> du</w:t>
      </w:r>
      <w:r w:rsidR="00EA1546" w:rsidRPr="0084016E">
        <w:rPr>
          <w:lang w:val="fr-FR"/>
        </w:rPr>
        <w:t> </w:t>
      </w:r>
      <w:r w:rsidR="002010A5" w:rsidRPr="0084016E">
        <w:rPr>
          <w:lang w:val="fr-FR"/>
        </w:rPr>
        <w:t>13</w:t>
      </w:r>
      <w:r w:rsidR="00EA1546" w:rsidRPr="0084016E">
        <w:rPr>
          <w:lang w:val="fr-FR"/>
        </w:rPr>
        <w:t> </w:t>
      </w:r>
      <w:r w:rsidR="002010A5" w:rsidRPr="0084016E">
        <w:rPr>
          <w:lang w:val="fr-FR"/>
        </w:rPr>
        <w:t>mai</w:t>
      </w:r>
      <w:r w:rsidR="00EA1546" w:rsidRPr="0084016E">
        <w:rPr>
          <w:lang w:val="fr-FR"/>
        </w:rPr>
        <w:t> </w:t>
      </w:r>
      <w:r w:rsidR="002010A5" w:rsidRPr="0084016E">
        <w:rPr>
          <w:lang w:val="fr-FR"/>
        </w:rPr>
        <w:t>2024</w:t>
      </w:r>
      <w:r w:rsidRPr="0084016E">
        <w:rPr>
          <w:lang w:val="fr-FR"/>
        </w:rPr>
        <w:t xml:space="preserve">: </w:t>
      </w:r>
      <w:r w:rsidR="002010A5" w:rsidRPr="0084016E">
        <w:rPr>
          <w:b/>
          <w:bCs/>
          <w:lang w:val="fr-FR"/>
        </w:rPr>
        <w:t>1</w:t>
      </w:r>
      <w:r w:rsidRPr="0084016E">
        <w:rPr>
          <w:b/>
          <w:bCs/>
          <w:lang w:val="fr-FR"/>
        </w:rPr>
        <w:t>2/19</w:t>
      </w:r>
      <w:r w:rsidR="00747E8F" w:rsidRPr="0084016E">
        <w:rPr>
          <w:lang w:val="fr-FR"/>
        </w:rPr>
        <w:t>.</w:t>
      </w:r>
    </w:p>
    <w:p w14:paraId="2BE2722C" w14:textId="7790F977" w:rsidR="0025739A" w:rsidRPr="0084016E" w:rsidRDefault="0025739A" w:rsidP="009E4F77">
      <w:pPr>
        <w:pStyle w:val="enumlev1"/>
        <w:rPr>
          <w:lang w:val="fr-FR"/>
        </w:rPr>
      </w:pPr>
      <w:r w:rsidRPr="0084016E">
        <w:rPr>
          <w:lang w:val="fr-FR"/>
        </w:rPr>
        <w:t>−</w:t>
      </w:r>
      <w:r w:rsidRPr="0084016E">
        <w:rPr>
          <w:lang w:val="fr-FR"/>
        </w:rPr>
        <w:tab/>
        <w:t xml:space="preserve">Nombre de Vice-Présidents de la CE 5 ayant participé à </w:t>
      </w:r>
      <w:r w:rsidR="002010A5" w:rsidRPr="0084016E">
        <w:rPr>
          <w:lang w:val="fr-FR"/>
        </w:rPr>
        <w:t xml:space="preserve">la réunion de la </w:t>
      </w:r>
      <w:r w:rsidRPr="0084016E">
        <w:rPr>
          <w:lang w:val="fr-FR"/>
        </w:rPr>
        <w:t>CE 5</w:t>
      </w:r>
      <w:r w:rsidR="002010A5" w:rsidRPr="0084016E">
        <w:rPr>
          <w:lang w:val="fr-FR"/>
        </w:rPr>
        <w:t xml:space="preserve"> des</w:t>
      </w:r>
      <w:r w:rsidR="00EA1546" w:rsidRPr="0084016E">
        <w:rPr>
          <w:lang w:val="fr-FR"/>
        </w:rPr>
        <w:t> </w:t>
      </w:r>
      <w:r w:rsidR="002010A5" w:rsidRPr="0084016E">
        <w:rPr>
          <w:lang w:val="fr-FR"/>
        </w:rPr>
        <w:t>2</w:t>
      </w:r>
      <w:r w:rsidR="00EA1546" w:rsidRPr="0084016E">
        <w:rPr>
          <w:lang w:val="fr-FR"/>
        </w:rPr>
        <w:t> </w:t>
      </w:r>
      <w:r w:rsidR="002010A5" w:rsidRPr="0084016E">
        <w:rPr>
          <w:lang w:val="fr-FR"/>
        </w:rPr>
        <w:t>et</w:t>
      </w:r>
      <w:r w:rsidR="00EA1546" w:rsidRPr="0084016E">
        <w:rPr>
          <w:lang w:val="fr-FR"/>
        </w:rPr>
        <w:t> </w:t>
      </w:r>
      <w:r w:rsidR="002010A5" w:rsidRPr="0084016E">
        <w:rPr>
          <w:lang w:val="fr-FR"/>
        </w:rPr>
        <w:t>3</w:t>
      </w:r>
      <w:r w:rsidR="00EA1546" w:rsidRPr="0084016E">
        <w:rPr>
          <w:lang w:val="fr-FR"/>
        </w:rPr>
        <w:t> </w:t>
      </w:r>
      <w:r w:rsidR="002010A5" w:rsidRPr="0084016E">
        <w:rPr>
          <w:lang w:val="fr-FR"/>
        </w:rPr>
        <w:t>décembre 2024</w:t>
      </w:r>
      <w:r w:rsidRPr="0084016E">
        <w:rPr>
          <w:lang w:val="fr-FR"/>
        </w:rPr>
        <w:t xml:space="preserve">: </w:t>
      </w:r>
      <w:r w:rsidR="00747E8F" w:rsidRPr="0084016E">
        <w:rPr>
          <w:b/>
          <w:bCs/>
          <w:lang w:val="fr-FR"/>
        </w:rPr>
        <w:t>17</w:t>
      </w:r>
      <w:r w:rsidRPr="0084016E">
        <w:rPr>
          <w:b/>
          <w:bCs/>
          <w:lang w:val="fr-FR"/>
        </w:rPr>
        <w:t>/19</w:t>
      </w:r>
      <w:r w:rsidR="00747E8F" w:rsidRPr="0084016E">
        <w:rPr>
          <w:lang w:val="fr-FR"/>
        </w:rPr>
        <w:t>.</w:t>
      </w:r>
    </w:p>
    <w:p w14:paraId="5D1622A7" w14:textId="15A9CE44" w:rsidR="0025739A" w:rsidRPr="0084016E" w:rsidRDefault="008B399A" w:rsidP="00577624">
      <w:pPr>
        <w:pStyle w:val="Heading3"/>
        <w:rPr>
          <w:lang w:val="fr-FR"/>
        </w:rPr>
      </w:pPr>
      <w:r w:rsidRPr="0084016E">
        <w:rPr>
          <w:bCs/>
          <w:lang w:val="fr-FR"/>
        </w:rPr>
        <w:lastRenderedPageBreak/>
        <w:t>5.9.5</w:t>
      </w:r>
      <w:r w:rsidRPr="0084016E">
        <w:rPr>
          <w:lang w:val="fr-FR"/>
        </w:rPr>
        <w:tab/>
      </w:r>
      <w:r w:rsidRPr="0084016E">
        <w:rPr>
          <w:bCs/>
          <w:lang w:val="fr-FR"/>
        </w:rPr>
        <w:t>Participation des Vice-Présidents de la CE 6 aux travaux de la CE 6</w:t>
      </w:r>
    </w:p>
    <w:p w14:paraId="353C54BC" w14:textId="29C91A08" w:rsidR="0025739A" w:rsidRPr="0084016E" w:rsidRDefault="0025739A" w:rsidP="00577624">
      <w:pPr>
        <w:rPr>
          <w:lang w:val="fr-FR"/>
        </w:rPr>
      </w:pPr>
      <w:r w:rsidRPr="0084016E">
        <w:rPr>
          <w:lang w:val="fr-FR"/>
        </w:rPr>
        <w:t xml:space="preserve">La CE 6 </w:t>
      </w:r>
      <w:r w:rsidR="00747E8F" w:rsidRPr="0084016E">
        <w:rPr>
          <w:lang w:val="fr-FR"/>
        </w:rPr>
        <w:t>a nommé</w:t>
      </w:r>
      <w:r w:rsidRPr="0084016E">
        <w:rPr>
          <w:lang w:val="fr-FR"/>
        </w:rPr>
        <w:t xml:space="preserve"> 1</w:t>
      </w:r>
      <w:r w:rsidR="00747E8F" w:rsidRPr="0084016E">
        <w:rPr>
          <w:lang w:val="fr-FR"/>
        </w:rPr>
        <w:t>4</w:t>
      </w:r>
      <w:r w:rsidRPr="0084016E">
        <w:rPr>
          <w:lang w:val="fr-FR"/>
        </w:rPr>
        <w:t xml:space="preserve"> Vice-Présidents pour la période d</w:t>
      </w:r>
      <w:r w:rsidR="009C1307" w:rsidRPr="0084016E">
        <w:rPr>
          <w:lang w:val="fr-FR"/>
        </w:rPr>
        <w:t>'</w:t>
      </w:r>
      <w:r w:rsidRPr="0084016E">
        <w:rPr>
          <w:lang w:val="fr-FR"/>
        </w:rPr>
        <w:t xml:space="preserve">études </w:t>
      </w:r>
      <w:r w:rsidR="00747E8F" w:rsidRPr="0084016E">
        <w:rPr>
          <w:lang w:val="fr-FR"/>
        </w:rPr>
        <w:t>2023-2027</w:t>
      </w:r>
      <w:r w:rsidRPr="0084016E">
        <w:rPr>
          <w:lang w:val="fr-FR"/>
        </w:rPr>
        <w:t>.</w:t>
      </w:r>
    </w:p>
    <w:p w14:paraId="668B71A2" w14:textId="57513887" w:rsidR="0025739A" w:rsidRPr="0084016E" w:rsidRDefault="00747E8F" w:rsidP="00577624">
      <w:pPr>
        <w:rPr>
          <w:lang w:val="fr-FR"/>
        </w:rPr>
      </w:pPr>
      <w:r w:rsidRPr="0084016E">
        <w:rPr>
          <w:lang w:val="fr-FR"/>
        </w:rPr>
        <w:t>La CE 6</w:t>
      </w:r>
      <w:r w:rsidR="0025739A" w:rsidRPr="0084016E">
        <w:rPr>
          <w:lang w:val="fr-FR"/>
        </w:rPr>
        <w:t xml:space="preserve"> a organisé deux réunions en 202</w:t>
      </w:r>
      <w:r w:rsidR="00B2393C" w:rsidRPr="0084016E">
        <w:rPr>
          <w:lang w:val="fr-FR"/>
        </w:rPr>
        <w:t>4</w:t>
      </w:r>
      <w:r w:rsidR="0025739A" w:rsidRPr="0084016E">
        <w:rPr>
          <w:lang w:val="fr-FR"/>
        </w:rPr>
        <w:t>.</w:t>
      </w:r>
    </w:p>
    <w:p w14:paraId="0E933CAE" w14:textId="3FC0C594" w:rsidR="0025739A" w:rsidRPr="0084016E" w:rsidRDefault="0025739A" w:rsidP="009E4F77">
      <w:pPr>
        <w:pStyle w:val="enumlev1"/>
        <w:rPr>
          <w:lang w:val="fr-FR"/>
        </w:rPr>
      </w:pPr>
      <w:r w:rsidRPr="0084016E">
        <w:rPr>
          <w:lang w:val="fr-FR"/>
        </w:rPr>
        <w:t>−</w:t>
      </w:r>
      <w:r w:rsidRPr="0084016E">
        <w:rPr>
          <w:lang w:val="fr-FR"/>
        </w:rPr>
        <w:tab/>
        <w:t xml:space="preserve">Nombre de Vice-Présidents de la CE 6 ayant participé </w:t>
      </w:r>
      <w:r w:rsidR="00B2393C" w:rsidRPr="0084016E">
        <w:rPr>
          <w:lang w:val="fr-FR"/>
        </w:rPr>
        <w:t>à la réunion de la CE 6 du</w:t>
      </w:r>
      <w:r w:rsidR="00EA1546" w:rsidRPr="0084016E">
        <w:rPr>
          <w:lang w:val="fr-FR"/>
        </w:rPr>
        <w:t> </w:t>
      </w:r>
      <w:r w:rsidR="00B2393C" w:rsidRPr="0084016E">
        <w:rPr>
          <w:lang w:val="fr-FR"/>
        </w:rPr>
        <w:t>15</w:t>
      </w:r>
      <w:r w:rsidR="00EA1546" w:rsidRPr="0084016E">
        <w:rPr>
          <w:lang w:val="fr-FR"/>
        </w:rPr>
        <w:t> </w:t>
      </w:r>
      <w:r w:rsidR="00B2393C" w:rsidRPr="0084016E">
        <w:rPr>
          <w:lang w:val="fr-FR"/>
        </w:rPr>
        <w:t>mars</w:t>
      </w:r>
      <w:r w:rsidR="00EA1546" w:rsidRPr="0084016E">
        <w:rPr>
          <w:lang w:val="fr-FR"/>
        </w:rPr>
        <w:t> </w:t>
      </w:r>
      <w:r w:rsidR="00B2393C" w:rsidRPr="0084016E">
        <w:rPr>
          <w:lang w:val="fr-FR"/>
        </w:rPr>
        <w:t>2024</w:t>
      </w:r>
      <w:r w:rsidRPr="0084016E">
        <w:rPr>
          <w:lang w:val="fr-FR"/>
        </w:rPr>
        <w:t xml:space="preserve">: </w:t>
      </w:r>
      <w:r w:rsidR="00B2393C" w:rsidRPr="0084016E">
        <w:rPr>
          <w:b/>
          <w:bCs/>
          <w:lang w:val="fr-FR"/>
        </w:rPr>
        <w:t>13/14</w:t>
      </w:r>
      <w:r w:rsidR="00B2393C" w:rsidRPr="0084016E">
        <w:rPr>
          <w:lang w:val="fr-FR"/>
        </w:rPr>
        <w:t>.</w:t>
      </w:r>
    </w:p>
    <w:p w14:paraId="418B971C" w14:textId="3316AA26" w:rsidR="0025739A" w:rsidRPr="0084016E" w:rsidRDefault="0025739A" w:rsidP="009E4F77">
      <w:pPr>
        <w:pStyle w:val="enumlev1"/>
        <w:rPr>
          <w:lang w:val="fr-FR"/>
        </w:rPr>
      </w:pPr>
      <w:r w:rsidRPr="0084016E">
        <w:rPr>
          <w:lang w:val="fr-FR"/>
        </w:rPr>
        <w:t>−</w:t>
      </w:r>
      <w:r w:rsidRPr="0084016E">
        <w:rPr>
          <w:lang w:val="fr-FR"/>
        </w:rPr>
        <w:tab/>
        <w:t xml:space="preserve">Nombre de Vice-Présidents de la CE 6 </w:t>
      </w:r>
      <w:r w:rsidR="00B2393C" w:rsidRPr="0084016E">
        <w:rPr>
          <w:lang w:val="fr-FR"/>
        </w:rPr>
        <w:t>ayant participé à la réunion de la CE 6 du</w:t>
      </w:r>
      <w:r w:rsidR="00EA1546" w:rsidRPr="0084016E">
        <w:rPr>
          <w:lang w:val="fr-FR"/>
        </w:rPr>
        <w:t> </w:t>
      </w:r>
      <w:r w:rsidR="00B2393C" w:rsidRPr="0084016E">
        <w:rPr>
          <w:lang w:val="fr-FR"/>
        </w:rPr>
        <w:t>15</w:t>
      </w:r>
      <w:r w:rsidR="00EA1546" w:rsidRPr="0084016E">
        <w:rPr>
          <w:lang w:val="fr-FR"/>
        </w:rPr>
        <w:t> </w:t>
      </w:r>
      <w:r w:rsidR="00B2393C" w:rsidRPr="0084016E">
        <w:rPr>
          <w:lang w:val="fr-FR"/>
        </w:rPr>
        <w:t>novembre 2024</w:t>
      </w:r>
      <w:r w:rsidRPr="0084016E">
        <w:rPr>
          <w:lang w:val="fr-FR"/>
        </w:rPr>
        <w:t xml:space="preserve">: </w:t>
      </w:r>
      <w:r w:rsidR="00501234" w:rsidRPr="0084016E">
        <w:rPr>
          <w:b/>
          <w:bCs/>
          <w:lang w:val="fr-FR"/>
        </w:rPr>
        <w:t>13/14</w:t>
      </w:r>
      <w:r w:rsidR="00501234" w:rsidRPr="0084016E">
        <w:rPr>
          <w:lang w:val="fr-FR"/>
        </w:rPr>
        <w:t>.</w:t>
      </w:r>
    </w:p>
    <w:p w14:paraId="2341109D" w14:textId="107DE564" w:rsidR="0025739A" w:rsidRPr="0084016E" w:rsidRDefault="008B399A" w:rsidP="00577624">
      <w:pPr>
        <w:pStyle w:val="Heading3"/>
        <w:rPr>
          <w:lang w:val="fr-FR"/>
        </w:rPr>
      </w:pPr>
      <w:r w:rsidRPr="0084016E">
        <w:rPr>
          <w:bCs/>
          <w:lang w:val="fr-FR"/>
        </w:rPr>
        <w:t>5.9.6</w:t>
      </w:r>
      <w:r w:rsidRPr="0084016E">
        <w:rPr>
          <w:lang w:val="fr-FR"/>
        </w:rPr>
        <w:tab/>
      </w:r>
      <w:r w:rsidRPr="0084016E">
        <w:rPr>
          <w:bCs/>
          <w:lang w:val="fr-FR"/>
        </w:rPr>
        <w:t>Participation des Vice-Présidents de la CE 7 aux travaux de la CE 7</w:t>
      </w:r>
    </w:p>
    <w:p w14:paraId="12271501" w14:textId="69564B88" w:rsidR="0025739A" w:rsidRPr="0084016E" w:rsidRDefault="0025739A" w:rsidP="00577624">
      <w:pPr>
        <w:rPr>
          <w:lang w:val="fr-FR"/>
        </w:rPr>
      </w:pPr>
      <w:r w:rsidRPr="0084016E">
        <w:rPr>
          <w:lang w:val="fr-FR"/>
        </w:rPr>
        <w:t xml:space="preserve">La CE </w:t>
      </w:r>
      <w:r w:rsidR="00501234" w:rsidRPr="0084016E">
        <w:rPr>
          <w:lang w:val="fr-FR"/>
        </w:rPr>
        <w:t>7 a nommé</w:t>
      </w:r>
      <w:r w:rsidRPr="0084016E">
        <w:rPr>
          <w:lang w:val="fr-FR"/>
        </w:rPr>
        <w:t xml:space="preserve"> 1</w:t>
      </w:r>
      <w:r w:rsidR="00501234" w:rsidRPr="0084016E">
        <w:rPr>
          <w:lang w:val="fr-FR"/>
        </w:rPr>
        <w:t>0</w:t>
      </w:r>
      <w:r w:rsidRPr="0084016E">
        <w:rPr>
          <w:lang w:val="fr-FR"/>
        </w:rPr>
        <w:t xml:space="preserve"> Vice-Présidents pour la période d</w:t>
      </w:r>
      <w:r w:rsidR="009C1307" w:rsidRPr="0084016E">
        <w:rPr>
          <w:lang w:val="fr-FR"/>
        </w:rPr>
        <w:t>'</w:t>
      </w:r>
      <w:r w:rsidRPr="0084016E">
        <w:rPr>
          <w:lang w:val="fr-FR"/>
        </w:rPr>
        <w:t xml:space="preserve">études </w:t>
      </w:r>
      <w:r w:rsidR="00501234" w:rsidRPr="0084016E">
        <w:rPr>
          <w:lang w:val="fr-FR"/>
        </w:rPr>
        <w:t>2023-2027</w:t>
      </w:r>
      <w:r w:rsidRPr="0084016E">
        <w:rPr>
          <w:lang w:val="fr-FR"/>
        </w:rPr>
        <w:t>.</w:t>
      </w:r>
    </w:p>
    <w:p w14:paraId="23BE9F5A" w14:textId="3ACEF9F6" w:rsidR="008664B7" w:rsidRPr="0084016E" w:rsidRDefault="008664B7" w:rsidP="00577624">
      <w:pPr>
        <w:pStyle w:val="enumlev1"/>
        <w:rPr>
          <w:lang w:val="fr-FR"/>
        </w:rPr>
      </w:pPr>
      <w:r w:rsidRPr="0084016E">
        <w:rPr>
          <w:lang w:val="fr-FR"/>
        </w:rPr>
        <w:t>−</w:t>
      </w:r>
      <w:r w:rsidRPr="0084016E">
        <w:rPr>
          <w:lang w:val="fr-FR"/>
        </w:rPr>
        <w:tab/>
        <w:t xml:space="preserve">Nombre de Vice-Présidents de la CE </w:t>
      </w:r>
      <w:r w:rsidR="00002845" w:rsidRPr="0084016E">
        <w:rPr>
          <w:lang w:val="fr-FR"/>
        </w:rPr>
        <w:t>7</w:t>
      </w:r>
      <w:r w:rsidRPr="0084016E">
        <w:rPr>
          <w:lang w:val="fr-FR"/>
        </w:rPr>
        <w:t xml:space="preserve"> ayant participé à </w:t>
      </w:r>
      <w:r w:rsidR="00501234" w:rsidRPr="0084016E">
        <w:rPr>
          <w:lang w:val="fr-FR"/>
        </w:rPr>
        <w:t>la réunion de la CE 7 en 2024</w:t>
      </w:r>
      <w:r w:rsidRPr="0084016E">
        <w:rPr>
          <w:lang w:val="fr-FR"/>
        </w:rPr>
        <w:t xml:space="preserve">: </w:t>
      </w:r>
      <w:r w:rsidR="00501234" w:rsidRPr="0084016E">
        <w:rPr>
          <w:b/>
          <w:bCs/>
          <w:lang w:val="fr-FR"/>
        </w:rPr>
        <w:t>9/10</w:t>
      </w:r>
      <w:r w:rsidR="00501234" w:rsidRPr="0084016E">
        <w:rPr>
          <w:lang w:val="fr-FR"/>
        </w:rPr>
        <w:t>.</w:t>
      </w:r>
    </w:p>
    <w:p w14:paraId="25B12F52" w14:textId="5F44AAF3" w:rsidR="0025739A" w:rsidRPr="0084016E" w:rsidRDefault="008B399A" w:rsidP="00577624">
      <w:pPr>
        <w:pStyle w:val="Heading3"/>
        <w:rPr>
          <w:lang w:val="fr-FR"/>
        </w:rPr>
      </w:pPr>
      <w:r w:rsidRPr="0084016E">
        <w:rPr>
          <w:bCs/>
          <w:lang w:val="fr-FR"/>
        </w:rPr>
        <w:t>5.9.7</w:t>
      </w:r>
      <w:r w:rsidRPr="0084016E">
        <w:rPr>
          <w:lang w:val="fr-FR"/>
        </w:rPr>
        <w:tab/>
      </w:r>
      <w:r w:rsidRPr="0084016E">
        <w:rPr>
          <w:bCs/>
          <w:lang w:val="fr-FR"/>
        </w:rPr>
        <w:t>Participation des Vice-Présidents du CCV aux travaux du Comité de coordination de</w:t>
      </w:r>
      <w:r w:rsidR="00EA1546" w:rsidRPr="0084016E">
        <w:rPr>
          <w:bCs/>
          <w:lang w:val="fr-FR"/>
        </w:rPr>
        <w:t> </w:t>
      </w:r>
      <w:r w:rsidRPr="0084016E">
        <w:rPr>
          <w:bCs/>
          <w:lang w:val="fr-FR"/>
        </w:rPr>
        <w:t>l</w:t>
      </w:r>
      <w:r w:rsidR="009C1307" w:rsidRPr="0084016E">
        <w:rPr>
          <w:bCs/>
          <w:lang w:val="fr-FR"/>
        </w:rPr>
        <w:t>'</w:t>
      </w:r>
      <w:r w:rsidRPr="0084016E">
        <w:rPr>
          <w:bCs/>
          <w:lang w:val="fr-FR"/>
        </w:rPr>
        <w:t>UIT pour la terminologie (CCT)</w:t>
      </w:r>
    </w:p>
    <w:p w14:paraId="19711B5B" w14:textId="58A8ACCE" w:rsidR="0025739A" w:rsidRPr="0084016E" w:rsidRDefault="0025739A" w:rsidP="00577624">
      <w:pPr>
        <w:rPr>
          <w:lang w:val="fr-FR"/>
        </w:rPr>
      </w:pPr>
      <w:r w:rsidRPr="0084016E">
        <w:rPr>
          <w:lang w:val="fr-FR"/>
        </w:rPr>
        <w:t xml:space="preserve">Le CCV </w:t>
      </w:r>
      <w:r w:rsidR="006F031A" w:rsidRPr="0084016E">
        <w:rPr>
          <w:lang w:val="fr-FR"/>
        </w:rPr>
        <w:t xml:space="preserve">a nommé </w:t>
      </w:r>
      <w:r w:rsidRPr="0084016E">
        <w:rPr>
          <w:lang w:val="fr-FR"/>
        </w:rPr>
        <w:t>6 Vice-Présidents pour la période d</w:t>
      </w:r>
      <w:r w:rsidR="009C1307" w:rsidRPr="0084016E">
        <w:rPr>
          <w:lang w:val="fr-FR"/>
        </w:rPr>
        <w:t>'</w:t>
      </w:r>
      <w:r w:rsidRPr="0084016E">
        <w:rPr>
          <w:lang w:val="fr-FR"/>
        </w:rPr>
        <w:t>études considérée.</w:t>
      </w:r>
    </w:p>
    <w:p w14:paraId="23333F3D" w14:textId="5994D7C0" w:rsidR="0025739A" w:rsidRPr="0084016E" w:rsidRDefault="0025739A" w:rsidP="00577624">
      <w:pPr>
        <w:rPr>
          <w:lang w:val="fr-FR"/>
        </w:rPr>
      </w:pPr>
      <w:r w:rsidRPr="0084016E">
        <w:rPr>
          <w:lang w:val="fr-FR"/>
        </w:rPr>
        <w:t>Le CCT a tenu quatre conférences téléphoniques en 2024.</w:t>
      </w:r>
    </w:p>
    <w:p w14:paraId="000DBE16" w14:textId="43423AB8" w:rsidR="0025739A" w:rsidRPr="0084016E" w:rsidRDefault="0025739A" w:rsidP="009E4F77">
      <w:pPr>
        <w:pStyle w:val="enumlev1"/>
        <w:rPr>
          <w:b/>
          <w:bCs/>
          <w:lang w:val="fr-FR"/>
        </w:rPr>
      </w:pPr>
      <w:r w:rsidRPr="0084016E">
        <w:rPr>
          <w:lang w:val="fr-FR"/>
        </w:rPr>
        <w:t>−</w:t>
      </w:r>
      <w:r w:rsidRPr="0084016E">
        <w:rPr>
          <w:lang w:val="fr-FR"/>
        </w:rPr>
        <w:tab/>
        <w:t xml:space="preserve">Nombre de Vice-Présidents du CCV ayant participé à </w:t>
      </w:r>
      <w:r w:rsidR="006F031A" w:rsidRPr="0084016E">
        <w:rPr>
          <w:lang w:val="fr-FR"/>
        </w:rPr>
        <w:t>la conférence téléphonique du CCT le</w:t>
      </w:r>
      <w:r w:rsidR="00EA1546" w:rsidRPr="0084016E">
        <w:rPr>
          <w:lang w:val="fr-FR"/>
        </w:rPr>
        <w:t> </w:t>
      </w:r>
      <w:r w:rsidR="006F031A" w:rsidRPr="0084016E">
        <w:rPr>
          <w:lang w:val="fr-FR"/>
        </w:rPr>
        <w:t>16 avril 2024</w:t>
      </w:r>
      <w:r w:rsidRPr="0084016E">
        <w:rPr>
          <w:lang w:val="fr-FR"/>
        </w:rPr>
        <w:t xml:space="preserve">: </w:t>
      </w:r>
      <w:r w:rsidR="00D9000B" w:rsidRPr="0084016E">
        <w:rPr>
          <w:b/>
          <w:bCs/>
          <w:lang w:val="fr-FR"/>
        </w:rPr>
        <w:t>6</w:t>
      </w:r>
      <w:r w:rsidRPr="0084016E">
        <w:rPr>
          <w:b/>
          <w:bCs/>
          <w:lang w:val="fr-FR"/>
        </w:rPr>
        <w:t>/6</w:t>
      </w:r>
      <w:r w:rsidR="00502F6E" w:rsidRPr="0084016E">
        <w:rPr>
          <w:lang w:val="fr-FR"/>
        </w:rPr>
        <w:t>.</w:t>
      </w:r>
    </w:p>
    <w:p w14:paraId="2A420AF0" w14:textId="12C925CC" w:rsidR="0025739A" w:rsidRPr="0084016E" w:rsidRDefault="0025739A" w:rsidP="009E4F77">
      <w:pPr>
        <w:pStyle w:val="enumlev1"/>
        <w:rPr>
          <w:b/>
          <w:bCs/>
          <w:lang w:val="fr-FR"/>
        </w:rPr>
      </w:pPr>
      <w:r w:rsidRPr="0084016E">
        <w:rPr>
          <w:lang w:val="fr-FR"/>
        </w:rPr>
        <w:t>−</w:t>
      </w:r>
      <w:r w:rsidRPr="0084016E">
        <w:rPr>
          <w:lang w:val="fr-FR"/>
        </w:rPr>
        <w:tab/>
      </w:r>
      <w:r w:rsidR="00D9000B" w:rsidRPr="0084016E">
        <w:rPr>
          <w:lang w:val="fr-FR"/>
        </w:rPr>
        <w:t>Nombre de Vice-Présidents du CCV ayant participé à la conférence téléphonique du CCT le</w:t>
      </w:r>
      <w:r w:rsidR="00EA1546" w:rsidRPr="0084016E">
        <w:rPr>
          <w:lang w:val="fr-FR"/>
        </w:rPr>
        <w:t> </w:t>
      </w:r>
      <w:r w:rsidR="00D9000B" w:rsidRPr="0084016E">
        <w:rPr>
          <w:lang w:val="fr-FR"/>
        </w:rPr>
        <w:t>25 juin 2024</w:t>
      </w:r>
      <w:r w:rsidRPr="0084016E">
        <w:rPr>
          <w:lang w:val="fr-FR"/>
        </w:rPr>
        <w:t xml:space="preserve">: </w:t>
      </w:r>
      <w:r w:rsidR="00D9000B" w:rsidRPr="0084016E">
        <w:rPr>
          <w:b/>
          <w:bCs/>
          <w:lang w:val="fr-FR"/>
        </w:rPr>
        <w:t>4/6</w:t>
      </w:r>
      <w:r w:rsidR="00502F6E" w:rsidRPr="0084016E">
        <w:rPr>
          <w:lang w:val="fr-FR"/>
        </w:rPr>
        <w:t>.</w:t>
      </w:r>
    </w:p>
    <w:p w14:paraId="42AA74D4" w14:textId="49BBBB28" w:rsidR="0025739A" w:rsidRPr="0084016E" w:rsidRDefault="0025739A" w:rsidP="009E4F77">
      <w:pPr>
        <w:pStyle w:val="enumlev1"/>
        <w:rPr>
          <w:b/>
          <w:bCs/>
          <w:lang w:val="fr-FR"/>
        </w:rPr>
      </w:pPr>
      <w:r w:rsidRPr="0084016E">
        <w:rPr>
          <w:lang w:val="fr-FR"/>
        </w:rPr>
        <w:t>−</w:t>
      </w:r>
      <w:r w:rsidRPr="0084016E">
        <w:rPr>
          <w:lang w:val="fr-FR"/>
        </w:rPr>
        <w:tab/>
      </w:r>
      <w:r w:rsidR="00D9000B" w:rsidRPr="0084016E">
        <w:rPr>
          <w:lang w:val="fr-FR"/>
        </w:rPr>
        <w:t>Nombre de Vice-Présidents du CCV ayant participé à la conférence téléphonique du CCT le</w:t>
      </w:r>
      <w:r w:rsidR="00EA1546" w:rsidRPr="0084016E">
        <w:rPr>
          <w:lang w:val="fr-FR"/>
        </w:rPr>
        <w:t> </w:t>
      </w:r>
      <w:r w:rsidR="00D9000B" w:rsidRPr="0084016E">
        <w:rPr>
          <w:lang w:val="fr-FR"/>
        </w:rPr>
        <w:t>17 septembre 2024</w:t>
      </w:r>
      <w:r w:rsidRPr="0084016E">
        <w:rPr>
          <w:lang w:val="fr-FR"/>
        </w:rPr>
        <w:t xml:space="preserve">: </w:t>
      </w:r>
      <w:r w:rsidR="00D9000B" w:rsidRPr="0084016E">
        <w:rPr>
          <w:b/>
          <w:bCs/>
          <w:lang w:val="fr-FR"/>
        </w:rPr>
        <w:t>4</w:t>
      </w:r>
      <w:r w:rsidRPr="0084016E">
        <w:rPr>
          <w:b/>
          <w:bCs/>
          <w:lang w:val="fr-FR"/>
        </w:rPr>
        <w:t>/6</w:t>
      </w:r>
      <w:r w:rsidR="00502F6E" w:rsidRPr="0084016E">
        <w:rPr>
          <w:lang w:val="fr-FR"/>
        </w:rPr>
        <w:t>.</w:t>
      </w:r>
    </w:p>
    <w:p w14:paraId="2050AFC0" w14:textId="4207C246" w:rsidR="0025739A" w:rsidRPr="0084016E" w:rsidRDefault="0025739A" w:rsidP="009E4F77">
      <w:pPr>
        <w:pStyle w:val="enumlev1"/>
        <w:rPr>
          <w:lang w:val="fr-FR"/>
        </w:rPr>
      </w:pPr>
      <w:r w:rsidRPr="0084016E">
        <w:rPr>
          <w:lang w:val="fr-FR"/>
        </w:rPr>
        <w:t>−</w:t>
      </w:r>
      <w:r w:rsidRPr="0084016E">
        <w:rPr>
          <w:lang w:val="fr-FR"/>
        </w:rPr>
        <w:tab/>
      </w:r>
      <w:r w:rsidR="006B0C92" w:rsidRPr="0084016E">
        <w:rPr>
          <w:lang w:val="fr-FR"/>
        </w:rPr>
        <w:t>Nombre de Vice-Présidents du CCV ayant participé à la conférence téléphonique du CCT le</w:t>
      </w:r>
      <w:r w:rsidR="00EA1546" w:rsidRPr="0084016E">
        <w:rPr>
          <w:lang w:val="fr-FR"/>
        </w:rPr>
        <w:t> </w:t>
      </w:r>
      <w:r w:rsidR="006B0C92" w:rsidRPr="0084016E">
        <w:rPr>
          <w:lang w:val="fr-FR"/>
        </w:rPr>
        <w:t>10 décembre 2024</w:t>
      </w:r>
      <w:r w:rsidRPr="0084016E">
        <w:rPr>
          <w:lang w:val="fr-FR"/>
        </w:rPr>
        <w:t xml:space="preserve">: </w:t>
      </w:r>
      <w:r w:rsidR="00D9000B" w:rsidRPr="0084016E">
        <w:rPr>
          <w:b/>
          <w:bCs/>
          <w:lang w:val="fr-FR"/>
        </w:rPr>
        <w:t>3</w:t>
      </w:r>
      <w:r w:rsidRPr="0084016E">
        <w:rPr>
          <w:b/>
          <w:bCs/>
          <w:lang w:val="fr-FR"/>
        </w:rPr>
        <w:t>/6</w:t>
      </w:r>
      <w:r w:rsidR="00502F6E" w:rsidRPr="0084016E">
        <w:rPr>
          <w:lang w:val="fr-FR"/>
        </w:rPr>
        <w:t>.</w:t>
      </w:r>
    </w:p>
    <w:bookmarkEnd w:id="17"/>
    <w:p w14:paraId="126CC0D0" w14:textId="29705E83" w:rsidR="00563C3B" w:rsidRPr="0084016E" w:rsidRDefault="00F00AA8" w:rsidP="00577624">
      <w:pPr>
        <w:pStyle w:val="Heading2"/>
        <w:rPr>
          <w:lang w:val="fr-FR"/>
        </w:rPr>
      </w:pPr>
      <w:r w:rsidRPr="0084016E">
        <w:rPr>
          <w:bCs/>
          <w:lang w:val="fr-FR"/>
        </w:rPr>
        <w:t>5.10</w:t>
      </w:r>
      <w:r w:rsidRPr="0084016E">
        <w:rPr>
          <w:lang w:val="fr-FR"/>
        </w:rPr>
        <w:tab/>
      </w:r>
      <w:r w:rsidRPr="0084016E">
        <w:rPr>
          <w:bCs/>
          <w:lang w:val="fr-FR"/>
        </w:rPr>
        <w:t xml:space="preserve">Activités de la RPC-27 et </w:t>
      </w:r>
      <w:r w:rsidR="00F90F3D" w:rsidRPr="0084016E">
        <w:rPr>
          <w:bCs/>
          <w:lang w:val="fr-FR"/>
        </w:rPr>
        <w:t>travaux préparatoires en vue de</w:t>
      </w:r>
      <w:r w:rsidRPr="0084016E">
        <w:rPr>
          <w:bCs/>
          <w:lang w:val="fr-FR"/>
        </w:rPr>
        <w:t xml:space="preserve"> la RPC27-2</w:t>
      </w:r>
    </w:p>
    <w:p w14:paraId="712D9FB6" w14:textId="55F530FD" w:rsidR="00563C3B" w:rsidRPr="0084016E" w:rsidRDefault="005551A6" w:rsidP="00577624">
      <w:pPr>
        <w:rPr>
          <w:lang w:val="fr-FR"/>
        </w:rPr>
      </w:pPr>
      <w:r w:rsidRPr="0084016E">
        <w:rPr>
          <w:lang w:val="fr-FR"/>
        </w:rPr>
        <w:t xml:space="preserve">Un résumé des activités de la RPC-27 et </w:t>
      </w:r>
      <w:r w:rsidR="008C1BAE" w:rsidRPr="0084016E">
        <w:rPr>
          <w:lang w:val="fr-FR"/>
        </w:rPr>
        <w:t>des travaux préparatoires en vue</w:t>
      </w:r>
      <w:r w:rsidRPr="0084016E">
        <w:rPr>
          <w:lang w:val="fr-FR"/>
        </w:rPr>
        <w:t xml:space="preserve"> de la RPC27-2 est donné </w:t>
      </w:r>
      <w:r w:rsidR="00002845" w:rsidRPr="0084016E">
        <w:rPr>
          <w:lang w:val="fr-FR"/>
        </w:rPr>
        <w:t>au §</w:t>
      </w:r>
      <w:r w:rsidRPr="0084016E">
        <w:rPr>
          <w:lang w:val="fr-FR"/>
        </w:rPr>
        <w:t xml:space="preserve"> 4 du Document </w:t>
      </w:r>
      <w:hyperlink r:id="rId31" w:history="1">
        <w:r w:rsidRPr="0084016E">
          <w:rPr>
            <w:rStyle w:val="Hyperlink"/>
            <w:lang w:val="fr-FR"/>
          </w:rPr>
          <w:t>RA</w:t>
        </w:r>
        <w:r w:rsidRPr="0084016E">
          <w:rPr>
            <w:rStyle w:val="Hyperlink"/>
            <w:lang w:val="fr-FR"/>
          </w:rPr>
          <w:t>G</w:t>
        </w:r>
        <w:r w:rsidRPr="0084016E">
          <w:rPr>
            <w:rStyle w:val="Hyperlink"/>
            <w:lang w:val="fr-FR"/>
          </w:rPr>
          <w:t>/30</w:t>
        </w:r>
      </w:hyperlink>
      <w:r w:rsidRPr="0084016E">
        <w:rPr>
          <w:lang w:val="fr-FR"/>
        </w:rPr>
        <w:t>.</w:t>
      </w:r>
    </w:p>
    <w:p w14:paraId="25793E2D" w14:textId="3A6545A8" w:rsidR="0025739A" w:rsidRPr="0084016E" w:rsidRDefault="00F00AA8" w:rsidP="00577624">
      <w:pPr>
        <w:pStyle w:val="Heading1"/>
        <w:rPr>
          <w:lang w:val="fr-FR"/>
        </w:rPr>
      </w:pPr>
      <w:r w:rsidRPr="0084016E">
        <w:rPr>
          <w:bCs/>
          <w:lang w:val="fr-FR"/>
        </w:rPr>
        <w:t>6</w:t>
      </w:r>
      <w:r w:rsidRPr="0084016E">
        <w:rPr>
          <w:lang w:val="fr-FR"/>
        </w:rPr>
        <w:tab/>
      </w:r>
      <w:r w:rsidRPr="0084016E">
        <w:rPr>
          <w:bCs/>
          <w:lang w:val="fr-FR"/>
        </w:rPr>
        <w:t>Liaison et collaboration avec l</w:t>
      </w:r>
      <w:r w:rsidR="009C1307" w:rsidRPr="0084016E">
        <w:rPr>
          <w:bCs/>
          <w:lang w:val="fr-FR"/>
        </w:rPr>
        <w:t>'</w:t>
      </w:r>
      <w:r w:rsidRPr="0084016E">
        <w:rPr>
          <w:bCs/>
          <w:lang w:val="fr-FR"/>
        </w:rPr>
        <w:t>UIT-D et l</w:t>
      </w:r>
      <w:r w:rsidR="009C1307" w:rsidRPr="0084016E">
        <w:rPr>
          <w:bCs/>
          <w:lang w:val="fr-FR"/>
        </w:rPr>
        <w:t>'</w:t>
      </w:r>
      <w:r w:rsidRPr="0084016E">
        <w:rPr>
          <w:bCs/>
          <w:lang w:val="fr-FR"/>
        </w:rPr>
        <w:t>UIT-T</w:t>
      </w:r>
      <w:r w:rsidR="00002845" w:rsidRPr="0084016E">
        <w:rPr>
          <w:bCs/>
          <w:lang w:val="fr-FR"/>
        </w:rPr>
        <w:t>,</w:t>
      </w:r>
      <w:r w:rsidRPr="0084016E">
        <w:rPr>
          <w:bCs/>
          <w:lang w:val="fr-FR"/>
        </w:rPr>
        <w:t xml:space="preserve"> ainsi qu</w:t>
      </w:r>
      <w:r w:rsidR="009C1307" w:rsidRPr="0084016E">
        <w:rPr>
          <w:bCs/>
          <w:lang w:val="fr-FR"/>
        </w:rPr>
        <w:t>'</w:t>
      </w:r>
      <w:r w:rsidRPr="0084016E">
        <w:rPr>
          <w:bCs/>
          <w:lang w:val="fr-FR"/>
        </w:rPr>
        <w:t>avec d</w:t>
      </w:r>
      <w:r w:rsidR="009C1307" w:rsidRPr="0084016E">
        <w:rPr>
          <w:bCs/>
          <w:lang w:val="fr-FR"/>
        </w:rPr>
        <w:t>'</w:t>
      </w:r>
      <w:r w:rsidRPr="0084016E">
        <w:rPr>
          <w:bCs/>
          <w:lang w:val="fr-FR"/>
        </w:rPr>
        <w:t>autres organisations</w:t>
      </w:r>
    </w:p>
    <w:p w14:paraId="3752F966" w14:textId="3B705189" w:rsidR="0025739A" w:rsidRPr="0084016E" w:rsidRDefault="0025739A" w:rsidP="00577624">
      <w:pPr>
        <w:rPr>
          <w:lang w:val="fr-FR"/>
        </w:rPr>
      </w:pPr>
      <w:r w:rsidRPr="0084016E">
        <w:rPr>
          <w:lang w:val="fr-FR"/>
        </w:rPr>
        <w:t>Les activités intersectorielles se sont poursuivies au cours de cette période, notamment en ce qui concerne les thèmes prioritaires pour l</w:t>
      </w:r>
      <w:r w:rsidR="009C1307" w:rsidRPr="0084016E">
        <w:rPr>
          <w:lang w:val="fr-FR"/>
        </w:rPr>
        <w:t>'</w:t>
      </w:r>
      <w:r w:rsidRPr="0084016E">
        <w:rPr>
          <w:lang w:val="fr-FR"/>
        </w:rPr>
        <w:t>UIT que sont les changements climatiques, les communications d</w:t>
      </w:r>
      <w:r w:rsidR="009C1307" w:rsidRPr="0084016E">
        <w:rPr>
          <w:lang w:val="fr-FR"/>
        </w:rPr>
        <w:t>'</w:t>
      </w:r>
      <w:r w:rsidRPr="0084016E">
        <w:rPr>
          <w:lang w:val="fr-FR"/>
        </w:rPr>
        <w:t>urgence et l</w:t>
      </w:r>
      <w:r w:rsidR="009C1307" w:rsidRPr="0084016E">
        <w:rPr>
          <w:lang w:val="fr-FR"/>
        </w:rPr>
        <w:t>'</w:t>
      </w:r>
      <w:r w:rsidRPr="0084016E">
        <w:rPr>
          <w:lang w:val="fr-FR"/>
        </w:rPr>
        <w:t>accessibilité.</w:t>
      </w:r>
    </w:p>
    <w:p w14:paraId="0536889D" w14:textId="77777777" w:rsidR="0025739A" w:rsidRPr="0084016E" w:rsidRDefault="0025739A" w:rsidP="00EA1546">
      <w:pPr>
        <w:pStyle w:val="Headingi"/>
        <w:rPr>
          <w:lang w:val="fr-FR"/>
        </w:rPr>
      </w:pPr>
      <w:r w:rsidRPr="0084016E">
        <w:rPr>
          <w:lang w:val="fr-FR"/>
        </w:rPr>
        <w:t>•</w:t>
      </w:r>
      <w:r w:rsidRPr="0084016E">
        <w:rPr>
          <w:lang w:val="fr-FR"/>
        </w:rPr>
        <w:tab/>
        <w:t>UIT-D</w:t>
      </w:r>
    </w:p>
    <w:p w14:paraId="18239840" w14:textId="77777777" w:rsidR="0025739A" w:rsidRPr="0084016E" w:rsidRDefault="0025739A" w:rsidP="00577624">
      <w:pPr>
        <w:rPr>
          <w:lang w:val="fr-FR"/>
        </w:rPr>
      </w:pPr>
      <w:r w:rsidRPr="0084016E">
        <w:rPr>
          <w:lang w:val="fr-FR"/>
        </w:rPr>
        <w:t>Le BR continue de contribuer aux ateliers et séminaires du BDT.</w:t>
      </w:r>
    </w:p>
    <w:p w14:paraId="28947EFB" w14:textId="32CB499E" w:rsidR="0025739A" w:rsidRPr="0084016E" w:rsidRDefault="008C7E8C" w:rsidP="00577624">
      <w:pPr>
        <w:rPr>
          <w:lang w:val="fr-FR"/>
        </w:rPr>
      </w:pPr>
      <w:r w:rsidRPr="0084016E">
        <w:rPr>
          <w:lang w:val="fr-FR"/>
        </w:rPr>
        <w:t>Le BR a participé activement aux réunions des CE de l'UIT-D, en vue de présenter les résultats les plus récents des activités menées par les CE de l'UIT-R, de fournir des orientations et d'établir des mises en correspondance concernant les Recommandations, les Rapports et les Manuels élaborés par</w:t>
      </w:r>
      <w:r w:rsidR="00EA1546" w:rsidRPr="0084016E">
        <w:rPr>
          <w:lang w:val="fr-FR"/>
        </w:rPr>
        <w:t> </w:t>
      </w:r>
      <w:r w:rsidRPr="0084016E">
        <w:rPr>
          <w:lang w:val="fr-FR"/>
        </w:rPr>
        <w:t>l'UIT-R qui présentent un intérêt particulier pour les pays en développement et les études menées par les CE 1 et 2 de l'UIT-D.</w:t>
      </w:r>
      <w:r w:rsidR="0025739A" w:rsidRPr="0084016E">
        <w:rPr>
          <w:lang w:val="fr-FR"/>
        </w:rPr>
        <w:t xml:space="preserve"> Les CE de l</w:t>
      </w:r>
      <w:r w:rsidR="009C1307" w:rsidRPr="0084016E">
        <w:rPr>
          <w:lang w:val="fr-FR"/>
        </w:rPr>
        <w:t>'</w:t>
      </w:r>
      <w:r w:rsidR="0025739A" w:rsidRPr="0084016E">
        <w:rPr>
          <w:lang w:val="fr-FR"/>
        </w:rPr>
        <w:t>UIT-R ou leurs GT ont également répondu à plusieurs notes de liaison émanant de ces dernières concernant l</w:t>
      </w:r>
      <w:r w:rsidR="009C1307" w:rsidRPr="0084016E">
        <w:rPr>
          <w:lang w:val="fr-FR"/>
        </w:rPr>
        <w:t>'</w:t>
      </w:r>
      <w:r w:rsidR="0025739A" w:rsidRPr="0084016E">
        <w:rPr>
          <w:lang w:val="fr-FR"/>
        </w:rPr>
        <w:t xml:space="preserve">élaboration de projets de </w:t>
      </w:r>
      <w:r w:rsidR="00773C39" w:rsidRPr="0084016E">
        <w:rPr>
          <w:lang w:val="fr-FR"/>
        </w:rPr>
        <w:t>R</w:t>
      </w:r>
      <w:r w:rsidR="0025739A" w:rsidRPr="0084016E">
        <w:rPr>
          <w:lang w:val="fr-FR"/>
        </w:rPr>
        <w:t>apport de l</w:t>
      </w:r>
      <w:r w:rsidR="009C1307" w:rsidRPr="0084016E">
        <w:rPr>
          <w:lang w:val="fr-FR"/>
        </w:rPr>
        <w:t>'</w:t>
      </w:r>
      <w:r w:rsidR="0025739A" w:rsidRPr="0084016E">
        <w:rPr>
          <w:lang w:val="fr-FR"/>
        </w:rPr>
        <w:t>UIT-D à la</w:t>
      </w:r>
      <w:r w:rsidR="00EA1546" w:rsidRPr="0084016E">
        <w:rPr>
          <w:lang w:val="fr-FR"/>
        </w:rPr>
        <w:t> </w:t>
      </w:r>
      <w:r w:rsidR="0025739A" w:rsidRPr="0084016E">
        <w:rPr>
          <w:lang w:val="fr-FR"/>
        </w:rPr>
        <w:t>CMDT-25, en réponse aux Questions de l</w:t>
      </w:r>
      <w:r w:rsidR="009C1307" w:rsidRPr="0084016E">
        <w:rPr>
          <w:lang w:val="fr-FR"/>
        </w:rPr>
        <w:t>'</w:t>
      </w:r>
      <w:r w:rsidR="0025739A" w:rsidRPr="0084016E">
        <w:rPr>
          <w:lang w:val="fr-FR"/>
        </w:rPr>
        <w:t>UIT-D approuvées à la CMDT-22.</w:t>
      </w:r>
    </w:p>
    <w:p w14:paraId="63D831B5" w14:textId="77777777" w:rsidR="0025739A" w:rsidRPr="0084016E" w:rsidRDefault="0025739A" w:rsidP="00EA1546">
      <w:pPr>
        <w:pStyle w:val="Headingi"/>
        <w:rPr>
          <w:lang w:val="fr-FR"/>
        </w:rPr>
      </w:pPr>
      <w:r w:rsidRPr="0084016E">
        <w:rPr>
          <w:lang w:val="fr-FR"/>
        </w:rPr>
        <w:lastRenderedPageBreak/>
        <w:t>•</w:t>
      </w:r>
      <w:r w:rsidRPr="0084016E">
        <w:rPr>
          <w:lang w:val="fr-FR"/>
        </w:rPr>
        <w:tab/>
        <w:t>UIT-T</w:t>
      </w:r>
    </w:p>
    <w:p w14:paraId="75B93E32" w14:textId="59120FC5" w:rsidR="00132ADB" w:rsidRPr="0084016E" w:rsidRDefault="0025739A" w:rsidP="00EA1546">
      <w:pPr>
        <w:keepLines/>
        <w:rPr>
          <w:lang w:val="fr-FR"/>
        </w:rPr>
      </w:pPr>
      <w:r w:rsidRPr="0084016E">
        <w:rPr>
          <w:lang w:val="fr-FR"/>
        </w:rPr>
        <w:t>Outre les changements climatiques et les communications d</w:t>
      </w:r>
      <w:r w:rsidR="009C1307" w:rsidRPr="0084016E">
        <w:rPr>
          <w:lang w:val="fr-FR"/>
        </w:rPr>
        <w:t>'</w:t>
      </w:r>
      <w:r w:rsidRPr="0084016E">
        <w:rPr>
          <w:lang w:val="fr-FR"/>
        </w:rPr>
        <w:t>urgence, diverses questions présentent un intérêt mutuel pour l</w:t>
      </w:r>
      <w:r w:rsidR="009C1307" w:rsidRPr="0084016E">
        <w:rPr>
          <w:lang w:val="fr-FR"/>
        </w:rPr>
        <w:t>'</w:t>
      </w:r>
      <w:r w:rsidRPr="0084016E">
        <w:rPr>
          <w:lang w:val="fr-FR"/>
        </w:rPr>
        <w:t>UIT-R et l</w:t>
      </w:r>
      <w:r w:rsidR="009C1307" w:rsidRPr="0084016E">
        <w:rPr>
          <w:lang w:val="fr-FR"/>
        </w:rPr>
        <w:t>'</w:t>
      </w:r>
      <w:r w:rsidRPr="0084016E">
        <w:rPr>
          <w:lang w:val="fr-FR"/>
        </w:rPr>
        <w:t>UIT-T, à savoir les IMT, les effets de l</w:t>
      </w:r>
      <w:r w:rsidR="009C1307" w:rsidRPr="0084016E">
        <w:rPr>
          <w:lang w:val="fr-FR"/>
        </w:rPr>
        <w:t>'</w:t>
      </w:r>
      <w:r w:rsidRPr="0084016E">
        <w:rPr>
          <w:lang w:val="fr-FR"/>
        </w:rPr>
        <w:t>exposition des personnes aux fréquences radioélectriques, les systèmes de transmission par courants porteurs en ligne, les réseaux électriques intelligents, les villes intelligentes, la compatibilité électromagnétique/les brouillages électromagnétiques, les systèmes de transport intelligents, l</w:t>
      </w:r>
      <w:r w:rsidR="009C1307" w:rsidRPr="0084016E">
        <w:rPr>
          <w:lang w:val="fr-FR"/>
        </w:rPr>
        <w:t>'</w:t>
      </w:r>
      <w:r w:rsidRPr="0084016E">
        <w:rPr>
          <w:lang w:val="fr-FR"/>
        </w:rPr>
        <w:t>accessibilité des supports audiovisuels ainsi que la politique commune en matière de brevets et les droits de propriété intellectuelle.</w:t>
      </w:r>
    </w:p>
    <w:p w14:paraId="799B6F17" w14:textId="2EE12CDF" w:rsidR="0025739A" w:rsidRPr="0084016E" w:rsidRDefault="0025739A" w:rsidP="00EA1546">
      <w:pPr>
        <w:pStyle w:val="Headingi"/>
        <w:rPr>
          <w:lang w:val="fr-FR"/>
        </w:rPr>
      </w:pPr>
      <w:r w:rsidRPr="0084016E">
        <w:rPr>
          <w:lang w:val="fr-FR"/>
        </w:rPr>
        <w:t>•</w:t>
      </w:r>
      <w:r w:rsidRPr="0084016E">
        <w:rPr>
          <w:lang w:val="fr-FR"/>
        </w:rPr>
        <w:tab/>
        <w:t>Autres organisations</w:t>
      </w:r>
    </w:p>
    <w:p w14:paraId="5B01CE40" w14:textId="3EB4E1FA" w:rsidR="0025739A" w:rsidRPr="0084016E" w:rsidRDefault="008C7E8C" w:rsidP="00577624">
      <w:pPr>
        <w:rPr>
          <w:lang w:val="fr-FR"/>
        </w:rPr>
      </w:pPr>
      <w:r w:rsidRPr="0084016E">
        <w:rPr>
          <w:lang w:val="fr-FR"/>
        </w:rPr>
        <w:t>Des relations de collaboration se sont poursuivies</w:t>
      </w:r>
      <w:r w:rsidR="001B7847" w:rsidRPr="0084016E">
        <w:rPr>
          <w:lang w:val="fr-FR"/>
        </w:rPr>
        <w:t xml:space="preserve"> entre les CE de l</w:t>
      </w:r>
      <w:r w:rsidR="009C1307" w:rsidRPr="0084016E">
        <w:rPr>
          <w:lang w:val="fr-FR"/>
        </w:rPr>
        <w:t>'</w:t>
      </w:r>
      <w:r w:rsidR="001B7847" w:rsidRPr="0084016E">
        <w:rPr>
          <w:lang w:val="fr-FR"/>
        </w:rPr>
        <w:t>UIT-R et d</w:t>
      </w:r>
      <w:r w:rsidR="009C1307" w:rsidRPr="0084016E">
        <w:rPr>
          <w:lang w:val="fr-FR"/>
        </w:rPr>
        <w:t>'</w:t>
      </w:r>
      <w:r w:rsidR="001B7847" w:rsidRPr="0084016E">
        <w:rPr>
          <w:lang w:val="fr-FR"/>
        </w:rPr>
        <w:t xml:space="preserve">autres organisations, compte dûment tenu de la Résolution </w:t>
      </w:r>
      <w:hyperlink r:id="rId32" w:history="1">
        <w:r w:rsidR="001B7847" w:rsidRPr="0084016E">
          <w:rPr>
            <w:rStyle w:val="Hyperlink"/>
            <w:lang w:val="fr-FR"/>
          </w:rPr>
          <w:t>UIT-R 9</w:t>
        </w:r>
      </w:hyperlink>
      <w:r w:rsidR="001B7847" w:rsidRPr="0084016E">
        <w:rPr>
          <w:lang w:val="fr-FR"/>
        </w:rPr>
        <w:t>, le cas échéant.</w:t>
      </w:r>
    </w:p>
    <w:p w14:paraId="6F5241B1" w14:textId="133797DB" w:rsidR="0025739A" w:rsidRPr="0084016E" w:rsidRDefault="0025739A" w:rsidP="00577624">
      <w:pPr>
        <w:rPr>
          <w:lang w:val="fr-FR"/>
        </w:rPr>
      </w:pPr>
      <w:r w:rsidRPr="0084016E">
        <w:rPr>
          <w:lang w:val="fr-FR"/>
        </w:rPr>
        <w:t>Le Bureau a continué d</w:t>
      </w:r>
      <w:r w:rsidR="009C1307" w:rsidRPr="0084016E">
        <w:rPr>
          <w:lang w:val="fr-FR"/>
        </w:rPr>
        <w:t>'</w:t>
      </w:r>
      <w:r w:rsidRPr="0084016E">
        <w:rPr>
          <w:lang w:val="fr-FR"/>
        </w:rPr>
        <w:t>assurer une coopération étroite avec plusieurs organisations, avec les objectifs suivants:</w:t>
      </w:r>
    </w:p>
    <w:p w14:paraId="41AF1857" w14:textId="4701E9F5" w:rsidR="0025739A" w:rsidRPr="0084016E" w:rsidRDefault="00EA1546" w:rsidP="00EA1546">
      <w:pPr>
        <w:pStyle w:val="enumlev1"/>
        <w:rPr>
          <w:lang w:val="fr-FR"/>
        </w:rPr>
      </w:pPr>
      <w:r w:rsidRPr="0084016E">
        <w:rPr>
          <w:lang w:val="fr-FR"/>
        </w:rPr>
        <w:t>1)</w:t>
      </w:r>
      <w:r w:rsidRPr="0084016E">
        <w:rPr>
          <w:lang w:val="fr-FR"/>
        </w:rPr>
        <w:tab/>
      </w:r>
      <w:r w:rsidR="0025739A" w:rsidRPr="0084016E">
        <w:rPr>
          <w:lang w:val="fr-FR"/>
        </w:rPr>
        <w:t>encourager le dialogue entre organismes ayant des intérêts communs;</w:t>
      </w:r>
    </w:p>
    <w:p w14:paraId="754590F4" w14:textId="4DECA9C2" w:rsidR="0025739A" w:rsidRPr="0084016E" w:rsidRDefault="00EA1546" w:rsidP="00EA1546">
      <w:pPr>
        <w:pStyle w:val="enumlev1"/>
        <w:rPr>
          <w:lang w:val="fr-FR"/>
        </w:rPr>
      </w:pPr>
      <w:r w:rsidRPr="0084016E">
        <w:rPr>
          <w:lang w:val="fr-FR"/>
        </w:rPr>
        <w:t>2)</w:t>
      </w:r>
      <w:r w:rsidRPr="0084016E">
        <w:rPr>
          <w:lang w:val="fr-FR"/>
        </w:rPr>
        <w:tab/>
      </w:r>
      <w:r w:rsidR="0025739A" w:rsidRPr="0084016E">
        <w:rPr>
          <w:lang w:val="fr-FR"/>
        </w:rPr>
        <w:t>améliorer la coordination afin de mieux préparer des manifestations comme les CMR; et</w:t>
      </w:r>
    </w:p>
    <w:p w14:paraId="08D6C832" w14:textId="21687CEA" w:rsidR="0025739A" w:rsidRPr="0084016E" w:rsidRDefault="00EA1546" w:rsidP="00EA1546">
      <w:pPr>
        <w:pStyle w:val="enumlev1"/>
        <w:rPr>
          <w:lang w:val="fr-FR"/>
        </w:rPr>
      </w:pPr>
      <w:r w:rsidRPr="0084016E">
        <w:rPr>
          <w:lang w:val="fr-FR"/>
        </w:rPr>
        <w:t>3)</w:t>
      </w:r>
      <w:r w:rsidRPr="0084016E">
        <w:rPr>
          <w:lang w:val="fr-FR"/>
        </w:rPr>
        <w:tab/>
      </w:r>
      <w:r w:rsidR="0025739A" w:rsidRPr="0084016E">
        <w:rPr>
          <w:lang w:val="fr-FR"/>
        </w:rPr>
        <w:t>tenir l</w:t>
      </w:r>
      <w:r w:rsidR="009C1307" w:rsidRPr="0084016E">
        <w:rPr>
          <w:lang w:val="fr-FR"/>
        </w:rPr>
        <w:t>'</w:t>
      </w:r>
      <w:r w:rsidR="0025739A" w:rsidRPr="0084016E">
        <w:rPr>
          <w:lang w:val="fr-FR"/>
        </w:rPr>
        <w:t>UIT-R informé des activités pertinentes menées par d</w:t>
      </w:r>
      <w:r w:rsidR="009C1307" w:rsidRPr="0084016E">
        <w:rPr>
          <w:lang w:val="fr-FR"/>
        </w:rPr>
        <w:t>'</w:t>
      </w:r>
      <w:r w:rsidR="0025739A" w:rsidRPr="0084016E">
        <w:rPr>
          <w:lang w:val="fr-FR"/>
        </w:rPr>
        <w:t>autres organisations, afin de conférer un caractère plus stratégique à la planification des programmes de travail.</w:t>
      </w:r>
    </w:p>
    <w:p w14:paraId="32CADAD7" w14:textId="082A8D01" w:rsidR="0025739A" w:rsidRPr="0084016E" w:rsidRDefault="0025739A" w:rsidP="00577624">
      <w:pPr>
        <w:rPr>
          <w:lang w:val="fr-FR"/>
        </w:rPr>
      </w:pPr>
      <w:r w:rsidRPr="0084016E">
        <w:rPr>
          <w:lang w:val="fr-FR"/>
        </w:rPr>
        <w:t>Le Bureau continue de travailler en collaboration étroite avec les organisations internationales ou régionales concernées, notamment, mais non exclusivement:</w:t>
      </w:r>
    </w:p>
    <w:p w14:paraId="2B3A382F" w14:textId="42456EA7" w:rsidR="0025739A" w:rsidRPr="0084016E" w:rsidRDefault="0025739A" w:rsidP="009E4F77">
      <w:pPr>
        <w:pStyle w:val="enumlev1"/>
        <w:rPr>
          <w:lang w:val="fr-FR"/>
        </w:rPr>
      </w:pPr>
      <w:r w:rsidRPr="0084016E">
        <w:rPr>
          <w:lang w:val="fr-FR"/>
        </w:rPr>
        <w:t>−</w:t>
      </w:r>
      <w:r w:rsidRPr="0084016E">
        <w:rPr>
          <w:lang w:val="fr-FR"/>
        </w:rPr>
        <w:tab/>
        <w:t>l</w:t>
      </w:r>
      <w:r w:rsidR="009C1307" w:rsidRPr="0084016E">
        <w:rPr>
          <w:lang w:val="fr-FR"/>
        </w:rPr>
        <w:t>'</w:t>
      </w:r>
      <w:r w:rsidRPr="0084016E">
        <w:rPr>
          <w:lang w:val="fr-FR"/>
        </w:rPr>
        <w:t>APT, l</w:t>
      </w:r>
      <w:r w:rsidR="009C1307" w:rsidRPr="0084016E">
        <w:rPr>
          <w:lang w:val="fr-FR"/>
        </w:rPr>
        <w:t>'</w:t>
      </w:r>
      <w:r w:rsidRPr="0084016E">
        <w:rPr>
          <w:lang w:val="fr-FR"/>
        </w:rPr>
        <w:t>ASMG, l</w:t>
      </w:r>
      <w:r w:rsidR="009C1307" w:rsidRPr="0084016E">
        <w:rPr>
          <w:lang w:val="fr-FR"/>
        </w:rPr>
        <w:t>'</w:t>
      </w:r>
      <w:r w:rsidRPr="0084016E">
        <w:rPr>
          <w:lang w:val="fr-FR"/>
        </w:rPr>
        <w:t>UAT, la CEPT, la CITEL et la RCC pour la coordination régionale;</w:t>
      </w:r>
    </w:p>
    <w:p w14:paraId="738A20E3" w14:textId="1E0ECC82" w:rsidR="0025739A" w:rsidRPr="0084016E" w:rsidRDefault="0025739A" w:rsidP="009E4F77">
      <w:pPr>
        <w:pStyle w:val="enumlev1"/>
        <w:rPr>
          <w:lang w:val="fr-FR"/>
        </w:rPr>
      </w:pPr>
      <w:r w:rsidRPr="0084016E">
        <w:rPr>
          <w:lang w:val="fr-FR"/>
        </w:rPr>
        <w:t>−</w:t>
      </w:r>
      <w:r w:rsidRPr="0084016E">
        <w:rPr>
          <w:lang w:val="fr-FR"/>
        </w:rPr>
        <w:tab/>
        <w:t>l</w:t>
      </w:r>
      <w:r w:rsidR="009C1307" w:rsidRPr="0084016E">
        <w:rPr>
          <w:lang w:val="fr-FR"/>
        </w:rPr>
        <w:t>'</w:t>
      </w:r>
      <w:r w:rsidRPr="0084016E">
        <w:rPr>
          <w:lang w:val="fr-FR"/>
        </w:rPr>
        <w:t>ABU, l</w:t>
      </w:r>
      <w:r w:rsidR="009C1307" w:rsidRPr="0084016E">
        <w:rPr>
          <w:lang w:val="fr-FR"/>
        </w:rPr>
        <w:t>'</w:t>
      </w:r>
      <w:r w:rsidRPr="0084016E">
        <w:rPr>
          <w:lang w:val="fr-FR"/>
        </w:rPr>
        <w:t>ASBU, l</w:t>
      </w:r>
      <w:r w:rsidR="009C1307" w:rsidRPr="0084016E">
        <w:rPr>
          <w:lang w:val="fr-FR"/>
        </w:rPr>
        <w:t>'</w:t>
      </w:r>
      <w:r w:rsidRPr="0084016E">
        <w:rPr>
          <w:lang w:val="fr-FR"/>
        </w:rPr>
        <w:t>UER, le SMPT, l</w:t>
      </w:r>
      <w:r w:rsidR="009C1307" w:rsidRPr="0084016E">
        <w:rPr>
          <w:lang w:val="fr-FR"/>
        </w:rPr>
        <w:t>'</w:t>
      </w:r>
      <w:r w:rsidRPr="0084016E">
        <w:rPr>
          <w:lang w:val="fr-FR"/>
        </w:rPr>
        <w:t>ETSI et la HFCC pour les questions de diffusion;</w:t>
      </w:r>
    </w:p>
    <w:p w14:paraId="151C9F0D" w14:textId="60FDD88C" w:rsidR="0025739A" w:rsidRPr="0084016E" w:rsidRDefault="0025739A" w:rsidP="009E4F77">
      <w:pPr>
        <w:pStyle w:val="enumlev1"/>
        <w:rPr>
          <w:lang w:val="fr-FR"/>
        </w:rPr>
      </w:pPr>
      <w:r w:rsidRPr="0084016E">
        <w:rPr>
          <w:lang w:val="fr-FR"/>
        </w:rPr>
        <w:t>−</w:t>
      </w:r>
      <w:r w:rsidRPr="0084016E">
        <w:rPr>
          <w:lang w:val="fr-FR"/>
        </w:rPr>
        <w:tab/>
        <w:t>l</w:t>
      </w:r>
      <w:r w:rsidR="009C1307" w:rsidRPr="0084016E">
        <w:rPr>
          <w:lang w:val="fr-FR"/>
        </w:rPr>
        <w:t>'</w:t>
      </w:r>
      <w:r w:rsidRPr="0084016E">
        <w:rPr>
          <w:lang w:val="fr-FR"/>
        </w:rPr>
        <w:t>ITSO, la ESOA, le GVF et la GSMA pour l</w:t>
      </w:r>
      <w:r w:rsidR="009C1307" w:rsidRPr="0084016E">
        <w:rPr>
          <w:lang w:val="fr-FR"/>
        </w:rPr>
        <w:t>'</w:t>
      </w:r>
      <w:r w:rsidRPr="0084016E">
        <w:rPr>
          <w:lang w:val="fr-FR"/>
        </w:rPr>
        <w:t>utilisation de certains systèmes et services de radiocommunication;</w:t>
      </w:r>
    </w:p>
    <w:p w14:paraId="060E6F7F" w14:textId="335CE473" w:rsidR="0025739A" w:rsidRPr="0084016E" w:rsidRDefault="0025739A" w:rsidP="009E4F77">
      <w:pPr>
        <w:pStyle w:val="enumlev1"/>
        <w:rPr>
          <w:lang w:val="fr-FR"/>
        </w:rPr>
      </w:pPr>
      <w:r w:rsidRPr="0084016E">
        <w:rPr>
          <w:lang w:val="fr-FR"/>
        </w:rPr>
        <w:t>−</w:t>
      </w:r>
      <w:r w:rsidRPr="0084016E">
        <w:rPr>
          <w:lang w:val="fr-FR"/>
        </w:rPr>
        <w:tab/>
        <w:t>le Partenariat 3GPP, l</w:t>
      </w:r>
      <w:r w:rsidR="009C1307" w:rsidRPr="0084016E">
        <w:rPr>
          <w:lang w:val="fr-FR"/>
        </w:rPr>
        <w:t>'</w:t>
      </w:r>
      <w:r w:rsidRPr="0084016E">
        <w:rPr>
          <w:lang w:val="fr-FR"/>
        </w:rPr>
        <w:t>IEEE ainsi que plusieurs organisations régionales de normalisation pour les activités du Groupe de collaboration pour la normalisation mondiale (GSC);</w:t>
      </w:r>
    </w:p>
    <w:p w14:paraId="72D81055" w14:textId="7A5F9A94" w:rsidR="0025739A" w:rsidRPr="0084016E" w:rsidRDefault="0025739A" w:rsidP="009E4F77">
      <w:pPr>
        <w:pStyle w:val="enumlev1"/>
        <w:rPr>
          <w:lang w:val="fr-FR"/>
        </w:rPr>
      </w:pPr>
      <w:r w:rsidRPr="0084016E">
        <w:rPr>
          <w:lang w:val="fr-FR"/>
        </w:rPr>
        <w:t>−</w:t>
      </w:r>
      <w:r w:rsidRPr="0084016E">
        <w:rPr>
          <w:lang w:val="fr-FR"/>
        </w:rPr>
        <w:tab/>
        <w:t>l</w:t>
      </w:r>
      <w:r w:rsidR="009C1307" w:rsidRPr="0084016E">
        <w:rPr>
          <w:lang w:val="fr-FR"/>
        </w:rPr>
        <w:t>'</w:t>
      </w:r>
      <w:r w:rsidRPr="0084016E">
        <w:rPr>
          <w:lang w:val="fr-FR"/>
        </w:rPr>
        <w:t>Organisation météorologique mondiale (OMM), l</w:t>
      </w:r>
      <w:r w:rsidR="009C1307" w:rsidRPr="0084016E">
        <w:rPr>
          <w:lang w:val="fr-FR"/>
        </w:rPr>
        <w:t>'</w:t>
      </w:r>
      <w:r w:rsidRPr="0084016E">
        <w:rPr>
          <w:lang w:val="fr-FR"/>
        </w:rPr>
        <w:t>Organisation mondiale de la santé (OMS), l</w:t>
      </w:r>
      <w:r w:rsidR="009C1307" w:rsidRPr="0084016E">
        <w:rPr>
          <w:lang w:val="fr-FR"/>
        </w:rPr>
        <w:t>'</w:t>
      </w:r>
      <w:r w:rsidRPr="0084016E">
        <w:rPr>
          <w:lang w:val="fr-FR"/>
        </w:rPr>
        <w:t xml:space="preserve">ISO et la CEI (y compris le </w:t>
      </w:r>
      <w:r w:rsidR="0002662E" w:rsidRPr="0084016E">
        <w:rPr>
          <w:lang w:val="fr-FR"/>
        </w:rPr>
        <w:t>Comité international spécial des perturbations radioélectriques (</w:t>
      </w:r>
      <w:r w:rsidRPr="0084016E">
        <w:rPr>
          <w:lang w:val="fr-FR"/>
        </w:rPr>
        <w:t>CISPR</w:t>
      </w:r>
      <w:r w:rsidR="0002662E" w:rsidRPr="0084016E">
        <w:rPr>
          <w:lang w:val="fr-FR"/>
        </w:rPr>
        <w:t>)</w:t>
      </w:r>
      <w:r w:rsidRPr="0084016E">
        <w:rPr>
          <w:lang w:val="fr-FR"/>
        </w:rPr>
        <w:t>), le Groupe de coordination des fréquences spatiales, l</w:t>
      </w:r>
      <w:r w:rsidR="009C1307" w:rsidRPr="0084016E">
        <w:rPr>
          <w:lang w:val="fr-FR"/>
        </w:rPr>
        <w:t>'</w:t>
      </w:r>
      <w:r w:rsidRPr="0084016E">
        <w:rPr>
          <w:lang w:val="fr-FR"/>
        </w:rPr>
        <w:t>Union radio</w:t>
      </w:r>
      <w:r w:rsidR="00EA1546" w:rsidRPr="0084016E">
        <w:rPr>
          <w:lang w:val="fr-FR"/>
        </w:rPr>
        <w:noBreakHyphen/>
      </w:r>
      <w:r w:rsidRPr="0084016E">
        <w:rPr>
          <w:lang w:val="fr-FR"/>
        </w:rPr>
        <w:t xml:space="preserve">scientifique internationale (URSI) et plusieurs autres organisations, en fonction des besoins, pour assurer </w:t>
      </w:r>
      <w:r w:rsidR="0002662E" w:rsidRPr="0084016E">
        <w:rPr>
          <w:lang w:val="fr-FR"/>
        </w:rPr>
        <w:t>l'échange utile d'informations en ce qui concerne</w:t>
      </w:r>
      <w:r w:rsidRPr="0084016E">
        <w:rPr>
          <w:lang w:val="fr-FR"/>
        </w:rPr>
        <w:t xml:space="preserve"> les activités des commissions d</w:t>
      </w:r>
      <w:r w:rsidR="009C1307" w:rsidRPr="0084016E">
        <w:rPr>
          <w:lang w:val="fr-FR"/>
        </w:rPr>
        <w:t>'</w:t>
      </w:r>
      <w:r w:rsidRPr="0084016E">
        <w:rPr>
          <w:lang w:val="fr-FR"/>
        </w:rPr>
        <w:t>études;</w:t>
      </w:r>
    </w:p>
    <w:p w14:paraId="65F78BBB" w14:textId="1891336F" w:rsidR="0025739A" w:rsidRPr="0084016E" w:rsidRDefault="0025739A" w:rsidP="009E4F77">
      <w:pPr>
        <w:pStyle w:val="enumlev1"/>
        <w:rPr>
          <w:lang w:val="fr-FR"/>
        </w:rPr>
      </w:pPr>
      <w:r w:rsidRPr="0084016E">
        <w:rPr>
          <w:lang w:val="fr-FR"/>
        </w:rPr>
        <w:t>−</w:t>
      </w:r>
      <w:r w:rsidRPr="0084016E">
        <w:rPr>
          <w:lang w:val="fr-FR"/>
        </w:rPr>
        <w:tab/>
        <w:t>le Comité des utilisations pacifiques de l</w:t>
      </w:r>
      <w:r w:rsidR="009C1307" w:rsidRPr="0084016E">
        <w:rPr>
          <w:lang w:val="fr-FR"/>
        </w:rPr>
        <w:t>'</w:t>
      </w:r>
      <w:r w:rsidRPr="0084016E">
        <w:rPr>
          <w:lang w:val="fr-FR"/>
        </w:rPr>
        <w:t>espace extra atmosphérique des Nations</w:t>
      </w:r>
      <w:r w:rsidR="00EA1546" w:rsidRPr="0084016E">
        <w:rPr>
          <w:lang w:val="fr-FR"/>
        </w:rPr>
        <w:t> </w:t>
      </w:r>
      <w:r w:rsidRPr="0084016E">
        <w:rPr>
          <w:lang w:val="fr-FR"/>
        </w:rPr>
        <w:t>Unies (UN</w:t>
      </w:r>
      <w:r w:rsidR="00EA1546" w:rsidRPr="0084016E">
        <w:rPr>
          <w:lang w:val="fr-FR"/>
        </w:rPr>
        <w:noBreakHyphen/>
      </w:r>
      <w:r w:rsidRPr="0084016E">
        <w:rPr>
          <w:lang w:val="fr-FR"/>
        </w:rPr>
        <w:t>COPUOS), la Commission économique des Nations Unies pour l</w:t>
      </w:r>
      <w:r w:rsidR="009C1307" w:rsidRPr="0084016E">
        <w:rPr>
          <w:lang w:val="fr-FR"/>
        </w:rPr>
        <w:t>'</w:t>
      </w:r>
      <w:r w:rsidRPr="0084016E">
        <w:rPr>
          <w:lang w:val="fr-FR"/>
        </w:rPr>
        <w:t>Europe (CEE), l</w:t>
      </w:r>
      <w:r w:rsidR="009C1307" w:rsidRPr="0084016E">
        <w:rPr>
          <w:lang w:val="fr-FR"/>
        </w:rPr>
        <w:t>'</w:t>
      </w:r>
      <w:r w:rsidRPr="0084016E">
        <w:rPr>
          <w:lang w:val="fr-FR"/>
        </w:rPr>
        <w:t>Organisation maritime internationale (OMI), l</w:t>
      </w:r>
      <w:r w:rsidR="009C1307" w:rsidRPr="0084016E">
        <w:rPr>
          <w:lang w:val="fr-FR"/>
        </w:rPr>
        <w:t>'</w:t>
      </w:r>
      <w:r w:rsidRPr="0084016E">
        <w:rPr>
          <w:lang w:val="fr-FR"/>
        </w:rPr>
        <w:t>Organisation internationale des télécommunications mobiles par satellite (IMSO), le Bureau International des Poids et Mesures (BIPM), l</w:t>
      </w:r>
      <w:r w:rsidR="009C1307" w:rsidRPr="0084016E">
        <w:rPr>
          <w:lang w:val="fr-FR"/>
        </w:rPr>
        <w:t>'</w:t>
      </w:r>
      <w:r w:rsidRPr="0084016E">
        <w:rPr>
          <w:lang w:val="fr-FR"/>
        </w:rPr>
        <w:t>Organisation internationale des télécommunications par satellite (ITSO), COSPAS</w:t>
      </w:r>
      <w:r w:rsidR="00EA1546" w:rsidRPr="0084016E">
        <w:rPr>
          <w:lang w:val="fr-FR"/>
        </w:rPr>
        <w:noBreakHyphen/>
      </w:r>
      <w:r w:rsidRPr="0084016E">
        <w:rPr>
          <w:lang w:val="fr-FR"/>
        </w:rPr>
        <w:t>SARSAT, le Comité international de la Croix Rouge (CICR) et l</w:t>
      </w:r>
      <w:r w:rsidR="009C1307" w:rsidRPr="0084016E">
        <w:rPr>
          <w:lang w:val="fr-FR"/>
        </w:rPr>
        <w:t>'</w:t>
      </w:r>
      <w:r w:rsidRPr="0084016E">
        <w:rPr>
          <w:lang w:val="fr-FR"/>
        </w:rPr>
        <w:t>Organisation de l</w:t>
      </w:r>
      <w:r w:rsidR="009C1307" w:rsidRPr="0084016E">
        <w:rPr>
          <w:lang w:val="fr-FR"/>
        </w:rPr>
        <w:t>'</w:t>
      </w:r>
      <w:r w:rsidRPr="0084016E">
        <w:rPr>
          <w:lang w:val="fr-FR"/>
        </w:rPr>
        <w:t>aviation civile internationale (OACI) en ce qui concerne l</w:t>
      </w:r>
      <w:r w:rsidR="009C1307" w:rsidRPr="0084016E">
        <w:rPr>
          <w:lang w:val="fr-FR"/>
        </w:rPr>
        <w:t>'</w:t>
      </w:r>
      <w:r w:rsidRPr="0084016E">
        <w:rPr>
          <w:lang w:val="fr-FR"/>
        </w:rPr>
        <w:t>application des textes de l</w:t>
      </w:r>
      <w:r w:rsidR="009C1307" w:rsidRPr="0084016E">
        <w:rPr>
          <w:lang w:val="fr-FR"/>
        </w:rPr>
        <w:t>'</w:t>
      </w:r>
      <w:r w:rsidRPr="0084016E">
        <w:rPr>
          <w:lang w:val="fr-FR"/>
        </w:rPr>
        <w:t>UIT ayant valeur de traité.</w:t>
      </w:r>
    </w:p>
    <w:p w14:paraId="64B872B4" w14:textId="33F6AF17" w:rsidR="0025739A" w:rsidRPr="0084016E" w:rsidRDefault="00F00AA8" w:rsidP="00577624">
      <w:pPr>
        <w:pStyle w:val="Heading1"/>
        <w:rPr>
          <w:lang w:val="fr-FR"/>
        </w:rPr>
      </w:pPr>
      <w:bookmarkStart w:id="18" w:name="_Toc445972800"/>
      <w:r w:rsidRPr="0084016E">
        <w:rPr>
          <w:bCs/>
          <w:lang w:val="fr-FR"/>
        </w:rPr>
        <w:t>7</w:t>
      </w:r>
      <w:r w:rsidRPr="0084016E">
        <w:rPr>
          <w:lang w:val="fr-FR"/>
        </w:rPr>
        <w:tab/>
      </w:r>
      <w:r w:rsidRPr="0084016E">
        <w:rPr>
          <w:bCs/>
          <w:lang w:val="fr-FR"/>
        </w:rPr>
        <w:t>Autres activités intersectorielles</w:t>
      </w:r>
      <w:bookmarkEnd w:id="18"/>
    </w:p>
    <w:p w14:paraId="13154134" w14:textId="58B1FACD" w:rsidR="0025739A" w:rsidRPr="0084016E" w:rsidRDefault="0025739A" w:rsidP="00577624">
      <w:pPr>
        <w:rPr>
          <w:lang w:val="fr-FR"/>
        </w:rPr>
      </w:pPr>
      <w:r w:rsidRPr="0084016E">
        <w:rPr>
          <w:lang w:val="fr-FR"/>
        </w:rPr>
        <w:t>Le BR a activement participé à d</w:t>
      </w:r>
      <w:r w:rsidR="009C1307" w:rsidRPr="0084016E">
        <w:rPr>
          <w:lang w:val="fr-FR"/>
        </w:rPr>
        <w:t>'</w:t>
      </w:r>
      <w:r w:rsidRPr="0084016E">
        <w:rPr>
          <w:lang w:val="fr-FR"/>
        </w:rPr>
        <w:t>autres activités intersectorielles intéressant les travaux des CE de</w:t>
      </w:r>
      <w:r w:rsidR="00EA1546" w:rsidRPr="0084016E">
        <w:rPr>
          <w:lang w:val="fr-FR"/>
        </w:rPr>
        <w:t> </w:t>
      </w:r>
      <w:r w:rsidRPr="0084016E">
        <w:rPr>
          <w:lang w:val="fr-FR"/>
        </w:rPr>
        <w:t>l</w:t>
      </w:r>
      <w:r w:rsidR="009C1307" w:rsidRPr="0084016E">
        <w:rPr>
          <w:lang w:val="fr-FR"/>
        </w:rPr>
        <w:t>'</w:t>
      </w:r>
      <w:r w:rsidRPr="0084016E">
        <w:rPr>
          <w:lang w:val="fr-FR"/>
        </w:rPr>
        <w:t>UIT-R, comme indiqué ci-dessous:</w:t>
      </w:r>
    </w:p>
    <w:p w14:paraId="31732B41" w14:textId="096AFB4B" w:rsidR="0025739A" w:rsidRPr="0084016E" w:rsidRDefault="0025739A" w:rsidP="009E4F77">
      <w:pPr>
        <w:pStyle w:val="enumlev1"/>
        <w:rPr>
          <w:lang w:val="fr-FR"/>
        </w:rPr>
      </w:pPr>
      <w:r w:rsidRPr="0084016E">
        <w:rPr>
          <w:i/>
          <w:iCs/>
          <w:lang w:val="fr-FR"/>
        </w:rPr>
        <w:t>–</w:t>
      </w:r>
      <w:r w:rsidRPr="0084016E">
        <w:rPr>
          <w:lang w:val="fr-FR"/>
        </w:rPr>
        <w:tab/>
        <w:t>Changements climatiques et communications d</w:t>
      </w:r>
      <w:r w:rsidR="009C1307" w:rsidRPr="0084016E">
        <w:rPr>
          <w:lang w:val="fr-FR"/>
        </w:rPr>
        <w:t>'</w:t>
      </w:r>
      <w:r w:rsidRPr="0084016E">
        <w:rPr>
          <w:lang w:val="fr-FR"/>
        </w:rPr>
        <w:t>urgence: le BR participe aux activités intersectorielles coordonnées par le Groupe d</w:t>
      </w:r>
      <w:r w:rsidR="009C1307" w:rsidRPr="0084016E">
        <w:rPr>
          <w:lang w:val="fr-FR"/>
        </w:rPr>
        <w:t>'</w:t>
      </w:r>
      <w:r w:rsidRPr="0084016E">
        <w:rPr>
          <w:lang w:val="fr-FR"/>
        </w:rPr>
        <w:t>action de l</w:t>
      </w:r>
      <w:r w:rsidR="009C1307" w:rsidRPr="0084016E">
        <w:rPr>
          <w:lang w:val="fr-FR"/>
        </w:rPr>
        <w:t>'</w:t>
      </w:r>
      <w:r w:rsidRPr="0084016E">
        <w:rPr>
          <w:lang w:val="fr-FR"/>
        </w:rPr>
        <w:t>UIT sur les changements climatiques et les télécommunications d</w:t>
      </w:r>
      <w:r w:rsidR="009C1307" w:rsidRPr="0084016E">
        <w:rPr>
          <w:lang w:val="fr-FR"/>
        </w:rPr>
        <w:t>'</w:t>
      </w:r>
      <w:r w:rsidRPr="0084016E">
        <w:rPr>
          <w:lang w:val="fr-FR"/>
        </w:rPr>
        <w:t>urgence au titre de la mise en œuvre de la Résolution</w:t>
      </w:r>
      <w:r w:rsidR="00C36CE1" w:rsidRPr="0084016E">
        <w:rPr>
          <w:lang w:val="fr-FR"/>
        </w:rPr>
        <w:t> </w:t>
      </w:r>
      <w:r w:rsidRPr="0084016E">
        <w:rPr>
          <w:lang w:val="fr-FR"/>
        </w:rPr>
        <w:t xml:space="preserve">136 (Rév. Bucarest, 2022) de la Conférence de plénipotentiaires. Des études sont </w:t>
      </w:r>
      <w:r w:rsidRPr="0084016E">
        <w:rPr>
          <w:lang w:val="fr-FR"/>
        </w:rPr>
        <w:lastRenderedPageBreak/>
        <w:t xml:space="preserve">également menées en application de la Résolution </w:t>
      </w:r>
      <w:hyperlink r:id="rId33" w:history="1">
        <w:r w:rsidRPr="0084016E">
          <w:rPr>
            <w:rStyle w:val="Hyperlink"/>
            <w:lang w:val="fr-FR"/>
          </w:rPr>
          <w:t>UIT-R 60-3</w:t>
        </w:r>
      </w:hyperlink>
      <w:r w:rsidRPr="0084016E">
        <w:rPr>
          <w:lang w:val="fr-FR"/>
        </w:rPr>
        <w:t xml:space="preserve"> (Réduction de la consommation d</w:t>
      </w:r>
      <w:r w:rsidR="009C1307" w:rsidRPr="0084016E">
        <w:rPr>
          <w:lang w:val="fr-FR"/>
        </w:rPr>
        <w:t>'</w:t>
      </w:r>
      <w:r w:rsidRPr="0084016E">
        <w:rPr>
          <w:lang w:val="fr-FR"/>
        </w:rPr>
        <w:t>énergie pour la protection de l</w:t>
      </w:r>
      <w:r w:rsidR="009C1307" w:rsidRPr="0084016E">
        <w:rPr>
          <w:lang w:val="fr-FR"/>
        </w:rPr>
        <w:t>'</w:t>
      </w:r>
      <w:r w:rsidRPr="0084016E">
        <w:rPr>
          <w:lang w:val="fr-FR"/>
        </w:rPr>
        <w:t>environnement et l</w:t>
      </w:r>
      <w:r w:rsidR="009C1307" w:rsidRPr="0084016E">
        <w:rPr>
          <w:lang w:val="fr-FR"/>
        </w:rPr>
        <w:t>'</w:t>
      </w:r>
      <w:r w:rsidRPr="0084016E">
        <w:rPr>
          <w:lang w:val="fr-FR"/>
        </w:rPr>
        <w:t>atténuation des effets des changements climatiques grâce à l</w:t>
      </w:r>
      <w:r w:rsidR="009C1307" w:rsidRPr="0084016E">
        <w:rPr>
          <w:lang w:val="fr-FR"/>
        </w:rPr>
        <w:t>'</w:t>
      </w:r>
      <w:r w:rsidRPr="0084016E">
        <w:rPr>
          <w:lang w:val="fr-FR"/>
        </w:rPr>
        <w:t>utilisation de technologies et systèmes de radiocommunication/TIC).</w:t>
      </w:r>
    </w:p>
    <w:p w14:paraId="2A4F1B68" w14:textId="6E022620" w:rsidR="0025739A" w:rsidRPr="0084016E" w:rsidRDefault="0025739A" w:rsidP="009E4F77">
      <w:pPr>
        <w:pStyle w:val="enumlev1"/>
        <w:rPr>
          <w:lang w:val="fr-FR"/>
        </w:rPr>
      </w:pPr>
      <w:r w:rsidRPr="0084016E">
        <w:rPr>
          <w:lang w:val="fr-FR"/>
        </w:rPr>
        <w:t>–</w:t>
      </w:r>
      <w:r w:rsidRPr="0084016E">
        <w:rPr>
          <w:lang w:val="fr-FR"/>
        </w:rPr>
        <w:tab/>
        <w:t>Accessibilité: l</w:t>
      </w:r>
      <w:r w:rsidR="009C1307" w:rsidRPr="0084016E">
        <w:rPr>
          <w:lang w:val="fr-FR"/>
        </w:rPr>
        <w:t>'</w:t>
      </w:r>
      <w:r w:rsidRPr="0084016E">
        <w:rPr>
          <w:lang w:val="fr-FR"/>
        </w:rPr>
        <w:t>UIT-R a activement participé aux travaux de la JCA-AHF (Activité conjointe de coordination sur l</w:t>
      </w:r>
      <w:r w:rsidR="009C1307" w:rsidRPr="0084016E">
        <w:rPr>
          <w:lang w:val="fr-FR"/>
        </w:rPr>
        <w:t>'</w:t>
      </w:r>
      <w:r w:rsidRPr="0084016E">
        <w:rPr>
          <w:lang w:val="fr-FR"/>
        </w:rPr>
        <w:t>accessibilité et les facteurs humains) de l</w:t>
      </w:r>
      <w:r w:rsidR="009C1307" w:rsidRPr="0084016E">
        <w:rPr>
          <w:lang w:val="fr-FR"/>
        </w:rPr>
        <w:t>'</w:t>
      </w:r>
      <w:r w:rsidRPr="0084016E">
        <w:rPr>
          <w:lang w:val="fr-FR"/>
        </w:rPr>
        <w:t>UIT-T.</w:t>
      </w:r>
    </w:p>
    <w:p w14:paraId="37DB2080" w14:textId="7C334C2D" w:rsidR="0025739A" w:rsidRPr="0084016E" w:rsidRDefault="0025739A" w:rsidP="009E4F77">
      <w:pPr>
        <w:pStyle w:val="enumlev1"/>
        <w:rPr>
          <w:lang w:val="fr-FR"/>
        </w:rPr>
      </w:pPr>
      <w:r w:rsidRPr="0084016E">
        <w:rPr>
          <w:lang w:val="fr-FR"/>
        </w:rPr>
        <w:t>–</w:t>
      </w:r>
      <w:r w:rsidRPr="0084016E">
        <w:rPr>
          <w:lang w:val="fr-FR"/>
        </w:rPr>
        <w:tab/>
        <w:t>SMSI et GTC-SMSI/ODD: en application de la Résolution 140 (Rév. Bucarest, 2022) de la Conférence de plénipotentiaires intitulée «Rôle de l</w:t>
      </w:r>
      <w:r w:rsidR="009C1307" w:rsidRPr="0084016E">
        <w:rPr>
          <w:lang w:val="fr-FR"/>
        </w:rPr>
        <w:t>'</w:t>
      </w:r>
      <w:r w:rsidRPr="0084016E">
        <w:rPr>
          <w:lang w:val="fr-FR"/>
        </w:rPr>
        <w:t>UIT dans la mise en œuvre des résultats du Sommet mondial sur la société de l</w:t>
      </w:r>
      <w:r w:rsidR="009C1307" w:rsidRPr="0084016E">
        <w:rPr>
          <w:lang w:val="fr-FR"/>
        </w:rPr>
        <w:t>'</w:t>
      </w:r>
      <w:r w:rsidRPr="0084016E">
        <w:rPr>
          <w:lang w:val="fr-FR"/>
        </w:rPr>
        <w:t>information et du Programme de développement durable à l</w:t>
      </w:r>
      <w:r w:rsidR="009C1307" w:rsidRPr="0084016E">
        <w:rPr>
          <w:lang w:val="fr-FR"/>
        </w:rPr>
        <w:t>'</w:t>
      </w:r>
      <w:r w:rsidRPr="0084016E">
        <w:rPr>
          <w:lang w:val="fr-FR"/>
        </w:rPr>
        <w:t>horizon 2030 ainsi que dans les processus de suivi et d</w:t>
      </w:r>
      <w:r w:rsidR="009C1307" w:rsidRPr="0084016E">
        <w:rPr>
          <w:lang w:val="fr-FR"/>
        </w:rPr>
        <w:t>'</w:t>
      </w:r>
      <w:r w:rsidRPr="0084016E">
        <w:rPr>
          <w:lang w:val="fr-FR"/>
        </w:rPr>
        <w:t>examen associés», l</w:t>
      </w:r>
      <w:r w:rsidR="009C1307" w:rsidRPr="0084016E">
        <w:rPr>
          <w:lang w:val="fr-FR"/>
        </w:rPr>
        <w:t>'</w:t>
      </w:r>
      <w:r w:rsidRPr="0084016E">
        <w:rPr>
          <w:lang w:val="fr-FR"/>
        </w:rPr>
        <w:t>UIT</w:t>
      </w:r>
      <w:r w:rsidR="00EA1546" w:rsidRPr="0084016E">
        <w:rPr>
          <w:lang w:val="fr-FR"/>
        </w:rPr>
        <w:noBreakHyphen/>
      </w:r>
      <w:r w:rsidRPr="0084016E">
        <w:rPr>
          <w:lang w:val="fr-FR"/>
        </w:rPr>
        <w:t>R assure la liaison avec le GTC-SMSI/ODD et contribue en fournissant des renseignements actualisés sur les travaux menés par les commissions d</w:t>
      </w:r>
      <w:r w:rsidR="009C1307" w:rsidRPr="0084016E">
        <w:rPr>
          <w:lang w:val="fr-FR"/>
        </w:rPr>
        <w:t>'</w:t>
      </w:r>
      <w:r w:rsidRPr="0084016E">
        <w:rPr>
          <w:lang w:val="fr-FR"/>
        </w:rPr>
        <w:t>études de l</w:t>
      </w:r>
      <w:r w:rsidR="009C1307" w:rsidRPr="0084016E">
        <w:rPr>
          <w:lang w:val="fr-FR"/>
        </w:rPr>
        <w:t>'</w:t>
      </w:r>
      <w:r w:rsidRPr="0084016E">
        <w:rPr>
          <w:lang w:val="fr-FR"/>
        </w:rPr>
        <w:t>UIT-R. Le Département des commissions d</w:t>
      </w:r>
      <w:r w:rsidR="009C1307" w:rsidRPr="0084016E">
        <w:rPr>
          <w:lang w:val="fr-FR"/>
        </w:rPr>
        <w:t>'</w:t>
      </w:r>
      <w:r w:rsidRPr="0084016E">
        <w:rPr>
          <w:lang w:val="fr-FR"/>
        </w:rPr>
        <w:t>études du BR a conçu et mis en ligne un site web qui donne la liste des publications de l</w:t>
      </w:r>
      <w:r w:rsidR="009C1307" w:rsidRPr="0084016E">
        <w:rPr>
          <w:lang w:val="fr-FR"/>
        </w:rPr>
        <w:t>'</w:t>
      </w:r>
      <w:r w:rsidRPr="0084016E">
        <w:rPr>
          <w:lang w:val="fr-FR"/>
        </w:rPr>
        <w:t>UIT-R relatives à chaque ODD. Il est disponible à l</w:t>
      </w:r>
      <w:r w:rsidR="009C1307" w:rsidRPr="0084016E">
        <w:rPr>
          <w:lang w:val="fr-FR"/>
        </w:rPr>
        <w:t>'</w:t>
      </w:r>
      <w:r w:rsidRPr="0084016E">
        <w:rPr>
          <w:lang w:val="fr-FR"/>
        </w:rPr>
        <w:t xml:space="preserve">adresse suivante: </w:t>
      </w:r>
      <w:hyperlink r:id="rId34" w:history="1">
        <w:r w:rsidR="00773C39" w:rsidRPr="0084016E">
          <w:rPr>
            <w:rStyle w:val="Hyperlink"/>
            <w:lang w:val="fr-FR"/>
          </w:rPr>
          <w:t>https://www.itu.int/en/ITU-R/study-groups/Pages/Sustainable-dev-goals.aspx</w:t>
        </w:r>
      </w:hyperlink>
      <w:r w:rsidRPr="0084016E">
        <w:rPr>
          <w:lang w:val="fr-FR"/>
        </w:rPr>
        <w:t>.</w:t>
      </w:r>
      <w:r w:rsidR="00773C39" w:rsidRPr="0084016E">
        <w:rPr>
          <w:lang w:val="fr-FR"/>
        </w:rPr>
        <w:t xml:space="preserve"> </w:t>
      </w:r>
    </w:p>
    <w:p w14:paraId="6C7A9F6C" w14:textId="05D4BA20" w:rsidR="0025739A" w:rsidRPr="0084016E" w:rsidRDefault="0025739A" w:rsidP="009E4F77">
      <w:pPr>
        <w:pStyle w:val="enumlev1"/>
        <w:rPr>
          <w:lang w:val="fr-FR"/>
        </w:rPr>
      </w:pPr>
      <w:r w:rsidRPr="0084016E">
        <w:rPr>
          <w:lang w:val="fr-FR"/>
        </w:rPr>
        <w:t>–</w:t>
      </w:r>
      <w:r w:rsidRPr="0084016E">
        <w:rPr>
          <w:lang w:val="fr-FR"/>
        </w:rPr>
        <w:tab/>
        <w:t>Le Bureau continue de participer aux activités liées aux grandes manifestations, conférences et réunions de l</w:t>
      </w:r>
      <w:r w:rsidR="009C1307" w:rsidRPr="0084016E">
        <w:rPr>
          <w:lang w:val="fr-FR"/>
        </w:rPr>
        <w:t>'</w:t>
      </w:r>
      <w:r w:rsidRPr="0084016E">
        <w:rPr>
          <w:lang w:val="fr-FR"/>
        </w:rPr>
        <w:t>UIT. Ces activités sont menées en vue d</w:t>
      </w:r>
      <w:r w:rsidR="009C1307" w:rsidRPr="0084016E">
        <w:rPr>
          <w:lang w:val="fr-FR"/>
        </w:rPr>
        <w:t>'</w:t>
      </w:r>
      <w:r w:rsidRPr="0084016E">
        <w:rPr>
          <w:lang w:val="fr-FR"/>
        </w:rPr>
        <w:t>appuyer la Conférence de plénipotentiaires, le Conseil de l</w:t>
      </w:r>
      <w:r w:rsidR="009C1307" w:rsidRPr="0084016E">
        <w:rPr>
          <w:lang w:val="fr-FR"/>
        </w:rPr>
        <w:t>'</w:t>
      </w:r>
      <w:r w:rsidRPr="0084016E">
        <w:rPr>
          <w:lang w:val="fr-FR"/>
        </w:rPr>
        <w:t>UIT, l</w:t>
      </w:r>
      <w:r w:rsidR="009C1307" w:rsidRPr="0084016E">
        <w:rPr>
          <w:lang w:val="fr-FR"/>
        </w:rPr>
        <w:t>'</w:t>
      </w:r>
      <w:r w:rsidRPr="0084016E">
        <w:rPr>
          <w:lang w:val="fr-FR"/>
        </w:rPr>
        <w:t>AMNT et la CMDT.</w:t>
      </w:r>
    </w:p>
    <w:p w14:paraId="3742D2AB" w14:textId="2DAFD163" w:rsidR="0025739A" w:rsidRPr="0084016E" w:rsidRDefault="0025739A" w:rsidP="00577624">
      <w:pPr>
        <w:rPr>
          <w:lang w:val="fr-FR"/>
        </w:rPr>
      </w:pPr>
      <w:r w:rsidRPr="0084016E">
        <w:rPr>
          <w:lang w:val="fr-FR"/>
        </w:rPr>
        <w:t xml:space="preserve">Conformément à la nouvelle Résolution </w:t>
      </w:r>
      <w:hyperlink r:id="rId35" w:history="1">
        <w:r w:rsidRPr="0084016E">
          <w:rPr>
            <w:rStyle w:val="Hyperlink"/>
            <w:lang w:val="fr-FR"/>
          </w:rPr>
          <w:t>UIT-</w:t>
        </w:r>
        <w:r w:rsidRPr="0084016E">
          <w:rPr>
            <w:rStyle w:val="Hyperlink"/>
            <w:lang w:val="fr-FR"/>
          </w:rPr>
          <w:t>R</w:t>
        </w:r>
        <w:r w:rsidRPr="0084016E">
          <w:rPr>
            <w:rStyle w:val="Hyperlink"/>
            <w:lang w:val="fr-FR"/>
          </w:rPr>
          <w:t xml:space="preserve"> 75</w:t>
        </w:r>
      </w:hyperlink>
      <w:r w:rsidRPr="0084016E">
        <w:rPr>
          <w:lang w:val="fr-FR"/>
        </w:rPr>
        <w:t>, intitulée «Renforcement de la coordination et de la coopération entre les trois Secteurs de l</w:t>
      </w:r>
      <w:r w:rsidR="009C1307" w:rsidRPr="0084016E">
        <w:rPr>
          <w:lang w:val="fr-FR"/>
        </w:rPr>
        <w:t>'</w:t>
      </w:r>
      <w:r w:rsidRPr="0084016E">
        <w:rPr>
          <w:lang w:val="fr-FR"/>
        </w:rPr>
        <w:t>UIT sur des questions d</w:t>
      </w:r>
      <w:r w:rsidR="009C1307" w:rsidRPr="0084016E">
        <w:rPr>
          <w:lang w:val="fr-FR"/>
        </w:rPr>
        <w:t>'</w:t>
      </w:r>
      <w:r w:rsidRPr="0084016E">
        <w:rPr>
          <w:lang w:val="fr-FR"/>
        </w:rPr>
        <w:t>intérêt mutuel», le BR continuera de coopérer avec l</w:t>
      </w:r>
      <w:r w:rsidR="009C1307" w:rsidRPr="0084016E">
        <w:rPr>
          <w:lang w:val="fr-FR"/>
        </w:rPr>
        <w:t>'</w:t>
      </w:r>
      <w:r w:rsidRPr="0084016E">
        <w:rPr>
          <w:lang w:val="fr-FR"/>
        </w:rPr>
        <w:t>UIT-D et l</w:t>
      </w:r>
      <w:r w:rsidR="009C1307" w:rsidRPr="0084016E">
        <w:rPr>
          <w:lang w:val="fr-FR"/>
        </w:rPr>
        <w:t>'</w:t>
      </w:r>
      <w:r w:rsidRPr="0084016E">
        <w:rPr>
          <w:lang w:val="fr-FR"/>
        </w:rPr>
        <w:t>UIT-T, selon qu</w:t>
      </w:r>
      <w:r w:rsidR="009C1307" w:rsidRPr="0084016E">
        <w:rPr>
          <w:lang w:val="fr-FR"/>
        </w:rPr>
        <w:t>'</w:t>
      </w:r>
      <w:r w:rsidRPr="0084016E">
        <w:rPr>
          <w:lang w:val="fr-FR"/>
        </w:rPr>
        <w:t>il conviendra.</w:t>
      </w:r>
    </w:p>
    <w:p w14:paraId="1998BB45" w14:textId="7480871C" w:rsidR="0025739A" w:rsidRPr="0084016E" w:rsidRDefault="00AC74EB" w:rsidP="00CB623F">
      <w:pPr>
        <w:pStyle w:val="Heading1"/>
        <w:rPr>
          <w:lang w:val="fr-FR"/>
        </w:rPr>
      </w:pPr>
      <w:r w:rsidRPr="0084016E">
        <w:rPr>
          <w:bCs/>
          <w:lang w:val="fr-FR"/>
        </w:rPr>
        <w:t>8</w:t>
      </w:r>
      <w:r w:rsidRPr="0084016E">
        <w:rPr>
          <w:lang w:val="fr-FR"/>
        </w:rPr>
        <w:tab/>
      </w:r>
      <w:r w:rsidRPr="0084016E">
        <w:rPr>
          <w:bCs/>
          <w:lang w:val="fr-FR"/>
        </w:rPr>
        <w:t>Mesures de suivi demandées par le GCR à sa réunion en 2024</w:t>
      </w:r>
    </w:p>
    <w:p w14:paraId="1355150B" w14:textId="24B1FA6D" w:rsidR="0025739A" w:rsidRPr="0084016E" w:rsidRDefault="0025739A" w:rsidP="00577624">
      <w:pPr>
        <w:rPr>
          <w:lang w:val="fr-FR"/>
        </w:rPr>
      </w:pPr>
      <w:r w:rsidRPr="0084016E">
        <w:rPr>
          <w:lang w:val="fr-FR"/>
        </w:rPr>
        <w:t>Le Bureau a pris les mesures de suivi demandées par le GCR à sa dernière réunion en mars</w:t>
      </w:r>
      <w:r w:rsidR="00C36CE1" w:rsidRPr="0084016E">
        <w:rPr>
          <w:lang w:val="fr-FR"/>
        </w:rPr>
        <w:t> </w:t>
      </w:r>
      <w:r w:rsidRPr="0084016E">
        <w:rPr>
          <w:lang w:val="fr-FR"/>
        </w:rPr>
        <w:t>2024 (telles qu</w:t>
      </w:r>
      <w:r w:rsidR="009C1307" w:rsidRPr="0084016E">
        <w:rPr>
          <w:lang w:val="fr-FR"/>
        </w:rPr>
        <w:t>'</w:t>
      </w:r>
      <w:r w:rsidRPr="0084016E">
        <w:rPr>
          <w:lang w:val="fr-FR"/>
        </w:rPr>
        <w:t xml:space="preserve">elles figurent dans le résumé des conclusions – Circulaire administrative </w:t>
      </w:r>
      <w:hyperlink r:id="rId36" w:history="1">
        <w:r w:rsidRPr="0084016E">
          <w:rPr>
            <w:rStyle w:val="Hyperlink"/>
            <w:lang w:val="fr-FR"/>
          </w:rPr>
          <w:t>C</w:t>
        </w:r>
        <w:r w:rsidRPr="0084016E">
          <w:rPr>
            <w:rStyle w:val="Hyperlink"/>
            <w:lang w:val="fr-FR"/>
          </w:rPr>
          <w:t>A</w:t>
        </w:r>
        <w:r w:rsidRPr="0084016E">
          <w:rPr>
            <w:rStyle w:val="Hyperlink"/>
            <w:lang w:val="fr-FR"/>
          </w:rPr>
          <w:t>/273</w:t>
        </w:r>
      </w:hyperlink>
      <w:r w:rsidRPr="0084016E">
        <w:rPr>
          <w:lang w:val="fr-FR"/>
        </w:rPr>
        <w:t>).</w:t>
      </w:r>
    </w:p>
    <w:p w14:paraId="1A44F1F0" w14:textId="1B1E0AAC" w:rsidR="000F49E6" w:rsidRPr="0084016E" w:rsidRDefault="00F45F45" w:rsidP="009E4F77">
      <w:pPr>
        <w:pStyle w:val="enumlev1"/>
        <w:rPr>
          <w:lang w:val="fr-FR"/>
        </w:rPr>
      </w:pPr>
      <w:r w:rsidRPr="0084016E">
        <w:rPr>
          <w:lang w:val="fr-FR"/>
        </w:rPr>
        <w:t>−</w:t>
      </w:r>
      <w:r w:rsidRPr="0084016E">
        <w:rPr>
          <w:lang w:val="fr-FR"/>
        </w:rPr>
        <w:tab/>
        <w:t xml:space="preserve">Le GCR a demandé au Directeur du BR de recueillir des informations sur les activités des </w:t>
      </w:r>
      <w:r w:rsidR="00472DC9" w:rsidRPr="0084016E">
        <w:rPr>
          <w:lang w:val="fr-FR"/>
        </w:rPr>
        <w:t>c</w:t>
      </w:r>
      <w:r w:rsidRPr="0084016E">
        <w:rPr>
          <w:lang w:val="fr-FR"/>
        </w:rPr>
        <w:t>ommissions d</w:t>
      </w:r>
      <w:r w:rsidR="009C1307" w:rsidRPr="0084016E">
        <w:rPr>
          <w:lang w:val="fr-FR"/>
        </w:rPr>
        <w:t>'</w:t>
      </w:r>
      <w:r w:rsidRPr="0084016E">
        <w:rPr>
          <w:lang w:val="fr-FR"/>
        </w:rPr>
        <w:t>études de l</w:t>
      </w:r>
      <w:r w:rsidR="009C1307" w:rsidRPr="0084016E">
        <w:rPr>
          <w:lang w:val="fr-FR"/>
        </w:rPr>
        <w:t>'</w:t>
      </w:r>
      <w:r w:rsidRPr="0084016E">
        <w:rPr>
          <w:lang w:val="fr-FR"/>
        </w:rPr>
        <w:t>UIT-R relatives à la transformation numérique durable. Certaines d</w:t>
      </w:r>
      <w:r w:rsidR="009C1307" w:rsidRPr="0084016E">
        <w:rPr>
          <w:lang w:val="fr-FR"/>
        </w:rPr>
        <w:t>'</w:t>
      </w:r>
      <w:r w:rsidRPr="0084016E">
        <w:rPr>
          <w:lang w:val="fr-FR"/>
        </w:rPr>
        <w:t xml:space="preserve">entre elles </w:t>
      </w:r>
      <w:r w:rsidR="00EB67B2" w:rsidRPr="0084016E">
        <w:rPr>
          <w:lang w:val="fr-FR"/>
        </w:rPr>
        <w:t>figurent</w:t>
      </w:r>
      <w:r w:rsidRPr="0084016E">
        <w:rPr>
          <w:lang w:val="fr-FR"/>
        </w:rPr>
        <w:t xml:space="preserve"> dans l</w:t>
      </w:r>
      <w:r w:rsidR="009C1307" w:rsidRPr="0084016E">
        <w:rPr>
          <w:lang w:val="fr-FR"/>
        </w:rPr>
        <w:t>'</w:t>
      </w:r>
      <w:r w:rsidR="00502F6E" w:rsidRPr="0084016E">
        <w:rPr>
          <w:lang w:val="fr-FR"/>
        </w:rPr>
        <w:t>a</w:t>
      </w:r>
      <w:r w:rsidRPr="0084016E">
        <w:rPr>
          <w:lang w:val="fr-FR"/>
        </w:rPr>
        <w:t>nnexe du présent document pour information.</w:t>
      </w:r>
    </w:p>
    <w:p w14:paraId="3DD8D7FA" w14:textId="028E89BE" w:rsidR="00060403" w:rsidRPr="0084016E" w:rsidRDefault="00060403" w:rsidP="00E757EA">
      <w:pPr>
        <w:pStyle w:val="enumlev1"/>
        <w:jc w:val="both"/>
        <w:rPr>
          <w:lang w:val="fr-FR"/>
        </w:rPr>
        <w:sectPr w:rsidR="00060403" w:rsidRPr="0084016E" w:rsidSect="002B7EEE">
          <w:headerReference w:type="default" r:id="rId37"/>
          <w:pgSz w:w="11907" w:h="16840" w:code="9"/>
          <w:pgMar w:top="1089" w:right="1089" w:bottom="1089" w:left="1089" w:header="482" w:footer="482" w:gutter="0"/>
          <w:pgNumType w:start="1"/>
          <w:cols w:space="720"/>
          <w:titlePg/>
          <w:docGrid w:linePitch="326"/>
        </w:sectPr>
      </w:pPr>
    </w:p>
    <w:p w14:paraId="15D64769" w14:textId="190F2BED" w:rsidR="00453460" w:rsidRPr="0084016E" w:rsidRDefault="000200BB" w:rsidP="00472DC9">
      <w:pPr>
        <w:pStyle w:val="AnnexNotitle"/>
        <w:spacing w:after="240"/>
        <w:rPr>
          <w:lang w:val="fr-FR"/>
        </w:rPr>
      </w:pPr>
      <w:r w:rsidRPr="0084016E">
        <w:rPr>
          <w:lang w:val="fr-FR"/>
        </w:rPr>
        <w:lastRenderedPageBreak/>
        <w:t>Annexe</w:t>
      </w:r>
      <w:r w:rsidR="00472DC9" w:rsidRPr="0084016E">
        <w:rPr>
          <w:lang w:val="fr-FR"/>
        </w:rPr>
        <w:br/>
      </w:r>
      <w:r w:rsidR="00472DC9" w:rsidRPr="0084016E">
        <w:rPr>
          <w:lang w:val="fr-FR"/>
        </w:rPr>
        <w:br/>
      </w:r>
      <w:r w:rsidR="00490C77" w:rsidRPr="0084016E">
        <w:rPr>
          <w:bCs/>
          <w:lang w:val="fr-FR"/>
        </w:rPr>
        <w:t>Activités et études relatives à la transformation numérique durable</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717"/>
        <w:gridCol w:w="2472"/>
        <w:gridCol w:w="3765"/>
        <w:gridCol w:w="1701"/>
        <w:gridCol w:w="2801"/>
      </w:tblGrid>
      <w:tr w:rsidR="00453460" w:rsidRPr="0084016E" w14:paraId="539BA6A5" w14:textId="77777777" w:rsidTr="00C36CE1">
        <w:trPr>
          <w:tblHeader/>
        </w:trPr>
        <w:tc>
          <w:tcPr>
            <w:tcW w:w="2106" w:type="dxa"/>
            <w:shd w:val="clear" w:color="auto" w:fill="DBE5F1" w:themeFill="accent1" w:themeFillTint="33"/>
            <w:vAlign w:val="center"/>
          </w:tcPr>
          <w:p w14:paraId="7C3A2756" w14:textId="0CC95350" w:rsidR="00453460" w:rsidRPr="0084016E" w:rsidRDefault="00490C77" w:rsidP="00472DC9">
            <w:pPr>
              <w:pStyle w:val="Tablehead"/>
              <w:rPr>
                <w:sz w:val="20"/>
                <w:lang w:val="fr-FR"/>
              </w:rPr>
            </w:pPr>
            <w:r w:rsidRPr="0084016E">
              <w:rPr>
                <w:sz w:val="20"/>
                <w:lang w:val="fr-FR"/>
              </w:rPr>
              <w:t>Secteur/Domaine</w:t>
            </w:r>
          </w:p>
        </w:tc>
        <w:tc>
          <w:tcPr>
            <w:tcW w:w="1717" w:type="dxa"/>
            <w:shd w:val="clear" w:color="auto" w:fill="DBE5F1" w:themeFill="accent1" w:themeFillTint="33"/>
            <w:vAlign w:val="center"/>
          </w:tcPr>
          <w:p w14:paraId="5E041629" w14:textId="11874ECA" w:rsidR="00453460" w:rsidRPr="0084016E" w:rsidRDefault="00490C77" w:rsidP="00472DC9">
            <w:pPr>
              <w:pStyle w:val="Tablehead"/>
              <w:rPr>
                <w:sz w:val="20"/>
                <w:lang w:val="fr-FR"/>
              </w:rPr>
            </w:pPr>
            <w:r w:rsidRPr="0084016E">
              <w:rPr>
                <w:sz w:val="20"/>
                <w:lang w:val="fr-FR"/>
              </w:rPr>
              <w:t>CE</w:t>
            </w:r>
            <w:r w:rsidR="00453460" w:rsidRPr="0084016E">
              <w:rPr>
                <w:sz w:val="20"/>
                <w:lang w:val="fr-FR"/>
              </w:rPr>
              <w:t xml:space="preserve"> </w:t>
            </w:r>
            <w:r w:rsidRPr="0084016E">
              <w:rPr>
                <w:sz w:val="20"/>
                <w:lang w:val="fr-FR"/>
              </w:rPr>
              <w:t>ou organisation de normalisation</w:t>
            </w:r>
          </w:p>
        </w:tc>
        <w:tc>
          <w:tcPr>
            <w:tcW w:w="2472" w:type="dxa"/>
            <w:shd w:val="clear" w:color="auto" w:fill="DBE5F1" w:themeFill="accent1" w:themeFillTint="33"/>
            <w:vAlign w:val="center"/>
          </w:tcPr>
          <w:p w14:paraId="5DD30FEA" w14:textId="59F85BFC" w:rsidR="00453460" w:rsidRPr="0084016E" w:rsidRDefault="00490C77" w:rsidP="00472DC9">
            <w:pPr>
              <w:pStyle w:val="Tablehead"/>
              <w:rPr>
                <w:sz w:val="20"/>
                <w:lang w:val="fr-FR"/>
              </w:rPr>
            </w:pPr>
            <w:r w:rsidRPr="0084016E">
              <w:rPr>
                <w:sz w:val="20"/>
                <w:lang w:val="fr-FR"/>
              </w:rPr>
              <w:t>Titre du produit</w:t>
            </w:r>
          </w:p>
        </w:tc>
        <w:tc>
          <w:tcPr>
            <w:tcW w:w="3765" w:type="dxa"/>
            <w:shd w:val="clear" w:color="auto" w:fill="DBE5F1" w:themeFill="accent1" w:themeFillTint="33"/>
            <w:vAlign w:val="center"/>
          </w:tcPr>
          <w:p w14:paraId="051668DD" w14:textId="5A0CA309" w:rsidR="00453460" w:rsidRPr="0084016E" w:rsidRDefault="00D7509D" w:rsidP="00472DC9">
            <w:pPr>
              <w:pStyle w:val="Tablehead"/>
              <w:rPr>
                <w:sz w:val="20"/>
                <w:lang w:val="fr-FR"/>
              </w:rPr>
            </w:pPr>
            <w:r w:rsidRPr="0084016E">
              <w:rPr>
                <w:sz w:val="20"/>
                <w:lang w:val="fr-FR"/>
              </w:rPr>
              <w:t xml:space="preserve">Domaine d'application </w:t>
            </w:r>
            <w:r w:rsidR="00A2646C" w:rsidRPr="0084016E">
              <w:rPr>
                <w:sz w:val="20"/>
                <w:lang w:val="fr-FR"/>
              </w:rPr>
              <w:t>du produit</w:t>
            </w:r>
          </w:p>
        </w:tc>
        <w:tc>
          <w:tcPr>
            <w:tcW w:w="1701" w:type="dxa"/>
            <w:shd w:val="clear" w:color="auto" w:fill="DBE5F1" w:themeFill="accent1" w:themeFillTint="33"/>
            <w:vAlign w:val="center"/>
          </w:tcPr>
          <w:p w14:paraId="47C1AC7E" w14:textId="751A4BE4" w:rsidR="00453460" w:rsidRPr="0084016E" w:rsidRDefault="00773C39" w:rsidP="00472DC9">
            <w:pPr>
              <w:pStyle w:val="Tablehead"/>
              <w:rPr>
                <w:sz w:val="20"/>
                <w:lang w:val="fr-FR"/>
              </w:rPr>
            </w:pPr>
            <w:r w:rsidRPr="0084016E">
              <w:rPr>
                <w:sz w:val="20"/>
                <w:lang w:val="fr-FR"/>
              </w:rPr>
              <w:t>Statut actuel</w:t>
            </w:r>
          </w:p>
        </w:tc>
        <w:tc>
          <w:tcPr>
            <w:tcW w:w="2801" w:type="dxa"/>
            <w:shd w:val="clear" w:color="auto" w:fill="DBE5F1" w:themeFill="accent1" w:themeFillTint="33"/>
            <w:vAlign w:val="center"/>
          </w:tcPr>
          <w:p w14:paraId="6C033F2E" w14:textId="74D0DB5A" w:rsidR="00453460" w:rsidRPr="0084016E" w:rsidRDefault="00510918" w:rsidP="00472DC9">
            <w:pPr>
              <w:pStyle w:val="Tablehead"/>
              <w:rPr>
                <w:sz w:val="20"/>
                <w:lang w:val="fr-FR"/>
              </w:rPr>
            </w:pPr>
            <w:r w:rsidRPr="0084016E">
              <w:rPr>
                <w:sz w:val="20"/>
                <w:lang w:val="fr-FR"/>
              </w:rPr>
              <w:t>Référence/URL</w:t>
            </w:r>
          </w:p>
        </w:tc>
      </w:tr>
      <w:tr w:rsidR="00BA266F" w:rsidRPr="0084016E" w14:paraId="10F29ACF" w14:textId="77777777" w:rsidTr="00472DC9">
        <w:trPr>
          <w:trHeight w:val="3000"/>
        </w:trPr>
        <w:tc>
          <w:tcPr>
            <w:tcW w:w="2106" w:type="dxa"/>
            <w:vMerge w:val="restart"/>
          </w:tcPr>
          <w:p w14:paraId="1554E72E" w14:textId="1D57BE4C" w:rsidR="00BA266F" w:rsidRPr="0084016E" w:rsidRDefault="00BA266F" w:rsidP="00C36CE1">
            <w:pPr>
              <w:pStyle w:val="Tabletext"/>
              <w:rPr>
                <w:sz w:val="20"/>
                <w:lang w:val="fr-FR"/>
              </w:rPr>
            </w:pPr>
            <w:r w:rsidRPr="0084016E">
              <w:rPr>
                <w:sz w:val="20"/>
                <w:lang w:val="fr-FR"/>
              </w:rPr>
              <w:t>Radiodiffusion prenant en compte l</w:t>
            </w:r>
            <w:r w:rsidR="009C1307" w:rsidRPr="0084016E">
              <w:rPr>
                <w:sz w:val="20"/>
                <w:lang w:val="fr-FR"/>
              </w:rPr>
              <w:t>'</w:t>
            </w:r>
            <w:r w:rsidRPr="0084016E">
              <w:rPr>
                <w:sz w:val="20"/>
                <w:lang w:val="fr-FR"/>
              </w:rPr>
              <w:t>énergie</w:t>
            </w:r>
          </w:p>
        </w:tc>
        <w:tc>
          <w:tcPr>
            <w:tcW w:w="1717" w:type="dxa"/>
            <w:vMerge w:val="restart"/>
          </w:tcPr>
          <w:p w14:paraId="75357E04" w14:textId="1D7AF798" w:rsidR="00BA266F" w:rsidRPr="0084016E" w:rsidRDefault="00BA266F" w:rsidP="00C36CE1">
            <w:pPr>
              <w:pStyle w:val="Tabletext"/>
              <w:rPr>
                <w:sz w:val="20"/>
                <w:lang w:val="fr-FR"/>
              </w:rPr>
            </w:pPr>
            <w:r w:rsidRPr="0084016E">
              <w:rPr>
                <w:sz w:val="20"/>
                <w:lang w:val="fr-FR"/>
              </w:rPr>
              <w:t>CE 6 de l</w:t>
            </w:r>
            <w:r w:rsidR="009C1307" w:rsidRPr="0084016E">
              <w:rPr>
                <w:sz w:val="20"/>
                <w:lang w:val="fr-FR"/>
              </w:rPr>
              <w:t>'</w:t>
            </w:r>
            <w:r w:rsidRPr="0084016E">
              <w:rPr>
                <w:sz w:val="20"/>
                <w:lang w:val="fr-FR"/>
              </w:rPr>
              <w:t>UIT-R</w:t>
            </w:r>
          </w:p>
        </w:tc>
        <w:tc>
          <w:tcPr>
            <w:tcW w:w="2472" w:type="dxa"/>
          </w:tcPr>
          <w:p w14:paraId="20304309" w14:textId="33022E6A" w:rsidR="00BA266F" w:rsidRPr="0084016E" w:rsidRDefault="006B486A" w:rsidP="00C36CE1">
            <w:pPr>
              <w:pStyle w:val="Tabletext"/>
              <w:rPr>
                <w:sz w:val="20"/>
                <w:lang w:val="fr-FR"/>
              </w:rPr>
            </w:pPr>
            <w:r w:rsidRPr="0084016E">
              <w:rPr>
                <w:sz w:val="20"/>
                <w:lang w:val="fr-FR"/>
              </w:rPr>
              <w:t xml:space="preserve">Question UIT-R </w:t>
            </w:r>
            <w:r w:rsidR="00BA266F" w:rsidRPr="0084016E">
              <w:rPr>
                <w:sz w:val="20"/>
                <w:lang w:val="fr-FR"/>
              </w:rPr>
              <w:t>147/6 «Systèmes de radiodiffusion prenant en compte l</w:t>
            </w:r>
            <w:r w:rsidR="009C1307" w:rsidRPr="0084016E">
              <w:rPr>
                <w:sz w:val="20"/>
                <w:lang w:val="fr-FR"/>
              </w:rPr>
              <w:t>'</w:t>
            </w:r>
            <w:r w:rsidR="00BA266F" w:rsidRPr="0084016E">
              <w:rPr>
                <w:sz w:val="20"/>
                <w:lang w:val="fr-FR"/>
              </w:rPr>
              <w:t>énergie»</w:t>
            </w:r>
          </w:p>
        </w:tc>
        <w:tc>
          <w:tcPr>
            <w:tcW w:w="3765" w:type="dxa"/>
          </w:tcPr>
          <w:p w14:paraId="4E846368" w14:textId="2F00395C" w:rsidR="00F92362" w:rsidRPr="0084016E" w:rsidRDefault="00F92362" w:rsidP="00C36CE1">
            <w:pPr>
              <w:pStyle w:val="Tabletext"/>
              <w:rPr>
                <w:sz w:val="20"/>
                <w:lang w:val="fr-FR"/>
              </w:rPr>
            </w:pPr>
            <w:r w:rsidRPr="0084016E">
              <w:rPr>
                <w:i/>
                <w:iCs/>
                <w:sz w:val="20"/>
                <w:lang w:val="fr-FR"/>
              </w:rPr>
              <w:t>décide</w:t>
            </w:r>
            <w:r w:rsidRPr="0084016E">
              <w:rPr>
                <w:sz w:val="20"/>
                <w:lang w:val="fr-FR"/>
              </w:rPr>
              <w:t xml:space="preserve"> de mettre à l</w:t>
            </w:r>
            <w:r w:rsidR="009C1307" w:rsidRPr="0084016E">
              <w:rPr>
                <w:sz w:val="20"/>
                <w:lang w:val="fr-FR"/>
              </w:rPr>
              <w:t>'</w:t>
            </w:r>
            <w:r w:rsidRPr="0084016E">
              <w:rPr>
                <w:sz w:val="20"/>
                <w:lang w:val="fr-FR"/>
              </w:rPr>
              <w:t>étude les Questions suivantes</w:t>
            </w:r>
            <w:r w:rsidR="00C36CE1" w:rsidRPr="0084016E">
              <w:rPr>
                <w:sz w:val="20"/>
                <w:lang w:val="fr-FR"/>
              </w:rPr>
              <w:t>:</w:t>
            </w:r>
          </w:p>
          <w:p w14:paraId="6BB78D6A" w14:textId="1873372C" w:rsidR="00BA266F" w:rsidRPr="0084016E" w:rsidRDefault="00F92362" w:rsidP="00C36CE1">
            <w:pPr>
              <w:pStyle w:val="Tabletext"/>
              <w:ind w:left="284" w:hanging="284"/>
              <w:rPr>
                <w:sz w:val="20"/>
                <w:lang w:val="fr-FR"/>
              </w:rPr>
            </w:pPr>
            <w:r w:rsidRPr="0084016E">
              <w:rPr>
                <w:sz w:val="20"/>
                <w:lang w:val="fr-FR"/>
              </w:rPr>
              <w:t>1</w:t>
            </w:r>
            <w:r w:rsidR="00C36CE1" w:rsidRPr="0084016E">
              <w:rPr>
                <w:sz w:val="20"/>
                <w:lang w:val="fr-FR"/>
              </w:rPr>
              <w:t>)</w:t>
            </w:r>
            <w:r w:rsidR="00C36CE1" w:rsidRPr="0084016E">
              <w:rPr>
                <w:sz w:val="20"/>
                <w:lang w:val="fr-FR"/>
              </w:rPr>
              <w:tab/>
            </w:r>
            <w:r w:rsidRPr="0084016E">
              <w:rPr>
                <w:sz w:val="20"/>
                <w:lang w:val="fr-FR"/>
              </w:rPr>
              <w:t>Quelles sont les incidences directes des technologies et fonctionnalités utilisées pour la radiodiffusion sur la consommation d</w:t>
            </w:r>
            <w:r w:rsidR="009C1307" w:rsidRPr="0084016E">
              <w:rPr>
                <w:sz w:val="20"/>
                <w:lang w:val="fr-FR"/>
              </w:rPr>
              <w:t>'</w:t>
            </w:r>
            <w:r w:rsidRPr="0084016E">
              <w:rPr>
                <w:sz w:val="20"/>
                <w:lang w:val="fr-FR"/>
              </w:rPr>
              <w:t>énergie?</w:t>
            </w:r>
          </w:p>
          <w:p w14:paraId="7BB91650" w14:textId="1B45382B" w:rsidR="00BA266F" w:rsidRPr="0084016E" w:rsidRDefault="00F92362" w:rsidP="00C36CE1">
            <w:pPr>
              <w:pStyle w:val="Tabletext"/>
              <w:ind w:left="284" w:hanging="284"/>
              <w:rPr>
                <w:sz w:val="20"/>
                <w:lang w:val="fr-FR"/>
              </w:rPr>
            </w:pPr>
            <w:r w:rsidRPr="0084016E">
              <w:rPr>
                <w:sz w:val="20"/>
                <w:lang w:val="fr-FR"/>
              </w:rPr>
              <w:t>2</w:t>
            </w:r>
            <w:r w:rsidR="00C36CE1" w:rsidRPr="0084016E">
              <w:rPr>
                <w:sz w:val="20"/>
                <w:lang w:val="fr-FR"/>
              </w:rPr>
              <w:t>)</w:t>
            </w:r>
            <w:r w:rsidR="00C36CE1" w:rsidRPr="0084016E">
              <w:rPr>
                <w:sz w:val="20"/>
                <w:lang w:val="fr-FR"/>
              </w:rPr>
              <w:tab/>
            </w:r>
            <w:r w:rsidRPr="0084016E">
              <w:rPr>
                <w:sz w:val="20"/>
                <w:lang w:val="fr-FR"/>
              </w:rPr>
              <w:t>Quelles sont les incidences indirectes des services externes utilisés pour la radiodiffusion sur la consommation d</w:t>
            </w:r>
            <w:r w:rsidR="009C1307" w:rsidRPr="0084016E">
              <w:rPr>
                <w:sz w:val="20"/>
                <w:lang w:val="fr-FR"/>
              </w:rPr>
              <w:t>'</w:t>
            </w:r>
            <w:r w:rsidRPr="0084016E">
              <w:rPr>
                <w:sz w:val="20"/>
                <w:lang w:val="fr-FR"/>
              </w:rPr>
              <w:t>énergie globale?</w:t>
            </w:r>
          </w:p>
          <w:p w14:paraId="0699F02E" w14:textId="1686FEFC" w:rsidR="00BA266F" w:rsidRPr="0084016E" w:rsidRDefault="00F92362" w:rsidP="00C36CE1">
            <w:pPr>
              <w:pStyle w:val="Tabletext"/>
              <w:ind w:left="284" w:hanging="284"/>
              <w:rPr>
                <w:sz w:val="20"/>
                <w:lang w:val="fr-FR"/>
              </w:rPr>
            </w:pPr>
            <w:r w:rsidRPr="0084016E">
              <w:rPr>
                <w:sz w:val="20"/>
                <w:lang w:val="fr-FR"/>
              </w:rPr>
              <w:t>3</w:t>
            </w:r>
            <w:r w:rsidR="00C36CE1" w:rsidRPr="0084016E">
              <w:rPr>
                <w:sz w:val="20"/>
                <w:lang w:val="fr-FR"/>
              </w:rPr>
              <w:t>)</w:t>
            </w:r>
            <w:r w:rsidR="00C36CE1" w:rsidRPr="0084016E">
              <w:rPr>
                <w:sz w:val="20"/>
                <w:lang w:val="fr-FR"/>
              </w:rPr>
              <w:tab/>
            </w:r>
            <w:r w:rsidRPr="0084016E">
              <w:rPr>
                <w:sz w:val="20"/>
                <w:lang w:val="fr-FR"/>
              </w:rPr>
              <w:t>Quels paramètres convient-il d</w:t>
            </w:r>
            <w:r w:rsidR="009C1307" w:rsidRPr="0084016E">
              <w:rPr>
                <w:sz w:val="20"/>
                <w:lang w:val="fr-FR"/>
              </w:rPr>
              <w:t>'</w:t>
            </w:r>
            <w:r w:rsidRPr="0084016E">
              <w:rPr>
                <w:sz w:val="20"/>
                <w:lang w:val="fr-FR"/>
              </w:rPr>
              <w:t>utiliser pour quantifier les incidences directes et indirectes sur la consommation d</w:t>
            </w:r>
            <w:r w:rsidR="009C1307" w:rsidRPr="0084016E">
              <w:rPr>
                <w:sz w:val="20"/>
                <w:lang w:val="fr-FR"/>
              </w:rPr>
              <w:t>'</w:t>
            </w:r>
            <w:r w:rsidRPr="0084016E">
              <w:rPr>
                <w:sz w:val="20"/>
                <w:lang w:val="fr-FR"/>
              </w:rPr>
              <w:t>énergie et pour en rendre compte?</w:t>
            </w:r>
          </w:p>
          <w:p w14:paraId="5A9FC497" w14:textId="59E30F0F" w:rsidR="00BA266F" w:rsidRPr="0084016E" w:rsidRDefault="00F92362" w:rsidP="00C36CE1">
            <w:pPr>
              <w:pStyle w:val="Tabletext"/>
              <w:ind w:left="284" w:hanging="284"/>
              <w:rPr>
                <w:sz w:val="20"/>
                <w:lang w:val="fr-FR"/>
              </w:rPr>
            </w:pPr>
            <w:r w:rsidRPr="0084016E">
              <w:rPr>
                <w:sz w:val="20"/>
                <w:lang w:val="fr-FR"/>
              </w:rPr>
              <w:t>4)</w:t>
            </w:r>
            <w:r w:rsidR="00C36CE1" w:rsidRPr="0084016E">
              <w:rPr>
                <w:sz w:val="20"/>
                <w:lang w:val="fr-FR"/>
              </w:rPr>
              <w:tab/>
            </w:r>
            <w:r w:rsidRPr="0084016E">
              <w:rPr>
                <w:sz w:val="20"/>
                <w:lang w:val="fr-FR"/>
              </w:rPr>
              <w:t>Comment améliorer l</w:t>
            </w:r>
            <w:r w:rsidR="009C1307" w:rsidRPr="0084016E">
              <w:rPr>
                <w:sz w:val="20"/>
                <w:lang w:val="fr-FR"/>
              </w:rPr>
              <w:t>'</w:t>
            </w:r>
            <w:r w:rsidRPr="0084016E">
              <w:rPr>
                <w:sz w:val="20"/>
                <w:lang w:val="fr-FR"/>
              </w:rPr>
              <w:t>efficacité énergétique de la radiodiffusion?</w:t>
            </w:r>
          </w:p>
        </w:tc>
        <w:tc>
          <w:tcPr>
            <w:tcW w:w="1701" w:type="dxa"/>
          </w:tcPr>
          <w:p w14:paraId="3E45B151" w14:textId="77777777" w:rsidR="00BA266F" w:rsidRPr="0084016E" w:rsidRDefault="00BA266F" w:rsidP="00C36CE1">
            <w:pPr>
              <w:pStyle w:val="Tabletext"/>
              <w:rPr>
                <w:sz w:val="20"/>
                <w:lang w:val="fr-FR"/>
              </w:rPr>
            </w:pPr>
            <w:r w:rsidRPr="0084016E">
              <w:rPr>
                <w:sz w:val="20"/>
                <w:lang w:val="fr-FR"/>
              </w:rPr>
              <w:t>Publié</w:t>
            </w:r>
          </w:p>
        </w:tc>
        <w:tc>
          <w:tcPr>
            <w:tcW w:w="2801" w:type="dxa"/>
          </w:tcPr>
          <w:p w14:paraId="12B04FD0" w14:textId="6CD840EB" w:rsidR="00BA266F" w:rsidRPr="0084016E" w:rsidRDefault="00C36CE1" w:rsidP="00C36CE1">
            <w:pPr>
              <w:pStyle w:val="Tabletext"/>
              <w:rPr>
                <w:rStyle w:val="Hyperlink"/>
                <w:lang w:val="fr-FR"/>
              </w:rPr>
            </w:pPr>
            <w:hyperlink r:id="rId38" w:history="1">
              <w:r w:rsidRPr="0084016E">
                <w:rPr>
                  <w:rStyle w:val="Hyperlink"/>
                  <w:sz w:val="20"/>
                  <w:szCs w:val="18"/>
                  <w:lang w:val="fr-FR"/>
                </w:rPr>
                <w:t>https://www.itu.int/pub/R-QUE-SG06</w:t>
              </w:r>
              <w:r w:rsidRPr="0084016E">
                <w:rPr>
                  <w:rStyle w:val="Hyperlink"/>
                  <w:sz w:val="20"/>
                  <w:szCs w:val="18"/>
                  <w:lang w:val="fr-FR"/>
                </w:rPr>
                <w:t>.</w:t>
              </w:r>
              <w:r w:rsidRPr="0084016E">
                <w:rPr>
                  <w:rStyle w:val="Hyperlink"/>
                  <w:sz w:val="20"/>
                  <w:szCs w:val="18"/>
                  <w:lang w:val="fr-FR"/>
                </w:rPr>
                <w:t>147</w:t>
              </w:r>
            </w:hyperlink>
          </w:p>
        </w:tc>
      </w:tr>
      <w:tr w:rsidR="00BA266F" w:rsidRPr="0084016E" w14:paraId="0611463C" w14:textId="77777777" w:rsidTr="00472DC9">
        <w:trPr>
          <w:trHeight w:val="776"/>
        </w:trPr>
        <w:tc>
          <w:tcPr>
            <w:tcW w:w="2106" w:type="dxa"/>
            <w:vMerge/>
          </w:tcPr>
          <w:p w14:paraId="4629AC2C" w14:textId="77777777" w:rsidR="00BA266F" w:rsidRPr="0084016E" w:rsidRDefault="00BA266F" w:rsidP="00C36CE1">
            <w:pPr>
              <w:pStyle w:val="Tabletext"/>
              <w:rPr>
                <w:sz w:val="20"/>
                <w:lang w:val="fr-FR"/>
              </w:rPr>
            </w:pPr>
          </w:p>
        </w:tc>
        <w:tc>
          <w:tcPr>
            <w:tcW w:w="1717" w:type="dxa"/>
            <w:vMerge/>
          </w:tcPr>
          <w:p w14:paraId="47BEFDEF" w14:textId="77777777" w:rsidR="00BA266F" w:rsidRPr="0084016E" w:rsidRDefault="00BA266F" w:rsidP="00C36CE1">
            <w:pPr>
              <w:pStyle w:val="Tabletext"/>
              <w:rPr>
                <w:sz w:val="20"/>
                <w:lang w:val="fr-FR"/>
              </w:rPr>
            </w:pPr>
          </w:p>
        </w:tc>
        <w:tc>
          <w:tcPr>
            <w:tcW w:w="2472" w:type="dxa"/>
            <w:vMerge w:val="restart"/>
          </w:tcPr>
          <w:p w14:paraId="05208D86" w14:textId="071DD886" w:rsidR="00BA266F" w:rsidRPr="0084016E" w:rsidRDefault="00E83754" w:rsidP="00C36CE1">
            <w:pPr>
              <w:pStyle w:val="Tabletext"/>
              <w:rPr>
                <w:sz w:val="20"/>
                <w:lang w:val="fr-FR"/>
              </w:rPr>
            </w:pPr>
            <w:r w:rsidRPr="0084016E">
              <w:rPr>
                <w:sz w:val="20"/>
                <w:lang w:val="fr-FR"/>
              </w:rPr>
              <w:t xml:space="preserve">Vœu UIT-R 104 </w:t>
            </w:r>
            <w:r w:rsidRPr="0084016E">
              <w:rPr>
                <w:sz w:val="20"/>
                <w:lang w:val="fr-FR"/>
              </w:rPr>
              <w:br/>
              <w:t>«</w:t>
            </w:r>
            <w:r w:rsidR="00BA266F" w:rsidRPr="0084016E">
              <w:rPr>
                <w:sz w:val="20"/>
                <w:lang w:val="fr-FR"/>
              </w:rPr>
              <w:t>Conseils concernant les stratégies en matière de durabilité comprenant des politiques de compensation des émissions de carbone</w:t>
            </w:r>
            <w:r w:rsidRPr="0084016E">
              <w:rPr>
                <w:sz w:val="20"/>
                <w:lang w:val="fr-FR"/>
              </w:rPr>
              <w:t>»</w:t>
            </w:r>
          </w:p>
        </w:tc>
        <w:tc>
          <w:tcPr>
            <w:tcW w:w="3765" w:type="dxa"/>
            <w:vMerge w:val="restart"/>
          </w:tcPr>
          <w:p w14:paraId="4CE1FD09" w14:textId="55269EE3" w:rsidR="00BA266F" w:rsidRPr="0084016E" w:rsidRDefault="00BA266F" w:rsidP="00C36CE1">
            <w:pPr>
              <w:pStyle w:val="Tabletext"/>
              <w:rPr>
                <w:sz w:val="20"/>
                <w:lang w:val="fr-FR"/>
              </w:rPr>
            </w:pPr>
            <w:r w:rsidRPr="0084016E">
              <w:rPr>
                <w:sz w:val="20"/>
                <w:lang w:val="fr-FR"/>
              </w:rPr>
              <w:t>que les radiodiffuseurs et les organisations s</w:t>
            </w:r>
            <w:r w:rsidR="009C1307" w:rsidRPr="0084016E">
              <w:rPr>
                <w:sz w:val="20"/>
                <w:lang w:val="fr-FR"/>
              </w:rPr>
              <w:t>'</w:t>
            </w:r>
            <w:r w:rsidRPr="0084016E">
              <w:rPr>
                <w:sz w:val="20"/>
                <w:lang w:val="fr-FR"/>
              </w:rPr>
              <w:t xml:space="preserve">occupant de radiodiffusion dans le monde devraient mettre en place des stratégies </w:t>
            </w:r>
            <w:r w:rsidR="00773C39" w:rsidRPr="0084016E">
              <w:rPr>
                <w:sz w:val="20"/>
                <w:lang w:val="fr-FR"/>
              </w:rPr>
              <w:t>en matière de durabilité</w:t>
            </w:r>
            <w:r w:rsidRPr="0084016E">
              <w:rPr>
                <w:sz w:val="20"/>
                <w:lang w:val="fr-FR"/>
              </w:rPr>
              <w:t xml:space="preserve"> </w:t>
            </w:r>
            <w:r w:rsidR="00ED6FD2" w:rsidRPr="0084016E">
              <w:rPr>
                <w:sz w:val="20"/>
                <w:lang w:val="fr-FR"/>
              </w:rPr>
              <w:t xml:space="preserve">robustes </w:t>
            </w:r>
            <w:r w:rsidRPr="0084016E">
              <w:rPr>
                <w:sz w:val="20"/>
                <w:lang w:val="fr-FR"/>
              </w:rPr>
              <w:t>pour parvenir à la neutralité carbone et encourager la mise en œuvre de programmes d</w:t>
            </w:r>
            <w:r w:rsidR="009C1307" w:rsidRPr="0084016E">
              <w:rPr>
                <w:sz w:val="20"/>
                <w:lang w:val="fr-FR"/>
              </w:rPr>
              <w:t>'</w:t>
            </w:r>
            <w:r w:rsidRPr="0084016E">
              <w:rPr>
                <w:sz w:val="20"/>
                <w:lang w:val="fr-FR"/>
              </w:rPr>
              <w:t>efficacité énergétique robustes qui réduisent la consommation d</w:t>
            </w:r>
            <w:r w:rsidR="009C1307" w:rsidRPr="0084016E">
              <w:rPr>
                <w:sz w:val="20"/>
                <w:lang w:val="fr-FR"/>
              </w:rPr>
              <w:t>'</w:t>
            </w:r>
            <w:r w:rsidRPr="0084016E">
              <w:rPr>
                <w:sz w:val="20"/>
                <w:lang w:val="fr-FR"/>
              </w:rPr>
              <w:t>énergie avant d</w:t>
            </w:r>
            <w:r w:rsidR="009C1307" w:rsidRPr="0084016E">
              <w:rPr>
                <w:sz w:val="20"/>
                <w:lang w:val="fr-FR"/>
              </w:rPr>
              <w:t>'</w:t>
            </w:r>
            <w:r w:rsidRPr="0084016E">
              <w:rPr>
                <w:sz w:val="20"/>
                <w:lang w:val="fr-FR"/>
              </w:rPr>
              <w:t>envisager des protocoles de compensation des émissions de carbone en dernier recours</w:t>
            </w:r>
          </w:p>
        </w:tc>
        <w:tc>
          <w:tcPr>
            <w:tcW w:w="1701" w:type="dxa"/>
          </w:tcPr>
          <w:p w14:paraId="14B51452" w14:textId="77777777" w:rsidR="00BA266F" w:rsidRPr="0084016E" w:rsidRDefault="00BA266F" w:rsidP="00C36CE1">
            <w:pPr>
              <w:pStyle w:val="Tabletext"/>
              <w:rPr>
                <w:sz w:val="20"/>
                <w:lang w:val="fr-FR"/>
              </w:rPr>
            </w:pPr>
            <w:r w:rsidRPr="0084016E">
              <w:rPr>
                <w:sz w:val="20"/>
                <w:lang w:val="fr-FR"/>
              </w:rPr>
              <w:t>Publié</w:t>
            </w:r>
          </w:p>
        </w:tc>
        <w:tc>
          <w:tcPr>
            <w:tcW w:w="2801" w:type="dxa"/>
          </w:tcPr>
          <w:p w14:paraId="01D93D4C" w14:textId="16E44372" w:rsidR="00BA266F" w:rsidRPr="0084016E" w:rsidRDefault="00F37240" w:rsidP="00C36CE1">
            <w:pPr>
              <w:pStyle w:val="Tabletext"/>
              <w:rPr>
                <w:rStyle w:val="Hyperlink"/>
                <w:lang w:val="fr-FR"/>
              </w:rPr>
            </w:pPr>
            <w:hyperlink r:id="rId39" w:history="1">
              <w:r w:rsidRPr="0084016E">
                <w:rPr>
                  <w:rStyle w:val="Hyperlink"/>
                  <w:sz w:val="20"/>
                  <w:szCs w:val="18"/>
                  <w:lang w:val="fr-FR"/>
                </w:rPr>
                <w:t>ht</w:t>
              </w:r>
              <w:r w:rsidRPr="0084016E">
                <w:rPr>
                  <w:rStyle w:val="Hyperlink"/>
                  <w:sz w:val="20"/>
                  <w:szCs w:val="18"/>
                  <w:lang w:val="fr-FR"/>
                </w:rPr>
                <w:t>t</w:t>
              </w:r>
              <w:r w:rsidRPr="0084016E">
                <w:rPr>
                  <w:rStyle w:val="Hyperlink"/>
                  <w:sz w:val="20"/>
                  <w:szCs w:val="18"/>
                  <w:lang w:val="fr-FR"/>
                </w:rPr>
                <w:t>ps://www.itu.int/pub/R-OP-R.104</w:t>
              </w:r>
            </w:hyperlink>
          </w:p>
        </w:tc>
      </w:tr>
      <w:tr w:rsidR="00BA266F" w:rsidRPr="0084016E" w14:paraId="71FA6278" w14:textId="77777777" w:rsidTr="00472DC9">
        <w:trPr>
          <w:trHeight w:val="776"/>
        </w:trPr>
        <w:tc>
          <w:tcPr>
            <w:tcW w:w="2106" w:type="dxa"/>
            <w:vMerge/>
          </w:tcPr>
          <w:p w14:paraId="4B396F66" w14:textId="77777777" w:rsidR="00BA266F" w:rsidRPr="0084016E" w:rsidRDefault="00BA266F" w:rsidP="00C36CE1">
            <w:pPr>
              <w:pStyle w:val="Tabletext"/>
              <w:rPr>
                <w:sz w:val="20"/>
                <w:lang w:val="fr-FR"/>
              </w:rPr>
            </w:pPr>
          </w:p>
        </w:tc>
        <w:tc>
          <w:tcPr>
            <w:tcW w:w="1717" w:type="dxa"/>
            <w:vMerge/>
          </w:tcPr>
          <w:p w14:paraId="75738181" w14:textId="77777777" w:rsidR="00BA266F" w:rsidRPr="0084016E" w:rsidRDefault="00BA266F" w:rsidP="00C36CE1">
            <w:pPr>
              <w:pStyle w:val="Tabletext"/>
              <w:rPr>
                <w:sz w:val="20"/>
                <w:lang w:val="fr-FR"/>
              </w:rPr>
            </w:pPr>
          </w:p>
        </w:tc>
        <w:tc>
          <w:tcPr>
            <w:tcW w:w="2472" w:type="dxa"/>
            <w:vMerge/>
          </w:tcPr>
          <w:p w14:paraId="6B3C2FD1" w14:textId="77777777" w:rsidR="00BA266F" w:rsidRPr="0084016E" w:rsidRDefault="00BA266F" w:rsidP="00C36CE1">
            <w:pPr>
              <w:pStyle w:val="Tabletext"/>
              <w:rPr>
                <w:sz w:val="20"/>
                <w:lang w:val="fr-FR"/>
              </w:rPr>
            </w:pPr>
          </w:p>
        </w:tc>
        <w:tc>
          <w:tcPr>
            <w:tcW w:w="3765" w:type="dxa"/>
            <w:vMerge/>
          </w:tcPr>
          <w:p w14:paraId="7F034BCC" w14:textId="77777777" w:rsidR="00BA266F" w:rsidRPr="0084016E" w:rsidRDefault="00BA266F" w:rsidP="00C36CE1">
            <w:pPr>
              <w:pStyle w:val="Tabletext"/>
              <w:rPr>
                <w:sz w:val="20"/>
                <w:lang w:val="fr-FR"/>
              </w:rPr>
            </w:pPr>
          </w:p>
        </w:tc>
        <w:tc>
          <w:tcPr>
            <w:tcW w:w="1701" w:type="dxa"/>
          </w:tcPr>
          <w:p w14:paraId="3C7FE073" w14:textId="75C037B9" w:rsidR="00BA266F" w:rsidRPr="0084016E" w:rsidRDefault="00BA266F" w:rsidP="00C36CE1">
            <w:pPr>
              <w:pStyle w:val="Tabletext"/>
              <w:rPr>
                <w:sz w:val="20"/>
                <w:lang w:val="fr-FR"/>
              </w:rPr>
            </w:pPr>
            <w:r w:rsidRPr="0084016E">
              <w:rPr>
                <w:sz w:val="20"/>
                <w:lang w:val="fr-FR"/>
              </w:rPr>
              <w:t>En cours de révision</w:t>
            </w:r>
          </w:p>
        </w:tc>
        <w:tc>
          <w:tcPr>
            <w:tcW w:w="2801" w:type="dxa"/>
          </w:tcPr>
          <w:p w14:paraId="2D125880" w14:textId="42DA3929" w:rsidR="00CC1CB6" w:rsidRPr="0084016E" w:rsidRDefault="00CC1CB6" w:rsidP="00C36CE1">
            <w:pPr>
              <w:pStyle w:val="Tabletext"/>
              <w:rPr>
                <w:sz w:val="20"/>
                <w:lang w:val="fr-FR"/>
              </w:rPr>
            </w:pPr>
            <w:r w:rsidRPr="0084016E">
              <w:rPr>
                <w:sz w:val="20"/>
                <w:lang w:val="fr-FR"/>
              </w:rPr>
              <w:t>Version du document de travail disponible en annexe du Rapport de la réunion de mars</w:t>
            </w:r>
            <w:r w:rsidR="00F37240" w:rsidRPr="0084016E">
              <w:rPr>
                <w:sz w:val="20"/>
                <w:lang w:val="fr-FR"/>
              </w:rPr>
              <w:t> </w:t>
            </w:r>
            <w:r w:rsidRPr="0084016E">
              <w:rPr>
                <w:sz w:val="20"/>
                <w:lang w:val="fr-FR"/>
              </w:rPr>
              <w:t>2024 du Groupe de travail</w:t>
            </w:r>
            <w:r w:rsidR="00F37240" w:rsidRPr="0084016E">
              <w:rPr>
                <w:sz w:val="20"/>
                <w:lang w:val="fr-FR"/>
              </w:rPr>
              <w:t> </w:t>
            </w:r>
            <w:r w:rsidRPr="0084016E">
              <w:rPr>
                <w:sz w:val="20"/>
                <w:lang w:val="fr-FR"/>
              </w:rPr>
              <w:t>6C</w:t>
            </w:r>
          </w:p>
          <w:p w14:paraId="10D261B0" w14:textId="61B233B5" w:rsidR="00BA266F" w:rsidRPr="0084016E" w:rsidRDefault="00BA266F" w:rsidP="00C36CE1">
            <w:pPr>
              <w:pStyle w:val="Tabletext"/>
              <w:rPr>
                <w:sz w:val="20"/>
                <w:lang w:val="fr-FR"/>
              </w:rPr>
            </w:pPr>
            <w:r w:rsidRPr="0084016E">
              <w:rPr>
                <w:sz w:val="20"/>
                <w:lang w:val="fr-FR"/>
              </w:rPr>
              <w:t xml:space="preserve">Document </w:t>
            </w:r>
            <w:hyperlink r:id="rId40" w:history="1">
              <w:r w:rsidRPr="0084016E">
                <w:rPr>
                  <w:rStyle w:val="Hyperlink"/>
                  <w:sz w:val="20"/>
                  <w:lang w:val="fr-FR"/>
                </w:rPr>
                <w:t>6C/</w:t>
              </w:r>
              <w:r w:rsidRPr="0084016E">
                <w:rPr>
                  <w:rStyle w:val="Hyperlink"/>
                  <w:sz w:val="20"/>
                  <w:lang w:val="fr-FR"/>
                </w:rPr>
                <w:t>7</w:t>
              </w:r>
              <w:r w:rsidRPr="0084016E">
                <w:rPr>
                  <w:rStyle w:val="Hyperlink"/>
                  <w:sz w:val="20"/>
                  <w:lang w:val="fr-FR"/>
                </w:rPr>
                <w:t>7</w:t>
              </w:r>
            </w:hyperlink>
            <w:r w:rsidRPr="0084016E">
              <w:rPr>
                <w:sz w:val="20"/>
                <w:lang w:val="fr-FR"/>
              </w:rPr>
              <w:t xml:space="preserve"> (</w:t>
            </w:r>
            <w:hyperlink r:id="rId41" w:history="1">
              <w:r w:rsidRPr="0084016E">
                <w:rPr>
                  <w:rStyle w:val="Hyperlink"/>
                  <w:sz w:val="20"/>
                  <w:lang w:val="fr-FR"/>
                </w:rPr>
                <w:t>Chapitre</w:t>
              </w:r>
              <w:r w:rsidRPr="0084016E">
                <w:rPr>
                  <w:rStyle w:val="Hyperlink"/>
                  <w:sz w:val="20"/>
                  <w:lang w:val="fr-FR"/>
                </w:rPr>
                <w:t xml:space="preserve"> </w:t>
              </w:r>
              <w:r w:rsidRPr="0084016E">
                <w:rPr>
                  <w:rStyle w:val="Hyperlink"/>
                  <w:sz w:val="20"/>
                  <w:lang w:val="fr-FR"/>
                </w:rPr>
                <w:t>4,</w:t>
              </w:r>
              <w:r w:rsidR="00FA339B" w:rsidRPr="0084016E">
                <w:rPr>
                  <w:rStyle w:val="Hyperlink"/>
                  <w:sz w:val="20"/>
                  <w:lang w:val="fr-FR"/>
                </w:rPr>
                <w:t xml:space="preserve"> </w:t>
              </w:r>
              <w:r w:rsidRPr="0084016E">
                <w:rPr>
                  <w:rStyle w:val="Hyperlink"/>
                  <w:sz w:val="20"/>
                  <w:lang w:val="fr-FR"/>
                </w:rPr>
                <w:t>Annexe 4</w:t>
              </w:r>
              <w:r w:rsidR="00E83754" w:rsidRPr="0084016E">
                <w:rPr>
                  <w:rStyle w:val="Hyperlink"/>
                  <w:sz w:val="20"/>
                  <w:lang w:val="fr-FR"/>
                </w:rPr>
                <w:t>.</w:t>
              </w:r>
              <w:r w:rsidRPr="0084016E">
                <w:rPr>
                  <w:rStyle w:val="Hyperlink"/>
                  <w:sz w:val="20"/>
                  <w:lang w:val="fr-FR"/>
                </w:rPr>
                <w:t>1</w:t>
              </w:r>
            </w:hyperlink>
            <w:r w:rsidRPr="0084016E">
              <w:rPr>
                <w:sz w:val="20"/>
                <w:lang w:val="fr-FR"/>
              </w:rPr>
              <w:t>) (</w:t>
            </w:r>
            <w:r w:rsidR="003170B4" w:rsidRPr="0084016E">
              <w:rPr>
                <w:sz w:val="20"/>
                <w:lang w:val="fr-FR"/>
              </w:rPr>
              <w:t>accès réservé aux titulaires d'un compte TIES</w:t>
            </w:r>
            <w:r w:rsidRPr="0084016E">
              <w:rPr>
                <w:sz w:val="20"/>
                <w:lang w:val="fr-FR"/>
              </w:rPr>
              <w:t>)</w:t>
            </w:r>
          </w:p>
        </w:tc>
      </w:tr>
      <w:tr w:rsidR="00BA266F" w:rsidRPr="0084016E" w14:paraId="4F42A000" w14:textId="77777777" w:rsidTr="00472DC9">
        <w:trPr>
          <w:trHeight w:val="2483"/>
        </w:trPr>
        <w:tc>
          <w:tcPr>
            <w:tcW w:w="2106" w:type="dxa"/>
            <w:vMerge/>
          </w:tcPr>
          <w:p w14:paraId="5FC0130F" w14:textId="77777777" w:rsidR="00BA266F" w:rsidRPr="0084016E" w:rsidRDefault="00BA266F" w:rsidP="00BA266F">
            <w:pPr>
              <w:pStyle w:val="Tabletext"/>
              <w:rPr>
                <w:sz w:val="20"/>
                <w:lang w:val="fr-FR"/>
              </w:rPr>
            </w:pPr>
          </w:p>
        </w:tc>
        <w:tc>
          <w:tcPr>
            <w:tcW w:w="1717" w:type="dxa"/>
            <w:vMerge/>
          </w:tcPr>
          <w:p w14:paraId="66A81E2C" w14:textId="77777777" w:rsidR="00BA266F" w:rsidRPr="0084016E" w:rsidRDefault="00BA266F" w:rsidP="00BA266F">
            <w:pPr>
              <w:pStyle w:val="Tabletext"/>
              <w:rPr>
                <w:sz w:val="20"/>
                <w:lang w:val="fr-FR"/>
              </w:rPr>
            </w:pPr>
          </w:p>
        </w:tc>
        <w:tc>
          <w:tcPr>
            <w:tcW w:w="2472" w:type="dxa"/>
          </w:tcPr>
          <w:p w14:paraId="5A9A78F1" w14:textId="1EFBF7C3" w:rsidR="00BA266F" w:rsidRPr="0084016E" w:rsidRDefault="00BA266F" w:rsidP="00BA266F">
            <w:pPr>
              <w:pStyle w:val="Tabletext"/>
              <w:rPr>
                <w:sz w:val="20"/>
                <w:lang w:val="fr-FR"/>
              </w:rPr>
            </w:pPr>
            <w:r w:rsidRPr="0084016E">
              <w:rPr>
                <w:color w:val="000000"/>
                <w:sz w:val="20"/>
                <w:lang w:val="fr-FR"/>
              </w:rPr>
              <w:t>Rapport UIT-R BT.2385</w:t>
            </w:r>
            <w:r w:rsidR="00D7509D" w:rsidRPr="0084016E">
              <w:rPr>
                <w:color w:val="000000"/>
                <w:sz w:val="20"/>
                <w:lang w:val="fr-FR"/>
              </w:rPr>
              <w:t>-</w:t>
            </w:r>
            <w:r w:rsidRPr="0084016E">
              <w:rPr>
                <w:color w:val="000000"/>
                <w:sz w:val="20"/>
                <w:lang w:val="fr-FR"/>
              </w:rPr>
              <w:t xml:space="preserve">1 </w:t>
            </w:r>
            <w:r w:rsidR="00D7509D" w:rsidRPr="0084016E">
              <w:rPr>
                <w:color w:val="000000"/>
                <w:sz w:val="20"/>
                <w:lang w:val="fr-FR"/>
              </w:rPr>
              <w:t>«</w:t>
            </w:r>
            <w:r w:rsidRPr="0084016E">
              <w:rPr>
                <w:color w:val="000000"/>
                <w:sz w:val="20"/>
                <w:lang w:val="fr-FR"/>
              </w:rPr>
              <w:t>Réduire l</w:t>
            </w:r>
            <w:r w:rsidR="009C1307" w:rsidRPr="0084016E">
              <w:rPr>
                <w:color w:val="000000"/>
                <w:sz w:val="20"/>
                <w:lang w:val="fr-FR"/>
              </w:rPr>
              <w:t>'</w:t>
            </w:r>
            <w:r w:rsidRPr="0084016E">
              <w:rPr>
                <w:color w:val="000000"/>
                <w:sz w:val="20"/>
                <w:lang w:val="fr-FR"/>
              </w:rPr>
              <w:t>impact environnemental des systèmes de radiodiffusion de Terre</w:t>
            </w:r>
            <w:r w:rsidR="00D7509D" w:rsidRPr="0084016E">
              <w:rPr>
                <w:color w:val="000000"/>
                <w:sz w:val="20"/>
                <w:lang w:val="fr-FR"/>
              </w:rPr>
              <w:t>»</w:t>
            </w:r>
          </w:p>
        </w:tc>
        <w:tc>
          <w:tcPr>
            <w:tcW w:w="3765" w:type="dxa"/>
          </w:tcPr>
          <w:p w14:paraId="731E9229" w14:textId="3C5D89C1" w:rsidR="00BA266F" w:rsidRPr="0084016E" w:rsidRDefault="00BA266F" w:rsidP="00BA266F">
            <w:pPr>
              <w:pStyle w:val="Tabletext"/>
              <w:rPr>
                <w:sz w:val="20"/>
                <w:lang w:val="fr-FR"/>
              </w:rPr>
            </w:pPr>
            <w:r w:rsidRPr="0084016E">
              <w:rPr>
                <w:color w:val="000000"/>
                <w:sz w:val="20"/>
                <w:lang w:val="fr-FR"/>
              </w:rPr>
              <w:t>Ce rapport propose une méthodologie d</w:t>
            </w:r>
            <w:r w:rsidR="009C1307" w:rsidRPr="0084016E">
              <w:rPr>
                <w:color w:val="000000"/>
                <w:sz w:val="20"/>
                <w:lang w:val="fr-FR"/>
              </w:rPr>
              <w:t>'</w:t>
            </w:r>
            <w:r w:rsidRPr="0084016E">
              <w:rPr>
                <w:color w:val="000000"/>
                <w:sz w:val="20"/>
                <w:lang w:val="fr-FR"/>
              </w:rPr>
              <w:t>analyse du cycle de vie pour évaluer l</w:t>
            </w:r>
            <w:r w:rsidR="009C1307" w:rsidRPr="0084016E">
              <w:rPr>
                <w:color w:val="000000"/>
                <w:sz w:val="20"/>
                <w:lang w:val="fr-FR"/>
              </w:rPr>
              <w:t>'</w:t>
            </w:r>
            <w:r w:rsidRPr="0084016E">
              <w:rPr>
                <w:color w:val="000000"/>
                <w:sz w:val="20"/>
                <w:lang w:val="fr-FR"/>
              </w:rPr>
              <w:t>impact environnemental de la radiodiffusion. Il contient également des études de cas de radiodiffuseurs qui expliquent comment ils pourraient réduire l</w:t>
            </w:r>
            <w:r w:rsidR="009C1307" w:rsidRPr="0084016E">
              <w:rPr>
                <w:color w:val="000000"/>
                <w:sz w:val="20"/>
                <w:lang w:val="fr-FR"/>
              </w:rPr>
              <w:t>'</w:t>
            </w:r>
            <w:r w:rsidRPr="0084016E">
              <w:rPr>
                <w:color w:val="000000"/>
                <w:sz w:val="20"/>
                <w:lang w:val="fr-FR"/>
              </w:rPr>
              <w:t>impact environnemental de leurs activités.</w:t>
            </w:r>
          </w:p>
        </w:tc>
        <w:tc>
          <w:tcPr>
            <w:tcW w:w="1701" w:type="dxa"/>
          </w:tcPr>
          <w:p w14:paraId="76DA1C36" w14:textId="77777777" w:rsidR="00BA266F" w:rsidRPr="0084016E" w:rsidRDefault="00BA266F" w:rsidP="00BA266F">
            <w:pPr>
              <w:pStyle w:val="Tabletext"/>
              <w:rPr>
                <w:sz w:val="20"/>
                <w:lang w:val="fr-FR"/>
              </w:rPr>
            </w:pPr>
            <w:r w:rsidRPr="0084016E">
              <w:rPr>
                <w:color w:val="000000"/>
                <w:sz w:val="20"/>
                <w:lang w:val="fr-FR"/>
              </w:rPr>
              <w:t>Publié</w:t>
            </w:r>
          </w:p>
        </w:tc>
        <w:tc>
          <w:tcPr>
            <w:tcW w:w="2801" w:type="dxa"/>
          </w:tcPr>
          <w:p w14:paraId="2879446C" w14:textId="228BC10D" w:rsidR="00BA266F" w:rsidRPr="0084016E" w:rsidRDefault="00F37240" w:rsidP="00BA266F">
            <w:pPr>
              <w:pStyle w:val="Tabletext"/>
              <w:rPr>
                <w:rStyle w:val="Hyperlink"/>
                <w:lang w:val="fr-FR"/>
              </w:rPr>
            </w:pPr>
            <w:hyperlink r:id="rId42" w:history="1">
              <w:r w:rsidRPr="0084016E">
                <w:rPr>
                  <w:rStyle w:val="Hyperlink"/>
                  <w:sz w:val="20"/>
                  <w:szCs w:val="18"/>
                  <w:lang w:val="fr-FR"/>
                </w:rPr>
                <w:t>https://www.it</w:t>
              </w:r>
              <w:r w:rsidRPr="0084016E">
                <w:rPr>
                  <w:rStyle w:val="Hyperlink"/>
                  <w:sz w:val="20"/>
                  <w:szCs w:val="18"/>
                  <w:lang w:val="fr-FR"/>
                </w:rPr>
                <w:t>u</w:t>
              </w:r>
              <w:r w:rsidRPr="0084016E">
                <w:rPr>
                  <w:rStyle w:val="Hyperlink"/>
                  <w:sz w:val="20"/>
                  <w:szCs w:val="18"/>
                  <w:lang w:val="fr-FR"/>
                </w:rPr>
                <w:t>.int/pub/R-REP-BT.2385-1-2022</w:t>
              </w:r>
            </w:hyperlink>
          </w:p>
        </w:tc>
      </w:tr>
      <w:tr w:rsidR="00BA266F" w:rsidRPr="0084016E" w14:paraId="438076CD" w14:textId="77777777" w:rsidTr="00472DC9">
        <w:trPr>
          <w:trHeight w:val="2483"/>
        </w:trPr>
        <w:tc>
          <w:tcPr>
            <w:tcW w:w="2106" w:type="dxa"/>
            <w:vMerge/>
          </w:tcPr>
          <w:p w14:paraId="4A0105C1" w14:textId="77777777" w:rsidR="00BA266F" w:rsidRPr="0084016E" w:rsidRDefault="00BA266F" w:rsidP="00BA266F">
            <w:pPr>
              <w:pStyle w:val="Tabletext"/>
              <w:rPr>
                <w:sz w:val="20"/>
                <w:lang w:val="fr-FR"/>
              </w:rPr>
            </w:pPr>
          </w:p>
        </w:tc>
        <w:tc>
          <w:tcPr>
            <w:tcW w:w="1717" w:type="dxa"/>
            <w:vMerge/>
          </w:tcPr>
          <w:p w14:paraId="24468A37" w14:textId="77777777" w:rsidR="00BA266F" w:rsidRPr="0084016E" w:rsidRDefault="00BA266F" w:rsidP="00BA266F">
            <w:pPr>
              <w:pStyle w:val="Tabletext"/>
              <w:rPr>
                <w:sz w:val="20"/>
                <w:lang w:val="fr-FR"/>
              </w:rPr>
            </w:pPr>
          </w:p>
        </w:tc>
        <w:tc>
          <w:tcPr>
            <w:tcW w:w="2472" w:type="dxa"/>
          </w:tcPr>
          <w:p w14:paraId="4131364C" w14:textId="1ADCAD95" w:rsidR="00BA266F" w:rsidRPr="0084016E" w:rsidRDefault="00BA266F" w:rsidP="00502F6E">
            <w:pPr>
              <w:pStyle w:val="Tabletext"/>
              <w:rPr>
                <w:sz w:val="20"/>
                <w:lang w:val="fr-FR"/>
              </w:rPr>
            </w:pPr>
            <w:r w:rsidRPr="0084016E">
              <w:rPr>
                <w:color w:val="000000"/>
                <w:sz w:val="20"/>
                <w:lang w:val="fr-FR"/>
              </w:rPr>
              <w:t>Rapport UIT-R BT.2521</w:t>
            </w:r>
            <w:r w:rsidR="00BE7EDE" w:rsidRPr="0084016E">
              <w:rPr>
                <w:color w:val="000000"/>
                <w:sz w:val="20"/>
                <w:lang w:val="fr-FR"/>
              </w:rPr>
              <w:t>-1</w:t>
            </w:r>
            <w:r w:rsidR="00502F6E" w:rsidRPr="0084016E">
              <w:rPr>
                <w:color w:val="000000"/>
                <w:sz w:val="20"/>
                <w:lang w:val="fr-FR"/>
              </w:rPr>
              <w:br/>
            </w:r>
            <w:r w:rsidRPr="0084016E">
              <w:rPr>
                <w:color w:val="000000"/>
                <w:sz w:val="20"/>
                <w:lang w:val="fr-FR"/>
              </w:rPr>
              <w:t>«Exemples concrets de mesures permettant de mettre en œuvre la radiodiffusion prenant en compte l</w:t>
            </w:r>
            <w:r w:rsidR="009C1307" w:rsidRPr="0084016E">
              <w:rPr>
                <w:color w:val="000000"/>
                <w:sz w:val="20"/>
                <w:lang w:val="fr-FR"/>
              </w:rPr>
              <w:t>'</w:t>
            </w:r>
            <w:r w:rsidRPr="0084016E">
              <w:rPr>
                <w:color w:val="000000"/>
                <w:sz w:val="20"/>
                <w:lang w:val="fr-FR"/>
              </w:rPr>
              <w:t>énergie»</w:t>
            </w:r>
          </w:p>
        </w:tc>
        <w:tc>
          <w:tcPr>
            <w:tcW w:w="3765" w:type="dxa"/>
          </w:tcPr>
          <w:p w14:paraId="17FCE50B" w14:textId="20E169DC" w:rsidR="00BA266F" w:rsidRPr="0084016E" w:rsidRDefault="00BE7EDE" w:rsidP="00BA266F">
            <w:pPr>
              <w:pStyle w:val="Tabletext"/>
              <w:rPr>
                <w:sz w:val="20"/>
                <w:lang w:val="fr-FR"/>
              </w:rPr>
            </w:pPr>
            <w:r w:rsidRPr="0084016E">
              <w:rPr>
                <w:color w:val="000000"/>
                <w:sz w:val="20"/>
                <w:lang w:val="fr-FR"/>
              </w:rPr>
              <w:t xml:space="preserve">Ce rapport vise à </w:t>
            </w:r>
            <w:r w:rsidR="00BA266F" w:rsidRPr="0084016E">
              <w:rPr>
                <w:color w:val="000000"/>
                <w:sz w:val="20"/>
                <w:lang w:val="fr-FR"/>
              </w:rPr>
              <w:t>aider les radiodiffuseurs et les organisations de radiodiffusion à mettre en œuvre des stratégies en matière de durabilité et à évaluer et limiter leurs incidences sur l</w:t>
            </w:r>
            <w:r w:rsidR="009C1307" w:rsidRPr="0084016E">
              <w:rPr>
                <w:color w:val="000000"/>
                <w:sz w:val="20"/>
                <w:lang w:val="fr-FR"/>
              </w:rPr>
              <w:t>'</w:t>
            </w:r>
            <w:r w:rsidR="00BA266F" w:rsidRPr="0084016E">
              <w:rPr>
                <w:color w:val="000000"/>
                <w:sz w:val="20"/>
                <w:lang w:val="fr-FR"/>
              </w:rPr>
              <w:t>environnement.</w:t>
            </w:r>
          </w:p>
        </w:tc>
        <w:tc>
          <w:tcPr>
            <w:tcW w:w="1701" w:type="dxa"/>
          </w:tcPr>
          <w:p w14:paraId="5BEB8BE5" w14:textId="77777777" w:rsidR="00BA266F" w:rsidRPr="0084016E" w:rsidRDefault="00BA266F" w:rsidP="00BA266F">
            <w:pPr>
              <w:pStyle w:val="Tabletext"/>
              <w:rPr>
                <w:sz w:val="20"/>
                <w:lang w:val="fr-FR"/>
              </w:rPr>
            </w:pPr>
            <w:r w:rsidRPr="0084016E">
              <w:rPr>
                <w:color w:val="000000"/>
                <w:sz w:val="20"/>
                <w:lang w:val="fr-FR"/>
              </w:rPr>
              <w:t>Publié</w:t>
            </w:r>
          </w:p>
        </w:tc>
        <w:tc>
          <w:tcPr>
            <w:tcW w:w="2801" w:type="dxa"/>
          </w:tcPr>
          <w:p w14:paraId="7662B32B" w14:textId="7B4B3160" w:rsidR="00BA266F" w:rsidRPr="0084016E" w:rsidRDefault="00F37240" w:rsidP="00BA266F">
            <w:pPr>
              <w:pStyle w:val="Tabletext"/>
              <w:rPr>
                <w:rStyle w:val="Hyperlink"/>
                <w:lang w:val="fr-FR"/>
              </w:rPr>
            </w:pPr>
            <w:hyperlink r:id="rId43" w:history="1">
              <w:r w:rsidRPr="0084016E">
                <w:rPr>
                  <w:rStyle w:val="Hyperlink"/>
                  <w:sz w:val="20"/>
                  <w:szCs w:val="18"/>
                  <w:lang w:val="fr-FR"/>
                </w:rPr>
                <w:t>https://www.itu.int/pub/R-REP-BT.2</w:t>
              </w:r>
              <w:r w:rsidRPr="0084016E">
                <w:rPr>
                  <w:rStyle w:val="Hyperlink"/>
                  <w:sz w:val="20"/>
                  <w:szCs w:val="18"/>
                  <w:lang w:val="fr-FR"/>
                </w:rPr>
                <w:t>5</w:t>
              </w:r>
              <w:r w:rsidRPr="0084016E">
                <w:rPr>
                  <w:rStyle w:val="Hyperlink"/>
                  <w:sz w:val="20"/>
                  <w:szCs w:val="18"/>
                  <w:lang w:val="fr-FR"/>
                </w:rPr>
                <w:t>21</w:t>
              </w:r>
            </w:hyperlink>
          </w:p>
        </w:tc>
      </w:tr>
      <w:tr w:rsidR="00BA266F" w:rsidRPr="0084016E" w14:paraId="6DB90ADD" w14:textId="77777777" w:rsidTr="00472DC9">
        <w:trPr>
          <w:trHeight w:val="2483"/>
        </w:trPr>
        <w:tc>
          <w:tcPr>
            <w:tcW w:w="2106" w:type="dxa"/>
            <w:vMerge/>
          </w:tcPr>
          <w:p w14:paraId="325A6BD1" w14:textId="77777777" w:rsidR="00BA266F" w:rsidRPr="0084016E" w:rsidRDefault="00BA266F" w:rsidP="00BA266F">
            <w:pPr>
              <w:pStyle w:val="Tabletext"/>
              <w:rPr>
                <w:sz w:val="20"/>
                <w:lang w:val="fr-FR"/>
              </w:rPr>
            </w:pPr>
          </w:p>
        </w:tc>
        <w:tc>
          <w:tcPr>
            <w:tcW w:w="1717" w:type="dxa"/>
            <w:vMerge/>
          </w:tcPr>
          <w:p w14:paraId="51E7067E" w14:textId="77777777" w:rsidR="00BA266F" w:rsidRPr="0084016E" w:rsidRDefault="00BA266F" w:rsidP="00BA266F">
            <w:pPr>
              <w:pStyle w:val="Tabletext"/>
              <w:rPr>
                <w:sz w:val="20"/>
                <w:lang w:val="fr-FR"/>
              </w:rPr>
            </w:pPr>
          </w:p>
        </w:tc>
        <w:tc>
          <w:tcPr>
            <w:tcW w:w="2472" w:type="dxa"/>
          </w:tcPr>
          <w:p w14:paraId="26F0FA40" w14:textId="4728BFEF" w:rsidR="00BA266F" w:rsidRPr="0084016E" w:rsidRDefault="00BA266F" w:rsidP="00BA266F">
            <w:pPr>
              <w:pStyle w:val="Tabletext"/>
              <w:rPr>
                <w:sz w:val="20"/>
                <w:lang w:val="fr-FR"/>
              </w:rPr>
            </w:pPr>
            <w:r w:rsidRPr="0084016E">
              <w:rPr>
                <w:color w:val="000000"/>
                <w:sz w:val="20"/>
                <w:lang w:val="fr-FR"/>
              </w:rPr>
              <w:t>Rapport UIT-R BT.2540-0 «Réduction de l</w:t>
            </w:r>
            <w:r w:rsidR="009C1307" w:rsidRPr="0084016E">
              <w:rPr>
                <w:color w:val="000000"/>
                <w:sz w:val="20"/>
                <w:lang w:val="fr-FR"/>
              </w:rPr>
              <w:t>'</w:t>
            </w:r>
            <w:r w:rsidRPr="0084016E">
              <w:rPr>
                <w:color w:val="000000"/>
                <w:sz w:val="20"/>
                <w:lang w:val="fr-FR"/>
              </w:rPr>
              <w:t>énergie d</w:t>
            </w:r>
            <w:r w:rsidR="009C1307" w:rsidRPr="0084016E">
              <w:rPr>
                <w:color w:val="000000"/>
                <w:sz w:val="20"/>
                <w:lang w:val="fr-FR"/>
              </w:rPr>
              <w:t>'</w:t>
            </w:r>
            <w:r w:rsidRPr="0084016E">
              <w:rPr>
                <w:color w:val="000000"/>
                <w:sz w:val="20"/>
                <w:lang w:val="fr-FR"/>
              </w:rPr>
              <w:t>affichage grâce au traitement du signal d</w:t>
            </w:r>
            <w:r w:rsidR="009C1307" w:rsidRPr="0084016E">
              <w:rPr>
                <w:color w:val="000000"/>
                <w:sz w:val="20"/>
                <w:lang w:val="fr-FR"/>
              </w:rPr>
              <w:t>'</w:t>
            </w:r>
            <w:r w:rsidRPr="0084016E">
              <w:rPr>
                <w:color w:val="000000"/>
                <w:sz w:val="20"/>
                <w:lang w:val="fr-FR"/>
              </w:rPr>
              <w:t>image»</w:t>
            </w:r>
          </w:p>
        </w:tc>
        <w:tc>
          <w:tcPr>
            <w:tcW w:w="3765" w:type="dxa"/>
          </w:tcPr>
          <w:p w14:paraId="0CC13751" w14:textId="62557668" w:rsidR="00BA266F" w:rsidRPr="0084016E" w:rsidRDefault="00BA266F" w:rsidP="00BA266F">
            <w:pPr>
              <w:pStyle w:val="Tabletext"/>
              <w:rPr>
                <w:sz w:val="20"/>
                <w:lang w:val="fr-FR"/>
              </w:rPr>
            </w:pPr>
            <w:r w:rsidRPr="0084016E">
              <w:rPr>
                <w:color w:val="000000"/>
                <w:sz w:val="20"/>
                <w:lang w:val="fr-FR"/>
              </w:rPr>
              <w:t xml:space="preserve">Les technologies de radiodiffusion et de </w:t>
            </w:r>
            <w:r w:rsidR="00995EFF" w:rsidRPr="0084016E">
              <w:rPr>
                <w:color w:val="000000"/>
                <w:sz w:val="20"/>
                <w:lang w:val="fr-FR"/>
              </w:rPr>
              <w:t xml:space="preserve">diffusion en continu </w:t>
            </w:r>
            <w:r w:rsidRPr="0084016E">
              <w:rPr>
                <w:color w:val="000000"/>
                <w:sz w:val="20"/>
                <w:lang w:val="fr-FR"/>
              </w:rPr>
              <w:t xml:space="preserve">entraînent un coût énergétique qui est </w:t>
            </w:r>
            <w:r w:rsidR="00E271C9" w:rsidRPr="0084016E">
              <w:rPr>
                <w:color w:val="000000"/>
                <w:sz w:val="20"/>
                <w:lang w:val="fr-FR"/>
              </w:rPr>
              <w:t>réparti</w:t>
            </w:r>
            <w:r w:rsidRPr="0084016E">
              <w:rPr>
                <w:color w:val="000000"/>
                <w:sz w:val="20"/>
                <w:lang w:val="fr-FR"/>
              </w:rPr>
              <w:t xml:space="preserve"> sur </w:t>
            </w:r>
            <w:r w:rsidR="00E271C9" w:rsidRPr="0084016E">
              <w:rPr>
                <w:color w:val="000000"/>
                <w:sz w:val="20"/>
                <w:lang w:val="fr-FR"/>
              </w:rPr>
              <w:t>l'ensemble de la</w:t>
            </w:r>
            <w:r w:rsidRPr="0084016E">
              <w:rPr>
                <w:color w:val="000000"/>
                <w:sz w:val="20"/>
                <w:lang w:val="fr-FR"/>
              </w:rPr>
              <w:t xml:space="preserve"> chaîne de transmission, de la production à la distribution/transmission et </w:t>
            </w:r>
            <w:r w:rsidR="00A4757D" w:rsidRPr="0084016E">
              <w:rPr>
                <w:color w:val="000000"/>
                <w:sz w:val="20"/>
                <w:lang w:val="fr-FR"/>
              </w:rPr>
              <w:t>au visionnage, au bout du compte,</w:t>
            </w:r>
            <w:r w:rsidRPr="0084016E">
              <w:rPr>
                <w:color w:val="000000"/>
                <w:sz w:val="20"/>
                <w:lang w:val="fr-FR"/>
              </w:rPr>
              <w:t xml:space="preserve"> par le consommateur. Les écrans de télévision, considérés à l</w:t>
            </w:r>
            <w:r w:rsidR="009C1307" w:rsidRPr="0084016E">
              <w:rPr>
                <w:color w:val="000000"/>
                <w:sz w:val="20"/>
                <w:lang w:val="fr-FR"/>
              </w:rPr>
              <w:t>'</w:t>
            </w:r>
            <w:r w:rsidRPr="0084016E">
              <w:rPr>
                <w:color w:val="000000"/>
                <w:sz w:val="20"/>
                <w:lang w:val="fr-FR"/>
              </w:rPr>
              <w:t>échelle mondiale, consomment une part relativement importante de cette énergie. Cette consommation d</w:t>
            </w:r>
            <w:r w:rsidR="009C1307" w:rsidRPr="0084016E">
              <w:rPr>
                <w:color w:val="000000"/>
                <w:sz w:val="20"/>
                <w:lang w:val="fr-FR"/>
              </w:rPr>
              <w:t>'</w:t>
            </w:r>
            <w:r w:rsidRPr="0084016E">
              <w:rPr>
                <w:color w:val="000000"/>
                <w:sz w:val="20"/>
                <w:lang w:val="fr-FR"/>
              </w:rPr>
              <w:t xml:space="preserve">énergie peut être réduite par le traitement </w:t>
            </w:r>
            <w:r w:rsidR="00225B94" w:rsidRPr="0084016E">
              <w:rPr>
                <w:color w:val="000000"/>
                <w:sz w:val="20"/>
                <w:lang w:val="fr-FR"/>
              </w:rPr>
              <w:t xml:space="preserve">adaptatif </w:t>
            </w:r>
            <w:r w:rsidRPr="0084016E">
              <w:rPr>
                <w:color w:val="000000"/>
                <w:sz w:val="20"/>
                <w:lang w:val="fr-FR"/>
              </w:rPr>
              <w:t>du signal d</w:t>
            </w:r>
            <w:r w:rsidR="009C1307" w:rsidRPr="0084016E">
              <w:rPr>
                <w:color w:val="000000"/>
                <w:sz w:val="20"/>
                <w:lang w:val="fr-FR"/>
              </w:rPr>
              <w:t>'</w:t>
            </w:r>
            <w:r w:rsidRPr="0084016E">
              <w:rPr>
                <w:color w:val="000000"/>
                <w:sz w:val="20"/>
                <w:lang w:val="fr-FR"/>
              </w:rPr>
              <w:t>image</w:t>
            </w:r>
            <w:r w:rsidR="00C17973" w:rsidRPr="0084016E">
              <w:rPr>
                <w:color w:val="000000"/>
                <w:sz w:val="20"/>
                <w:lang w:val="fr-FR"/>
              </w:rPr>
              <w:t xml:space="preserve"> en fonction du contenu,</w:t>
            </w:r>
            <w:r w:rsidRPr="0084016E">
              <w:rPr>
                <w:color w:val="000000"/>
                <w:sz w:val="20"/>
                <w:lang w:val="fr-FR"/>
              </w:rPr>
              <w:t xml:space="preserve"> tout en </w:t>
            </w:r>
            <w:r w:rsidR="00ED6FD2" w:rsidRPr="0084016E">
              <w:rPr>
                <w:color w:val="000000"/>
                <w:sz w:val="20"/>
                <w:lang w:val="fr-FR"/>
              </w:rPr>
              <w:t>atténuant</w:t>
            </w:r>
            <w:r w:rsidR="00225B94" w:rsidRPr="0084016E">
              <w:rPr>
                <w:color w:val="000000"/>
                <w:sz w:val="20"/>
                <w:lang w:val="fr-FR"/>
              </w:rPr>
              <w:t xml:space="preserve"> autant que possible les incidences</w:t>
            </w:r>
            <w:r w:rsidRPr="0084016E">
              <w:rPr>
                <w:color w:val="000000"/>
                <w:sz w:val="20"/>
                <w:lang w:val="fr-FR"/>
              </w:rPr>
              <w:t xml:space="preserve"> sur la qualité visuelle. </w:t>
            </w:r>
            <w:r w:rsidR="00C06FAD" w:rsidRPr="0084016E">
              <w:rPr>
                <w:color w:val="000000"/>
                <w:sz w:val="20"/>
                <w:lang w:val="fr-FR"/>
              </w:rPr>
              <w:t>Le rapport dont il est question</w:t>
            </w:r>
            <w:r w:rsidRPr="0084016E">
              <w:rPr>
                <w:color w:val="000000"/>
                <w:sz w:val="20"/>
                <w:lang w:val="fr-FR"/>
              </w:rPr>
              <w:t xml:space="preserve"> décrit ces techniques.</w:t>
            </w:r>
          </w:p>
        </w:tc>
        <w:tc>
          <w:tcPr>
            <w:tcW w:w="1701" w:type="dxa"/>
          </w:tcPr>
          <w:p w14:paraId="13F900AF" w14:textId="2F7D66F1" w:rsidR="00BA266F" w:rsidRPr="0084016E" w:rsidRDefault="00C47E4E" w:rsidP="00BA266F">
            <w:pPr>
              <w:pStyle w:val="Tabletext"/>
              <w:rPr>
                <w:sz w:val="20"/>
                <w:lang w:val="fr-FR"/>
              </w:rPr>
            </w:pPr>
            <w:r w:rsidRPr="0084016E">
              <w:rPr>
                <w:color w:val="000000"/>
                <w:sz w:val="20"/>
                <w:lang w:val="fr-FR"/>
              </w:rPr>
              <w:t>Publié</w:t>
            </w:r>
          </w:p>
        </w:tc>
        <w:tc>
          <w:tcPr>
            <w:tcW w:w="2801" w:type="dxa"/>
          </w:tcPr>
          <w:p w14:paraId="44578C95" w14:textId="60454843" w:rsidR="00BA266F" w:rsidRPr="0084016E" w:rsidRDefault="003D0977" w:rsidP="00BA266F">
            <w:pPr>
              <w:pStyle w:val="Tabletext"/>
              <w:rPr>
                <w:rStyle w:val="Hyperlink"/>
                <w:lang w:val="fr-FR"/>
              </w:rPr>
            </w:pPr>
            <w:hyperlink r:id="rId44" w:history="1">
              <w:r w:rsidRPr="0084016E">
                <w:rPr>
                  <w:rStyle w:val="Hyperlink"/>
                  <w:sz w:val="20"/>
                  <w:szCs w:val="18"/>
                  <w:lang w:val="fr-FR"/>
                </w:rPr>
                <w:t>https://www.itu.int/pub/R-REP-BT.254</w:t>
              </w:r>
              <w:r w:rsidRPr="0084016E">
                <w:rPr>
                  <w:rStyle w:val="Hyperlink"/>
                  <w:sz w:val="20"/>
                  <w:szCs w:val="18"/>
                  <w:lang w:val="fr-FR"/>
                </w:rPr>
                <w:t>0</w:t>
              </w:r>
            </w:hyperlink>
          </w:p>
        </w:tc>
      </w:tr>
      <w:tr w:rsidR="00BA266F" w:rsidRPr="0084016E" w14:paraId="7E8D2279" w14:textId="77777777" w:rsidTr="00472DC9">
        <w:trPr>
          <w:trHeight w:val="2483"/>
        </w:trPr>
        <w:tc>
          <w:tcPr>
            <w:tcW w:w="2106" w:type="dxa"/>
            <w:vMerge w:val="restart"/>
          </w:tcPr>
          <w:p w14:paraId="6EE2BF36" w14:textId="77777777" w:rsidR="00BA266F" w:rsidRPr="0084016E" w:rsidRDefault="00BA266F" w:rsidP="00BA266F">
            <w:pPr>
              <w:pStyle w:val="Tabletext"/>
              <w:rPr>
                <w:sz w:val="20"/>
                <w:lang w:val="fr-FR"/>
              </w:rPr>
            </w:pPr>
          </w:p>
        </w:tc>
        <w:tc>
          <w:tcPr>
            <w:tcW w:w="1717" w:type="dxa"/>
            <w:vMerge w:val="restart"/>
          </w:tcPr>
          <w:p w14:paraId="0BCE6F6F" w14:textId="77777777" w:rsidR="00BA266F" w:rsidRPr="0084016E" w:rsidRDefault="00BA266F" w:rsidP="00BA266F">
            <w:pPr>
              <w:pStyle w:val="Tabletext"/>
              <w:rPr>
                <w:sz w:val="20"/>
                <w:lang w:val="fr-FR"/>
              </w:rPr>
            </w:pPr>
          </w:p>
        </w:tc>
        <w:tc>
          <w:tcPr>
            <w:tcW w:w="2472" w:type="dxa"/>
          </w:tcPr>
          <w:p w14:paraId="0995AFB2" w14:textId="72209041" w:rsidR="00BA266F" w:rsidRPr="0084016E" w:rsidRDefault="00A4757D" w:rsidP="00BA266F">
            <w:pPr>
              <w:pStyle w:val="Tabletext"/>
              <w:rPr>
                <w:sz w:val="20"/>
                <w:lang w:val="fr-FR"/>
              </w:rPr>
            </w:pPr>
            <w:r w:rsidRPr="0084016E">
              <w:rPr>
                <w:color w:val="000000"/>
                <w:sz w:val="20"/>
                <w:lang w:val="fr-FR"/>
              </w:rPr>
              <w:t>Recommandation UIT-R BR.2167-0</w:t>
            </w:r>
            <w:r w:rsidRPr="0084016E">
              <w:rPr>
                <w:color w:val="000000"/>
                <w:sz w:val="20"/>
                <w:lang w:val="fr-FR"/>
              </w:rPr>
              <w:br/>
              <w:t>«</w:t>
            </w:r>
            <w:r w:rsidR="00BA266F" w:rsidRPr="0084016E">
              <w:rPr>
                <w:color w:val="000000"/>
                <w:sz w:val="20"/>
                <w:lang w:val="fr-FR"/>
              </w:rPr>
              <w:t>Cadre pour les méthodes adaptatives de réduction de la consommation d</w:t>
            </w:r>
            <w:r w:rsidR="009C1307" w:rsidRPr="0084016E">
              <w:rPr>
                <w:color w:val="000000"/>
                <w:sz w:val="20"/>
                <w:lang w:val="fr-FR"/>
              </w:rPr>
              <w:t>'</w:t>
            </w:r>
            <w:r w:rsidR="00BA266F" w:rsidRPr="0084016E">
              <w:rPr>
                <w:color w:val="000000"/>
                <w:sz w:val="20"/>
                <w:lang w:val="fr-FR"/>
              </w:rPr>
              <w:t>énergie des écrans de télévision en fonction du contenu</w:t>
            </w:r>
            <w:r w:rsidRPr="0084016E">
              <w:rPr>
                <w:color w:val="000000"/>
                <w:sz w:val="20"/>
                <w:lang w:val="fr-FR"/>
              </w:rPr>
              <w:t>»</w:t>
            </w:r>
          </w:p>
        </w:tc>
        <w:tc>
          <w:tcPr>
            <w:tcW w:w="3765" w:type="dxa"/>
          </w:tcPr>
          <w:p w14:paraId="4E82063F" w14:textId="4440027B" w:rsidR="00BA266F" w:rsidRPr="0084016E" w:rsidRDefault="00BA266F" w:rsidP="00BA266F">
            <w:pPr>
              <w:pStyle w:val="Tabletext"/>
              <w:rPr>
                <w:sz w:val="20"/>
                <w:lang w:val="fr-FR"/>
              </w:rPr>
            </w:pPr>
            <w:r w:rsidRPr="0084016E">
              <w:rPr>
                <w:color w:val="000000"/>
                <w:sz w:val="20"/>
                <w:lang w:val="fr-FR"/>
              </w:rPr>
              <w:t>Les écrans de télévision consomment une part relativement élevée de la quantité totale d</w:t>
            </w:r>
            <w:r w:rsidR="009C1307" w:rsidRPr="0084016E">
              <w:rPr>
                <w:color w:val="000000"/>
                <w:sz w:val="20"/>
                <w:lang w:val="fr-FR"/>
              </w:rPr>
              <w:t>'</w:t>
            </w:r>
            <w:r w:rsidRPr="0084016E">
              <w:rPr>
                <w:color w:val="000000"/>
                <w:sz w:val="20"/>
                <w:lang w:val="fr-FR"/>
              </w:rPr>
              <w:t>énergie consommée de bout en bout de la chaîne de diffusion, qui va de la production de programmes à leur visionnage</w:t>
            </w:r>
            <w:r w:rsidR="00BF48AA" w:rsidRPr="0084016E">
              <w:rPr>
                <w:color w:val="000000"/>
                <w:sz w:val="20"/>
                <w:lang w:val="fr-FR"/>
              </w:rPr>
              <w:t>, au bout du compte,</w:t>
            </w:r>
            <w:r w:rsidRPr="0084016E">
              <w:rPr>
                <w:color w:val="000000"/>
                <w:sz w:val="20"/>
                <w:lang w:val="fr-FR"/>
              </w:rPr>
              <w:t xml:space="preserve"> par les consommateurs. Il est possible de réduire la consommation d</w:t>
            </w:r>
            <w:r w:rsidR="009C1307" w:rsidRPr="0084016E">
              <w:rPr>
                <w:color w:val="000000"/>
                <w:sz w:val="20"/>
                <w:lang w:val="fr-FR"/>
              </w:rPr>
              <w:t>'</w:t>
            </w:r>
            <w:r w:rsidRPr="0084016E">
              <w:rPr>
                <w:color w:val="000000"/>
                <w:sz w:val="20"/>
                <w:lang w:val="fr-FR"/>
              </w:rPr>
              <w:t xml:space="preserve">énergie des écrans de télévision au moyen de méthodes adaptatives en fonction du contenu, sans dégrader </w:t>
            </w:r>
            <w:r w:rsidR="00952EC3" w:rsidRPr="0084016E">
              <w:rPr>
                <w:color w:val="000000"/>
                <w:sz w:val="20"/>
                <w:lang w:val="fr-FR"/>
              </w:rPr>
              <w:t>de manière excessive</w:t>
            </w:r>
            <w:r w:rsidRPr="0084016E">
              <w:rPr>
                <w:color w:val="000000"/>
                <w:sz w:val="20"/>
                <w:lang w:val="fr-FR"/>
              </w:rPr>
              <w:t xml:space="preserve"> la qualité visuelle. </w:t>
            </w:r>
            <w:r w:rsidR="00E7280A" w:rsidRPr="0084016E">
              <w:rPr>
                <w:color w:val="000000"/>
                <w:sz w:val="20"/>
                <w:lang w:val="fr-FR"/>
              </w:rPr>
              <w:t>Cette</w:t>
            </w:r>
            <w:r w:rsidRPr="0084016E">
              <w:rPr>
                <w:color w:val="000000"/>
                <w:sz w:val="20"/>
                <w:lang w:val="fr-FR"/>
              </w:rPr>
              <w:t xml:space="preserve"> Recommandation porte sur la définition d</w:t>
            </w:r>
            <w:r w:rsidR="009C1307" w:rsidRPr="0084016E">
              <w:rPr>
                <w:color w:val="000000"/>
                <w:sz w:val="20"/>
                <w:lang w:val="fr-FR"/>
              </w:rPr>
              <w:t>'</w:t>
            </w:r>
            <w:r w:rsidRPr="0084016E">
              <w:rPr>
                <w:color w:val="000000"/>
                <w:sz w:val="20"/>
                <w:lang w:val="fr-FR"/>
              </w:rPr>
              <w:t>un cadre destiné à ces techniques.</w:t>
            </w:r>
          </w:p>
          <w:p w14:paraId="6D367CC5" w14:textId="09513900" w:rsidR="00BA266F" w:rsidRPr="0084016E" w:rsidRDefault="00BA266F" w:rsidP="00BA266F">
            <w:pPr>
              <w:pStyle w:val="Tabletext"/>
              <w:rPr>
                <w:sz w:val="20"/>
                <w:lang w:val="fr-FR"/>
              </w:rPr>
            </w:pPr>
            <w:r w:rsidRPr="0084016E">
              <w:rPr>
                <w:color w:val="000000"/>
                <w:sz w:val="20"/>
                <w:lang w:val="fr-FR"/>
              </w:rPr>
              <w:t>N</w:t>
            </w:r>
            <w:r w:rsidR="00F37240" w:rsidRPr="0084016E">
              <w:rPr>
                <w:color w:val="000000"/>
                <w:sz w:val="20"/>
                <w:lang w:val="fr-FR"/>
              </w:rPr>
              <w:t>OTE</w:t>
            </w:r>
            <w:r w:rsidRPr="0084016E">
              <w:rPr>
                <w:color w:val="000000"/>
                <w:sz w:val="20"/>
                <w:lang w:val="fr-FR"/>
              </w:rPr>
              <w:t xml:space="preserve"> – Document complémentaire au Rapport UIT-R BT.2540-0</w:t>
            </w:r>
            <w:r w:rsidR="0038715E" w:rsidRPr="0084016E">
              <w:rPr>
                <w:color w:val="000000"/>
                <w:sz w:val="20"/>
                <w:lang w:val="fr-FR"/>
              </w:rPr>
              <w:t>.</w:t>
            </w:r>
          </w:p>
        </w:tc>
        <w:tc>
          <w:tcPr>
            <w:tcW w:w="1701" w:type="dxa"/>
          </w:tcPr>
          <w:p w14:paraId="5E5D8242" w14:textId="77933E3B" w:rsidR="00325E94" w:rsidRPr="0084016E" w:rsidRDefault="007464E1" w:rsidP="00BA266F">
            <w:pPr>
              <w:pStyle w:val="Tabletext"/>
              <w:rPr>
                <w:sz w:val="20"/>
                <w:lang w:val="fr-FR"/>
              </w:rPr>
            </w:pPr>
            <w:r w:rsidRPr="0084016E">
              <w:rPr>
                <w:color w:val="000000"/>
                <w:sz w:val="20"/>
                <w:lang w:val="fr-FR"/>
              </w:rPr>
              <w:t>Approuvé</w:t>
            </w:r>
          </w:p>
        </w:tc>
        <w:tc>
          <w:tcPr>
            <w:tcW w:w="2801" w:type="dxa"/>
          </w:tcPr>
          <w:p w14:paraId="71F5D22E" w14:textId="681EDFF7" w:rsidR="00BA266F" w:rsidRPr="0084016E" w:rsidRDefault="0024117A" w:rsidP="00BA266F">
            <w:pPr>
              <w:pStyle w:val="Tabletext"/>
              <w:rPr>
                <w:rStyle w:val="Hyperlink"/>
                <w:lang w:val="fr-FR"/>
              </w:rPr>
            </w:pPr>
            <w:hyperlink r:id="rId45" w:history="1">
              <w:r w:rsidRPr="0084016E">
                <w:rPr>
                  <w:rStyle w:val="Hyperlink"/>
                  <w:sz w:val="20"/>
                  <w:szCs w:val="18"/>
                  <w:lang w:val="fr-FR"/>
                </w:rPr>
                <w:t>https://www.itu.int/rec/R-REC-BT.2167/</w:t>
              </w:r>
              <w:r w:rsidRPr="0084016E">
                <w:rPr>
                  <w:rStyle w:val="Hyperlink"/>
                  <w:sz w:val="20"/>
                  <w:szCs w:val="18"/>
                  <w:lang w:val="fr-FR"/>
                </w:rPr>
                <w:t>e</w:t>
              </w:r>
              <w:r w:rsidRPr="0084016E">
                <w:rPr>
                  <w:rStyle w:val="Hyperlink"/>
                  <w:sz w:val="20"/>
                  <w:szCs w:val="18"/>
                  <w:lang w:val="fr-FR"/>
                </w:rPr>
                <w:t>n</w:t>
              </w:r>
            </w:hyperlink>
          </w:p>
        </w:tc>
      </w:tr>
      <w:tr w:rsidR="00BA266F" w:rsidRPr="0084016E" w14:paraId="39F0A211" w14:textId="77777777" w:rsidTr="00472DC9">
        <w:trPr>
          <w:trHeight w:val="2483"/>
        </w:trPr>
        <w:tc>
          <w:tcPr>
            <w:tcW w:w="2106" w:type="dxa"/>
            <w:vMerge/>
          </w:tcPr>
          <w:p w14:paraId="07706E3A" w14:textId="77777777" w:rsidR="00BA266F" w:rsidRPr="0084016E" w:rsidRDefault="00BA266F" w:rsidP="00BA266F">
            <w:pPr>
              <w:pStyle w:val="Tabletext"/>
              <w:rPr>
                <w:sz w:val="20"/>
                <w:lang w:val="fr-FR"/>
              </w:rPr>
            </w:pPr>
          </w:p>
        </w:tc>
        <w:tc>
          <w:tcPr>
            <w:tcW w:w="1717" w:type="dxa"/>
            <w:vMerge/>
          </w:tcPr>
          <w:p w14:paraId="7F415AB1" w14:textId="77777777" w:rsidR="00BA266F" w:rsidRPr="0084016E" w:rsidRDefault="00BA266F" w:rsidP="00BA266F">
            <w:pPr>
              <w:pStyle w:val="Tabletext"/>
              <w:rPr>
                <w:sz w:val="20"/>
                <w:lang w:val="fr-FR"/>
              </w:rPr>
            </w:pPr>
          </w:p>
        </w:tc>
        <w:tc>
          <w:tcPr>
            <w:tcW w:w="2472" w:type="dxa"/>
          </w:tcPr>
          <w:p w14:paraId="09413E47" w14:textId="4D2739F5" w:rsidR="00BA266F" w:rsidRPr="0084016E" w:rsidRDefault="00BA266F" w:rsidP="00BA266F">
            <w:pPr>
              <w:pStyle w:val="Tabletext"/>
              <w:rPr>
                <w:sz w:val="20"/>
                <w:lang w:val="fr-FR"/>
              </w:rPr>
            </w:pPr>
            <w:r w:rsidRPr="0084016E">
              <w:rPr>
                <w:color w:val="000000"/>
                <w:sz w:val="20"/>
                <w:lang w:val="fr-FR"/>
              </w:rPr>
              <w:t xml:space="preserve">Proposition de nouvelle Recommandation </w:t>
            </w:r>
            <w:r w:rsidR="006F3BA0" w:rsidRPr="0084016E">
              <w:rPr>
                <w:color w:val="000000"/>
                <w:sz w:val="20"/>
                <w:lang w:val="fr-FR"/>
              </w:rPr>
              <w:br/>
            </w:r>
            <w:r w:rsidRPr="0084016E">
              <w:rPr>
                <w:color w:val="000000"/>
                <w:sz w:val="20"/>
                <w:lang w:val="fr-FR"/>
              </w:rPr>
              <w:t>«Cadre de mesure permettant aux radiodiffuseurs d</w:t>
            </w:r>
            <w:r w:rsidR="009C1307" w:rsidRPr="0084016E">
              <w:rPr>
                <w:color w:val="000000"/>
                <w:sz w:val="20"/>
                <w:lang w:val="fr-FR"/>
              </w:rPr>
              <w:t>'</w:t>
            </w:r>
            <w:r w:rsidRPr="0084016E">
              <w:rPr>
                <w:color w:val="000000"/>
                <w:sz w:val="20"/>
                <w:lang w:val="fr-FR"/>
              </w:rPr>
              <w:t>évaluer l</w:t>
            </w:r>
            <w:r w:rsidR="00763D6F" w:rsidRPr="0084016E">
              <w:rPr>
                <w:color w:val="000000"/>
                <w:sz w:val="20"/>
                <w:lang w:val="fr-FR"/>
              </w:rPr>
              <w:t xml:space="preserve">es incidences des émissions de niveau 3 </w:t>
            </w:r>
            <w:r w:rsidRPr="0084016E">
              <w:rPr>
                <w:color w:val="000000"/>
                <w:sz w:val="20"/>
                <w:lang w:val="fr-FR"/>
              </w:rPr>
              <w:t xml:space="preserve">des </w:t>
            </w:r>
            <w:r w:rsidR="00763D6F" w:rsidRPr="0084016E">
              <w:rPr>
                <w:color w:val="000000"/>
                <w:sz w:val="20"/>
                <w:lang w:val="fr-FR"/>
              </w:rPr>
              <w:t>télévisions diffusant un programm</w:t>
            </w:r>
            <w:r w:rsidR="008B7337" w:rsidRPr="0084016E">
              <w:rPr>
                <w:color w:val="000000"/>
                <w:sz w:val="20"/>
                <w:lang w:val="fr-FR"/>
              </w:rPr>
              <w:t xml:space="preserve">e </w:t>
            </w:r>
            <w:r w:rsidR="00336BEE" w:rsidRPr="0084016E">
              <w:rPr>
                <w:color w:val="000000"/>
                <w:sz w:val="20"/>
                <w:lang w:val="fr-FR"/>
              </w:rPr>
              <w:t>télévisuel</w:t>
            </w:r>
            <w:r w:rsidRPr="0084016E">
              <w:rPr>
                <w:color w:val="000000"/>
                <w:sz w:val="20"/>
                <w:lang w:val="fr-FR"/>
              </w:rPr>
              <w:t>»</w:t>
            </w:r>
          </w:p>
        </w:tc>
        <w:tc>
          <w:tcPr>
            <w:tcW w:w="3765" w:type="dxa"/>
          </w:tcPr>
          <w:p w14:paraId="26FED494" w14:textId="5048C079" w:rsidR="00BA266F" w:rsidRPr="0084016E" w:rsidRDefault="00BA266F" w:rsidP="00BA266F">
            <w:pPr>
              <w:pStyle w:val="Tabletext"/>
              <w:rPr>
                <w:sz w:val="20"/>
                <w:lang w:val="fr-FR"/>
              </w:rPr>
            </w:pPr>
            <w:r w:rsidRPr="0084016E">
              <w:rPr>
                <w:color w:val="000000"/>
                <w:sz w:val="20"/>
                <w:lang w:val="fr-FR"/>
              </w:rPr>
              <w:t xml:space="preserve">Pour les radiodiffuseurs, </w:t>
            </w:r>
            <w:r w:rsidR="004F76BB" w:rsidRPr="0084016E">
              <w:rPr>
                <w:color w:val="000000"/>
                <w:sz w:val="20"/>
                <w:lang w:val="fr-FR"/>
              </w:rPr>
              <w:t>les incidences en aval</w:t>
            </w:r>
            <w:r w:rsidRPr="0084016E">
              <w:rPr>
                <w:color w:val="000000"/>
                <w:sz w:val="20"/>
                <w:lang w:val="fr-FR"/>
              </w:rPr>
              <w:t xml:space="preserve"> </w:t>
            </w:r>
            <w:r w:rsidR="00C71869" w:rsidRPr="0084016E">
              <w:rPr>
                <w:color w:val="000000"/>
                <w:sz w:val="20"/>
                <w:lang w:val="fr-FR"/>
              </w:rPr>
              <w:t>liées à</w:t>
            </w:r>
            <w:r w:rsidRPr="0084016E">
              <w:rPr>
                <w:color w:val="000000"/>
                <w:sz w:val="20"/>
                <w:lang w:val="fr-FR"/>
              </w:rPr>
              <w:t xml:space="preserve"> la diffusion d</w:t>
            </w:r>
            <w:r w:rsidR="009C1307" w:rsidRPr="0084016E">
              <w:rPr>
                <w:color w:val="000000"/>
                <w:sz w:val="20"/>
                <w:lang w:val="fr-FR"/>
              </w:rPr>
              <w:t>'</w:t>
            </w:r>
            <w:r w:rsidRPr="0084016E">
              <w:rPr>
                <w:color w:val="000000"/>
                <w:sz w:val="20"/>
                <w:lang w:val="fr-FR"/>
              </w:rPr>
              <w:t xml:space="preserve">un programme de télévision </w:t>
            </w:r>
            <w:r w:rsidR="004A5E60" w:rsidRPr="0084016E">
              <w:rPr>
                <w:color w:val="000000"/>
                <w:sz w:val="20"/>
                <w:lang w:val="fr-FR"/>
              </w:rPr>
              <w:t>sont considérées</w:t>
            </w:r>
            <w:r w:rsidRPr="0084016E">
              <w:rPr>
                <w:color w:val="000000"/>
                <w:sz w:val="20"/>
                <w:lang w:val="fr-FR"/>
              </w:rPr>
              <w:t xml:space="preserve"> comme faisant partie des émissions</w:t>
            </w:r>
            <w:r w:rsidR="00C74AE3" w:rsidRPr="0084016E">
              <w:rPr>
                <w:color w:val="000000"/>
                <w:sz w:val="20"/>
                <w:lang w:val="fr-FR"/>
              </w:rPr>
              <w:t xml:space="preserve"> indirectes relatives à la phase d'utilisation de niveau 3 (catégorie</w:t>
            </w:r>
            <w:r w:rsidR="00F37240" w:rsidRPr="0084016E">
              <w:rPr>
                <w:color w:val="000000"/>
                <w:sz w:val="20"/>
                <w:lang w:val="fr-FR"/>
              </w:rPr>
              <w:t> </w:t>
            </w:r>
            <w:r w:rsidR="00C74AE3" w:rsidRPr="0084016E">
              <w:rPr>
                <w:color w:val="000000"/>
                <w:sz w:val="20"/>
                <w:lang w:val="fr-FR"/>
              </w:rPr>
              <w:t>11) des produits vendus</w:t>
            </w:r>
            <w:r w:rsidRPr="0084016E">
              <w:rPr>
                <w:color w:val="000000"/>
                <w:sz w:val="20"/>
                <w:lang w:val="fr-FR"/>
              </w:rPr>
              <w:t xml:space="preserve">, dont la déclaration est actuellement volontaire. </w:t>
            </w:r>
            <w:r w:rsidR="00C74AE3" w:rsidRPr="0084016E">
              <w:rPr>
                <w:color w:val="000000"/>
                <w:sz w:val="20"/>
                <w:lang w:val="fr-FR"/>
              </w:rPr>
              <w:t>Cette</w:t>
            </w:r>
            <w:r w:rsidRPr="0084016E">
              <w:rPr>
                <w:color w:val="000000"/>
                <w:sz w:val="20"/>
                <w:lang w:val="fr-FR"/>
              </w:rPr>
              <w:t xml:space="preserve"> Recommandation définit un cadre pour évaluer ce</w:t>
            </w:r>
            <w:r w:rsidR="009D0049" w:rsidRPr="0084016E">
              <w:rPr>
                <w:color w:val="000000"/>
                <w:sz w:val="20"/>
                <w:lang w:val="fr-FR"/>
              </w:rPr>
              <w:t>s</w:t>
            </w:r>
            <w:r w:rsidRPr="0084016E">
              <w:rPr>
                <w:color w:val="000000"/>
                <w:sz w:val="20"/>
                <w:lang w:val="fr-FR"/>
              </w:rPr>
              <w:t xml:space="preserve"> </w:t>
            </w:r>
            <w:r w:rsidR="009D0049" w:rsidRPr="0084016E">
              <w:rPr>
                <w:color w:val="000000"/>
                <w:sz w:val="20"/>
                <w:lang w:val="fr-FR"/>
              </w:rPr>
              <w:t>incidences</w:t>
            </w:r>
            <w:r w:rsidRPr="0084016E">
              <w:rPr>
                <w:color w:val="000000"/>
                <w:sz w:val="20"/>
                <w:lang w:val="fr-FR"/>
              </w:rPr>
              <w:t>, dans la mesure où les écrans de l</w:t>
            </w:r>
            <w:r w:rsidR="009C1307" w:rsidRPr="0084016E">
              <w:rPr>
                <w:color w:val="000000"/>
                <w:sz w:val="20"/>
                <w:lang w:val="fr-FR"/>
              </w:rPr>
              <w:t>'</w:t>
            </w:r>
            <w:r w:rsidRPr="0084016E">
              <w:rPr>
                <w:color w:val="000000"/>
                <w:sz w:val="20"/>
                <w:lang w:val="fr-FR"/>
              </w:rPr>
              <w:t>utilisateur final sont concernés.</w:t>
            </w:r>
          </w:p>
        </w:tc>
        <w:tc>
          <w:tcPr>
            <w:tcW w:w="1701" w:type="dxa"/>
          </w:tcPr>
          <w:p w14:paraId="192E00BE" w14:textId="3472D564" w:rsidR="00BA266F" w:rsidRPr="0084016E" w:rsidRDefault="00BA266F" w:rsidP="00BA266F">
            <w:pPr>
              <w:pStyle w:val="Tabletext"/>
              <w:rPr>
                <w:sz w:val="20"/>
                <w:lang w:val="fr-FR"/>
              </w:rPr>
            </w:pPr>
            <w:r w:rsidRPr="0084016E">
              <w:rPr>
                <w:color w:val="000000"/>
                <w:sz w:val="20"/>
                <w:lang w:val="fr-FR"/>
              </w:rPr>
              <w:t>À l</w:t>
            </w:r>
            <w:r w:rsidR="009C1307" w:rsidRPr="0084016E">
              <w:rPr>
                <w:color w:val="000000"/>
                <w:sz w:val="20"/>
                <w:lang w:val="fr-FR"/>
              </w:rPr>
              <w:t>'</w:t>
            </w:r>
            <w:r w:rsidRPr="0084016E">
              <w:rPr>
                <w:color w:val="000000"/>
                <w:sz w:val="20"/>
                <w:lang w:val="fr-FR"/>
              </w:rPr>
              <w:t>étude</w:t>
            </w:r>
          </w:p>
        </w:tc>
        <w:tc>
          <w:tcPr>
            <w:tcW w:w="2801" w:type="dxa"/>
          </w:tcPr>
          <w:p w14:paraId="14DF3DBC" w14:textId="18229289" w:rsidR="00BA266F" w:rsidRPr="0084016E" w:rsidRDefault="00BA266F" w:rsidP="00BA266F">
            <w:pPr>
              <w:pStyle w:val="Tabletext"/>
              <w:rPr>
                <w:sz w:val="20"/>
                <w:lang w:val="fr-FR"/>
              </w:rPr>
            </w:pPr>
            <w:r w:rsidRPr="0084016E">
              <w:rPr>
                <w:color w:val="000000"/>
                <w:sz w:val="20"/>
                <w:lang w:val="fr-FR"/>
              </w:rPr>
              <w:t>Version du document de travail disponible en annexe du Rapport de la réunion de mars</w:t>
            </w:r>
            <w:r w:rsidR="00F37240" w:rsidRPr="0084016E">
              <w:rPr>
                <w:color w:val="000000"/>
                <w:sz w:val="20"/>
                <w:lang w:val="fr-FR"/>
              </w:rPr>
              <w:t> </w:t>
            </w:r>
            <w:r w:rsidRPr="0084016E">
              <w:rPr>
                <w:color w:val="000000"/>
                <w:sz w:val="20"/>
                <w:lang w:val="fr-FR"/>
              </w:rPr>
              <w:t>2024 du Groupe de travail</w:t>
            </w:r>
            <w:r w:rsidR="00F37240" w:rsidRPr="0084016E">
              <w:rPr>
                <w:color w:val="000000"/>
                <w:sz w:val="20"/>
                <w:lang w:val="fr-FR"/>
              </w:rPr>
              <w:t> </w:t>
            </w:r>
            <w:r w:rsidRPr="0084016E">
              <w:rPr>
                <w:color w:val="000000"/>
                <w:sz w:val="20"/>
                <w:lang w:val="fr-FR"/>
              </w:rPr>
              <w:t>6C</w:t>
            </w:r>
          </w:p>
          <w:p w14:paraId="3D5D28BD" w14:textId="23A72343" w:rsidR="00BA266F" w:rsidRPr="0084016E" w:rsidRDefault="0038715E" w:rsidP="00F37240">
            <w:pPr>
              <w:pStyle w:val="Tabletext"/>
              <w:rPr>
                <w:sz w:val="20"/>
                <w:lang w:val="fr-FR"/>
              </w:rPr>
            </w:pPr>
            <w:r w:rsidRPr="0084016E">
              <w:rPr>
                <w:sz w:val="20"/>
                <w:lang w:val="fr-FR"/>
              </w:rPr>
              <w:t xml:space="preserve">Document </w:t>
            </w:r>
            <w:hyperlink r:id="rId46" w:history="1">
              <w:r w:rsidR="00BA266F" w:rsidRPr="0084016E">
                <w:rPr>
                  <w:rStyle w:val="Hyperlink"/>
                  <w:sz w:val="20"/>
                  <w:lang w:val="fr-FR"/>
                </w:rPr>
                <w:t>6C/37 (Annex</w:t>
              </w:r>
              <w:r w:rsidR="00BA266F" w:rsidRPr="0084016E">
                <w:rPr>
                  <w:rStyle w:val="Hyperlink"/>
                  <w:sz w:val="20"/>
                  <w:lang w:val="fr-FR"/>
                </w:rPr>
                <w:t>e</w:t>
              </w:r>
              <w:r w:rsidR="00BA266F" w:rsidRPr="0084016E">
                <w:rPr>
                  <w:rStyle w:val="Hyperlink"/>
                  <w:sz w:val="20"/>
                  <w:lang w:val="fr-FR"/>
                </w:rPr>
                <w:t xml:space="preserve"> 3</w:t>
              </w:r>
              <w:r w:rsidR="00763D6F" w:rsidRPr="0084016E">
                <w:rPr>
                  <w:rStyle w:val="Hyperlink"/>
                  <w:sz w:val="20"/>
                  <w:lang w:val="fr-FR"/>
                </w:rPr>
                <w:t>.</w:t>
              </w:r>
              <w:r w:rsidR="00BA266F" w:rsidRPr="0084016E">
                <w:rPr>
                  <w:rStyle w:val="Hyperlink"/>
                  <w:sz w:val="20"/>
                  <w:lang w:val="fr-FR"/>
                </w:rPr>
                <w:t>1)</w:t>
              </w:r>
            </w:hyperlink>
            <w:r w:rsidR="00763D6F" w:rsidRPr="0084016E">
              <w:rPr>
                <w:rStyle w:val="Hyperlink"/>
                <w:sz w:val="20"/>
                <w:u w:val="none"/>
                <w:lang w:val="fr-FR"/>
              </w:rPr>
              <w:t xml:space="preserve"> </w:t>
            </w:r>
            <w:r w:rsidR="00BA266F" w:rsidRPr="0084016E">
              <w:rPr>
                <w:color w:val="000000"/>
                <w:sz w:val="20"/>
                <w:lang w:val="fr-FR"/>
              </w:rPr>
              <w:t>(</w:t>
            </w:r>
            <w:r w:rsidR="00763D6F" w:rsidRPr="0084016E">
              <w:rPr>
                <w:color w:val="000000"/>
                <w:sz w:val="20"/>
                <w:lang w:val="fr-FR"/>
              </w:rPr>
              <w:t>accès réservé aux titulaires d'un compte TIES</w:t>
            </w:r>
            <w:r w:rsidR="00BA266F" w:rsidRPr="0084016E">
              <w:rPr>
                <w:color w:val="000000"/>
                <w:sz w:val="20"/>
                <w:lang w:val="fr-FR"/>
              </w:rPr>
              <w:t>)</w:t>
            </w:r>
          </w:p>
        </w:tc>
      </w:tr>
    </w:tbl>
    <w:p w14:paraId="44A4BC64" w14:textId="77777777" w:rsidR="00C04B16" w:rsidRPr="0084016E" w:rsidRDefault="00C04B16" w:rsidP="00502F6E">
      <w:pPr>
        <w:spacing w:before="240"/>
        <w:jc w:val="center"/>
        <w:rPr>
          <w:lang w:val="fr-FR"/>
        </w:rPr>
      </w:pPr>
      <w:r w:rsidRPr="0084016E">
        <w:rPr>
          <w:lang w:val="fr-FR"/>
        </w:rPr>
        <w:t>______________</w:t>
      </w:r>
    </w:p>
    <w:sectPr w:rsidR="00C04B16" w:rsidRPr="0084016E" w:rsidSect="00502F6E">
      <w:headerReference w:type="first" r:id="rId47"/>
      <w:pgSz w:w="16840" w:h="11907" w:orient="landscape" w:code="9"/>
      <w:pgMar w:top="1094" w:right="1094" w:bottom="1094" w:left="1094" w:header="475" w:footer="4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C2B8" w14:textId="77777777" w:rsidR="00121602" w:rsidRDefault="00121602">
      <w:r>
        <w:separator/>
      </w:r>
    </w:p>
  </w:endnote>
  <w:endnote w:type="continuationSeparator" w:id="0">
    <w:p w14:paraId="0D379940" w14:textId="77777777" w:rsidR="00121602" w:rsidRDefault="00121602">
      <w:r>
        <w:continuationSeparator/>
      </w:r>
    </w:p>
  </w:endnote>
  <w:endnote w:type="continuationNotice" w:id="1">
    <w:p w14:paraId="54C87504" w14:textId="77777777" w:rsidR="00121602" w:rsidRDefault="001216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4FC6A" w14:textId="77777777" w:rsidR="00121602" w:rsidRDefault="00121602">
      <w:r>
        <w:t>____________________</w:t>
      </w:r>
    </w:p>
  </w:footnote>
  <w:footnote w:type="continuationSeparator" w:id="0">
    <w:p w14:paraId="4A437CCB" w14:textId="77777777" w:rsidR="00121602" w:rsidRDefault="00121602">
      <w:r>
        <w:continuationSeparator/>
      </w:r>
    </w:p>
  </w:footnote>
  <w:footnote w:type="continuationNotice" w:id="1">
    <w:p w14:paraId="0B9639AF" w14:textId="77777777" w:rsidR="00121602" w:rsidRDefault="0012160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198450"/>
      <w:docPartObj>
        <w:docPartGallery w:val="Page Numbers (Top of Page)"/>
        <w:docPartUnique/>
      </w:docPartObj>
    </w:sdtPr>
    <w:sdtEndPr/>
    <w:sdtContent>
      <w:p w14:paraId="488923B9" w14:textId="69BB37AD" w:rsidR="00773DF4" w:rsidRPr="00773DF4" w:rsidRDefault="00773DF4" w:rsidP="00773DF4">
        <w:pPr>
          <w:pStyle w:val="Header"/>
        </w:pPr>
        <w:r w:rsidRPr="00773DF4">
          <w:fldChar w:fldCharType="begin"/>
        </w:r>
        <w:r w:rsidRPr="00773DF4">
          <w:instrText xml:space="preserve"> PAGE   \* MERGEFORMAT </w:instrText>
        </w:r>
        <w:r w:rsidRPr="00773DF4">
          <w:fldChar w:fldCharType="separate"/>
        </w:r>
        <w:r>
          <w:t>1</w:t>
        </w:r>
        <w:r w:rsidRPr="00773DF4">
          <w:fldChar w:fldCharType="end"/>
        </w:r>
      </w:p>
      <w:p w14:paraId="61E7C102" w14:textId="56466933" w:rsidR="00773DF4" w:rsidRDefault="00773DF4">
        <w:pPr>
          <w:pStyle w:val="Header"/>
        </w:pPr>
        <w:r>
          <w:rPr>
            <w:lang w:val="fr-FR"/>
          </w:rPr>
          <w:t>RAG/30(Add.1)-F</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65640"/>
      <w:docPartObj>
        <w:docPartGallery w:val="Page Numbers (Top of Page)"/>
        <w:docPartUnique/>
      </w:docPartObj>
    </w:sdtPr>
    <w:sdtContent>
      <w:p w14:paraId="4B1A0714" w14:textId="77777777" w:rsidR="00502F6E" w:rsidRPr="00773DF4" w:rsidRDefault="00502F6E" w:rsidP="00502F6E">
        <w:pPr>
          <w:pStyle w:val="Header"/>
        </w:pPr>
        <w:r w:rsidRPr="00773DF4">
          <w:fldChar w:fldCharType="begin"/>
        </w:r>
        <w:r w:rsidRPr="00773DF4">
          <w:instrText xml:space="preserve"> PAGE   \* MERGEFORMAT </w:instrText>
        </w:r>
        <w:r w:rsidRPr="00773DF4">
          <w:fldChar w:fldCharType="separate"/>
        </w:r>
        <w:r>
          <w:t>16</w:t>
        </w:r>
        <w:r w:rsidRPr="00773DF4">
          <w:fldChar w:fldCharType="end"/>
        </w:r>
      </w:p>
      <w:p w14:paraId="408E6E5F" w14:textId="77777777" w:rsidR="00502F6E" w:rsidRDefault="00502F6E" w:rsidP="00502F6E">
        <w:pPr>
          <w:pStyle w:val="Header"/>
          <w:rPr>
            <w:sz w:val="24"/>
          </w:rPr>
        </w:pPr>
        <w:r>
          <w:rPr>
            <w:lang w:val="fr-FR"/>
          </w:rPr>
          <w:t>RAG/30(Add.1)-F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601B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D859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1228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9614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4ABB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2E55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92E7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3069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44F5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E5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453282337">
    <w:abstractNumId w:val="10"/>
  </w:num>
  <w:num w:numId="2" w16cid:durableId="1269124165">
    <w:abstractNumId w:val="9"/>
  </w:num>
  <w:num w:numId="3" w16cid:durableId="2041317060">
    <w:abstractNumId w:val="7"/>
  </w:num>
  <w:num w:numId="4" w16cid:durableId="786659132">
    <w:abstractNumId w:val="6"/>
  </w:num>
  <w:num w:numId="5" w16cid:durableId="804541849">
    <w:abstractNumId w:val="5"/>
  </w:num>
  <w:num w:numId="6" w16cid:durableId="971326558">
    <w:abstractNumId w:val="4"/>
  </w:num>
  <w:num w:numId="7" w16cid:durableId="739982042">
    <w:abstractNumId w:val="8"/>
  </w:num>
  <w:num w:numId="8" w16cid:durableId="91316603">
    <w:abstractNumId w:val="3"/>
  </w:num>
  <w:num w:numId="9" w16cid:durableId="235943876">
    <w:abstractNumId w:val="2"/>
  </w:num>
  <w:num w:numId="10" w16cid:durableId="237978042">
    <w:abstractNumId w:val="1"/>
  </w:num>
  <w:num w:numId="11" w16cid:durableId="1190992938">
    <w:abstractNumId w:val="0"/>
  </w:num>
  <w:num w:numId="12" w16cid:durableId="1500462278">
    <w:abstractNumId w:val="8"/>
  </w:num>
  <w:num w:numId="13" w16cid:durableId="2096240293">
    <w:abstractNumId w:val="3"/>
  </w:num>
  <w:num w:numId="14" w16cid:durableId="269892803">
    <w:abstractNumId w:val="2"/>
  </w:num>
  <w:num w:numId="15" w16cid:durableId="554387999">
    <w:abstractNumId w:val="1"/>
  </w:num>
  <w:num w:numId="16" w16cid:durableId="10429452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15F2"/>
    <w:rsid w:val="00001F7D"/>
    <w:rsid w:val="00002751"/>
    <w:rsid w:val="00002845"/>
    <w:rsid w:val="00004409"/>
    <w:rsid w:val="0000549A"/>
    <w:rsid w:val="00014DD4"/>
    <w:rsid w:val="00016387"/>
    <w:rsid w:val="000200BB"/>
    <w:rsid w:val="00020560"/>
    <w:rsid w:val="000226F3"/>
    <w:rsid w:val="0002295E"/>
    <w:rsid w:val="00023AC3"/>
    <w:rsid w:val="0002662E"/>
    <w:rsid w:val="00030E03"/>
    <w:rsid w:val="00033E60"/>
    <w:rsid w:val="00035AF0"/>
    <w:rsid w:val="00035DC7"/>
    <w:rsid w:val="00036163"/>
    <w:rsid w:val="00037D61"/>
    <w:rsid w:val="0004204C"/>
    <w:rsid w:val="00042191"/>
    <w:rsid w:val="00044B5F"/>
    <w:rsid w:val="00056354"/>
    <w:rsid w:val="00060403"/>
    <w:rsid w:val="000606D2"/>
    <w:rsid w:val="000618CC"/>
    <w:rsid w:val="00063827"/>
    <w:rsid w:val="00070740"/>
    <w:rsid w:val="00071376"/>
    <w:rsid w:val="000778B0"/>
    <w:rsid w:val="000806AE"/>
    <w:rsid w:val="0008276C"/>
    <w:rsid w:val="00082B8C"/>
    <w:rsid w:val="00086062"/>
    <w:rsid w:val="000913C1"/>
    <w:rsid w:val="00092639"/>
    <w:rsid w:val="00093BB2"/>
    <w:rsid w:val="00093C73"/>
    <w:rsid w:val="00094D9C"/>
    <w:rsid w:val="000979B3"/>
    <w:rsid w:val="000A0947"/>
    <w:rsid w:val="000A1596"/>
    <w:rsid w:val="000A369E"/>
    <w:rsid w:val="000B3AD7"/>
    <w:rsid w:val="000B41EA"/>
    <w:rsid w:val="000B498F"/>
    <w:rsid w:val="000B4C20"/>
    <w:rsid w:val="000B6085"/>
    <w:rsid w:val="000B6416"/>
    <w:rsid w:val="000B6EB7"/>
    <w:rsid w:val="000B73D5"/>
    <w:rsid w:val="000C0049"/>
    <w:rsid w:val="000C144A"/>
    <w:rsid w:val="000C6BEC"/>
    <w:rsid w:val="000C6C5B"/>
    <w:rsid w:val="000D0CF0"/>
    <w:rsid w:val="000D17E1"/>
    <w:rsid w:val="000D1B39"/>
    <w:rsid w:val="000D597E"/>
    <w:rsid w:val="000D6C6E"/>
    <w:rsid w:val="000D701A"/>
    <w:rsid w:val="000E0177"/>
    <w:rsid w:val="000E62DA"/>
    <w:rsid w:val="000E66DC"/>
    <w:rsid w:val="000E6EE1"/>
    <w:rsid w:val="000F0892"/>
    <w:rsid w:val="000F2431"/>
    <w:rsid w:val="000F49E6"/>
    <w:rsid w:val="00103F3E"/>
    <w:rsid w:val="00107049"/>
    <w:rsid w:val="00116A14"/>
    <w:rsid w:val="00117BD8"/>
    <w:rsid w:val="00121602"/>
    <w:rsid w:val="0012366C"/>
    <w:rsid w:val="00123B09"/>
    <w:rsid w:val="0012527D"/>
    <w:rsid w:val="00125914"/>
    <w:rsid w:val="00131612"/>
    <w:rsid w:val="00132100"/>
    <w:rsid w:val="00132648"/>
    <w:rsid w:val="00132ADB"/>
    <w:rsid w:val="00133A42"/>
    <w:rsid w:val="001377D6"/>
    <w:rsid w:val="00142061"/>
    <w:rsid w:val="00142B64"/>
    <w:rsid w:val="001454A5"/>
    <w:rsid w:val="00147FAF"/>
    <w:rsid w:val="00153A66"/>
    <w:rsid w:val="00154104"/>
    <w:rsid w:val="00156931"/>
    <w:rsid w:val="00156D41"/>
    <w:rsid w:val="001570F5"/>
    <w:rsid w:val="00160EF6"/>
    <w:rsid w:val="001632FD"/>
    <w:rsid w:val="001662AA"/>
    <w:rsid w:val="00171B9B"/>
    <w:rsid w:val="001732C2"/>
    <w:rsid w:val="00176705"/>
    <w:rsid w:val="00176EE7"/>
    <w:rsid w:val="00180B2C"/>
    <w:rsid w:val="00183705"/>
    <w:rsid w:val="001915D5"/>
    <w:rsid w:val="001A0041"/>
    <w:rsid w:val="001A54E2"/>
    <w:rsid w:val="001A57CC"/>
    <w:rsid w:val="001B1863"/>
    <w:rsid w:val="001B2389"/>
    <w:rsid w:val="001B24FA"/>
    <w:rsid w:val="001B3530"/>
    <w:rsid w:val="001B3781"/>
    <w:rsid w:val="001B5EB6"/>
    <w:rsid w:val="001B7847"/>
    <w:rsid w:val="001C4D19"/>
    <w:rsid w:val="001C4F36"/>
    <w:rsid w:val="001C6268"/>
    <w:rsid w:val="001D2FC7"/>
    <w:rsid w:val="001D5147"/>
    <w:rsid w:val="001D55D2"/>
    <w:rsid w:val="001D64B7"/>
    <w:rsid w:val="001D7994"/>
    <w:rsid w:val="001E0F32"/>
    <w:rsid w:val="001E1056"/>
    <w:rsid w:val="001E13D2"/>
    <w:rsid w:val="001E41A0"/>
    <w:rsid w:val="001E5DC3"/>
    <w:rsid w:val="001E78A0"/>
    <w:rsid w:val="001F02A5"/>
    <w:rsid w:val="002010A5"/>
    <w:rsid w:val="00202A60"/>
    <w:rsid w:val="00202F28"/>
    <w:rsid w:val="00204D01"/>
    <w:rsid w:val="00205F5A"/>
    <w:rsid w:val="00207A74"/>
    <w:rsid w:val="0021060E"/>
    <w:rsid w:val="002107D5"/>
    <w:rsid w:val="002123ED"/>
    <w:rsid w:val="00214B39"/>
    <w:rsid w:val="002217F4"/>
    <w:rsid w:val="00223E68"/>
    <w:rsid w:val="00225B94"/>
    <w:rsid w:val="002308AD"/>
    <w:rsid w:val="0023494C"/>
    <w:rsid w:val="00234E0B"/>
    <w:rsid w:val="00235C73"/>
    <w:rsid w:val="00235EB7"/>
    <w:rsid w:val="00236E44"/>
    <w:rsid w:val="00237E22"/>
    <w:rsid w:val="00240876"/>
    <w:rsid w:val="0024117A"/>
    <w:rsid w:val="00242152"/>
    <w:rsid w:val="00242295"/>
    <w:rsid w:val="00242539"/>
    <w:rsid w:val="00242B81"/>
    <w:rsid w:val="00243A90"/>
    <w:rsid w:val="00244A49"/>
    <w:rsid w:val="00244B06"/>
    <w:rsid w:val="002463B1"/>
    <w:rsid w:val="00246D24"/>
    <w:rsid w:val="0024791A"/>
    <w:rsid w:val="00247A18"/>
    <w:rsid w:val="00250F17"/>
    <w:rsid w:val="0025131C"/>
    <w:rsid w:val="00253AFB"/>
    <w:rsid w:val="0025559C"/>
    <w:rsid w:val="00255CED"/>
    <w:rsid w:val="00256CBE"/>
    <w:rsid w:val="0025739A"/>
    <w:rsid w:val="00260409"/>
    <w:rsid w:val="002613F0"/>
    <w:rsid w:val="0026189A"/>
    <w:rsid w:val="00262733"/>
    <w:rsid w:val="00264B2E"/>
    <w:rsid w:val="00264BC7"/>
    <w:rsid w:val="002706EE"/>
    <w:rsid w:val="00271373"/>
    <w:rsid w:val="00271B43"/>
    <w:rsid w:val="00271B4F"/>
    <w:rsid w:val="002774E4"/>
    <w:rsid w:val="00283FDA"/>
    <w:rsid w:val="0029066F"/>
    <w:rsid w:val="00294C3D"/>
    <w:rsid w:val="00294FA2"/>
    <w:rsid w:val="00296BB1"/>
    <w:rsid w:val="002A6D27"/>
    <w:rsid w:val="002A70F8"/>
    <w:rsid w:val="002B0D11"/>
    <w:rsid w:val="002B306E"/>
    <w:rsid w:val="002B60F7"/>
    <w:rsid w:val="002B6C7C"/>
    <w:rsid w:val="002B79F2"/>
    <w:rsid w:val="002B7EEE"/>
    <w:rsid w:val="002C094F"/>
    <w:rsid w:val="002C09FD"/>
    <w:rsid w:val="002C467F"/>
    <w:rsid w:val="002C721B"/>
    <w:rsid w:val="002C74B3"/>
    <w:rsid w:val="002D057B"/>
    <w:rsid w:val="002D1E90"/>
    <w:rsid w:val="002D33DC"/>
    <w:rsid w:val="002D655F"/>
    <w:rsid w:val="002D6A7B"/>
    <w:rsid w:val="002D781B"/>
    <w:rsid w:val="002E2201"/>
    <w:rsid w:val="002E4E50"/>
    <w:rsid w:val="002E571C"/>
    <w:rsid w:val="002E60FE"/>
    <w:rsid w:val="002F1B3C"/>
    <w:rsid w:val="002F2C69"/>
    <w:rsid w:val="002F4DA3"/>
    <w:rsid w:val="002F7238"/>
    <w:rsid w:val="003010EF"/>
    <w:rsid w:val="00301212"/>
    <w:rsid w:val="00302CB4"/>
    <w:rsid w:val="00304DCD"/>
    <w:rsid w:val="00314550"/>
    <w:rsid w:val="00314DA2"/>
    <w:rsid w:val="00315E96"/>
    <w:rsid w:val="0031628E"/>
    <w:rsid w:val="003170B4"/>
    <w:rsid w:val="00321191"/>
    <w:rsid w:val="0032489E"/>
    <w:rsid w:val="00324C82"/>
    <w:rsid w:val="003255C5"/>
    <w:rsid w:val="00325E94"/>
    <w:rsid w:val="00325EB8"/>
    <w:rsid w:val="0032701A"/>
    <w:rsid w:val="003329D8"/>
    <w:rsid w:val="00333175"/>
    <w:rsid w:val="0033459B"/>
    <w:rsid w:val="00334DC6"/>
    <w:rsid w:val="00336BEE"/>
    <w:rsid w:val="00337165"/>
    <w:rsid w:val="003373A7"/>
    <w:rsid w:val="003409FE"/>
    <w:rsid w:val="0034236B"/>
    <w:rsid w:val="003445F1"/>
    <w:rsid w:val="00344B3E"/>
    <w:rsid w:val="00351F99"/>
    <w:rsid w:val="00352914"/>
    <w:rsid w:val="003557B0"/>
    <w:rsid w:val="00356C3D"/>
    <w:rsid w:val="00370789"/>
    <w:rsid w:val="003727E6"/>
    <w:rsid w:val="00372FB1"/>
    <w:rsid w:val="00373A29"/>
    <w:rsid w:val="00373C42"/>
    <w:rsid w:val="00382C5E"/>
    <w:rsid w:val="00383AB5"/>
    <w:rsid w:val="00383B31"/>
    <w:rsid w:val="00384395"/>
    <w:rsid w:val="0038715E"/>
    <w:rsid w:val="003909F2"/>
    <w:rsid w:val="003940AF"/>
    <w:rsid w:val="003A12F3"/>
    <w:rsid w:val="003A3D7E"/>
    <w:rsid w:val="003A6BF8"/>
    <w:rsid w:val="003A7B7A"/>
    <w:rsid w:val="003B1EBD"/>
    <w:rsid w:val="003B3A06"/>
    <w:rsid w:val="003B4542"/>
    <w:rsid w:val="003B4CF8"/>
    <w:rsid w:val="003B5204"/>
    <w:rsid w:val="003B5359"/>
    <w:rsid w:val="003C1373"/>
    <w:rsid w:val="003C1A49"/>
    <w:rsid w:val="003C7A8F"/>
    <w:rsid w:val="003C7FAB"/>
    <w:rsid w:val="003D068D"/>
    <w:rsid w:val="003D0977"/>
    <w:rsid w:val="003D2340"/>
    <w:rsid w:val="003D327C"/>
    <w:rsid w:val="003D4F32"/>
    <w:rsid w:val="003D5E5A"/>
    <w:rsid w:val="003D6845"/>
    <w:rsid w:val="003D7C7F"/>
    <w:rsid w:val="003E0E33"/>
    <w:rsid w:val="003E1772"/>
    <w:rsid w:val="003E2CE2"/>
    <w:rsid w:val="003E4607"/>
    <w:rsid w:val="003E6A0D"/>
    <w:rsid w:val="003E7D96"/>
    <w:rsid w:val="003F4B73"/>
    <w:rsid w:val="003F7318"/>
    <w:rsid w:val="00407A3F"/>
    <w:rsid w:val="00410F0F"/>
    <w:rsid w:val="00411BF2"/>
    <w:rsid w:val="004131CE"/>
    <w:rsid w:val="00414C38"/>
    <w:rsid w:val="0041522A"/>
    <w:rsid w:val="00415B2C"/>
    <w:rsid w:val="00420939"/>
    <w:rsid w:val="00420D35"/>
    <w:rsid w:val="00420F57"/>
    <w:rsid w:val="004227FB"/>
    <w:rsid w:val="00422D51"/>
    <w:rsid w:val="004233A1"/>
    <w:rsid w:val="004308BE"/>
    <w:rsid w:val="00430B74"/>
    <w:rsid w:val="00431ADA"/>
    <w:rsid w:val="00433426"/>
    <w:rsid w:val="00433C90"/>
    <w:rsid w:val="004358DF"/>
    <w:rsid w:val="0043685E"/>
    <w:rsid w:val="00437BA5"/>
    <w:rsid w:val="00437ED5"/>
    <w:rsid w:val="004408F9"/>
    <w:rsid w:val="004439FC"/>
    <w:rsid w:val="00443CB4"/>
    <w:rsid w:val="0044582B"/>
    <w:rsid w:val="004473FB"/>
    <w:rsid w:val="00450523"/>
    <w:rsid w:val="0045107E"/>
    <w:rsid w:val="00453460"/>
    <w:rsid w:val="0045575B"/>
    <w:rsid w:val="00460139"/>
    <w:rsid w:val="0046083D"/>
    <w:rsid w:val="00462934"/>
    <w:rsid w:val="00463A4B"/>
    <w:rsid w:val="00464C09"/>
    <w:rsid w:val="0046625C"/>
    <w:rsid w:val="00466892"/>
    <w:rsid w:val="00467EA7"/>
    <w:rsid w:val="00472DC9"/>
    <w:rsid w:val="00474781"/>
    <w:rsid w:val="00481551"/>
    <w:rsid w:val="004855FF"/>
    <w:rsid w:val="00490C77"/>
    <w:rsid w:val="00491A69"/>
    <w:rsid w:val="00493D0F"/>
    <w:rsid w:val="00494B5F"/>
    <w:rsid w:val="004979AB"/>
    <w:rsid w:val="004A0B11"/>
    <w:rsid w:val="004A0D27"/>
    <w:rsid w:val="004A3189"/>
    <w:rsid w:val="004A5E60"/>
    <w:rsid w:val="004A61F2"/>
    <w:rsid w:val="004A6CFB"/>
    <w:rsid w:val="004B148A"/>
    <w:rsid w:val="004B6F40"/>
    <w:rsid w:val="004B7138"/>
    <w:rsid w:val="004B7C97"/>
    <w:rsid w:val="004C12BA"/>
    <w:rsid w:val="004C1FD1"/>
    <w:rsid w:val="004C2285"/>
    <w:rsid w:val="004C2CFA"/>
    <w:rsid w:val="004C5392"/>
    <w:rsid w:val="004C57E4"/>
    <w:rsid w:val="004C5E0E"/>
    <w:rsid w:val="004D0D88"/>
    <w:rsid w:val="004D1065"/>
    <w:rsid w:val="004D3DEF"/>
    <w:rsid w:val="004D3FB3"/>
    <w:rsid w:val="004D5A29"/>
    <w:rsid w:val="004D7324"/>
    <w:rsid w:val="004D76E4"/>
    <w:rsid w:val="004E3051"/>
    <w:rsid w:val="004E4A89"/>
    <w:rsid w:val="004E6B06"/>
    <w:rsid w:val="004F0848"/>
    <w:rsid w:val="004F2AFD"/>
    <w:rsid w:val="004F4B99"/>
    <w:rsid w:val="004F76BB"/>
    <w:rsid w:val="00501234"/>
    <w:rsid w:val="0050272F"/>
    <w:rsid w:val="005027C7"/>
    <w:rsid w:val="00502F6E"/>
    <w:rsid w:val="005031A1"/>
    <w:rsid w:val="005048E8"/>
    <w:rsid w:val="00505893"/>
    <w:rsid w:val="00507DA3"/>
    <w:rsid w:val="005102A3"/>
    <w:rsid w:val="0051070C"/>
    <w:rsid w:val="00510918"/>
    <w:rsid w:val="00512600"/>
    <w:rsid w:val="00513465"/>
    <w:rsid w:val="0051352B"/>
    <w:rsid w:val="0051782D"/>
    <w:rsid w:val="0052011E"/>
    <w:rsid w:val="0052247C"/>
    <w:rsid w:val="0052415C"/>
    <w:rsid w:val="0052590D"/>
    <w:rsid w:val="005269D4"/>
    <w:rsid w:val="00526BBD"/>
    <w:rsid w:val="005302D8"/>
    <w:rsid w:val="00530368"/>
    <w:rsid w:val="00531982"/>
    <w:rsid w:val="00534F65"/>
    <w:rsid w:val="005370E4"/>
    <w:rsid w:val="0054227B"/>
    <w:rsid w:val="00542676"/>
    <w:rsid w:val="00542EFF"/>
    <w:rsid w:val="005451A6"/>
    <w:rsid w:val="005454A3"/>
    <w:rsid w:val="005523BD"/>
    <w:rsid w:val="005533DF"/>
    <w:rsid w:val="005535DA"/>
    <w:rsid w:val="005542B8"/>
    <w:rsid w:val="005551A6"/>
    <w:rsid w:val="0055658E"/>
    <w:rsid w:val="00562D2C"/>
    <w:rsid w:val="00563A9D"/>
    <w:rsid w:val="00563C3B"/>
    <w:rsid w:val="005647F7"/>
    <w:rsid w:val="00565F4D"/>
    <w:rsid w:val="00566F7C"/>
    <w:rsid w:val="005678CE"/>
    <w:rsid w:val="00567C33"/>
    <w:rsid w:val="0057592F"/>
    <w:rsid w:val="00576E87"/>
    <w:rsid w:val="00577624"/>
    <w:rsid w:val="005836B1"/>
    <w:rsid w:val="00585975"/>
    <w:rsid w:val="00586D51"/>
    <w:rsid w:val="00592D9C"/>
    <w:rsid w:val="005931E8"/>
    <w:rsid w:val="005940C2"/>
    <w:rsid w:val="0059592D"/>
    <w:rsid w:val="00596235"/>
    <w:rsid w:val="00597657"/>
    <w:rsid w:val="00597735"/>
    <w:rsid w:val="00597CC9"/>
    <w:rsid w:val="005A15E9"/>
    <w:rsid w:val="005A3F6E"/>
    <w:rsid w:val="005A5619"/>
    <w:rsid w:val="005A7E0F"/>
    <w:rsid w:val="005B0F53"/>
    <w:rsid w:val="005B2A6F"/>
    <w:rsid w:val="005B2C58"/>
    <w:rsid w:val="005B4306"/>
    <w:rsid w:val="005B5DAB"/>
    <w:rsid w:val="005B5DDF"/>
    <w:rsid w:val="005B6A03"/>
    <w:rsid w:val="005C3F25"/>
    <w:rsid w:val="005C63E4"/>
    <w:rsid w:val="005C6DF5"/>
    <w:rsid w:val="005D1E78"/>
    <w:rsid w:val="005E159B"/>
    <w:rsid w:val="005E33CA"/>
    <w:rsid w:val="005E3487"/>
    <w:rsid w:val="005F1710"/>
    <w:rsid w:val="005F2494"/>
    <w:rsid w:val="005F30CD"/>
    <w:rsid w:val="005F49FF"/>
    <w:rsid w:val="005F76EC"/>
    <w:rsid w:val="005F7DAC"/>
    <w:rsid w:val="006013A7"/>
    <w:rsid w:val="00601527"/>
    <w:rsid w:val="006033A0"/>
    <w:rsid w:val="0060408D"/>
    <w:rsid w:val="00610161"/>
    <w:rsid w:val="00611607"/>
    <w:rsid w:val="006133EA"/>
    <w:rsid w:val="0061729F"/>
    <w:rsid w:val="0061797D"/>
    <w:rsid w:val="0062185A"/>
    <w:rsid w:val="00623D11"/>
    <w:rsid w:val="00623DB4"/>
    <w:rsid w:val="00624F72"/>
    <w:rsid w:val="0063711B"/>
    <w:rsid w:val="00641CAF"/>
    <w:rsid w:val="00643B00"/>
    <w:rsid w:val="0064453D"/>
    <w:rsid w:val="00646775"/>
    <w:rsid w:val="006507CD"/>
    <w:rsid w:val="0065168F"/>
    <w:rsid w:val="006516F5"/>
    <w:rsid w:val="0065554F"/>
    <w:rsid w:val="00656189"/>
    <w:rsid w:val="00661AA6"/>
    <w:rsid w:val="00662E55"/>
    <w:rsid w:val="006642A6"/>
    <w:rsid w:val="0066460F"/>
    <w:rsid w:val="00666D98"/>
    <w:rsid w:val="006711CA"/>
    <w:rsid w:val="00673252"/>
    <w:rsid w:val="006744D0"/>
    <w:rsid w:val="00675527"/>
    <w:rsid w:val="0067679B"/>
    <w:rsid w:val="00677B58"/>
    <w:rsid w:val="00681437"/>
    <w:rsid w:val="00683255"/>
    <w:rsid w:val="00683F34"/>
    <w:rsid w:val="00684B79"/>
    <w:rsid w:val="00686697"/>
    <w:rsid w:val="00691ECC"/>
    <w:rsid w:val="006925FC"/>
    <w:rsid w:val="00692A60"/>
    <w:rsid w:val="00692EA3"/>
    <w:rsid w:val="0069388B"/>
    <w:rsid w:val="006A2AA0"/>
    <w:rsid w:val="006A2F5F"/>
    <w:rsid w:val="006A390D"/>
    <w:rsid w:val="006A3E62"/>
    <w:rsid w:val="006A6EFE"/>
    <w:rsid w:val="006A7698"/>
    <w:rsid w:val="006B0C92"/>
    <w:rsid w:val="006B486A"/>
    <w:rsid w:val="006B4CFB"/>
    <w:rsid w:val="006B559A"/>
    <w:rsid w:val="006B5F12"/>
    <w:rsid w:val="006B64E7"/>
    <w:rsid w:val="006B7B00"/>
    <w:rsid w:val="006C00B5"/>
    <w:rsid w:val="006C1DC1"/>
    <w:rsid w:val="006C3B0D"/>
    <w:rsid w:val="006C688D"/>
    <w:rsid w:val="006D0821"/>
    <w:rsid w:val="006D2FA4"/>
    <w:rsid w:val="006D4672"/>
    <w:rsid w:val="006D4714"/>
    <w:rsid w:val="006E16F5"/>
    <w:rsid w:val="006E2465"/>
    <w:rsid w:val="006E4E32"/>
    <w:rsid w:val="006F031A"/>
    <w:rsid w:val="006F120F"/>
    <w:rsid w:val="006F1A86"/>
    <w:rsid w:val="006F3128"/>
    <w:rsid w:val="006F3BA0"/>
    <w:rsid w:val="006F40B2"/>
    <w:rsid w:val="006F44CD"/>
    <w:rsid w:val="006F5907"/>
    <w:rsid w:val="006F63CD"/>
    <w:rsid w:val="007032DB"/>
    <w:rsid w:val="007060D7"/>
    <w:rsid w:val="00707E66"/>
    <w:rsid w:val="007130A2"/>
    <w:rsid w:val="00713B1B"/>
    <w:rsid w:val="00713B7E"/>
    <w:rsid w:val="00713E9F"/>
    <w:rsid w:val="007237BC"/>
    <w:rsid w:val="00724D45"/>
    <w:rsid w:val="00724DA6"/>
    <w:rsid w:val="00725496"/>
    <w:rsid w:val="0072619A"/>
    <w:rsid w:val="00727512"/>
    <w:rsid w:val="00730D90"/>
    <w:rsid w:val="0073398E"/>
    <w:rsid w:val="007370E1"/>
    <w:rsid w:val="00741591"/>
    <w:rsid w:val="00745775"/>
    <w:rsid w:val="007458AA"/>
    <w:rsid w:val="007464E1"/>
    <w:rsid w:val="00746923"/>
    <w:rsid w:val="00747E8F"/>
    <w:rsid w:val="00751E88"/>
    <w:rsid w:val="0075529E"/>
    <w:rsid w:val="00755F29"/>
    <w:rsid w:val="00760D5E"/>
    <w:rsid w:val="00762732"/>
    <w:rsid w:val="00762872"/>
    <w:rsid w:val="007630F0"/>
    <w:rsid w:val="00763D6F"/>
    <w:rsid w:val="00763EF0"/>
    <w:rsid w:val="0076523A"/>
    <w:rsid w:val="007660FA"/>
    <w:rsid w:val="00766980"/>
    <w:rsid w:val="00766EB4"/>
    <w:rsid w:val="007702E7"/>
    <w:rsid w:val="00772952"/>
    <w:rsid w:val="00772D81"/>
    <w:rsid w:val="00773C39"/>
    <w:rsid w:val="00773DF4"/>
    <w:rsid w:val="00773FEA"/>
    <w:rsid w:val="0077555B"/>
    <w:rsid w:val="0077599B"/>
    <w:rsid w:val="00775EFB"/>
    <w:rsid w:val="00776442"/>
    <w:rsid w:val="00780BCC"/>
    <w:rsid w:val="00786385"/>
    <w:rsid w:val="007934C9"/>
    <w:rsid w:val="007935B5"/>
    <w:rsid w:val="007955F8"/>
    <w:rsid w:val="007A2AB4"/>
    <w:rsid w:val="007A3797"/>
    <w:rsid w:val="007A6298"/>
    <w:rsid w:val="007A7DBB"/>
    <w:rsid w:val="007B1649"/>
    <w:rsid w:val="007B33A9"/>
    <w:rsid w:val="007B54B6"/>
    <w:rsid w:val="007B5967"/>
    <w:rsid w:val="007C1AD2"/>
    <w:rsid w:val="007C23D5"/>
    <w:rsid w:val="007C26B4"/>
    <w:rsid w:val="007C2D8A"/>
    <w:rsid w:val="007D0F10"/>
    <w:rsid w:val="007D10BF"/>
    <w:rsid w:val="007D23B9"/>
    <w:rsid w:val="007D2F19"/>
    <w:rsid w:val="007D489D"/>
    <w:rsid w:val="007D48C2"/>
    <w:rsid w:val="007D4B75"/>
    <w:rsid w:val="007D71B2"/>
    <w:rsid w:val="007E104F"/>
    <w:rsid w:val="007E6629"/>
    <w:rsid w:val="007F0873"/>
    <w:rsid w:val="007F44C5"/>
    <w:rsid w:val="007F5154"/>
    <w:rsid w:val="007F55BA"/>
    <w:rsid w:val="007F5C6A"/>
    <w:rsid w:val="008027A8"/>
    <w:rsid w:val="00802AD0"/>
    <w:rsid w:val="008036C5"/>
    <w:rsid w:val="00806E63"/>
    <w:rsid w:val="0081028D"/>
    <w:rsid w:val="00811F5F"/>
    <w:rsid w:val="0081470B"/>
    <w:rsid w:val="00814C63"/>
    <w:rsid w:val="00814FB5"/>
    <w:rsid w:val="00815753"/>
    <w:rsid w:val="008163DE"/>
    <w:rsid w:val="0082494D"/>
    <w:rsid w:val="00827929"/>
    <w:rsid w:val="00831B7F"/>
    <w:rsid w:val="008325A5"/>
    <w:rsid w:val="008336D4"/>
    <w:rsid w:val="0083371C"/>
    <w:rsid w:val="00835256"/>
    <w:rsid w:val="00836235"/>
    <w:rsid w:val="00836332"/>
    <w:rsid w:val="0083756E"/>
    <w:rsid w:val="0084016E"/>
    <w:rsid w:val="0084650C"/>
    <w:rsid w:val="00847379"/>
    <w:rsid w:val="00847F8F"/>
    <w:rsid w:val="0085339E"/>
    <w:rsid w:val="008547E2"/>
    <w:rsid w:val="00856FA6"/>
    <w:rsid w:val="0085795F"/>
    <w:rsid w:val="00857D92"/>
    <w:rsid w:val="00860FBB"/>
    <w:rsid w:val="008610ED"/>
    <w:rsid w:val="00861C9D"/>
    <w:rsid w:val="00862792"/>
    <w:rsid w:val="008649F9"/>
    <w:rsid w:val="008664B7"/>
    <w:rsid w:val="00871542"/>
    <w:rsid w:val="00874993"/>
    <w:rsid w:val="008762CB"/>
    <w:rsid w:val="00881028"/>
    <w:rsid w:val="008817E0"/>
    <w:rsid w:val="00881E43"/>
    <w:rsid w:val="00882F31"/>
    <w:rsid w:val="00883DA0"/>
    <w:rsid w:val="00884337"/>
    <w:rsid w:val="00884943"/>
    <w:rsid w:val="00885419"/>
    <w:rsid w:val="00885C9F"/>
    <w:rsid w:val="00890ED2"/>
    <w:rsid w:val="008916F9"/>
    <w:rsid w:val="00892468"/>
    <w:rsid w:val="00892CB4"/>
    <w:rsid w:val="00893155"/>
    <w:rsid w:val="0089342B"/>
    <w:rsid w:val="00895891"/>
    <w:rsid w:val="008A004A"/>
    <w:rsid w:val="008A0899"/>
    <w:rsid w:val="008A0CCD"/>
    <w:rsid w:val="008A2850"/>
    <w:rsid w:val="008A730C"/>
    <w:rsid w:val="008B399A"/>
    <w:rsid w:val="008B3F50"/>
    <w:rsid w:val="008B7337"/>
    <w:rsid w:val="008B7462"/>
    <w:rsid w:val="008C0809"/>
    <w:rsid w:val="008C18B2"/>
    <w:rsid w:val="008C1BAE"/>
    <w:rsid w:val="008C2BD9"/>
    <w:rsid w:val="008C2D04"/>
    <w:rsid w:val="008C4240"/>
    <w:rsid w:val="008C7D56"/>
    <w:rsid w:val="008C7E8C"/>
    <w:rsid w:val="008D0AD0"/>
    <w:rsid w:val="008D28A1"/>
    <w:rsid w:val="008D5718"/>
    <w:rsid w:val="008D574A"/>
    <w:rsid w:val="008D5760"/>
    <w:rsid w:val="008E2152"/>
    <w:rsid w:val="008E395C"/>
    <w:rsid w:val="008F1179"/>
    <w:rsid w:val="008F510D"/>
    <w:rsid w:val="008F5289"/>
    <w:rsid w:val="0090075E"/>
    <w:rsid w:val="009032AC"/>
    <w:rsid w:val="009041F0"/>
    <w:rsid w:val="00904ED0"/>
    <w:rsid w:val="00906598"/>
    <w:rsid w:val="009105E3"/>
    <w:rsid w:val="00911C21"/>
    <w:rsid w:val="009129C5"/>
    <w:rsid w:val="0091358F"/>
    <w:rsid w:val="009147CA"/>
    <w:rsid w:val="00921D73"/>
    <w:rsid w:val="00921FEF"/>
    <w:rsid w:val="00923806"/>
    <w:rsid w:val="0092450A"/>
    <w:rsid w:val="009317AC"/>
    <w:rsid w:val="00932B89"/>
    <w:rsid w:val="0093550E"/>
    <w:rsid w:val="00936B11"/>
    <w:rsid w:val="00936D88"/>
    <w:rsid w:val="00940146"/>
    <w:rsid w:val="009402C9"/>
    <w:rsid w:val="00943751"/>
    <w:rsid w:val="00944A11"/>
    <w:rsid w:val="00951D34"/>
    <w:rsid w:val="00952EC3"/>
    <w:rsid w:val="0095426A"/>
    <w:rsid w:val="00955BA7"/>
    <w:rsid w:val="00956793"/>
    <w:rsid w:val="0095796A"/>
    <w:rsid w:val="00960D7D"/>
    <w:rsid w:val="0096168D"/>
    <w:rsid w:val="00962930"/>
    <w:rsid w:val="00965A3F"/>
    <w:rsid w:val="00965FDC"/>
    <w:rsid w:val="0096690B"/>
    <w:rsid w:val="00971BF2"/>
    <w:rsid w:val="009731E1"/>
    <w:rsid w:val="009751A6"/>
    <w:rsid w:val="0098118B"/>
    <w:rsid w:val="00981AA3"/>
    <w:rsid w:val="00981CB8"/>
    <w:rsid w:val="0098521B"/>
    <w:rsid w:val="0098759E"/>
    <w:rsid w:val="0099022C"/>
    <w:rsid w:val="00990F6C"/>
    <w:rsid w:val="009922A7"/>
    <w:rsid w:val="00992520"/>
    <w:rsid w:val="00993F3D"/>
    <w:rsid w:val="00994257"/>
    <w:rsid w:val="00995988"/>
    <w:rsid w:val="00995EFF"/>
    <w:rsid w:val="009A5421"/>
    <w:rsid w:val="009B1C16"/>
    <w:rsid w:val="009C0C62"/>
    <w:rsid w:val="009C1307"/>
    <w:rsid w:val="009C5C81"/>
    <w:rsid w:val="009C6897"/>
    <w:rsid w:val="009D0049"/>
    <w:rsid w:val="009D1F82"/>
    <w:rsid w:val="009D27EC"/>
    <w:rsid w:val="009D6D9B"/>
    <w:rsid w:val="009E2178"/>
    <w:rsid w:val="009E317D"/>
    <w:rsid w:val="009E4F77"/>
    <w:rsid w:val="009E58BB"/>
    <w:rsid w:val="009E79BD"/>
    <w:rsid w:val="009F0DE0"/>
    <w:rsid w:val="009F0F7D"/>
    <w:rsid w:val="009F3BB5"/>
    <w:rsid w:val="009F4E45"/>
    <w:rsid w:val="009F6CC9"/>
    <w:rsid w:val="00A02D08"/>
    <w:rsid w:val="00A06462"/>
    <w:rsid w:val="00A074A1"/>
    <w:rsid w:val="00A10F14"/>
    <w:rsid w:val="00A154EE"/>
    <w:rsid w:val="00A15587"/>
    <w:rsid w:val="00A15605"/>
    <w:rsid w:val="00A16707"/>
    <w:rsid w:val="00A16CB2"/>
    <w:rsid w:val="00A2004B"/>
    <w:rsid w:val="00A210C8"/>
    <w:rsid w:val="00A22CA6"/>
    <w:rsid w:val="00A24461"/>
    <w:rsid w:val="00A2646C"/>
    <w:rsid w:val="00A265B9"/>
    <w:rsid w:val="00A300D8"/>
    <w:rsid w:val="00A309F8"/>
    <w:rsid w:val="00A324CA"/>
    <w:rsid w:val="00A33095"/>
    <w:rsid w:val="00A36753"/>
    <w:rsid w:val="00A36939"/>
    <w:rsid w:val="00A37DEB"/>
    <w:rsid w:val="00A411EB"/>
    <w:rsid w:val="00A42D46"/>
    <w:rsid w:val="00A43C8E"/>
    <w:rsid w:val="00A457D6"/>
    <w:rsid w:val="00A4757D"/>
    <w:rsid w:val="00A47A31"/>
    <w:rsid w:val="00A47FE1"/>
    <w:rsid w:val="00A50470"/>
    <w:rsid w:val="00A51874"/>
    <w:rsid w:val="00A54F7B"/>
    <w:rsid w:val="00A61978"/>
    <w:rsid w:val="00A62C5C"/>
    <w:rsid w:val="00A644C5"/>
    <w:rsid w:val="00A67A4B"/>
    <w:rsid w:val="00A70FF6"/>
    <w:rsid w:val="00A7252A"/>
    <w:rsid w:val="00A730F7"/>
    <w:rsid w:val="00A7443B"/>
    <w:rsid w:val="00A838DE"/>
    <w:rsid w:val="00A94195"/>
    <w:rsid w:val="00A95FFA"/>
    <w:rsid w:val="00A97EF1"/>
    <w:rsid w:val="00AA25E9"/>
    <w:rsid w:val="00AA2A9D"/>
    <w:rsid w:val="00AA31E4"/>
    <w:rsid w:val="00AA3A45"/>
    <w:rsid w:val="00AA7A8F"/>
    <w:rsid w:val="00AA7D7D"/>
    <w:rsid w:val="00AB0FA8"/>
    <w:rsid w:val="00AB2536"/>
    <w:rsid w:val="00AB2556"/>
    <w:rsid w:val="00AB2B81"/>
    <w:rsid w:val="00AB2F36"/>
    <w:rsid w:val="00AB4A85"/>
    <w:rsid w:val="00AB5AAC"/>
    <w:rsid w:val="00AB6CF1"/>
    <w:rsid w:val="00AB6D7A"/>
    <w:rsid w:val="00AB788A"/>
    <w:rsid w:val="00AB7C89"/>
    <w:rsid w:val="00AC628A"/>
    <w:rsid w:val="00AC74EB"/>
    <w:rsid w:val="00AC754B"/>
    <w:rsid w:val="00AD27B7"/>
    <w:rsid w:val="00AD7245"/>
    <w:rsid w:val="00AE4BCF"/>
    <w:rsid w:val="00AE5D1F"/>
    <w:rsid w:val="00AE787D"/>
    <w:rsid w:val="00AF1FA4"/>
    <w:rsid w:val="00AF3A00"/>
    <w:rsid w:val="00AF4E3F"/>
    <w:rsid w:val="00AF7CE7"/>
    <w:rsid w:val="00B008F5"/>
    <w:rsid w:val="00B013F1"/>
    <w:rsid w:val="00B113E8"/>
    <w:rsid w:val="00B12D95"/>
    <w:rsid w:val="00B13B3A"/>
    <w:rsid w:val="00B20832"/>
    <w:rsid w:val="00B20BC2"/>
    <w:rsid w:val="00B212E5"/>
    <w:rsid w:val="00B2393C"/>
    <w:rsid w:val="00B23B6C"/>
    <w:rsid w:val="00B25708"/>
    <w:rsid w:val="00B25C09"/>
    <w:rsid w:val="00B27590"/>
    <w:rsid w:val="00B35067"/>
    <w:rsid w:val="00B35BE4"/>
    <w:rsid w:val="00B37444"/>
    <w:rsid w:val="00B403BA"/>
    <w:rsid w:val="00B40514"/>
    <w:rsid w:val="00B409FB"/>
    <w:rsid w:val="00B476FB"/>
    <w:rsid w:val="00B52992"/>
    <w:rsid w:val="00B53215"/>
    <w:rsid w:val="00B536C3"/>
    <w:rsid w:val="00B541C6"/>
    <w:rsid w:val="00B54B1C"/>
    <w:rsid w:val="00B56195"/>
    <w:rsid w:val="00B57A5D"/>
    <w:rsid w:val="00B60332"/>
    <w:rsid w:val="00B61960"/>
    <w:rsid w:val="00B66F51"/>
    <w:rsid w:val="00B70E14"/>
    <w:rsid w:val="00B713A2"/>
    <w:rsid w:val="00B71B53"/>
    <w:rsid w:val="00B76EE1"/>
    <w:rsid w:val="00B8042E"/>
    <w:rsid w:val="00B80691"/>
    <w:rsid w:val="00B836AD"/>
    <w:rsid w:val="00B85DB3"/>
    <w:rsid w:val="00B8637F"/>
    <w:rsid w:val="00B9613B"/>
    <w:rsid w:val="00B96D95"/>
    <w:rsid w:val="00BA1979"/>
    <w:rsid w:val="00BA266F"/>
    <w:rsid w:val="00BA5FDF"/>
    <w:rsid w:val="00BB2123"/>
    <w:rsid w:val="00BB2788"/>
    <w:rsid w:val="00BB2893"/>
    <w:rsid w:val="00BB451B"/>
    <w:rsid w:val="00BB4E7B"/>
    <w:rsid w:val="00BB4EB1"/>
    <w:rsid w:val="00BB4FBE"/>
    <w:rsid w:val="00BB6D87"/>
    <w:rsid w:val="00BC1F85"/>
    <w:rsid w:val="00BC4156"/>
    <w:rsid w:val="00BC4E8C"/>
    <w:rsid w:val="00BC55E1"/>
    <w:rsid w:val="00BD1850"/>
    <w:rsid w:val="00BD29DC"/>
    <w:rsid w:val="00BD2CA7"/>
    <w:rsid w:val="00BD4258"/>
    <w:rsid w:val="00BD425E"/>
    <w:rsid w:val="00BD6C91"/>
    <w:rsid w:val="00BD716C"/>
    <w:rsid w:val="00BE22AA"/>
    <w:rsid w:val="00BE3570"/>
    <w:rsid w:val="00BE5B47"/>
    <w:rsid w:val="00BE62F2"/>
    <w:rsid w:val="00BE6491"/>
    <w:rsid w:val="00BE6FD9"/>
    <w:rsid w:val="00BE7EDE"/>
    <w:rsid w:val="00BF0A7E"/>
    <w:rsid w:val="00BF26B8"/>
    <w:rsid w:val="00BF48AA"/>
    <w:rsid w:val="00BF7781"/>
    <w:rsid w:val="00BF7A2B"/>
    <w:rsid w:val="00C01E41"/>
    <w:rsid w:val="00C04B16"/>
    <w:rsid w:val="00C05A97"/>
    <w:rsid w:val="00C06FAD"/>
    <w:rsid w:val="00C126C1"/>
    <w:rsid w:val="00C143FB"/>
    <w:rsid w:val="00C17522"/>
    <w:rsid w:val="00C17973"/>
    <w:rsid w:val="00C20185"/>
    <w:rsid w:val="00C20890"/>
    <w:rsid w:val="00C2188B"/>
    <w:rsid w:val="00C230EF"/>
    <w:rsid w:val="00C24845"/>
    <w:rsid w:val="00C25A8E"/>
    <w:rsid w:val="00C261C7"/>
    <w:rsid w:val="00C2663D"/>
    <w:rsid w:val="00C268F4"/>
    <w:rsid w:val="00C322C4"/>
    <w:rsid w:val="00C3637F"/>
    <w:rsid w:val="00C3677E"/>
    <w:rsid w:val="00C36CE1"/>
    <w:rsid w:val="00C41A18"/>
    <w:rsid w:val="00C41A83"/>
    <w:rsid w:val="00C41A9E"/>
    <w:rsid w:val="00C42CE1"/>
    <w:rsid w:val="00C46508"/>
    <w:rsid w:val="00C47E4E"/>
    <w:rsid w:val="00C5073D"/>
    <w:rsid w:val="00C50D99"/>
    <w:rsid w:val="00C54DA9"/>
    <w:rsid w:val="00C5676B"/>
    <w:rsid w:val="00C63CD6"/>
    <w:rsid w:val="00C65955"/>
    <w:rsid w:val="00C66906"/>
    <w:rsid w:val="00C71869"/>
    <w:rsid w:val="00C72521"/>
    <w:rsid w:val="00C74AE3"/>
    <w:rsid w:val="00C74DBC"/>
    <w:rsid w:val="00C76570"/>
    <w:rsid w:val="00C77A19"/>
    <w:rsid w:val="00C77DC6"/>
    <w:rsid w:val="00C807F7"/>
    <w:rsid w:val="00C83043"/>
    <w:rsid w:val="00C83ECC"/>
    <w:rsid w:val="00C84996"/>
    <w:rsid w:val="00C868B9"/>
    <w:rsid w:val="00C8773B"/>
    <w:rsid w:val="00C92A0F"/>
    <w:rsid w:val="00C938A9"/>
    <w:rsid w:val="00C97025"/>
    <w:rsid w:val="00C9794F"/>
    <w:rsid w:val="00CA4427"/>
    <w:rsid w:val="00CB294D"/>
    <w:rsid w:val="00CB623F"/>
    <w:rsid w:val="00CB6E71"/>
    <w:rsid w:val="00CC005B"/>
    <w:rsid w:val="00CC0764"/>
    <w:rsid w:val="00CC1CB6"/>
    <w:rsid w:val="00CC1D49"/>
    <w:rsid w:val="00CC28F1"/>
    <w:rsid w:val="00CC4DF5"/>
    <w:rsid w:val="00CC5659"/>
    <w:rsid w:val="00CC5CD3"/>
    <w:rsid w:val="00CC7F9C"/>
    <w:rsid w:val="00CD007D"/>
    <w:rsid w:val="00CD4D80"/>
    <w:rsid w:val="00CD52BB"/>
    <w:rsid w:val="00CD6203"/>
    <w:rsid w:val="00CE35B4"/>
    <w:rsid w:val="00CE366B"/>
    <w:rsid w:val="00CE4D4A"/>
    <w:rsid w:val="00CE57F2"/>
    <w:rsid w:val="00CE6093"/>
    <w:rsid w:val="00CF53D6"/>
    <w:rsid w:val="00CF62A2"/>
    <w:rsid w:val="00CF6D38"/>
    <w:rsid w:val="00CF728F"/>
    <w:rsid w:val="00CF7532"/>
    <w:rsid w:val="00D010E4"/>
    <w:rsid w:val="00D01D74"/>
    <w:rsid w:val="00D03E43"/>
    <w:rsid w:val="00D04DD7"/>
    <w:rsid w:val="00D12296"/>
    <w:rsid w:val="00D12CA8"/>
    <w:rsid w:val="00D16004"/>
    <w:rsid w:val="00D201E7"/>
    <w:rsid w:val="00D211BC"/>
    <w:rsid w:val="00D21A4B"/>
    <w:rsid w:val="00D22853"/>
    <w:rsid w:val="00D25224"/>
    <w:rsid w:val="00D25A85"/>
    <w:rsid w:val="00D44493"/>
    <w:rsid w:val="00D45D5E"/>
    <w:rsid w:val="00D46687"/>
    <w:rsid w:val="00D47185"/>
    <w:rsid w:val="00D47DD4"/>
    <w:rsid w:val="00D50B77"/>
    <w:rsid w:val="00D615B8"/>
    <w:rsid w:val="00D61B38"/>
    <w:rsid w:val="00D6420E"/>
    <w:rsid w:val="00D66505"/>
    <w:rsid w:val="00D66C84"/>
    <w:rsid w:val="00D706E0"/>
    <w:rsid w:val="00D75015"/>
    <w:rsid w:val="00D7509D"/>
    <w:rsid w:val="00D770C4"/>
    <w:rsid w:val="00D77262"/>
    <w:rsid w:val="00D81801"/>
    <w:rsid w:val="00D87517"/>
    <w:rsid w:val="00D9000B"/>
    <w:rsid w:val="00D9033B"/>
    <w:rsid w:val="00D9135E"/>
    <w:rsid w:val="00D91395"/>
    <w:rsid w:val="00D92CC6"/>
    <w:rsid w:val="00D95F54"/>
    <w:rsid w:val="00D96016"/>
    <w:rsid w:val="00D961F7"/>
    <w:rsid w:val="00D96D0C"/>
    <w:rsid w:val="00DA2B77"/>
    <w:rsid w:val="00DA7547"/>
    <w:rsid w:val="00DA78B6"/>
    <w:rsid w:val="00DB152E"/>
    <w:rsid w:val="00DB16C3"/>
    <w:rsid w:val="00DB1850"/>
    <w:rsid w:val="00DB2D21"/>
    <w:rsid w:val="00DB3D58"/>
    <w:rsid w:val="00DB48E7"/>
    <w:rsid w:val="00DC1588"/>
    <w:rsid w:val="00DC3B29"/>
    <w:rsid w:val="00DC71A2"/>
    <w:rsid w:val="00DD02E6"/>
    <w:rsid w:val="00DD3A30"/>
    <w:rsid w:val="00DD3BF8"/>
    <w:rsid w:val="00DD40B8"/>
    <w:rsid w:val="00DD6AD1"/>
    <w:rsid w:val="00DE3054"/>
    <w:rsid w:val="00DE4177"/>
    <w:rsid w:val="00DE4CAC"/>
    <w:rsid w:val="00DE5FA7"/>
    <w:rsid w:val="00DF23F6"/>
    <w:rsid w:val="00DF6F7C"/>
    <w:rsid w:val="00E00DC5"/>
    <w:rsid w:val="00E02DF4"/>
    <w:rsid w:val="00E03AD1"/>
    <w:rsid w:val="00E03F23"/>
    <w:rsid w:val="00E16BEB"/>
    <w:rsid w:val="00E20BE9"/>
    <w:rsid w:val="00E2345B"/>
    <w:rsid w:val="00E237B6"/>
    <w:rsid w:val="00E247E2"/>
    <w:rsid w:val="00E261F5"/>
    <w:rsid w:val="00E271C9"/>
    <w:rsid w:val="00E27545"/>
    <w:rsid w:val="00E30D84"/>
    <w:rsid w:val="00E30E1B"/>
    <w:rsid w:val="00E31A8E"/>
    <w:rsid w:val="00E31B22"/>
    <w:rsid w:val="00E327F2"/>
    <w:rsid w:val="00E36D3F"/>
    <w:rsid w:val="00E4190B"/>
    <w:rsid w:val="00E427BC"/>
    <w:rsid w:val="00E454F8"/>
    <w:rsid w:val="00E508A2"/>
    <w:rsid w:val="00E5174D"/>
    <w:rsid w:val="00E51C4B"/>
    <w:rsid w:val="00E5271E"/>
    <w:rsid w:val="00E57B5E"/>
    <w:rsid w:val="00E600E1"/>
    <w:rsid w:val="00E60D90"/>
    <w:rsid w:val="00E677D5"/>
    <w:rsid w:val="00E711A8"/>
    <w:rsid w:val="00E7280A"/>
    <w:rsid w:val="00E73A73"/>
    <w:rsid w:val="00E757EA"/>
    <w:rsid w:val="00E77647"/>
    <w:rsid w:val="00E81176"/>
    <w:rsid w:val="00E81EA3"/>
    <w:rsid w:val="00E830F8"/>
    <w:rsid w:val="00E83754"/>
    <w:rsid w:val="00E84FD8"/>
    <w:rsid w:val="00E85CEE"/>
    <w:rsid w:val="00E91BB9"/>
    <w:rsid w:val="00E93CAA"/>
    <w:rsid w:val="00E950E3"/>
    <w:rsid w:val="00EA02BB"/>
    <w:rsid w:val="00EA1546"/>
    <w:rsid w:val="00EA173A"/>
    <w:rsid w:val="00EA18D6"/>
    <w:rsid w:val="00EA290A"/>
    <w:rsid w:val="00EA2D2D"/>
    <w:rsid w:val="00EA5488"/>
    <w:rsid w:val="00EA6361"/>
    <w:rsid w:val="00EB06A9"/>
    <w:rsid w:val="00EB33D3"/>
    <w:rsid w:val="00EB4D2D"/>
    <w:rsid w:val="00EB67B2"/>
    <w:rsid w:val="00EB67ED"/>
    <w:rsid w:val="00EC0B1B"/>
    <w:rsid w:val="00EC0BE3"/>
    <w:rsid w:val="00EC4DD6"/>
    <w:rsid w:val="00EC7B12"/>
    <w:rsid w:val="00EC7D83"/>
    <w:rsid w:val="00ED5881"/>
    <w:rsid w:val="00ED6FD2"/>
    <w:rsid w:val="00EE096B"/>
    <w:rsid w:val="00EE41B2"/>
    <w:rsid w:val="00EE53AC"/>
    <w:rsid w:val="00EE7346"/>
    <w:rsid w:val="00EE7849"/>
    <w:rsid w:val="00EF18E2"/>
    <w:rsid w:val="00EF5141"/>
    <w:rsid w:val="00EF610F"/>
    <w:rsid w:val="00EF6C3F"/>
    <w:rsid w:val="00F00AA8"/>
    <w:rsid w:val="00F02249"/>
    <w:rsid w:val="00F051BF"/>
    <w:rsid w:val="00F05338"/>
    <w:rsid w:val="00F10057"/>
    <w:rsid w:val="00F1295D"/>
    <w:rsid w:val="00F176DA"/>
    <w:rsid w:val="00F17E04"/>
    <w:rsid w:val="00F2124E"/>
    <w:rsid w:val="00F22064"/>
    <w:rsid w:val="00F243B3"/>
    <w:rsid w:val="00F24447"/>
    <w:rsid w:val="00F24811"/>
    <w:rsid w:val="00F24C7D"/>
    <w:rsid w:val="00F26A97"/>
    <w:rsid w:val="00F30DE4"/>
    <w:rsid w:val="00F3106E"/>
    <w:rsid w:val="00F325B7"/>
    <w:rsid w:val="00F35FF9"/>
    <w:rsid w:val="00F37240"/>
    <w:rsid w:val="00F45F45"/>
    <w:rsid w:val="00F46533"/>
    <w:rsid w:val="00F474F7"/>
    <w:rsid w:val="00F507BD"/>
    <w:rsid w:val="00F52E18"/>
    <w:rsid w:val="00F53F84"/>
    <w:rsid w:val="00F652AD"/>
    <w:rsid w:val="00F6695D"/>
    <w:rsid w:val="00F749FF"/>
    <w:rsid w:val="00F75871"/>
    <w:rsid w:val="00F75930"/>
    <w:rsid w:val="00F80FC6"/>
    <w:rsid w:val="00F81C36"/>
    <w:rsid w:val="00F857F2"/>
    <w:rsid w:val="00F90F3D"/>
    <w:rsid w:val="00F90FA0"/>
    <w:rsid w:val="00F922EB"/>
    <w:rsid w:val="00F92362"/>
    <w:rsid w:val="00F938A7"/>
    <w:rsid w:val="00F96B5F"/>
    <w:rsid w:val="00FA339B"/>
    <w:rsid w:val="00FA657D"/>
    <w:rsid w:val="00FA67AE"/>
    <w:rsid w:val="00FA6844"/>
    <w:rsid w:val="00FB0541"/>
    <w:rsid w:val="00FB1F70"/>
    <w:rsid w:val="00FB2BB7"/>
    <w:rsid w:val="00FB4919"/>
    <w:rsid w:val="00FB4941"/>
    <w:rsid w:val="00FB768D"/>
    <w:rsid w:val="00FB7DA0"/>
    <w:rsid w:val="00FC1E29"/>
    <w:rsid w:val="00FC3588"/>
    <w:rsid w:val="00FC5D34"/>
    <w:rsid w:val="00FC6BC8"/>
    <w:rsid w:val="00FD0C78"/>
    <w:rsid w:val="00FD1B50"/>
    <w:rsid w:val="00FD1C99"/>
    <w:rsid w:val="00FD2B95"/>
    <w:rsid w:val="00FD64FE"/>
    <w:rsid w:val="00FD6916"/>
    <w:rsid w:val="00FD7445"/>
    <w:rsid w:val="00FD7977"/>
    <w:rsid w:val="00FE4129"/>
    <w:rsid w:val="00FE4255"/>
    <w:rsid w:val="00FE56BC"/>
    <w:rsid w:val="00FE5D16"/>
    <w:rsid w:val="00FE7589"/>
    <w:rsid w:val="00FE7F77"/>
    <w:rsid w:val="00FF1290"/>
    <w:rsid w:val="00FF379C"/>
    <w:rsid w:val="00FF4085"/>
    <w:rsid w:val="00FF4116"/>
    <w:rsid w:val="00FF4FF1"/>
    <w:rsid w:val="00FF5738"/>
    <w:rsid w:val="00FF7A79"/>
    <w:rsid w:val="22C21BAD"/>
    <w:rsid w:val="325AB7FF"/>
    <w:rsid w:val="4CB85965"/>
    <w:rsid w:val="55D4FECE"/>
    <w:rsid w:val="6BA0A565"/>
    <w:rsid w:val="78926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9F710A7F-4343-4F58-940E-3DF92B0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noProof/>
      <w:sz w:val="16"/>
    </w:rPr>
  </w:style>
  <w:style w:type="character" w:customStyle="1" w:styleId="FooterChar">
    <w:name w:val="Footer Char"/>
    <w:basedOn w:val="DefaultParagraphFont"/>
    <w:link w:val="Footer"/>
    <w:rsid w:val="00CD4D80"/>
    <w:rPr>
      <w:rFonts w:ascii="Times New Roman" w:hAnsi="Times New Roman"/>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rPr>
  </w:style>
  <w:style w:type="paragraph" w:customStyle="1" w:styleId="Title2">
    <w:name w:val="Title 2"/>
    <w:basedOn w:val="Title1"/>
    <w:next w:val="Normal"/>
    <w:rsid w:val="00CD4D80"/>
  </w:style>
  <w:style w:type="paragraph" w:customStyle="1" w:styleId="Title3">
    <w:name w:val="Title 3"/>
    <w:basedOn w:val="Title2"/>
    <w:next w:val="Normal"/>
    <w:rsid w:val="00CD4D80"/>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 w:type="paragraph" w:customStyle="1" w:styleId="Figuretitle">
    <w:name w:val="Figure_title"/>
    <w:basedOn w:val="Normal"/>
    <w:next w:val="Normal"/>
    <w:rsid w:val="00F96B5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F96B5F"/>
    <w:pPr>
      <w:keepNext/>
      <w:keepLines/>
      <w:tabs>
        <w:tab w:val="clear" w:pos="794"/>
        <w:tab w:val="clear" w:pos="1191"/>
        <w:tab w:val="clear" w:pos="1588"/>
        <w:tab w:val="clear" w:pos="1985"/>
        <w:tab w:val="left" w:pos="1134"/>
        <w:tab w:val="left" w:pos="1871"/>
        <w:tab w:val="left" w:pos="2268"/>
      </w:tabs>
      <w:spacing w:before="480" w:after="120"/>
      <w:jc w:val="center"/>
    </w:pPr>
    <w:rPr>
      <w:sz w:val="20"/>
    </w:rPr>
  </w:style>
  <w:style w:type="character" w:customStyle="1" w:styleId="ui-provider">
    <w:name w:val="ui-provider"/>
    <w:basedOn w:val="DefaultParagraphFont"/>
    <w:rsid w:val="002A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5367">
      <w:bodyDiv w:val="1"/>
      <w:marLeft w:val="0"/>
      <w:marRight w:val="0"/>
      <w:marTop w:val="0"/>
      <w:marBottom w:val="0"/>
      <w:divBdr>
        <w:top w:val="none" w:sz="0" w:space="0" w:color="auto"/>
        <w:left w:val="none" w:sz="0" w:space="0" w:color="auto"/>
        <w:bottom w:val="none" w:sz="0" w:space="0" w:color="auto"/>
        <w:right w:val="none" w:sz="0" w:space="0" w:color="auto"/>
      </w:divBdr>
    </w:div>
    <w:div w:id="108790083">
      <w:bodyDiv w:val="1"/>
      <w:marLeft w:val="0"/>
      <w:marRight w:val="0"/>
      <w:marTop w:val="0"/>
      <w:marBottom w:val="0"/>
      <w:divBdr>
        <w:top w:val="none" w:sz="0" w:space="0" w:color="auto"/>
        <w:left w:val="none" w:sz="0" w:space="0" w:color="auto"/>
        <w:bottom w:val="none" w:sz="0" w:space="0" w:color="auto"/>
        <w:right w:val="none" w:sz="0" w:space="0" w:color="auto"/>
      </w:divBdr>
    </w:div>
    <w:div w:id="110519664">
      <w:bodyDiv w:val="1"/>
      <w:marLeft w:val="0"/>
      <w:marRight w:val="0"/>
      <w:marTop w:val="0"/>
      <w:marBottom w:val="0"/>
      <w:divBdr>
        <w:top w:val="none" w:sz="0" w:space="0" w:color="auto"/>
        <w:left w:val="none" w:sz="0" w:space="0" w:color="auto"/>
        <w:bottom w:val="none" w:sz="0" w:space="0" w:color="auto"/>
        <w:right w:val="none" w:sz="0" w:space="0" w:color="auto"/>
      </w:divBdr>
    </w:div>
    <w:div w:id="134765325">
      <w:bodyDiv w:val="1"/>
      <w:marLeft w:val="0"/>
      <w:marRight w:val="0"/>
      <w:marTop w:val="0"/>
      <w:marBottom w:val="0"/>
      <w:divBdr>
        <w:top w:val="none" w:sz="0" w:space="0" w:color="auto"/>
        <w:left w:val="none" w:sz="0" w:space="0" w:color="auto"/>
        <w:bottom w:val="none" w:sz="0" w:space="0" w:color="auto"/>
        <w:right w:val="none" w:sz="0" w:space="0" w:color="auto"/>
      </w:divBdr>
    </w:div>
    <w:div w:id="508451575">
      <w:bodyDiv w:val="1"/>
      <w:marLeft w:val="0"/>
      <w:marRight w:val="0"/>
      <w:marTop w:val="0"/>
      <w:marBottom w:val="0"/>
      <w:divBdr>
        <w:top w:val="none" w:sz="0" w:space="0" w:color="auto"/>
        <w:left w:val="none" w:sz="0" w:space="0" w:color="auto"/>
        <w:bottom w:val="none" w:sz="0" w:space="0" w:color="auto"/>
        <w:right w:val="none" w:sz="0" w:space="0" w:color="auto"/>
      </w:divBdr>
    </w:div>
    <w:div w:id="532765134">
      <w:bodyDiv w:val="1"/>
      <w:marLeft w:val="0"/>
      <w:marRight w:val="0"/>
      <w:marTop w:val="0"/>
      <w:marBottom w:val="0"/>
      <w:divBdr>
        <w:top w:val="none" w:sz="0" w:space="0" w:color="auto"/>
        <w:left w:val="none" w:sz="0" w:space="0" w:color="auto"/>
        <w:bottom w:val="none" w:sz="0" w:space="0" w:color="auto"/>
        <w:right w:val="none" w:sz="0" w:space="0" w:color="auto"/>
      </w:divBdr>
    </w:div>
    <w:div w:id="685865760">
      <w:bodyDiv w:val="1"/>
      <w:marLeft w:val="0"/>
      <w:marRight w:val="0"/>
      <w:marTop w:val="0"/>
      <w:marBottom w:val="0"/>
      <w:divBdr>
        <w:top w:val="none" w:sz="0" w:space="0" w:color="auto"/>
        <w:left w:val="none" w:sz="0" w:space="0" w:color="auto"/>
        <w:bottom w:val="none" w:sz="0" w:space="0" w:color="auto"/>
        <w:right w:val="none" w:sz="0" w:space="0" w:color="auto"/>
      </w:divBdr>
    </w:div>
    <w:div w:id="738596296">
      <w:bodyDiv w:val="1"/>
      <w:marLeft w:val="0"/>
      <w:marRight w:val="0"/>
      <w:marTop w:val="0"/>
      <w:marBottom w:val="0"/>
      <w:divBdr>
        <w:top w:val="none" w:sz="0" w:space="0" w:color="auto"/>
        <w:left w:val="none" w:sz="0" w:space="0" w:color="auto"/>
        <w:bottom w:val="none" w:sz="0" w:space="0" w:color="auto"/>
        <w:right w:val="none" w:sz="0" w:space="0" w:color="auto"/>
      </w:divBdr>
    </w:div>
    <w:div w:id="806319742">
      <w:bodyDiv w:val="1"/>
      <w:marLeft w:val="0"/>
      <w:marRight w:val="0"/>
      <w:marTop w:val="0"/>
      <w:marBottom w:val="0"/>
      <w:divBdr>
        <w:top w:val="none" w:sz="0" w:space="0" w:color="auto"/>
        <w:left w:val="none" w:sz="0" w:space="0" w:color="auto"/>
        <w:bottom w:val="none" w:sz="0" w:space="0" w:color="auto"/>
        <w:right w:val="none" w:sz="0" w:space="0" w:color="auto"/>
      </w:divBdr>
    </w:div>
    <w:div w:id="860312969">
      <w:bodyDiv w:val="1"/>
      <w:marLeft w:val="0"/>
      <w:marRight w:val="0"/>
      <w:marTop w:val="0"/>
      <w:marBottom w:val="0"/>
      <w:divBdr>
        <w:top w:val="none" w:sz="0" w:space="0" w:color="auto"/>
        <w:left w:val="none" w:sz="0" w:space="0" w:color="auto"/>
        <w:bottom w:val="none" w:sz="0" w:space="0" w:color="auto"/>
        <w:right w:val="none" w:sz="0" w:space="0" w:color="auto"/>
      </w:divBdr>
    </w:div>
    <w:div w:id="1029062536">
      <w:bodyDiv w:val="1"/>
      <w:marLeft w:val="0"/>
      <w:marRight w:val="0"/>
      <w:marTop w:val="0"/>
      <w:marBottom w:val="0"/>
      <w:divBdr>
        <w:top w:val="none" w:sz="0" w:space="0" w:color="auto"/>
        <w:left w:val="none" w:sz="0" w:space="0" w:color="auto"/>
        <w:bottom w:val="none" w:sz="0" w:space="0" w:color="auto"/>
        <w:right w:val="none" w:sz="0" w:space="0" w:color="auto"/>
      </w:divBdr>
    </w:div>
    <w:div w:id="1089622319">
      <w:bodyDiv w:val="1"/>
      <w:marLeft w:val="0"/>
      <w:marRight w:val="0"/>
      <w:marTop w:val="0"/>
      <w:marBottom w:val="0"/>
      <w:divBdr>
        <w:top w:val="none" w:sz="0" w:space="0" w:color="auto"/>
        <w:left w:val="none" w:sz="0" w:space="0" w:color="auto"/>
        <w:bottom w:val="none" w:sz="0" w:space="0" w:color="auto"/>
        <w:right w:val="none" w:sz="0" w:space="0" w:color="auto"/>
      </w:divBdr>
    </w:div>
    <w:div w:id="1115253772">
      <w:bodyDiv w:val="1"/>
      <w:marLeft w:val="0"/>
      <w:marRight w:val="0"/>
      <w:marTop w:val="0"/>
      <w:marBottom w:val="0"/>
      <w:divBdr>
        <w:top w:val="none" w:sz="0" w:space="0" w:color="auto"/>
        <w:left w:val="none" w:sz="0" w:space="0" w:color="auto"/>
        <w:bottom w:val="none" w:sz="0" w:space="0" w:color="auto"/>
        <w:right w:val="none" w:sz="0" w:space="0" w:color="auto"/>
      </w:divBdr>
    </w:div>
    <w:div w:id="1172523028">
      <w:bodyDiv w:val="1"/>
      <w:marLeft w:val="0"/>
      <w:marRight w:val="0"/>
      <w:marTop w:val="0"/>
      <w:marBottom w:val="0"/>
      <w:divBdr>
        <w:top w:val="none" w:sz="0" w:space="0" w:color="auto"/>
        <w:left w:val="none" w:sz="0" w:space="0" w:color="auto"/>
        <w:bottom w:val="none" w:sz="0" w:space="0" w:color="auto"/>
        <w:right w:val="none" w:sz="0" w:space="0" w:color="auto"/>
      </w:divBdr>
    </w:div>
    <w:div w:id="1252011273">
      <w:bodyDiv w:val="1"/>
      <w:marLeft w:val="0"/>
      <w:marRight w:val="0"/>
      <w:marTop w:val="0"/>
      <w:marBottom w:val="0"/>
      <w:divBdr>
        <w:top w:val="none" w:sz="0" w:space="0" w:color="auto"/>
        <w:left w:val="none" w:sz="0" w:space="0" w:color="auto"/>
        <w:bottom w:val="none" w:sz="0" w:space="0" w:color="auto"/>
        <w:right w:val="none" w:sz="0" w:space="0" w:color="auto"/>
      </w:divBdr>
    </w:div>
    <w:div w:id="1294824585">
      <w:bodyDiv w:val="1"/>
      <w:marLeft w:val="0"/>
      <w:marRight w:val="0"/>
      <w:marTop w:val="0"/>
      <w:marBottom w:val="0"/>
      <w:divBdr>
        <w:top w:val="none" w:sz="0" w:space="0" w:color="auto"/>
        <w:left w:val="none" w:sz="0" w:space="0" w:color="auto"/>
        <w:bottom w:val="none" w:sz="0" w:space="0" w:color="auto"/>
        <w:right w:val="none" w:sz="0" w:space="0" w:color="auto"/>
      </w:divBdr>
    </w:div>
    <w:div w:id="1337803959">
      <w:bodyDiv w:val="1"/>
      <w:marLeft w:val="0"/>
      <w:marRight w:val="0"/>
      <w:marTop w:val="0"/>
      <w:marBottom w:val="0"/>
      <w:divBdr>
        <w:top w:val="none" w:sz="0" w:space="0" w:color="auto"/>
        <w:left w:val="none" w:sz="0" w:space="0" w:color="auto"/>
        <w:bottom w:val="none" w:sz="0" w:space="0" w:color="auto"/>
        <w:right w:val="none" w:sz="0" w:space="0" w:color="auto"/>
      </w:divBdr>
    </w:div>
    <w:div w:id="1506283798">
      <w:bodyDiv w:val="1"/>
      <w:marLeft w:val="0"/>
      <w:marRight w:val="0"/>
      <w:marTop w:val="0"/>
      <w:marBottom w:val="0"/>
      <w:divBdr>
        <w:top w:val="none" w:sz="0" w:space="0" w:color="auto"/>
        <w:left w:val="none" w:sz="0" w:space="0" w:color="auto"/>
        <w:bottom w:val="none" w:sz="0" w:space="0" w:color="auto"/>
        <w:right w:val="none" w:sz="0" w:space="0" w:color="auto"/>
      </w:divBdr>
    </w:div>
    <w:div w:id="1518887450">
      <w:bodyDiv w:val="1"/>
      <w:marLeft w:val="0"/>
      <w:marRight w:val="0"/>
      <w:marTop w:val="0"/>
      <w:marBottom w:val="0"/>
      <w:divBdr>
        <w:top w:val="none" w:sz="0" w:space="0" w:color="auto"/>
        <w:left w:val="none" w:sz="0" w:space="0" w:color="auto"/>
        <w:bottom w:val="none" w:sz="0" w:space="0" w:color="auto"/>
        <w:right w:val="none" w:sz="0" w:space="0" w:color="auto"/>
      </w:divBdr>
    </w:div>
    <w:div w:id="1555577917">
      <w:bodyDiv w:val="1"/>
      <w:marLeft w:val="0"/>
      <w:marRight w:val="0"/>
      <w:marTop w:val="0"/>
      <w:marBottom w:val="0"/>
      <w:divBdr>
        <w:top w:val="none" w:sz="0" w:space="0" w:color="auto"/>
        <w:left w:val="none" w:sz="0" w:space="0" w:color="auto"/>
        <w:bottom w:val="none" w:sz="0" w:space="0" w:color="auto"/>
        <w:right w:val="none" w:sz="0" w:space="0" w:color="auto"/>
      </w:divBdr>
    </w:div>
    <w:div w:id="1557887358">
      <w:bodyDiv w:val="1"/>
      <w:marLeft w:val="0"/>
      <w:marRight w:val="0"/>
      <w:marTop w:val="0"/>
      <w:marBottom w:val="0"/>
      <w:divBdr>
        <w:top w:val="none" w:sz="0" w:space="0" w:color="auto"/>
        <w:left w:val="none" w:sz="0" w:space="0" w:color="auto"/>
        <w:bottom w:val="none" w:sz="0" w:space="0" w:color="auto"/>
        <w:right w:val="none" w:sz="0" w:space="0" w:color="auto"/>
      </w:divBdr>
    </w:div>
    <w:div w:id="1619988868">
      <w:bodyDiv w:val="1"/>
      <w:marLeft w:val="0"/>
      <w:marRight w:val="0"/>
      <w:marTop w:val="0"/>
      <w:marBottom w:val="0"/>
      <w:divBdr>
        <w:top w:val="none" w:sz="0" w:space="0" w:color="auto"/>
        <w:left w:val="none" w:sz="0" w:space="0" w:color="auto"/>
        <w:bottom w:val="none" w:sz="0" w:space="0" w:color="auto"/>
        <w:right w:val="none" w:sz="0" w:space="0" w:color="auto"/>
      </w:divBdr>
    </w:div>
    <w:div w:id="1794516146">
      <w:bodyDiv w:val="1"/>
      <w:marLeft w:val="0"/>
      <w:marRight w:val="0"/>
      <w:marTop w:val="0"/>
      <w:marBottom w:val="0"/>
      <w:divBdr>
        <w:top w:val="none" w:sz="0" w:space="0" w:color="auto"/>
        <w:left w:val="none" w:sz="0" w:space="0" w:color="auto"/>
        <w:bottom w:val="none" w:sz="0" w:space="0" w:color="auto"/>
        <w:right w:val="none" w:sz="0" w:space="0" w:color="auto"/>
      </w:divBdr>
    </w:div>
    <w:div w:id="1796869307">
      <w:bodyDiv w:val="1"/>
      <w:marLeft w:val="0"/>
      <w:marRight w:val="0"/>
      <w:marTop w:val="0"/>
      <w:marBottom w:val="0"/>
      <w:divBdr>
        <w:top w:val="none" w:sz="0" w:space="0" w:color="auto"/>
        <w:left w:val="none" w:sz="0" w:space="0" w:color="auto"/>
        <w:bottom w:val="none" w:sz="0" w:space="0" w:color="auto"/>
        <w:right w:val="none" w:sz="0" w:space="0" w:color="auto"/>
      </w:divBdr>
    </w:div>
    <w:div w:id="1936790661">
      <w:bodyDiv w:val="1"/>
      <w:marLeft w:val="0"/>
      <w:marRight w:val="0"/>
      <w:marTop w:val="0"/>
      <w:marBottom w:val="0"/>
      <w:divBdr>
        <w:top w:val="none" w:sz="0" w:space="0" w:color="auto"/>
        <w:left w:val="none" w:sz="0" w:space="0" w:color="auto"/>
        <w:bottom w:val="none" w:sz="0" w:space="0" w:color="auto"/>
        <w:right w:val="none" w:sz="0" w:space="0" w:color="auto"/>
      </w:divBdr>
    </w:div>
    <w:div w:id="1954510897">
      <w:bodyDiv w:val="1"/>
      <w:marLeft w:val="0"/>
      <w:marRight w:val="0"/>
      <w:marTop w:val="0"/>
      <w:marBottom w:val="0"/>
      <w:divBdr>
        <w:top w:val="none" w:sz="0" w:space="0" w:color="auto"/>
        <w:left w:val="none" w:sz="0" w:space="0" w:color="auto"/>
        <w:bottom w:val="none" w:sz="0" w:space="0" w:color="auto"/>
        <w:right w:val="none" w:sz="0" w:space="0" w:color="auto"/>
      </w:divBdr>
    </w:div>
    <w:div w:id="19823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itu.int/md/R00-SG01-CIR-0113/fr" TargetMode="External"/><Relationship Id="rId26" Type="http://schemas.openxmlformats.org/officeDocument/2006/relationships/hyperlink" Target="https://www.itu.int/en/general-secretariat/Pages/coordination-committee-for-terminology.aspx" TargetMode="External"/><Relationship Id="rId39" Type="http://schemas.openxmlformats.org/officeDocument/2006/relationships/hyperlink" Target="https://www.itu.int/pub/R-OP-R.104/fr" TargetMode="External"/><Relationship Id="rId21" Type="http://schemas.openxmlformats.org/officeDocument/2006/relationships/hyperlink" Target="https://www.itu.int/md/R00-CACE-CIR-1129/fr" TargetMode="External"/><Relationship Id="rId34" Type="http://schemas.openxmlformats.org/officeDocument/2006/relationships/hyperlink" Target="https://www.itu.int/en/ITU-R/study-groups/Pages/Sustainable-dev-goals.aspx" TargetMode="External"/><Relationship Id="rId42" Type="http://schemas.openxmlformats.org/officeDocument/2006/relationships/hyperlink" Target="https://www.itu.int/pub/R-REP-BT.2385-1-2022" TargetMode="External"/><Relationship Id="rId47"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23-SG01-C-0027/fr" TargetMode="External"/><Relationship Id="rId29" Type="http://schemas.openxmlformats.org/officeDocument/2006/relationships/hyperlink" Target="https://www.itu.int/md/R23-RA23-C-0101/fr" TargetMode="External"/><Relationship Id="rId11" Type="http://schemas.openxmlformats.org/officeDocument/2006/relationships/image" Target="media/image1.jpeg"/><Relationship Id="rId24" Type="http://schemas.openxmlformats.org/officeDocument/2006/relationships/hyperlink" Target="https://www.itu.int/dms_pub/itu-r/oth/0a/07/R0A070000470001PDFE.pdf" TargetMode="External"/><Relationship Id="rId32" Type="http://schemas.openxmlformats.org/officeDocument/2006/relationships/hyperlink" Target="https://www.itu.int/pub/R-RES-R.9/fr" TargetMode="External"/><Relationship Id="rId37" Type="http://schemas.openxmlformats.org/officeDocument/2006/relationships/header" Target="header1.xml"/><Relationship Id="rId40" Type="http://schemas.openxmlformats.org/officeDocument/2006/relationships/hyperlink" Target="https://www.itu.int/md/R23-WP6C-C-0077/en" TargetMode="External"/><Relationship Id="rId45" Type="http://schemas.openxmlformats.org/officeDocument/2006/relationships/hyperlink" Target="https://www.itu.int/rec/R-REC-BT.2167/en" TargetMode="External"/><Relationship Id="rId5" Type="http://schemas.openxmlformats.org/officeDocument/2006/relationships/numbering" Target="numbering.xml"/><Relationship Id="rId15" Type="http://schemas.openxmlformats.org/officeDocument/2006/relationships/hyperlink" Target="https://www.itu.int/oth/R0A0E000097/fr" TargetMode="External"/><Relationship Id="rId23" Type="http://schemas.openxmlformats.org/officeDocument/2006/relationships/hyperlink" Target="https://www.itu.int/en/ITU-R/seminars/Future-of-tv-europe/Pages/default.aspx" TargetMode="External"/><Relationship Id="rId28" Type="http://schemas.openxmlformats.org/officeDocument/2006/relationships/hyperlink" Target="https://www.itu.int/br_tsb_terms/" TargetMode="External"/><Relationship Id="rId36" Type="http://schemas.openxmlformats.org/officeDocument/2006/relationships/hyperlink" Target="https://www.itu.int/md/R00-CA-CIR-0273/e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oth/R0A04000096/fr" TargetMode="External"/><Relationship Id="rId31" Type="http://schemas.openxmlformats.org/officeDocument/2006/relationships/hyperlink" Target="https://www.itu.int/md/R23-RAG-C-0030/fr" TargetMode="External"/><Relationship Id="rId44" Type="http://schemas.openxmlformats.org/officeDocument/2006/relationships/hyperlink" Target="https://www.itu.int/pub/R-REP-BT.25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oth/R0A01000004/fr" TargetMode="External"/><Relationship Id="rId22" Type="http://schemas.openxmlformats.org/officeDocument/2006/relationships/hyperlink" Target="https://www.itu.int/md/R00-SG04-CIR-0140/fr" TargetMode="External"/><Relationship Id="rId27" Type="http://schemas.openxmlformats.org/officeDocument/2006/relationships/hyperlink" Target="https://www.itu.int/md/S23-SG-CIR-0045/fr" TargetMode="External"/><Relationship Id="rId30" Type="http://schemas.openxmlformats.org/officeDocument/2006/relationships/hyperlink" Target="https://www.itu.int/md/R23-RA23-C-0091/fr" TargetMode="External"/><Relationship Id="rId35" Type="http://schemas.openxmlformats.org/officeDocument/2006/relationships/hyperlink" Target="https://www.itu.int/pub/R-RES-R.75/fr" TargetMode="External"/><Relationship Id="rId43" Type="http://schemas.openxmlformats.org/officeDocument/2006/relationships/hyperlink" Target="https://www.itu.int/pub/R-REP-BT.2521"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R00-CA-CIR-0276/en" TargetMode="External"/><Relationship Id="rId17" Type="http://schemas.openxmlformats.org/officeDocument/2006/relationships/hyperlink" Target="https://www.itu.int/md/R00-CACE-CIR-1131/fr" TargetMode="External"/><Relationship Id="rId25" Type="http://schemas.openxmlformats.org/officeDocument/2006/relationships/hyperlink" Target="https://www.itu.int/en/ITU-R/seminars/sg6-tmmb-2024/Pages/default.aspx" TargetMode="External"/><Relationship Id="rId33" Type="http://schemas.openxmlformats.org/officeDocument/2006/relationships/hyperlink" Target="https://www.itu.int/pub/R-RES-R.60/fr" TargetMode="External"/><Relationship Id="rId38" Type="http://schemas.openxmlformats.org/officeDocument/2006/relationships/hyperlink" Target="https://www.itu.int/pub/R-QUE-SG06.147/fr" TargetMode="External"/><Relationship Id="rId46" Type="http://schemas.openxmlformats.org/officeDocument/2006/relationships/hyperlink" Target="https://www.itu.int/dms_ties/itu-r/md/23/wp6c/c/R23-WP6C-C-0037!H3-N3.01!MSW-E.docx" TargetMode="External"/><Relationship Id="rId20" Type="http://schemas.openxmlformats.org/officeDocument/2006/relationships/hyperlink" Target="https://www.itu.int/oth/R0A04000095/fr" TargetMode="External"/><Relationship Id="rId41" Type="http://schemas.openxmlformats.org/officeDocument/2006/relationships/hyperlink" Target="https://www.itu.int/dms_ties/itu-r/md/23/wp6c/c/R23-WP6C-C-0077!H4-N4.01!MSW-E.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Physical</c:v>
                </c:pt>
              </c:strCache>
            </c:strRef>
          </c:tx>
          <c:spPr>
            <a:solidFill>
              <a:schemeClr val="accent1"/>
            </a:solidFill>
            <a:ln>
              <a:noFill/>
            </a:ln>
            <a:effectLst/>
          </c:spPr>
          <c:invertIfNegative val="0"/>
          <c:dPt>
            <c:idx val="4"/>
            <c:invertIfNegative val="0"/>
            <c:bubble3D val="0"/>
            <c:spPr>
              <a:solidFill>
                <a:srgbClr val="B85410"/>
              </a:solidFill>
              <a:ln>
                <a:noFill/>
              </a:ln>
              <a:effectLst/>
            </c:spPr>
            <c:extLst>
              <c:ext xmlns:c16="http://schemas.microsoft.com/office/drawing/2014/chart" uri="{C3380CC4-5D6E-409C-BE32-E72D297353CC}">
                <c16:uniqueId val="{00000001-1F0B-4C65-A247-7B3585714E50}"/>
              </c:ext>
            </c:extLst>
          </c:dPt>
          <c:dPt>
            <c:idx val="5"/>
            <c:invertIfNegative val="0"/>
            <c:bubble3D val="0"/>
            <c:spPr>
              <a:solidFill>
                <a:srgbClr val="ED7D31"/>
              </a:solidFill>
              <a:ln>
                <a:noFill/>
              </a:ln>
              <a:effectLst/>
            </c:spPr>
            <c:extLst>
              <c:ext xmlns:c16="http://schemas.microsoft.com/office/drawing/2014/chart" uri="{C3380CC4-5D6E-409C-BE32-E72D297353CC}">
                <c16:uniqueId val="{00000003-1F0B-4C65-A247-7B3585714E50}"/>
              </c:ext>
            </c:extLst>
          </c:dPt>
          <c:dPt>
            <c:idx val="6"/>
            <c:invertIfNegative val="0"/>
            <c:bubble3D val="0"/>
            <c:spPr>
              <a:solidFill>
                <a:srgbClr val="ED7D31"/>
              </a:solidFill>
              <a:ln>
                <a:noFill/>
              </a:ln>
              <a:effectLst/>
            </c:spPr>
            <c:extLst>
              <c:ext xmlns:c16="http://schemas.microsoft.com/office/drawing/2014/chart" uri="{C3380CC4-5D6E-409C-BE32-E72D297353CC}">
                <c16:uniqueId val="{00000005-1F0B-4C65-A247-7B3585714E50}"/>
              </c:ext>
            </c:extLst>
          </c:dPt>
          <c:dPt>
            <c:idx val="7"/>
            <c:invertIfNegative val="0"/>
            <c:bubble3D val="0"/>
            <c:spPr>
              <a:solidFill>
                <a:srgbClr val="ED7D31"/>
              </a:solidFill>
              <a:ln>
                <a:noFill/>
              </a:ln>
              <a:effectLst/>
            </c:spPr>
            <c:extLst>
              <c:ext xmlns:c16="http://schemas.microsoft.com/office/drawing/2014/chart" uri="{C3380CC4-5D6E-409C-BE32-E72D297353CC}">
                <c16:uniqueId val="{00000007-1F0B-4C65-A247-7B3585714E50}"/>
              </c:ext>
            </c:extLst>
          </c:dPt>
          <c:dPt>
            <c:idx val="8"/>
            <c:invertIfNegative val="0"/>
            <c:bubble3D val="0"/>
            <c:spPr>
              <a:solidFill>
                <a:srgbClr val="ED7D31"/>
              </a:solidFill>
              <a:ln>
                <a:noFill/>
              </a:ln>
              <a:effectLst/>
            </c:spPr>
            <c:extLst>
              <c:ext xmlns:c16="http://schemas.microsoft.com/office/drawing/2014/chart" uri="{C3380CC4-5D6E-409C-BE32-E72D297353CC}">
                <c16:uniqueId val="{00000009-1F0B-4C65-A247-7B3585714E50}"/>
              </c:ext>
            </c:extLst>
          </c:dPt>
          <c:dPt>
            <c:idx val="9"/>
            <c:invertIfNegative val="0"/>
            <c:bubble3D val="0"/>
            <c:spPr>
              <a:solidFill>
                <a:srgbClr val="00823B"/>
              </a:solidFill>
              <a:ln>
                <a:noFill/>
              </a:ln>
              <a:effectLst/>
            </c:spPr>
            <c:extLst>
              <c:ext xmlns:c16="http://schemas.microsoft.com/office/drawing/2014/chart" uri="{C3380CC4-5D6E-409C-BE32-E72D297353CC}">
                <c16:uniqueId val="{0000000B-1F0B-4C65-A247-7B3585714E50}"/>
              </c:ext>
            </c:extLst>
          </c:dPt>
          <c:dPt>
            <c:idx val="10"/>
            <c:invertIfNegative val="0"/>
            <c:bubble3D val="0"/>
            <c:spPr>
              <a:solidFill>
                <a:srgbClr val="00B050"/>
              </a:solidFill>
              <a:ln>
                <a:noFill/>
              </a:ln>
              <a:effectLst/>
            </c:spPr>
            <c:extLst>
              <c:ext xmlns:c16="http://schemas.microsoft.com/office/drawing/2014/chart" uri="{C3380CC4-5D6E-409C-BE32-E72D297353CC}">
                <c16:uniqueId val="{0000000D-1F0B-4C65-A247-7B3585714E50}"/>
              </c:ext>
            </c:extLst>
          </c:dPt>
          <c:dPt>
            <c:idx val="11"/>
            <c:invertIfNegative val="0"/>
            <c:bubble3D val="0"/>
            <c:spPr>
              <a:solidFill>
                <a:srgbClr val="00B050"/>
              </a:solidFill>
              <a:ln>
                <a:noFill/>
              </a:ln>
              <a:effectLst/>
            </c:spPr>
            <c:extLst>
              <c:ext xmlns:c16="http://schemas.microsoft.com/office/drawing/2014/chart" uri="{C3380CC4-5D6E-409C-BE32-E72D297353CC}">
                <c16:uniqueId val="{0000000F-1F0B-4C65-A247-7B3585714E50}"/>
              </c:ext>
            </c:extLst>
          </c:dPt>
          <c:dPt>
            <c:idx val="12"/>
            <c:invertIfNegative val="0"/>
            <c:bubble3D val="0"/>
            <c:spPr>
              <a:solidFill>
                <a:srgbClr val="00B050"/>
              </a:solidFill>
              <a:ln>
                <a:noFill/>
              </a:ln>
              <a:effectLst/>
            </c:spPr>
            <c:extLst>
              <c:ext xmlns:c16="http://schemas.microsoft.com/office/drawing/2014/chart" uri="{C3380CC4-5D6E-409C-BE32-E72D297353CC}">
                <c16:uniqueId val="{00000011-1F0B-4C65-A247-7B3585714E50}"/>
              </c:ext>
            </c:extLst>
          </c:dPt>
          <c:dPt>
            <c:idx val="13"/>
            <c:invertIfNegative val="0"/>
            <c:bubble3D val="0"/>
            <c:spPr>
              <a:solidFill>
                <a:srgbClr val="532476"/>
              </a:solidFill>
              <a:ln>
                <a:noFill/>
              </a:ln>
              <a:effectLst/>
            </c:spPr>
            <c:extLst>
              <c:ext xmlns:c16="http://schemas.microsoft.com/office/drawing/2014/chart" uri="{C3380CC4-5D6E-409C-BE32-E72D297353CC}">
                <c16:uniqueId val="{00000013-1F0B-4C65-A247-7B3585714E50}"/>
              </c:ext>
            </c:extLst>
          </c:dPt>
          <c:dPt>
            <c:idx val="14"/>
            <c:invertIfNegative val="0"/>
            <c:bubble3D val="0"/>
            <c:spPr>
              <a:solidFill>
                <a:srgbClr val="7030A0"/>
              </a:solidFill>
              <a:ln>
                <a:noFill/>
              </a:ln>
              <a:effectLst/>
            </c:spPr>
            <c:extLst>
              <c:ext xmlns:c16="http://schemas.microsoft.com/office/drawing/2014/chart" uri="{C3380CC4-5D6E-409C-BE32-E72D297353CC}">
                <c16:uniqueId val="{00000015-1F0B-4C65-A247-7B3585714E50}"/>
              </c:ext>
            </c:extLst>
          </c:dPt>
          <c:dPt>
            <c:idx val="15"/>
            <c:invertIfNegative val="0"/>
            <c:bubble3D val="0"/>
            <c:spPr>
              <a:solidFill>
                <a:srgbClr val="7030A0"/>
              </a:solidFill>
              <a:ln>
                <a:noFill/>
              </a:ln>
              <a:effectLst/>
            </c:spPr>
            <c:extLst>
              <c:ext xmlns:c16="http://schemas.microsoft.com/office/drawing/2014/chart" uri="{C3380CC4-5D6E-409C-BE32-E72D297353CC}">
                <c16:uniqueId val="{00000017-1F0B-4C65-A247-7B3585714E50}"/>
              </c:ext>
            </c:extLst>
          </c:dPt>
          <c:dPt>
            <c:idx val="16"/>
            <c:invertIfNegative val="0"/>
            <c:bubble3D val="0"/>
            <c:spPr>
              <a:solidFill>
                <a:srgbClr val="7030A0"/>
              </a:solidFill>
              <a:ln>
                <a:noFill/>
              </a:ln>
              <a:effectLst/>
            </c:spPr>
            <c:extLst>
              <c:ext xmlns:c16="http://schemas.microsoft.com/office/drawing/2014/chart" uri="{C3380CC4-5D6E-409C-BE32-E72D297353CC}">
                <c16:uniqueId val="{00000019-1F0B-4C65-A247-7B3585714E50}"/>
              </c:ext>
            </c:extLst>
          </c:dPt>
          <c:dPt>
            <c:idx val="17"/>
            <c:invertIfNegative val="0"/>
            <c:bubble3D val="0"/>
            <c:spPr>
              <a:solidFill>
                <a:srgbClr val="7030A0"/>
              </a:solidFill>
              <a:ln>
                <a:noFill/>
              </a:ln>
              <a:effectLst/>
            </c:spPr>
            <c:extLst>
              <c:ext xmlns:c16="http://schemas.microsoft.com/office/drawing/2014/chart" uri="{C3380CC4-5D6E-409C-BE32-E72D297353CC}">
                <c16:uniqueId val="{0000001B-1F0B-4C65-A247-7B3585714E50}"/>
              </c:ext>
            </c:extLst>
          </c:dPt>
          <c:dPt>
            <c:idx val="18"/>
            <c:invertIfNegative val="0"/>
            <c:bubble3D val="0"/>
            <c:spPr>
              <a:solidFill>
                <a:srgbClr val="A80000"/>
              </a:solidFill>
              <a:ln>
                <a:noFill/>
              </a:ln>
              <a:effectLst/>
            </c:spPr>
            <c:extLst>
              <c:ext xmlns:c16="http://schemas.microsoft.com/office/drawing/2014/chart" uri="{C3380CC4-5D6E-409C-BE32-E72D297353CC}">
                <c16:uniqueId val="{0000001D-1F0B-4C65-A247-7B3585714E50}"/>
              </c:ext>
            </c:extLst>
          </c:dPt>
          <c:dPt>
            <c:idx val="19"/>
            <c:invertIfNegative val="0"/>
            <c:bubble3D val="0"/>
            <c:spPr>
              <a:solidFill>
                <a:srgbClr val="C00000"/>
              </a:solidFill>
              <a:ln>
                <a:noFill/>
              </a:ln>
              <a:effectLst/>
            </c:spPr>
            <c:extLst>
              <c:ext xmlns:c16="http://schemas.microsoft.com/office/drawing/2014/chart" uri="{C3380CC4-5D6E-409C-BE32-E72D297353CC}">
                <c16:uniqueId val="{0000001F-1F0B-4C65-A247-7B3585714E50}"/>
              </c:ext>
            </c:extLst>
          </c:dPt>
          <c:dPt>
            <c:idx val="20"/>
            <c:invertIfNegative val="0"/>
            <c:bubble3D val="0"/>
            <c:spPr>
              <a:solidFill>
                <a:srgbClr val="C00000"/>
              </a:solidFill>
              <a:ln>
                <a:noFill/>
              </a:ln>
              <a:effectLst/>
            </c:spPr>
            <c:extLst>
              <c:ext xmlns:c16="http://schemas.microsoft.com/office/drawing/2014/chart" uri="{C3380CC4-5D6E-409C-BE32-E72D297353CC}">
                <c16:uniqueId val="{00000021-1F0B-4C65-A247-7B3585714E50}"/>
              </c:ext>
            </c:extLst>
          </c:dPt>
          <c:dPt>
            <c:idx val="21"/>
            <c:invertIfNegative val="0"/>
            <c:bubble3D val="0"/>
            <c:spPr>
              <a:solidFill>
                <a:srgbClr val="C00000"/>
              </a:solidFill>
              <a:ln>
                <a:noFill/>
              </a:ln>
              <a:effectLst/>
            </c:spPr>
            <c:extLst>
              <c:ext xmlns:c16="http://schemas.microsoft.com/office/drawing/2014/chart" uri="{C3380CC4-5D6E-409C-BE32-E72D297353CC}">
                <c16:uniqueId val="{00000023-1F0B-4C65-A247-7B3585714E50}"/>
              </c:ext>
            </c:extLst>
          </c:dPt>
          <c:dPt>
            <c:idx val="22"/>
            <c:invertIfNegative val="0"/>
            <c:bubble3D val="0"/>
            <c:spPr>
              <a:solidFill>
                <a:schemeClr val="bg1">
                  <a:lumMod val="50000"/>
                </a:schemeClr>
              </a:solidFill>
              <a:ln>
                <a:noFill/>
              </a:ln>
              <a:effectLst/>
            </c:spPr>
            <c:extLst>
              <c:ext xmlns:c16="http://schemas.microsoft.com/office/drawing/2014/chart" uri="{C3380CC4-5D6E-409C-BE32-E72D297353CC}">
                <c16:uniqueId val="{00000025-1F0B-4C65-A247-7B3585714E50}"/>
              </c:ext>
            </c:extLst>
          </c:dPt>
          <c:dPt>
            <c:idx val="23"/>
            <c:invertIfNegative val="0"/>
            <c:bubble3D val="0"/>
            <c:spPr>
              <a:solidFill>
                <a:schemeClr val="bg1">
                  <a:lumMod val="65000"/>
                </a:schemeClr>
              </a:solidFill>
              <a:ln>
                <a:noFill/>
              </a:ln>
              <a:effectLst/>
            </c:spPr>
            <c:extLst>
              <c:ext xmlns:c16="http://schemas.microsoft.com/office/drawing/2014/chart" uri="{C3380CC4-5D6E-409C-BE32-E72D297353CC}">
                <c16:uniqueId val="{00000027-1F0B-4C65-A247-7B3585714E50}"/>
              </c:ext>
            </c:extLst>
          </c:dPt>
          <c:dPt>
            <c:idx val="24"/>
            <c:invertIfNegative val="0"/>
            <c:bubble3D val="0"/>
            <c:spPr>
              <a:solidFill>
                <a:schemeClr val="bg1">
                  <a:lumMod val="65000"/>
                </a:schemeClr>
              </a:solidFill>
              <a:ln>
                <a:noFill/>
              </a:ln>
              <a:effectLst/>
            </c:spPr>
            <c:extLst>
              <c:ext xmlns:c16="http://schemas.microsoft.com/office/drawing/2014/chart" uri="{C3380CC4-5D6E-409C-BE32-E72D297353CC}">
                <c16:uniqueId val="{00000029-1F0B-4C65-A247-7B3585714E50}"/>
              </c:ext>
            </c:extLst>
          </c:dPt>
          <c:dPt>
            <c:idx val="25"/>
            <c:invertIfNegative val="0"/>
            <c:bubble3D val="0"/>
            <c:spPr>
              <a:solidFill>
                <a:schemeClr val="bg1">
                  <a:lumMod val="65000"/>
                </a:schemeClr>
              </a:solidFill>
              <a:ln>
                <a:noFill/>
              </a:ln>
              <a:effectLst/>
            </c:spPr>
            <c:extLst>
              <c:ext xmlns:c16="http://schemas.microsoft.com/office/drawing/2014/chart" uri="{C3380CC4-5D6E-409C-BE32-E72D297353CC}">
                <c16:uniqueId val="{0000002B-1F0B-4C65-A247-7B3585714E50}"/>
              </c:ext>
            </c:extLst>
          </c:dPt>
          <c:dPt>
            <c:idx val="26"/>
            <c:invertIfNegative val="0"/>
            <c:bubble3D val="0"/>
            <c:spPr>
              <a:solidFill>
                <a:schemeClr val="bg1">
                  <a:lumMod val="65000"/>
                </a:schemeClr>
              </a:solidFill>
              <a:ln>
                <a:noFill/>
              </a:ln>
              <a:effectLst/>
            </c:spPr>
            <c:extLst>
              <c:ext xmlns:c16="http://schemas.microsoft.com/office/drawing/2014/chart" uri="{C3380CC4-5D6E-409C-BE32-E72D297353CC}">
                <c16:uniqueId val="{0000002D-1F0B-4C65-A247-7B3585714E50}"/>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Sheet1!$A$2:$A$28</c:f>
              <c:strCache>
                <c:ptCount val="27"/>
                <c:pt idx="0">
                  <c:v>CE 1</c:v>
                </c:pt>
                <c:pt idx="1">
                  <c:v>GT 1A</c:v>
                </c:pt>
                <c:pt idx="2">
                  <c:v>GT 1B</c:v>
                </c:pt>
                <c:pt idx="3">
                  <c:v>GT 1C</c:v>
                </c:pt>
                <c:pt idx="4">
                  <c:v>CE 3</c:v>
                </c:pt>
                <c:pt idx="5">
                  <c:v>GT 3J</c:v>
                </c:pt>
                <c:pt idx="6">
                  <c:v>GT 3K</c:v>
                </c:pt>
                <c:pt idx="7">
                  <c:v>GT 3L</c:v>
                </c:pt>
                <c:pt idx="8">
                  <c:v>GT 3M</c:v>
                </c:pt>
                <c:pt idx="9">
                  <c:v>CE 4</c:v>
                </c:pt>
                <c:pt idx="10">
                  <c:v>GT 4A</c:v>
                </c:pt>
                <c:pt idx="11">
                  <c:v>GT 4B</c:v>
                </c:pt>
                <c:pt idx="12">
                  <c:v>GT 4C</c:v>
                </c:pt>
                <c:pt idx="13">
                  <c:v>CE 5</c:v>
                </c:pt>
                <c:pt idx="14">
                  <c:v>GT 5A</c:v>
                </c:pt>
                <c:pt idx="15">
                  <c:v>GT 5B</c:v>
                </c:pt>
                <c:pt idx="16">
                  <c:v>GT 5C</c:v>
                </c:pt>
                <c:pt idx="17">
                  <c:v>GT 5D</c:v>
                </c:pt>
                <c:pt idx="18">
                  <c:v>CE 6</c:v>
                </c:pt>
                <c:pt idx="19">
                  <c:v>GT 6A</c:v>
                </c:pt>
                <c:pt idx="20">
                  <c:v>GT 6B</c:v>
                </c:pt>
                <c:pt idx="21">
                  <c:v>GT 6C</c:v>
                </c:pt>
                <c:pt idx="22">
                  <c:v>CE 7</c:v>
                </c:pt>
                <c:pt idx="23">
                  <c:v>GT 7A</c:v>
                </c:pt>
                <c:pt idx="24">
                  <c:v>GT 7B</c:v>
                </c:pt>
                <c:pt idx="25">
                  <c:v>GT 7C</c:v>
                </c:pt>
                <c:pt idx="26">
                  <c:v>GT 7D</c:v>
                </c:pt>
              </c:strCache>
            </c:strRef>
          </c:cat>
          <c:val>
            <c:numRef>
              <c:f>Sheet1!$B$2:$B$28</c:f>
              <c:numCache>
                <c:formatCode>General</c:formatCode>
                <c:ptCount val="27"/>
                <c:pt idx="0">
                  <c:v>141</c:v>
                </c:pt>
                <c:pt idx="1">
                  <c:v>110</c:v>
                </c:pt>
                <c:pt idx="2">
                  <c:v>93</c:v>
                </c:pt>
                <c:pt idx="3">
                  <c:v>109</c:v>
                </c:pt>
                <c:pt idx="4">
                  <c:v>51</c:v>
                </c:pt>
                <c:pt idx="5">
                  <c:v>57</c:v>
                </c:pt>
                <c:pt idx="6">
                  <c:v>53</c:v>
                </c:pt>
                <c:pt idx="7">
                  <c:v>43</c:v>
                </c:pt>
                <c:pt idx="8">
                  <c:v>54</c:v>
                </c:pt>
                <c:pt idx="9">
                  <c:v>208</c:v>
                </c:pt>
                <c:pt idx="10">
                  <c:v>443</c:v>
                </c:pt>
                <c:pt idx="11">
                  <c:v>206</c:v>
                </c:pt>
                <c:pt idx="12">
                  <c:v>347</c:v>
                </c:pt>
                <c:pt idx="13">
                  <c:v>150</c:v>
                </c:pt>
                <c:pt idx="14">
                  <c:v>179</c:v>
                </c:pt>
                <c:pt idx="15">
                  <c:v>183</c:v>
                </c:pt>
                <c:pt idx="16">
                  <c:v>142</c:v>
                </c:pt>
                <c:pt idx="17">
                  <c:v>307</c:v>
                </c:pt>
                <c:pt idx="18">
                  <c:v>117</c:v>
                </c:pt>
                <c:pt idx="19">
                  <c:v>92</c:v>
                </c:pt>
                <c:pt idx="20">
                  <c:v>67</c:v>
                </c:pt>
                <c:pt idx="21">
                  <c:v>78</c:v>
                </c:pt>
                <c:pt idx="22">
                  <c:v>136</c:v>
                </c:pt>
                <c:pt idx="23">
                  <c:v>108</c:v>
                </c:pt>
                <c:pt idx="24">
                  <c:v>106</c:v>
                </c:pt>
                <c:pt idx="25">
                  <c:v>105</c:v>
                </c:pt>
                <c:pt idx="26">
                  <c:v>85</c:v>
                </c:pt>
              </c:numCache>
            </c:numRef>
          </c:val>
          <c:extLst>
            <c:ext xmlns:c16="http://schemas.microsoft.com/office/drawing/2014/chart" uri="{C3380CC4-5D6E-409C-BE32-E72D297353CC}">
              <c16:uniqueId val="{0000002E-1F0B-4C65-A247-7B3585714E50}"/>
            </c:ext>
          </c:extLst>
        </c:ser>
        <c:dLbls>
          <c:dLblPos val="outEnd"/>
          <c:showLegendKey val="0"/>
          <c:showVal val="1"/>
          <c:showCatName val="0"/>
          <c:showSerName val="0"/>
          <c:showPercent val="0"/>
          <c:showBubbleSize val="0"/>
        </c:dLbls>
        <c:gapWidth val="444"/>
        <c:overlap val="-90"/>
        <c:axId val="883584144"/>
        <c:axId val="883574064"/>
      </c:barChart>
      <c:catAx>
        <c:axId val="883584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en-GB" sz="800" cap="none" dirty="0"/>
                  <a:t>Groupe</a:t>
                </a:r>
                <a:endParaRPr lang="en-GB" sz="800" dirty="0"/>
              </a:p>
            </c:rich>
          </c:tx>
          <c:overlay val="0"/>
          <c:spPr>
            <a:noFill/>
            <a:ln>
              <a:noFill/>
            </a:ln>
            <a:effectLst/>
          </c:spPr>
          <c:txPr>
            <a:bodyPr rot="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cap="all" spc="120" normalizeH="0" baseline="0">
                <a:solidFill>
                  <a:schemeClr val="tx1">
                    <a:lumMod val="65000"/>
                    <a:lumOff val="35000"/>
                  </a:schemeClr>
                </a:solidFill>
                <a:latin typeface="+mn-lt"/>
                <a:ea typeface="+mn-ea"/>
                <a:cs typeface="+mn-cs"/>
              </a:defRPr>
            </a:pPr>
            <a:endParaRPr lang="en-US"/>
          </a:p>
        </c:txPr>
        <c:crossAx val="883574064"/>
        <c:crosses val="autoZero"/>
        <c:auto val="1"/>
        <c:lblAlgn val="ctr"/>
        <c:lblOffset val="100"/>
        <c:noMultiLvlLbl val="0"/>
      </c:catAx>
      <c:valAx>
        <c:axId val="883574064"/>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en-GB" sz="800" cap="none" dirty="0"/>
                  <a:t>Nombre</a:t>
                </a:r>
                <a:r>
                  <a:rPr lang="en-GB" sz="800" cap="none" baseline="0" dirty="0"/>
                  <a:t> de participants en présentiel</a:t>
                </a:r>
                <a:endParaRPr lang="en-GB" sz="800" cap="none" dirty="0"/>
              </a:p>
            </c:rich>
          </c:tx>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crossAx val="883584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Props1.xml><?xml version="1.0" encoding="utf-8"?>
<ds:datastoreItem xmlns:ds="http://schemas.openxmlformats.org/officeDocument/2006/customXml" ds:itemID="{B7433184-2CAB-47AD-A290-8C42CACDC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3.xml><?xml version="1.0" encoding="utf-8"?>
<ds:datastoreItem xmlns:ds="http://schemas.openxmlformats.org/officeDocument/2006/customXml" ds:itemID="{0F1BCC72-D33F-4923-A589-28022D0D71B0}">
  <ds:schemaRefs>
    <ds:schemaRef ds:uri="http://schemas.openxmlformats.org/officeDocument/2006/bibliography"/>
  </ds:schemaRefs>
</ds:datastoreItem>
</file>

<file path=customXml/itemProps4.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docProps/app.xml><?xml version="1.0" encoding="utf-8"?>
<Properties xmlns="http://schemas.openxmlformats.org/officeDocument/2006/extended-properties" xmlns:vt="http://schemas.openxmlformats.org/officeDocument/2006/docPropsVTypes">
  <Template>English.dotm</Template>
  <TotalTime>522</TotalTime>
  <Pages>19</Pages>
  <Words>8389</Words>
  <Characters>46142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French</cp:lastModifiedBy>
  <cp:revision>21</cp:revision>
  <cp:lastPrinted>1999-10-01T00:03:00Z</cp:lastPrinted>
  <dcterms:created xsi:type="dcterms:W3CDTF">2025-03-12T12:14:00Z</dcterms:created>
  <dcterms:modified xsi:type="dcterms:W3CDTF">2025-03-13T14:24:00Z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y fmtid="{D5CDD505-2E9C-101B-9397-08002B2CF9AE}" pid="8" name="GrammarlyDocumentId">
    <vt:lpwstr>e715e6192d2a0debf96d6a18a5aa28d1c1941c18db6fc3c219f2200910832df3</vt:lpwstr>
  </property>
  <property fmtid="{D5CDD505-2E9C-101B-9397-08002B2CF9AE}" pid="9" name="TranslatedWith">
    <vt:lpwstr>Mercury</vt:lpwstr>
  </property>
  <property fmtid="{D5CDD505-2E9C-101B-9397-08002B2CF9AE}" pid="10" name="GeneratedBy">
    <vt:lpwstr>Dawonauth.Valeria@itu.int</vt:lpwstr>
  </property>
  <property fmtid="{D5CDD505-2E9C-101B-9397-08002B2CF9AE}" pid="11" name="GeneratedDate">
    <vt:lpwstr>03/05/2025 08:17:09</vt:lpwstr>
  </property>
  <property fmtid="{D5CDD505-2E9C-101B-9397-08002B2CF9AE}" pid="12" name="OriginalDocID">
    <vt:lpwstr>35979840-54d6-480d-9844-c61b4775c08e</vt:lpwstr>
  </property>
</Properties>
</file>