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14:paraId="29EBD4F0" w14:textId="77777777" w:rsidTr="00EC0BE3">
        <w:trPr>
          <w:cantSplit/>
        </w:trPr>
        <w:tc>
          <w:tcPr>
            <w:tcW w:w="6477" w:type="dxa"/>
            <w:vAlign w:val="center"/>
          </w:tcPr>
          <w:p w14:paraId="0E73BCD5" w14:textId="77777777" w:rsidR="00EC0BE3" w:rsidRPr="0051782D" w:rsidRDefault="00EC0BE3" w:rsidP="00C126C1">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p>
        </w:tc>
        <w:tc>
          <w:tcPr>
            <w:tcW w:w="3412" w:type="dxa"/>
            <w:gridSpan w:val="2"/>
            <w:vAlign w:val="center"/>
          </w:tcPr>
          <w:p w14:paraId="091FF44D" w14:textId="77777777" w:rsidR="00EC0BE3" w:rsidRDefault="00C126C1" w:rsidP="00AF7CE7">
            <w:pPr>
              <w:shd w:val="solid" w:color="FFFFFF" w:fill="FFFFFF"/>
              <w:spacing w:before="0" w:line="240" w:lineRule="atLeast"/>
            </w:pPr>
            <w:r w:rsidRPr="00C126C1">
              <w:rPr>
                <w:noProof/>
                <w:lang w:val="en-US" w:eastAsia="zh-CN"/>
              </w:rPr>
              <w:drawing>
                <wp:inline distT="0" distB="0" distL="0" distR="0" wp14:anchorId="40DCB81A" wp14:editId="6E8F89DF">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51782D" w14:paraId="7EEB28FB" w14:textId="77777777" w:rsidTr="00B35BE4">
        <w:trPr>
          <w:cantSplit/>
        </w:trPr>
        <w:tc>
          <w:tcPr>
            <w:tcW w:w="6487" w:type="dxa"/>
            <w:gridSpan w:val="2"/>
            <w:tcBorders>
              <w:bottom w:val="single" w:sz="12" w:space="0" w:color="auto"/>
            </w:tcBorders>
          </w:tcPr>
          <w:p w14:paraId="5754C00C" w14:textId="77777777"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958636D" w14:textId="77777777" w:rsidR="0051782D" w:rsidRPr="0051782D" w:rsidRDefault="0051782D" w:rsidP="00B35BE4">
            <w:pPr>
              <w:shd w:val="solid" w:color="FFFFFF" w:fill="FFFFFF"/>
              <w:spacing w:before="0" w:after="48" w:line="240" w:lineRule="atLeast"/>
              <w:rPr>
                <w:sz w:val="22"/>
                <w:szCs w:val="22"/>
                <w:lang w:val="en-US"/>
              </w:rPr>
            </w:pPr>
          </w:p>
        </w:tc>
      </w:tr>
      <w:tr w:rsidR="0051782D" w14:paraId="653F22AE" w14:textId="77777777" w:rsidTr="00B35BE4">
        <w:trPr>
          <w:cantSplit/>
        </w:trPr>
        <w:tc>
          <w:tcPr>
            <w:tcW w:w="6487" w:type="dxa"/>
            <w:gridSpan w:val="2"/>
            <w:tcBorders>
              <w:top w:val="single" w:sz="12" w:space="0" w:color="auto"/>
            </w:tcBorders>
          </w:tcPr>
          <w:p w14:paraId="1E9023F7" w14:textId="77777777"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AC07B19" w14:textId="77777777" w:rsidR="0051782D" w:rsidRPr="00710D66" w:rsidRDefault="0051782D" w:rsidP="00B35BE4">
            <w:pPr>
              <w:shd w:val="solid" w:color="FFFFFF" w:fill="FFFFFF"/>
              <w:spacing w:before="0" w:after="48" w:line="240" w:lineRule="atLeast"/>
              <w:rPr>
                <w:lang w:val="en-US"/>
              </w:rPr>
            </w:pPr>
          </w:p>
        </w:tc>
      </w:tr>
      <w:tr w:rsidR="0051782D" w14:paraId="30F64E70" w14:textId="77777777" w:rsidTr="00B35BE4">
        <w:trPr>
          <w:cantSplit/>
        </w:trPr>
        <w:tc>
          <w:tcPr>
            <w:tcW w:w="6487" w:type="dxa"/>
            <w:gridSpan w:val="2"/>
            <w:vMerge w:val="restart"/>
          </w:tcPr>
          <w:p w14:paraId="42225AAE" w14:textId="77777777" w:rsidR="0051782D" w:rsidRDefault="0051782D" w:rsidP="00B35BE4">
            <w:pPr>
              <w:shd w:val="solid" w:color="FFFFFF" w:fill="FFFFFF"/>
              <w:spacing w:after="240"/>
              <w:rPr>
                <w:sz w:val="20"/>
              </w:rPr>
            </w:pPr>
            <w:bookmarkStart w:id="0" w:name="dnum" w:colFirst="1" w:colLast="1"/>
          </w:p>
        </w:tc>
        <w:tc>
          <w:tcPr>
            <w:tcW w:w="3402" w:type="dxa"/>
          </w:tcPr>
          <w:p w14:paraId="3AFDAD83" w14:textId="69C5CCAF" w:rsidR="0051782D" w:rsidRPr="001A0041" w:rsidRDefault="003A7B7A" w:rsidP="001A0041">
            <w:pPr>
              <w:shd w:val="solid" w:color="FFFFFF" w:fill="FFFFFF"/>
              <w:spacing w:before="0" w:line="240" w:lineRule="atLeast"/>
              <w:rPr>
                <w:rFonts w:ascii="Verdana" w:hAnsi="Verdana"/>
                <w:sz w:val="20"/>
              </w:rPr>
            </w:pPr>
            <w:r>
              <w:rPr>
                <w:rFonts w:ascii="Verdana" w:hAnsi="Verdana"/>
                <w:b/>
                <w:sz w:val="20"/>
              </w:rPr>
              <w:t xml:space="preserve">Addendum 1 to </w:t>
            </w:r>
            <w:r>
              <w:rPr>
                <w:rFonts w:ascii="Verdana" w:hAnsi="Verdana"/>
                <w:b/>
                <w:sz w:val="20"/>
              </w:rPr>
              <w:br/>
            </w:r>
            <w:r w:rsidR="001A0041">
              <w:rPr>
                <w:rFonts w:ascii="Verdana" w:hAnsi="Verdana"/>
                <w:b/>
                <w:sz w:val="20"/>
              </w:rPr>
              <w:t>Document RAG/</w:t>
            </w:r>
            <w:r w:rsidR="00C143FB">
              <w:rPr>
                <w:rFonts w:ascii="Verdana" w:hAnsi="Verdana"/>
                <w:b/>
                <w:sz w:val="20"/>
              </w:rPr>
              <w:t>30</w:t>
            </w:r>
            <w:r w:rsidR="001A0041">
              <w:rPr>
                <w:rFonts w:ascii="Verdana" w:hAnsi="Verdana"/>
                <w:b/>
                <w:sz w:val="20"/>
              </w:rPr>
              <w:t>-E</w:t>
            </w:r>
          </w:p>
        </w:tc>
      </w:tr>
      <w:tr w:rsidR="0051782D" w14:paraId="73C3C199" w14:textId="77777777" w:rsidTr="00B35BE4">
        <w:trPr>
          <w:cantSplit/>
        </w:trPr>
        <w:tc>
          <w:tcPr>
            <w:tcW w:w="6487" w:type="dxa"/>
            <w:gridSpan w:val="2"/>
            <w:vMerge/>
          </w:tcPr>
          <w:p w14:paraId="742BDBFA" w14:textId="77777777" w:rsidR="0051782D" w:rsidRDefault="0051782D" w:rsidP="00B35BE4">
            <w:pPr>
              <w:spacing w:before="60"/>
              <w:jc w:val="center"/>
              <w:rPr>
                <w:b/>
                <w:smallCaps/>
                <w:sz w:val="32"/>
              </w:rPr>
            </w:pPr>
            <w:bookmarkStart w:id="1" w:name="ddate" w:colFirst="1" w:colLast="1"/>
            <w:bookmarkEnd w:id="0"/>
          </w:p>
        </w:tc>
        <w:tc>
          <w:tcPr>
            <w:tcW w:w="3402" w:type="dxa"/>
          </w:tcPr>
          <w:p w14:paraId="51A2F5FD" w14:textId="217A4A1F" w:rsidR="0051782D" w:rsidRPr="001A0041" w:rsidRDefault="004A0B11" w:rsidP="001A0041">
            <w:pPr>
              <w:shd w:val="solid" w:color="FFFFFF" w:fill="FFFFFF"/>
              <w:spacing w:before="0" w:line="240" w:lineRule="atLeast"/>
              <w:rPr>
                <w:rFonts w:ascii="Verdana" w:hAnsi="Verdana"/>
                <w:sz w:val="20"/>
              </w:rPr>
            </w:pPr>
            <w:r w:rsidRPr="001B3781">
              <w:rPr>
                <w:rFonts w:ascii="Verdana" w:hAnsi="Verdana"/>
                <w:b/>
                <w:sz w:val="20"/>
              </w:rPr>
              <w:t>2</w:t>
            </w:r>
            <w:r>
              <w:rPr>
                <w:rFonts w:ascii="Verdana" w:hAnsi="Verdana"/>
                <w:b/>
                <w:sz w:val="20"/>
              </w:rPr>
              <w:t>8</w:t>
            </w:r>
            <w:r w:rsidRPr="001B3781">
              <w:rPr>
                <w:rFonts w:ascii="Verdana" w:hAnsi="Verdana"/>
                <w:b/>
                <w:sz w:val="20"/>
              </w:rPr>
              <w:t xml:space="preserve"> </w:t>
            </w:r>
            <w:r w:rsidR="00C17522" w:rsidRPr="001B3781">
              <w:rPr>
                <w:rFonts w:ascii="Verdana" w:hAnsi="Verdana"/>
                <w:b/>
                <w:sz w:val="20"/>
              </w:rPr>
              <w:t>February</w:t>
            </w:r>
            <w:r w:rsidR="00C17522">
              <w:rPr>
                <w:rFonts w:ascii="Verdana" w:hAnsi="Verdana"/>
                <w:b/>
                <w:sz w:val="20"/>
              </w:rPr>
              <w:t xml:space="preserve"> </w:t>
            </w:r>
            <w:r w:rsidR="00762732">
              <w:rPr>
                <w:rFonts w:ascii="Verdana" w:hAnsi="Verdana"/>
                <w:b/>
                <w:sz w:val="20"/>
              </w:rPr>
              <w:t>202</w:t>
            </w:r>
            <w:r w:rsidR="005678CE">
              <w:rPr>
                <w:rFonts w:ascii="Verdana" w:hAnsi="Verdana"/>
                <w:b/>
                <w:sz w:val="20"/>
              </w:rPr>
              <w:t>5</w:t>
            </w:r>
          </w:p>
        </w:tc>
      </w:tr>
      <w:tr w:rsidR="0051782D" w14:paraId="2A70EAD6" w14:textId="77777777" w:rsidTr="00B35BE4">
        <w:trPr>
          <w:cantSplit/>
        </w:trPr>
        <w:tc>
          <w:tcPr>
            <w:tcW w:w="6487" w:type="dxa"/>
            <w:gridSpan w:val="2"/>
            <w:vMerge/>
          </w:tcPr>
          <w:p w14:paraId="37E710DB" w14:textId="77777777" w:rsidR="0051782D" w:rsidRDefault="0051782D" w:rsidP="00B35BE4">
            <w:pPr>
              <w:spacing w:before="60"/>
              <w:jc w:val="center"/>
              <w:rPr>
                <w:b/>
                <w:smallCaps/>
                <w:sz w:val="32"/>
              </w:rPr>
            </w:pPr>
            <w:bookmarkStart w:id="2" w:name="dorlang" w:colFirst="1" w:colLast="1"/>
            <w:bookmarkEnd w:id="1"/>
          </w:p>
        </w:tc>
        <w:tc>
          <w:tcPr>
            <w:tcW w:w="3402" w:type="dxa"/>
          </w:tcPr>
          <w:p w14:paraId="367E6838" w14:textId="0BC24AA7" w:rsidR="0051782D" w:rsidRPr="001A0041" w:rsidRDefault="00C17522" w:rsidP="001A0041">
            <w:pPr>
              <w:shd w:val="solid" w:color="FFFFFF" w:fill="FFFFFF"/>
              <w:spacing w:before="0" w:after="120" w:line="240" w:lineRule="atLeast"/>
              <w:rPr>
                <w:rFonts w:ascii="Verdana" w:hAnsi="Verdana"/>
                <w:sz w:val="20"/>
              </w:rPr>
            </w:pPr>
            <w:r>
              <w:rPr>
                <w:rFonts w:ascii="Verdana" w:hAnsi="Verdana"/>
                <w:b/>
                <w:sz w:val="20"/>
              </w:rPr>
              <w:t>Original: E</w:t>
            </w:r>
            <w:r w:rsidR="00762732">
              <w:rPr>
                <w:rFonts w:ascii="Verdana" w:hAnsi="Verdana"/>
                <w:b/>
                <w:sz w:val="20"/>
              </w:rPr>
              <w:t>nglish</w:t>
            </w:r>
          </w:p>
        </w:tc>
      </w:tr>
      <w:tr w:rsidR="00093C73" w14:paraId="67CF20AF" w14:textId="77777777" w:rsidTr="00B35BE4">
        <w:trPr>
          <w:cantSplit/>
        </w:trPr>
        <w:tc>
          <w:tcPr>
            <w:tcW w:w="9889" w:type="dxa"/>
            <w:gridSpan w:val="3"/>
          </w:tcPr>
          <w:tbl>
            <w:tblPr>
              <w:tblpPr w:leftFromText="180" w:rightFromText="180" w:horzAnchor="margin" w:tblpY="-615"/>
              <w:tblW w:w="9889" w:type="dxa"/>
              <w:tblLayout w:type="fixed"/>
              <w:tblLook w:val="0000" w:firstRow="0" w:lastRow="0" w:firstColumn="0" w:lastColumn="0" w:noHBand="0" w:noVBand="0"/>
            </w:tblPr>
            <w:tblGrid>
              <w:gridCol w:w="9889"/>
            </w:tblGrid>
            <w:tr w:rsidR="00762732" w14:paraId="68DC1573" w14:textId="77777777" w:rsidTr="00E757EA">
              <w:trPr>
                <w:cantSplit/>
              </w:trPr>
              <w:tc>
                <w:tcPr>
                  <w:tcW w:w="9889" w:type="dxa"/>
                </w:tcPr>
                <w:p w14:paraId="259F3C61" w14:textId="1CDB2DF8" w:rsidR="00762732" w:rsidRPr="00254FAC" w:rsidRDefault="0069388B" w:rsidP="00762732">
                  <w:pPr>
                    <w:pStyle w:val="Source"/>
                  </w:pPr>
                  <w:bookmarkStart w:id="3" w:name="dsource" w:colFirst="0" w:colLast="0"/>
                  <w:bookmarkEnd w:id="2"/>
                  <w:r w:rsidRPr="0069388B">
                    <w:t>Director, Radiocommunication Bureau</w:t>
                  </w:r>
                </w:p>
              </w:tc>
            </w:tr>
            <w:tr w:rsidR="00CA4427" w14:paraId="7F8F9ADC" w14:textId="77777777" w:rsidTr="00E757EA">
              <w:trPr>
                <w:cantSplit/>
              </w:trPr>
              <w:tc>
                <w:tcPr>
                  <w:tcW w:w="9889" w:type="dxa"/>
                </w:tcPr>
                <w:p w14:paraId="0996F708" w14:textId="740EB030" w:rsidR="00CA4427" w:rsidRPr="00F46533" w:rsidRDefault="00CA4427" w:rsidP="00762732">
                  <w:pPr>
                    <w:pStyle w:val="Title1"/>
                  </w:pPr>
                  <w:r w:rsidRPr="00F46533">
                    <w:t>report TO the tHIRT</w:t>
                  </w:r>
                  <w:r>
                    <w:t>Y-</w:t>
                  </w:r>
                  <w:r w:rsidR="005678CE">
                    <w:t>second</w:t>
                  </w:r>
                  <w:r w:rsidRPr="00F46533">
                    <w:t xml:space="preserve"> meeting </w:t>
                  </w:r>
                  <w:r w:rsidRPr="00F46533">
                    <w:br/>
                    <w:t>of the radiocommunication advisory group</w:t>
                  </w:r>
                </w:p>
              </w:tc>
            </w:tr>
            <w:tr w:rsidR="00762732" w14:paraId="3CCAA1A5" w14:textId="77777777" w:rsidTr="00E757EA">
              <w:trPr>
                <w:cantSplit/>
              </w:trPr>
              <w:tc>
                <w:tcPr>
                  <w:tcW w:w="9889" w:type="dxa"/>
                </w:tcPr>
                <w:p w14:paraId="6B51D0F8" w14:textId="0C09D9BD" w:rsidR="00762732" w:rsidRPr="00CA4427" w:rsidRDefault="00CA4427" w:rsidP="005678CE">
                  <w:pPr>
                    <w:jc w:val="center"/>
                    <w:rPr>
                      <w:caps/>
                      <w:sz w:val="28"/>
                    </w:rPr>
                  </w:pPr>
                  <w:r w:rsidRPr="00CA4427">
                    <w:rPr>
                      <w:caps/>
                      <w:sz w:val="28"/>
                    </w:rPr>
                    <w:t>STUDY GROUPS ACTIVITIES</w:t>
                  </w:r>
                </w:p>
              </w:tc>
            </w:tr>
          </w:tbl>
          <w:p w14:paraId="48EDD9F3" w14:textId="77777777" w:rsidR="00093C73" w:rsidRDefault="00093C73" w:rsidP="005B2C58">
            <w:pPr>
              <w:pStyle w:val="Source"/>
            </w:pPr>
          </w:p>
        </w:tc>
      </w:tr>
      <w:bookmarkEnd w:id="3"/>
    </w:tbl>
    <w:p w14:paraId="2C795854" w14:textId="77777777" w:rsidR="00C04B16" w:rsidRDefault="00C04B16">
      <w:pPr>
        <w:tabs>
          <w:tab w:val="clear" w:pos="794"/>
          <w:tab w:val="clear" w:pos="1191"/>
          <w:tab w:val="clear" w:pos="1588"/>
          <w:tab w:val="clear" w:pos="1985"/>
        </w:tabs>
        <w:overflowPunct/>
        <w:autoSpaceDE/>
        <w:autoSpaceDN/>
        <w:adjustRightInd/>
        <w:spacing w:before="0"/>
        <w:textAlignment w:val="auto"/>
      </w:pPr>
    </w:p>
    <w:p w14:paraId="57374DD3" w14:textId="77777777" w:rsidR="00D66C84" w:rsidRPr="00745008" w:rsidRDefault="00D66C84" w:rsidP="001732C2">
      <w:pPr>
        <w:pStyle w:val="Heading1"/>
      </w:pPr>
      <w:bookmarkStart w:id="4" w:name="_Toc446060751"/>
      <w:bookmarkStart w:id="5" w:name="_Toc445972791"/>
      <w:r w:rsidRPr="00745008">
        <w:t>1</w:t>
      </w:r>
      <w:r w:rsidRPr="00745008">
        <w:tab/>
      </w:r>
      <w:r w:rsidRPr="001732C2">
        <w:t>Introduction</w:t>
      </w:r>
      <w:bookmarkEnd w:id="4"/>
    </w:p>
    <w:p w14:paraId="5444ECFD" w14:textId="28BB376B" w:rsidR="00D66C84" w:rsidRPr="00745008" w:rsidRDefault="00D66C84" w:rsidP="001732C2">
      <w:pPr>
        <w:rPr>
          <w:lang w:val="en-US"/>
        </w:rPr>
      </w:pPr>
      <w:r w:rsidRPr="00745008">
        <w:rPr>
          <w:lang w:val="en-US"/>
        </w:rPr>
        <w:t xml:space="preserve">This document provides status reports and information on some of the issues </w:t>
      </w:r>
      <w:r w:rsidR="00F22064">
        <w:rPr>
          <w:lang w:val="en-US"/>
        </w:rPr>
        <w:t>included</w:t>
      </w:r>
      <w:r w:rsidRPr="00745008">
        <w:rPr>
          <w:lang w:val="en-US"/>
        </w:rPr>
        <w:t xml:space="preserve"> on the draft agenda for the </w:t>
      </w:r>
      <w:r w:rsidR="00E5174D">
        <w:rPr>
          <w:lang w:val="en-US"/>
        </w:rPr>
        <w:t>32</w:t>
      </w:r>
      <w:r w:rsidR="00E5174D" w:rsidRPr="001B3781">
        <w:rPr>
          <w:vertAlign w:val="superscript"/>
          <w:lang w:val="en-US"/>
        </w:rPr>
        <w:t>nd</w:t>
      </w:r>
      <w:r w:rsidR="00E5174D">
        <w:rPr>
          <w:lang w:val="en-US"/>
        </w:rPr>
        <w:t xml:space="preserve"> </w:t>
      </w:r>
      <w:r w:rsidRPr="00745008">
        <w:rPr>
          <w:lang w:val="en-US"/>
        </w:rPr>
        <w:t xml:space="preserve">meeting of RAG (see </w:t>
      </w:r>
      <w:hyperlink r:id="rId12">
        <w:r w:rsidR="004C12BA" w:rsidRPr="001B3781">
          <w:rPr>
            <w:rStyle w:val="Hyperlink"/>
            <w:lang w:val="en-US"/>
          </w:rPr>
          <w:t>CA/276</w:t>
        </w:r>
      </w:hyperlink>
      <w:r w:rsidRPr="00745008">
        <w:rPr>
          <w:lang w:val="en-US"/>
        </w:rPr>
        <w:t>).</w:t>
      </w:r>
    </w:p>
    <w:p w14:paraId="59FFDBD9" w14:textId="10278A26" w:rsidR="00D66C84" w:rsidRPr="00745008" w:rsidRDefault="0052011E" w:rsidP="001732C2">
      <w:pPr>
        <w:pStyle w:val="Heading1"/>
      </w:pPr>
      <w:bookmarkStart w:id="6" w:name="_Toc445972781"/>
      <w:r>
        <w:t>2</w:t>
      </w:r>
      <w:r w:rsidR="00D66C84" w:rsidRPr="00745008">
        <w:tab/>
        <w:t xml:space="preserve">Electronic </w:t>
      </w:r>
      <w:r w:rsidR="00D66C84" w:rsidRPr="001732C2">
        <w:t>working</w:t>
      </w:r>
      <w:r w:rsidR="00D66C84" w:rsidRPr="00745008">
        <w:t xml:space="preserve"> facilities</w:t>
      </w:r>
      <w:bookmarkEnd w:id="6"/>
    </w:p>
    <w:p w14:paraId="47A1F636" w14:textId="334E20E8" w:rsidR="00D66C84" w:rsidRPr="00745008" w:rsidRDefault="00DA2B77" w:rsidP="001732C2">
      <w:r>
        <w:t xml:space="preserve">All </w:t>
      </w:r>
      <w:r w:rsidR="00F52E18">
        <w:t xml:space="preserve">ITU-R </w:t>
      </w:r>
      <w:r w:rsidRPr="00745008">
        <w:t>SG/WP meetings</w:t>
      </w:r>
      <w:r>
        <w:t xml:space="preserve"> are paperless</w:t>
      </w:r>
      <w:r w:rsidR="00E327F2">
        <w:t xml:space="preserve"> with meeting documents available on the respective websites for downl</w:t>
      </w:r>
      <w:r w:rsidR="005370E4">
        <w:t>oad</w:t>
      </w:r>
      <w:r>
        <w:t xml:space="preserve">. </w:t>
      </w:r>
      <w:r w:rsidR="00D66C84" w:rsidRPr="00745008">
        <w:t xml:space="preserve">There </w:t>
      </w:r>
      <w:r w:rsidR="005370E4">
        <w:t>wa</w:t>
      </w:r>
      <w:r w:rsidR="005370E4" w:rsidRPr="00745008">
        <w:t xml:space="preserve">s </w:t>
      </w:r>
      <w:r w:rsidR="00D66C84" w:rsidRPr="00745008">
        <w:t xml:space="preserve">continuing emphasis on the </w:t>
      </w:r>
      <w:r>
        <w:t xml:space="preserve">development and </w:t>
      </w:r>
      <w:r w:rsidR="00D66C84" w:rsidRPr="00745008">
        <w:t>use of electronic facilities which brought considerable benefit to delegates.</w:t>
      </w:r>
    </w:p>
    <w:p w14:paraId="2B6F626A" w14:textId="040A6BCE" w:rsidR="00D66C84" w:rsidRPr="00745008" w:rsidRDefault="0052011E" w:rsidP="001732C2">
      <w:pPr>
        <w:pStyle w:val="Heading2"/>
      </w:pPr>
      <w:bookmarkStart w:id="7" w:name="_Toc445972782"/>
      <w:r>
        <w:t>2</w:t>
      </w:r>
      <w:r w:rsidR="00D66C84" w:rsidRPr="00745008">
        <w:t>.1</w:t>
      </w:r>
      <w:r w:rsidR="00D66C84" w:rsidRPr="00745008">
        <w:tab/>
      </w:r>
      <w:r w:rsidR="00D66C84" w:rsidRPr="001732C2">
        <w:t>SharePoint</w:t>
      </w:r>
      <w:r w:rsidR="00D66C84" w:rsidRPr="00745008">
        <w:t xml:space="preserve"> website</w:t>
      </w:r>
      <w:bookmarkEnd w:id="7"/>
    </w:p>
    <w:p w14:paraId="6B1F4C74" w14:textId="1ED65F8E" w:rsidR="00D66C84" w:rsidRPr="00745008" w:rsidRDefault="00D66C84" w:rsidP="001732C2">
      <w:bookmarkStart w:id="8" w:name="_Toc445972783"/>
      <w:r w:rsidRPr="00745008">
        <w:t xml:space="preserve">Access to documentation during meetings via a dedicated SharePoint website </w:t>
      </w:r>
      <w:r w:rsidR="00A51874">
        <w:t>wa</w:t>
      </w:r>
      <w:r w:rsidRPr="00745008">
        <w:t>s the standard practice.</w:t>
      </w:r>
    </w:p>
    <w:p w14:paraId="2AC4F714" w14:textId="211C9A63" w:rsidR="00D66C84" w:rsidRPr="00745008" w:rsidRDefault="00D66C84" w:rsidP="001732C2">
      <w:r w:rsidRPr="00745008">
        <w:t xml:space="preserve">SharePoint sites for Correspondence and Rapporteur Groups </w:t>
      </w:r>
      <w:r w:rsidR="00A51874">
        <w:t>we</w:t>
      </w:r>
      <w:r w:rsidRPr="00745008">
        <w:t>re also used extensively in the periods between the WP meetings.</w:t>
      </w:r>
    </w:p>
    <w:p w14:paraId="61477455" w14:textId="615B8C99" w:rsidR="00D66C84" w:rsidRPr="00745008" w:rsidRDefault="0052011E" w:rsidP="001732C2">
      <w:pPr>
        <w:pStyle w:val="Heading2"/>
      </w:pPr>
      <w:r>
        <w:t>2</w:t>
      </w:r>
      <w:r w:rsidR="00D66C84" w:rsidRPr="00745008">
        <w:t>.2</w:t>
      </w:r>
      <w:r w:rsidR="00D66C84" w:rsidRPr="00745008">
        <w:tab/>
        <w:t xml:space="preserve">File </w:t>
      </w:r>
      <w:r w:rsidR="00D66C84" w:rsidRPr="001732C2">
        <w:t>synchronization</w:t>
      </w:r>
      <w:bookmarkEnd w:id="8"/>
    </w:p>
    <w:p w14:paraId="0D46D851" w14:textId="44169E8F" w:rsidR="00D66C84" w:rsidRPr="00745008" w:rsidRDefault="00D66C84" w:rsidP="001732C2">
      <w:bookmarkStart w:id="9" w:name="_Toc445972784"/>
      <w:r w:rsidRPr="00745008">
        <w:t xml:space="preserve">The file synchronization facility </w:t>
      </w:r>
      <w:r w:rsidR="00A51874">
        <w:t>w</w:t>
      </w:r>
      <w:r w:rsidRPr="00745008">
        <w:t>as updated for all SG/WP meetings to facilitate access to the most recent versions of documents during meetings and to the meeting room assignments.</w:t>
      </w:r>
    </w:p>
    <w:p w14:paraId="71E5636E" w14:textId="32CDAB3E" w:rsidR="00D66C84" w:rsidRPr="00745008" w:rsidRDefault="0052011E" w:rsidP="001732C2">
      <w:pPr>
        <w:pStyle w:val="Heading2"/>
      </w:pPr>
      <w:bookmarkStart w:id="10" w:name="_Toc445972785"/>
      <w:bookmarkEnd w:id="9"/>
      <w:r>
        <w:t>2</w:t>
      </w:r>
      <w:r w:rsidR="00D66C84" w:rsidRPr="00745008">
        <w:t>.3</w:t>
      </w:r>
      <w:r w:rsidR="00D66C84" w:rsidRPr="00745008">
        <w:tab/>
        <w:t xml:space="preserve">Physical </w:t>
      </w:r>
      <w:r w:rsidR="00D66C84" w:rsidRPr="001732C2">
        <w:t>meetings</w:t>
      </w:r>
      <w:r w:rsidR="00D66C84" w:rsidRPr="00745008">
        <w:t xml:space="preserve"> with remote participation</w:t>
      </w:r>
      <w:bookmarkEnd w:id="10"/>
    </w:p>
    <w:p w14:paraId="76D66149" w14:textId="325B8B18" w:rsidR="00D66C84" w:rsidRPr="00745008" w:rsidRDefault="00562D2C" w:rsidP="001732C2">
      <w:r>
        <w:t xml:space="preserve">Since </w:t>
      </w:r>
      <w:r w:rsidR="001915D5" w:rsidRPr="00745008">
        <w:t>April 2022</w:t>
      </w:r>
      <w:r w:rsidR="001915D5">
        <w:t xml:space="preserve">, </w:t>
      </w:r>
      <w:r w:rsidR="00D66C84" w:rsidRPr="00745008">
        <w:t xml:space="preserve">ITU-R SG and WP </w:t>
      </w:r>
      <w:r>
        <w:t xml:space="preserve">meetings </w:t>
      </w:r>
      <w:r w:rsidR="00494B5F">
        <w:t>have been</w:t>
      </w:r>
      <w:r w:rsidR="001915D5">
        <w:t xml:space="preserve"> </w:t>
      </w:r>
      <w:r w:rsidR="00D66C84">
        <w:t>held</w:t>
      </w:r>
      <w:r w:rsidR="00D66C84" w:rsidRPr="00745008">
        <w:t xml:space="preserve"> </w:t>
      </w:r>
      <w:r w:rsidR="001915D5">
        <w:t xml:space="preserve">as </w:t>
      </w:r>
      <w:r w:rsidR="00D66C84" w:rsidRPr="00745008">
        <w:t xml:space="preserve">physical meetings with remote participation. The platform used for </w:t>
      </w:r>
      <w:r>
        <w:t>such</w:t>
      </w:r>
      <w:r w:rsidR="00D66C84" w:rsidRPr="00745008">
        <w:t xml:space="preserve"> </w:t>
      </w:r>
      <w:r w:rsidR="00494B5F">
        <w:t>meeting</w:t>
      </w:r>
      <w:r w:rsidR="00D45D5E">
        <w:t>s</w:t>
      </w:r>
      <w:r w:rsidR="00494B5F">
        <w:t xml:space="preserve"> </w:t>
      </w:r>
      <w:r w:rsidR="00A43C8E">
        <w:t>(</w:t>
      </w:r>
      <w:r w:rsidR="00D66C84" w:rsidRPr="00745008">
        <w:t>Zoom</w:t>
      </w:r>
      <w:r w:rsidR="00A43C8E">
        <w:t>)</w:t>
      </w:r>
      <w:r w:rsidR="00D66C84" w:rsidRPr="00745008">
        <w:t xml:space="preserve"> allow</w:t>
      </w:r>
      <w:r w:rsidR="00EA6361">
        <w:t>ed</w:t>
      </w:r>
      <w:r w:rsidR="00D66C84" w:rsidRPr="00745008">
        <w:t xml:space="preserve"> interactive remote participation of </w:t>
      </w:r>
      <w:r w:rsidR="00EE41B2">
        <w:t xml:space="preserve">both </w:t>
      </w:r>
      <w:r w:rsidR="00D66C84" w:rsidRPr="00745008">
        <w:t>chair</w:t>
      </w:r>
      <w:r w:rsidR="00D66C84">
        <w:t>s</w:t>
      </w:r>
      <w:r w:rsidR="00D66C84" w:rsidRPr="00745008">
        <w:t xml:space="preserve"> and delegates.</w:t>
      </w:r>
      <w:r w:rsidR="00D66C84">
        <w:t xml:space="preserve"> </w:t>
      </w:r>
      <w:r w:rsidR="00D66C84" w:rsidRPr="00745008">
        <w:t xml:space="preserve">All meeting arrangements </w:t>
      </w:r>
      <w:r w:rsidR="00EA6361">
        <w:t>we</w:t>
      </w:r>
      <w:r w:rsidR="00D66C84">
        <w:t>re</w:t>
      </w:r>
      <w:r w:rsidR="00D66C84" w:rsidRPr="00745008">
        <w:t xml:space="preserve"> made in agreement with the respective SG</w:t>
      </w:r>
      <w:r w:rsidR="00EE41B2">
        <w:t>/WP</w:t>
      </w:r>
      <w:r w:rsidR="00D66C84" w:rsidRPr="00745008">
        <w:t xml:space="preserve"> leadership. </w:t>
      </w:r>
    </w:p>
    <w:p w14:paraId="7A1300F7" w14:textId="39FB2929" w:rsidR="00D66C84" w:rsidRDefault="00EE41B2" w:rsidP="001732C2">
      <w:r>
        <w:t>S</w:t>
      </w:r>
      <w:r w:rsidR="00513465">
        <w:t>tarting in 2025, i</w:t>
      </w:r>
      <w:r w:rsidR="00D66C84" w:rsidRPr="00745008">
        <w:t xml:space="preserve">nterpretation into the official languages of the Union </w:t>
      </w:r>
      <w:r w:rsidR="00847379">
        <w:t xml:space="preserve">was </w:t>
      </w:r>
      <w:r w:rsidR="00C92A0F">
        <w:t xml:space="preserve">provided </w:t>
      </w:r>
      <w:r w:rsidR="008036C5">
        <w:t>upon request by the administrations</w:t>
      </w:r>
      <w:r w:rsidR="00DD02E6">
        <w:t>,</w:t>
      </w:r>
      <w:r w:rsidR="008036C5">
        <w:t xml:space="preserve"> as indicated in the invitation letters to SG meetings. </w:t>
      </w:r>
      <w:r w:rsidR="00D04DD7">
        <w:t xml:space="preserve">As a result, </w:t>
      </w:r>
      <w:r w:rsidR="00965FDC" w:rsidRPr="00965FDC">
        <w:t xml:space="preserve">the Bureau was able to </w:t>
      </w:r>
      <w:r w:rsidR="00D66C84">
        <w:t>save resources.</w:t>
      </w:r>
    </w:p>
    <w:p w14:paraId="3C5C6297" w14:textId="7859A2D0" w:rsidR="00F17E04" w:rsidRPr="00745008" w:rsidRDefault="00F17E04" w:rsidP="001732C2">
      <w:r>
        <w:lastRenderedPageBreak/>
        <w:t>A</w:t>
      </w:r>
      <w:r w:rsidRPr="00745008">
        <w:t>ll SG</w:t>
      </w:r>
      <w:r>
        <w:t>s</w:t>
      </w:r>
      <w:r w:rsidRPr="00745008">
        <w:t xml:space="preserve"> meetings </w:t>
      </w:r>
      <w:r w:rsidR="00A265B9">
        <w:t xml:space="preserve">were </w:t>
      </w:r>
      <w:r w:rsidRPr="00745008">
        <w:t xml:space="preserve">provided with live captioning in English. However, </w:t>
      </w:r>
      <w:r w:rsidR="00A265B9">
        <w:t>due to the related technical requirements,</w:t>
      </w:r>
      <w:r w:rsidR="00A265B9" w:rsidRPr="00745008">
        <w:t xml:space="preserve"> </w:t>
      </w:r>
      <w:r w:rsidRPr="00745008">
        <w:t>this feature ha</w:t>
      </w:r>
      <w:r>
        <w:t>s</w:t>
      </w:r>
      <w:r w:rsidRPr="00745008">
        <w:t xml:space="preserve"> an impact on the costs of the meeting, </w:t>
      </w:r>
      <w:proofErr w:type="gramStart"/>
      <w:r w:rsidRPr="00745008">
        <w:t xml:space="preserve">in particular </w:t>
      </w:r>
      <w:r w:rsidR="00A265B9">
        <w:t>for</w:t>
      </w:r>
      <w:proofErr w:type="gramEnd"/>
      <w:r w:rsidRPr="00745008">
        <w:t xml:space="preserve"> meetings held outside of ITU premises.</w:t>
      </w:r>
    </w:p>
    <w:p w14:paraId="4618EB0E" w14:textId="43ECFE48" w:rsidR="00D66C84" w:rsidRPr="00745008" w:rsidDel="008163D4" w:rsidRDefault="0052011E" w:rsidP="001732C2">
      <w:pPr>
        <w:pStyle w:val="Heading2"/>
      </w:pPr>
      <w:r>
        <w:t>2</w:t>
      </w:r>
      <w:r w:rsidR="00324C82">
        <w:t>.</w:t>
      </w:r>
      <w:r w:rsidR="003D4F32">
        <w:t>4</w:t>
      </w:r>
      <w:r w:rsidR="00D66C84">
        <w:tab/>
      </w:r>
      <w:r w:rsidR="00D66C84" w:rsidRPr="001732C2">
        <w:t>Study</w:t>
      </w:r>
      <w:r w:rsidR="00D66C84">
        <w:t xml:space="preserve"> Group webpages</w:t>
      </w:r>
    </w:p>
    <w:p w14:paraId="44FE6482" w14:textId="75E3EE6A" w:rsidR="00D66C84" w:rsidRPr="00745008" w:rsidDel="008163D4" w:rsidRDefault="00D66C84" w:rsidP="001732C2">
      <w:bookmarkStart w:id="11" w:name="_Toc445972789"/>
      <w:r>
        <w:t xml:space="preserve">In alignment with the ITU policy, updates to webpages </w:t>
      </w:r>
      <w:r w:rsidR="00156931">
        <w:t>we</w:t>
      </w:r>
      <w:r>
        <w:t xml:space="preserve">re continuously performed </w:t>
      </w:r>
      <w:proofErr w:type="gramStart"/>
      <w:r>
        <w:t>in order to</w:t>
      </w:r>
      <w:proofErr w:type="gramEnd"/>
      <w:r>
        <w:t xml:space="preserve"> provide necessary information to delegates.</w:t>
      </w:r>
    </w:p>
    <w:p w14:paraId="6E62A2B2" w14:textId="28AB2E75" w:rsidR="00D66C84" w:rsidRDefault="00D66C84" w:rsidP="001732C2">
      <w:pPr>
        <w:rPr>
          <w:lang w:val="en-US"/>
        </w:rPr>
      </w:pPr>
      <w:r w:rsidRPr="325AB7FF">
        <w:rPr>
          <w:lang w:val="en-US"/>
        </w:rPr>
        <w:t xml:space="preserve">The list of CGs/RGs can be found on each SG main page under a specific link and are aligned for all SGs. </w:t>
      </w:r>
      <w:r w:rsidR="00A265B9">
        <w:rPr>
          <w:lang w:val="en-US"/>
        </w:rPr>
        <w:t>I</w:t>
      </w:r>
      <w:r w:rsidRPr="325AB7FF">
        <w:rPr>
          <w:lang w:val="en-US"/>
        </w:rPr>
        <w:t xml:space="preserve">nformation </w:t>
      </w:r>
      <w:r w:rsidR="004979AB">
        <w:rPr>
          <w:lang w:val="en-US"/>
        </w:rPr>
        <w:t>such as</w:t>
      </w:r>
      <w:r w:rsidR="004979AB" w:rsidRPr="325AB7FF">
        <w:rPr>
          <w:lang w:val="en-US"/>
        </w:rPr>
        <w:t xml:space="preserve"> </w:t>
      </w:r>
      <w:r w:rsidRPr="325AB7FF">
        <w:rPr>
          <w:lang w:val="en-US"/>
        </w:rPr>
        <w:t>the group name, SharePoint page, Rapporteur/Chair/Convener, mailing list, archive</w:t>
      </w:r>
      <w:r w:rsidR="004979AB">
        <w:rPr>
          <w:lang w:val="en-US"/>
        </w:rPr>
        <w:t>s</w:t>
      </w:r>
      <w:r w:rsidRPr="325AB7FF">
        <w:rPr>
          <w:lang w:val="en-US"/>
        </w:rPr>
        <w:t>, and other necessary information</w:t>
      </w:r>
      <w:r w:rsidR="00A265B9">
        <w:rPr>
          <w:lang w:val="en-US"/>
        </w:rPr>
        <w:t xml:space="preserve"> </w:t>
      </w:r>
      <w:r w:rsidR="00B9613B">
        <w:rPr>
          <w:lang w:val="en-US"/>
        </w:rPr>
        <w:t>are made available to users</w:t>
      </w:r>
      <w:r w:rsidRPr="325AB7FF">
        <w:rPr>
          <w:lang w:val="en-US"/>
        </w:rPr>
        <w:t>.</w:t>
      </w:r>
    </w:p>
    <w:p w14:paraId="78C63630" w14:textId="77777777" w:rsidR="0044582B" w:rsidRPr="00745008" w:rsidRDefault="0044582B" w:rsidP="001732C2">
      <w:r w:rsidRPr="00745008">
        <w:t xml:space="preserve">In line with the provisions of Resolution ITU-R 1, meeting documents are posted by </w:t>
      </w:r>
      <w:r>
        <w:t xml:space="preserve">BR </w:t>
      </w:r>
      <w:r w:rsidRPr="00745008">
        <w:t>SGD staff within one working day “as received” on a webpage established for this purpose, and the official versions are posted on the website within three working days.</w:t>
      </w:r>
    </w:p>
    <w:p w14:paraId="76243456" w14:textId="73598BFF" w:rsidR="0044582B" w:rsidRPr="00BE6491" w:rsidDel="008163D4" w:rsidRDefault="0044582B" w:rsidP="001732C2">
      <w:r w:rsidRPr="00745008">
        <w:t xml:space="preserve">BR SGD </w:t>
      </w:r>
      <w:r>
        <w:t>completed the implementation of</w:t>
      </w:r>
      <w:r w:rsidRPr="00745008">
        <w:t xml:space="preserve"> </w:t>
      </w:r>
      <w:r>
        <w:t xml:space="preserve">a tool that </w:t>
      </w:r>
      <w:r w:rsidRPr="00745008">
        <w:t>automatic</w:t>
      </w:r>
      <w:r>
        <w:t>ally</w:t>
      </w:r>
      <w:r w:rsidRPr="00745008">
        <w:t xml:space="preserve"> post</w:t>
      </w:r>
      <w:r>
        <w:t xml:space="preserve">s the </w:t>
      </w:r>
      <w:r w:rsidRPr="00745008">
        <w:t>“</w:t>
      </w:r>
      <w:proofErr w:type="spellStart"/>
      <w:r w:rsidRPr="00745008">
        <w:t>as</w:t>
      </w:r>
      <w:proofErr w:type="spellEnd"/>
      <w:r w:rsidRPr="00745008">
        <w:t xml:space="preserve"> received” contributions.</w:t>
      </w:r>
    </w:p>
    <w:bookmarkEnd w:id="11"/>
    <w:p w14:paraId="1EDF0F92" w14:textId="3B9FC5B7" w:rsidR="00D66C84" w:rsidRPr="00745008" w:rsidRDefault="002D33DC" w:rsidP="001732C2">
      <w:pPr>
        <w:pStyle w:val="Heading1"/>
      </w:pPr>
      <w:r>
        <w:t>3</w:t>
      </w:r>
      <w:r w:rsidR="00D66C84" w:rsidRPr="00745008">
        <w:tab/>
      </w:r>
      <w:r w:rsidR="00D66C84" w:rsidRPr="001732C2">
        <w:t>Participation</w:t>
      </w:r>
    </w:p>
    <w:p w14:paraId="6E65141A" w14:textId="33E3A75D" w:rsidR="00D66C84" w:rsidRPr="00745008" w:rsidRDefault="00D66C84" w:rsidP="001732C2">
      <w:r w:rsidRPr="00745008">
        <w:t xml:space="preserve">There </w:t>
      </w:r>
      <w:r w:rsidR="00FF4116">
        <w:t>w</w:t>
      </w:r>
      <w:r w:rsidRPr="00745008">
        <w:t xml:space="preserve">as a </w:t>
      </w:r>
      <w:r w:rsidR="00FF4116">
        <w:t>significant</w:t>
      </w:r>
      <w:r w:rsidR="000B73D5">
        <w:t xml:space="preserve"> </w:t>
      </w:r>
      <w:r w:rsidRPr="00745008">
        <w:t>increase in the level of participation in ITU-R SGs and WPs meetings</w:t>
      </w:r>
      <w:r>
        <w:t>,</w:t>
      </w:r>
      <w:r w:rsidRPr="00745008">
        <w:t xml:space="preserve"> particularly</w:t>
      </w:r>
      <w:r>
        <w:t xml:space="preserve"> since</w:t>
      </w:r>
      <w:r w:rsidRPr="00745008">
        <w:t xml:space="preserve"> 2020 when all meetings </w:t>
      </w:r>
      <w:r w:rsidR="00FF4116">
        <w:t>were</w:t>
      </w:r>
      <w:r w:rsidRPr="00745008">
        <w:t xml:space="preserve"> held </w:t>
      </w:r>
      <w:r w:rsidR="00B9613B">
        <w:t xml:space="preserve">either </w:t>
      </w:r>
      <w:r w:rsidRPr="00745008">
        <w:t xml:space="preserve">electronically or physically with remote participation. This </w:t>
      </w:r>
      <w:r w:rsidR="002613F0">
        <w:t>wa</w:t>
      </w:r>
      <w:r w:rsidRPr="00745008">
        <w:t>s very encouraging, but at the same time create</w:t>
      </w:r>
      <w:r w:rsidR="002613F0">
        <w:t>d</w:t>
      </w:r>
      <w:r w:rsidRPr="00745008">
        <w:t xml:space="preserve"> difficulties </w:t>
      </w:r>
      <w:r w:rsidR="005027C7">
        <w:t xml:space="preserve">when planning meetings of large </w:t>
      </w:r>
      <w:r w:rsidR="002613F0">
        <w:t>g</w:t>
      </w:r>
      <w:r w:rsidR="005027C7">
        <w:t>roups</w:t>
      </w:r>
      <w:r w:rsidRPr="00745008">
        <w:t>.</w:t>
      </w:r>
    </w:p>
    <w:p w14:paraId="36C10EE6" w14:textId="3EC7BABB" w:rsidR="00D66C84" w:rsidRPr="00745008" w:rsidRDefault="00D66C84" w:rsidP="001732C2">
      <w:r w:rsidRPr="00745008">
        <w:t>Figure 1</w:t>
      </w:r>
      <w:r w:rsidR="00EA290A">
        <w:t xml:space="preserve"> depicts the physical participation per group in 2024</w:t>
      </w:r>
      <w:r w:rsidRPr="00745008">
        <w:t>.</w:t>
      </w:r>
    </w:p>
    <w:p w14:paraId="2765654C" w14:textId="77777777" w:rsidR="00D66C84" w:rsidRPr="00745008" w:rsidRDefault="00D66C84" w:rsidP="00D66C84">
      <w:pPr>
        <w:pStyle w:val="FigureNo"/>
      </w:pPr>
      <w:r w:rsidRPr="00745008">
        <w:t>Figure 1</w:t>
      </w:r>
    </w:p>
    <w:p w14:paraId="77EBE2FB" w14:textId="029669C6" w:rsidR="00D66C84" w:rsidRPr="00745008" w:rsidRDefault="005C3F25" w:rsidP="00D66C84">
      <w:pPr>
        <w:pStyle w:val="Figuretitle"/>
      </w:pPr>
      <w:r>
        <w:t>Total</w:t>
      </w:r>
      <w:r w:rsidR="00661AA6">
        <w:t xml:space="preserve"> number of i</w:t>
      </w:r>
      <w:r w:rsidR="001B3530">
        <w:t>n-person</w:t>
      </w:r>
      <w:r w:rsidR="00D66C84" w:rsidRPr="00745008">
        <w:t xml:space="preserve"> participation </w:t>
      </w:r>
      <w:r>
        <w:t>per</w:t>
      </w:r>
      <w:r w:rsidR="00D66C84" w:rsidRPr="00745008">
        <w:t xml:space="preserve"> ITU-R Study Group/</w:t>
      </w:r>
      <w:r w:rsidR="00D66C84" w:rsidRPr="00745008">
        <w:br/>
        <w:t>Working Part</w:t>
      </w:r>
      <w:r w:rsidR="00624F72">
        <w:t>y</w:t>
      </w:r>
      <w:r w:rsidR="00D66C84" w:rsidRPr="00745008">
        <w:t xml:space="preserve"> meeting</w:t>
      </w:r>
      <w:r w:rsidR="001B3530">
        <w:t>s</w:t>
      </w:r>
      <w:r w:rsidR="00D66C84" w:rsidRPr="00745008">
        <w:t xml:space="preserve"> </w:t>
      </w:r>
      <w:r w:rsidR="001B3530">
        <w:t>in 2024</w:t>
      </w:r>
    </w:p>
    <w:p w14:paraId="449B59FD" w14:textId="4ABE6DA3" w:rsidR="007935B5" w:rsidRPr="007935B5" w:rsidRDefault="00C01E41" w:rsidP="00BE6491">
      <w:r w:rsidRPr="00C01E41">
        <w:rPr>
          <w:noProof/>
        </w:rPr>
        <w:drawing>
          <wp:inline distT="0" distB="0" distL="0" distR="0" wp14:anchorId="65042DDE" wp14:editId="4E327EC6">
            <wp:extent cx="6120321" cy="2900275"/>
            <wp:effectExtent l="0" t="0" r="13970" b="14605"/>
            <wp:docPr id="1677447098" name="Chart 1">
              <a:extLst xmlns:a="http://schemas.openxmlformats.org/drawingml/2006/main">
                <a:ext uri="{FF2B5EF4-FFF2-40B4-BE49-F238E27FC236}">
                  <a16:creationId xmlns:a16="http://schemas.microsoft.com/office/drawing/2014/main" id="{E0D01347-FF51-628D-F741-C8B79A42B1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F378F5F" w14:textId="13AF1CCC" w:rsidR="00262733" w:rsidRDefault="00F24C7D" w:rsidP="00BE6491">
      <w:pPr>
        <w:pStyle w:val="Heading2"/>
      </w:pPr>
      <w:r>
        <w:t>3</w:t>
      </w:r>
      <w:r w:rsidR="00262733">
        <w:t>.1</w:t>
      </w:r>
      <w:r w:rsidR="00262733">
        <w:tab/>
        <w:t>Fellowships</w:t>
      </w:r>
      <w:r w:rsidR="00255CED">
        <w:t xml:space="preserve"> to </w:t>
      </w:r>
      <w:r w:rsidR="001F02A5">
        <w:t xml:space="preserve">support </w:t>
      </w:r>
      <w:r w:rsidR="00255CED">
        <w:t>participat</w:t>
      </w:r>
      <w:r w:rsidR="001F02A5">
        <w:t>ion</w:t>
      </w:r>
      <w:r w:rsidR="00262733">
        <w:t xml:space="preserve"> in ITU-R Study Groups</w:t>
      </w:r>
      <w:r w:rsidR="00255CED">
        <w:t xml:space="preserve"> activities</w:t>
      </w:r>
    </w:p>
    <w:p w14:paraId="61573A43" w14:textId="71976B14" w:rsidR="009E317D" w:rsidRDefault="00255CED" w:rsidP="001732C2">
      <w:r>
        <w:t xml:space="preserve">In accordance with section </w:t>
      </w:r>
      <w:r w:rsidR="009E317D" w:rsidRPr="009E317D">
        <w:t>A1.3.2.1</w:t>
      </w:r>
      <w:r w:rsidR="009E317D" w:rsidRPr="009E317D">
        <w:rPr>
          <w:i/>
          <w:iCs/>
        </w:rPr>
        <w:t>quinquies </w:t>
      </w:r>
      <w:r>
        <w:t>of Resolution ITU-R 1-9</w:t>
      </w:r>
      <w:r w:rsidR="007D71B2">
        <w:t xml:space="preserve">, ITU should provide support and </w:t>
      </w:r>
      <w:r w:rsidR="007D71B2" w:rsidRPr="009E317D">
        <w:t>facilitate</w:t>
      </w:r>
      <w:r w:rsidR="007D71B2" w:rsidRPr="007D71B2">
        <w:t xml:space="preserve"> </w:t>
      </w:r>
      <w:r w:rsidR="007D71B2" w:rsidRPr="009E317D">
        <w:t xml:space="preserve">participation in the work of the </w:t>
      </w:r>
      <w:r w:rsidR="007D71B2">
        <w:t>ITU-R Study Groups</w:t>
      </w:r>
      <w:r w:rsidR="00E57B5E">
        <w:t>,</w:t>
      </w:r>
      <w:r w:rsidR="007D71B2" w:rsidRPr="009E317D">
        <w:t xml:space="preserve"> especially for persons originating from developing countries</w:t>
      </w:r>
      <w:r w:rsidR="00E508A2" w:rsidRPr="009E317D">
        <w:t>, as far as possible and practicable</w:t>
      </w:r>
      <w:r w:rsidR="00E508A2">
        <w:t xml:space="preserve">. </w:t>
      </w:r>
      <w:proofErr w:type="gramStart"/>
      <w:r w:rsidR="00E508A2">
        <w:t>In order to</w:t>
      </w:r>
      <w:proofErr w:type="gramEnd"/>
      <w:r w:rsidR="00E508A2">
        <w:t xml:space="preserve"> identify the budget allocated to grant fellowships</w:t>
      </w:r>
      <w:r w:rsidR="00BB4E7B">
        <w:t xml:space="preserve"> for ITU-R meetings</w:t>
      </w:r>
      <w:r w:rsidR="00E508A2">
        <w:t xml:space="preserve">, a request </w:t>
      </w:r>
      <w:r w:rsidR="00D25A85">
        <w:t>was</w:t>
      </w:r>
      <w:r w:rsidR="00E508A2">
        <w:t xml:space="preserve"> made to ITU Council 2025. </w:t>
      </w:r>
    </w:p>
    <w:p w14:paraId="3CE7F205" w14:textId="108FA1D6" w:rsidR="00D66C84" w:rsidRPr="00745008" w:rsidRDefault="00F24C7D" w:rsidP="00BE6491">
      <w:pPr>
        <w:pStyle w:val="Heading1"/>
      </w:pPr>
      <w:r>
        <w:lastRenderedPageBreak/>
        <w:t>4</w:t>
      </w:r>
      <w:r w:rsidR="00D66C84" w:rsidRPr="00745008">
        <w:tab/>
        <w:t>Meeting rooms</w:t>
      </w:r>
    </w:p>
    <w:p w14:paraId="293C7D10" w14:textId="4CF38514" w:rsidR="00D66C84" w:rsidRPr="00745008" w:rsidRDefault="00D66C84" w:rsidP="001732C2">
      <w:r w:rsidRPr="00745008">
        <w:t>The shortage of meeting rooms at ITU Headquarters continue</w:t>
      </w:r>
      <w:r w:rsidR="00D25A85">
        <w:t>d</w:t>
      </w:r>
      <w:r w:rsidRPr="00745008">
        <w:t xml:space="preserve"> to hinder the effective planning of meetings. This problem </w:t>
      </w:r>
      <w:r w:rsidR="00D25A85">
        <w:t xml:space="preserve">was </w:t>
      </w:r>
      <w:r w:rsidRPr="00745008">
        <w:t>exacerbated by the following factors:</w:t>
      </w:r>
    </w:p>
    <w:p w14:paraId="1096A116" w14:textId="77777777" w:rsidR="00D66C84" w:rsidRPr="009E4F77" w:rsidRDefault="00D66C84" w:rsidP="009E4F77">
      <w:pPr>
        <w:pStyle w:val="enumlev1"/>
      </w:pPr>
      <w:r w:rsidRPr="00745008">
        <w:t>–</w:t>
      </w:r>
      <w:r w:rsidRPr="00745008">
        <w:tab/>
        <w:t xml:space="preserve">the increased </w:t>
      </w:r>
      <w:r w:rsidRPr="009E4F77">
        <w:t>number of meetings being arranged by all of the Sectors and the General </w:t>
      </w:r>
      <w:proofErr w:type="gramStart"/>
      <w:r w:rsidRPr="009E4F77">
        <w:t>Secretariat;</w:t>
      </w:r>
      <w:proofErr w:type="gramEnd"/>
    </w:p>
    <w:p w14:paraId="7DAE8D66" w14:textId="77777777" w:rsidR="00D66C84" w:rsidRPr="009E4F77" w:rsidRDefault="00D66C84" w:rsidP="009E4F77">
      <w:pPr>
        <w:pStyle w:val="enumlev1"/>
      </w:pPr>
      <w:r w:rsidRPr="009E4F77">
        <w:t>–</w:t>
      </w:r>
      <w:r w:rsidRPr="009E4F77">
        <w:tab/>
        <w:t xml:space="preserve">the shortage of meeting rooms with a capacity of more than 120 </w:t>
      </w:r>
      <w:proofErr w:type="gramStart"/>
      <w:r w:rsidRPr="009E4F77">
        <w:t>participants;</w:t>
      </w:r>
      <w:proofErr w:type="gramEnd"/>
    </w:p>
    <w:p w14:paraId="2C737C0A" w14:textId="2AFD0751" w:rsidR="00D66C84" w:rsidRPr="009E4F77" w:rsidRDefault="00D66C84" w:rsidP="009E4F77">
      <w:pPr>
        <w:pStyle w:val="enumlev1"/>
      </w:pPr>
      <w:r w:rsidRPr="009E4F77">
        <w:t>–</w:t>
      </w:r>
      <w:r w:rsidRPr="009E4F77">
        <w:tab/>
        <w:t xml:space="preserve">the need to avoid overlap of meeting dates as well as the requirement of having meetings of ITU-R Groups in </w:t>
      </w:r>
      <w:proofErr w:type="gramStart"/>
      <w:r w:rsidRPr="009E4F77">
        <w:t>parallel;</w:t>
      </w:r>
      <w:proofErr w:type="gramEnd"/>
    </w:p>
    <w:p w14:paraId="656A5A61" w14:textId="77777777" w:rsidR="00D66C84" w:rsidRPr="009E4F77" w:rsidRDefault="00D66C84" w:rsidP="009E4F77">
      <w:pPr>
        <w:pStyle w:val="enumlev1"/>
      </w:pPr>
      <w:r w:rsidRPr="009E4F77">
        <w:t>–</w:t>
      </w:r>
      <w:r w:rsidRPr="009E4F77">
        <w:tab/>
        <w:t xml:space="preserve">the limited availability and very long lead times required for bookings in alternative facilities, such as </w:t>
      </w:r>
      <w:proofErr w:type="gramStart"/>
      <w:r w:rsidRPr="009E4F77">
        <w:t>CICG;</w:t>
      </w:r>
      <w:proofErr w:type="gramEnd"/>
    </w:p>
    <w:p w14:paraId="1492CF97" w14:textId="3B5009C1" w:rsidR="00FD6916" w:rsidRPr="009E4F77" w:rsidRDefault="00FD6916" w:rsidP="009E4F77">
      <w:pPr>
        <w:pStyle w:val="enumlev1"/>
      </w:pPr>
      <w:r w:rsidRPr="009E4F77">
        <w:t>–</w:t>
      </w:r>
      <w:r w:rsidRPr="009E4F77">
        <w:tab/>
      </w:r>
      <w:r w:rsidR="007458AA" w:rsidRPr="009E4F77">
        <w:t xml:space="preserve">additionally, CICG contract conditions have changed and became more stringent:  CICG no longer automatically provides meeting room space free of rental charge to ITU or other international organizations with allocations of meeting space free of rental charges ​subject to CICG’s budgetary availability and all requests to be submitted 18 months in advance to be considered for free of rental </w:t>
      </w:r>
      <w:proofErr w:type="gramStart"/>
      <w:r w:rsidR="007458AA" w:rsidRPr="009E4F77">
        <w:t>charge</w:t>
      </w:r>
      <w:r w:rsidRPr="009E4F77">
        <w:t>;</w:t>
      </w:r>
      <w:proofErr w:type="gramEnd"/>
    </w:p>
    <w:p w14:paraId="3C1A37C5" w14:textId="1B78EC69" w:rsidR="00D66C84" w:rsidRPr="00745008" w:rsidRDefault="00D66C84" w:rsidP="009E4F77">
      <w:pPr>
        <w:pStyle w:val="enumlev1"/>
      </w:pPr>
      <w:r w:rsidRPr="009E4F77">
        <w:t>–</w:t>
      </w:r>
      <w:r w:rsidRPr="009E4F77">
        <w:tab/>
        <w:t xml:space="preserve">the future demolition of </w:t>
      </w:r>
      <w:proofErr w:type="spellStart"/>
      <w:r w:rsidRPr="009E4F77">
        <w:t>Varembé</w:t>
      </w:r>
      <w:proofErr w:type="spellEnd"/>
      <w:r w:rsidRPr="009E4F77">
        <w:t xml:space="preserve"> building and the construction of the new ITU building, which </w:t>
      </w:r>
      <w:r w:rsidR="00D25A85" w:rsidRPr="009E4F77">
        <w:t xml:space="preserve">would </w:t>
      </w:r>
      <w:r w:rsidRPr="009E4F77">
        <w:t xml:space="preserve">have an impact on </w:t>
      </w:r>
      <w:r w:rsidR="00CF6D38" w:rsidRPr="009E4F77">
        <w:t>several</w:t>
      </w:r>
      <w:r w:rsidRPr="00745008">
        <w:t xml:space="preserve"> meeting rooms.</w:t>
      </w:r>
    </w:p>
    <w:p w14:paraId="54DA560F" w14:textId="264B5D68" w:rsidR="00D66C84" w:rsidRDefault="00D66C84" w:rsidP="001732C2">
      <w:r w:rsidRPr="00745008">
        <w:t xml:space="preserve">Consequently, </w:t>
      </w:r>
      <w:r>
        <w:t xml:space="preserve">when the </w:t>
      </w:r>
      <w:r w:rsidR="006A2F5F">
        <w:t xml:space="preserve">demolition </w:t>
      </w:r>
      <w:r w:rsidR="00882F31">
        <w:t xml:space="preserve">of the </w:t>
      </w:r>
      <w:proofErr w:type="spellStart"/>
      <w:r w:rsidR="00882F31">
        <w:t>Varembé</w:t>
      </w:r>
      <w:proofErr w:type="spellEnd"/>
      <w:r w:rsidR="00882F31">
        <w:t xml:space="preserve"> </w:t>
      </w:r>
      <w:r>
        <w:t xml:space="preserve">building </w:t>
      </w:r>
      <w:r w:rsidR="006507CD">
        <w:t>begins</w:t>
      </w:r>
      <w:r>
        <w:t xml:space="preserve">, </w:t>
      </w:r>
      <w:r w:rsidRPr="00745008">
        <w:t xml:space="preserve">an increasing number of meetings </w:t>
      </w:r>
      <w:r w:rsidR="00567C33">
        <w:t>would</w:t>
      </w:r>
      <w:r w:rsidR="00567C33" w:rsidRPr="00745008">
        <w:t xml:space="preserve"> </w:t>
      </w:r>
      <w:r w:rsidRPr="00745008">
        <w:t xml:space="preserve">need to be held outside ITU </w:t>
      </w:r>
      <w:r w:rsidR="00304DCD">
        <w:t xml:space="preserve">Headquarters </w:t>
      </w:r>
      <w:r w:rsidRPr="00745008">
        <w:t xml:space="preserve">or as a mixture of physical and remote participation. To that end, offers from the membership to host SGs/WPs meetings during this period </w:t>
      </w:r>
      <w:r w:rsidR="00C807F7">
        <w:t>would</w:t>
      </w:r>
      <w:r w:rsidRPr="00745008">
        <w:t xml:space="preserve"> be particularly welcome.</w:t>
      </w:r>
      <w:r>
        <w:t xml:space="preserve"> </w:t>
      </w:r>
      <w:r w:rsidRPr="00366A48">
        <w:t>Furthermore, such arrangements</w:t>
      </w:r>
      <w:r w:rsidR="00C807F7">
        <w:t xml:space="preserve"> would</w:t>
      </w:r>
      <w:r w:rsidRPr="00366A48">
        <w:t xml:space="preserve"> require considerable advance planning and preparation.</w:t>
      </w:r>
    </w:p>
    <w:p w14:paraId="5AD8472A" w14:textId="5CFE6DB9" w:rsidR="00EE53AC" w:rsidRPr="00745008" w:rsidRDefault="006B7B00" w:rsidP="001732C2">
      <w:pPr>
        <w:rPr>
          <w:sz w:val="22"/>
          <w:szCs w:val="22"/>
        </w:rPr>
      </w:pPr>
      <w:r>
        <w:t>Overlap</w:t>
      </w:r>
      <w:r w:rsidR="000C6BEC">
        <w:t>s</w:t>
      </w:r>
      <w:r>
        <w:t xml:space="preserve"> with meetings of </w:t>
      </w:r>
      <w:r w:rsidR="00E27545">
        <w:t xml:space="preserve">other ITU Sectors and the General Secretariat </w:t>
      </w:r>
      <w:r w:rsidR="00A22CA6">
        <w:t>w</w:t>
      </w:r>
      <w:r w:rsidR="000C6BEC">
        <w:t>ere</w:t>
      </w:r>
      <w:r w:rsidR="00E27545">
        <w:t xml:space="preserve"> </w:t>
      </w:r>
      <w:r w:rsidR="00A22CA6">
        <w:t>a</w:t>
      </w:r>
      <w:r w:rsidR="00E27545">
        <w:t xml:space="preserve">voided </w:t>
      </w:r>
      <w:r w:rsidR="0052590D">
        <w:t xml:space="preserve">in 2024 </w:t>
      </w:r>
      <w:r w:rsidR="00E27545">
        <w:t>to the extent possible.</w:t>
      </w:r>
      <w:r w:rsidR="00760D5E">
        <w:t xml:space="preserve"> Unfortunately, </w:t>
      </w:r>
      <w:r w:rsidR="0052590D">
        <w:t xml:space="preserve">the number of </w:t>
      </w:r>
      <w:r w:rsidR="00760D5E">
        <w:t>non-ITU-R events</w:t>
      </w:r>
      <w:r w:rsidR="00BB2123">
        <w:t xml:space="preserve"> increased significantly</w:t>
      </w:r>
      <w:r w:rsidR="009E79BD">
        <w:t>. I</w:t>
      </w:r>
      <w:r w:rsidR="000C6BEC">
        <w:t xml:space="preserve">t </w:t>
      </w:r>
      <w:r w:rsidR="00CD52BB">
        <w:t xml:space="preserve">has </w:t>
      </w:r>
      <w:r w:rsidR="00BB2123">
        <w:t>bec</w:t>
      </w:r>
      <w:r w:rsidR="00CD52BB">
        <w:t>o</w:t>
      </w:r>
      <w:r w:rsidR="00BB2123">
        <w:t xml:space="preserve">me difficult and sometimes impossible to avoid </w:t>
      </w:r>
      <w:r w:rsidR="00760D5E">
        <w:t>such overlaps.</w:t>
      </w:r>
      <w:r w:rsidR="004C57E4">
        <w:t xml:space="preserve"> A similar situation is </w:t>
      </w:r>
      <w:r w:rsidR="006507CD">
        <w:t xml:space="preserve">foreseen </w:t>
      </w:r>
      <w:r w:rsidR="004C57E4">
        <w:t>in 2025 and regular coordination among the ITU Sectors is</w:t>
      </w:r>
      <w:r w:rsidR="00512600">
        <w:t xml:space="preserve"> ongoing to mitigate the impact.</w:t>
      </w:r>
    </w:p>
    <w:p w14:paraId="0BD9F6A4" w14:textId="66FFEA25" w:rsidR="00F325B7" w:rsidRPr="00745008" w:rsidRDefault="000C6BEC" w:rsidP="001732C2">
      <w:pPr>
        <w:pStyle w:val="Heading1"/>
      </w:pPr>
      <w:bookmarkStart w:id="12" w:name="_Toc445972792"/>
      <w:bookmarkEnd w:id="5"/>
      <w:r>
        <w:t>5</w:t>
      </w:r>
      <w:r w:rsidR="00F325B7" w:rsidRPr="00745008">
        <w:tab/>
        <w:t xml:space="preserve">Activities in the </w:t>
      </w:r>
      <w:r w:rsidR="00F325B7" w:rsidRPr="001732C2">
        <w:t>Study</w:t>
      </w:r>
      <w:r w:rsidR="00F325B7" w:rsidRPr="00745008">
        <w:t xml:space="preserve"> Groups</w:t>
      </w:r>
    </w:p>
    <w:p w14:paraId="5736498C" w14:textId="4718BC84" w:rsidR="0052011E" w:rsidRDefault="0052011E" w:rsidP="001732C2">
      <w:r w:rsidRPr="00745008">
        <w:t xml:space="preserve">Working methods for Study Groups (SGs) and Working Parties (WPs) were applied in accordance with Resolution ITU-R 1 and the associated </w:t>
      </w:r>
      <w:hyperlink r:id="rId14" w:history="1">
        <w:r w:rsidRPr="006925FC">
          <w:rPr>
            <w:rStyle w:val="Hyperlink"/>
          </w:rPr>
          <w:t>Guidelines for the working methods</w:t>
        </w:r>
      </w:hyperlink>
      <w:r w:rsidRPr="00745008">
        <w:t>.</w:t>
      </w:r>
    </w:p>
    <w:p w14:paraId="43D7AF52" w14:textId="435B98EC" w:rsidR="00F325B7" w:rsidRDefault="00F325B7" w:rsidP="001732C2">
      <w:r w:rsidRPr="00745008">
        <w:t>Some of the activities and other ongoing standardization studies are described below</w:t>
      </w:r>
      <w:r w:rsidR="00373C42">
        <w:t>, which</w:t>
      </w:r>
      <w:r w:rsidRPr="00745008">
        <w:t xml:space="preserve"> summarizes the studies carried out since RAG-</w:t>
      </w:r>
      <w:r>
        <w:t>2</w:t>
      </w:r>
      <w:r w:rsidR="004439FC">
        <w:t>4</w:t>
      </w:r>
      <w:r w:rsidRPr="00745008">
        <w:t xml:space="preserve"> as well as the production of ITU</w:t>
      </w:r>
      <w:r w:rsidRPr="00745008">
        <w:noBreakHyphen/>
        <w:t>R Recommendations and ITU-R Reports approved since then.</w:t>
      </w:r>
    </w:p>
    <w:p w14:paraId="3E6055AA" w14:textId="77777777" w:rsidR="001732C2" w:rsidRPr="00745008" w:rsidRDefault="001732C2" w:rsidP="001732C2"/>
    <w:tbl>
      <w:tblPr>
        <w:tblStyle w:val="TableGrid1"/>
        <w:tblW w:w="0" w:type="auto"/>
        <w:jc w:val="center"/>
        <w:tblLook w:val="04A0" w:firstRow="1" w:lastRow="0" w:firstColumn="1" w:lastColumn="0" w:noHBand="0" w:noVBand="1"/>
      </w:tblPr>
      <w:tblGrid>
        <w:gridCol w:w="840"/>
        <w:gridCol w:w="2416"/>
        <w:gridCol w:w="2268"/>
        <w:gridCol w:w="1559"/>
        <w:gridCol w:w="1527"/>
        <w:gridCol w:w="1109"/>
      </w:tblGrid>
      <w:tr w:rsidR="00F325B7" w:rsidRPr="00745008" w14:paraId="18B750A8" w14:textId="77777777" w:rsidTr="00E757EA">
        <w:trPr>
          <w:trHeight w:val="287"/>
          <w:tblHeader/>
          <w:jc w:val="center"/>
        </w:trPr>
        <w:tc>
          <w:tcPr>
            <w:tcW w:w="840" w:type="dxa"/>
            <w:vMerge w:val="restart"/>
            <w:tcBorders>
              <w:right w:val="single" w:sz="4" w:space="0" w:color="000000" w:themeColor="text1"/>
            </w:tcBorders>
            <w:shd w:val="clear" w:color="auto" w:fill="DBE5F1" w:themeFill="accent1" w:themeFillTint="33"/>
            <w:vAlign w:val="center"/>
          </w:tcPr>
          <w:p w14:paraId="446DAA0A" w14:textId="77777777" w:rsidR="00F325B7" w:rsidRPr="00745008" w:rsidRDefault="00F325B7" w:rsidP="00E757EA">
            <w:pPr>
              <w:pStyle w:val="Tablehead"/>
            </w:pPr>
            <w:r w:rsidRPr="00745008">
              <w:t>Study Group</w:t>
            </w:r>
          </w:p>
        </w:tc>
        <w:tc>
          <w:tcPr>
            <w:tcW w:w="8879" w:type="dxa"/>
            <w:gridSpan w:val="5"/>
            <w:tcBorders>
              <w:left w:val="single" w:sz="4" w:space="0" w:color="000000" w:themeColor="text1"/>
            </w:tcBorders>
            <w:shd w:val="clear" w:color="auto" w:fill="DBE5F1" w:themeFill="accent1" w:themeFillTint="33"/>
            <w:vAlign w:val="center"/>
          </w:tcPr>
          <w:p w14:paraId="3E2125E3" w14:textId="77777777" w:rsidR="00F325B7" w:rsidRPr="00745008" w:rsidRDefault="00F325B7" w:rsidP="00E757EA">
            <w:pPr>
              <w:pStyle w:val="Tablehead"/>
            </w:pPr>
            <w:r w:rsidRPr="00745008">
              <w:t>Status of studies</w:t>
            </w:r>
          </w:p>
        </w:tc>
      </w:tr>
      <w:tr w:rsidR="00981AA3" w:rsidRPr="00745008" w14:paraId="5E8CE96B" w14:textId="77777777" w:rsidTr="00E757EA">
        <w:trPr>
          <w:trHeight w:val="270"/>
          <w:tblHeader/>
          <w:jc w:val="center"/>
        </w:trPr>
        <w:tc>
          <w:tcPr>
            <w:tcW w:w="840" w:type="dxa"/>
            <w:vMerge/>
            <w:vAlign w:val="center"/>
          </w:tcPr>
          <w:p w14:paraId="4B9DF2AE" w14:textId="77777777" w:rsidR="00F325B7" w:rsidRPr="00745008" w:rsidDel="00A14716" w:rsidRDefault="00F325B7" w:rsidP="00E757EA">
            <w:pPr>
              <w:pStyle w:val="Tablehead"/>
            </w:pPr>
          </w:p>
        </w:tc>
        <w:tc>
          <w:tcPr>
            <w:tcW w:w="2416" w:type="dxa"/>
            <w:tcBorders>
              <w:left w:val="single" w:sz="4" w:space="0" w:color="000000" w:themeColor="text1"/>
            </w:tcBorders>
            <w:shd w:val="clear" w:color="auto" w:fill="DBE5F1" w:themeFill="accent1" w:themeFillTint="33"/>
            <w:vAlign w:val="center"/>
          </w:tcPr>
          <w:p w14:paraId="0573D927" w14:textId="77777777" w:rsidR="00F325B7" w:rsidRPr="00745008" w:rsidRDefault="00F325B7" w:rsidP="00E757EA">
            <w:pPr>
              <w:pStyle w:val="Tablehead"/>
            </w:pPr>
            <w:r w:rsidRPr="00745008">
              <w:t>Recommendations ITU-R approved</w:t>
            </w:r>
          </w:p>
        </w:tc>
        <w:tc>
          <w:tcPr>
            <w:tcW w:w="2268" w:type="dxa"/>
            <w:tcBorders>
              <w:left w:val="single" w:sz="4" w:space="0" w:color="000000" w:themeColor="text1"/>
            </w:tcBorders>
            <w:shd w:val="clear" w:color="auto" w:fill="DBE5F1" w:themeFill="accent1" w:themeFillTint="33"/>
          </w:tcPr>
          <w:p w14:paraId="485E5BC6" w14:textId="77777777" w:rsidR="00F325B7" w:rsidRPr="00745008" w:rsidRDefault="00F325B7" w:rsidP="00E757EA">
            <w:pPr>
              <w:pStyle w:val="Tablehead"/>
            </w:pPr>
            <w:r w:rsidRPr="00745008">
              <w:t>Reports ITU-R approved</w:t>
            </w:r>
          </w:p>
        </w:tc>
        <w:tc>
          <w:tcPr>
            <w:tcW w:w="1559" w:type="dxa"/>
            <w:tcBorders>
              <w:left w:val="single" w:sz="4" w:space="0" w:color="000000" w:themeColor="text1"/>
            </w:tcBorders>
            <w:shd w:val="clear" w:color="auto" w:fill="DBE5F1" w:themeFill="accent1" w:themeFillTint="33"/>
          </w:tcPr>
          <w:p w14:paraId="66F39404" w14:textId="77777777" w:rsidR="00F325B7" w:rsidRPr="00745008" w:rsidRDefault="00F325B7" w:rsidP="00E757EA">
            <w:pPr>
              <w:pStyle w:val="Tablehead"/>
            </w:pPr>
            <w:r w:rsidRPr="00745008">
              <w:t>Questions ITU-R approved</w:t>
            </w:r>
          </w:p>
        </w:tc>
        <w:tc>
          <w:tcPr>
            <w:tcW w:w="1527" w:type="dxa"/>
            <w:tcBorders>
              <w:left w:val="single" w:sz="4" w:space="0" w:color="000000" w:themeColor="text1"/>
            </w:tcBorders>
            <w:shd w:val="clear" w:color="auto" w:fill="DBE5F1" w:themeFill="accent1" w:themeFillTint="33"/>
          </w:tcPr>
          <w:p w14:paraId="29825C88" w14:textId="77777777" w:rsidR="00F325B7" w:rsidRPr="00745008" w:rsidRDefault="00F325B7" w:rsidP="00E757EA">
            <w:pPr>
              <w:pStyle w:val="Tablehead"/>
            </w:pPr>
            <w:r w:rsidRPr="00745008">
              <w:t>Handbooks ITU-R approved</w:t>
            </w:r>
          </w:p>
        </w:tc>
        <w:tc>
          <w:tcPr>
            <w:tcW w:w="1109" w:type="dxa"/>
            <w:tcBorders>
              <w:left w:val="single" w:sz="4" w:space="0" w:color="000000" w:themeColor="text1"/>
            </w:tcBorders>
            <w:shd w:val="clear" w:color="auto" w:fill="DBE5F1" w:themeFill="accent1" w:themeFillTint="33"/>
          </w:tcPr>
          <w:p w14:paraId="0924A9A6" w14:textId="77777777" w:rsidR="00F325B7" w:rsidRPr="00745008" w:rsidRDefault="00F325B7" w:rsidP="00E757EA">
            <w:pPr>
              <w:pStyle w:val="Tablehead"/>
            </w:pPr>
            <w:r w:rsidRPr="00745008">
              <w:t>Opinions ITU-R approved</w:t>
            </w:r>
          </w:p>
        </w:tc>
      </w:tr>
      <w:tr w:rsidR="00981AA3" w:rsidRPr="00745008" w14:paraId="6CBBB472" w14:textId="77777777" w:rsidTr="00E757EA">
        <w:trPr>
          <w:trHeight w:val="270"/>
          <w:jc w:val="center"/>
        </w:trPr>
        <w:tc>
          <w:tcPr>
            <w:tcW w:w="840" w:type="dxa"/>
            <w:tcBorders>
              <w:right w:val="single" w:sz="4" w:space="0" w:color="000000" w:themeColor="text1"/>
            </w:tcBorders>
            <w:shd w:val="clear" w:color="auto" w:fill="auto"/>
          </w:tcPr>
          <w:p w14:paraId="5EE39CD7" w14:textId="77777777" w:rsidR="00F325B7" w:rsidRPr="00745008" w:rsidDel="00A14716" w:rsidRDefault="00F325B7" w:rsidP="00E757EA">
            <w:pPr>
              <w:pStyle w:val="Tabletext"/>
              <w:jc w:val="center"/>
              <w:rPr>
                <w:b/>
                <w:bCs/>
              </w:rPr>
            </w:pPr>
            <w:r w:rsidRPr="00745008">
              <w:rPr>
                <w:b/>
                <w:bCs/>
              </w:rPr>
              <w:t>SG 1</w:t>
            </w:r>
          </w:p>
        </w:tc>
        <w:tc>
          <w:tcPr>
            <w:tcW w:w="2416" w:type="dxa"/>
            <w:tcBorders>
              <w:left w:val="single" w:sz="4" w:space="0" w:color="000000" w:themeColor="text1"/>
            </w:tcBorders>
            <w:shd w:val="clear" w:color="auto" w:fill="auto"/>
          </w:tcPr>
          <w:p w14:paraId="5D04BE51" w14:textId="119A39A4" w:rsidR="00F325B7" w:rsidRPr="00745008" w:rsidRDefault="00FF379C" w:rsidP="00E757EA">
            <w:pPr>
              <w:pStyle w:val="Tabletext"/>
            </w:pPr>
            <w:r w:rsidRPr="00FF379C">
              <w:rPr>
                <w:rFonts w:asciiTheme="majorBidi" w:hAnsiTheme="majorBidi" w:cstheme="majorBidi"/>
                <w:sz w:val="20"/>
                <w:lang w:eastAsia="ja-JP"/>
              </w:rPr>
              <w:t>SM.329-13</w:t>
            </w:r>
            <w:r>
              <w:rPr>
                <w:rFonts w:asciiTheme="majorBidi" w:hAnsiTheme="majorBidi" w:cstheme="majorBidi"/>
                <w:sz w:val="20"/>
                <w:lang w:eastAsia="ja-JP"/>
              </w:rPr>
              <w:t>, SM.853</w:t>
            </w:r>
            <w:r w:rsidR="001D2FC7">
              <w:rPr>
                <w:rFonts w:asciiTheme="majorBidi" w:hAnsiTheme="majorBidi" w:cstheme="majorBidi"/>
                <w:sz w:val="20"/>
                <w:lang w:eastAsia="ja-JP"/>
              </w:rPr>
              <w:t>-</w:t>
            </w:r>
            <w:r>
              <w:rPr>
                <w:rFonts w:asciiTheme="majorBidi" w:hAnsiTheme="majorBidi" w:cstheme="majorBidi"/>
                <w:sz w:val="20"/>
                <w:lang w:eastAsia="ja-JP"/>
              </w:rPr>
              <w:t>2, SM.</w:t>
            </w:r>
            <w:r w:rsidR="004408F9">
              <w:rPr>
                <w:rFonts w:asciiTheme="majorBidi" w:hAnsiTheme="majorBidi" w:cstheme="majorBidi"/>
                <w:sz w:val="20"/>
                <w:lang w:eastAsia="ja-JP"/>
              </w:rPr>
              <w:t>1539</w:t>
            </w:r>
            <w:r w:rsidR="001D2FC7">
              <w:rPr>
                <w:rFonts w:asciiTheme="majorBidi" w:hAnsiTheme="majorBidi" w:cstheme="majorBidi"/>
                <w:sz w:val="20"/>
                <w:lang w:eastAsia="ja-JP"/>
              </w:rPr>
              <w:t>-</w:t>
            </w:r>
            <w:r w:rsidR="004408F9">
              <w:rPr>
                <w:rFonts w:asciiTheme="majorBidi" w:hAnsiTheme="majorBidi" w:cstheme="majorBidi"/>
                <w:sz w:val="20"/>
                <w:lang w:eastAsia="ja-JP"/>
              </w:rPr>
              <w:t>2, SM.1541</w:t>
            </w:r>
            <w:r w:rsidR="001D2FC7">
              <w:rPr>
                <w:rFonts w:asciiTheme="majorBidi" w:hAnsiTheme="majorBidi" w:cstheme="majorBidi"/>
                <w:sz w:val="20"/>
                <w:lang w:eastAsia="ja-JP"/>
              </w:rPr>
              <w:t>-</w:t>
            </w:r>
            <w:r w:rsidR="004408F9">
              <w:rPr>
                <w:rFonts w:asciiTheme="majorBidi" w:hAnsiTheme="majorBidi" w:cstheme="majorBidi"/>
                <w:sz w:val="20"/>
                <w:lang w:eastAsia="ja-JP"/>
              </w:rPr>
              <w:t>7, SM.2129</w:t>
            </w:r>
            <w:r w:rsidR="001D2FC7">
              <w:rPr>
                <w:rFonts w:asciiTheme="majorBidi" w:hAnsiTheme="majorBidi" w:cstheme="majorBidi"/>
                <w:sz w:val="20"/>
                <w:lang w:eastAsia="ja-JP"/>
              </w:rPr>
              <w:t>-</w:t>
            </w:r>
            <w:r w:rsidR="004408F9">
              <w:rPr>
                <w:rFonts w:asciiTheme="majorBidi" w:hAnsiTheme="majorBidi" w:cstheme="majorBidi"/>
                <w:sz w:val="20"/>
                <w:lang w:eastAsia="ja-JP"/>
              </w:rPr>
              <w:t>1</w:t>
            </w:r>
          </w:p>
        </w:tc>
        <w:tc>
          <w:tcPr>
            <w:tcW w:w="2268" w:type="dxa"/>
            <w:tcBorders>
              <w:left w:val="single" w:sz="4" w:space="0" w:color="000000" w:themeColor="text1"/>
            </w:tcBorders>
            <w:shd w:val="clear" w:color="auto" w:fill="auto"/>
          </w:tcPr>
          <w:p w14:paraId="1A061DF1" w14:textId="64A1FD41" w:rsidR="00F325B7" w:rsidRPr="00BE6491" w:rsidRDefault="00610161" w:rsidP="00E757EA">
            <w:pPr>
              <w:pStyle w:val="Tabletext"/>
              <w:rPr>
                <w:sz w:val="20"/>
              </w:rPr>
            </w:pPr>
            <w:r w:rsidRPr="00035AF0">
              <w:rPr>
                <w:sz w:val="20"/>
              </w:rPr>
              <w:t>SM.2486-1, SM.</w:t>
            </w:r>
            <w:r w:rsidR="00FD2B95" w:rsidRPr="00035AF0">
              <w:rPr>
                <w:sz w:val="20"/>
              </w:rPr>
              <w:t>2449-1, SM.2542-0</w:t>
            </w:r>
          </w:p>
        </w:tc>
        <w:tc>
          <w:tcPr>
            <w:tcW w:w="1559" w:type="dxa"/>
            <w:tcBorders>
              <w:left w:val="single" w:sz="4" w:space="0" w:color="000000" w:themeColor="text1"/>
            </w:tcBorders>
            <w:shd w:val="clear" w:color="auto" w:fill="auto"/>
          </w:tcPr>
          <w:p w14:paraId="77B76B55" w14:textId="65867099" w:rsidR="00F325B7" w:rsidRPr="00745008" w:rsidRDefault="00F325B7" w:rsidP="00E757EA">
            <w:pPr>
              <w:pStyle w:val="Tabletext"/>
            </w:pPr>
          </w:p>
        </w:tc>
        <w:tc>
          <w:tcPr>
            <w:tcW w:w="1527" w:type="dxa"/>
            <w:tcBorders>
              <w:left w:val="single" w:sz="4" w:space="0" w:color="000000" w:themeColor="text1"/>
            </w:tcBorders>
          </w:tcPr>
          <w:p w14:paraId="529D9257" w14:textId="2C64E06A" w:rsidR="00F325B7" w:rsidRPr="00745008" w:rsidRDefault="00F325B7" w:rsidP="00E757EA">
            <w:pPr>
              <w:pStyle w:val="Tabletext"/>
              <w:rPr>
                <w:sz w:val="20"/>
              </w:rPr>
            </w:pPr>
          </w:p>
        </w:tc>
        <w:tc>
          <w:tcPr>
            <w:tcW w:w="1109" w:type="dxa"/>
            <w:tcBorders>
              <w:left w:val="single" w:sz="4" w:space="0" w:color="000000" w:themeColor="text1"/>
            </w:tcBorders>
          </w:tcPr>
          <w:p w14:paraId="0203F431" w14:textId="77777777" w:rsidR="00F325B7" w:rsidRPr="00745008" w:rsidRDefault="00F325B7" w:rsidP="00E757EA">
            <w:pPr>
              <w:pStyle w:val="Tabletext"/>
              <w:rPr>
                <w:sz w:val="20"/>
              </w:rPr>
            </w:pPr>
          </w:p>
        </w:tc>
      </w:tr>
      <w:tr w:rsidR="00981AA3" w:rsidRPr="00745008" w14:paraId="476926B8" w14:textId="77777777" w:rsidTr="00E757EA">
        <w:trPr>
          <w:trHeight w:val="270"/>
          <w:jc w:val="center"/>
        </w:trPr>
        <w:tc>
          <w:tcPr>
            <w:tcW w:w="840" w:type="dxa"/>
            <w:tcBorders>
              <w:right w:val="single" w:sz="4" w:space="0" w:color="000000" w:themeColor="text1"/>
            </w:tcBorders>
            <w:shd w:val="clear" w:color="auto" w:fill="auto"/>
          </w:tcPr>
          <w:p w14:paraId="78065F8A" w14:textId="77777777" w:rsidR="00F325B7" w:rsidRPr="00745008" w:rsidDel="00A14716" w:rsidRDefault="00F325B7" w:rsidP="00E757EA">
            <w:pPr>
              <w:pStyle w:val="Tabletext"/>
              <w:jc w:val="center"/>
              <w:rPr>
                <w:b/>
                <w:bCs/>
              </w:rPr>
            </w:pPr>
            <w:r w:rsidRPr="00745008">
              <w:rPr>
                <w:b/>
                <w:bCs/>
              </w:rPr>
              <w:t>SG 3</w:t>
            </w:r>
          </w:p>
        </w:tc>
        <w:tc>
          <w:tcPr>
            <w:tcW w:w="2416" w:type="dxa"/>
            <w:tcBorders>
              <w:left w:val="single" w:sz="4" w:space="0" w:color="000000" w:themeColor="text1"/>
            </w:tcBorders>
            <w:shd w:val="clear" w:color="auto" w:fill="auto"/>
          </w:tcPr>
          <w:p w14:paraId="278C3815" w14:textId="700D634A" w:rsidR="00F325B7" w:rsidRPr="00745008" w:rsidRDefault="00FD2B95" w:rsidP="00E757EA">
            <w:pPr>
              <w:pStyle w:val="Tabletext"/>
            </w:pPr>
            <w:r>
              <w:rPr>
                <w:sz w:val="20"/>
              </w:rPr>
              <w:t>P.372-17,</w:t>
            </w:r>
            <w:r w:rsidR="00B836AD">
              <w:rPr>
                <w:sz w:val="20"/>
              </w:rPr>
              <w:t xml:space="preserve"> P.525-5, </w:t>
            </w:r>
            <w:r>
              <w:rPr>
                <w:sz w:val="20"/>
              </w:rPr>
              <w:t>P.835</w:t>
            </w:r>
            <w:r w:rsidR="00B836AD">
              <w:rPr>
                <w:sz w:val="20"/>
              </w:rPr>
              <w:noBreakHyphen/>
            </w:r>
            <w:r>
              <w:rPr>
                <w:sz w:val="20"/>
              </w:rPr>
              <w:t>7, P.1511-3</w:t>
            </w:r>
          </w:p>
        </w:tc>
        <w:tc>
          <w:tcPr>
            <w:tcW w:w="2268" w:type="dxa"/>
            <w:tcBorders>
              <w:left w:val="single" w:sz="4" w:space="0" w:color="000000" w:themeColor="text1"/>
            </w:tcBorders>
            <w:shd w:val="clear" w:color="auto" w:fill="auto"/>
          </w:tcPr>
          <w:p w14:paraId="49503659" w14:textId="4CA70CF6" w:rsidR="00F325B7" w:rsidRPr="00035AF0" w:rsidRDefault="00F325B7" w:rsidP="00E757EA">
            <w:pPr>
              <w:pStyle w:val="Tabletext"/>
              <w:rPr>
                <w:rFonts w:asciiTheme="majorBidi" w:hAnsiTheme="majorBidi" w:cstheme="majorBidi"/>
                <w:sz w:val="20"/>
                <w:lang w:eastAsia="ja-JP"/>
              </w:rPr>
            </w:pPr>
          </w:p>
        </w:tc>
        <w:tc>
          <w:tcPr>
            <w:tcW w:w="1559" w:type="dxa"/>
            <w:tcBorders>
              <w:left w:val="single" w:sz="4" w:space="0" w:color="000000" w:themeColor="text1"/>
            </w:tcBorders>
            <w:shd w:val="clear" w:color="auto" w:fill="auto"/>
          </w:tcPr>
          <w:p w14:paraId="2541E16E" w14:textId="3FA9159B" w:rsidR="00F325B7" w:rsidRPr="003153E6" w:rsidRDefault="00F325B7" w:rsidP="00E757EA">
            <w:pPr>
              <w:pStyle w:val="Tabletext"/>
              <w:rPr>
                <w:sz w:val="20"/>
              </w:rPr>
            </w:pPr>
          </w:p>
        </w:tc>
        <w:tc>
          <w:tcPr>
            <w:tcW w:w="1527" w:type="dxa"/>
            <w:tcBorders>
              <w:left w:val="single" w:sz="4" w:space="0" w:color="000000" w:themeColor="text1"/>
            </w:tcBorders>
          </w:tcPr>
          <w:p w14:paraId="6B71FE6B" w14:textId="77777777" w:rsidR="00F325B7" w:rsidRPr="00745008" w:rsidRDefault="00F325B7" w:rsidP="00E757EA">
            <w:pPr>
              <w:pStyle w:val="Tabletext"/>
            </w:pPr>
          </w:p>
        </w:tc>
        <w:tc>
          <w:tcPr>
            <w:tcW w:w="1109" w:type="dxa"/>
            <w:tcBorders>
              <w:left w:val="single" w:sz="4" w:space="0" w:color="000000" w:themeColor="text1"/>
            </w:tcBorders>
          </w:tcPr>
          <w:p w14:paraId="0F3A3753" w14:textId="77777777" w:rsidR="00F325B7" w:rsidRPr="00745008" w:rsidRDefault="00F325B7" w:rsidP="00E757EA">
            <w:pPr>
              <w:pStyle w:val="Tabletext"/>
            </w:pPr>
          </w:p>
        </w:tc>
      </w:tr>
      <w:tr w:rsidR="00981AA3" w:rsidRPr="00745008" w14:paraId="6A20534E" w14:textId="77777777" w:rsidTr="00E757EA">
        <w:trPr>
          <w:trHeight w:val="270"/>
          <w:jc w:val="center"/>
        </w:trPr>
        <w:tc>
          <w:tcPr>
            <w:tcW w:w="840" w:type="dxa"/>
            <w:tcBorders>
              <w:right w:val="single" w:sz="4" w:space="0" w:color="000000" w:themeColor="text1"/>
            </w:tcBorders>
            <w:shd w:val="clear" w:color="auto" w:fill="auto"/>
          </w:tcPr>
          <w:p w14:paraId="27FF4A32" w14:textId="77777777" w:rsidR="00F325B7" w:rsidRPr="00745008" w:rsidDel="00A14716" w:rsidRDefault="00F325B7" w:rsidP="00E757EA">
            <w:pPr>
              <w:pStyle w:val="Tabletext"/>
              <w:jc w:val="center"/>
              <w:rPr>
                <w:b/>
                <w:bCs/>
              </w:rPr>
            </w:pPr>
            <w:r w:rsidRPr="00745008">
              <w:rPr>
                <w:b/>
                <w:bCs/>
              </w:rPr>
              <w:t>SG 4</w:t>
            </w:r>
          </w:p>
        </w:tc>
        <w:tc>
          <w:tcPr>
            <w:tcW w:w="2416" w:type="dxa"/>
            <w:tcBorders>
              <w:left w:val="single" w:sz="4" w:space="0" w:color="000000" w:themeColor="text1"/>
            </w:tcBorders>
            <w:shd w:val="clear" w:color="auto" w:fill="auto"/>
          </w:tcPr>
          <w:p w14:paraId="07CE227B" w14:textId="202B1E12" w:rsidR="00F325B7" w:rsidRPr="00745008" w:rsidRDefault="008916F9" w:rsidP="00E757EA">
            <w:pPr>
              <w:pStyle w:val="Tabletext"/>
              <w:rPr>
                <w:sz w:val="20"/>
              </w:rPr>
            </w:pPr>
            <w:r w:rsidRPr="008916F9">
              <w:rPr>
                <w:sz w:val="20"/>
              </w:rPr>
              <w:t>M.1787-5</w:t>
            </w:r>
            <w:r>
              <w:rPr>
                <w:sz w:val="20"/>
              </w:rPr>
              <w:t>, S.1328-5</w:t>
            </w:r>
          </w:p>
        </w:tc>
        <w:tc>
          <w:tcPr>
            <w:tcW w:w="2268" w:type="dxa"/>
            <w:tcBorders>
              <w:left w:val="single" w:sz="4" w:space="0" w:color="000000" w:themeColor="text1"/>
            </w:tcBorders>
            <w:shd w:val="clear" w:color="auto" w:fill="auto"/>
          </w:tcPr>
          <w:p w14:paraId="0A0D72A6" w14:textId="312D5D2D" w:rsidR="00F325B7" w:rsidRPr="00BE6491" w:rsidRDefault="002D1E90" w:rsidP="00E757EA">
            <w:pPr>
              <w:pStyle w:val="Tabletext"/>
              <w:rPr>
                <w:sz w:val="20"/>
              </w:rPr>
            </w:pPr>
            <w:r w:rsidRPr="00035AF0">
              <w:rPr>
                <w:sz w:val="20"/>
              </w:rPr>
              <w:t>BO.2497-1, M.2513-1,</w:t>
            </w:r>
            <w:r w:rsidR="00035AF0" w:rsidRPr="00035AF0">
              <w:rPr>
                <w:sz w:val="20"/>
              </w:rPr>
              <w:t xml:space="preserve"> </w:t>
            </w:r>
            <w:r w:rsidR="00035AF0" w:rsidRPr="00035AF0">
              <w:rPr>
                <w:sz w:val="20"/>
                <w:lang w:val="pt-BR"/>
              </w:rPr>
              <w:t>M.2543-0, S.2546-0</w:t>
            </w:r>
          </w:p>
        </w:tc>
        <w:tc>
          <w:tcPr>
            <w:tcW w:w="1559" w:type="dxa"/>
            <w:tcBorders>
              <w:left w:val="single" w:sz="4" w:space="0" w:color="000000" w:themeColor="text1"/>
            </w:tcBorders>
            <w:shd w:val="clear" w:color="auto" w:fill="auto"/>
          </w:tcPr>
          <w:p w14:paraId="40F3F2FE" w14:textId="345C4983" w:rsidR="00F325B7" w:rsidRPr="003153E6" w:rsidRDefault="00F325B7" w:rsidP="00E757EA">
            <w:pPr>
              <w:pStyle w:val="Tabletext"/>
              <w:rPr>
                <w:sz w:val="20"/>
              </w:rPr>
            </w:pPr>
          </w:p>
        </w:tc>
        <w:tc>
          <w:tcPr>
            <w:tcW w:w="1527" w:type="dxa"/>
            <w:tcBorders>
              <w:left w:val="single" w:sz="4" w:space="0" w:color="000000" w:themeColor="text1"/>
            </w:tcBorders>
          </w:tcPr>
          <w:p w14:paraId="69BDC5F3" w14:textId="537CE8FA" w:rsidR="00F325B7" w:rsidRPr="00745008" w:rsidRDefault="00F325B7" w:rsidP="00E757EA">
            <w:pPr>
              <w:pStyle w:val="Tabletext"/>
            </w:pPr>
          </w:p>
        </w:tc>
        <w:tc>
          <w:tcPr>
            <w:tcW w:w="1109" w:type="dxa"/>
            <w:tcBorders>
              <w:left w:val="single" w:sz="4" w:space="0" w:color="000000" w:themeColor="text1"/>
            </w:tcBorders>
          </w:tcPr>
          <w:p w14:paraId="305FE6A7" w14:textId="77777777" w:rsidR="00F325B7" w:rsidRPr="00745008" w:rsidRDefault="00F325B7" w:rsidP="00E757EA">
            <w:pPr>
              <w:pStyle w:val="Tabletext"/>
            </w:pPr>
          </w:p>
        </w:tc>
      </w:tr>
      <w:tr w:rsidR="00981AA3" w:rsidRPr="00745008" w14:paraId="41BAD7B9" w14:textId="77777777" w:rsidTr="00E757EA">
        <w:trPr>
          <w:trHeight w:val="270"/>
          <w:jc w:val="center"/>
        </w:trPr>
        <w:tc>
          <w:tcPr>
            <w:tcW w:w="840" w:type="dxa"/>
            <w:tcBorders>
              <w:right w:val="single" w:sz="4" w:space="0" w:color="000000" w:themeColor="text1"/>
            </w:tcBorders>
            <w:shd w:val="clear" w:color="auto" w:fill="auto"/>
          </w:tcPr>
          <w:p w14:paraId="7528D1D7" w14:textId="77777777" w:rsidR="00F325B7" w:rsidRPr="00745008" w:rsidDel="00A14716" w:rsidRDefault="00F325B7" w:rsidP="00E757EA">
            <w:pPr>
              <w:pStyle w:val="Tabletext"/>
              <w:jc w:val="center"/>
              <w:rPr>
                <w:b/>
                <w:bCs/>
              </w:rPr>
            </w:pPr>
            <w:r w:rsidRPr="00745008">
              <w:rPr>
                <w:b/>
                <w:bCs/>
              </w:rPr>
              <w:lastRenderedPageBreak/>
              <w:t>SG 5</w:t>
            </w:r>
          </w:p>
        </w:tc>
        <w:tc>
          <w:tcPr>
            <w:tcW w:w="2416" w:type="dxa"/>
            <w:tcBorders>
              <w:left w:val="single" w:sz="4" w:space="0" w:color="000000" w:themeColor="text1"/>
            </w:tcBorders>
            <w:shd w:val="clear" w:color="auto" w:fill="auto"/>
          </w:tcPr>
          <w:p w14:paraId="3A0724A2" w14:textId="2DA6AED4" w:rsidR="00F325B7" w:rsidRPr="00745008" w:rsidRDefault="00C9794F" w:rsidP="00E757EA">
            <w:pPr>
              <w:pStyle w:val="Tabletext"/>
            </w:pPr>
            <w:r>
              <w:rPr>
                <w:rFonts w:asciiTheme="majorBidi" w:hAnsiTheme="majorBidi" w:cstheme="majorBidi"/>
                <w:sz w:val="20"/>
                <w:lang w:eastAsia="ja-JP"/>
              </w:rPr>
              <w:t>F.758-8, M.1041-3</w:t>
            </w:r>
          </w:p>
        </w:tc>
        <w:tc>
          <w:tcPr>
            <w:tcW w:w="2268" w:type="dxa"/>
            <w:tcBorders>
              <w:left w:val="single" w:sz="4" w:space="0" w:color="000000" w:themeColor="text1"/>
            </w:tcBorders>
            <w:shd w:val="clear" w:color="auto" w:fill="auto"/>
          </w:tcPr>
          <w:p w14:paraId="3F153AAF" w14:textId="5131927B" w:rsidR="00F325B7" w:rsidRPr="00BE6491" w:rsidRDefault="00C9794F" w:rsidP="00C9794F">
            <w:pPr>
              <w:pStyle w:val="Tabletext"/>
              <w:rPr>
                <w:sz w:val="20"/>
              </w:rPr>
            </w:pPr>
            <w:r w:rsidRPr="00C9794F">
              <w:rPr>
                <w:rFonts w:asciiTheme="majorBidi" w:hAnsiTheme="majorBidi" w:cstheme="majorBidi"/>
                <w:sz w:val="20"/>
                <w:lang w:eastAsia="ja-JP"/>
              </w:rPr>
              <w:t>F.2416-1</w:t>
            </w:r>
            <w:r>
              <w:rPr>
                <w:rFonts w:asciiTheme="majorBidi" w:hAnsiTheme="majorBidi" w:cstheme="majorBidi"/>
                <w:sz w:val="20"/>
                <w:lang w:eastAsia="ja-JP"/>
              </w:rPr>
              <w:t xml:space="preserve">, </w:t>
            </w:r>
            <w:r w:rsidR="000D17E1" w:rsidRPr="000D17E1">
              <w:rPr>
                <w:rFonts w:asciiTheme="majorBidi" w:hAnsiTheme="majorBidi" w:cstheme="majorBidi"/>
                <w:sz w:val="20"/>
                <w:lang w:eastAsia="ja-JP"/>
              </w:rPr>
              <w:t>M.2442-1</w:t>
            </w:r>
            <w:r w:rsidR="000D17E1">
              <w:rPr>
                <w:rFonts w:asciiTheme="majorBidi" w:hAnsiTheme="majorBidi" w:cstheme="majorBidi"/>
                <w:sz w:val="20"/>
                <w:lang w:eastAsia="ja-JP"/>
              </w:rPr>
              <w:t xml:space="preserve">, </w:t>
            </w:r>
            <w:r w:rsidR="000D17E1" w:rsidRPr="000D17E1">
              <w:rPr>
                <w:rFonts w:asciiTheme="majorBidi" w:hAnsiTheme="majorBidi" w:cstheme="majorBidi"/>
                <w:sz w:val="20"/>
                <w:lang w:eastAsia="ja-JP"/>
              </w:rPr>
              <w:t>M.2541-0</w:t>
            </w:r>
            <w:r w:rsidR="00E247E2">
              <w:rPr>
                <w:rFonts w:asciiTheme="majorBidi" w:hAnsiTheme="majorBidi" w:cstheme="majorBidi"/>
                <w:sz w:val="20"/>
                <w:lang w:eastAsia="ja-JP"/>
              </w:rPr>
              <w:t xml:space="preserve">, </w:t>
            </w:r>
            <w:r w:rsidR="0095796A">
              <w:rPr>
                <w:rFonts w:asciiTheme="majorBidi" w:hAnsiTheme="majorBidi" w:cstheme="majorBidi"/>
                <w:sz w:val="20"/>
                <w:lang w:eastAsia="ja-JP"/>
              </w:rPr>
              <w:t xml:space="preserve">M.2547-0, </w:t>
            </w:r>
            <w:r w:rsidR="00E247E2" w:rsidRPr="00E247E2">
              <w:rPr>
                <w:rFonts w:asciiTheme="majorBidi" w:hAnsiTheme="majorBidi" w:cstheme="majorBidi"/>
                <w:sz w:val="20"/>
                <w:lang w:val="de-DE" w:eastAsia="ja-JP"/>
              </w:rPr>
              <w:t>M</w:t>
            </w:r>
            <w:r w:rsidR="007D10BF">
              <w:rPr>
                <w:rFonts w:asciiTheme="majorBidi" w:hAnsiTheme="majorBidi" w:cstheme="majorBidi"/>
                <w:sz w:val="20"/>
                <w:lang w:val="de-DE" w:eastAsia="ja-JP"/>
              </w:rPr>
              <w:t>.2548-0</w:t>
            </w:r>
          </w:p>
        </w:tc>
        <w:tc>
          <w:tcPr>
            <w:tcW w:w="1559" w:type="dxa"/>
            <w:tcBorders>
              <w:left w:val="single" w:sz="4" w:space="0" w:color="000000" w:themeColor="text1"/>
            </w:tcBorders>
            <w:shd w:val="clear" w:color="auto" w:fill="auto"/>
          </w:tcPr>
          <w:p w14:paraId="2C7931A1" w14:textId="75CD5F68" w:rsidR="00F325B7" w:rsidRPr="003153E6" w:rsidRDefault="002F1B3C" w:rsidP="00E757EA">
            <w:pPr>
              <w:pStyle w:val="Tabletext"/>
              <w:rPr>
                <w:sz w:val="20"/>
              </w:rPr>
            </w:pPr>
            <w:r w:rsidRPr="00BE6491">
              <w:rPr>
                <w:sz w:val="20"/>
              </w:rPr>
              <w:t>265</w:t>
            </w:r>
            <w:r w:rsidR="00C9794F" w:rsidRPr="002F1B3C">
              <w:rPr>
                <w:sz w:val="20"/>
              </w:rPr>
              <w:t xml:space="preserve">/5, </w:t>
            </w:r>
            <w:r w:rsidRPr="002F1B3C">
              <w:rPr>
                <w:sz w:val="20"/>
              </w:rPr>
              <w:t>266</w:t>
            </w:r>
            <w:r w:rsidR="002C467F" w:rsidRPr="002F1B3C">
              <w:rPr>
                <w:sz w:val="20"/>
              </w:rPr>
              <w:t>/5</w:t>
            </w:r>
            <w:r w:rsidR="00C9794F" w:rsidRPr="002F1B3C">
              <w:rPr>
                <w:sz w:val="20"/>
              </w:rPr>
              <w:t xml:space="preserve"> </w:t>
            </w:r>
          </w:p>
        </w:tc>
        <w:tc>
          <w:tcPr>
            <w:tcW w:w="1527" w:type="dxa"/>
            <w:tcBorders>
              <w:left w:val="single" w:sz="4" w:space="0" w:color="000000" w:themeColor="text1"/>
            </w:tcBorders>
          </w:tcPr>
          <w:p w14:paraId="4071B01A" w14:textId="0077B743" w:rsidR="00F325B7" w:rsidRPr="00745008" w:rsidRDefault="00F325B7" w:rsidP="00E757EA">
            <w:pPr>
              <w:pStyle w:val="Tabletext"/>
              <w:rPr>
                <w:sz w:val="20"/>
              </w:rPr>
            </w:pPr>
          </w:p>
        </w:tc>
        <w:tc>
          <w:tcPr>
            <w:tcW w:w="1109" w:type="dxa"/>
            <w:tcBorders>
              <w:left w:val="single" w:sz="4" w:space="0" w:color="000000" w:themeColor="text1"/>
            </w:tcBorders>
          </w:tcPr>
          <w:p w14:paraId="647D9B47" w14:textId="77777777" w:rsidR="00F325B7" w:rsidRPr="00745008" w:rsidRDefault="00F325B7" w:rsidP="00E757EA">
            <w:pPr>
              <w:pStyle w:val="Tabletext"/>
              <w:rPr>
                <w:sz w:val="20"/>
                <w:szCs w:val="18"/>
              </w:rPr>
            </w:pPr>
          </w:p>
        </w:tc>
      </w:tr>
      <w:tr w:rsidR="00981AA3" w:rsidRPr="00745008" w14:paraId="0B78ED65" w14:textId="77777777" w:rsidTr="00E757EA">
        <w:trPr>
          <w:trHeight w:val="270"/>
          <w:jc w:val="center"/>
        </w:trPr>
        <w:tc>
          <w:tcPr>
            <w:tcW w:w="840" w:type="dxa"/>
            <w:tcBorders>
              <w:right w:val="single" w:sz="4" w:space="0" w:color="000000" w:themeColor="text1"/>
            </w:tcBorders>
            <w:shd w:val="clear" w:color="auto" w:fill="auto"/>
          </w:tcPr>
          <w:p w14:paraId="37F2A162" w14:textId="77777777" w:rsidR="00F325B7" w:rsidRPr="00745008" w:rsidDel="00A14716" w:rsidRDefault="00F325B7" w:rsidP="00E757EA">
            <w:pPr>
              <w:pStyle w:val="Tabletext"/>
              <w:jc w:val="center"/>
              <w:rPr>
                <w:b/>
                <w:bCs/>
              </w:rPr>
            </w:pPr>
            <w:r w:rsidRPr="00745008">
              <w:rPr>
                <w:b/>
                <w:bCs/>
              </w:rPr>
              <w:t>SG 6</w:t>
            </w:r>
          </w:p>
        </w:tc>
        <w:tc>
          <w:tcPr>
            <w:tcW w:w="2416" w:type="dxa"/>
            <w:tcBorders>
              <w:left w:val="single" w:sz="4" w:space="0" w:color="000000" w:themeColor="text1"/>
            </w:tcBorders>
            <w:shd w:val="clear" w:color="auto" w:fill="auto"/>
          </w:tcPr>
          <w:p w14:paraId="6D8247FF" w14:textId="65C93488" w:rsidR="00C268F4" w:rsidRPr="00242539" w:rsidRDefault="00C268F4" w:rsidP="00E757EA">
            <w:pPr>
              <w:pStyle w:val="Tabletext"/>
              <w:rPr>
                <w:rFonts w:asciiTheme="majorBidi" w:hAnsiTheme="majorBidi" w:cstheme="majorBidi"/>
                <w:sz w:val="20"/>
                <w:lang w:eastAsia="ja-JP"/>
              </w:rPr>
            </w:pPr>
            <w:r w:rsidRPr="00242539">
              <w:rPr>
                <w:rFonts w:asciiTheme="majorBidi" w:hAnsiTheme="majorBidi" w:cstheme="majorBidi"/>
                <w:sz w:val="20"/>
                <w:lang w:eastAsia="ja-JP"/>
              </w:rPr>
              <w:t>BS.2076-</w:t>
            </w:r>
            <w:r w:rsidRPr="009105E3">
              <w:rPr>
                <w:rFonts w:asciiTheme="majorBidi" w:hAnsiTheme="majorBidi" w:cstheme="majorBidi"/>
                <w:sz w:val="20"/>
                <w:lang w:eastAsia="ja-JP"/>
              </w:rPr>
              <w:t>3</w:t>
            </w:r>
            <w:r w:rsidRPr="00242539">
              <w:rPr>
                <w:rFonts w:asciiTheme="majorBidi" w:hAnsiTheme="majorBidi" w:cstheme="majorBidi"/>
                <w:sz w:val="20"/>
                <w:lang w:eastAsia="ja-JP"/>
              </w:rPr>
              <w:t>, BS.2094-</w:t>
            </w:r>
            <w:r w:rsidRPr="009105E3">
              <w:rPr>
                <w:rFonts w:asciiTheme="majorBidi" w:hAnsiTheme="majorBidi" w:cstheme="majorBidi"/>
                <w:sz w:val="20"/>
                <w:lang w:eastAsia="ja-JP"/>
              </w:rPr>
              <w:t>2,</w:t>
            </w:r>
            <w:r w:rsidRPr="00242539">
              <w:rPr>
                <w:rFonts w:asciiTheme="majorBidi" w:hAnsiTheme="majorBidi" w:cstheme="majorBidi"/>
                <w:sz w:val="20"/>
                <w:lang w:eastAsia="ja-JP"/>
              </w:rPr>
              <w:t xml:space="preserve"> BS</w:t>
            </w:r>
            <w:r w:rsidRPr="00BD6C91">
              <w:rPr>
                <w:rFonts w:asciiTheme="majorBidi" w:hAnsiTheme="majorBidi" w:cstheme="majorBidi"/>
                <w:sz w:val="20"/>
                <w:lang w:eastAsia="ja-JP"/>
              </w:rPr>
              <w:t>.</w:t>
            </w:r>
            <w:r w:rsidR="00BD6C91" w:rsidRPr="00BE6491">
              <w:rPr>
                <w:rFonts w:asciiTheme="majorBidi" w:hAnsiTheme="majorBidi" w:cstheme="majorBidi"/>
                <w:sz w:val="20"/>
                <w:lang w:eastAsia="ja-JP"/>
              </w:rPr>
              <w:t>2168-0</w:t>
            </w:r>
            <w:r w:rsidR="00242539" w:rsidRPr="00BD6C91">
              <w:rPr>
                <w:rFonts w:asciiTheme="majorBidi" w:hAnsiTheme="majorBidi" w:cstheme="majorBidi"/>
                <w:sz w:val="20"/>
                <w:lang w:eastAsia="ja-JP"/>
              </w:rPr>
              <w:t>,</w:t>
            </w:r>
          </w:p>
          <w:p w14:paraId="722609E2" w14:textId="4C0C0E3F" w:rsidR="00F325B7" w:rsidRPr="00745008" w:rsidRDefault="00236E44" w:rsidP="00E757EA">
            <w:pPr>
              <w:pStyle w:val="Tabletext"/>
            </w:pPr>
            <w:r>
              <w:rPr>
                <w:rFonts w:asciiTheme="majorBidi" w:hAnsiTheme="majorBidi" w:cstheme="majorBidi"/>
                <w:sz w:val="20"/>
                <w:lang w:eastAsia="ja-JP"/>
              </w:rPr>
              <w:t xml:space="preserve">BT.1662-1, </w:t>
            </w:r>
            <w:r w:rsidR="000913C1">
              <w:rPr>
                <w:rFonts w:asciiTheme="majorBidi" w:hAnsiTheme="majorBidi" w:cstheme="majorBidi"/>
                <w:sz w:val="20"/>
                <w:lang w:eastAsia="ja-JP"/>
              </w:rPr>
              <w:t>BT.1666-</w:t>
            </w:r>
            <w:r>
              <w:rPr>
                <w:rFonts w:asciiTheme="majorBidi" w:hAnsiTheme="majorBidi" w:cstheme="majorBidi"/>
                <w:sz w:val="20"/>
                <w:lang w:eastAsia="ja-JP"/>
              </w:rPr>
              <w:t xml:space="preserve">1, </w:t>
            </w:r>
            <w:r w:rsidR="00981AA3">
              <w:rPr>
                <w:rFonts w:asciiTheme="majorBidi" w:hAnsiTheme="majorBidi" w:cstheme="majorBidi"/>
                <w:sz w:val="20"/>
                <w:lang w:eastAsia="ja-JP"/>
              </w:rPr>
              <w:t>BT.2016-4, BT.2100-</w:t>
            </w:r>
            <w:r w:rsidR="00981AA3" w:rsidRPr="006133EA">
              <w:rPr>
                <w:rFonts w:asciiTheme="majorBidi" w:hAnsiTheme="majorBidi" w:cstheme="majorBidi"/>
                <w:sz w:val="20"/>
                <w:lang w:eastAsia="ja-JP"/>
              </w:rPr>
              <w:t>3</w:t>
            </w:r>
            <w:r w:rsidR="00981AA3">
              <w:rPr>
                <w:rFonts w:asciiTheme="majorBidi" w:hAnsiTheme="majorBidi" w:cstheme="majorBidi"/>
                <w:sz w:val="20"/>
                <w:lang w:eastAsia="ja-JP"/>
              </w:rPr>
              <w:t>, BT.2123-</w:t>
            </w:r>
            <w:r w:rsidR="00981AA3" w:rsidRPr="006133EA">
              <w:rPr>
                <w:rFonts w:asciiTheme="majorBidi" w:hAnsiTheme="majorBidi" w:cstheme="majorBidi"/>
                <w:sz w:val="20"/>
                <w:lang w:eastAsia="ja-JP"/>
              </w:rPr>
              <w:t>1</w:t>
            </w:r>
            <w:r w:rsidR="00981AA3">
              <w:rPr>
                <w:rFonts w:asciiTheme="majorBidi" w:hAnsiTheme="majorBidi" w:cstheme="majorBidi"/>
                <w:sz w:val="20"/>
                <w:lang w:eastAsia="ja-JP"/>
              </w:rPr>
              <w:t xml:space="preserve">, </w:t>
            </w:r>
            <w:r w:rsidR="006133EA">
              <w:rPr>
                <w:rFonts w:asciiTheme="majorBidi" w:hAnsiTheme="majorBidi" w:cstheme="majorBidi"/>
                <w:sz w:val="20"/>
                <w:lang w:eastAsia="ja-JP"/>
              </w:rPr>
              <w:t xml:space="preserve">BT.2166-0, </w:t>
            </w:r>
            <w:r w:rsidR="00981AA3" w:rsidRPr="003E1772">
              <w:rPr>
                <w:rFonts w:asciiTheme="majorBidi" w:hAnsiTheme="majorBidi" w:cstheme="majorBidi"/>
                <w:sz w:val="20"/>
                <w:lang w:eastAsia="ja-JP"/>
              </w:rPr>
              <w:t>BT.</w:t>
            </w:r>
            <w:r w:rsidR="003E1772" w:rsidRPr="00BE6491">
              <w:rPr>
                <w:rFonts w:asciiTheme="majorBidi" w:hAnsiTheme="majorBidi" w:cstheme="majorBidi"/>
                <w:sz w:val="20"/>
                <w:lang w:eastAsia="ja-JP"/>
              </w:rPr>
              <w:t>2167-0</w:t>
            </w:r>
          </w:p>
        </w:tc>
        <w:tc>
          <w:tcPr>
            <w:tcW w:w="2268" w:type="dxa"/>
            <w:tcBorders>
              <w:left w:val="single" w:sz="4" w:space="0" w:color="000000" w:themeColor="text1"/>
            </w:tcBorders>
            <w:shd w:val="clear" w:color="auto" w:fill="auto"/>
          </w:tcPr>
          <w:p w14:paraId="385628C6" w14:textId="4FCB2894" w:rsidR="00F325B7" w:rsidRPr="00BE6491" w:rsidRDefault="000C0049" w:rsidP="00936B11">
            <w:pPr>
              <w:pStyle w:val="Tabletext"/>
              <w:rPr>
                <w:sz w:val="20"/>
              </w:rPr>
            </w:pPr>
            <w:r w:rsidRPr="000C0049">
              <w:rPr>
                <w:sz w:val="20"/>
              </w:rPr>
              <w:t>BS.2388-5</w:t>
            </w:r>
            <w:r>
              <w:rPr>
                <w:sz w:val="20"/>
              </w:rPr>
              <w:t xml:space="preserve">, </w:t>
            </w:r>
            <w:r w:rsidR="00D12CA8" w:rsidRPr="00D12CA8">
              <w:rPr>
                <w:sz w:val="20"/>
              </w:rPr>
              <w:t>BS.2493-1</w:t>
            </w:r>
            <w:r w:rsidR="00675527">
              <w:rPr>
                <w:sz w:val="20"/>
              </w:rPr>
              <w:t xml:space="preserve">, </w:t>
            </w:r>
            <w:r w:rsidR="00892468" w:rsidRPr="00675527">
              <w:rPr>
                <w:sz w:val="20"/>
              </w:rPr>
              <w:t>BT.2343-9</w:t>
            </w:r>
            <w:r w:rsidR="00892468">
              <w:rPr>
                <w:sz w:val="20"/>
              </w:rPr>
              <w:t>,</w:t>
            </w:r>
            <w:r w:rsidR="00892468" w:rsidRPr="00675527">
              <w:rPr>
                <w:sz w:val="20"/>
              </w:rPr>
              <w:t xml:space="preserve"> BT.2386-5</w:t>
            </w:r>
            <w:r w:rsidR="00892468">
              <w:rPr>
                <w:sz w:val="20"/>
              </w:rPr>
              <w:t xml:space="preserve">, </w:t>
            </w:r>
            <w:r w:rsidR="00892468" w:rsidRPr="00675527">
              <w:rPr>
                <w:sz w:val="20"/>
              </w:rPr>
              <w:t>BT.2389-1</w:t>
            </w:r>
            <w:r w:rsidR="00892468">
              <w:rPr>
                <w:sz w:val="20"/>
              </w:rPr>
              <w:t xml:space="preserve">, </w:t>
            </w:r>
            <w:r w:rsidR="00892468" w:rsidRPr="00675527">
              <w:rPr>
                <w:sz w:val="20"/>
              </w:rPr>
              <w:t>BT.2408-8</w:t>
            </w:r>
            <w:r w:rsidR="00892468">
              <w:rPr>
                <w:sz w:val="20"/>
              </w:rPr>
              <w:t>, B</w:t>
            </w:r>
            <w:r w:rsidR="00892468" w:rsidRPr="00675527">
              <w:rPr>
                <w:sz w:val="20"/>
              </w:rPr>
              <w:t>T.2420-7</w:t>
            </w:r>
            <w:r w:rsidR="00892468">
              <w:rPr>
                <w:sz w:val="20"/>
              </w:rPr>
              <w:t xml:space="preserve">, </w:t>
            </w:r>
            <w:r w:rsidR="00892468" w:rsidRPr="00675527">
              <w:rPr>
                <w:sz w:val="20"/>
              </w:rPr>
              <w:t>BT.2467-3</w:t>
            </w:r>
            <w:r w:rsidR="00892468">
              <w:rPr>
                <w:sz w:val="20"/>
              </w:rPr>
              <w:t xml:space="preserve">, </w:t>
            </w:r>
            <w:r w:rsidR="00892468" w:rsidRPr="00675527">
              <w:rPr>
                <w:sz w:val="20"/>
              </w:rPr>
              <w:t>BT.2468-2</w:t>
            </w:r>
            <w:r w:rsidR="00892468">
              <w:rPr>
                <w:sz w:val="20"/>
              </w:rPr>
              <w:t xml:space="preserve">, </w:t>
            </w:r>
            <w:r w:rsidR="00892468" w:rsidRPr="00675527">
              <w:rPr>
                <w:sz w:val="20"/>
              </w:rPr>
              <w:t>BT.2485-3</w:t>
            </w:r>
            <w:r w:rsidR="00892468">
              <w:rPr>
                <w:sz w:val="20"/>
              </w:rPr>
              <w:t xml:space="preserve">, </w:t>
            </w:r>
            <w:r w:rsidR="00892468" w:rsidRPr="00675527">
              <w:rPr>
                <w:sz w:val="20"/>
              </w:rPr>
              <w:t>BT.2506-1</w:t>
            </w:r>
            <w:r w:rsidR="00892468">
              <w:rPr>
                <w:sz w:val="20"/>
              </w:rPr>
              <w:t xml:space="preserve">, </w:t>
            </w:r>
            <w:r w:rsidR="00892468" w:rsidRPr="00675527">
              <w:rPr>
                <w:sz w:val="20"/>
              </w:rPr>
              <w:t>BT.2521-1</w:t>
            </w:r>
            <w:r w:rsidR="00892468">
              <w:rPr>
                <w:sz w:val="20"/>
              </w:rPr>
              <w:t xml:space="preserve">, </w:t>
            </w:r>
            <w:r w:rsidR="00892468" w:rsidRPr="00675527">
              <w:rPr>
                <w:sz w:val="20"/>
              </w:rPr>
              <w:t>BT.2522-1</w:t>
            </w:r>
            <w:r w:rsidR="00892468">
              <w:rPr>
                <w:sz w:val="20"/>
              </w:rPr>
              <w:t xml:space="preserve">, </w:t>
            </w:r>
            <w:r w:rsidR="00892468" w:rsidRPr="00675527">
              <w:rPr>
                <w:sz w:val="20"/>
              </w:rPr>
              <w:t>BT.2526-1</w:t>
            </w:r>
            <w:r w:rsidR="00892468">
              <w:rPr>
                <w:sz w:val="20"/>
              </w:rPr>
              <w:t xml:space="preserve">, </w:t>
            </w:r>
            <w:r w:rsidR="00892468" w:rsidRPr="00675527">
              <w:rPr>
                <w:sz w:val="20"/>
              </w:rPr>
              <w:t>BT.2538-0</w:t>
            </w:r>
            <w:r w:rsidR="00892468">
              <w:rPr>
                <w:sz w:val="20"/>
              </w:rPr>
              <w:t xml:space="preserve">, </w:t>
            </w:r>
            <w:r w:rsidR="00892468" w:rsidRPr="00675527">
              <w:rPr>
                <w:sz w:val="20"/>
              </w:rPr>
              <w:t>BT.2539-0</w:t>
            </w:r>
            <w:r w:rsidR="00892468">
              <w:rPr>
                <w:sz w:val="20"/>
              </w:rPr>
              <w:t xml:space="preserve">, </w:t>
            </w:r>
            <w:r w:rsidR="00892468" w:rsidRPr="00675527">
              <w:rPr>
                <w:sz w:val="20"/>
              </w:rPr>
              <w:t>BT.2540-0</w:t>
            </w:r>
            <w:r w:rsidR="00892468">
              <w:rPr>
                <w:sz w:val="20"/>
              </w:rPr>
              <w:t xml:space="preserve">, </w:t>
            </w:r>
            <w:r w:rsidR="00023AC3" w:rsidRPr="00023AC3">
              <w:rPr>
                <w:sz w:val="20"/>
              </w:rPr>
              <w:t>BT.</w:t>
            </w:r>
            <w:r w:rsidR="0043685E">
              <w:rPr>
                <w:sz w:val="20"/>
              </w:rPr>
              <w:t>2544-</w:t>
            </w:r>
            <w:proofErr w:type="gramStart"/>
            <w:r w:rsidR="0043685E">
              <w:rPr>
                <w:sz w:val="20"/>
              </w:rPr>
              <w:t>0</w:t>
            </w:r>
            <w:r w:rsidR="00857D92">
              <w:rPr>
                <w:sz w:val="20"/>
              </w:rPr>
              <w:t xml:space="preserve">, </w:t>
            </w:r>
            <w:r w:rsidR="00023AC3">
              <w:rPr>
                <w:sz w:val="20"/>
              </w:rPr>
              <w:t xml:space="preserve"> </w:t>
            </w:r>
            <w:r w:rsidR="00023AC3" w:rsidRPr="00023AC3">
              <w:rPr>
                <w:sz w:val="20"/>
              </w:rPr>
              <w:t>BT.</w:t>
            </w:r>
            <w:proofErr w:type="gramEnd"/>
            <w:r w:rsidR="00857D92">
              <w:rPr>
                <w:sz w:val="20"/>
              </w:rPr>
              <w:t>2545-0</w:t>
            </w:r>
          </w:p>
        </w:tc>
        <w:tc>
          <w:tcPr>
            <w:tcW w:w="1559" w:type="dxa"/>
            <w:tcBorders>
              <w:left w:val="single" w:sz="4" w:space="0" w:color="000000" w:themeColor="text1"/>
            </w:tcBorders>
            <w:shd w:val="clear" w:color="auto" w:fill="auto"/>
          </w:tcPr>
          <w:p w14:paraId="5C670F91" w14:textId="3FE08796" w:rsidR="00F325B7" w:rsidRPr="003153E6" w:rsidRDefault="00071376" w:rsidP="00E757EA">
            <w:pPr>
              <w:pStyle w:val="Tabletext"/>
              <w:rPr>
                <w:sz w:val="20"/>
              </w:rPr>
            </w:pPr>
            <w:r w:rsidRPr="00BE6491">
              <w:rPr>
                <w:rFonts w:asciiTheme="majorBidi" w:hAnsiTheme="majorBidi" w:cstheme="majorBidi"/>
                <w:sz w:val="20"/>
                <w:lang w:eastAsia="ja-JP"/>
              </w:rPr>
              <w:t>148</w:t>
            </w:r>
            <w:r w:rsidR="00160EF6" w:rsidRPr="00071376">
              <w:rPr>
                <w:rFonts w:asciiTheme="majorBidi" w:hAnsiTheme="majorBidi" w:cstheme="majorBidi"/>
                <w:sz w:val="20"/>
                <w:lang w:eastAsia="ja-JP"/>
              </w:rPr>
              <w:t>/6</w:t>
            </w:r>
            <w:r w:rsidR="00160EF6" w:rsidRPr="00160EF6">
              <w:rPr>
                <w:rFonts w:asciiTheme="majorBidi" w:hAnsiTheme="majorBidi" w:cstheme="majorBidi"/>
                <w:sz w:val="20"/>
                <w:lang w:eastAsia="ja-JP"/>
              </w:rPr>
              <w:t xml:space="preserve"> </w:t>
            </w:r>
          </w:p>
        </w:tc>
        <w:tc>
          <w:tcPr>
            <w:tcW w:w="1527" w:type="dxa"/>
            <w:tcBorders>
              <w:left w:val="single" w:sz="4" w:space="0" w:color="000000" w:themeColor="text1"/>
            </w:tcBorders>
          </w:tcPr>
          <w:p w14:paraId="78CD0D22" w14:textId="77777777" w:rsidR="00F325B7" w:rsidRPr="00745008" w:rsidRDefault="00F325B7" w:rsidP="00E757EA">
            <w:pPr>
              <w:pStyle w:val="Tabletext"/>
              <w:rPr>
                <w:rFonts w:asciiTheme="majorBidi" w:hAnsiTheme="majorBidi" w:cstheme="majorBidi"/>
                <w:sz w:val="20"/>
                <w:lang w:eastAsia="ja-JP"/>
              </w:rPr>
            </w:pPr>
          </w:p>
        </w:tc>
        <w:tc>
          <w:tcPr>
            <w:tcW w:w="1109" w:type="dxa"/>
            <w:tcBorders>
              <w:left w:val="single" w:sz="4" w:space="0" w:color="000000" w:themeColor="text1"/>
            </w:tcBorders>
          </w:tcPr>
          <w:p w14:paraId="6D7DBAEC" w14:textId="24C98F56" w:rsidR="00F325B7" w:rsidRPr="00745008" w:rsidRDefault="00F325B7" w:rsidP="00E757EA">
            <w:pPr>
              <w:pStyle w:val="Tabletext"/>
              <w:rPr>
                <w:rFonts w:asciiTheme="majorBidi" w:hAnsiTheme="majorBidi" w:cstheme="majorBidi"/>
                <w:sz w:val="20"/>
                <w:lang w:eastAsia="ja-JP"/>
              </w:rPr>
            </w:pPr>
          </w:p>
        </w:tc>
      </w:tr>
      <w:tr w:rsidR="00981AA3" w:rsidRPr="00745008" w14:paraId="07E6B4DE" w14:textId="77777777" w:rsidTr="00E757EA">
        <w:trPr>
          <w:trHeight w:val="270"/>
          <w:jc w:val="center"/>
        </w:trPr>
        <w:tc>
          <w:tcPr>
            <w:tcW w:w="840" w:type="dxa"/>
            <w:tcBorders>
              <w:bottom w:val="single" w:sz="4" w:space="0" w:color="000000" w:themeColor="text1"/>
              <w:right w:val="single" w:sz="4" w:space="0" w:color="000000" w:themeColor="text1"/>
            </w:tcBorders>
            <w:shd w:val="clear" w:color="auto" w:fill="auto"/>
          </w:tcPr>
          <w:p w14:paraId="3937E055" w14:textId="77777777" w:rsidR="00F325B7" w:rsidRPr="00745008" w:rsidRDefault="00F325B7" w:rsidP="00E757EA">
            <w:pPr>
              <w:pStyle w:val="Tabletext"/>
              <w:jc w:val="center"/>
              <w:rPr>
                <w:b/>
                <w:bCs/>
              </w:rPr>
            </w:pPr>
            <w:r w:rsidRPr="00745008">
              <w:rPr>
                <w:b/>
                <w:bCs/>
              </w:rPr>
              <w:t>SG 7</w:t>
            </w:r>
          </w:p>
        </w:tc>
        <w:tc>
          <w:tcPr>
            <w:tcW w:w="2416" w:type="dxa"/>
            <w:tcBorders>
              <w:left w:val="single" w:sz="4" w:space="0" w:color="000000" w:themeColor="text1"/>
            </w:tcBorders>
            <w:shd w:val="clear" w:color="auto" w:fill="auto"/>
          </w:tcPr>
          <w:p w14:paraId="2FA5EFE7" w14:textId="2E7EA397" w:rsidR="00F325B7" w:rsidRPr="00745008" w:rsidRDefault="00F325B7" w:rsidP="00E757EA">
            <w:pPr>
              <w:pStyle w:val="Tabletext"/>
              <w:rPr>
                <w:sz w:val="20"/>
                <w:lang w:val="fr-FR"/>
              </w:rPr>
            </w:pPr>
          </w:p>
        </w:tc>
        <w:tc>
          <w:tcPr>
            <w:tcW w:w="2268" w:type="dxa"/>
            <w:tcBorders>
              <w:left w:val="single" w:sz="4" w:space="0" w:color="000000" w:themeColor="text1"/>
            </w:tcBorders>
            <w:shd w:val="clear" w:color="auto" w:fill="auto"/>
          </w:tcPr>
          <w:p w14:paraId="0BF12E4A" w14:textId="4B56ADF3" w:rsidR="00F325B7" w:rsidRPr="00035AF0" w:rsidRDefault="00F325B7" w:rsidP="00E757EA">
            <w:pPr>
              <w:pStyle w:val="Tabletext"/>
              <w:rPr>
                <w:sz w:val="20"/>
                <w:lang w:val="fr-FR"/>
              </w:rPr>
            </w:pPr>
          </w:p>
        </w:tc>
        <w:tc>
          <w:tcPr>
            <w:tcW w:w="1559" w:type="dxa"/>
            <w:tcBorders>
              <w:left w:val="single" w:sz="4" w:space="0" w:color="000000" w:themeColor="text1"/>
            </w:tcBorders>
            <w:shd w:val="clear" w:color="auto" w:fill="auto"/>
          </w:tcPr>
          <w:p w14:paraId="3E89774B" w14:textId="328019F1" w:rsidR="00F325B7" w:rsidRPr="003153E6" w:rsidRDefault="00F325B7" w:rsidP="00E757EA">
            <w:pPr>
              <w:pStyle w:val="Tabletext"/>
              <w:rPr>
                <w:sz w:val="20"/>
              </w:rPr>
            </w:pPr>
          </w:p>
        </w:tc>
        <w:tc>
          <w:tcPr>
            <w:tcW w:w="1527" w:type="dxa"/>
            <w:tcBorders>
              <w:left w:val="single" w:sz="4" w:space="0" w:color="000000" w:themeColor="text1"/>
            </w:tcBorders>
          </w:tcPr>
          <w:p w14:paraId="3AB24ABE" w14:textId="77777777" w:rsidR="00F325B7" w:rsidRPr="00745008" w:rsidRDefault="00F325B7" w:rsidP="00E757EA">
            <w:pPr>
              <w:pStyle w:val="Tabletext"/>
              <w:rPr>
                <w:sz w:val="20"/>
              </w:rPr>
            </w:pPr>
          </w:p>
        </w:tc>
        <w:tc>
          <w:tcPr>
            <w:tcW w:w="1109" w:type="dxa"/>
            <w:tcBorders>
              <w:left w:val="single" w:sz="4" w:space="0" w:color="000000" w:themeColor="text1"/>
            </w:tcBorders>
          </w:tcPr>
          <w:p w14:paraId="64EA3456" w14:textId="77777777" w:rsidR="00F325B7" w:rsidRPr="00745008" w:rsidRDefault="00F325B7" w:rsidP="00E757EA">
            <w:pPr>
              <w:pStyle w:val="Tabletext"/>
              <w:rPr>
                <w:sz w:val="20"/>
              </w:rPr>
            </w:pPr>
          </w:p>
        </w:tc>
      </w:tr>
    </w:tbl>
    <w:p w14:paraId="3D428436" w14:textId="6A91E062" w:rsidR="002A70F8" w:rsidRDefault="00C2663D" w:rsidP="002A70F8">
      <w:pPr>
        <w:pStyle w:val="Tablefin"/>
      </w:pPr>
      <w:bookmarkStart w:id="13" w:name="_Toc445972794"/>
      <w:bookmarkEnd w:id="12"/>
      <w:r>
        <w:t xml:space="preserve">NOTE: The outputs listed above were compiled </w:t>
      </w:r>
      <w:proofErr w:type="gramStart"/>
      <w:r>
        <w:t>at the moment</w:t>
      </w:r>
      <w:proofErr w:type="gramEnd"/>
      <w:r>
        <w:t xml:space="preserve"> of the preparation of this document.</w:t>
      </w:r>
    </w:p>
    <w:p w14:paraId="09B62234" w14:textId="3890D2C6" w:rsidR="00A154EE" w:rsidRPr="00745008" w:rsidRDefault="00A154EE" w:rsidP="00BE6491">
      <w:r>
        <w:t xml:space="preserve">It is to be noted that </w:t>
      </w:r>
      <w:r w:rsidR="00CC005B" w:rsidRPr="00CC005B">
        <w:t xml:space="preserve">the </w:t>
      </w:r>
      <w:r w:rsidR="00FB7DA0">
        <w:t>e</w:t>
      </w:r>
      <w:r w:rsidR="00CC005B" w:rsidRPr="00CC005B">
        <w:t xml:space="preserve">ditorial revisions of ITU-R Reports </w:t>
      </w:r>
      <w:r w:rsidR="00890ED2">
        <w:t>we</w:t>
      </w:r>
      <w:r w:rsidR="00CC005B" w:rsidRPr="00CC005B">
        <w:t>re treated, by analogy, in accordance with §A2.5.2.4 and §A2.6.2.5</w:t>
      </w:r>
      <w:r w:rsidR="00FD1B50">
        <w:t xml:space="preserve"> of Resolution ITU-R 1-9</w:t>
      </w:r>
      <w:r w:rsidR="00CC005B">
        <w:t>.</w:t>
      </w:r>
    </w:p>
    <w:p w14:paraId="3BD6DAE4" w14:textId="776FEE91" w:rsidR="002A70F8" w:rsidRPr="00745008" w:rsidRDefault="00DF23F6" w:rsidP="002A70F8">
      <w:pPr>
        <w:pStyle w:val="Heading2"/>
      </w:pPr>
      <w:r>
        <w:t>5</w:t>
      </w:r>
      <w:r w:rsidR="002A70F8" w:rsidRPr="00745008">
        <w:t>.1</w:t>
      </w:r>
      <w:r w:rsidR="002A70F8" w:rsidRPr="00745008">
        <w:tab/>
        <w:t>Study Group 1</w:t>
      </w:r>
    </w:p>
    <w:p w14:paraId="4B710692" w14:textId="1A89F348" w:rsidR="00A67A4B" w:rsidRPr="00745008" w:rsidRDefault="00A67A4B" w:rsidP="001732C2">
      <w:r w:rsidRPr="00745008">
        <w:t>Study Group 1 continu</w:t>
      </w:r>
      <w:r w:rsidR="00890ED2">
        <w:t>ed</w:t>
      </w:r>
      <w:r w:rsidRPr="00745008">
        <w:t xml:space="preserve"> to develop ITU-R Recommendations, Reports and Handbooks related to spectrum management principles and techniques, general principles of sharing, spectrum monitoring, long-term strategies for spectrum utilization, economic approaches to national spectrum management, automated techniques and assistance to developing countries in cooperation with the Telecommunication Development Sector. Its studies also include</w:t>
      </w:r>
      <w:r w:rsidR="00890ED2">
        <w:t>d</w:t>
      </w:r>
      <w:r w:rsidRPr="00745008">
        <w:t xml:space="preserve"> methods for identification and elimination of interference, unwanted emissions, maintenance of data dictionary, spectrum redeployment, spectrum use measurement, unlicensed and shared uses of spectrum, dynamic spectrum access, smart grids and wireless power transmission.</w:t>
      </w:r>
    </w:p>
    <w:p w14:paraId="4A15E030" w14:textId="77361DAA" w:rsidR="00A67A4B" w:rsidRDefault="00A67A4B" w:rsidP="001732C2">
      <w:pPr>
        <w:rPr>
          <w:lang w:eastAsia="ja-JP"/>
        </w:rPr>
      </w:pPr>
      <w:r w:rsidRPr="00745008">
        <w:t>Working Parties 1A, 1B and 1C</w:t>
      </w:r>
      <w:r>
        <w:t xml:space="preserve"> and S</w:t>
      </w:r>
      <w:r w:rsidR="00893155">
        <w:t>tudy Group</w:t>
      </w:r>
      <w:r>
        <w:t xml:space="preserve"> 1</w:t>
      </w:r>
      <w:r w:rsidRPr="00745008">
        <w:t xml:space="preserve"> held a </w:t>
      </w:r>
      <w:r>
        <w:t xml:space="preserve">block of </w:t>
      </w:r>
      <w:r w:rsidRPr="00745008">
        <w:t>physical meeting</w:t>
      </w:r>
      <w:r>
        <w:t>s</w:t>
      </w:r>
      <w:r w:rsidRPr="00745008">
        <w:t xml:space="preserve"> with remote participation </w:t>
      </w:r>
      <w:r>
        <w:t>from 12 to 20 June</w:t>
      </w:r>
      <w:r w:rsidRPr="00745008">
        <w:t xml:space="preserve"> 20</w:t>
      </w:r>
      <w:r>
        <w:t>24 in Geneva.</w:t>
      </w:r>
      <w:r w:rsidRPr="00745008">
        <w:t xml:space="preserve"> </w:t>
      </w:r>
      <w:r>
        <w:t xml:space="preserve">In addition to the approved publications indicated in section </w:t>
      </w:r>
      <w:r w:rsidR="00BE6FD9">
        <w:t xml:space="preserve">5 </w:t>
      </w:r>
      <w:r>
        <w:t xml:space="preserve">above and detailed below, good progress was also made on other SG 1 activities. It was agreed in June 2024 </w:t>
      </w:r>
      <w:r>
        <w:rPr>
          <w:lang w:eastAsia="ja-JP"/>
        </w:rPr>
        <w:t xml:space="preserve">to schedule the </w:t>
      </w:r>
      <w:r>
        <w:t>following meetings in November 2024</w:t>
      </w:r>
      <w:r w:rsidRPr="00C3677E">
        <w:rPr>
          <w:lang w:eastAsia="ja-JP"/>
        </w:rPr>
        <w:t xml:space="preserve"> </w:t>
      </w:r>
      <w:r>
        <w:rPr>
          <w:lang w:eastAsia="ja-JP"/>
        </w:rPr>
        <w:t>at the ITU Headquarters in Geneva:</w:t>
      </w:r>
    </w:p>
    <w:p w14:paraId="5AED8737" w14:textId="12A9947B" w:rsidR="00A67A4B" w:rsidRPr="009E4F77" w:rsidRDefault="00A67A4B" w:rsidP="009E4F77">
      <w:pPr>
        <w:pStyle w:val="enumlev1"/>
      </w:pPr>
      <w:r>
        <w:rPr>
          <w:lang w:eastAsia="ja-JP"/>
        </w:rPr>
        <w:t>–</w:t>
      </w:r>
      <w:r>
        <w:rPr>
          <w:lang w:eastAsia="ja-JP"/>
        </w:rPr>
        <w:tab/>
        <w:t>WP</w:t>
      </w:r>
      <w:r>
        <w:t xml:space="preserve"> 1B met from </w:t>
      </w:r>
      <w:r w:rsidRPr="004233A1">
        <w:t>5</w:t>
      </w:r>
      <w:r>
        <w:t xml:space="preserve"> to </w:t>
      </w:r>
      <w:r w:rsidRPr="004233A1">
        <w:t xml:space="preserve">8 </w:t>
      </w:r>
      <w:r w:rsidRPr="009E4F77">
        <w:t xml:space="preserve">November 2024 to progress the work and, considering that this WP is a contributing group on WRC-27 agenda item 1.5, to be able to provide on time information to WP 4A, as appropriate. </w:t>
      </w:r>
    </w:p>
    <w:p w14:paraId="65693879" w14:textId="446ADDF0" w:rsidR="00A67A4B" w:rsidRDefault="00A67A4B" w:rsidP="009E4F77">
      <w:pPr>
        <w:pStyle w:val="enumlev1"/>
        <w:rPr>
          <w:lang w:eastAsia="ja-JP"/>
        </w:rPr>
      </w:pPr>
      <w:r w:rsidRPr="009E4F77">
        <w:t>–</w:t>
      </w:r>
      <w:r w:rsidRPr="009E4F77">
        <w:tab/>
        <w:t>WP 1C Rapporteur Group (RG) on the ITU-R Spectrum Monitoring Handbook (SMH)</w:t>
      </w:r>
      <w:r w:rsidR="00BE6FD9" w:rsidRPr="009E4F77">
        <w:t xml:space="preserve"> met</w:t>
      </w:r>
      <w:r w:rsidRPr="009E4F77">
        <w:t xml:space="preserve"> from 5 to 12 November 2024 to progress the work on the revision of this important Handbook for national regulators</w:t>
      </w:r>
      <w:r>
        <w:rPr>
          <w:lang w:eastAsia="ja-JP"/>
        </w:rPr>
        <w:t xml:space="preserve"> and for the manufacturers providing equipment to them.</w:t>
      </w:r>
    </w:p>
    <w:p w14:paraId="4599AAE5" w14:textId="77777777" w:rsidR="002A70F8" w:rsidRPr="00745008" w:rsidRDefault="002A70F8" w:rsidP="002A70F8">
      <w:pPr>
        <w:pStyle w:val="Headingb"/>
      </w:pPr>
      <w:r w:rsidRPr="00745008">
        <w:t>Recommendation ITU-R:</w:t>
      </w:r>
    </w:p>
    <w:p w14:paraId="0F78060D" w14:textId="10881EE9" w:rsidR="00F26A97" w:rsidRPr="009E4F77" w:rsidRDefault="00F26A97" w:rsidP="009E4F77">
      <w:pPr>
        <w:pStyle w:val="enumlev1"/>
      </w:pPr>
      <w:r w:rsidRPr="00745008">
        <w:t>–</w:t>
      </w:r>
      <w:r w:rsidRPr="00745008">
        <w:tab/>
      </w:r>
      <w:r w:rsidRPr="00F26A97">
        <w:t>SM.329-13</w:t>
      </w:r>
      <w:r>
        <w:t xml:space="preserve"> “</w:t>
      </w:r>
      <w:r w:rsidR="000E62DA" w:rsidRPr="009E4F77">
        <w:t>Unwanted emissions in the spurious domain”</w:t>
      </w:r>
    </w:p>
    <w:p w14:paraId="09D63781" w14:textId="298935AE" w:rsidR="00F26A97" w:rsidRPr="009E4F77" w:rsidRDefault="00F26A97" w:rsidP="009E4F77">
      <w:pPr>
        <w:pStyle w:val="enumlev1"/>
      </w:pPr>
      <w:r w:rsidRPr="009E4F77">
        <w:t>–</w:t>
      </w:r>
      <w:r w:rsidRPr="009E4F77">
        <w:tab/>
        <w:t>SM.853-2 “</w:t>
      </w:r>
      <w:r w:rsidR="000E62DA" w:rsidRPr="009E4F77">
        <w:t>Necessary bandwidth”</w:t>
      </w:r>
    </w:p>
    <w:p w14:paraId="413F578E" w14:textId="57ED3680" w:rsidR="00F26A97" w:rsidRPr="009E4F77" w:rsidRDefault="00F26A97" w:rsidP="009E4F77">
      <w:pPr>
        <w:pStyle w:val="enumlev1"/>
      </w:pPr>
      <w:r w:rsidRPr="009E4F77">
        <w:t>–</w:t>
      </w:r>
      <w:r w:rsidRPr="009E4F77">
        <w:tab/>
        <w:t>SM.1539-2 “</w:t>
      </w:r>
      <w:r w:rsidR="000E62DA" w:rsidRPr="009E4F77">
        <w:t>Variation of the boundary between the out-of-band and spurious domains required for the application of Recommendations ITU-R SM.1541 and ITU-R SM.329”</w:t>
      </w:r>
    </w:p>
    <w:p w14:paraId="57C1F0FF" w14:textId="57B87EFE" w:rsidR="00F26A97" w:rsidRPr="009E4F77" w:rsidRDefault="00F26A97" w:rsidP="009E4F77">
      <w:pPr>
        <w:pStyle w:val="enumlev1"/>
      </w:pPr>
      <w:r w:rsidRPr="009E4F77">
        <w:t>–</w:t>
      </w:r>
      <w:r w:rsidRPr="009E4F77">
        <w:tab/>
        <w:t>SM.1541-7 “</w:t>
      </w:r>
      <w:r w:rsidR="00856FA6" w:rsidRPr="009E4F77">
        <w:t>Unwanted emissions in the out-of-band domain”</w:t>
      </w:r>
    </w:p>
    <w:p w14:paraId="1D5CBD70" w14:textId="544C18E4" w:rsidR="00F26A97" w:rsidRPr="009E4F77" w:rsidRDefault="00F26A97" w:rsidP="009E4F77">
      <w:pPr>
        <w:pStyle w:val="enumlev1"/>
      </w:pPr>
      <w:r w:rsidRPr="009E4F77">
        <w:lastRenderedPageBreak/>
        <w:t>–</w:t>
      </w:r>
      <w:r w:rsidRPr="009E4F77">
        <w:tab/>
        <w:t>SM.2129-1 “</w:t>
      </w:r>
      <w:r w:rsidR="00856FA6" w:rsidRPr="009E4F77">
        <w:t>Guidance on frequency ranges for the operation of non-beam wireless power transmission for mobile and portable devices”</w:t>
      </w:r>
    </w:p>
    <w:p w14:paraId="54E9D19E" w14:textId="77777777" w:rsidR="002A70F8" w:rsidRPr="00745008" w:rsidRDefault="002A70F8" w:rsidP="00AA31E4">
      <w:pPr>
        <w:pStyle w:val="Headingb"/>
        <w:keepLines/>
        <w:jc w:val="both"/>
      </w:pPr>
      <w:r w:rsidRPr="00745008">
        <w:t>Report ITU-R:</w:t>
      </w:r>
    </w:p>
    <w:p w14:paraId="6208A7F1" w14:textId="6FB32A10" w:rsidR="000E62DA" w:rsidRPr="009E4F77" w:rsidRDefault="000E62DA" w:rsidP="009E4F77">
      <w:pPr>
        <w:pStyle w:val="enumlev1"/>
      </w:pPr>
      <w:r w:rsidRPr="0031628E">
        <w:t>–</w:t>
      </w:r>
      <w:r w:rsidRPr="0031628E">
        <w:tab/>
      </w:r>
      <w:r w:rsidRPr="00BE6491">
        <w:t>SM.2486-1 “</w:t>
      </w:r>
      <w:r w:rsidR="0031628E" w:rsidRPr="00BE6491">
        <w:t xml:space="preserve">Use of commercial </w:t>
      </w:r>
      <w:r w:rsidR="0031628E" w:rsidRPr="009E4F77">
        <w:t>drones for ITU-R spectrum monitoring tasks”</w:t>
      </w:r>
    </w:p>
    <w:p w14:paraId="3FD6A30F" w14:textId="2587AEDB" w:rsidR="00B113E8" w:rsidRPr="009E4F77" w:rsidRDefault="00B113E8" w:rsidP="009E4F77">
      <w:pPr>
        <w:pStyle w:val="enumlev1"/>
      </w:pPr>
      <w:r w:rsidRPr="009E4F77">
        <w:t>–</w:t>
      </w:r>
      <w:r w:rsidRPr="009E4F77">
        <w:tab/>
      </w:r>
      <w:r w:rsidR="000E62DA" w:rsidRPr="009E4F77">
        <w:t>SM.2449-1</w:t>
      </w:r>
      <w:r w:rsidRPr="009E4F77">
        <w:t xml:space="preserve"> “Impact analyses of non-beam inductive wireless power transmission for mobile and portable devices on radiocommunication services”</w:t>
      </w:r>
    </w:p>
    <w:p w14:paraId="228426B9" w14:textId="37CAAE9D" w:rsidR="000E62DA" w:rsidRPr="009E4F77" w:rsidRDefault="00B113E8" w:rsidP="009E4F77">
      <w:pPr>
        <w:pStyle w:val="enumlev1"/>
      </w:pPr>
      <w:r w:rsidRPr="009E4F77">
        <w:t>–</w:t>
      </w:r>
      <w:r w:rsidRPr="009E4F77">
        <w:tab/>
      </w:r>
      <w:r w:rsidR="000E62DA" w:rsidRPr="009E4F77">
        <w:t>SM.2542-0</w:t>
      </w:r>
      <w:r w:rsidRPr="009E4F77">
        <w:t xml:space="preserve"> “Next generation Spectrum Monitoring – Proactive, Autonomous, and Data-Driven”</w:t>
      </w:r>
    </w:p>
    <w:p w14:paraId="3A988D4A" w14:textId="1EBFDA9F" w:rsidR="002463B1" w:rsidRPr="0031628E" w:rsidRDefault="002463B1" w:rsidP="009E4F77">
      <w:pPr>
        <w:pStyle w:val="enumlev1"/>
      </w:pPr>
      <w:r w:rsidRPr="009E4F77">
        <w:t>–</w:t>
      </w:r>
      <w:r w:rsidRPr="009E4F77">
        <w:tab/>
        <w:t>SM.2353-0 “The challenges and opportunities for spectrum management resulting from the transition to digital terrestrial television</w:t>
      </w:r>
      <w:r w:rsidRPr="00BE6491">
        <w:t xml:space="preserve"> in the UHF bands</w:t>
      </w:r>
      <w:r>
        <w:t>” was</w:t>
      </w:r>
      <w:r w:rsidRPr="00745008">
        <w:t xml:space="preserve"> editorially</w:t>
      </w:r>
      <w:r>
        <w:t xml:space="preserve"> updated</w:t>
      </w:r>
      <w:r w:rsidR="006744D0">
        <w:t>.</w:t>
      </w:r>
    </w:p>
    <w:p w14:paraId="5B196405" w14:textId="6089C251" w:rsidR="00CE57F2" w:rsidRDefault="00CE57F2" w:rsidP="001732C2">
      <w:pPr>
        <w:rPr>
          <w:lang w:eastAsia="ja-JP"/>
        </w:rPr>
      </w:pPr>
      <w:bookmarkStart w:id="14" w:name="_Toc445972793"/>
      <w:r>
        <w:t xml:space="preserve">At the June 2024 meeting of SG 1, </w:t>
      </w:r>
      <w:r w:rsidRPr="008406AC">
        <w:t xml:space="preserve">the need for the RAG to review the </w:t>
      </w:r>
      <w:hyperlink r:id="rId15" w:history="1">
        <w:r w:rsidRPr="008406AC">
          <w:rPr>
            <w:rStyle w:val="Hyperlink"/>
          </w:rPr>
          <w:t>Format</w:t>
        </w:r>
        <w:r w:rsidRPr="008406AC">
          <w:rPr>
            <w:rStyle w:val="Hyperlink"/>
          </w:rPr>
          <w:t xml:space="preserve"> </w:t>
        </w:r>
        <w:r w:rsidRPr="008406AC">
          <w:rPr>
            <w:rStyle w:val="Hyperlink"/>
          </w:rPr>
          <w:t>of ITU-R Recommendations</w:t>
        </w:r>
      </w:hyperlink>
      <w:r w:rsidR="0025559C">
        <w:t xml:space="preserve"> </w:t>
      </w:r>
      <w:r w:rsidR="0025559C" w:rsidRPr="008406AC">
        <w:t>was highlighted</w:t>
      </w:r>
      <w:r w:rsidRPr="008406AC">
        <w:t>, in order to clarify</w:t>
      </w:r>
      <w:r>
        <w:t xml:space="preserve"> where the references to ITU-R Reports in an ITU-R Recommendation </w:t>
      </w:r>
      <w:r w:rsidR="0025559C">
        <w:t xml:space="preserve">should be included </w:t>
      </w:r>
      <w:r>
        <w:t>(see Section 10.1 of the Summary Record in</w:t>
      </w:r>
      <w:r w:rsidR="00E93CAA">
        <w:t xml:space="preserve"> Doc. </w:t>
      </w:r>
      <w:hyperlink r:id="rId16" w:history="1">
        <w:r w:rsidRPr="00482A33">
          <w:rPr>
            <w:rStyle w:val="Hyperlink"/>
          </w:rPr>
          <w:t>1/2</w:t>
        </w:r>
        <w:r w:rsidRPr="00482A33">
          <w:rPr>
            <w:rStyle w:val="Hyperlink"/>
          </w:rPr>
          <w:t>7</w:t>
        </w:r>
      </w:hyperlink>
      <w:r>
        <w:t>).</w:t>
      </w:r>
    </w:p>
    <w:p w14:paraId="781F0122" w14:textId="32040050" w:rsidR="00CE57F2" w:rsidRDefault="00CE57F2" w:rsidP="001732C2">
      <w:pPr>
        <w:rPr>
          <w:lang w:eastAsia="ja-JP"/>
        </w:rPr>
      </w:pPr>
      <w:r w:rsidRPr="00803C69">
        <w:rPr>
          <w:lang w:eastAsia="ja-JP"/>
        </w:rPr>
        <w:t xml:space="preserve">At </w:t>
      </w:r>
      <w:r>
        <w:rPr>
          <w:lang w:eastAsia="ja-JP"/>
        </w:rPr>
        <w:t xml:space="preserve">the </w:t>
      </w:r>
      <w:r w:rsidRPr="00803C69">
        <w:rPr>
          <w:lang w:eastAsia="ja-JP"/>
        </w:rPr>
        <w:t xml:space="preserve">November 2024 </w:t>
      </w:r>
      <w:r w:rsidRPr="00745008">
        <w:t>physical meeting</w:t>
      </w:r>
      <w:r>
        <w:t>s</w:t>
      </w:r>
      <w:r w:rsidRPr="00745008">
        <w:t xml:space="preserve"> with remote participation</w:t>
      </w:r>
      <w:r w:rsidRPr="00803C69">
        <w:rPr>
          <w:lang w:eastAsia="ja-JP"/>
        </w:rPr>
        <w:t xml:space="preserve">, </w:t>
      </w:r>
      <w:r>
        <w:rPr>
          <w:lang w:eastAsia="ja-JP"/>
        </w:rPr>
        <w:t xml:space="preserve">WP 1B further progressed its regular studies and agreed to send to SG 1 a draft revision of </w:t>
      </w:r>
      <w:r w:rsidRPr="00EB4579">
        <w:rPr>
          <w:lang w:eastAsia="ja-JP"/>
        </w:rPr>
        <w:t>Report ITU-R 2015-2</w:t>
      </w:r>
      <w:r>
        <w:rPr>
          <w:lang w:eastAsia="ja-JP"/>
        </w:rPr>
        <w:t xml:space="preserve"> on </w:t>
      </w:r>
      <w:r w:rsidR="002E4E50" w:rsidRPr="00BE6491">
        <w:rPr>
          <w:i/>
          <w:iCs/>
          <w:lang w:eastAsia="ja-JP"/>
        </w:rPr>
        <w:t>“</w:t>
      </w:r>
      <w:r w:rsidRPr="00BE6491">
        <w:rPr>
          <w:i/>
          <w:iCs/>
          <w:lang w:eastAsia="ja-JP"/>
        </w:rPr>
        <w:t>Methods for determining national long-term strategies for spectrum utilization</w:t>
      </w:r>
      <w:r w:rsidR="002E4E50" w:rsidRPr="00BE6491">
        <w:rPr>
          <w:i/>
          <w:iCs/>
          <w:lang w:eastAsia="ja-JP"/>
        </w:rPr>
        <w:t>”</w:t>
      </w:r>
      <w:r>
        <w:rPr>
          <w:lang w:eastAsia="ja-JP"/>
        </w:rPr>
        <w:t xml:space="preserve">. The WP 1C RG-SMH was also very productive in continuing the draft revision of all the Chapters and the Annex of the </w:t>
      </w:r>
      <w:r w:rsidRPr="00803C69">
        <w:rPr>
          <w:lang w:eastAsia="ja-JP"/>
        </w:rPr>
        <w:t>Handbook</w:t>
      </w:r>
      <w:r>
        <w:rPr>
          <w:lang w:eastAsia="ja-JP"/>
        </w:rPr>
        <w:t xml:space="preserve"> as well as in developing a draft new Chapter on d</w:t>
      </w:r>
      <w:r w:rsidRPr="00FD236B">
        <w:rPr>
          <w:lang w:eastAsia="ja-JP"/>
        </w:rPr>
        <w:t xml:space="preserve">ata and </w:t>
      </w:r>
      <w:r>
        <w:rPr>
          <w:lang w:eastAsia="ja-JP"/>
        </w:rPr>
        <w:t>a</w:t>
      </w:r>
      <w:r w:rsidRPr="00FD236B">
        <w:rPr>
          <w:lang w:eastAsia="ja-JP"/>
        </w:rPr>
        <w:t>utomation</w:t>
      </w:r>
      <w:r>
        <w:rPr>
          <w:lang w:eastAsia="ja-JP"/>
        </w:rPr>
        <w:t xml:space="preserve">. The next meeting of the RG-SMH </w:t>
      </w:r>
      <w:r w:rsidR="00CE6093">
        <w:rPr>
          <w:lang w:eastAsia="ja-JP"/>
        </w:rPr>
        <w:t xml:space="preserve">as initially foreseen </w:t>
      </w:r>
      <w:r>
        <w:rPr>
          <w:lang w:eastAsia="ja-JP"/>
        </w:rPr>
        <w:t xml:space="preserve">in February 2025 was therefore cancelled to give more time for the preparation of the June 2025 </w:t>
      </w:r>
      <w:r w:rsidR="00CE6093">
        <w:rPr>
          <w:lang w:eastAsia="ja-JP"/>
        </w:rPr>
        <w:t xml:space="preserve">WP 1C </w:t>
      </w:r>
      <w:r>
        <w:rPr>
          <w:lang w:eastAsia="ja-JP"/>
        </w:rPr>
        <w:t>meeting where additional days w</w:t>
      </w:r>
      <w:r w:rsidR="00CE6093">
        <w:rPr>
          <w:lang w:eastAsia="ja-JP"/>
        </w:rPr>
        <w:t>ould</w:t>
      </w:r>
      <w:r>
        <w:rPr>
          <w:lang w:eastAsia="ja-JP"/>
        </w:rPr>
        <w:t xml:space="preserve"> be given for the revision of the SMH.</w:t>
      </w:r>
    </w:p>
    <w:p w14:paraId="587B7614" w14:textId="658356BA" w:rsidR="00CE57F2" w:rsidRPr="00B23B6C" w:rsidRDefault="00CE57F2" w:rsidP="001732C2">
      <w:r>
        <w:rPr>
          <w:lang w:val="en-US"/>
        </w:rPr>
        <w:t>As indicated in the invitation circulars (</w:t>
      </w:r>
      <w:hyperlink r:id="rId17" w:history="1">
        <w:r w:rsidRPr="000C7234">
          <w:rPr>
            <w:rStyle w:val="Hyperlink"/>
            <w:lang w:val="en-US"/>
          </w:rPr>
          <w:t>CACE</w:t>
        </w:r>
        <w:r w:rsidR="002E4E50">
          <w:rPr>
            <w:rStyle w:val="Hyperlink"/>
            <w:lang w:val="en-US"/>
          </w:rPr>
          <w:t>/</w:t>
        </w:r>
        <w:r w:rsidRPr="000C7234">
          <w:rPr>
            <w:rStyle w:val="Hyperlink"/>
            <w:lang w:val="en-US"/>
          </w:rPr>
          <w:t>1131</w:t>
        </w:r>
      </w:hyperlink>
      <w:r>
        <w:rPr>
          <w:lang w:val="en-US"/>
        </w:rPr>
        <w:t xml:space="preserve"> and </w:t>
      </w:r>
      <w:hyperlink r:id="rId18" w:history="1">
        <w:r w:rsidRPr="000C7234">
          <w:rPr>
            <w:rStyle w:val="Hyperlink"/>
            <w:lang w:val="en-US"/>
          </w:rPr>
          <w:t>1/LCCE</w:t>
        </w:r>
        <w:r w:rsidRPr="000C7234">
          <w:rPr>
            <w:rStyle w:val="Hyperlink"/>
            <w:lang w:val="en-US"/>
          </w:rPr>
          <w:t>/</w:t>
        </w:r>
        <w:r w:rsidRPr="000C7234">
          <w:rPr>
            <w:rStyle w:val="Hyperlink"/>
            <w:lang w:val="en-US"/>
          </w:rPr>
          <w:t>113</w:t>
        </w:r>
      </w:hyperlink>
      <w:r>
        <w:rPr>
          <w:lang w:val="en-US"/>
        </w:rPr>
        <w:t>), t</w:t>
      </w:r>
      <w:r w:rsidRPr="00745008">
        <w:rPr>
          <w:lang w:val="en-US"/>
        </w:rPr>
        <w:t>he next meeting</w:t>
      </w:r>
      <w:r>
        <w:rPr>
          <w:lang w:val="en-US"/>
        </w:rPr>
        <w:t xml:space="preserve"> of WP 1C is scheduled</w:t>
      </w:r>
      <w:r w:rsidRPr="00745008">
        <w:rPr>
          <w:lang w:val="en-US"/>
        </w:rPr>
        <w:t xml:space="preserve"> from </w:t>
      </w:r>
      <w:r>
        <w:rPr>
          <w:lang w:val="en-US"/>
        </w:rPr>
        <w:t>9 to 18</w:t>
      </w:r>
      <w:r w:rsidRPr="00745008">
        <w:rPr>
          <w:lang w:val="en-US"/>
        </w:rPr>
        <w:t xml:space="preserve"> June 20</w:t>
      </w:r>
      <w:r>
        <w:rPr>
          <w:lang w:val="en-US"/>
        </w:rPr>
        <w:t xml:space="preserve">25 with the first two days dedicated to the work on the revision of the SMH, and the </w:t>
      </w:r>
      <w:r w:rsidRPr="00745008">
        <w:rPr>
          <w:lang w:val="en-US"/>
        </w:rPr>
        <w:t xml:space="preserve">next meetings of WPs 1A </w:t>
      </w:r>
      <w:r>
        <w:rPr>
          <w:lang w:val="en-US"/>
        </w:rPr>
        <w:t xml:space="preserve">and </w:t>
      </w:r>
      <w:r w:rsidRPr="00745008">
        <w:rPr>
          <w:lang w:val="en-US"/>
        </w:rPr>
        <w:t xml:space="preserve">1B are </w:t>
      </w:r>
      <w:r>
        <w:rPr>
          <w:lang w:val="en-US"/>
        </w:rPr>
        <w:t>scheduled</w:t>
      </w:r>
      <w:r w:rsidRPr="00745008">
        <w:rPr>
          <w:lang w:val="en-US"/>
        </w:rPr>
        <w:t xml:space="preserve"> from </w:t>
      </w:r>
      <w:r>
        <w:rPr>
          <w:lang w:val="en-US"/>
        </w:rPr>
        <w:t>11 to 18</w:t>
      </w:r>
      <w:r w:rsidRPr="00745008">
        <w:rPr>
          <w:lang w:val="en-US"/>
        </w:rPr>
        <w:t xml:space="preserve"> June 20</w:t>
      </w:r>
      <w:r>
        <w:rPr>
          <w:lang w:val="en-US"/>
        </w:rPr>
        <w:t>25</w:t>
      </w:r>
      <w:r w:rsidRPr="00745008">
        <w:rPr>
          <w:lang w:val="en-US"/>
        </w:rPr>
        <w:t xml:space="preserve">. SG 1 </w:t>
      </w:r>
      <w:r>
        <w:rPr>
          <w:lang w:val="en-US"/>
        </w:rPr>
        <w:t xml:space="preserve">will </w:t>
      </w:r>
      <w:r w:rsidRPr="00745008">
        <w:rPr>
          <w:lang w:val="en-US"/>
        </w:rPr>
        <w:t xml:space="preserve">meet on </w:t>
      </w:r>
      <w:r>
        <w:rPr>
          <w:lang w:val="en-US"/>
        </w:rPr>
        <w:t>19</w:t>
      </w:r>
      <w:r w:rsidRPr="00745008">
        <w:rPr>
          <w:lang w:val="en-US"/>
        </w:rPr>
        <w:t xml:space="preserve"> June 20</w:t>
      </w:r>
      <w:r>
        <w:rPr>
          <w:lang w:val="en-US"/>
        </w:rPr>
        <w:t>25</w:t>
      </w:r>
      <w:r w:rsidRPr="00745008">
        <w:rPr>
          <w:lang w:val="en-US"/>
        </w:rPr>
        <w:t>.</w:t>
      </w:r>
      <w:r>
        <w:rPr>
          <w:lang w:val="en-US"/>
        </w:rPr>
        <w:t xml:space="preserve"> </w:t>
      </w:r>
      <w:r w:rsidRPr="000C7234">
        <w:rPr>
          <w:rFonts w:asciiTheme="majorBidi" w:hAnsiTheme="majorBidi" w:cstheme="majorBidi"/>
          <w:bCs/>
        </w:rPr>
        <w:t xml:space="preserve">Some possibilities to plan other meetings </w:t>
      </w:r>
      <w:r>
        <w:rPr>
          <w:rFonts w:asciiTheme="majorBidi" w:hAnsiTheme="majorBidi" w:cstheme="majorBidi"/>
          <w:bCs/>
        </w:rPr>
        <w:t xml:space="preserve">of the SG 1 WPs </w:t>
      </w:r>
      <w:r w:rsidRPr="000C7234">
        <w:rPr>
          <w:rFonts w:asciiTheme="majorBidi" w:hAnsiTheme="majorBidi" w:cstheme="majorBidi"/>
          <w:bCs/>
        </w:rPr>
        <w:t xml:space="preserve">during the period from 5 to 14 November 2025 </w:t>
      </w:r>
      <w:r w:rsidR="008649F9">
        <w:rPr>
          <w:rFonts w:asciiTheme="majorBidi" w:hAnsiTheme="majorBidi" w:cstheme="majorBidi"/>
          <w:bCs/>
        </w:rPr>
        <w:t>we</w:t>
      </w:r>
      <w:r w:rsidRPr="000C7234">
        <w:rPr>
          <w:rFonts w:asciiTheme="majorBidi" w:hAnsiTheme="majorBidi" w:cstheme="majorBidi"/>
          <w:bCs/>
        </w:rPr>
        <w:t xml:space="preserve">re also envisaged depending on </w:t>
      </w:r>
      <w:r w:rsidRPr="000C7234">
        <w:t>the workload at the end of the June 2025</w:t>
      </w:r>
      <w:r>
        <w:t xml:space="preserve"> meetings and </w:t>
      </w:r>
      <w:r w:rsidRPr="000C7234">
        <w:rPr>
          <w:rFonts w:asciiTheme="majorBidi" w:hAnsiTheme="majorBidi" w:cstheme="majorBidi"/>
          <w:bCs/>
        </w:rPr>
        <w:t xml:space="preserve">depending on the ITU rooms availability </w:t>
      </w:r>
      <w:r>
        <w:rPr>
          <w:rFonts w:asciiTheme="majorBidi" w:hAnsiTheme="majorBidi" w:cstheme="majorBidi"/>
          <w:bCs/>
        </w:rPr>
        <w:t>in view of the priorities</w:t>
      </w:r>
      <w:r>
        <w:t xml:space="preserve">. However, a meeting of the WP 1C RG-SMH is most likely going to be held during that period </w:t>
      </w:r>
      <w:proofErr w:type="gramStart"/>
      <w:r>
        <w:t>in order to</w:t>
      </w:r>
      <w:proofErr w:type="gramEnd"/>
      <w:r>
        <w:t xml:space="preserve"> meet the targeted deadline of June 2026 for the revision of this important Handbook</w:t>
      </w:r>
      <w:r w:rsidRPr="00611A97">
        <w:rPr>
          <w:rFonts w:asciiTheme="majorBidi" w:hAnsiTheme="majorBidi" w:cstheme="majorBidi"/>
          <w:bCs/>
        </w:rPr>
        <w:t>.</w:t>
      </w:r>
    </w:p>
    <w:p w14:paraId="406C9248" w14:textId="118CA189" w:rsidR="002A70F8" w:rsidRPr="00745008" w:rsidRDefault="00271B43" w:rsidP="001732C2">
      <w:pPr>
        <w:pStyle w:val="Heading2"/>
      </w:pPr>
      <w:r>
        <w:t>5</w:t>
      </w:r>
      <w:r w:rsidR="002A70F8" w:rsidRPr="00745008">
        <w:t>.2</w:t>
      </w:r>
      <w:r w:rsidR="002A70F8" w:rsidRPr="00745008">
        <w:tab/>
        <w:t>Study Group 3</w:t>
      </w:r>
      <w:bookmarkEnd w:id="14"/>
    </w:p>
    <w:p w14:paraId="2034B6FD" w14:textId="6EFA61DC" w:rsidR="002A70F8" w:rsidRPr="00745008" w:rsidRDefault="002A70F8" w:rsidP="001732C2">
      <w:r w:rsidRPr="00B30B44">
        <w:rPr>
          <w:rStyle w:val="ui-provider"/>
        </w:rPr>
        <w:t>Study Group 3 continue</w:t>
      </w:r>
      <w:r w:rsidR="008649F9">
        <w:rPr>
          <w:rStyle w:val="ui-provider"/>
        </w:rPr>
        <w:t>d</w:t>
      </w:r>
      <w:r w:rsidRPr="00B30B44">
        <w:rPr>
          <w:rStyle w:val="ui-provider"/>
        </w:rPr>
        <w:t xml:space="preserve"> to undertake extensive research using</w:t>
      </w:r>
      <w:r w:rsidRPr="00B30B44">
        <w:t xml:space="preserve"> propagation measurements, data analysis and model development to extend the applicability of radio</w:t>
      </w:r>
      <w:r w:rsidR="008649F9">
        <w:t>-</w:t>
      </w:r>
      <w:r w:rsidRPr="00B30B44">
        <w:t>wave propagation prediction methods in relevant parts of the spectrum up to 375 THz.  Study Group 3 also continue</w:t>
      </w:r>
      <w:r w:rsidR="008649F9">
        <w:t>d</w:t>
      </w:r>
      <w:r w:rsidRPr="00B30B44">
        <w:t xml:space="preserve"> to revise or develop new recommendations, reports and handbooks under its purview to support the design of radiocommunication systems and the assessment of interference.  The latter </w:t>
      </w:r>
      <w:r w:rsidR="00BF7A2B">
        <w:t>wa</w:t>
      </w:r>
      <w:r w:rsidRPr="00B30B44">
        <w:t>s often required for sharing and compatibility studies in support of work on WRC agenda items.</w:t>
      </w:r>
    </w:p>
    <w:p w14:paraId="215CD1CB" w14:textId="797A9849" w:rsidR="002A70F8" w:rsidRPr="00745008" w:rsidRDefault="002A70F8" w:rsidP="001732C2">
      <w:r>
        <w:t>S</w:t>
      </w:r>
      <w:r w:rsidRPr="00745008">
        <w:t>ince RAG-2</w:t>
      </w:r>
      <w:r w:rsidR="0031628E">
        <w:t>4</w:t>
      </w:r>
      <w:r>
        <w:t xml:space="preserve">, </w:t>
      </w:r>
      <w:r w:rsidR="00E73A73">
        <w:t xml:space="preserve">four </w:t>
      </w:r>
      <w:r w:rsidRPr="00745008">
        <w:t xml:space="preserve">revised ITU-R Recommendations were adopted and </w:t>
      </w:r>
      <w:r w:rsidR="00E757EA" w:rsidRPr="00745008">
        <w:t>approved</w:t>
      </w:r>
      <w:r w:rsidR="00E73A73">
        <w:t xml:space="preserve"> by SG 3</w:t>
      </w:r>
      <w:r w:rsidRPr="00745008">
        <w:t xml:space="preserve">. </w:t>
      </w:r>
      <w:r>
        <w:t>T</w:t>
      </w:r>
      <w:r w:rsidR="00D16004">
        <w:t>hree</w:t>
      </w:r>
      <w:r w:rsidRPr="00745008">
        <w:t xml:space="preserve"> ITU</w:t>
      </w:r>
      <w:r w:rsidRPr="00745008">
        <w:noBreakHyphen/>
        <w:t>R Recommendations were also editorially amended.</w:t>
      </w:r>
    </w:p>
    <w:p w14:paraId="00E90FF9" w14:textId="6BB40357" w:rsidR="002A70F8" w:rsidRPr="00E07CF3" w:rsidRDefault="007660FA" w:rsidP="001732C2">
      <w:r>
        <w:t>Three additional Correspondence Groups (CGs) were established.</w:t>
      </w:r>
      <w:r w:rsidR="00BF7A2B">
        <w:t xml:space="preserve"> A</w:t>
      </w:r>
      <w:r>
        <w:t xml:space="preserve"> total of </w:t>
      </w:r>
      <w:r w:rsidRPr="00BF7A2B">
        <w:t>39</w:t>
      </w:r>
      <w:r>
        <w:t xml:space="preserve"> </w:t>
      </w:r>
      <w:r w:rsidR="000D597E">
        <w:t xml:space="preserve">CGs </w:t>
      </w:r>
      <w:r w:rsidR="00BF7A2B">
        <w:t xml:space="preserve">of </w:t>
      </w:r>
      <w:r w:rsidR="00D9033B" w:rsidRPr="00E07CF3">
        <w:t xml:space="preserve">WPs 3J, 3K, 3L and 3M </w:t>
      </w:r>
      <w:r w:rsidR="00BF7A2B">
        <w:t>we</w:t>
      </w:r>
      <w:r w:rsidR="00D9033B">
        <w:t xml:space="preserve">re active </w:t>
      </w:r>
      <w:r w:rsidR="000D597E">
        <w:t xml:space="preserve">to progress the work </w:t>
      </w:r>
      <w:r w:rsidR="00D9033B">
        <w:t>between official meetings.</w:t>
      </w:r>
      <w:r w:rsidR="002A70F8" w:rsidRPr="00E07CF3">
        <w:t xml:space="preserve"> Those CGs conducted a significant proportion of the work between official WP meetings. Working Parties of SG 3 had used CGs in this manner for more than a decade, particularly noting the fact that the four Working Parties meet usually only once a year and that the completion of some topics of work </w:t>
      </w:r>
      <w:r w:rsidR="00597CC9">
        <w:t xml:space="preserve">could </w:t>
      </w:r>
      <w:r w:rsidR="002A70F8" w:rsidRPr="00E07CF3">
        <w:t>span longer than five or even ten years. It should therefore not be seen that the use of CGs in this manner was specifically and only due to the situation created by the COVID-19 pandemic during the period 2020-2022.</w:t>
      </w:r>
    </w:p>
    <w:p w14:paraId="28830924" w14:textId="4391F714" w:rsidR="00334DC6" w:rsidRPr="00E07CF3" w:rsidRDefault="00334DC6" w:rsidP="001732C2">
      <w:r w:rsidRPr="00334DC6">
        <w:lastRenderedPageBreak/>
        <w:t>At its meetings in Denver, Colorado, United States (29 May</w:t>
      </w:r>
      <w:r w:rsidR="009731E1">
        <w:t>-</w:t>
      </w:r>
      <w:r w:rsidRPr="00334DC6">
        <w:t>7 June 2024), WPs 3J, 3K and 3M exceptionally planned two meetings in 2025 (i.e. 17-21 February 2025 and 25 May</w:t>
      </w:r>
      <w:r w:rsidR="007F5154">
        <w:t>-</w:t>
      </w:r>
      <w:r w:rsidRPr="00334DC6">
        <w:t xml:space="preserve">5 June 2025, ITU Headquarters, Geneva) to complete those items of work required by the responsible working parties in their sharing and compatibility studies in support of work on WRC agenda items. Working Party 3L will only meeting during the period 25 May </w:t>
      </w:r>
      <w:r w:rsidR="00B85DB3">
        <w:t>to</w:t>
      </w:r>
      <w:r w:rsidRPr="00334DC6">
        <w:t xml:space="preserve"> 5 June 2025. Furthermore, the four WPs decided to convene a workshop to exchange ideas on applications of machine learning in radio-wave propagation prediction. The workshop would coincide with the WP meetings on 27 May 2025 and include remote participation.</w:t>
      </w:r>
    </w:p>
    <w:p w14:paraId="64FF0EA6" w14:textId="5F2A9281" w:rsidR="00256CBE" w:rsidRPr="00745008" w:rsidRDefault="00256CBE" w:rsidP="001732C2">
      <w:r w:rsidRPr="00E07CF3">
        <w:t>In 202</w:t>
      </w:r>
      <w:r>
        <w:t>4</w:t>
      </w:r>
      <w:r w:rsidRPr="00256CBE">
        <w:t xml:space="preserve">, as had been the case in the previous three years, the P-series recommendations remained the most popular of all ITU-R series of recommendations, with over </w:t>
      </w:r>
      <w:r w:rsidRPr="00BE6491">
        <w:t>7</w:t>
      </w:r>
      <w:r w:rsidRPr="00256CBE">
        <w:t>6</w:t>
      </w:r>
      <w:r w:rsidRPr="00BE6491">
        <w:t> </w:t>
      </w:r>
      <w:r w:rsidRPr="00256CBE">
        <w:t xml:space="preserve">000 downloads more than the second most popular series, thus </w:t>
      </w:r>
      <w:r w:rsidRPr="00BE6491">
        <w:t>continu</w:t>
      </w:r>
      <w:r w:rsidRPr="00256CBE">
        <w:t>ing</w:t>
      </w:r>
      <w:r w:rsidRPr="00BE6491">
        <w:t xml:space="preserve"> to </w:t>
      </w:r>
      <w:r w:rsidRPr="00256CBE">
        <w:t>reflect its importance to all users of radio systems within the ITU and the greater radiocommunications community.</w:t>
      </w:r>
    </w:p>
    <w:p w14:paraId="76316625" w14:textId="77777777" w:rsidR="002A70F8" w:rsidRPr="00BE6491" w:rsidRDefault="002A70F8" w:rsidP="00E757EA">
      <w:pPr>
        <w:pStyle w:val="Headingb"/>
        <w:keepLines/>
        <w:jc w:val="both"/>
        <w:rPr>
          <w:lang w:val="fr-FR"/>
        </w:rPr>
      </w:pPr>
      <w:proofErr w:type="spellStart"/>
      <w:r w:rsidRPr="00BE6491">
        <w:rPr>
          <w:lang w:val="fr-FR"/>
        </w:rPr>
        <w:t>Recommendation</w:t>
      </w:r>
      <w:proofErr w:type="spellEnd"/>
      <w:r w:rsidRPr="00BE6491">
        <w:rPr>
          <w:lang w:val="fr-FR"/>
        </w:rPr>
        <w:t xml:space="preserve"> ITU-</w:t>
      </w:r>
      <w:proofErr w:type="gramStart"/>
      <w:r w:rsidRPr="00BE6491">
        <w:rPr>
          <w:lang w:val="fr-FR"/>
        </w:rPr>
        <w:t>R:</w:t>
      </w:r>
      <w:proofErr w:type="gramEnd"/>
    </w:p>
    <w:p w14:paraId="38C27E9E" w14:textId="2D7DD078" w:rsidR="00895891" w:rsidRPr="009E4F77" w:rsidRDefault="00895891" w:rsidP="009E4F77">
      <w:pPr>
        <w:pStyle w:val="enumlev1"/>
      </w:pPr>
      <w:r w:rsidRPr="00BE6491">
        <w:rPr>
          <w:lang w:val="fr-FR"/>
        </w:rPr>
        <w:t>–</w:t>
      </w:r>
      <w:r w:rsidRPr="00BE6491">
        <w:rPr>
          <w:lang w:val="fr-FR"/>
        </w:rPr>
        <w:tab/>
        <w:t xml:space="preserve">P.372-17 “Radio </w:t>
      </w:r>
      <w:r w:rsidRPr="009E4F77">
        <w:t>noise”</w:t>
      </w:r>
    </w:p>
    <w:p w14:paraId="0C24CB20" w14:textId="229E4B6C" w:rsidR="00171B9B" w:rsidRPr="009E4F77" w:rsidRDefault="00895891" w:rsidP="009E4F77">
      <w:pPr>
        <w:pStyle w:val="enumlev1"/>
      </w:pPr>
      <w:r w:rsidRPr="009E4F77">
        <w:t>–</w:t>
      </w:r>
      <w:r w:rsidRPr="009E4F77">
        <w:tab/>
      </w:r>
      <w:r w:rsidR="00171B9B" w:rsidRPr="009E4F77">
        <w:t>P.525-5 “Calculation of free-space attenuation”</w:t>
      </w:r>
    </w:p>
    <w:p w14:paraId="44ACE66F" w14:textId="0C70FBD9" w:rsidR="00895891" w:rsidRPr="009E4F77" w:rsidRDefault="00895891" w:rsidP="009E4F77">
      <w:pPr>
        <w:pStyle w:val="enumlev1"/>
      </w:pPr>
      <w:r w:rsidRPr="009E4F77">
        <w:t>–</w:t>
      </w:r>
      <w:r w:rsidRPr="009E4F77">
        <w:tab/>
      </w:r>
      <w:r w:rsidR="00994257" w:rsidRPr="009E4F77">
        <w:t>P.835-7 “Reference atmospheres”</w:t>
      </w:r>
    </w:p>
    <w:p w14:paraId="25C493B0" w14:textId="3B8DF286" w:rsidR="00895891" w:rsidRPr="00BE6491" w:rsidRDefault="00895891" w:rsidP="009E4F77">
      <w:pPr>
        <w:pStyle w:val="enumlev1"/>
        <w:rPr>
          <w:lang w:val="en-US"/>
        </w:rPr>
      </w:pPr>
      <w:r w:rsidRPr="009E4F77">
        <w:t>–</w:t>
      </w:r>
      <w:r w:rsidRPr="009E4F77">
        <w:tab/>
      </w:r>
      <w:r w:rsidR="00677B58" w:rsidRPr="009E4F77">
        <w:t>P.1511-3 “Topography</w:t>
      </w:r>
      <w:r w:rsidR="00677B58" w:rsidRPr="00677B58">
        <w:rPr>
          <w:lang w:val="en-US"/>
        </w:rPr>
        <w:t xml:space="preserve"> for Earth-space propagation modelling</w:t>
      </w:r>
      <w:r w:rsidR="00D77262">
        <w:rPr>
          <w:lang w:val="en-US"/>
        </w:rPr>
        <w:t>”</w:t>
      </w:r>
    </w:p>
    <w:p w14:paraId="5B194047" w14:textId="2AEAA20A" w:rsidR="006F1A86" w:rsidRPr="006F1A86" w:rsidRDefault="006F1A86" w:rsidP="001732C2">
      <w:pPr>
        <w:rPr>
          <w:lang w:eastAsia="zh-CN"/>
        </w:rPr>
      </w:pPr>
      <w:r w:rsidRPr="006F1A86">
        <w:rPr>
          <w:lang w:eastAsia="zh-CN"/>
        </w:rPr>
        <w:t xml:space="preserve">The working parties of Study Group 3 continued to maintain </w:t>
      </w:r>
      <w:proofErr w:type="gramStart"/>
      <w:r w:rsidRPr="006F1A86">
        <w:rPr>
          <w:lang w:eastAsia="zh-CN"/>
        </w:rPr>
        <w:t>a number of</w:t>
      </w:r>
      <w:proofErr w:type="gramEnd"/>
      <w:r w:rsidRPr="006F1A86">
        <w:rPr>
          <w:lang w:eastAsia="zh-CN"/>
        </w:rPr>
        <w:t xml:space="preserve"> fascicles containing information that should be preserved for reference purposes, but that was not suitable for inclusion in ITU-R Reports or Recommendations.  Working Party 3J approved the following new Fascicles:</w:t>
      </w:r>
    </w:p>
    <w:p w14:paraId="72C3D84E" w14:textId="4259EBFC" w:rsidR="006F1A86" w:rsidRPr="006F1A86" w:rsidRDefault="006F1A86" w:rsidP="009E4F77">
      <w:pPr>
        <w:pStyle w:val="enumlev1"/>
      </w:pPr>
      <w:r w:rsidRPr="00BE6491">
        <w:t>–</w:t>
      </w:r>
      <w:r w:rsidRPr="00BE6491">
        <w:tab/>
      </w:r>
      <w:hyperlink r:id="rId19" w:history="1">
        <w:r w:rsidRPr="006F1A86">
          <w:rPr>
            <w:rStyle w:val="Hyperlink"/>
            <w:lang w:eastAsia="zh-CN"/>
          </w:rPr>
          <w:t>3J/</w:t>
        </w:r>
        <w:r w:rsidRPr="006F1A86">
          <w:rPr>
            <w:rStyle w:val="Hyperlink"/>
            <w:lang w:eastAsia="zh-CN"/>
          </w:rPr>
          <w:t>F</w:t>
        </w:r>
        <w:r w:rsidRPr="006F1A86">
          <w:rPr>
            <w:rStyle w:val="Hyperlink"/>
            <w:lang w:eastAsia="zh-CN"/>
          </w:rPr>
          <w:t>AS/11</w:t>
        </w:r>
      </w:hyperlink>
      <w:r w:rsidRPr="006F1A86">
        <w:rPr>
          <w:lang w:eastAsia="zh-CN"/>
        </w:rPr>
        <w:t xml:space="preserve"> </w:t>
      </w:r>
      <w:r>
        <w:rPr>
          <w:lang w:eastAsia="zh-CN"/>
        </w:rPr>
        <w:t>“</w:t>
      </w:r>
      <w:r w:rsidRPr="006F1A86">
        <w:rPr>
          <w:lang w:eastAsia="zh-CN"/>
        </w:rPr>
        <w:t>B</w:t>
      </w:r>
      <w:r w:rsidRPr="006F1A86">
        <w:t xml:space="preserve">ackground </w:t>
      </w:r>
      <w:r w:rsidRPr="009E4F77">
        <w:t>information</w:t>
      </w:r>
      <w:r w:rsidRPr="006F1A86">
        <w:t xml:space="preserve"> on Annex 3 of Recommendation ITU</w:t>
      </w:r>
      <w:r w:rsidRPr="006F1A86">
        <w:noBreakHyphen/>
        <w:t>R P.835</w:t>
      </w:r>
      <w:proofErr w:type="gramStart"/>
      <w:r w:rsidRPr="006F1A86">
        <w:t>”;</w:t>
      </w:r>
      <w:proofErr w:type="gramEnd"/>
    </w:p>
    <w:p w14:paraId="5E4E137B" w14:textId="15B1A8D1" w:rsidR="006F1A86" w:rsidRDefault="006F1A86" w:rsidP="009E4F77">
      <w:pPr>
        <w:pStyle w:val="enumlev1"/>
      </w:pPr>
      <w:r w:rsidRPr="00BE6491">
        <w:t>–</w:t>
      </w:r>
      <w:r w:rsidRPr="00BE6491">
        <w:tab/>
      </w:r>
      <w:hyperlink r:id="rId20" w:history="1">
        <w:r w:rsidRPr="006F1A86">
          <w:rPr>
            <w:rStyle w:val="Hyperlink"/>
          </w:rPr>
          <w:t>3L/</w:t>
        </w:r>
        <w:r w:rsidRPr="006F1A86">
          <w:rPr>
            <w:rStyle w:val="Hyperlink"/>
          </w:rPr>
          <w:t>F</w:t>
        </w:r>
        <w:r w:rsidRPr="006F1A86">
          <w:rPr>
            <w:rStyle w:val="Hyperlink"/>
          </w:rPr>
          <w:t>AS/1</w:t>
        </w:r>
      </w:hyperlink>
      <w:r w:rsidRPr="006F1A86">
        <w:t xml:space="preserve"> “The brightness </w:t>
      </w:r>
      <w:r w:rsidRPr="009E4F77">
        <w:t>temperature</w:t>
      </w:r>
      <w:r w:rsidRPr="006F1A86">
        <w:t xml:space="preserve"> prediction method in Recommendation ITU-R P.372 </w:t>
      </w:r>
      <w:r w:rsidR="005F1710">
        <w:t>–</w:t>
      </w:r>
      <w:r w:rsidRPr="006F1A86">
        <w:t xml:space="preserve"> Radio noise”.</w:t>
      </w:r>
    </w:p>
    <w:p w14:paraId="6D102738" w14:textId="69E91A23" w:rsidR="00751E88" w:rsidRPr="00751E88" w:rsidRDefault="00271B43" w:rsidP="001732C2">
      <w:pPr>
        <w:pStyle w:val="Heading2"/>
      </w:pPr>
      <w:bookmarkStart w:id="15" w:name="_Toc445972795"/>
      <w:bookmarkEnd w:id="13"/>
      <w:r>
        <w:t>5</w:t>
      </w:r>
      <w:r w:rsidR="00751E88" w:rsidRPr="00751E88">
        <w:t>.3</w:t>
      </w:r>
      <w:r w:rsidR="00751E88" w:rsidRPr="00751E88">
        <w:tab/>
      </w:r>
      <w:r w:rsidR="00751E88" w:rsidRPr="001732C2">
        <w:t>Study</w:t>
      </w:r>
      <w:r w:rsidR="00751E88" w:rsidRPr="00751E88">
        <w:t xml:space="preserve"> Group 4</w:t>
      </w:r>
    </w:p>
    <w:p w14:paraId="1FBD7087" w14:textId="4C55D7E1" w:rsidR="00751E88" w:rsidRDefault="00751E88" w:rsidP="001732C2">
      <w:r w:rsidRPr="00751E88">
        <w:t>Study Group 4 is continuing to study fixed, mobile, broadcasting and radiodetermination-satellite systems and networks characteristics</w:t>
      </w:r>
      <w:r w:rsidR="00B23B6C">
        <w:t>, including the related use of links in the inter-satellite service, as applicable</w:t>
      </w:r>
      <w:r w:rsidRPr="00751E88">
        <w:t xml:space="preserve">, </w:t>
      </w:r>
      <w:r w:rsidRPr="00751E88">
        <w:rPr>
          <w:lang w:val="en-US"/>
        </w:rPr>
        <w:t>air interfaces, performance and availability objectives</w:t>
      </w:r>
      <w:r w:rsidRPr="00751E88">
        <w:t xml:space="preserve"> as well as sharing of orbit/spectrum resources among GSO and non-GSO satellite systems, enabling the sustainable development of the space ecosystem.</w:t>
      </w:r>
    </w:p>
    <w:p w14:paraId="5EA27C18" w14:textId="62F493DC" w:rsidR="006C00B5" w:rsidRDefault="006B5F12" w:rsidP="001732C2">
      <w:r>
        <w:t>T</w:t>
      </w:r>
      <w:r w:rsidR="00CC0764">
        <w:t xml:space="preserve">he work </w:t>
      </w:r>
      <w:r w:rsidR="00082B8C">
        <w:t xml:space="preserve">in response to </w:t>
      </w:r>
      <w:r w:rsidR="006C00B5" w:rsidRPr="006C00B5">
        <w:t>Res</w:t>
      </w:r>
      <w:r w:rsidR="005B0F53">
        <w:t>olution</w:t>
      </w:r>
      <w:r w:rsidR="006C00B5" w:rsidRPr="006C00B5">
        <w:t xml:space="preserve"> ITU-R 74</w:t>
      </w:r>
      <w:r w:rsidR="0052415C">
        <w:t xml:space="preserve"> </w:t>
      </w:r>
      <w:r w:rsidR="0052415C" w:rsidRPr="00BE6491">
        <w:rPr>
          <w:i/>
          <w:iCs/>
        </w:rPr>
        <w:t>“Activities related to the sustainable use of radio-frequency spectrum and associated satellite-orbit resources used by space services”</w:t>
      </w:r>
      <w:r w:rsidR="00F857F2">
        <w:t xml:space="preserve"> continues in Working Party 4A</w:t>
      </w:r>
      <w:r w:rsidR="0052415C">
        <w:t xml:space="preserve">. </w:t>
      </w:r>
      <w:r w:rsidR="00F857F2">
        <w:t xml:space="preserve"> An i</w:t>
      </w:r>
      <w:r w:rsidR="00F857F2" w:rsidRPr="00811F5F">
        <w:t>nvitation</w:t>
      </w:r>
      <w:r w:rsidR="00F857F2">
        <w:t xml:space="preserve"> to submit prop</w:t>
      </w:r>
      <w:r w:rsidR="00DE5FA7">
        <w:t xml:space="preserve">osals </w:t>
      </w:r>
      <w:r w:rsidR="00DE5FA7" w:rsidRPr="00811F5F">
        <w:t xml:space="preserve">for </w:t>
      </w:r>
      <w:r w:rsidR="00DE5FA7">
        <w:t xml:space="preserve">the development of </w:t>
      </w:r>
      <w:r w:rsidR="00DE5FA7" w:rsidRPr="00811F5F">
        <w:t xml:space="preserve">an ITU-R Handbook on </w:t>
      </w:r>
      <w:r w:rsidR="007B5967" w:rsidRPr="00BE6491">
        <w:rPr>
          <w:i/>
          <w:iCs/>
        </w:rPr>
        <w:t>“B</w:t>
      </w:r>
      <w:r w:rsidR="00DE5FA7" w:rsidRPr="00BE6491">
        <w:rPr>
          <w:i/>
          <w:iCs/>
        </w:rPr>
        <w:t>est practices for the sustainable use of frequencies and associated non-GSO orbits by space radiocommunication services</w:t>
      </w:r>
      <w:r w:rsidR="007B5967" w:rsidRPr="00BE6491">
        <w:rPr>
          <w:i/>
          <w:iCs/>
        </w:rPr>
        <w:t>”</w:t>
      </w:r>
      <w:r w:rsidR="00DE5FA7">
        <w:t xml:space="preserve"> was issued (see</w:t>
      </w:r>
      <w:r w:rsidR="00DE5FA7" w:rsidRPr="00802AD0">
        <w:t xml:space="preserve"> </w:t>
      </w:r>
      <w:hyperlink r:id="rId21" w:history="1">
        <w:r w:rsidR="00DE5FA7" w:rsidRPr="002123ED">
          <w:rPr>
            <w:rStyle w:val="Hyperlink"/>
          </w:rPr>
          <w:t>CACE</w:t>
        </w:r>
        <w:r w:rsidR="00DE5FA7" w:rsidRPr="002123ED">
          <w:rPr>
            <w:rStyle w:val="Hyperlink"/>
          </w:rPr>
          <w:t>/</w:t>
        </w:r>
        <w:r w:rsidR="00DE5FA7" w:rsidRPr="002123ED">
          <w:rPr>
            <w:rStyle w:val="Hyperlink"/>
          </w:rPr>
          <w:t>1129</w:t>
        </w:r>
      </w:hyperlink>
      <w:r w:rsidR="00DE5FA7">
        <w:t>).</w:t>
      </w:r>
    </w:p>
    <w:p w14:paraId="06471F49" w14:textId="437559AB" w:rsidR="00751E88" w:rsidRPr="00751E88" w:rsidRDefault="0085795F" w:rsidP="001732C2">
      <w:pPr>
        <w:rPr>
          <w:lang w:val="en-US"/>
        </w:rPr>
      </w:pPr>
      <w:proofErr w:type="gramStart"/>
      <w:r w:rsidRPr="0085795F">
        <w:t>Taking into account</w:t>
      </w:r>
      <w:proofErr w:type="gramEnd"/>
      <w:r w:rsidRPr="0085795F">
        <w:t xml:space="preserve"> suggestions made at the RAG meeting in May 2024, SG 4 agreed to develop a new ITU-R Handbook on </w:t>
      </w:r>
      <w:r w:rsidR="00534F65" w:rsidRPr="00BE6491">
        <w:rPr>
          <w:i/>
          <w:iCs/>
        </w:rPr>
        <w:t>“S</w:t>
      </w:r>
      <w:r w:rsidRPr="00BE6491">
        <w:rPr>
          <w:i/>
          <w:iCs/>
        </w:rPr>
        <w:t>atellite communications and technologies</w:t>
      </w:r>
      <w:r w:rsidR="00534F65" w:rsidRPr="00BE6491">
        <w:rPr>
          <w:i/>
          <w:iCs/>
        </w:rPr>
        <w:t>”</w:t>
      </w:r>
      <w:r w:rsidRPr="0085795F">
        <w:t>, concentrating the material relevant to FSS, BSS, MSS and RDSS systems. This Handbook will succeed the outdated Handbook on satellite systems, and its development is ongoing. An invitation for submission of proposals for i</w:t>
      </w:r>
      <w:r w:rsidR="00204D01">
        <w:t>t</w:t>
      </w:r>
      <w:r w:rsidRPr="0085795F">
        <w:t xml:space="preserve">s development was issued (see </w:t>
      </w:r>
      <w:hyperlink r:id="rId22" w:history="1">
        <w:r w:rsidRPr="000D1B39">
          <w:rPr>
            <w:rStyle w:val="Hyperlink"/>
          </w:rPr>
          <w:t>4/LCCE</w:t>
        </w:r>
        <w:r w:rsidRPr="000D1B39">
          <w:rPr>
            <w:rStyle w:val="Hyperlink"/>
          </w:rPr>
          <w:t>/</w:t>
        </w:r>
        <w:r w:rsidRPr="000D1B39">
          <w:rPr>
            <w:rStyle w:val="Hyperlink"/>
          </w:rPr>
          <w:t>140</w:t>
        </w:r>
      </w:hyperlink>
      <w:r w:rsidRPr="0085795F">
        <w:t>).</w:t>
      </w:r>
      <w:r w:rsidR="00204D01">
        <w:t xml:space="preserve"> </w:t>
      </w:r>
      <w:r w:rsidR="00751E88" w:rsidRPr="002217F4">
        <w:rPr>
          <w:lang w:val="en-US"/>
        </w:rPr>
        <w:t>Since RAG-2</w:t>
      </w:r>
      <w:r w:rsidR="002F7238" w:rsidRPr="00BE6491">
        <w:rPr>
          <w:lang w:val="en-US"/>
        </w:rPr>
        <w:t>4</w:t>
      </w:r>
      <w:r w:rsidR="00751E88" w:rsidRPr="002217F4">
        <w:rPr>
          <w:lang w:val="en-US"/>
        </w:rPr>
        <w:t>,</w:t>
      </w:r>
      <w:r w:rsidR="00751E88" w:rsidRPr="00751E88">
        <w:rPr>
          <w:lang w:val="en-US"/>
        </w:rPr>
        <w:t xml:space="preserve"> SG 4 has adopted and approved two revised ITU-R Recommendations. </w:t>
      </w:r>
      <w:r w:rsidR="00751E88" w:rsidRPr="00751E88">
        <w:t>SG 4 also approved</w:t>
      </w:r>
      <w:r w:rsidR="00751E88" w:rsidRPr="00751E88">
        <w:rPr>
          <w:lang w:val="en-US"/>
        </w:rPr>
        <w:t xml:space="preserve"> </w:t>
      </w:r>
      <w:r w:rsidR="00420D35">
        <w:rPr>
          <w:lang w:val="en-US"/>
        </w:rPr>
        <w:t>two</w:t>
      </w:r>
      <w:r w:rsidR="00420D35" w:rsidRPr="00751E88">
        <w:rPr>
          <w:lang w:val="en-US"/>
        </w:rPr>
        <w:t xml:space="preserve"> </w:t>
      </w:r>
      <w:r w:rsidR="00751E88" w:rsidRPr="00751E88">
        <w:rPr>
          <w:lang w:val="en-US"/>
        </w:rPr>
        <w:t>new</w:t>
      </w:r>
      <w:r w:rsidR="00420D35">
        <w:rPr>
          <w:lang w:val="en-US"/>
        </w:rPr>
        <w:t xml:space="preserve"> and two revised</w:t>
      </w:r>
      <w:r w:rsidR="00751E88" w:rsidRPr="00751E88">
        <w:rPr>
          <w:lang w:val="en-US"/>
        </w:rPr>
        <w:t xml:space="preserve"> ITU-R Report</w:t>
      </w:r>
      <w:r w:rsidR="00420D35">
        <w:rPr>
          <w:lang w:val="en-US"/>
        </w:rPr>
        <w:t>s</w:t>
      </w:r>
      <w:r w:rsidR="00751E88" w:rsidRPr="00751E88">
        <w:rPr>
          <w:lang w:val="en-US"/>
        </w:rPr>
        <w:t xml:space="preserve">. </w:t>
      </w:r>
    </w:p>
    <w:p w14:paraId="2A8B4FF5" w14:textId="77777777" w:rsidR="00751E88" w:rsidRPr="00E757EA" w:rsidRDefault="00751E88" w:rsidP="001732C2">
      <w:pPr>
        <w:pStyle w:val="Headingb"/>
        <w:rPr>
          <w:lang w:val="en-US"/>
        </w:rPr>
      </w:pPr>
      <w:r w:rsidRPr="00E757EA">
        <w:rPr>
          <w:lang w:val="en-US"/>
        </w:rPr>
        <w:t>Recommendation ITU-R:</w:t>
      </w:r>
    </w:p>
    <w:p w14:paraId="038730CF" w14:textId="0318A5F4" w:rsidR="00420D35" w:rsidRPr="009E4F77" w:rsidRDefault="00420D35" w:rsidP="009E4F77">
      <w:pPr>
        <w:pStyle w:val="enumlev1"/>
      </w:pPr>
      <w:r w:rsidRPr="00751E88">
        <w:t>–</w:t>
      </w:r>
      <w:r w:rsidRPr="00751E88">
        <w:tab/>
      </w:r>
      <w:r w:rsidR="0051070C">
        <w:t>M.1787-5 “</w:t>
      </w:r>
      <w:r w:rsidR="0051070C" w:rsidRPr="0051070C">
        <w:t xml:space="preserve">Description of </w:t>
      </w:r>
      <w:r w:rsidR="0051070C" w:rsidRPr="009E4F77">
        <w:t>systems and networks in the radionavigation-satellite service (space-to-Earth and space-to-space) and technical characteristics of transmitting space stations operating in the bands 1 164-1 215 MHz, 1 215-1 300 MHz and</w:t>
      </w:r>
      <w:r w:rsidR="00C84996" w:rsidRPr="009E4F77">
        <w:t xml:space="preserve"> </w:t>
      </w:r>
      <w:r w:rsidR="0051070C" w:rsidRPr="009E4F77">
        <w:t>1 559-1 610 MHz”</w:t>
      </w:r>
    </w:p>
    <w:p w14:paraId="16690221" w14:textId="4328ED8A" w:rsidR="0051070C" w:rsidRDefault="0051070C" w:rsidP="009E4F77">
      <w:pPr>
        <w:pStyle w:val="enumlev1"/>
      </w:pPr>
      <w:r w:rsidRPr="009E4F77">
        <w:t>–</w:t>
      </w:r>
      <w:r w:rsidRPr="009E4F77">
        <w:tab/>
        <w:t>S.1328-5 “</w:t>
      </w:r>
      <w:r w:rsidR="006033A0" w:rsidRPr="009E4F77">
        <w:t>Satellite system characteristics to be considered in frequency sharing analyses within the fixed-satellite service</w:t>
      </w:r>
      <w:r w:rsidR="006033A0">
        <w:t>”</w:t>
      </w:r>
    </w:p>
    <w:p w14:paraId="7077798A" w14:textId="77777777" w:rsidR="00751E88" w:rsidRPr="00751E88" w:rsidRDefault="00751E88" w:rsidP="001732C2">
      <w:pPr>
        <w:pStyle w:val="Headingb"/>
      </w:pPr>
      <w:r w:rsidRPr="00751E88">
        <w:lastRenderedPageBreak/>
        <w:t xml:space="preserve">Report </w:t>
      </w:r>
      <w:r w:rsidRPr="001732C2">
        <w:t>ITU</w:t>
      </w:r>
      <w:r w:rsidRPr="00751E88">
        <w:t>-R:</w:t>
      </w:r>
    </w:p>
    <w:p w14:paraId="306A906E" w14:textId="32B8B7CE" w:rsidR="006033A0" w:rsidRPr="009E4F77" w:rsidRDefault="006033A0" w:rsidP="009E4F77">
      <w:pPr>
        <w:pStyle w:val="enumlev1"/>
      </w:pPr>
      <w:r w:rsidRPr="00751E88">
        <w:rPr>
          <w:lang w:eastAsia="ja-JP"/>
        </w:rPr>
        <w:t>–</w:t>
      </w:r>
      <w:r w:rsidRPr="00751E88">
        <w:tab/>
      </w:r>
      <w:r>
        <w:t>BO.2597-1 “</w:t>
      </w:r>
      <w:r w:rsidRPr="009E4F77">
        <w:t>Characteristics and effectiveness of frequency sharing criteria for the broadcasting-satellite service in Regions 1 and 3 subject to RR Appendix 30”</w:t>
      </w:r>
    </w:p>
    <w:p w14:paraId="2B1E4CBD" w14:textId="17972A9F" w:rsidR="006033A0" w:rsidRPr="009E4F77" w:rsidRDefault="006033A0" w:rsidP="009E4F77">
      <w:pPr>
        <w:pStyle w:val="enumlev1"/>
      </w:pPr>
      <w:r w:rsidRPr="009E4F77">
        <w:t>–</w:t>
      </w:r>
      <w:r w:rsidRPr="009E4F77">
        <w:tab/>
      </w:r>
      <w:r w:rsidR="001454A5" w:rsidRPr="009E4F77">
        <w:t>M.2513-1 “Studies regarding the protection of the primary radionavigation-satellite service (space-to-Earth) by the secondary amateur and amateur-satellite services in the frequency band 1 240-1 300 MHz”</w:t>
      </w:r>
    </w:p>
    <w:p w14:paraId="219D8633" w14:textId="3FA6224C" w:rsidR="001454A5" w:rsidRPr="009E4F77" w:rsidRDefault="001454A5" w:rsidP="009E4F77">
      <w:pPr>
        <w:pStyle w:val="enumlev1"/>
      </w:pPr>
      <w:r w:rsidRPr="009E4F77">
        <w:t>–</w:t>
      </w:r>
      <w:r w:rsidRPr="009E4F77">
        <w:tab/>
        <w:t>M.2543-0 “</w:t>
      </w:r>
      <w:r w:rsidR="00235EB7" w:rsidRPr="009E4F77">
        <w:t>Outcome of the evaluation, consensus building and decision of the IMT-2020 satellite process (Steps 4 to 7), including characteristics of IMT-2020 satellite radio interfaces”</w:t>
      </w:r>
    </w:p>
    <w:p w14:paraId="7D801440" w14:textId="7728A1FE" w:rsidR="00235EB7" w:rsidRPr="009E4F77" w:rsidRDefault="00235EB7" w:rsidP="009E4F77">
      <w:pPr>
        <w:pStyle w:val="enumlev1"/>
      </w:pPr>
      <w:r w:rsidRPr="009E4F77">
        <w:t>–</w:t>
      </w:r>
      <w:r w:rsidRPr="009E4F77">
        <w:tab/>
        <w:t xml:space="preserve">S.2546-0 “Mitigation measures between FSS and IMT in the frequency band </w:t>
      </w:r>
      <w:r w:rsidRPr="009E4F77">
        <w:br/>
        <w:t>3 400-3 600 MHz”</w:t>
      </w:r>
    </w:p>
    <w:p w14:paraId="69FD9AF4" w14:textId="312324E5" w:rsidR="00751E88" w:rsidRPr="00745008" w:rsidRDefault="00751E88" w:rsidP="001732C2">
      <w:pPr>
        <w:rPr>
          <w:lang w:eastAsia="ja-JP"/>
        </w:rPr>
      </w:pPr>
      <w:r w:rsidRPr="00751E88">
        <w:rPr>
          <w:lang w:eastAsia="ja-JP"/>
        </w:rPr>
        <w:t xml:space="preserve">The next meetings of WPs 4A, 4B and 4C are </w:t>
      </w:r>
      <w:r w:rsidR="00DA7547">
        <w:rPr>
          <w:lang w:eastAsia="ja-JP"/>
        </w:rPr>
        <w:t>scheduled</w:t>
      </w:r>
      <w:r w:rsidR="00DA7547" w:rsidRPr="00751E88">
        <w:rPr>
          <w:lang w:eastAsia="ja-JP"/>
        </w:rPr>
        <w:t xml:space="preserve"> </w:t>
      </w:r>
      <w:r w:rsidRPr="00751E88">
        <w:rPr>
          <w:lang w:eastAsia="ja-JP"/>
        </w:rPr>
        <w:t xml:space="preserve">from </w:t>
      </w:r>
      <w:r w:rsidR="00235EB7" w:rsidRPr="00751E88">
        <w:rPr>
          <w:lang w:eastAsia="ja-JP"/>
        </w:rPr>
        <w:t>2</w:t>
      </w:r>
      <w:r w:rsidR="00235EB7">
        <w:rPr>
          <w:lang w:eastAsia="ja-JP"/>
        </w:rPr>
        <w:t>3</w:t>
      </w:r>
      <w:r w:rsidR="00235EB7" w:rsidRPr="00751E88">
        <w:rPr>
          <w:lang w:eastAsia="ja-JP"/>
        </w:rPr>
        <w:t xml:space="preserve"> </w:t>
      </w:r>
      <w:r w:rsidRPr="00751E88">
        <w:rPr>
          <w:lang w:eastAsia="ja-JP"/>
        </w:rPr>
        <w:t xml:space="preserve">April to </w:t>
      </w:r>
      <w:r w:rsidR="00235EB7">
        <w:rPr>
          <w:lang w:eastAsia="ja-JP"/>
        </w:rPr>
        <w:t>16</w:t>
      </w:r>
      <w:r w:rsidR="00235EB7" w:rsidRPr="00751E88">
        <w:rPr>
          <w:lang w:eastAsia="ja-JP"/>
        </w:rPr>
        <w:t xml:space="preserve"> </w:t>
      </w:r>
      <w:r w:rsidRPr="00751E88">
        <w:rPr>
          <w:lang w:eastAsia="ja-JP"/>
        </w:rPr>
        <w:t>May 202</w:t>
      </w:r>
      <w:r w:rsidR="00235EB7">
        <w:rPr>
          <w:lang w:eastAsia="ja-JP"/>
        </w:rPr>
        <w:t>5</w:t>
      </w:r>
      <w:r w:rsidR="008547E2">
        <w:rPr>
          <w:lang w:eastAsia="ja-JP"/>
        </w:rPr>
        <w:t xml:space="preserve"> in Shanghai, China. SG 4 will meet in November 2025</w:t>
      </w:r>
      <w:r w:rsidRPr="00751E88">
        <w:rPr>
          <w:lang w:eastAsia="ja-JP"/>
        </w:rPr>
        <w:t>.</w:t>
      </w:r>
    </w:p>
    <w:bookmarkEnd w:id="15"/>
    <w:p w14:paraId="08EBE868" w14:textId="6CEA18C3" w:rsidR="003727E6" w:rsidRPr="00745008" w:rsidRDefault="0055658E" w:rsidP="001732C2">
      <w:pPr>
        <w:pStyle w:val="Heading2"/>
      </w:pPr>
      <w:r>
        <w:t>5</w:t>
      </w:r>
      <w:r w:rsidR="003727E6" w:rsidRPr="00745008">
        <w:t>.4</w:t>
      </w:r>
      <w:r w:rsidR="003727E6" w:rsidRPr="00745008">
        <w:tab/>
        <w:t>Study Group 5</w:t>
      </w:r>
    </w:p>
    <w:p w14:paraId="5D3FA603" w14:textId="7D2F2703" w:rsidR="003727E6" w:rsidRPr="00745008" w:rsidRDefault="003727E6" w:rsidP="001732C2">
      <w:r w:rsidRPr="00745008">
        <w:t>Study Group 5 continu</w:t>
      </w:r>
      <w:r w:rsidR="006F1A86">
        <w:t>ed</w:t>
      </w:r>
      <w:r w:rsidRPr="00745008">
        <w:t xml:space="preserve"> studies on systems and networks for the fixed, mobile (terrestrial, maritime and aeronautical), radiodetermination (including both, radiolocation and radionavigation), amateur and amateur-satellite services, paving the way for the continuing development of all these services, including IMT, HAPS</w:t>
      </w:r>
      <w:r>
        <w:t>/HIBS</w:t>
      </w:r>
      <w:r w:rsidRPr="00745008">
        <w:t>, ITS and PPDR.</w:t>
      </w:r>
    </w:p>
    <w:p w14:paraId="6DD09ED3" w14:textId="646B85A9" w:rsidR="003727E6" w:rsidRPr="00745008" w:rsidRDefault="003727E6" w:rsidP="001732C2">
      <w:r>
        <w:t xml:space="preserve">SG 5 approved </w:t>
      </w:r>
      <w:r w:rsidR="004A0D27">
        <w:t xml:space="preserve">two </w:t>
      </w:r>
      <w:r>
        <w:t xml:space="preserve">new ITU-R Questions. Furthermore, </w:t>
      </w:r>
      <w:r w:rsidR="00AB7C89">
        <w:t>two</w:t>
      </w:r>
      <w:r w:rsidRPr="00745008">
        <w:t xml:space="preserve"> revised ITU-R Recommendations and </w:t>
      </w:r>
      <w:r w:rsidR="00CE4D4A">
        <w:t>two</w:t>
      </w:r>
      <w:r w:rsidRPr="00745008">
        <w:t xml:space="preserve"> new and </w:t>
      </w:r>
      <w:r w:rsidR="00CE4D4A">
        <w:t>three</w:t>
      </w:r>
      <w:r w:rsidRPr="00745008">
        <w:t xml:space="preserve"> revised ITU</w:t>
      </w:r>
      <w:r>
        <w:noBreakHyphen/>
      </w:r>
      <w:r w:rsidRPr="00745008">
        <w:t>R Reports pertaining to the scope of SG 5 were approved.</w:t>
      </w:r>
    </w:p>
    <w:p w14:paraId="34DF6A35" w14:textId="77777777" w:rsidR="003727E6" w:rsidRPr="00356BEA" w:rsidRDefault="003727E6" w:rsidP="00BE6491">
      <w:pPr>
        <w:pStyle w:val="Headingb"/>
      </w:pPr>
      <w:r w:rsidRPr="00110650">
        <w:t>Question ITU</w:t>
      </w:r>
      <w:r w:rsidRPr="00356BEA">
        <w:t>-R:</w:t>
      </w:r>
    </w:p>
    <w:p w14:paraId="7B91AD91" w14:textId="531A9D35" w:rsidR="00244B06" w:rsidRPr="009E4F77" w:rsidRDefault="00244B06" w:rsidP="009E4F77">
      <w:pPr>
        <w:pStyle w:val="enumlev1"/>
      </w:pPr>
      <w:r w:rsidRPr="00745008">
        <w:rPr>
          <w:lang w:eastAsia="ja-JP"/>
        </w:rPr>
        <w:t>–</w:t>
      </w:r>
      <w:r w:rsidRPr="00745008">
        <w:rPr>
          <w:lang w:eastAsia="ja-JP"/>
        </w:rPr>
        <w:tab/>
      </w:r>
      <w:r w:rsidR="002F1B3C">
        <w:rPr>
          <w:lang w:eastAsia="ja-JP"/>
        </w:rPr>
        <w:t>265/</w:t>
      </w:r>
      <w:r>
        <w:rPr>
          <w:lang w:eastAsia="ja-JP"/>
        </w:rPr>
        <w:t>5 “</w:t>
      </w:r>
      <w:r w:rsidRPr="00244B06">
        <w:rPr>
          <w:lang w:eastAsia="ja-JP"/>
        </w:rPr>
        <w:t xml:space="preserve">Coexistence of VHF data </w:t>
      </w:r>
      <w:r w:rsidRPr="009E4F77">
        <w:t>exchange system with a ranging-mode in the VHF data exchange system”</w:t>
      </w:r>
    </w:p>
    <w:p w14:paraId="38817497" w14:textId="4780E038" w:rsidR="00244B06" w:rsidRPr="00BE6491" w:rsidRDefault="00244B06" w:rsidP="009E4F77">
      <w:pPr>
        <w:pStyle w:val="enumlev1"/>
        <w:rPr>
          <w:lang w:val="en-US" w:eastAsia="ja-JP"/>
        </w:rPr>
      </w:pPr>
      <w:r w:rsidRPr="009E4F77">
        <w:t>–</w:t>
      </w:r>
      <w:r w:rsidRPr="009E4F77">
        <w:tab/>
      </w:r>
      <w:r w:rsidR="002F1B3C" w:rsidRPr="009E4F77">
        <w:t>266</w:t>
      </w:r>
      <w:r w:rsidR="00A47A31" w:rsidRPr="009E4F77">
        <w:t>/5 “Introduction of digital voice</w:t>
      </w:r>
      <w:r w:rsidR="00A47A31" w:rsidRPr="00A47A31">
        <w:rPr>
          <w:lang w:eastAsia="ja-JP"/>
        </w:rPr>
        <w:t xml:space="preserve"> communications in the VHF maritime frequency channels</w:t>
      </w:r>
      <w:r w:rsidR="00944A11">
        <w:rPr>
          <w:lang w:eastAsia="ja-JP"/>
        </w:rPr>
        <w:t>”</w:t>
      </w:r>
    </w:p>
    <w:p w14:paraId="1A5FDAA7" w14:textId="6A3D33AD" w:rsidR="003727E6" w:rsidRPr="00745008" w:rsidRDefault="003727E6" w:rsidP="001732C2">
      <w:pPr>
        <w:pStyle w:val="Headingb"/>
      </w:pPr>
      <w:r w:rsidRPr="00BC30CD">
        <w:t xml:space="preserve">Recommendation </w:t>
      </w:r>
      <w:r w:rsidRPr="001732C2">
        <w:t>ITU</w:t>
      </w:r>
      <w:r w:rsidRPr="00BC30CD">
        <w:t>-R:</w:t>
      </w:r>
    </w:p>
    <w:p w14:paraId="64E05671" w14:textId="6740A5B5" w:rsidR="004D5A29" w:rsidRPr="009E4F77" w:rsidRDefault="004D5A29" w:rsidP="009E4F77">
      <w:pPr>
        <w:pStyle w:val="enumlev1"/>
      </w:pPr>
      <w:r w:rsidRPr="00DD40B8">
        <w:rPr>
          <w:lang w:eastAsia="ja-JP"/>
        </w:rPr>
        <w:t>–</w:t>
      </w:r>
      <w:r w:rsidRPr="00DD40B8">
        <w:tab/>
      </w:r>
      <w:r w:rsidR="00DD40B8">
        <w:t>F.758-8 “</w:t>
      </w:r>
      <w:r w:rsidR="00DD40B8" w:rsidRPr="00DD40B8">
        <w:t xml:space="preserve">System parameters </w:t>
      </w:r>
      <w:r w:rsidR="00DD40B8" w:rsidRPr="009E4F77">
        <w:t>and considerations in the development of criteria for sharing or compatibility between digital fixed wireless systems in the fixed service and systems in other services and other sources of interference”</w:t>
      </w:r>
    </w:p>
    <w:p w14:paraId="14BE0200" w14:textId="235E88D5" w:rsidR="00DD40B8" w:rsidRPr="00BE6491" w:rsidRDefault="00DD40B8" w:rsidP="009E4F77">
      <w:pPr>
        <w:pStyle w:val="enumlev1"/>
        <w:rPr>
          <w:lang w:val="en-US" w:eastAsia="ja-JP"/>
        </w:rPr>
      </w:pPr>
      <w:r w:rsidRPr="009E4F77">
        <w:t>–</w:t>
      </w:r>
      <w:r w:rsidRPr="009E4F77">
        <w:tab/>
        <w:t>M.1041-3 “Future amateur radio</w:t>
      </w:r>
      <w:r w:rsidRPr="00DD40B8">
        <w:t xml:space="preserve"> systems</w:t>
      </w:r>
      <w:r>
        <w:t>”</w:t>
      </w:r>
    </w:p>
    <w:p w14:paraId="731C1E42" w14:textId="77777777" w:rsidR="003727E6" w:rsidRPr="00745008" w:rsidRDefault="003727E6" w:rsidP="001732C2">
      <w:pPr>
        <w:pStyle w:val="Headingb"/>
      </w:pPr>
      <w:r w:rsidRPr="00745008">
        <w:t xml:space="preserve">Report </w:t>
      </w:r>
      <w:r w:rsidRPr="001732C2">
        <w:t>ITU</w:t>
      </w:r>
      <w:r w:rsidRPr="00745008">
        <w:t>-R:</w:t>
      </w:r>
    </w:p>
    <w:p w14:paraId="5C56A09B" w14:textId="77777777" w:rsidR="00264BC7" w:rsidRPr="009E4F77" w:rsidRDefault="00264BC7" w:rsidP="009E4F77">
      <w:pPr>
        <w:pStyle w:val="enumlev1"/>
      </w:pPr>
      <w:r w:rsidRPr="00745008">
        <w:rPr>
          <w:lang w:eastAsia="ja-JP"/>
        </w:rPr>
        <w:t>–</w:t>
      </w:r>
      <w:r w:rsidRPr="00745008">
        <w:tab/>
      </w:r>
      <w:r>
        <w:t>F.2416-1 “</w:t>
      </w:r>
      <w:r w:rsidRPr="00E36D3F">
        <w:rPr>
          <w:lang w:eastAsia="ja-JP"/>
        </w:rPr>
        <w:t xml:space="preserve">Technical and operational </w:t>
      </w:r>
      <w:r w:rsidRPr="009E4F77">
        <w:t>characteristics and applications of the point-to-point fixed service applications operating in the frequency band 275-450 GHz”</w:t>
      </w:r>
    </w:p>
    <w:p w14:paraId="3C058FCC" w14:textId="7E9FA102" w:rsidR="00E85CEE" w:rsidRPr="009E4F77" w:rsidRDefault="00E85CEE" w:rsidP="009E4F77">
      <w:pPr>
        <w:pStyle w:val="enumlev1"/>
      </w:pPr>
      <w:r w:rsidRPr="009E4F77">
        <w:t>–</w:t>
      </w:r>
      <w:r w:rsidRPr="009E4F77">
        <w:tab/>
        <w:t>M.2442-1 “Current and future usage of railway radiocommunication systems between train and trackside”</w:t>
      </w:r>
    </w:p>
    <w:p w14:paraId="53450DE7" w14:textId="1BDA7772" w:rsidR="00763EF0" w:rsidRPr="009E4F77" w:rsidRDefault="00763EF0" w:rsidP="009E4F77">
      <w:pPr>
        <w:pStyle w:val="enumlev1"/>
      </w:pPr>
      <w:r w:rsidRPr="009E4F77">
        <w:t>–</w:t>
      </w:r>
      <w:r w:rsidRPr="009E4F77">
        <w:tab/>
        <w:t>M.2541-0 “Technical feasibility of IMT in bands above 100 GHz”</w:t>
      </w:r>
    </w:p>
    <w:p w14:paraId="3246ECD3" w14:textId="4EA9A5A6" w:rsidR="00E03F23" w:rsidRPr="009E4F77" w:rsidRDefault="00E03F23" w:rsidP="009E4F77">
      <w:pPr>
        <w:pStyle w:val="enumlev1"/>
      </w:pPr>
      <w:r w:rsidRPr="009E4F77">
        <w:t>–</w:t>
      </w:r>
      <w:r w:rsidRPr="009E4F77">
        <w:tab/>
        <w:t>M.</w:t>
      </w:r>
      <w:r w:rsidR="0095796A" w:rsidRPr="009E4F77">
        <w:t xml:space="preserve">2547-0 </w:t>
      </w:r>
      <w:r w:rsidRPr="009E4F77">
        <w:t>“Various aspects of non-safety aeronautical mobile service systems in the frequency bands 15.4-15.7</w:t>
      </w:r>
      <w:r w:rsidR="00A838DE" w:rsidRPr="009E4F77">
        <w:t> </w:t>
      </w:r>
      <w:r w:rsidRPr="009E4F77">
        <w:t>GHz and 22-22.21 GHz”</w:t>
      </w:r>
    </w:p>
    <w:p w14:paraId="0AB64CE8" w14:textId="640E6214" w:rsidR="00264BC7" w:rsidRPr="009E4F77" w:rsidRDefault="00E03F23" w:rsidP="009E4F77">
      <w:pPr>
        <w:pStyle w:val="enumlev1"/>
      </w:pPr>
      <w:r w:rsidRPr="009E4F77">
        <w:t>–</w:t>
      </w:r>
      <w:r w:rsidRPr="009E4F77">
        <w:tab/>
      </w:r>
      <w:r w:rsidR="00A838DE" w:rsidRPr="009E4F77">
        <w:t>M.</w:t>
      </w:r>
      <w:r w:rsidR="00B60332" w:rsidRPr="009E4F77">
        <w:t xml:space="preserve">2548-0 </w:t>
      </w:r>
      <w:r w:rsidR="00A838DE" w:rsidRPr="009E4F77">
        <w:t>“Bandwidth considerations for land mobile service applications in the frequency range 275-450 GHz”</w:t>
      </w:r>
    </w:p>
    <w:p w14:paraId="4B151675" w14:textId="320EBB36" w:rsidR="004E3051" w:rsidRPr="004E3051" w:rsidRDefault="004E3051" w:rsidP="001732C2">
      <w:r w:rsidRPr="004E3051">
        <w:t xml:space="preserve">Due to the large number of participants and to optimize the meeting rooms allocation, it was decided that WP 5B would meet </w:t>
      </w:r>
      <w:r w:rsidR="009041F0" w:rsidRPr="004E3051">
        <w:t>from 2</w:t>
      </w:r>
      <w:r w:rsidR="00A61978">
        <w:t>9</w:t>
      </w:r>
      <w:r w:rsidR="009041F0" w:rsidRPr="004E3051">
        <w:t xml:space="preserve"> April to </w:t>
      </w:r>
      <w:r w:rsidR="001E13D2">
        <w:t>8</w:t>
      </w:r>
      <w:r w:rsidR="009041F0" w:rsidRPr="004E3051">
        <w:t xml:space="preserve"> May 2025</w:t>
      </w:r>
      <w:r w:rsidR="009041F0">
        <w:t xml:space="preserve">, </w:t>
      </w:r>
      <w:r w:rsidRPr="004E3051">
        <w:t>separately from WPs 5A and 5C. WPs 5A and 5C would meet from 12 to 2</w:t>
      </w:r>
      <w:r w:rsidR="00713E9F">
        <w:t>2</w:t>
      </w:r>
      <w:r w:rsidRPr="004E3051">
        <w:t xml:space="preserve"> May 2025. </w:t>
      </w:r>
      <w:r w:rsidR="00943751">
        <w:t xml:space="preserve">At </w:t>
      </w:r>
      <w:r w:rsidRPr="004E3051">
        <w:t xml:space="preserve">its first meeting </w:t>
      </w:r>
      <w:r w:rsidR="00943751">
        <w:t>in</w:t>
      </w:r>
      <w:r w:rsidRPr="004E3051">
        <w:t xml:space="preserve"> February</w:t>
      </w:r>
      <w:r w:rsidR="00943751">
        <w:t xml:space="preserve"> </w:t>
      </w:r>
      <w:r w:rsidR="00AA3A45">
        <w:t>2025</w:t>
      </w:r>
      <w:r w:rsidRPr="004E3051">
        <w:t>, WP 5D</w:t>
      </w:r>
      <w:r w:rsidR="00AA3A45">
        <w:t xml:space="preserve"> </w:t>
      </w:r>
      <w:r w:rsidRPr="004E3051">
        <w:lastRenderedPageBreak/>
        <w:t>confirmed convening its next meeting in Kobe</w:t>
      </w:r>
      <w:r w:rsidR="00AA3A45">
        <w:t xml:space="preserve"> at the kind invitation of the Administration of</w:t>
      </w:r>
      <w:r w:rsidRPr="004E3051">
        <w:t xml:space="preserve"> Japan (24 June to 3 July 2025).</w:t>
      </w:r>
    </w:p>
    <w:p w14:paraId="030B5F5F" w14:textId="5D3833BE" w:rsidR="004E3051" w:rsidRDefault="004E3051" w:rsidP="001732C2">
      <w:r w:rsidRPr="004E3051">
        <w:t xml:space="preserve">Concerns were raised by delegates participating in SG 5 meetings about the overlap with meetings of other groups that were unavoidable during 2024. </w:t>
      </w:r>
      <w:r w:rsidR="00042191">
        <w:t xml:space="preserve">Among several factors, </w:t>
      </w:r>
      <w:r w:rsidR="00D50B77">
        <w:t xml:space="preserve">one additional reason is </w:t>
      </w:r>
      <w:r w:rsidRPr="004E3051">
        <w:t xml:space="preserve">that the overall duration of the SG 4 block had been extended by </w:t>
      </w:r>
      <w:r w:rsidR="00911C21">
        <w:t xml:space="preserve">several days </w:t>
      </w:r>
      <w:r w:rsidRPr="004E3051">
        <w:t>and hence</w:t>
      </w:r>
      <w:r w:rsidR="00911C21">
        <w:t>,</w:t>
      </w:r>
      <w:r w:rsidRPr="004E3051">
        <w:t xml:space="preserve"> inevitably overlapping with previously scheduled meetings.</w:t>
      </w:r>
    </w:p>
    <w:p w14:paraId="5F1606B9" w14:textId="20AF68CF" w:rsidR="0025739A" w:rsidRPr="00745008" w:rsidRDefault="00351F99" w:rsidP="001732C2">
      <w:pPr>
        <w:pStyle w:val="Heading2"/>
      </w:pPr>
      <w:r>
        <w:t>5</w:t>
      </w:r>
      <w:r w:rsidR="0025739A" w:rsidRPr="00745008">
        <w:t>.5</w:t>
      </w:r>
      <w:r w:rsidR="0025739A" w:rsidRPr="00745008">
        <w:tab/>
      </w:r>
      <w:r w:rsidR="0025739A" w:rsidRPr="001732C2">
        <w:t>Study</w:t>
      </w:r>
      <w:r w:rsidR="0025739A" w:rsidRPr="00745008">
        <w:t xml:space="preserve"> Group 6</w:t>
      </w:r>
    </w:p>
    <w:p w14:paraId="6B0CE0AA" w14:textId="0DFF9681" w:rsidR="0025739A" w:rsidRPr="00745008" w:rsidRDefault="0025739A" w:rsidP="001732C2">
      <w:r w:rsidRPr="00745008">
        <w:t xml:space="preserve">Study Group 6 is continuing studies on radiocommunication broadcasting, particularly on emerging topics including advanced technologies for terrestrial digital broadcasting, a global platform for the broadcasting service, high dynamic range television (HDR-TV), integrated broadcast-broadband </w:t>
      </w:r>
      <w:r w:rsidRPr="00745008">
        <w:rPr>
          <w:lang w:eastAsia="ja-JP"/>
        </w:rPr>
        <w:t xml:space="preserve">(IBB) </w:t>
      </w:r>
      <w:r w:rsidRPr="00745008">
        <w:t xml:space="preserve">systems, new audio and video codecs for digital broadcasting, </w:t>
      </w:r>
      <w:r w:rsidRPr="00745008">
        <w:rPr>
          <w:lang w:eastAsia="ja-JP"/>
        </w:rPr>
        <w:t>Advanced Immersive Audio</w:t>
      </w:r>
      <w:r w:rsidRPr="00745008">
        <w:rPr>
          <w:lang w:eastAsia="ja-JP"/>
        </w:rPr>
        <w:noBreakHyphen/>
        <w:t>Visual (AIAV) systems, renderer specifications for advanced sound systems, application of Artificial Intelligence for broadcasting, audio</w:t>
      </w:r>
      <w:r w:rsidRPr="00745008">
        <w:rPr>
          <w:lang w:eastAsia="ja-JP"/>
        </w:rPr>
        <w:noBreakHyphen/>
        <w:t>visual accessibility (AVA)</w:t>
      </w:r>
      <w:r w:rsidRPr="00745008">
        <w:t>.</w:t>
      </w:r>
    </w:p>
    <w:p w14:paraId="2D2864CC" w14:textId="3E1A81FF" w:rsidR="007A3797" w:rsidRPr="00745008" w:rsidRDefault="0025739A" w:rsidP="001732C2">
      <w:pPr>
        <w:rPr>
          <w:rFonts w:asciiTheme="majorBidi" w:hAnsiTheme="majorBidi" w:cstheme="majorBidi"/>
          <w:color w:val="000000"/>
        </w:rPr>
      </w:pPr>
      <w:r w:rsidRPr="00745008">
        <w:t xml:space="preserve">Study Group 6 has also been actively coordinating the work of mutual interest with ITU-T SGs </w:t>
      </w:r>
      <w:r w:rsidR="00CC7F9C">
        <w:t>21</w:t>
      </w:r>
      <w:r w:rsidR="0090075E">
        <w:t xml:space="preserve"> (formerly ITU-T Study Groups 9 and 16)</w:t>
      </w:r>
      <w:r w:rsidR="00CC7F9C" w:rsidRPr="00745008">
        <w:t xml:space="preserve"> </w:t>
      </w:r>
      <w:r w:rsidRPr="00745008">
        <w:t xml:space="preserve">and </w:t>
      </w:r>
      <w:r w:rsidR="00A457D6">
        <w:t>1</w:t>
      </w:r>
      <w:r w:rsidR="0083756E">
        <w:t>2</w:t>
      </w:r>
      <w:r w:rsidRPr="00745008">
        <w:t xml:space="preserve"> through the </w:t>
      </w:r>
      <w:proofErr w:type="spellStart"/>
      <w:r w:rsidRPr="00745008">
        <w:rPr>
          <w:rFonts w:asciiTheme="majorBidi" w:hAnsiTheme="majorBidi" w:cstheme="majorBidi"/>
        </w:rPr>
        <w:t>Intersector</w:t>
      </w:r>
      <w:proofErr w:type="spellEnd"/>
      <w:r w:rsidRPr="00745008">
        <w:rPr>
          <w:rFonts w:asciiTheme="majorBidi" w:hAnsiTheme="majorBidi" w:cstheme="majorBidi"/>
        </w:rPr>
        <w:t xml:space="preserve"> Rapporteur Group (IRG) on Audio-Visual Accessibility (IRG</w:t>
      </w:r>
      <w:r w:rsidRPr="00745008">
        <w:rPr>
          <w:rFonts w:asciiTheme="majorBidi" w:hAnsiTheme="majorBidi" w:cstheme="majorBidi"/>
          <w:szCs w:val="24"/>
        </w:rPr>
        <w:noBreakHyphen/>
      </w:r>
      <w:r w:rsidRPr="00745008">
        <w:rPr>
          <w:rFonts w:asciiTheme="majorBidi" w:hAnsiTheme="majorBidi" w:cstheme="majorBidi"/>
        </w:rPr>
        <w:t>AVA)</w:t>
      </w:r>
      <w:r w:rsidR="007A3797">
        <w:rPr>
          <w:rFonts w:asciiTheme="majorBidi" w:hAnsiTheme="majorBidi" w:cstheme="majorBidi"/>
        </w:rPr>
        <w:t xml:space="preserve"> and </w:t>
      </w:r>
      <w:proofErr w:type="spellStart"/>
      <w:r w:rsidR="007A3797" w:rsidRPr="00981C69">
        <w:rPr>
          <w:rFonts w:asciiTheme="majorBidi" w:hAnsiTheme="majorBidi" w:cstheme="majorBidi"/>
        </w:rPr>
        <w:t>Intersector</w:t>
      </w:r>
      <w:proofErr w:type="spellEnd"/>
      <w:r w:rsidR="007A3797" w:rsidRPr="00981C69">
        <w:rPr>
          <w:rFonts w:asciiTheme="majorBidi" w:hAnsiTheme="majorBidi" w:cstheme="majorBidi"/>
        </w:rPr>
        <w:t xml:space="preserve"> Rapporteur Group Audiovisual Quality Assessment</w:t>
      </w:r>
      <w:r w:rsidR="007A3797">
        <w:rPr>
          <w:rFonts w:asciiTheme="majorBidi" w:hAnsiTheme="majorBidi" w:cstheme="majorBidi"/>
        </w:rPr>
        <w:t xml:space="preserve"> (</w:t>
      </w:r>
      <w:r w:rsidR="007A3797" w:rsidRPr="00981C69">
        <w:t>IRG-AVQA</w:t>
      </w:r>
      <w:r w:rsidR="007A3797">
        <w:t>)</w:t>
      </w:r>
      <w:r w:rsidR="007A3797" w:rsidRPr="00981C69">
        <w:t xml:space="preserve"> </w:t>
      </w:r>
      <w:r w:rsidR="007A3797">
        <w:t>respectively</w:t>
      </w:r>
      <w:r w:rsidR="007A3797" w:rsidRPr="00745008">
        <w:rPr>
          <w:rFonts w:asciiTheme="majorBidi" w:hAnsiTheme="majorBidi" w:cstheme="majorBidi"/>
        </w:rPr>
        <w:t>.</w:t>
      </w:r>
    </w:p>
    <w:p w14:paraId="59648928" w14:textId="4BB19544" w:rsidR="0025739A" w:rsidRPr="00745008" w:rsidRDefault="00242152" w:rsidP="001732C2">
      <w:r>
        <w:t>One new</w:t>
      </w:r>
      <w:r w:rsidR="0025739A" w:rsidRPr="00745008">
        <w:t xml:space="preserve"> ITU-R Question, </w:t>
      </w:r>
      <w:r w:rsidR="007A3797">
        <w:t xml:space="preserve">three </w:t>
      </w:r>
      <w:r w:rsidR="0025739A" w:rsidRPr="00745008">
        <w:t xml:space="preserve">new and </w:t>
      </w:r>
      <w:r w:rsidR="007A3797">
        <w:t>seven</w:t>
      </w:r>
      <w:r w:rsidR="00884943" w:rsidRPr="00745008">
        <w:t xml:space="preserve"> </w:t>
      </w:r>
      <w:r w:rsidR="0025739A" w:rsidRPr="00745008">
        <w:t>revised ITU-R Recommendations</w:t>
      </w:r>
      <w:r w:rsidR="0025739A">
        <w:t xml:space="preserve"> as well as</w:t>
      </w:r>
      <w:r w:rsidR="0025739A" w:rsidRPr="00745008">
        <w:t xml:space="preserve"> </w:t>
      </w:r>
      <w:r w:rsidR="004D1065">
        <w:t xml:space="preserve">five </w:t>
      </w:r>
      <w:r w:rsidR="0025739A" w:rsidRPr="00745008">
        <w:t xml:space="preserve">new and </w:t>
      </w:r>
      <w:r w:rsidR="00433426">
        <w:t xml:space="preserve">15 </w:t>
      </w:r>
      <w:r w:rsidR="0025739A" w:rsidRPr="00745008">
        <w:t>revised Reports were approved</w:t>
      </w:r>
      <w:r w:rsidR="0025739A">
        <w:t xml:space="preserve"> by SG 6 since RAG-2</w:t>
      </w:r>
      <w:r w:rsidR="0021060E">
        <w:t>4</w:t>
      </w:r>
      <w:r w:rsidR="0025739A" w:rsidRPr="00745008">
        <w:t xml:space="preserve">. </w:t>
      </w:r>
      <w:r w:rsidR="00A97EF1">
        <w:t xml:space="preserve">The draft revised Recommendation ITU-R </w:t>
      </w:r>
      <w:r w:rsidR="00A97EF1" w:rsidRPr="00981C69">
        <w:t>BT.1774-2</w:t>
      </w:r>
      <w:r w:rsidR="00A97EF1">
        <w:t xml:space="preserve"> was adopted</w:t>
      </w:r>
      <w:r w:rsidR="00CB294D">
        <w:t xml:space="preserve"> by SG 6</w:t>
      </w:r>
      <w:r w:rsidR="00A97EF1">
        <w:t xml:space="preserve"> </w:t>
      </w:r>
      <w:r w:rsidR="007F44C5">
        <w:t>and is undergoing approval</w:t>
      </w:r>
      <w:r w:rsidR="00CB294D">
        <w:t xml:space="preserve"> by the Membership</w:t>
      </w:r>
      <w:r w:rsidR="00A97EF1">
        <w:t xml:space="preserve">. </w:t>
      </w:r>
      <w:r w:rsidR="0025739A" w:rsidRPr="00F24447">
        <w:t>In addition, Recommendation</w:t>
      </w:r>
      <w:r w:rsidR="008A2850" w:rsidRPr="00BE6491">
        <w:t xml:space="preserve"> ITU-R BT.500-15 was</w:t>
      </w:r>
      <w:r w:rsidR="0025739A" w:rsidRPr="00F24447">
        <w:t xml:space="preserve"> editorially updated. SG 6 also approved the suppression of two ITU-R Questions.</w:t>
      </w:r>
    </w:p>
    <w:p w14:paraId="00EE9668" w14:textId="77777777" w:rsidR="0025739A" w:rsidRPr="00745008" w:rsidRDefault="0025739A" w:rsidP="001732C2">
      <w:pPr>
        <w:pStyle w:val="Headingb"/>
      </w:pPr>
      <w:r w:rsidRPr="001732C2">
        <w:t>Question</w:t>
      </w:r>
      <w:r w:rsidRPr="00745008">
        <w:t xml:space="preserve"> ITU-R:</w:t>
      </w:r>
    </w:p>
    <w:p w14:paraId="4B4D346A" w14:textId="06F89A3E" w:rsidR="00B40514" w:rsidRPr="00BE6491" w:rsidRDefault="00B40514" w:rsidP="00E950E3">
      <w:pPr>
        <w:pStyle w:val="enumlev1"/>
        <w:ind w:hanging="567"/>
        <w:jc w:val="both"/>
        <w:rPr>
          <w:lang w:val="en-US"/>
        </w:rPr>
      </w:pPr>
      <w:r w:rsidRPr="00745008">
        <w:t>–</w:t>
      </w:r>
      <w:r w:rsidRPr="00745008">
        <w:tab/>
      </w:r>
      <w:r w:rsidR="00071376" w:rsidRPr="00BE6491">
        <w:t>148/</w:t>
      </w:r>
      <w:r w:rsidR="00713B1B" w:rsidRPr="00071376">
        <w:t>6</w:t>
      </w:r>
      <w:r w:rsidR="00E950E3">
        <w:t xml:space="preserve"> “</w:t>
      </w:r>
      <w:r w:rsidR="00E950E3" w:rsidRPr="00E950E3">
        <w:rPr>
          <w:lang w:val="en-US"/>
        </w:rPr>
        <w:t>Evolution of sound systems for broadcasting</w:t>
      </w:r>
      <w:r w:rsidR="00E950E3">
        <w:rPr>
          <w:lang w:val="en-US"/>
        </w:rPr>
        <w:t>”</w:t>
      </w:r>
    </w:p>
    <w:p w14:paraId="7B4966A8" w14:textId="77777777" w:rsidR="0025739A" w:rsidRPr="00745008" w:rsidRDefault="0025739A" w:rsidP="001732C2">
      <w:pPr>
        <w:pStyle w:val="Headingb"/>
      </w:pPr>
      <w:r w:rsidRPr="001732C2">
        <w:t>Recommendation</w:t>
      </w:r>
      <w:r w:rsidRPr="00745008">
        <w:t xml:space="preserve"> ITU-R:</w:t>
      </w:r>
    </w:p>
    <w:p w14:paraId="7FF80754" w14:textId="42100665" w:rsidR="000A1596" w:rsidRPr="009E4F77" w:rsidRDefault="00713B1B" w:rsidP="009E4F77">
      <w:pPr>
        <w:pStyle w:val="enumlev1"/>
      </w:pPr>
      <w:r w:rsidRPr="00E2345B">
        <w:rPr>
          <w:lang w:eastAsia="ja-JP"/>
        </w:rPr>
        <w:t>–</w:t>
      </w:r>
      <w:r w:rsidRPr="00E2345B">
        <w:tab/>
      </w:r>
      <w:r w:rsidR="00861C9D" w:rsidRPr="00E2345B">
        <w:t>BS.2076-3</w:t>
      </w:r>
      <w:r w:rsidR="000A1596" w:rsidRPr="00E2345B">
        <w:t xml:space="preserve"> “</w:t>
      </w:r>
      <w:r w:rsidR="000A1596" w:rsidRPr="009E4F77">
        <w:t>Audio Definition Model”</w:t>
      </w:r>
    </w:p>
    <w:p w14:paraId="3A80B55E" w14:textId="1852B35D" w:rsidR="00861C9D" w:rsidRPr="009E4F77" w:rsidRDefault="00861C9D" w:rsidP="009E4F77">
      <w:pPr>
        <w:pStyle w:val="enumlev1"/>
      </w:pPr>
      <w:r w:rsidRPr="009E4F77">
        <w:t>–</w:t>
      </w:r>
      <w:r w:rsidRPr="009E4F77">
        <w:tab/>
        <w:t>BS.2094-2</w:t>
      </w:r>
      <w:r w:rsidR="0051352B" w:rsidRPr="009E4F77">
        <w:t xml:space="preserve"> “Common definitions for the Audio Definition Model”</w:t>
      </w:r>
    </w:p>
    <w:p w14:paraId="1B6F47DA" w14:textId="6AD41144" w:rsidR="00861C9D" w:rsidRPr="009E4F77" w:rsidRDefault="00861C9D" w:rsidP="009E4F77">
      <w:pPr>
        <w:pStyle w:val="enumlev1"/>
      </w:pPr>
      <w:r w:rsidRPr="009E4F77">
        <w:t>–</w:t>
      </w:r>
      <w:r w:rsidRPr="009E4F77">
        <w:tab/>
        <w:t>BS.</w:t>
      </w:r>
      <w:r w:rsidR="00BD6C91" w:rsidRPr="009E4F77">
        <w:t>2168-0</w:t>
      </w:r>
      <w:r w:rsidR="000A1596" w:rsidRPr="009E4F77">
        <w:t xml:space="preserve"> “Audio definition model and serial representation of audio definition model profile for advanced sound systems emission”</w:t>
      </w:r>
    </w:p>
    <w:p w14:paraId="29FD6D6C" w14:textId="7F4D3A60" w:rsidR="00861C9D" w:rsidRPr="009E4F77" w:rsidRDefault="00861C9D" w:rsidP="009E4F77">
      <w:pPr>
        <w:pStyle w:val="enumlev1"/>
      </w:pPr>
      <w:r w:rsidRPr="009E4F77">
        <w:t>–</w:t>
      </w:r>
      <w:r w:rsidRPr="009E4F77">
        <w:tab/>
        <w:t>BT.1662-1</w:t>
      </w:r>
      <w:r w:rsidR="003409FE" w:rsidRPr="009E4F77">
        <w:t xml:space="preserve"> “General reference chain and management of post-processing headroom for programme essence in television applications”</w:t>
      </w:r>
    </w:p>
    <w:p w14:paraId="3A37B36D" w14:textId="655BAAE3" w:rsidR="00861C9D" w:rsidRPr="009E4F77" w:rsidRDefault="00861C9D" w:rsidP="009E4F77">
      <w:pPr>
        <w:pStyle w:val="enumlev1"/>
      </w:pPr>
      <w:r w:rsidRPr="009E4F77">
        <w:t>–</w:t>
      </w:r>
      <w:r w:rsidRPr="009E4F77">
        <w:tab/>
        <w:t>BT.1666-1</w:t>
      </w:r>
      <w:r w:rsidR="003409FE" w:rsidRPr="009E4F77">
        <w:t xml:space="preserve"> “User requirements for television applications intended for presentation in a theatrical environment”</w:t>
      </w:r>
    </w:p>
    <w:p w14:paraId="464EEDFC" w14:textId="3B484D4C" w:rsidR="000A1596" w:rsidRPr="009E4F77" w:rsidRDefault="00861C9D" w:rsidP="009E4F77">
      <w:pPr>
        <w:pStyle w:val="enumlev1"/>
      </w:pPr>
      <w:r w:rsidRPr="009E4F77">
        <w:t>–</w:t>
      </w:r>
      <w:r w:rsidRPr="009E4F77">
        <w:tab/>
        <w:t>BT.2016-4</w:t>
      </w:r>
      <w:r w:rsidR="00C65955" w:rsidRPr="009E4F77">
        <w:t xml:space="preserve"> “Error-correction, data framing, modulation and emission methods for terrestrial multimedia broadcasting for mobile reception using handheld receivers in VHF/UHF bands”</w:t>
      </w:r>
    </w:p>
    <w:p w14:paraId="2986A3D9" w14:textId="3543B311" w:rsidR="00861C9D" w:rsidRPr="009E4F77" w:rsidRDefault="00861C9D" w:rsidP="009E4F77">
      <w:pPr>
        <w:pStyle w:val="enumlev1"/>
      </w:pPr>
      <w:r w:rsidRPr="009E4F77">
        <w:t>–</w:t>
      </w:r>
      <w:r w:rsidRPr="009E4F77">
        <w:tab/>
        <w:t>BT.2100-3</w:t>
      </w:r>
      <w:r w:rsidR="00C65955" w:rsidRPr="009E4F77">
        <w:t xml:space="preserve"> “Image parameter values for high dynamic range television for use in production and international programme exchange”</w:t>
      </w:r>
    </w:p>
    <w:p w14:paraId="1F90D5CA" w14:textId="500C2E31" w:rsidR="00861C9D" w:rsidRPr="009E4F77" w:rsidRDefault="00861C9D" w:rsidP="009E4F77">
      <w:pPr>
        <w:pStyle w:val="enumlev1"/>
      </w:pPr>
      <w:r w:rsidRPr="009E4F77">
        <w:t>–</w:t>
      </w:r>
      <w:r w:rsidRPr="009E4F77">
        <w:tab/>
        <w:t>BT.2123-1</w:t>
      </w:r>
      <w:r w:rsidR="00565F4D" w:rsidRPr="009E4F77">
        <w:t xml:space="preserve"> “Video parameter values for advanced immersive audio-visual systems for production and international programme exchange in broadcasting”</w:t>
      </w:r>
    </w:p>
    <w:p w14:paraId="3E6FE105" w14:textId="5E9304FB" w:rsidR="003010EF" w:rsidRPr="009E4F77" w:rsidRDefault="003010EF" w:rsidP="009E4F77">
      <w:pPr>
        <w:pStyle w:val="enumlev1"/>
      </w:pPr>
      <w:r w:rsidRPr="009E4F77">
        <w:t>–</w:t>
      </w:r>
      <w:r w:rsidRPr="009E4F77">
        <w:tab/>
        <w:t>BT.2166-</w:t>
      </w:r>
      <w:r w:rsidR="00AB2536" w:rsidRPr="009E4F77">
        <w:t>0</w:t>
      </w:r>
      <w:r w:rsidRPr="009E4F77">
        <w:t xml:space="preserve"> “Viewing conditions for high dynamic range and standard dynamic range monitoring in close proximity within a single-master high dynamic range production environment”</w:t>
      </w:r>
    </w:p>
    <w:p w14:paraId="4EA8AB62" w14:textId="6C0A3CD7" w:rsidR="00861C9D" w:rsidRPr="00BE6491" w:rsidRDefault="00861C9D" w:rsidP="009E4F77">
      <w:pPr>
        <w:pStyle w:val="enumlev1"/>
        <w:rPr>
          <w:lang w:val="en-US"/>
        </w:rPr>
      </w:pPr>
      <w:r w:rsidRPr="009E4F77">
        <w:t>–</w:t>
      </w:r>
      <w:r w:rsidRPr="009E4F77">
        <w:tab/>
        <w:t>BT.</w:t>
      </w:r>
      <w:r w:rsidR="003E1772" w:rsidRPr="009E4F77">
        <w:t xml:space="preserve">2167-0 </w:t>
      </w:r>
      <w:r w:rsidR="0051352B" w:rsidRPr="009E4F77">
        <w:t>“A framework for content-adaptive methods for reduction of energy consumption in television displays</w:t>
      </w:r>
      <w:r w:rsidR="00FD1C99">
        <w:rPr>
          <w:lang w:val="en-US"/>
        </w:rPr>
        <w:t>”</w:t>
      </w:r>
    </w:p>
    <w:p w14:paraId="7AEA6D13" w14:textId="77777777" w:rsidR="0025739A" w:rsidRPr="00745008" w:rsidRDefault="0025739A" w:rsidP="001732C2">
      <w:pPr>
        <w:pStyle w:val="Headingb"/>
      </w:pPr>
      <w:r w:rsidRPr="00745008">
        <w:lastRenderedPageBreak/>
        <w:t xml:space="preserve">Report </w:t>
      </w:r>
      <w:r w:rsidRPr="001732C2">
        <w:t>ITU</w:t>
      </w:r>
      <w:r w:rsidRPr="00745008">
        <w:t>-R:</w:t>
      </w:r>
    </w:p>
    <w:p w14:paraId="077553E6" w14:textId="005CE29C" w:rsidR="006013A7" w:rsidRPr="009E4F77" w:rsidRDefault="000606D2" w:rsidP="009E4F77">
      <w:pPr>
        <w:pStyle w:val="enumlev1"/>
      </w:pPr>
      <w:r w:rsidRPr="00745008">
        <w:rPr>
          <w:lang w:eastAsia="ja-JP"/>
        </w:rPr>
        <w:t>–</w:t>
      </w:r>
      <w:r w:rsidRPr="00745008">
        <w:rPr>
          <w:lang w:eastAsia="ja-JP"/>
        </w:rPr>
        <w:tab/>
      </w:r>
      <w:r w:rsidR="006013A7" w:rsidRPr="006013A7">
        <w:rPr>
          <w:lang w:eastAsia="ja-JP"/>
        </w:rPr>
        <w:t>BS.2388-5</w:t>
      </w:r>
      <w:r w:rsidR="00C20185">
        <w:rPr>
          <w:lang w:eastAsia="ja-JP"/>
        </w:rPr>
        <w:t xml:space="preserve"> “</w:t>
      </w:r>
      <w:r w:rsidR="00C20185" w:rsidRPr="00C20185">
        <w:rPr>
          <w:lang w:val="en-US" w:eastAsia="ja-JP"/>
        </w:rPr>
        <w:t xml:space="preserve">Usage Guidelines for the </w:t>
      </w:r>
      <w:r w:rsidR="00C20185" w:rsidRPr="009E4F77">
        <w:t>Audio Definition Model and Multichannel Audio Files”</w:t>
      </w:r>
    </w:p>
    <w:p w14:paraId="66631003" w14:textId="3201F03C" w:rsidR="006013A7" w:rsidRPr="009E4F77" w:rsidRDefault="006013A7" w:rsidP="009E4F77">
      <w:pPr>
        <w:pStyle w:val="enumlev1"/>
      </w:pPr>
      <w:r w:rsidRPr="009E4F77">
        <w:t>–</w:t>
      </w:r>
      <w:r w:rsidRPr="009E4F77">
        <w:tab/>
        <w:t>BS.2493-1</w:t>
      </w:r>
      <w:r w:rsidR="00D201E7" w:rsidRPr="009E4F77">
        <w:t xml:space="preserve"> </w:t>
      </w:r>
      <w:r w:rsidR="00C20185" w:rsidRPr="009E4F77">
        <w:t>“</w:t>
      </w:r>
      <w:r w:rsidR="00283FDA" w:rsidRPr="009E4F77">
        <w:t>Practical implementation of broadcast systems using audio codecs for ITU advanced sound systems</w:t>
      </w:r>
      <w:r w:rsidR="00B80691" w:rsidRPr="009E4F77">
        <w:t>”</w:t>
      </w:r>
    </w:p>
    <w:p w14:paraId="5249933F" w14:textId="4FD65C5E" w:rsidR="006013A7" w:rsidRPr="009E4F77" w:rsidRDefault="006013A7" w:rsidP="009E4F77">
      <w:pPr>
        <w:pStyle w:val="enumlev1"/>
      </w:pPr>
      <w:r w:rsidRPr="009E4F77">
        <w:t>–</w:t>
      </w:r>
      <w:r w:rsidRPr="009E4F77">
        <w:tab/>
        <w:t>BT.2343-9</w:t>
      </w:r>
      <w:r w:rsidR="00C20185" w:rsidRPr="009E4F77">
        <w:t xml:space="preserve"> “</w:t>
      </w:r>
      <w:r w:rsidR="00B80691" w:rsidRPr="009E4F77">
        <w:t xml:space="preserve">Collection of field trials of </w:t>
      </w:r>
      <w:proofErr w:type="spellStart"/>
      <w:r w:rsidR="00B80691" w:rsidRPr="009E4F77">
        <w:t xml:space="preserve">ultra </w:t>
      </w:r>
      <w:proofErr w:type="gramStart"/>
      <w:r w:rsidR="00B80691" w:rsidRPr="009E4F77">
        <w:t>high</w:t>
      </w:r>
      <w:proofErr w:type="spellEnd"/>
      <w:r w:rsidR="00B80691" w:rsidRPr="009E4F77">
        <w:t xml:space="preserve"> definition</w:t>
      </w:r>
      <w:proofErr w:type="gramEnd"/>
      <w:r w:rsidR="00B80691" w:rsidRPr="009E4F77">
        <w:t xml:space="preserve"> television over digital terrestrial television broadcasting networks”</w:t>
      </w:r>
    </w:p>
    <w:p w14:paraId="2AD4FA9E" w14:textId="6062BFBB" w:rsidR="006013A7" w:rsidRPr="009E4F77" w:rsidRDefault="006013A7" w:rsidP="009E4F77">
      <w:pPr>
        <w:pStyle w:val="enumlev1"/>
      </w:pPr>
      <w:r w:rsidRPr="009E4F77">
        <w:t>–</w:t>
      </w:r>
      <w:r w:rsidRPr="009E4F77">
        <w:tab/>
        <w:t>BT.2386-5</w:t>
      </w:r>
      <w:r w:rsidR="00C20185" w:rsidRPr="009E4F77">
        <w:t xml:space="preserve"> “</w:t>
      </w:r>
      <w:r w:rsidR="00B80691" w:rsidRPr="009E4F77">
        <w:t>Digital terrestrial broadcasting: Design and implementation of single frequency networks (SFN)”</w:t>
      </w:r>
    </w:p>
    <w:p w14:paraId="04339887" w14:textId="69FCC1F7" w:rsidR="006013A7" w:rsidRPr="009E4F77" w:rsidRDefault="006013A7" w:rsidP="009E4F77">
      <w:pPr>
        <w:pStyle w:val="enumlev1"/>
      </w:pPr>
      <w:r w:rsidRPr="009E4F77">
        <w:t>–</w:t>
      </w:r>
      <w:r w:rsidRPr="009E4F77">
        <w:tab/>
        <w:t>BT.2389-1</w:t>
      </w:r>
      <w:r w:rsidR="00B80691" w:rsidRPr="009E4F77">
        <w:t xml:space="preserve"> </w:t>
      </w:r>
      <w:r w:rsidR="00C20185" w:rsidRPr="009E4F77">
        <w:t>“</w:t>
      </w:r>
      <w:r w:rsidR="00D75015" w:rsidRPr="009E4F77">
        <w:t>Guidelines on measurements for digital terrestrial television broadcasting systems</w:t>
      </w:r>
      <w:r w:rsidR="00B80691" w:rsidRPr="009E4F77">
        <w:t>”</w:t>
      </w:r>
    </w:p>
    <w:p w14:paraId="27D40C37" w14:textId="15C51041" w:rsidR="006013A7" w:rsidRPr="009E4F77" w:rsidRDefault="006013A7" w:rsidP="009E4F77">
      <w:pPr>
        <w:pStyle w:val="enumlev1"/>
      </w:pPr>
      <w:r w:rsidRPr="009E4F77">
        <w:t>–</w:t>
      </w:r>
      <w:r w:rsidRPr="009E4F77">
        <w:tab/>
        <w:t>BT.2408-8</w:t>
      </w:r>
      <w:r w:rsidR="00C20185" w:rsidRPr="009E4F77">
        <w:t xml:space="preserve"> “</w:t>
      </w:r>
      <w:r w:rsidR="00283FDA" w:rsidRPr="009E4F77">
        <w:t>Suggested guidance for operational practices in high dynamic range (HDR) television production</w:t>
      </w:r>
      <w:r w:rsidR="003373A7" w:rsidRPr="009E4F77">
        <w:t>”</w:t>
      </w:r>
    </w:p>
    <w:p w14:paraId="51952A1A" w14:textId="4F763470" w:rsidR="006013A7" w:rsidRPr="009E4F77" w:rsidRDefault="006013A7" w:rsidP="009E4F77">
      <w:pPr>
        <w:pStyle w:val="enumlev1"/>
      </w:pPr>
      <w:r w:rsidRPr="009E4F77">
        <w:t>–</w:t>
      </w:r>
      <w:r w:rsidRPr="009E4F77">
        <w:tab/>
        <w:t>BT.2420-7</w:t>
      </w:r>
      <w:r w:rsidR="00C20185" w:rsidRPr="009E4F77">
        <w:t xml:space="preserve"> “</w:t>
      </w:r>
      <w:r w:rsidR="00775EFB" w:rsidRPr="009E4F77">
        <w:t>Collection of usage scenarios of advanced immersive sensory media systems</w:t>
      </w:r>
      <w:r w:rsidR="003373A7" w:rsidRPr="009E4F77">
        <w:t>”</w:t>
      </w:r>
    </w:p>
    <w:p w14:paraId="0483215A" w14:textId="700EF13B" w:rsidR="006013A7" w:rsidRPr="009E4F77" w:rsidRDefault="006013A7" w:rsidP="009E4F77">
      <w:pPr>
        <w:pStyle w:val="enumlev1"/>
      </w:pPr>
      <w:r w:rsidRPr="009E4F77">
        <w:t>–</w:t>
      </w:r>
      <w:r w:rsidRPr="009E4F77">
        <w:tab/>
        <w:t>BT.2467-3</w:t>
      </w:r>
      <w:r w:rsidR="00C20185" w:rsidRPr="009E4F77">
        <w:t xml:space="preserve"> “</w:t>
      </w:r>
      <w:r w:rsidR="00D75015" w:rsidRPr="009E4F77">
        <w:t>Methods for the evaluation of the quality of service of second generation digital terrestrial television broadcasting systems</w:t>
      </w:r>
      <w:r w:rsidR="003373A7" w:rsidRPr="009E4F77">
        <w:t>”</w:t>
      </w:r>
    </w:p>
    <w:p w14:paraId="4991CB87" w14:textId="216D9552" w:rsidR="006013A7" w:rsidRPr="009E4F77" w:rsidRDefault="006013A7" w:rsidP="009E4F77">
      <w:pPr>
        <w:pStyle w:val="enumlev1"/>
      </w:pPr>
      <w:r w:rsidRPr="009E4F77">
        <w:t>–</w:t>
      </w:r>
      <w:r w:rsidRPr="009E4F77">
        <w:tab/>
        <w:t>BT.2468-2</w:t>
      </w:r>
      <w:r w:rsidR="00C20185" w:rsidRPr="009E4F77">
        <w:t xml:space="preserve"> “</w:t>
      </w:r>
      <w:r w:rsidR="00775EFB" w:rsidRPr="009E4F77">
        <w:t>Guidance for selection of system parameters and implementation of second generation DTTB systems</w:t>
      </w:r>
      <w:r w:rsidR="003373A7" w:rsidRPr="009E4F77">
        <w:t>”</w:t>
      </w:r>
    </w:p>
    <w:p w14:paraId="15A12421" w14:textId="32E8E72D" w:rsidR="006013A7" w:rsidRPr="009E4F77" w:rsidRDefault="006013A7" w:rsidP="009E4F77">
      <w:pPr>
        <w:pStyle w:val="enumlev1"/>
      </w:pPr>
      <w:r w:rsidRPr="009E4F77">
        <w:t>–</w:t>
      </w:r>
      <w:r w:rsidRPr="009E4F77">
        <w:tab/>
        <w:t>BT.2485-3</w:t>
      </w:r>
      <w:r w:rsidR="00C20185" w:rsidRPr="009E4F77">
        <w:t xml:space="preserve"> “</w:t>
      </w:r>
      <w:r w:rsidR="00775EFB" w:rsidRPr="009E4F77">
        <w:t>Advanced network planning and transmission methods for enhancements of digital terrestrial television broadcasting</w:t>
      </w:r>
      <w:r w:rsidR="003373A7" w:rsidRPr="009E4F77">
        <w:t>”</w:t>
      </w:r>
    </w:p>
    <w:p w14:paraId="13FC323C" w14:textId="6F503286" w:rsidR="006013A7" w:rsidRPr="009E4F77" w:rsidRDefault="006013A7" w:rsidP="009E4F77">
      <w:pPr>
        <w:pStyle w:val="enumlev1"/>
      </w:pPr>
      <w:r w:rsidRPr="009E4F77">
        <w:t>–</w:t>
      </w:r>
      <w:r w:rsidRPr="009E4F77">
        <w:tab/>
        <w:t>BT.2506-1</w:t>
      </w:r>
      <w:r w:rsidR="00C20185" w:rsidRPr="009E4F77">
        <w:t xml:space="preserve"> “</w:t>
      </w:r>
      <w:r w:rsidR="00D75015" w:rsidRPr="009E4F77">
        <w:t>Requirements for spatial characteristics of an ideal head-mounted display for immersive video</w:t>
      </w:r>
      <w:r w:rsidR="003373A7" w:rsidRPr="009E4F77">
        <w:t>”</w:t>
      </w:r>
    </w:p>
    <w:p w14:paraId="424233EF" w14:textId="6F074BA3" w:rsidR="006013A7" w:rsidRPr="009E4F77" w:rsidRDefault="006013A7" w:rsidP="009E4F77">
      <w:pPr>
        <w:pStyle w:val="enumlev1"/>
      </w:pPr>
      <w:r w:rsidRPr="009E4F77">
        <w:t>–</w:t>
      </w:r>
      <w:r w:rsidRPr="009E4F77">
        <w:tab/>
        <w:t>BT.2521-1</w:t>
      </w:r>
      <w:r w:rsidR="00C20185" w:rsidRPr="009E4F77">
        <w:t xml:space="preserve"> “</w:t>
      </w:r>
      <w:r w:rsidR="00775EFB" w:rsidRPr="009E4F77">
        <w:t>Practical examples of actions to achieve energy efficiency of broadcasting</w:t>
      </w:r>
      <w:r w:rsidR="003373A7" w:rsidRPr="009E4F77">
        <w:t>”</w:t>
      </w:r>
    </w:p>
    <w:p w14:paraId="2E2B493B" w14:textId="2DD7E137" w:rsidR="006013A7" w:rsidRPr="009E4F77" w:rsidRDefault="006013A7" w:rsidP="009E4F77">
      <w:pPr>
        <w:pStyle w:val="enumlev1"/>
      </w:pPr>
      <w:r w:rsidRPr="009E4F77">
        <w:t>–</w:t>
      </w:r>
      <w:r w:rsidRPr="009E4F77">
        <w:tab/>
        <w:t>BT.2522-1</w:t>
      </w:r>
      <w:r w:rsidR="00C20185" w:rsidRPr="009E4F77">
        <w:t xml:space="preserve"> “</w:t>
      </w:r>
      <w:r w:rsidR="00775EFB" w:rsidRPr="009E4F77">
        <w:t>A framework for the future of broadcasting</w:t>
      </w:r>
      <w:r w:rsidR="003373A7" w:rsidRPr="009E4F77">
        <w:t>”</w:t>
      </w:r>
    </w:p>
    <w:p w14:paraId="167FA24D" w14:textId="7645AD89" w:rsidR="006013A7" w:rsidRPr="009E4F77" w:rsidRDefault="006013A7" w:rsidP="009E4F77">
      <w:pPr>
        <w:pStyle w:val="enumlev1"/>
      </w:pPr>
      <w:r w:rsidRPr="009E4F77">
        <w:t>–</w:t>
      </w:r>
      <w:r w:rsidRPr="009E4F77">
        <w:tab/>
        <w:t>BT.2526-1</w:t>
      </w:r>
      <w:r w:rsidR="00C20185" w:rsidRPr="009E4F77">
        <w:t xml:space="preserve"> “</w:t>
      </w:r>
      <w:r w:rsidR="006D4714" w:rsidRPr="009E4F77">
        <w:t>Field trials of terrestrial multimedia mobile broadcasting systems</w:t>
      </w:r>
      <w:r w:rsidR="003373A7" w:rsidRPr="009E4F77">
        <w:t>”</w:t>
      </w:r>
    </w:p>
    <w:p w14:paraId="70EA9A7E" w14:textId="2954A496" w:rsidR="006013A7" w:rsidRPr="009E4F77" w:rsidRDefault="006013A7" w:rsidP="009E4F77">
      <w:pPr>
        <w:pStyle w:val="enumlev1"/>
      </w:pPr>
      <w:r w:rsidRPr="009E4F77">
        <w:t>–</w:t>
      </w:r>
      <w:r w:rsidRPr="009E4F77">
        <w:tab/>
        <w:t>BT.2538-0</w:t>
      </w:r>
      <w:r w:rsidR="00C20185" w:rsidRPr="009E4F77">
        <w:t xml:space="preserve"> “</w:t>
      </w:r>
      <w:r w:rsidR="006D4714" w:rsidRPr="009E4F77">
        <w:t>Use cases of Versatile Video Coding multilayer profiles for broadcasting services</w:t>
      </w:r>
      <w:r w:rsidR="003373A7" w:rsidRPr="009E4F77">
        <w:t>”</w:t>
      </w:r>
    </w:p>
    <w:p w14:paraId="0A69B622" w14:textId="67965246" w:rsidR="006013A7" w:rsidRPr="009E4F77" w:rsidRDefault="006013A7" w:rsidP="009E4F77">
      <w:pPr>
        <w:pStyle w:val="enumlev1"/>
      </w:pPr>
      <w:r w:rsidRPr="009E4F77">
        <w:t>–</w:t>
      </w:r>
      <w:r w:rsidRPr="009E4F77">
        <w:tab/>
        <w:t>BT.2539-0</w:t>
      </w:r>
      <w:r w:rsidR="00C20185" w:rsidRPr="009E4F77">
        <w:t xml:space="preserve"> “</w:t>
      </w:r>
      <w:r w:rsidR="006D4714" w:rsidRPr="009E4F77">
        <w:t>Use of cloud computing for programme production</w:t>
      </w:r>
      <w:r w:rsidR="003373A7" w:rsidRPr="009E4F77">
        <w:t>”</w:t>
      </w:r>
    </w:p>
    <w:p w14:paraId="37BEB799" w14:textId="32AA2BD3" w:rsidR="006013A7" w:rsidRPr="009E4F77" w:rsidRDefault="006013A7" w:rsidP="009E4F77">
      <w:pPr>
        <w:pStyle w:val="enumlev1"/>
      </w:pPr>
      <w:r w:rsidRPr="009E4F77">
        <w:t>–</w:t>
      </w:r>
      <w:r w:rsidRPr="009E4F77">
        <w:tab/>
        <w:t>BT.2540-0</w:t>
      </w:r>
      <w:r w:rsidR="00C20185" w:rsidRPr="009E4F77">
        <w:t xml:space="preserve"> “</w:t>
      </w:r>
      <w:r w:rsidR="006D4714" w:rsidRPr="009E4F77">
        <w:t>Display energy reduction through image signal processing</w:t>
      </w:r>
      <w:r w:rsidR="003373A7" w:rsidRPr="009E4F77">
        <w:t>”</w:t>
      </w:r>
    </w:p>
    <w:p w14:paraId="75B3EC68" w14:textId="73284FDA" w:rsidR="009C0C62" w:rsidRPr="009E4F77" w:rsidRDefault="006013A7" w:rsidP="009E4F77">
      <w:pPr>
        <w:pStyle w:val="enumlev1"/>
      </w:pPr>
      <w:r w:rsidRPr="009E4F77">
        <w:t>–</w:t>
      </w:r>
      <w:r w:rsidRPr="009E4F77">
        <w:tab/>
        <w:t>BT.</w:t>
      </w:r>
      <w:r w:rsidR="007C26B4" w:rsidRPr="009E4F77">
        <w:t xml:space="preserve">2544-0 </w:t>
      </w:r>
      <w:r w:rsidR="00C20185" w:rsidRPr="009E4F77">
        <w:t>“</w:t>
      </w:r>
      <w:r w:rsidR="00283FDA" w:rsidRPr="009E4F77">
        <w:t>Compatibility between TMMB System-L and DTTB systems in the 470-694 MHz band within the GE06 agreement</w:t>
      </w:r>
      <w:r w:rsidR="007A2AB4" w:rsidRPr="009E4F77">
        <w:t>”</w:t>
      </w:r>
    </w:p>
    <w:p w14:paraId="61765142" w14:textId="2F1F21CA" w:rsidR="009C0C62" w:rsidRPr="009E4F77" w:rsidRDefault="009C0C62" w:rsidP="009E4F77">
      <w:pPr>
        <w:pStyle w:val="enumlev1"/>
      </w:pPr>
      <w:r w:rsidRPr="009E4F77">
        <w:t>–</w:t>
      </w:r>
      <w:r w:rsidRPr="009E4F77">
        <w:tab/>
        <w:t>BT.</w:t>
      </w:r>
      <w:r w:rsidR="0093550E" w:rsidRPr="009E4F77">
        <w:t xml:space="preserve">2545-0 </w:t>
      </w:r>
      <w:r w:rsidRPr="009E4F77">
        <w:t>“Inter-tower communications network (ITCN) for terrestrial broadcasting and datacasting systems”</w:t>
      </w:r>
    </w:p>
    <w:p w14:paraId="03C69F98" w14:textId="45C83D0C" w:rsidR="00681437" w:rsidRDefault="00681437" w:rsidP="001732C2">
      <w:bookmarkStart w:id="16" w:name="_Toc445972797"/>
      <w:r>
        <w:t>As part of the 2024 SG 6 blocks of meetings, the following events were organized:</w:t>
      </w:r>
    </w:p>
    <w:p w14:paraId="75E53CCB" w14:textId="77777777" w:rsidR="00681437" w:rsidRDefault="00681437" w:rsidP="009E4F77">
      <w:pPr>
        <w:pStyle w:val="enumlev1"/>
      </w:pPr>
      <w:r w:rsidRPr="00D0078E">
        <w:sym w:font="Wingdings" w:char="F09F"/>
      </w:r>
      <w:r w:rsidRPr="00D0078E">
        <w:tab/>
      </w:r>
      <w:hyperlink r:id="rId23" w:history="1">
        <w:r w:rsidRPr="0082494D">
          <w:rPr>
            <w:rStyle w:val="Hyperlink"/>
          </w:rPr>
          <w:t>ITU Workshop on the Future of Televisi</w:t>
        </w:r>
        <w:r w:rsidRPr="0082494D">
          <w:rPr>
            <w:rStyle w:val="Hyperlink"/>
          </w:rPr>
          <w:t>o</w:t>
        </w:r>
        <w:r w:rsidRPr="0082494D">
          <w:rPr>
            <w:rStyle w:val="Hyperlink"/>
          </w:rPr>
          <w:t>n for Europe​</w:t>
        </w:r>
      </w:hyperlink>
      <w:r>
        <w:t xml:space="preserve"> (7 November 2024, jointly organized by ITU-R SG6, ITU-T and ITU-D)</w:t>
      </w:r>
    </w:p>
    <w:p w14:paraId="765A28E3" w14:textId="77777777" w:rsidR="00681437" w:rsidRDefault="00681437" w:rsidP="009E4F77">
      <w:pPr>
        <w:pStyle w:val="enumlev1"/>
      </w:pPr>
      <w:r w:rsidRPr="00D0078E">
        <w:sym w:font="Wingdings" w:char="F09F"/>
      </w:r>
      <w:r w:rsidRPr="00D0078E">
        <w:tab/>
      </w:r>
      <w:hyperlink r:id="rId24" w:tgtFrame="_blank" w:history="1">
        <w:r w:rsidRPr="0082494D">
          <w:rPr>
            <w:rStyle w:val="Hyperlink"/>
          </w:rPr>
          <w:t>Demonstrations on Future of Broa</w:t>
        </w:r>
        <w:r w:rsidRPr="0082494D">
          <w:rPr>
            <w:rStyle w:val="Hyperlink"/>
          </w:rPr>
          <w:t>d</w:t>
        </w:r>
        <w:r w:rsidRPr="0082494D">
          <w:rPr>
            <w:rStyle w:val="Hyperlink"/>
          </w:rPr>
          <w:t>casting</w:t>
        </w:r>
      </w:hyperlink>
      <w:r>
        <w:t xml:space="preserve"> (6 and 7 November 2024)</w:t>
      </w:r>
    </w:p>
    <w:p w14:paraId="7BDF7117" w14:textId="77777777" w:rsidR="00681437" w:rsidRDefault="00681437" w:rsidP="009E4F77">
      <w:pPr>
        <w:pStyle w:val="enumlev1"/>
      </w:pPr>
      <w:r w:rsidRPr="00D0078E">
        <w:sym w:font="Wingdings" w:char="F09F"/>
      </w:r>
      <w:r w:rsidRPr="00D0078E">
        <w:tab/>
      </w:r>
      <w:hyperlink r:id="rId25" w:history="1">
        <w:r w:rsidRPr="00D01D74">
          <w:rPr>
            <w:rStyle w:val="Hyperlink"/>
          </w:rPr>
          <w:t>Workshop on Terrestrial Multimedia Mobile Broad</w:t>
        </w:r>
        <w:r w:rsidRPr="00D01D74">
          <w:rPr>
            <w:rStyle w:val="Hyperlink"/>
          </w:rPr>
          <w:t>c</w:t>
        </w:r>
        <w:r w:rsidRPr="00D01D74">
          <w:rPr>
            <w:rStyle w:val="Hyperlink"/>
          </w:rPr>
          <w:t>asting (TMMB)</w:t>
        </w:r>
      </w:hyperlink>
      <w:r>
        <w:t xml:space="preserve"> (8 March 2024)</w:t>
      </w:r>
    </w:p>
    <w:p w14:paraId="442CD5E9" w14:textId="7D08313F" w:rsidR="0025739A" w:rsidRPr="00745008" w:rsidRDefault="0025739A" w:rsidP="001732C2">
      <w:pPr>
        <w:rPr>
          <w:lang w:eastAsia="ja-JP"/>
        </w:rPr>
      </w:pPr>
      <w:r w:rsidRPr="00745008">
        <w:rPr>
          <w:lang w:eastAsia="ja-JP"/>
        </w:rPr>
        <w:t xml:space="preserve">WPs </w:t>
      </w:r>
      <w:r>
        <w:rPr>
          <w:lang w:eastAsia="ja-JP"/>
        </w:rPr>
        <w:t xml:space="preserve">6A, 6B and 6C </w:t>
      </w:r>
      <w:r w:rsidRPr="00745008">
        <w:rPr>
          <w:lang w:eastAsia="ja-JP"/>
        </w:rPr>
        <w:t>meetings are scheduled from</w:t>
      </w:r>
      <w:r w:rsidR="00505893">
        <w:rPr>
          <w:lang w:eastAsia="ja-JP"/>
        </w:rPr>
        <w:t xml:space="preserve"> 3 to </w:t>
      </w:r>
      <w:r>
        <w:rPr>
          <w:lang w:eastAsia="ja-JP"/>
        </w:rPr>
        <w:t>1</w:t>
      </w:r>
      <w:r w:rsidR="0045107E">
        <w:rPr>
          <w:lang w:eastAsia="ja-JP"/>
        </w:rPr>
        <w:t>3</w:t>
      </w:r>
      <w:r w:rsidRPr="00745008">
        <w:rPr>
          <w:lang w:eastAsia="ja-JP"/>
        </w:rPr>
        <w:t xml:space="preserve"> March 20</w:t>
      </w:r>
      <w:r>
        <w:rPr>
          <w:lang w:eastAsia="ja-JP"/>
        </w:rPr>
        <w:t>2</w:t>
      </w:r>
      <w:r w:rsidR="0045107E">
        <w:rPr>
          <w:lang w:eastAsia="ja-JP"/>
        </w:rPr>
        <w:t>5</w:t>
      </w:r>
      <w:r>
        <w:rPr>
          <w:lang w:eastAsia="ja-JP"/>
        </w:rPr>
        <w:t xml:space="preserve"> followed by SG 6 meeting on 1</w:t>
      </w:r>
      <w:r w:rsidR="0045107E">
        <w:rPr>
          <w:lang w:eastAsia="ja-JP"/>
        </w:rPr>
        <w:t>4</w:t>
      </w:r>
      <w:r>
        <w:rPr>
          <w:lang w:eastAsia="ja-JP"/>
        </w:rPr>
        <w:t xml:space="preserve"> March 202</w:t>
      </w:r>
      <w:r w:rsidR="0045107E">
        <w:rPr>
          <w:lang w:eastAsia="ja-JP"/>
        </w:rPr>
        <w:t>5</w:t>
      </w:r>
      <w:r w:rsidRPr="00745008">
        <w:rPr>
          <w:lang w:eastAsia="ja-JP"/>
        </w:rPr>
        <w:t>.</w:t>
      </w:r>
    </w:p>
    <w:p w14:paraId="2257446D" w14:textId="54CE227F" w:rsidR="0025739A" w:rsidRPr="00745008" w:rsidRDefault="0073398E" w:rsidP="001732C2">
      <w:pPr>
        <w:pStyle w:val="Heading2"/>
      </w:pPr>
      <w:r>
        <w:t>5</w:t>
      </w:r>
      <w:r w:rsidR="0025739A" w:rsidRPr="00745008">
        <w:t>.6</w:t>
      </w:r>
      <w:r w:rsidR="0025739A" w:rsidRPr="00745008">
        <w:tab/>
        <w:t>Study Group 7</w:t>
      </w:r>
      <w:bookmarkEnd w:id="16"/>
    </w:p>
    <w:p w14:paraId="08E8C971" w14:textId="5EF9CF7F" w:rsidR="0025739A" w:rsidRPr="001732C2" w:rsidRDefault="0025739A" w:rsidP="001732C2">
      <w:r w:rsidRPr="00745008">
        <w:t xml:space="preserve">Study Group 7 is continuing to </w:t>
      </w:r>
      <w:r w:rsidRPr="001732C2">
        <w:t xml:space="preserve">develop ITU-R Recommendations, Reports and Handbooks that are used for development and for ensuring non-interference into the operation of space operation, space research, Earth-exploration and meteorological systems (including the related use of links in the </w:t>
      </w:r>
      <w:r w:rsidRPr="001732C2">
        <w:lastRenderedPageBreak/>
        <w:t>inter-satellite service), radio astronomy and radar astronomy; and for the dissemination, reception and coordination of standard-frequency and time-signal services (including the application of satellite techniques) on a worldwide basis.</w:t>
      </w:r>
      <w:r w:rsidR="00EC7D83" w:rsidRPr="001732C2">
        <w:t xml:space="preserve"> It studies as well radiocommunication systems for use with manned and unmanned spacecraft, communication links between planetary bodies and the use of data relay satellites.</w:t>
      </w:r>
    </w:p>
    <w:p w14:paraId="65849E3C" w14:textId="77777777" w:rsidR="0025739A" w:rsidRPr="00745008" w:rsidRDefault="0025739A" w:rsidP="001732C2">
      <w:r w:rsidRPr="00745008">
        <w:t>The systems addressed by SG 7 are used in activities that are a critical part of our everyday life such as:</w:t>
      </w:r>
    </w:p>
    <w:p w14:paraId="2BB747C1" w14:textId="77777777" w:rsidR="0025739A" w:rsidRPr="009E4F77" w:rsidRDefault="0025739A" w:rsidP="009E4F77">
      <w:pPr>
        <w:pStyle w:val="enumlev1"/>
      </w:pPr>
      <w:r w:rsidRPr="00745008">
        <w:t>–</w:t>
      </w:r>
      <w:r w:rsidRPr="00745008">
        <w:tab/>
        <w:t xml:space="preserve">definition </w:t>
      </w:r>
      <w:r w:rsidRPr="009E4F77">
        <w:t xml:space="preserve">and dissemination of Coordinated Universal </w:t>
      </w:r>
      <w:proofErr w:type="gramStart"/>
      <w:r w:rsidRPr="009E4F77">
        <w:t>Time;</w:t>
      </w:r>
      <w:proofErr w:type="gramEnd"/>
    </w:p>
    <w:p w14:paraId="3148766E" w14:textId="77777777" w:rsidR="0025739A" w:rsidRPr="009E4F77" w:rsidRDefault="0025739A" w:rsidP="009E4F77">
      <w:pPr>
        <w:pStyle w:val="enumlev1"/>
      </w:pPr>
      <w:r w:rsidRPr="009E4F77">
        <w:t>–</w:t>
      </w:r>
      <w:r w:rsidRPr="009E4F77">
        <w:tab/>
        <w:t xml:space="preserve">global environment monitoring – atmosphere (including greenhouse gases emissions), oceans, land surface, biomass, </w:t>
      </w:r>
      <w:proofErr w:type="gramStart"/>
      <w:r w:rsidRPr="009E4F77">
        <w:t>etc.;</w:t>
      </w:r>
      <w:proofErr w:type="gramEnd"/>
    </w:p>
    <w:p w14:paraId="43F42018" w14:textId="77777777" w:rsidR="0025739A" w:rsidRPr="009E4F77" w:rsidRDefault="0025739A" w:rsidP="009E4F77">
      <w:pPr>
        <w:pStyle w:val="enumlev1"/>
      </w:pPr>
      <w:r w:rsidRPr="009E4F77">
        <w:t>–</w:t>
      </w:r>
      <w:r w:rsidRPr="009E4F77">
        <w:tab/>
        <w:t xml:space="preserve">weather forecasting and climate change monitoring and </w:t>
      </w:r>
      <w:proofErr w:type="gramStart"/>
      <w:r w:rsidRPr="009E4F77">
        <w:t>prediction;</w:t>
      </w:r>
      <w:proofErr w:type="gramEnd"/>
    </w:p>
    <w:p w14:paraId="07801329" w14:textId="58D08692" w:rsidR="0025739A" w:rsidRPr="009E4F77" w:rsidRDefault="0025739A" w:rsidP="009E4F77">
      <w:pPr>
        <w:pStyle w:val="enumlev1"/>
      </w:pPr>
      <w:r w:rsidRPr="009E4F77">
        <w:t>–</w:t>
      </w:r>
      <w:r w:rsidRPr="009E4F77">
        <w:tab/>
        <w:t>detection and tracking of many natural and man-made disasters (earthquakes, tsunamis, hurricanes, forest fires, oil leaks, etc</w:t>
      </w:r>
      <w:r w:rsidR="003A6BF8" w:rsidRPr="009E4F77">
        <w:t>.</w:t>
      </w:r>
      <w:proofErr w:type="gramStart"/>
      <w:r w:rsidRPr="009E4F77">
        <w:t>);</w:t>
      </w:r>
      <w:proofErr w:type="gramEnd"/>
    </w:p>
    <w:p w14:paraId="576BC896" w14:textId="77777777" w:rsidR="0025739A" w:rsidRPr="009E4F77" w:rsidRDefault="0025739A" w:rsidP="009E4F77">
      <w:pPr>
        <w:pStyle w:val="enumlev1"/>
      </w:pPr>
      <w:r w:rsidRPr="009E4F77">
        <w:t>–</w:t>
      </w:r>
      <w:r w:rsidRPr="009E4F77">
        <w:tab/>
        <w:t xml:space="preserve">providing alerting/warning </w:t>
      </w:r>
      <w:proofErr w:type="gramStart"/>
      <w:r w:rsidRPr="009E4F77">
        <w:t>information;</w:t>
      </w:r>
      <w:proofErr w:type="gramEnd"/>
    </w:p>
    <w:p w14:paraId="5CFB0146" w14:textId="77777777" w:rsidR="0025739A" w:rsidRPr="009E4F77" w:rsidRDefault="0025739A" w:rsidP="009E4F77">
      <w:pPr>
        <w:pStyle w:val="enumlev1"/>
      </w:pPr>
      <w:r w:rsidRPr="009E4F77">
        <w:t>–</w:t>
      </w:r>
      <w:r w:rsidRPr="009E4F77">
        <w:tab/>
        <w:t xml:space="preserve">damage assessment and planning relief </w:t>
      </w:r>
      <w:proofErr w:type="gramStart"/>
      <w:r w:rsidRPr="009E4F77">
        <w:t>operations;</w:t>
      </w:r>
      <w:proofErr w:type="gramEnd"/>
    </w:p>
    <w:p w14:paraId="246CD204" w14:textId="77777777" w:rsidR="0025739A" w:rsidRDefault="0025739A" w:rsidP="009E4F77">
      <w:pPr>
        <w:pStyle w:val="enumlev1"/>
      </w:pPr>
      <w:r w:rsidRPr="009E4F77">
        <w:t>–</w:t>
      </w:r>
      <w:r w:rsidRPr="009E4F77">
        <w:tab/>
        <w:t>monitoring and</w:t>
      </w:r>
      <w:r w:rsidRPr="00745008">
        <w:t xml:space="preserve"> mitigation of space weather events.</w:t>
      </w:r>
    </w:p>
    <w:p w14:paraId="0030212C" w14:textId="77777777" w:rsidR="00E711A8" w:rsidRDefault="00E711A8" w:rsidP="001732C2">
      <w:r>
        <w:t>SG 7 also encompasses systems for the study of outer space:</w:t>
      </w:r>
    </w:p>
    <w:p w14:paraId="517553C6" w14:textId="0E1CC952" w:rsidR="00E711A8" w:rsidRPr="009E4F77" w:rsidRDefault="00646775" w:rsidP="009E4F77">
      <w:pPr>
        <w:pStyle w:val="enumlev1"/>
      </w:pPr>
      <w:r w:rsidRPr="00745008">
        <w:t>–</w:t>
      </w:r>
      <w:r w:rsidRPr="00745008">
        <w:tab/>
      </w:r>
      <w:r w:rsidR="00E711A8" w:rsidRPr="009E4F77">
        <w:t xml:space="preserve">satellites for studying the sun, the magnetosphere and all the elements of our solar </w:t>
      </w:r>
      <w:proofErr w:type="gramStart"/>
      <w:r w:rsidR="00E711A8" w:rsidRPr="009E4F77">
        <w:t>system;</w:t>
      </w:r>
      <w:proofErr w:type="gramEnd"/>
    </w:p>
    <w:p w14:paraId="1D1BB504" w14:textId="6B1F964D" w:rsidR="00E711A8" w:rsidRPr="009E4F77" w:rsidRDefault="00646775" w:rsidP="009E4F77">
      <w:pPr>
        <w:pStyle w:val="enumlev1"/>
      </w:pPr>
      <w:r w:rsidRPr="009E4F77">
        <w:t>–</w:t>
      </w:r>
      <w:r w:rsidRPr="009E4F77">
        <w:tab/>
      </w:r>
      <w:r w:rsidR="00E711A8" w:rsidRPr="009E4F77">
        <w:t xml:space="preserve">spacecraft for human and robotic exploration of extraterrestrial </w:t>
      </w:r>
      <w:proofErr w:type="gramStart"/>
      <w:r w:rsidR="00E711A8" w:rsidRPr="009E4F77">
        <w:t>bodies;</w:t>
      </w:r>
      <w:proofErr w:type="gramEnd"/>
    </w:p>
    <w:p w14:paraId="4AFC1366" w14:textId="56655F4A" w:rsidR="00E711A8" w:rsidRPr="009E4F77" w:rsidRDefault="00646775" w:rsidP="009E4F77">
      <w:pPr>
        <w:pStyle w:val="enumlev1"/>
      </w:pPr>
      <w:r w:rsidRPr="009E4F77">
        <w:t>–</w:t>
      </w:r>
      <w:r w:rsidRPr="009E4F77">
        <w:tab/>
      </w:r>
      <w:r w:rsidR="00E711A8" w:rsidRPr="009E4F77">
        <w:t xml:space="preserve">lunar, </w:t>
      </w:r>
      <w:proofErr w:type="spellStart"/>
      <w:r w:rsidR="00E711A8" w:rsidRPr="009E4F77">
        <w:t>Lagrangian</w:t>
      </w:r>
      <w:proofErr w:type="spellEnd"/>
      <w:r w:rsidR="00E711A8" w:rsidRPr="009E4F77">
        <w:t xml:space="preserve">, deep space research systems and space‑very long baseline interferometry, including their associated earth </w:t>
      </w:r>
      <w:proofErr w:type="gramStart"/>
      <w:r w:rsidR="00E711A8" w:rsidRPr="009E4F77">
        <w:t>stations;</w:t>
      </w:r>
      <w:proofErr w:type="gramEnd"/>
    </w:p>
    <w:p w14:paraId="50DAF441" w14:textId="4B2E258D" w:rsidR="00E711A8" w:rsidRPr="00745008" w:rsidRDefault="00646775" w:rsidP="009E4F77">
      <w:pPr>
        <w:pStyle w:val="enumlev1"/>
      </w:pPr>
      <w:r w:rsidRPr="009E4F77">
        <w:t>–</w:t>
      </w:r>
      <w:r w:rsidRPr="009E4F77">
        <w:tab/>
      </w:r>
      <w:r w:rsidR="00E711A8" w:rsidRPr="009E4F77">
        <w:t>Earth and</w:t>
      </w:r>
      <w:r w:rsidR="00E711A8">
        <w:t xml:space="preserve"> satellite-based radioastronomy to study the universe and its phenomena.</w:t>
      </w:r>
    </w:p>
    <w:p w14:paraId="1BDB2924" w14:textId="044B45D6" w:rsidR="00C97025" w:rsidRDefault="00C97025" w:rsidP="001732C2">
      <w:r>
        <w:t xml:space="preserve">Working Parties 7A, 7B, 7C and 7D met from </w:t>
      </w:r>
      <w:r w:rsidR="00466892">
        <w:t>16 to 27 September 2024 in Almaty at the kind invitation of the Administration of Kazakhstan.</w:t>
      </w:r>
      <w:r w:rsidR="006516F5">
        <w:t xml:space="preserve"> As part of these meetings, the following events also took place:</w:t>
      </w:r>
    </w:p>
    <w:p w14:paraId="29A26CE6" w14:textId="3B2CD470" w:rsidR="009402C9" w:rsidRPr="009E4F77" w:rsidRDefault="009402C9" w:rsidP="009E4F77">
      <w:pPr>
        <w:pStyle w:val="enumlev1"/>
      </w:pPr>
      <w:r>
        <w:t>–</w:t>
      </w:r>
      <w:r>
        <w:tab/>
      </w:r>
      <w:r w:rsidRPr="009E4F77">
        <w:t>WMO-ITU Seminar “</w:t>
      </w:r>
      <w:r w:rsidR="00C20890" w:rsidRPr="009E4F77">
        <w:t>Earth observation for Sustainable Development Goals: technologies, spectrum, applications, impacts</w:t>
      </w:r>
      <w:r w:rsidRPr="009E4F77">
        <w:t>”, 16-17 September 2024, Almaty, Kazakhstan.</w:t>
      </w:r>
    </w:p>
    <w:p w14:paraId="44E3AA85" w14:textId="18E722F0" w:rsidR="009402C9" w:rsidRDefault="009402C9" w:rsidP="009E4F77">
      <w:pPr>
        <w:pStyle w:val="enumlev1"/>
      </w:pPr>
      <w:r w:rsidRPr="009E4F77">
        <w:t>–</w:t>
      </w:r>
      <w:r w:rsidRPr="009E4F77">
        <w:tab/>
        <w:t>ITU</w:t>
      </w:r>
      <w:r w:rsidRPr="00E30D84">
        <w:t xml:space="preserve"> Workshop on Radioastronomy</w:t>
      </w:r>
      <w:r w:rsidRPr="0079657E">
        <w:t>, 16 September 2024, Almaty, Kazakhstan</w:t>
      </w:r>
      <w:r>
        <w:t>.</w:t>
      </w:r>
    </w:p>
    <w:p w14:paraId="21638328" w14:textId="377C8D66" w:rsidR="0025739A" w:rsidRPr="00745008" w:rsidRDefault="0025739A" w:rsidP="001732C2">
      <w:r w:rsidRPr="00745008">
        <w:t>The next meeting of Study Group 7 is scheduled for</w:t>
      </w:r>
      <w:r w:rsidRPr="00745008" w:rsidDel="00416CDB">
        <w:rPr>
          <w:szCs w:val="24"/>
        </w:rPr>
        <w:t xml:space="preserve"> </w:t>
      </w:r>
      <w:r w:rsidR="0025131C">
        <w:rPr>
          <w:szCs w:val="24"/>
        </w:rPr>
        <w:t>27</w:t>
      </w:r>
      <w:r>
        <w:rPr>
          <w:szCs w:val="24"/>
        </w:rPr>
        <w:t xml:space="preserve"> March 202</w:t>
      </w:r>
      <w:r w:rsidR="0025131C">
        <w:rPr>
          <w:szCs w:val="24"/>
        </w:rPr>
        <w:t>5</w:t>
      </w:r>
      <w:r w:rsidRPr="00745008">
        <w:t xml:space="preserve">, while WPs </w:t>
      </w:r>
      <w:r>
        <w:t xml:space="preserve">7A, </w:t>
      </w:r>
      <w:r w:rsidRPr="00745008">
        <w:t xml:space="preserve">7B, 7C and 7D are planned to meet from </w:t>
      </w:r>
      <w:r w:rsidR="000B6EB7">
        <w:t>17</w:t>
      </w:r>
      <w:r w:rsidRPr="00745008">
        <w:t xml:space="preserve"> to </w:t>
      </w:r>
      <w:r w:rsidR="000B6EB7">
        <w:t>26</w:t>
      </w:r>
      <w:r w:rsidRPr="00745008">
        <w:t xml:space="preserve"> </w:t>
      </w:r>
      <w:r>
        <w:t>March</w:t>
      </w:r>
      <w:r w:rsidRPr="00745008">
        <w:t xml:space="preserve"> 202</w:t>
      </w:r>
      <w:r w:rsidR="000B6EB7">
        <w:t>5</w:t>
      </w:r>
      <w:r w:rsidRPr="00745008">
        <w:t>.</w:t>
      </w:r>
    </w:p>
    <w:p w14:paraId="01AB5B4B" w14:textId="404957B3" w:rsidR="0025739A" w:rsidRPr="00745008" w:rsidRDefault="0073398E" w:rsidP="001732C2">
      <w:pPr>
        <w:pStyle w:val="Heading2"/>
      </w:pPr>
      <w:r>
        <w:t>5</w:t>
      </w:r>
      <w:r w:rsidR="0025739A" w:rsidRPr="00745008">
        <w:t>.7</w:t>
      </w:r>
      <w:r w:rsidR="0025739A" w:rsidRPr="00745008">
        <w:tab/>
      </w:r>
      <w:r w:rsidR="0025739A" w:rsidRPr="001732C2">
        <w:t>Coordination</w:t>
      </w:r>
      <w:r w:rsidR="0025739A" w:rsidRPr="00745008">
        <w:t xml:space="preserve"> Committee for Vocabulary</w:t>
      </w:r>
    </w:p>
    <w:p w14:paraId="39BF277B" w14:textId="41FAAB0D" w:rsidR="00234E0B" w:rsidRPr="00745008" w:rsidRDefault="00234E0B" w:rsidP="001732C2">
      <w:r w:rsidRPr="00745008">
        <w:t xml:space="preserve">The ITU </w:t>
      </w:r>
      <w:r w:rsidR="00B27590" w:rsidRPr="00C91AD1">
        <w:t xml:space="preserve">Coordination Committee for Terminology (CCT) </w:t>
      </w:r>
      <w:r w:rsidRPr="00745008">
        <w:t>is composed of:</w:t>
      </w:r>
    </w:p>
    <w:p w14:paraId="755A5AA5" w14:textId="01A76655" w:rsidR="00234E0B" w:rsidRPr="009E4F77" w:rsidRDefault="00234E0B" w:rsidP="009E4F77">
      <w:pPr>
        <w:pStyle w:val="enumlev1"/>
      </w:pPr>
      <w:r w:rsidRPr="00745008">
        <w:t>−</w:t>
      </w:r>
      <w:r w:rsidRPr="00745008">
        <w:tab/>
        <w:t xml:space="preserve">ITU-R </w:t>
      </w:r>
      <w:r w:rsidR="00F24811" w:rsidRPr="009E4F77">
        <w:t>Coordination Committee for Vocabulary (</w:t>
      </w:r>
      <w:r w:rsidRPr="009E4F77">
        <w:t>CCV</w:t>
      </w:r>
      <w:r w:rsidR="00F24811" w:rsidRPr="009E4F77">
        <w:t>)</w:t>
      </w:r>
      <w:r w:rsidRPr="009E4F77">
        <w:t xml:space="preserve"> functioning in accordance with Resolution ITU-R </w:t>
      </w:r>
      <w:proofErr w:type="gramStart"/>
      <w:r w:rsidRPr="009E4F77">
        <w:t>36;</w:t>
      </w:r>
      <w:proofErr w:type="gramEnd"/>
    </w:p>
    <w:p w14:paraId="13301F5B" w14:textId="3EF43BB5" w:rsidR="00B27590" w:rsidRPr="009E4F77" w:rsidRDefault="00234E0B" w:rsidP="009E4F77">
      <w:pPr>
        <w:pStyle w:val="enumlev1"/>
      </w:pPr>
      <w:r w:rsidRPr="009E4F77">
        <w:t>−</w:t>
      </w:r>
      <w:r w:rsidRPr="009E4F77">
        <w:tab/>
        <w:t xml:space="preserve">ITU-T </w:t>
      </w:r>
      <w:r w:rsidR="00F24811" w:rsidRPr="009E4F77">
        <w:t>Standardization Committee for Vocabulary (</w:t>
      </w:r>
      <w:r w:rsidRPr="009E4F77">
        <w:t>SCV</w:t>
      </w:r>
      <w:r w:rsidR="00F24811" w:rsidRPr="009E4F77">
        <w:t>)</w:t>
      </w:r>
      <w:r w:rsidRPr="009E4F77">
        <w:t xml:space="preserve"> functioning in accordance with WTSA Resolution 67 (Rev. </w:t>
      </w:r>
      <w:r w:rsidR="00B27590" w:rsidRPr="009E4F77">
        <w:t>New Delhi</w:t>
      </w:r>
      <w:r w:rsidRPr="009E4F77">
        <w:t>, 202</w:t>
      </w:r>
      <w:r w:rsidR="00B27590" w:rsidRPr="009E4F77">
        <w:t>4</w:t>
      </w:r>
      <w:r w:rsidRPr="009E4F77">
        <w:t>)</w:t>
      </w:r>
      <w:r w:rsidR="00035DC7" w:rsidRPr="009E4F77">
        <w:t>;</w:t>
      </w:r>
      <w:r w:rsidRPr="009E4F77">
        <w:t xml:space="preserve"> and </w:t>
      </w:r>
    </w:p>
    <w:p w14:paraId="2654584A" w14:textId="4AD2C72E" w:rsidR="00234E0B" w:rsidRDefault="00234E0B" w:rsidP="009E4F77">
      <w:pPr>
        <w:pStyle w:val="enumlev1"/>
      </w:pPr>
      <w:r w:rsidRPr="009E4F77">
        <w:t>−</w:t>
      </w:r>
      <w:r w:rsidRPr="009E4F77">
        <w:tab/>
        <w:t>representatives</w:t>
      </w:r>
      <w:r w:rsidRPr="00745008">
        <w:t xml:space="preserve"> of ITU-D.</w:t>
      </w:r>
    </w:p>
    <w:p w14:paraId="4DF239A3" w14:textId="09A46A49" w:rsidR="00FB2BB7" w:rsidRPr="00C91AD1" w:rsidRDefault="00FB2BB7" w:rsidP="001732C2">
      <w:r w:rsidRPr="00C91AD1">
        <w:t>The ITU CCT is continuing its work in harmonizing terminology and definitions within ITU, based on proposals submitted by ITU study groups in English</w:t>
      </w:r>
      <w:r w:rsidR="0092450A">
        <w:t>,</w:t>
      </w:r>
      <w:r w:rsidRPr="00C91AD1">
        <w:t xml:space="preserve"> and validating their translation into the other five official languages of the Union. The work of the CCT has been </w:t>
      </w:r>
      <w:r>
        <w:t xml:space="preserve">led </w:t>
      </w:r>
      <w:r w:rsidRPr="00C91AD1">
        <w:t>by the Chairs of the CCV and the SCV</w:t>
      </w:r>
      <w:r>
        <w:t xml:space="preserve"> with the active support</w:t>
      </w:r>
      <w:r w:rsidRPr="00C91AD1">
        <w:t xml:space="preserve"> </w:t>
      </w:r>
      <w:r>
        <w:t xml:space="preserve">of the </w:t>
      </w:r>
      <w:r w:rsidRPr="00C91AD1">
        <w:t>Vice-Chairs</w:t>
      </w:r>
      <w:r>
        <w:t>,</w:t>
      </w:r>
      <w:r w:rsidRPr="00C91AD1">
        <w:t xml:space="preserve"> the Rapporteurs for Vocabulary </w:t>
      </w:r>
      <w:r>
        <w:t xml:space="preserve">and other representatives </w:t>
      </w:r>
      <w:r w:rsidRPr="00C91AD1">
        <w:t xml:space="preserve">of the three ITU Sectors. </w:t>
      </w:r>
    </w:p>
    <w:p w14:paraId="42AFF471" w14:textId="636A9841" w:rsidR="004473FB" w:rsidRPr="00745008" w:rsidRDefault="009C5C81" w:rsidP="001732C2">
      <w:r w:rsidRPr="00C91AD1">
        <w:t xml:space="preserve">The new </w:t>
      </w:r>
      <w:hyperlink r:id="rId26" w:history="1">
        <w:r w:rsidRPr="00C91AD1">
          <w:rPr>
            <w:rStyle w:val="Hyperlink"/>
          </w:rPr>
          <w:t>ITU</w:t>
        </w:r>
        <w:r w:rsidRPr="00C91AD1">
          <w:rPr>
            <w:rStyle w:val="Hyperlink"/>
          </w:rPr>
          <w:t xml:space="preserve"> </w:t>
        </w:r>
        <w:r w:rsidRPr="00C91AD1">
          <w:rPr>
            <w:rStyle w:val="Hyperlink"/>
          </w:rPr>
          <w:t>CCT webpage</w:t>
        </w:r>
      </w:hyperlink>
      <w:r w:rsidRPr="00C91AD1">
        <w:rPr>
          <w:color w:val="222A35"/>
        </w:rPr>
        <w:t xml:space="preserve"> </w:t>
      </w:r>
      <w:r w:rsidRPr="00C91AD1">
        <w:t xml:space="preserve">has been placed under the General Secretariat as requested by the membership, and can be accessed via the SCV and CCV webpages as well as from the Intersectoral </w:t>
      </w:r>
      <w:r w:rsidRPr="00C91AD1">
        <w:lastRenderedPageBreak/>
        <w:t xml:space="preserve">Coordination webpage, the Multilingualism page and the Quick Links section on the main General Secretariat landing page. Work </w:t>
      </w:r>
      <w:proofErr w:type="gramStart"/>
      <w:r>
        <w:t>continues</w:t>
      </w:r>
      <w:r w:rsidRPr="00C91AD1">
        <w:t xml:space="preserve"> </w:t>
      </w:r>
      <w:r>
        <w:t>on</w:t>
      </w:r>
      <w:proofErr w:type="gramEnd"/>
      <w:r>
        <w:t xml:space="preserve"> adapting the look and feel of the webpage to harmonize it with those of other groups of the Union.</w:t>
      </w:r>
    </w:p>
    <w:p w14:paraId="65B318A8" w14:textId="77777777" w:rsidR="0075529E" w:rsidRPr="00C91AD1" w:rsidRDefault="0075529E" w:rsidP="001732C2">
      <w:pPr>
        <w:rPr>
          <w:color w:val="222A35"/>
        </w:rPr>
      </w:pPr>
      <w:r w:rsidRPr="00C91AD1">
        <w:t xml:space="preserve">An updated version of Council Resolution 1386 on the ITU Coordination Committee for Terminology was approved in ITU Council in June 2024, including terms of reference of ITU CCT, which align with Resolution 154 (Rev. Bucharest, 2022) of the Plenipotentiary Conference. As the work of ITU CCT has evolved, the committee will </w:t>
      </w:r>
      <w:r>
        <w:t>consider</w:t>
      </w:r>
      <w:r w:rsidRPr="00C91AD1">
        <w:t xml:space="preserve"> submit</w:t>
      </w:r>
      <w:r>
        <w:t>ting</w:t>
      </w:r>
      <w:r w:rsidRPr="00C91AD1">
        <w:t xml:space="preserve"> to CWG-LANG proposed revisions to Resolution 154 to better reflect its current focus.</w:t>
      </w:r>
    </w:p>
    <w:p w14:paraId="2564D87B" w14:textId="77777777" w:rsidR="00462934" w:rsidRPr="00C91AD1" w:rsidRDefault="00462934" w:rsidP="001732C2">
      <w:pPr>
        <w:rPr>
          <w:rFonts w:ascii="Aptos" w:hAnsi="Aptos"/>
          <w:sz w:val="22"/>
        </w:rPr>
      </w:pPr>
      <w:r w:rsidRPr="00C91AD1">
        <w:t xml:space="preserve">There has been a positive response to circular letter </w:t>
      </w:r>
      <w:hyperlink r:id="rId27" w:tgtFrame="_blank" w:tooltip="https://www.itu.int/md/s23-sg-cir-0045/en" w:history="1">
        <w:r w:rsidRPr="00C91AD1">
          <w:rPr>
            <w:rStyle w:val="Hyperlink"/>
          </w:rPr>
          <w:t>CL-23</w:t>
        </w:r>
        <w:r w:rsidRPr="00C91AD1">
          <w:rPr>
            <w:rStyle w:val="Hyperlink"/>
          </w:rPr>
          <w:t>/</w:t>
        </w:r>
        <w:r w:rsidRPr="00C91AD1">
          <w:rPr>
            <w:rStyle w:val="Hyperlink"/>
          </w:rPr>
          <w:t>45</w:t>
        </w:r>
      </w:hyperlink>
      <w:r w:rsidRPr="00C91AD1">
        <w:t xml:space="preserve"> inviting all Member States to recommend suitable entities interested in collaborating with the Conferences and Publications Department (C&amp;P) on terminology. Collaboration with four institutions began in July 2024: the Communication, Space and Technology Commission (CST) of Saudi Arabia, China Institute of Communications (CIC), M.I. </w:t>
      </w:r>
      <w:proofErr w:type="spellStart"/>
      <w:r w:rsidRPr="00C91AD1">
        <w:t>Krivosheev</w:t>
      </w:r>
      <w:proofErr w:type="spellEnd"/>
      <w:r w:rsidRPr="00C91AD1">
        <w:t xml:space="preserve"> Radio Research and Development Institute (NIIR) of Russia, and </w:t>
      </w:r>
      <w:r w:rsidRPr="00C91AD1">
        <w:rPr>
          <w:i/>
          <w:iCs/>
        </w:rPr>
        <w:t xml:space="preserve">Colegio </w:t>
      </w:r>
      <w:proofErr w:type="spellStart"/>
      <w:r w:rsidRPr="00C91AD1">
        <w:rPr>
          <w:i/>
          <w:iCs/>
        </w:rPr>
        <w:t>Oficial</w:t>
      </w:r>
      <w:proofErr w:type="spellEnd"/>
      <w:r w:rsidRPr="00C91AD1">
        <w:rPr>
          <w:i/>
          <w:iCs/>
        </w:rPr>
        <w:t xml:space="preserve"> de </w:t>
      </w:r>
      <w:proofErr w:type="spellStart"/>
      <w:r w:rsidRPr="00C91AD1">
        <w:rPr>
          <w:i/>
          <w:iCs/>
        </w:rPr>
        <w:t>Ingenieros</w:t>
      </w:r>
      <w:proofErr w:type="spellEnd"/>
      <w:r w:rsidRPr="00C91AD1">
        <w:rPr>
          <w:i/>
          <w:iCs/>
        </w:rPr>
        <w:t xml:space="preserve"> de </w:t>
      </w:r>
      <w:proofErr w:type="spellStart"/>
      <w:r w:rsidRPr="00C91AD1">
        <w:rPr>
          <w:i/>
          <w:iCs/>
        </w:rPr>
        <w:t>Telecommunicación</w:t>
      </w:r>
      <w:proofErr w:type="spellEnd"/>
      <w:r w:rsidRPr="00C91AD1">
        <w:t xml:space="preserve"> (COIT) of Spain. C&amp;P has been working closely with these institutes in translating terms and definitions into other official languages. To provide more multilingual content in the ITU Terms and Definitions database, C&amp;P and the Telecommunication Standardization Bureau are additionally developing a solution to incorporate translations of terms and definitions from previously translated ITU-T recommendations.</w:t>
      </w:r>
    </w:p>
    <w:p w14:paraId="186039F5" w14:textId="16C053DE" w:rsidR="00D770C4" w:rsidRDefault="00D770C4" w:rsidP="001732C2">
      <w:r>
        <w:t xml:space="preserve">The </w:t>
      </w:r>
      <w:r w:rsidR="00B25C09">
        <w:t xml:space="preserve">terms and definitions in English validated by the CCT are translated into the other five official languages of the Union before introducing them into the </w:t>
      </w:r>
      <w:hyperlink r:id="rId28" w:anchor="/" w:history="1">
        <w:r w:rsidR="00B25C09" w:rsidRPr="00745008">
          <w:rPr>
            <w:rStyle w:val="Hyperlink"/>
          </w:rPr>
          <w:t>ITU Terms and defi</w:t>
        </w:r>
        <w:r w:rsidR="00B25C09" w:rsidRPr="00745008">
          <w:rPr>
            <w:rStyle w:val="Hyperlink"/>
          </w:rPr>
          <w:t>n</w:t>
        </w:r>
        <w:r w:rsidR="00B25C09" w:rsidRPr="00745008">
          <w:rPr>
            <w:rStyle w:val="Hyperlink"/>
          </w:rPr>
          <w:t>itions database</w:t>
        </w:r>
      </w:hyperlink>
      <w:r w:rsidR="00B25C09" w:rsidRPr="00745008">
        <w:t>.</w:t>
      </w:r>
    </w:p>
    <w:p w14:paraId="4A1E578C" w14:textId="77777777" w:rsidR="0025739A" w:rsidRPr="00745008" w:rsidRDefault="0025739A" w:rsidP="001732C2">
      <w:pPr>
        <w:rPr>
          <w:lang w:val="en-US"/>
        </w:rPr>
      </w:pPr>
      <w:r w:rsidRPr="00745008">
        <w:rPr>
          <w:lang w:val="en-US"/>
        </w:rPr>
        <w:t>ITU-R and ITU-T study groups, within their terms of reference, should continue their work on technical and operational terms and their definitions in English only.</w:t>
      </w:r>
    </w:p>
    <w:p w14:paraId="09117BFE" w14:textId="7C297173" w:rsidR="0025739A" w:rsidRPr="00745008" w:rsidRDefault="0025739A" w:rsidP="001732C2">
      <w:pPr>
        <w:rPr>
          <w:lang w:val="en-US" w:bidi="en-US"/>
        </w:rPr>
      </w:pPr>
      <w:r w:rsidRPr="00745008">
        <w:rPr>
          <w:lang w:val="en-US"/>
        </w:rPr>
        <w:t xml:space="preserve">The next meeting of CCT is scheduled </w:t>
      </w:r>
      <w:r w:rsidR="006A7698">
        <w:rPr>
          <w:lang w:val="en-US"/>
        </w:rPr>
        <w:t>on 11</w:t>
      </w:r>
      <w:r w:rsidR="006A7698" w:rsidRPr="00745008">
        <w:rPr>
          <w:lang w:val="en-US"/>
        </w:rPr>
        <w:t xml:space="preserve"> </w:t>
      </w:r>
      <w:r w:rsidR="00B20BC2">
        <w:rPr>
          <w:lang w:val="en-US"/>
        </w:rPr>
        <w:t>March</w:t>
      </w:r>
      <w:r w:rsidR="00B20BC2" w:rsidRPr="00745008">
        <w:rPr>
          <w:lang w:val="en-US"/>
        </w:rPr>
        <w:t xml:space="preserve"> </w:t>
      </w:r>
      <w:r w:rsidRPr="00745008">
        <w:rPr>
          <w:lang w:val="en-US"/>
        </w:rPr>
        <w:t>20</w:t>
      </w:r>
      <w:r>
        <w:rPr>
          <w:lang w:val="en-US"/>
        </w:rPr>
        <w:t>2</w:t>
      </w:r>
      <w:r w:rsidR="00B20BC2">
        <w:rPr>
          <w:lang w:val="en-US"/>
        </w:rPr>
        <w:t>5</w:t>
      </w:r>
      <w:r w:rsidRPr="00745008">
        <w:rPr>
          <w:lang w:val="en-US"/>
        </w:rPr>
        <w:t>.</w:t>
      </w:r>
    </w:p>
    <w:p w14:paraId="0A245871" w14:textId="268043BB" w:rsidR="00325EB8" w:rsidRDefault="0073398E" w:rsidP="00577624">
      <w:pPr>
        <w:pStyle w:val="Heading2"/>
      </w:pPr>
      <w:bookmarkStart w:id="17" w:name="_Hlk140676786"/>
      <w:r>
        <w:t>5</w:t>
      </w:r>
      <w:r w:rsidR="00325EB8">
        <w:t>.8</w:t>
      </w:r>
      <w:r w:rsidR="00325EB8">
        <w:tab/>
      </w:r>
      <w:r w:rsidR="00325EB8" w:rsidRPr="00577624">
        <w:t>Appointment</w:t>
      </w:r>
      <w:r w:rsidR="00772D81">
        <w:t xml:space="preserve"> of Vice-Chairs of Study Groups</w:t>
      </w:r>
      <w:r w:rsidR="00B53215">
        <w:t xml:space="preserve"> and the CCV</w:t>
      </w:r>
    </w:p>
    <w:p w14:paraId="2AC4C98E" w14:textId="79FFA2F6" w:rsidR="00202F28" w:rsidRDefault="00B53215" w:rsidP="00577624">
      <w:pPr>
        <w:rPr>
          <w:szCs w:val="24"/>
        </w:rPr>
      </w:pPr>
      <w:r>
        <w:t>At its Third Plenary Meeting</w:t>
      </w:r>
      <w:r w:rsidR="00C41A9E">
        <w:t xml:space="preserve"> (see Doc. </w:t>
      </w:r>
      <w:hyperlink r:id="rId29" w:history="1">
        <w:r w:rsidR="005A15E9" w:rsidRPr="005A15E9">
          <w:rPr>
            <w:rStyle w:val="Hyperlink"/>
          </w:rPr>
          <w:t>RA23/PLEN/10</w:t>
        </w:r>
        <w:r w:rsidR="005A15E9" w:rsidRPr="005A15E9">
          <w:rPr>
            <w:rStyle w:val="Hyperlink"/>
          </w:rPr>
          <w:t>1</w:t>
        </w:r>
        <w:r w:rsidR="005A15E9" w:rsidRPr="005A15E9">
          <w:rPr>
            <w:rStyle w:val="Hyperlink"/>
          </w:rPr>
          <w:t>(Rev.1)</w:t>
        </w:r>
      </w:hyperlink>
      <w:r w:rsidR="005A15E9">
        <w:t>)</w:t>
      </w:r>
      <w:r>
        <w:t>, the Radiocommunication Assembly 2023 (RA-23)</w:t>
      </w:r>
      <w:r w:rsidR="006F5907">
        <w:t xml:space="preserve"> decided </w:t>
      </w:r>
      <w:r w:rsidR="00EA02BB">
        <w:rPr>
          <w:szCs w:val="24"/>
        </w:rPr>
        <w:t xml:space="preserve">to delegate to the relevant groups (SGs, CCV, RAG, CPM) the responsibility for appointing their respective </w:t>
      </w:r>
      <w:r w:rsidR="009F0DE0">
        <w:rPr>
          <w:szCs w:val="24"/>
        </w:rPr>
        <w:t>v</w:t>
      </w:r>
      <w:r w:rsidR="00EA02BB">
        <w:rPr>
          <w:szCs w:val="24"/>
        </w:rPr>
        <w:t xml:space="preserve">ice-chairs based on Document </w:t>
      </w:r>
      <w:hyperlink r:id="rId30" w:history="1">
        <w:r w:rsidR="00EA02BB" w:rsidRPr="005A15E9">
          <w:rPr>
            <w:rStyle w:val="Hyperlink"/>
            <w:szCs w:val="24"/>
          </w:rPr>
          <w:t>RA23/PL</w:t>
        </w:r>
        <w:r w:rsidR="00EA02BB" w:rsidRPr="005A15E9">
          <w:rPr>
            <w:rStyle w:val="Hyperlink"/>
            <w:szCs w:val="24"/>
          </w:rPr>
          <w:t>E</w:t>
        </w:r>
        <w:r w:rsidR="00EA02BB" w:rsidRPr="005A15E9">
          <w:rPr>
            <w:rStyle w:val="Hyperlink"/>
            <w:szCs w:val="24"/>
          </w:rPr>
          <w:t>N/91</w:t>
        </w:r>
      </w:hyperlink>
      <w:r w:rsidR="00EA02BB">
        <w:rPr>
          <w:szCs w:val="24"/>
        </w:rPr>
        <w:t>.</w:t>
      </w:r>
    </w:p>
    <w:p w14:paraId="0475CED6" w14:textId="7EAE3A4C" w:rsidR="00B53215" w:rsidRDefault="00AF4E3F" w:rsidP="00577624">
      <w:pPr>
        <w:rPr>
          <w:szCs w:val="24"/>
        </w:rPr>
      </w:pPr>
      <w:r>
        <w:rPr>
          <w:szCs w:val="24"/>
        </w:rPr>
        <w:t>During the meetings in</w:t>
      </w:r>
      <w:r w:rsidR="005A7E0F">
        <w:rPr>
          <w:szCs w:val="24"/>
        </w:rPr>
        <w:t xml:space="preserve"> 2024</w:t>
      </w:r>
      <w:r w:rsidR="00D46687">
        <w:rPr>
          <w:szCs w:val="24"/>
        </w:rPr>
        <w:t xml:space="preserve">, each SG appointed their </w:t>
      </w:r>
      <w:r w:rsidR="005B5DAB">
        <w:rPr>
          <w:szCs w:val="24"/>
        </w:rPr>
        <w:t xml:space="preserve">vice-chairs </w:t>
      </w:r>
      <w:r w:rsidR="00EA18D6">
        <w:rPr>
          <w:szCs w:val="24"/>
        </w:rPr>
        <w:t xml:space="preserve">following </w:t>
      </w:r>
      <w:r w:rsidR="00EA18D6" w:rsidRPr="0079657E">
        <w:t>the course of action described in Chapter II of the General Rules of Conferences, Assemblies and Meetings of the Union</w:t>
      </w:r>
      <w:r w:rsidR="00EA02BB">
        <w:rPr>
          <w:szCs w:val="24"/>
        </w:rPr>
        <w:t xml:space="preserve"> </w:t>
      </w:r>
      <w:r w:rsidR="008817E0">
        <w:rPr>
          <w:szCs w:val="24"/>
        </w:rPr>
        <w:t xml:space="preserve">for those candidates for which there was </w:t>
      </w:r>
      <w:r w:rsidR="0060408D">
        <w:rPr>
          <w:szCs w:val="24"/>
        </w:rPr>
        <w:t>no consensus.</w:t>
      </w:r>
      <w:r w:rsidR="00C261C7">
        <w:rPr>
          <w:szCs w:val="24"/>
        </w:rPr>
        <w:t xml:space="preserve"> All the Study Groups constituted their management team</w:t>
      </w:r>
      <w:r w:rsidR="009317AC">
        <w:rPr>
          <w:szCs w:val="24"/>
        </w:rPr>
        <w:t xml:space="preserve"> accordingly</w:t>
      </w:r>
      <w:r w:rsidR="00C261C7">
        <w:rPr>
          <w:szCs w:val="24"/>
        </w:rPr>
        <w:t>.</w:t>
      </w:r>
    </w:p>
    <w:p w14:paraId="6228FFA6" w14:textId="5D7017CD" w:rsidR="0026189A" w:rsidRPr="00B53215" w:rsidRDefault="0026189A" w:rsidP="00577624">
      <w:r>
        <w:rPr>
          <w:szCs w:val="24"/>
        </w:rPr>
        <w:t>At its meeting in April 2024, the CCV appointed its vice-chairs by consensus.</w:t>
      </w:r>
    </w:p>
    <w:p w14:paraId="7ECE627C" w14:textId="546B2800" w:rsidR="0025739A" w:rsidRDefault="008B399A" w:rsidP="00577624">
      <w:pPr>
        <w:pStyle w:val="Heading2"/>
      </w:pPr>
      <w:r>
        <w:t>5</w:t>
      </w:r>
      <w:r w:rsidR="0025739A">
        <w:t>.</w:t>
      </w:r>
      <w:r w:rsidR="00C868B9">
        <w:t>9</w:t>
      </w:r>
      <w:r w:rsidR="0025739A">
        <w:tab/>
        <w:t>Participation of Vice-Chairs in the work of their respective Groups</w:t>
      </w:r>
    </w:p>
    <w:p w14:paraId="4EA53D7C" w14:textId="2DEA6F41" w:rsidR="0025739A" w:rsidRDefault="0025739A" w:rsidP="00577624">
      <w:r w:rsidRPr="00E757EA">
        <w:t xml:space="preserve">In accordance with </w:t>
      </w:r>
      <w:r w:rsidRPr="00E233D9">
        <w:t>§ A1.4.5 of Resolution 1-9</w:t>
      </w:r>
      <w:r w:rsidRPr="00E757EA">
        <w:t>,</w:t>
      </w:r>
      <w:r w:rsidRPr="00E233D9">
        <w:t xml:space="preserve"> RAG shall be made aware of the non-attendance of Vice</w:t>
      </w:r>
      <w:r>
        <w:t>-</w:t>
      </w:r>
      <w:r w:rsidRPr="00E233D9">
        <w:t>Chairs at RAG and SG meetings</w:t>
      </w:r>
      <w:r>
        <w:t xml:space="preserve">. The participation of Vice-Chairs to the meetings of their concern during </w:t>
      </w:r>
      <w:r w:rsidR="00C868B9">
        <w:t>the year 2024</w:t>
      </w:r>
      <w:r>
        <w:t xml:space="preserve"> is reported hereinafter.</w:t>
      </w:r>
    </w:p>
    <w:p w14:paraId="3434A36D" w14:textId="3ABC241D" w:rsidR="0025739A" w:rsidRDefault="008B399A" w:rsidP="00577624">
      <w:pPr>
        <w:pStyle w:val="Heading3"/>
      </w:pPr>
      <w:r>
        <w:t>5</w:t>
      </w:r>
      <w:r w:rsidR="0025739A">
        <w:t>.</w:t>
      </w:r>
      <w:r w:rsidR="00C868B9">
        <w:t>9</w:t>
      </w:r>
      <w:r w:rsidR="0025739A">
        <w:t>.1</w:t>
      </w:r>
      <w:r w:rsidR="0025739A">
        <w:tab/>
        <w:t>Participation of SG 1 Vice-Chairs in the work of SG 1</w:t>
      </w:r>
    </w:p>
    <w:p w14:paraId="626E5D38" w14:textId="7D32E207" w:rsidR="0025739A" w:rsidRDefault="0025739A" w:rsidP="00577624">
      <w:r>
        <w:t>SG 1 appointed</w:t>
      </w:r>
      <w:r w:rsidR="00A54F7B">
        <w:t xml:space="preserve"> 15</w:t>
      </w:r>
      <w:r>
        <w:t xml:space="preserve"> Vice-Chairs for the </w:t>
      </w:r>
      <w:r w:rsidR="00C868B9">
        <w:t>2023</w:t>
      </w:r>
      <w:r>
        <w:t>-202</w:t>
      </w:r>
      <w:r w:rsidR="00C868B9">
        <w:t>7</w:t>
      </w:r>
      <w:r>
        <w:t xml:space="preserve"> study period.</w:t>
      </w:r>
    </w:p>
    <w:p w14:paraId="151A8464" w14:textId="5A71FCDA" w:rsidR="00A074A1" w:rsidRDefault="00A074A1" w:rsidP="009E4F77">
      <w:pPr>
        <w:pStyle w:val="enumlev1"/>
      </w:pPr>
      <w:r>
        <w:t>−</w:t>
      </w:r>
      <w:r>
        <w:tab/>
        <w:t>N</w:t>
      </w:r>
      <w:r w:rsidR="00885419">
        <w:t>umber</w:t>
      </w:r>
      <w:r>
        <w:t xml:space="preserve"> of SG 1 Vice-Chairs who </w:t>
      </w:r>
      <w:r w:rsidRPr="009E4F77">
        <w:t>participated</w:t>
      </w:r>
      <w:r>
        <w:t xml:space="preserve"> in the meeting of SG 1 in 2024: </w:t>
      </w:r>
      <w:r w:rsidRPr="00BE6491">
        <w:rPr>
          <w:b/>
          <w:bCs/>
        </w:rPr>
        <w:t>13/1</w:t>
      </w:r>
      <w:r w:rsidR="002706EE">
        <w:rPr>
          <w:b/>
          <w:bCs/>
        </w:rPr>
        <w:t>5</w:t>
      </w:r>
    </w:p>
    <w:p w14:paraId="510DB62F" w14:textId="518811E0" w:rsidR="0025739A" w:rsidRDefault="008B399A" w:rsidP="00577624">
      <w:pPr>
        <w:pStyle w:val="Heading3"/>
      </w:pPr>
      <w:r>
        <w:t>5</w:t>
      </w:r>
      <w:r w:rsidR="0025739A">
        <w:t>.</w:t>
      </w:r>
      <w:r w:rsidR="00A074A1">
        <w:t>9</w:t>
      </w:r>
      <w:r w:rsidR="0025739A">
        <w:t>.2</w:t>
      </w:r>
      <w:r w:rsidR="0025739A">
        <w:tab/>
        <w:t xml:space="preserve">Participation of SG 3 Vice-Chairs </w:t>
      </w:r>
      <w:r w:rsidR="0025739A" w:rsidRPr="00577624">
        <w:t>in</w:t>
      </w:r>
      <w:r w:rsidR="0025739A">
        <w:t xml:space="preserve"> the work of SG 3</w:t>
      </w:r>
    </w:p>
    <w:p w14:paraId="16130F0E" w14:textId="4415411A" w:rsidR="0025739A" w:rsidRDefault="0025739A" w:rsidP="00577624">
      <w:r>
        <w:t xml:space="preserve">SG 3 appointed </w:t>
      </w:r>
      <w:r w:rsidR="00A54F7B">
        <w:t xml:space="preserve">11 </w:t>
      </w:r>
      <w:r>
        <w:t>Vice-Chairs for the 20</w:t>
      </w:r>
      <w:r w:rsidR="00A36753">
        <w:t>23</w:t>
      </w:r>
      <w:r>
        <w:t>-202</w:t>
      </w:r>
      <w:r w:rsidR="00A36753">
        <w:t>7</w:t>
      </w:r>
      <w:r>
        <w:t xml:space="preserve"> study period.</w:t>
      </w:r>
    </w:p>
    <w:p w14:paraId="0CC19B9C" w14:textId="76AE9594" w:rsidR="00A36753" w:rsidRDefault="00A36753" w:rsidP="00577624">
      <w:pPr>
        <w:pStyle w:val="enumlev1"/>
      </w:pPr>
      <w:r>
        <w:t>−</w:t>
      </w:r>
      <w:r>
        <w:tab/>
      </w:r>
      <w:r w:rsidR="00885419">
        <w:t xml:space="preserve">Number </w:t>
      </w:r>
      <w:r>
        <w:t xml:space="preserve">of SG 3 Vice-Chairs who participated in the meeting of SG 3 in 2024: </w:t>
      </w:r>
      <w:r w:rsidR="00955BA7">
        <w:rPr>
          <w:b/>
          <w:bCs/>
        </w:rPr>
        <w:t>5</w:t>
      </w:r>
      <w:r w:rsidRPr="00360970">
        <w:rPr>
          <w:b/>
          <w:bCs/>
        </w:rPr>
        <w:t>/1</w:t>
      </w:r>
      <w:r>
        <w:rPr>
          <w:b/>
          <w:bCs/>
        </w:rPr>
        <w:t>1</w:t>
      </w:r>
    </w:p>
    <w:p w14:paraId="280C5A53" w14:textId="1FFB6881" w:rsidR="0025739A" w:rsidRDefault="008B399A" w:rsidP="00577624">
      <w:pPr>
        <w:pStyle w:val="Heading3"/>
      </w:pPr>
      <w:r>
        <w:lastRenderedPageBreak/>
        <w:t>5</w:t>
      </w:r>
      <w:r w:rsidR="0025739A">
        <w:t>.</w:t>
      </w:r>
      <w:r w:rsidR="00955BA7">
        <w:t>9</w:t>
      </w:r>
      <w:r w:rsidR="0025739A">
        <w:t>.3</w:t>
      </w:r>
      <w:r w:rsidR="0025739A">
        <w:tab/>
        <w:t xml:space="preserve">Participation of </w:t>
      </w:r>
      <w:r w:rsidR="0025739A" w:rsidRPr="00577624">
        <w:t>SG</w:t>
      </w:r>
      <w:r w:rsidR="0025739A">
        <w:t xml:space="preserve"> 4 Vice-Chairs in the work of SG 4</w:t>
      </w:r>
    </w:p>
    <w:p w14:paraId="7CF1E582" w14:textId="4082A4EF" w:rsidR="0025739A" w:rsidRDefault="0025739A" w:rsidP="00577624">
      <w:r>
        <w:t xml:space="preserve">SG 4 appointed </w:t>
      </w:r>
      <w:r w:rsidR="005F76EC">
        <w:t xml:space="preserve">19 </w:t>
      </w:r>
      <w:r>
        <w:t>Vice-Chairs for the 20</w:t>
      </w:r>
      <w:r w:rsidR="007060D7">
        <w:t>23</w:t>
      </w:r>
      <w:r>
        <w:t>-202</w:t>
      </w:r>
      <w:r w:rsidR="007060D7">
        <w:t>7</w:t>
      </w:r>
      <w:r>
        <w:t xml:space="preserve"> study period.</w:t>
      </w:r>
    </w:p>
    <w:p w14:paraId="66FEB7BE" w14:textId="280D9015" w:rsidR="0025739A" w:rsidRDefault="0025739A" w:rsidP="00577624">
      <w:r>
        <w:t xml:space="preserve">SG 4 held </w:t>
      </w:r>
      <w:r w:rsidR="00724DA6">
        <w:t>three</w:t>
      </w:r>
      <w:r w:rsidR="007032DB">
        <w:t xml:space="preserve"> </w:t>
      </w:r>
      <w:r>
        <w:t xml:space="preserve">meetings during </w:t>
      </w:r>
      <w:r w:rsidR="007032DB">
        <w:t>2024</w:t>
      </w:r>
      <w:r>
        <w:t>.</w:t>
      </w:r>
    </w:p>
    <w:p w14:paraId="54DBD641" w14:textId="12ED2FC4" w:rsidR="0025739A" w:rsidRPr="009E4F77" w:rsidRDefault="0025739A" w:rsidP="009E4F77">
      <w:pPr>
        <w:pStyle w:val="enumlev1"/>
      </w:pPr>
      <w:r>
        <w:t>−</w:t>
      </w:r>
      <w:r>
        <w:tab/>
        <w:t>N</w:t>
      </w:r>
      <w:r w:rsidR="00885419">
        <w:t>umber</w:t>
      </w:r>
      <w:r>
        <w:t xml:space="preserve"> </w:t>
      </w:r>
      <w:r w:rsidRPr="009E4F77">
        <w:t xml:space="preserve">of SG 4 Vice-Chairs who participated </w:t>
      </w:r>
      <w:r w:rsidR="00D81801" w:rsidRPr="009E4F77">
        <w:t xml:space="preserve">in </w:t>
      </w:r>
      <w:r w:rsidR="00B56195" w:rsidRPr="009E4F77">
        <w:t>the 23 April and 10 May 2024</w:t>
      </w:r>
      <w:r w:rsidRPr="009E4F77">
        <w:t xml:space="preserve"> SG 4 meetings: </w:t>
      </w:r>
      <w:r w:rsidR="00724DA6" w:rsidRPr="009E4F77">
        <w:t>16</w:t>
      </w:r>
      <w:r w:rsidRPr="009E4F77">
        <w:t>/19</w:t>
      </w:r>
    </w:p>
    <w:p w14:paraId="10B75A7A" w14:textId="4E6B8AA5" w:rsidR="0025739A" w:rsidRDefault="0025739A" w:rsidP="009E4F77">
      <w:pPr>
        <w:pStyle w:val="enumlev1"/>
      </w:pPr>
      <w:r w:rsidRPr="009E4F77">
        <w:t>−</w:t>
      </w:r>
      <w:r w:rsidRPr="009E4F77">
        <w:tab/>
        <w:t>N</w:t>
      </w:r>
      <w:r w:rsidR="00885419" w:rsidRPr="009E4F77">
        <w:t>umber</w:t>
      </w:r>
      <w:r w:rsidRPr="009E4F77">
        <w:t xml:space="preserve"> of SG</w:t>
      </w:r>
      <w:r>
        <w:t xml:space="preserve"> 4 Vice-Chairs who participated </w:t>
      </w:r>
      <w:r w:rsidR="00D81801">
        <w:t>in</w:t>
      </w:r>
      <w:r>
        <w:t xml:space="preserve"> </w:t>
      </w:r>
      <w:r w:rsidR="00724DA6">
        <w:t xml:space="preserve">the 1 November 2024 </w:t>
      </w:r>
      <w:r>
        <w:t xml:space="preserve">SG 4 meeting: </w:t>
      </w:r>
      <w:r w:rsidR="00780BCC">
        <w:rPr>
          <w:b/>
          <w:bCs/>
        </w:rPr>
        <w:t>17</w:t>
      </w:r>
      <w:r w:rsidRPr="00BE05DE">
        <w:rPr>
          <w:b/>
          <w:bCs/>
        </w:rPr>
        <w:t>/1</w:t>
      </w:r>
      <w:r>
        <w:rPr>
          <w:b/>
          <w:bCs/>
        </w:rPr>
        <w:t>9</w:t>
      </w:r>
    </w:p>
    <w:p w14:paraId="7572C420" w14:textId="64D553FE" w:rsidR="0025739A" w:rsidRDefault="008B399A" w:rsidP="00577624">
      <w:pPr>
        <w:pStyle w:val="Heading3"/>
      </w:pPr>
      <w:r>
        <w:t>5</w:t>
      </w:r>
      <w:r w:rsidR="0025739A">
        <w:t>.</w:t>
      </w:r>
      <w:r w:rsidR="00780BCC">
        <w:t>9</w:t>
      </w:r>
      <w:r w:rsidR="0025739A">
        <w:t>.4</w:t>
      </w:r>
      <w:r w:rsidR="0025739A">
        <w:tab/>
        <w:t>Participation of SG 5 Vice-</w:t>
      </w:r>
      <w:r w:rsidR="0025739A" w:rsidRPr="00577624">
        <w:t>Chairs</w:t>
      </w:r>
      <w:r w:rsidR="0025739A">
        <w:t xml:space="preserve"> in the work of SG 5</w:t>
      </w:r>
    </w:p>
    <w:p w14:paraId="4EDAEAEC" w14:textId="5EEDDEAC" w:rsidR="0025739A" w:rsidRDefault="0025739A" w:rsidP="00577624">
      <w:r>
        <w:t xml:space="preserve">SG 5 appointed </w:t>
      </w:r>
      <w:r w:rsidR="005F76EC">
        <w:t xml:space="preserve">19 </w:t>
      </w:r>
      <w:r>
        <w:t>Vice-Chairs for the 20</w:t>
      </w:r>
      <w:r w:rsidR="008C4240">
        <w:t>23</w:t>
      </w:r>
      <w:r>
        <w:t>-202</w:t>
      </w:r>
      <w:r w:rsidR="008C4240">
        <w:t>7</w:t>
      </w:r>
      <w:r>
        <w:t xml:space="preserve"> study period.</w:t>
      </w:r>
    </w:p>
    <w:p w14:paraId="3F733DC5" w14:textId="2574D3DF" w:rsidR="0025739A" w:rsidRPr="00461488" w:rsidRDefault="0025739A" w:rsidP="00577624">
      <w:r w:rsidRPr="00461488">
        <w:t xml:space="preserve">SG 5 held </w:t>
      </w:r>
      <w:r w:rsidR="00940146">
        <w:t>two</w:t>
      </w:r>
      <w:r w:rsidR="00940146" w:rsidRPr="00461488">
        <w:t xml:space="preserve"> </w:t>
      </w:r>
      <w:r w:rsidRPr="00461488">
        <w:t xml:space="preserve">meetings during </w:t>
      </w:r>
      <w:r w:rsidR="00940146">
        <w:t>2024</w:t>
      </w:r>
      <w:r w:rsidRPr="00461488">
        <w:t xml:space="preserve">. </w:t>
      </w:r>
    </w:p>
    <w:p w14:paraId="431586D5" w14:textId="7D8E686C" w:rsidR="0025739A" w:rsidRPr="009E4F77" w:rsidRDefault="0025739A" w:rsidP="009E4F77">
      <w:pPr>
        <w:pStyle w:val="enumlev1"/>
      </w:pPr>
      <w:r w:rsidRPr="00280016">
        <w:t>−</w:t>
      </w:r>
      <w:r w:rsidRPr="00280016">
        <w:tab/>
      </w:r>
      <w:r w:rsidRPr="009E4F77">
        <w:t>N</w:t>
      </w:r>
      <w:r w:rsidR="00885419" w:rsidRPr="009E4F77">
        <w:t>umber</w:t>
      </w:r>
      <w:r w:rsidRPr="009E4F77">
        <w:t xml:space="preserve"> of SG 5 Vice-Chairs who participated in </w:t>
      </w:r>
      <w:r w:rsidR="00D81801" w:rsidRPr="009E4F77">
        <w:t xml:space="preserve">the 13 May 2024 </w:t>
      </w:r>
      <w:r w:rsidRPr="009E4F77">
        <w:t xml:space="preserve">SG 5 meeting: </w:t>
      </w:r>
      <w:r w:rsidR="00725496" w:rsidRPr="009E4F77">
        <w:t>12</w:t>
      </w:r>
      <w:r w:rsidRPr="009E4F77">
        <w:t>/19</w:t>
      </w:r>
    </w:p>
    <w:p w14:paraId="2BE2722C" w14:textId="6602F0AD" w:rsidR="0025739A" w:rsidRPr="00777242" w:rsidRDefault="0025739A" w:rsidP="009E4F77">
      <w:pPr>
        <w:pStyle w:val="enumlev1"/>
      </w:pPr>
      <w:r w:rsidRPr="009E4F77">
        <w:t>−</w:t>
      </w:r>
      <w:r w:rsidRPr="009E4F77">
        <w:tab/>
        <w:t>N</w:t>
      </w:r>
      <w:r w:rsidR="00B66F51" w:rsidRPr="009E4F77">
        <w:t>umber</w:t>
      </w:r>
      <w:r w:rsidRPr="00777242">
        <w:t xml:space="preserve"> of SG 5 </w:t>
      </w:r>
      <w:r>
        <w:t>Vice-Chairs</w:t>
      </w:r>
      <w:r w:rsidRPr="00777242">
        <w:t xml:space="preserve"> who participated in </w:t>
      </w:r>
      <w:r w:rsidR="00725496">
        <w:t>the 2-3 December 2024</w:t>
      </w:r>
      <w:r w:rsidR="00725496" w:rsidRPr="00777242">
        <w:t xml:space="preserve"> </w:t>
      </w:r>
      <w:r w:rsidRPr="00777242">
        <w:t xml:space="preserve">SG 5 meeting: </w:t>
      </w:r>
      <w:r w:rsidR="00611607">
        <w:rPr>
          <w:b/>
          <w:bCs/>
        </w:rPr>
        <w:t>17</w:t>
      </w:r>
      <w:r w:rsidRPr="00777242">
        <w:rPr>
          <w:b/>
          <w:bCs/>
        </w:rPr>
        <w:t>/19</w:t>
      </w:r>
    </w:p>
    <w:p w14:paraId="5D1622A7" w14:textId="15A9CE44" w:rsidR="0025739A" w:rsidRDefault="008B399A" w:rsidP="00577624">
      <w:pPr>
        <w:pStyle w:val="Heading3"/>
      </w:pPr>
      <w:r>
        <w:t>5</w:t>
      </w:r>
      <w:r w:rsidR="0025739A">
        <w:t>.</w:t>
      </w:r>
      <w:r w:rsidR="00611607">
        <w:t>9</w:t>
      </w:r>
      <w:r w:rsidR="0025739A">
        <w:t>.5</w:t>
      </w:r>
      <w:r w:rsidR="0025739A">
        <w:tab/>
        <w:t>Participation of SG 6 Vice-Chairs in the work of SG 6</w:t>
      </w:r>
    </w:p>
    <w:p w14:paraId="353C54BC" w14:textId="0409049C" w:rsidR="0025739A" w:rsidRDefault="0025739A" w:rsidP="00577624">
      <w:r>
        <w:t xml:space="preserve">SG 6 appointed </w:t>
      </w:r>
      <w:r w:rsidR="005F76EC">
        <w:t xml:space="preserve">14 </w:t>
      </w:r>
      <w:r>
        <w:t>Vice-Chairs for the 2019-2023 study period.</w:t>
      </w:r>
    </w:p>
    <w:p w14:paraId="668B71A2" w14:textId="1F0BC40D" w:rsidR="0025739A" w:rsidRDefault="0025739A" w:rsidP="00577624">
      <w:r>
        <w:t xml:space="preserve">SG 6 held </w:t>
      </w:r>
      <w:r w:rsidR="00AB6CF1">
        <w:t xml:space="preserve">two </w:t>
      </w:r>
      <w:r>
        <w:t xml:space="preserve">meetings during </w:t>
      </w:r>
      <w:r w:rsidR="00AB6CF1">
        <w:t>2024</w:t>
      </w:r>
      <w:r>
        <w:t>.</w:t>
      </w:r>
    </w:p>
    <w:p w14:paraId="0E933CAE" w14:textId="2608969D" w:rsidR="0025739A" w:rsidRPr="009E4F77" w:rsidRDefault="0025739A" w:rsidP="009E4F77">
      <w:pPr>
        <w:pStyle w:val="enumlev1"/>
      </w:pPr>
      <w:r>
        <w:t>−</w:t>
      </w:r>
      <w:r>
        <w:tab/>
        <w:t>N</w:t>
      </w:r>
      <w:r w:rsidR="00B66F51">
        <w:t>umber</w:t>
      </w:r>
      <w:r>
        <w:t xml:space="preserve"> </w:t>
      </w:r>
      <w:r w:rsidRPr="009E4F77">
        <w:t xml:space="preserve">of SG 6 Vice-Chairs who participated in </w:t>
      </w:r>
      <w:r w:rsidR="00AB6CF1" w:rsidRPr="009E4F77">
        <w:t>the 15 March 2024</w:t>
      </w:r>
      <w:r w:rsidRPr="009E4F77">
        <w:t xml:space="preserve"> SG 6 meeting: </w:t>
      </w:r>
      <w:r w:rsidR="00154104" w:rsidRPr="009E4F77">
        <w:t>13</w:t>
      </w:r>
      <w:r w:rsidRPr="009E4F77">
        <w:t>/1</w:t>
      </w:r>
      <w:r w:rsidR="00154104" w:rsidRPr="009E4F77">
        <w:t>4</w:t>
      </w:r>
    </w:p>
    <w:p w14:paraId="418B971C" w14:textId="3E5D2542" w:rsidR="0025739A" w:rsidRDefault="0025739A" w:rsidP="009E4F77">
      <w:pPr>
        <w:pStyle w:val="enumlev1"/>
      </w:pPr>
      <w:r w:rsidRPr="009E4F77">
        <w:t>−</w:t>
      </w:r>
      <w:r w:rsidRPr="009E4F77">
        <w:tab/>
        <w:t>N</w:t>
      </w:r>
      <w:r w:rsidR="00B66F51" w:rsidRPr="009E4F77">
        <w:t>umber</w:t>
      </w:r>
      <w:r w:rsidRPr="009E4F77">
        <w:t xml:space="preserve"> of</w:t>
      </w:r>
      <w:r>
        <w:t xml:space="preserve"> SG 6 Vice-Chairs who participated in </w:t>
      </w:r>
      <w:r w:rsidR="00154104">
        <w:t>the 15 November 2024</w:t>
      </w:r>
      <w:r>
        <w:t xml:space="preserve"> SG 6 meeting: </w:t>
      </w:r>
      <w:r>
        <w:rPr>
          <w:b/>
          <w:bCs/>
        </w:rPr>
        <w:t>1</w:t>
      </w:r>
      <w:r w:rsidR="00154104">
        <w:rPr>
          <w:b/>
          <w:bCs/>
        </w:rPr>
        <w:t>3</w:t>
      </w:r>
      <w:r w:rsidRPr="00BE05DE">
        <w:rPr>
          <w:b/>
          <w:bCs/>
        </w:rPr>
        <w:t>/1</w:t>
      </w:r>
      <w:r w:rsidR="00154104">
        <w:rPr>
          <w:b/>
          <w:bCs/>
        </w:rPr>
        <w:t>4</w:t>
      </w:r>
    </w:p>
    <w:p w14:paraId="2341109D" w14:textId="107DE564" w:rsidR="0025739A" w:rsidRDefault="008B399A" w:rsidP="00577624">
      <w:pPr>
        <w:pStyle w:val="Heading3"/>
      </w:pPr>
      <w:r>
        <w:t>5</w:t>
      </w:r>
      <w:r w:rsidR="0025739A">
        <w:t>.</w:t>
      </w:r>
      <w:r w:rsidR="002B60F7">
        <w:t>9</w:t>
      </w:r>
      <w:r w:rsidR="0025739A">
        <w:t>.6</w:t>
      </w:r>
      <w:r w:rsidR="0025739A">
        <w:tab/>
        <w:t>Participation of SG 7 Vice-Chairs in the work of SG 7</w:t>
      </w:r>
    </w:p>
    <w:p w14:paraId="12271501" w14:textId="1C0EC3C0" w:rsidR="0025739A" w:rsidRDefault="0025739A" w:rsidP="00577624">
      <w:r>
        <w:t xml:space="preserve">SG 7 appointed </w:t>
      </w:r>
      <w:r w:rsidR="00EE096B">
        <w:t xml:space="preserve">10 </w:t>
      </w:r>
      <w:r>
        <w:t>Vice-Chairs for the 20</w:t>
      </w:r>
      <w:r w:rsidR="002B60F7">
        <w:t>23</w:t>
      </w:r>
      <w:r>
        <w:t>-202</w:t>
      </w:r>
      <w:r w:rsidR="002B60F7">
        <w:t>7</w:t>
      </w:r>
      <w:r>
        <w:t xml:space="preserve"> study period.</w:t>
      </w:r>
    </w:p>
    <w:p w14:paraId="23BE9F5A" w14:textId="5ACEC317" w:rsidR="008664B7" w:rsidRDefault="008664B7" w:rsidP="00577624">
      <w:pPr>
        <w:pStyle w:val="enumlev1"/>
      </w:pPr>
      <w:r>
        <w:t>−</w:t>
      </w:r>
      <w:r>
        <w:tab/>
      </w:r>
      <w:r w:rsidR="00B66F51">
        <w:t>Number</w:t>
      </w:r>
      <w:r>
        <w:t xml:space="preserve"> of SG 7 Vice-Chairs who participated in the meeting of SG 7 in 2024: </w:t>
      </w:r>
      <w:r w:rsidR="00131612" w:rsidRPr="00BE6491">
        <w:rPr>
          <w:b/>
          <w:bCs/>
        </w:rPr>
        <w:t>9</w:t>
      </w:r>
      <w:r w:rsidRPr="00360970">
        <w:rPr>
          <w:b/>
          <w:bCs/>
        </w:rPr>
        <w:t>/1</w:t>
      </w:r>
      <w:r w:rsidR="00131612">
        <w:rPr>
          <w:b/>
          <w:bCs/>
        </w:rPr>
        <w:t>0</w:t>
      </w:r>
    </w:p>
    <w:p w14:paraId="25B12F52" w14:textId="4C05F648" w:rsidR="0025739A" w:rsidRDefault="008B399A" w:rsidP="00577624">
      <w:pPr>
        <w:pStyle w:val="Heading3"/>
      </w:pPr>
      <w:r>
        <w:t>5</w:t>
      </w:r>
      <w:r w:rsidR="0025739A">
        <w:t>.</w:t>
      </w:r>
      <w:r w:rsidR="00E677D5">
        <w:t>9</w:t>
      </w:r>
      <w:r w:rsidR="0025739A">
        <w:t>.7</w:t>
      </w:r>
      <w:r w:rsidR="0025739A">
        <w:tab/>
        <w:t xml:space="preserve">Participation of </w:t>
      </w:r>
      <w:r w:rsidR="0025739A" w:rsidRPr="00577624">
        <w:t>CCV</w:t>
      </w:r>
      <w:r w:rsidR="0025739A">
        <w:t xml:space="preserve"> Vice-Chairs in the work of the ITU Coordination Committee for Terminology (CCT)</w:t>
      </w:r>
    </w:p>
    <w:p w14:paraId="19711B5B" w14:textId="1BC60B24" w:rsidR="0025739A" w:rsidRDefault="0025739A" w:rsidP="00577624">
      <w:r>
        <w:t xml:space="preserve">CCV appointed </w:t>
      </w:r>
      <w:r w:rsidR="00EE096B">
        <w:t xml:space="preserve">6 </w:t>
      </w:r>
      <w:r>
        <w:t>Vice-Chairs for this study period.</w:t>
      </w:r>
    </w:p>
    <w:p w14:paraId="23333F3D" w14:textId="5994D7C0" w:rsidR="0025739A" w:rsidRDefault="0025739A" w:rsidP="00577624">
      <w:r>
        <w:t>The</w:t>
      </w:r>
      <w:r w:rsidRPr="00BB7B8C">
        <w:t xml:space="preserve"> </w:t>
      </w:r>
      <w:r>
        <w:t xml:space="preserve">CCT held </w:t>
      </w:r>
      <w:r w:rsidR="00450523">
        <w:t xml:space="preserve">four </w:t>
      </w:r>
      <w:r>
        <w:t>conference calls during</w:t>
      </w:r>
      <w:r w:rsidR="00450523">
        <w:t xml:space="preserve"> 2024</w:t>
      </w:r>
      <w:r>
        <w:t>.</w:t>
      </w:r>
    </w:p>
    <w:p w14:paraId="000DBE16" w14:textId="57C470F1" w:rsidR="0025739A" w:rsidRPr="00777242" w:rsidRDefault="0025739A" w:rsidP="009E4F77">
      <w:pPr>
        <w:pStyle w:val="enumlev1"/>
        <w:rPr>
          <w:b/>
          <w:bCs/>
        </w:rPr>
      </w:pPr>
      <w:r w:rsidRPr="00777242">
        <w:t>−</w:t>
      </w:r>
      <w:r w:rsidRPr="00777242">
        <w:tab/>
        <w:t>N</w:t>
      </w:r>
      <w:r w:rsidR="00271373">
        <w:t>umber</w:t>
      </w:r>
      <w:r w:rsidRPr="00777242">
        <w:t xml:space="preserve"> of CCV </w:t>
      </w:r>
      <w:r>
        <w:t>Vice-Chairs</w:t>
      </w:r>
      <w:r w:rsidRPr="00777242">
        <w:t xml:space="preserve"> who </w:t>
      </w:r>
      <w:r w:rsidRPr="009E4F77">
        <w:t>participated</w:t>
      </w:r>
      <w:r w:rsidRPr="00777242">
        <w:t xml:space="preserve"> in </w:t>
      </w:r>
      <w:r w:rsidR="005931E8">
        <w:t>the 16 April 2024</w:t>
      </w:r>
      <w:r w:rsidR="00450523" w:rsidRPr="00777242">
        <w:t xml:space="preserve"> </w:t>
      </w:r>
      <w:r w:rsidRPr="00777242">
        <w:t xml:space="preserve">CCT </w:t>
      </w:r>
      <w:r>
        <w:t>conference call</w:t>
      </w:r>
      <w:r w:rsidRPr="00777242">
        <w:t xml:space="preserve">: </w:t>
      </w:r>
      <w:r w:rsidR="005931E8">
        <w:rPr>
          <w:b/>
          <w:bCs/>
        </w:rPr>
        <w:t>6</w:t>
      </w:r>
      <w:r w:rsidRPr="00777242">
        <w:rPr>
          <w:b/>
          <w:bCs/>
        </w:rPr>
        <w:t>/6</w:t>
      </w:r>
    </w:p>
    <w:p w14:paraId="2A420AF0" w14:textId="14045AEA" w:rsidR="0025739A" w:rsidRPr="00777242" w:rsidRDefault="0025739A" w:rsidP="009E4F77">
      <w:pPr>
        <w:pStyle w:val="enumlev1"/>
        <w:rPr>
          <w:b/>
          <w:bCs/>
        </w:rPr>
      </w:pPr>
      <w:r w:rsidRPr="00777242">
        <w:t>−</w:t>
      </w:r>
      <w:r w:rsidRPr="00777242">
        <w:tab/>
        <w:t>N</w:t>
      </w:r>
      <w:r w:rsidR="00271373">
        <w:t>umber</w:t>
      </w:r>
      <w:r w:rsidRPr="00777242">
        <w:t xml:space="preserve"> of CCV </w:t>
      </w:r>
      <w:r>
        <w:t>Vice-Chairs</w:t>
      </w:r>
      <w:r w:rsidRPr="00777242">
        <w:t xml:space="preserve"> who </w:t>
      </w:r>
      <w:r w:rsidRPr="009E4F77">
        <w:t>participated</w:t>
      </w:r>
      <w:r w:rsidRPr="00777242">
        <w:t xml:space="preserve"> in </w:t>
      </w:r>
      <w:r w:rsidR="00370789">
        <w:t>the 25 June 2024</w:t>
      </w:r>
      <w:r w:rsidRPr="00777242">
        <w:t xml:space="preserve"> CCT </w:t>
      </w:r>
      <w:r>
        <w:t>conference call</w:t>
      </w:r>
      <w:r w:rsidRPr="00777242">
        <w:t xml:space="preserve">: </w:t>
      </w:r>
      <w:r w:rsidR="00370789">
        <w:rPr>
          <w:b/>
          <w:bCs/>
        </w:rPr>
        <w:t>4</w:t>
      </w:r>
      <w:r w:rsidRPr="00777242">
        <w:rPr>
          <w:b/>
          <w:bCs/>
        </w:rPr>
        <w:t>/6</w:t>
      </w:r>
    </w:p>
    <w:p w14:paraId="42AA74D4" w14:textId="664C949C" w:rsidR="0025739A" w:rsidRPr="00777242" w:rsidRDefault="0025739A" w:rsidP="009E4F77">
      <w:pPr>
        <w:pStyle w:val="enumlev1"/>
        <w:rPr>
          <w:b/>
          <w:bCs/>
        </w:rPr>
      </w:pPr>
      <w:r w:rsidRPr="00777242">
        <w:t>−</w:t>
      </w:r>
      <w:r w:rsidRPr="00777242">
        <w:tab/>
        <w:t>N</w:t>
      </w:r>
      <w:r w:rsidR="00271373">
        <w:t>umber</w:t>
      </w:r>
      <w:r w:rsidRPr="00777242">
        <w:t xml:space="preserve"> of CCV </w:t>
      </w:r>
      <w:r>
        <w:t>Vice-Chairs</w:t>
      </w:r>
      <w:r w:rsidRPr="00777242">
        <w:t xml:space="preserve"> who </w:t>
      </w:r>
      <w:r w:rsidRPr="009E4F77">
        <w:t>participated</w:t>
      </w:r>
      <w:r w:rsidRPr="00777242">
        <w:t xml:space="preserve"> in </w:t>
      </w:r>
      <w:r w:rsidR="00370789">
        <w:t>the 17 September 2024</w:t>
      </w:r>
      <w:r w:rsidR="00370789" w:rsidRPr="00777242">
        <w:t xml:space="preserve"> </w:t>
      </w:r>
      <w:r w:rsidRPr="00777242">
        <w:t xml:space="preserve">CCT </w:t>
      </w:r>
      <w:r>
        <w:t>conference call</w:t>
      </w:r>
      <w:r w:rsidRPr="00777242">
        <w:t xml:space="preserve">: </w:t>
      </w:r>
      <w:r w:rsidR="00BC4E8C">
        <w:rPr>
          <w:b/>
          <w:bCs/>
        </w:rPr>
        <w:t>4</w:t>
      </w:r>
      <w:r w:rsidRPr="00777242">
        <w:rPr>
          <w:b/>
          <w:bCs/>
        </w:rPr>
        <w:t>/6</w:t>
      </w:r>
    </w:p>
    <w:p w14:paraId="2050AFC0" w14:textId="73734407" w:rsidR="0025739A" w:rsidRPr="00243EBE" w:rsidRDefault="0025739A" w:rsidP="009E4F77">
      <w:pPr>
        <w:pStyle w:val="enumlev1"/>
      </w:pPr>
      <w:r w:rsidRPr="00777242">
        <w:t>−</w:t>
      </w:r>
      <w:r w:rsidRPr="00777242">
        <w:tab/>
        <w:t>N</w:t>
      </w:r>
      <w:r w:rsidR="00271373">
        <w:t>umber</w:t>
      </w:r>
      <w:r w:rsidRPr="00777242">
        <w:t xml:space="preserve"> of CCV </w:t>
      </w:r>
      <w:r>
        <w:t>Vice-Chairs</w:t>
      </w:r>
      <w:r w:rsidRPr="00777242">
        <w:t xml:space="preserve"> who </w:t>
      </w:r>
      <w:r w:rsidRPr="009E4F77">
        <w:t>part</w:t>
      </w:r>
      <w:r w:rsidR="00BC4E8C" w:rsidRPr="009E4F77">
        <w:t>i</w:t>
      </w:r>
      <w:r w:rsidRPr="009E4F77">
        <w:t>cipate</w:t>
      </w:r>
      <w:r w:rsidR="00BC4E8C" w:rsidRPr="009E4F77">
        <w:t>d</w:t>
      </w:r>
      <w:r w:rsidRPr="00777242">
        <w:t xml:space="preserve"> in </w:t>
      </w:r>
      <w:r w:rsidR="00BC4E8C">
        <w:t>the 10 December 2024</w:t>
      </w:r>
      <w:r w:rsidRPr="00777242">
        <w:t xml:space="preserve"> CCT </w:t>
      </w:r>
      <w:r>
        <w:t>conference call</w:t>
      </w:r>
      <w:r w:rsidRPr="00777242">
        <w:t xml:space="preserve">: </w:t>
      </w:r>
      <w:r w:rsidR="003B4CF8">
        <w:rPr>
          <w:b/>
          <w:bCs/>
        </w:rPr>
        <w:t>3</w:t>
      </w:r>
      <w:r w:rsidRPr="00777242">
        <w:rPr>
          <w:b/>
          <w:bCs/>
        </w:rPr>
        <w:t>/6</w:t>
      </w:r>
    </w:p>
    <w:bookmarkEnd w:id="17"/>
    <w:p w14:paraId="126CC0D0" w14:textId="25A24364" w:rsidR="00563C3B" w:rsidRPr="00745008" w:rsidRDefault="00F00AA8" w:rsidP="00577624">
      <w:pPr>
        <w:pStyle w:val="Heading2"/>
      </w:pPr>
      <w:r>
        <w:t>5</w:t>
      </w:r>
      <w:r w:rsidR="0025739A">
        <w:t>.</w:t>
      </w:r>
      <w:r w:rsidR="00E677D5">
        <w:t>10</w:t>
      </w:r>
      <w:r w:rsidR="0025739A">
        <w:tab/>
      </w:r>
      <w:r w:rsidR="00563C3B">
        <w:t xml:space="preserve">CPM-27 </w:t>
      </w:r>
      <w:r w:rsidR="00563C3B" w:rsidRPr="00577624">
        <w:t>activities</w:t>
      </w:r>
      <w:r w:rsidR="00563C3B">
        <w:t xml:space="preserve"> and preparation for CPM27-2</w:t>
      </w:r>
    </w:p>
    <w:p w14:paraId="712D9FB6" w14:textId="27958102" w:rsidR="00563C3B" w:rsidRPr="00745008" w:rsidRDefault="005551A6" w:rsidP="00577624">
      <w:r>
        <w:t>A</w:t>
      </w:r>
      <w:r w:rsidR="00563C3B">
        <w:t xml:space="preserve"> summary of the </w:t>
      </w:r>
      <w:r w:rsidR="00563C3B" w:rsidRPr="009E76D7">
        <w:t>CPM-27 activities and preparation for CPM27-2</w:t>
      </w:r>
      <w:r w:rsidR="00563C3B">
        <w:t xml:space="preserve"> is provided in S</w:t>
      </w:r>
      <w:r w:rsidR="00563C3B" w:rsidRPr="00745008">
        <w:t xml:space="preserve">ection </w:t>
      </w:r>
      <w:r w:rsidR="00563C3B">
        <w:t>4</w:t>
      </w:r>
      <w:r w:rsidR="00563C3B" w:rsidRPr="00745008">
        <w:t xml:space="preserve"> of Doc. </w:t>
      </w:r>
      <w:hyperlink r:id="rId31" w:history="1">
        <w:r w:rsidR="00563C3B" w:rsidRPr="00BE6491">
          <w:rPr>
            <w:rStyle w:val="Hyperlink"/>
          </w:rPr>
          <w:t>RA</w:t>
        </w:r>
        <w:r w:rsidR="00563C3B" w:rsidRPr="00BE6491">
          <w:rPr>
            <w:rStyle w:val="Hyperlink"/>
          </w:rPr>
          <w:t>G</w:t>
        </w:r>
        <w:r w:rsidR="00563C3B" w:rsidRPr="00BE6491">
          <w:rPr>
            <w:rStyle w:val="Hyperlink"/>
          </w:rPr>
          <w:t>/30</w:t>
        </w:r>
      </w:hyperlink>
      <w:r w:rsidR="00563C3B" w:rsidRPr="00745008">
        <w:t>.</w:t>
      </w:r>
    </w:p>
    <w:p w14:paraId="25793E2D" w14:textId="5753D121" w:rsidR="0025739A" w:rsidRPr="00745008" w:rsidRDefault="00F00AA8" w:rsidP="00577624">
      <w:pPr>
        <w:pStyle w:val="Heading1"/>
      </w:pPr>
      <w:r>
        <w:t>6</w:t>
      </w:r>
      <w:r w:rsidR="0025739A" w:rsidRPr="00745008">
        <w:tab/>
        <w:t>Liaison and collaboration with ITU-D and ITU-T, and with other organizations</w:t>
      </w:r>
    </w:p>
    <w:p w14:paraId="3752F966" w14:textId="77777777" w:rsidR="0025739A" w:rsidRPr="00745008" w:rsidRDefault="0025739A" w:rsidP="00577624">
      <w:r w:rsidRPr="00745008">
        <w:t>Intersectoral activities have continued throughout the period, particularly concerning ITU’s priority topics of climate change, emergency communications and accessibility.</w:t>
      </w:r>
    </w:p>
    <w:p w14:paraId="0536889D" w14:textId="77777777" w:rsidR="0025739A" w:rsidRPr="00745008" w:rsidRDefault="0025739A" w:rsidP="00E757EA">
      <w:pPr>
        <w:keepNext/>
        <w:keepLines/>
        <w:jc w:val="both"/>
        <w:rPr>
          <w:iCs/>
        </w:rPr>
      </w:pPr>
      <w:r w:rsidRPr="00745008">
        <w:rPr>
          <w:i/>
        </w:rPr>
        <w:lastRenderedPageBreak/>
        <w:t>•</w:t>
      </w:r>
      <w:r w:rsidRPr="00745008">
        <w:tab/>
      </w:r>
      <w:r w:rsidRPr="00745008">
        <w:rPr>
          <w:i/>
        </w:rPr>
        <w:t>ITU</w:t>
      </w:r>
      <w:r w:rsidRPr="00745008">
        <w:rPr>
          <w:i/>
          <w:iCs/>
        </w:rPr>
        <w:t>-</w:t>
      </w:r>
      <w:r w:rsidRPr="00745008">
        <w:rPr>
          <w:i/>
        </w:rPr>
        <w:t>D</w:t>
      </w:r>
    </w:p>
    <w:p w14:paraId="18239840" w14:textId="77777777" w:rsidR="0025739A" w:rsidRPr="00745008" w:rsidRDefault="0025739A" w:rsidP="00577624">
      <w:r w:rsidRPr="00745008">
        <w:t>BR continues to contribute to the BDT workshops and seminars.</w:t>
      </w:r>
    </w:p>
    <w:p w14:paraId="28947EFB" w14:textId="4B5DA333" w:rsidR="0025739A" w:rsidRPr="00745008" w:rsidRDefault="0025739A" w:rsidP="00577624">
      <w:r w:rsidRPr="00745008">
        <w:t>BR actively participated in the meetings of the ITU-D SGs to provide the latest development in the activities of the ITU-R SGs, as well as guidance</w:t>
      </w:r>
      <w:r>
        <w:t xml:space="preserve"> and mapping</w:t>
      </w:r>
      <w:r w:rsidRPr="00745008">
        <w:t xml:space="preserve"> on ITU-R Recommendations, Reports and Handbooks of particular interest to developing countries</w:t>
      </w:r>
      <w:r>
        <w:t xml:space="preserve"> and studies developed by ITU-D SGs 1 and 2</w:t>
      </w:r>
      <w:r w:rsidRPr="00745008">
        <w:t>.</w:t>
      </w:r>
      <w:r w:rsidR="00BF0A7E" w:rsidRPr="00BF0A7E">
        <w:t xml:space="preserve"> </w:t>
      </w:r>
      <w:r w:rsidR="00BF0A7E">
        <w:t>ITU-R SGs or their WPs also responded to several liaison statements from ITU-D SGs related to the preparation of draft ITU-D Reports to WTDC-</w:t>
      </w:r>
      <w:r w:rsidR="00E30E1B">
        <w:t xml:space="preserve">25 </w:t>
      </w:r>
      <w:r w:rsidR="00BF0A7E">
        <w:t>in response to the ITU-D Questions approved at WTDC-22.</w:t>
      </w:r>
    </w:p>
    <w:p w14:paraId="63D831B5" w14:textId="77777777" w:rsidR="0025739A" w:rsidRPr="00745008" w:rsidRDefault="0025739A" w:rsidP="0067679B">
      <w:pPr>
        <w:keepNext/>
        <w:keepLines/>
        <w:jc w:val="both"/>
        <w:rPr>
          <w:i/>
        </w:rPr>
      </w:pPr>
      <w:r w:rsidRPr="00745008">
        <w:rPr>
          <w:i/>
        </w:rPr>
        <w:t>•</w:t>
      </w:r>
      <w:r w:rsidRPr="00745008">
        <w:tab/>
      </w:r>
      <w:r w:rsidRPr="00745008">
        <w:rPr>
          <w:i/>
        </w:rPr>
        <w:t>ITU</w:t>
      </w:r>
      <w:r w:rsidRPr="00745008">
        <w:rPr>
          <w:i/>
          <w:iCs/>
        </w:rPr>
        <w:t>-</w:t>
      </w:r>
      <w:r w:rsidRPr="00745008">
        <w:rPr>
          <w:i/>
        </w:rPr>
        <w:t>T</w:t>
      </w:r>
    </w:p>
    <w:p w14:paraId="75B93E32" w14:textId="07310F78" w:rsidR="00132ADB" w:rsidRDefault="0025739A" w:rsidP="00577624">
      <w:r w:rsidRPr="00745008">
        <w:t>In addition to climate change and emergency communications, topics of mutual interest between ITU</w:t>
      </w:r>
      <w:r w:rsidRPr="00745008">
        <w:noBreakHyphen/>
        <w:t>R and ITU-T include IMT, the effects of human exposure to radio frequencies, power line transmission systems, smart grid, smart cities, EMC/EMI, intelligent transport systems, audio-visual media accessibility, common patent policy and intellectual property rights.</w:t>
      </w:r>
    </w:p>
    <w:p w14:paraId="799B6F17" w14:textId="2EE12CDF" w:rsidR="0025739A" w:rsidRPr="00CC5CD3" w:rsidRDefault="0025739A" w:rsidP="0024117A">
      <w:pPr>
        <w:keepNext/>
        <w:keepLines/>
        <w:jc w:val="both"/>
        <w:rPr>
          <w:i/>
        </w:rPr>
      </w:pPr>
      <w:r w:rsidRPr="00CC5CD3">
        <w:rPr>
          <w:i/>
        </w:rPr>
        <w:t>•</w:t>
      </w:r>
      <w:r w:rsidRPr="00CC5CD3">
        <w:rPr>
          <w:i/>
        </w:rPr>
        <w:tab/>
      </w:r>
      <w:r w:rsidR="00CC5CD3" w:rsidRPr="00CC5CD3">
        <w:rPr>
          <w:i/>
        </w:rPr>
        <w:t xml:space="preserve">Other </w:t>
      </w:r>
      <w:r w:rsidR="00CC5CD3" w:rsidRPr="00577624">
        <w:rPr>
          <w:i/>
          <w:iCs/>
        </w:rPr>
        <w:t>organizations</w:t>
      </w:r>
    </w:p>
    <w:p w14:paraId="5B01CE40" w14:textId="0B143674" w:rsidR="0025739A" w:rsidRPr="00745008" w:rsidRDefault="001B7847" w:rsidP="00577624">
      <w:r>
        <w:t xml:space="preserve">Appropriate collaboration </w:t>
      </w:r>
      <w:r w:rsidR="0025739A" w:rsidRPr="00745008">
        <w:t xml:space="preserve">has continued between ITU-R SGs and other organizations, with due reference to Resolution </w:t>
      </w:r>
      <w:hyperlink r:id="rId32" w:history="1">
        <w:r w:rsidR="0025739A" w:rsidRPr="00745008">
          <w:rPr>
            <w:rStyle w:val="Hyperlink"/>
          </w:rPr>
          <w:t>ITU-</w:t>
        </w:r>
        <w:r w:rsidR="0025739A" w:rsidRPr="00745008">
          <w:rPr>
            <w:rStyle w:val="Hyperlink"/>
          </w:rPr>
          <w:t>R</w:t>
        </w:r>
        <w:r w:rsidR="0025739A" w:rsidRPr="00745008">
          <w:rPr>
            <w:rStyle w:val="Hyperlink"/>
          </w:rPr>
          <w:t xml:space="preserve"> 9</w:t>
        </w:r>
      </w:hyperlink>
      <w:r w:rsidR="0025739A" w:rsidRPr="00745008">
        <w:t xml:space="preserve">, where required. </w:t>
      </w:r>
    </w:p>
    <w:p w14:paraId="6F5241B1" w14:textId="77777777" w:rsidR="0025739A" w:rsidRPr="00745008" w:rsidRDefault="0025739A" w:rsidP="00577624">
      <w:r w:rsidRPr="00745008">
        <w:t>The Bureau continued to maintain close cooperation with several organizations with the following objectives:</w:t>
      </w:r>
    </w:p>
    <w:p w14:paraId="41AF1857" w14:textId="77777777" w:rsidR="0025739A" w:rsidRPr="00745008" w:rsidRDefault="0025739A" w:rsidP="00E757EA">
      <w:pPr>
        <w:pStyle w:val="ListParagraph"/>
        <w:numPr>
          <w:ilvl w:val="0"/>
          <w:numId w:val="1"/>
        </w:numPr>
        <w:tabs>
          <w:tab w:val="left" w:pos="794"/>
          <w:tab w:val="left" w:pos="1191"/>
          <w:tab w:val="left" w:pos="1588"/>
          <w:tab w:val="left" w:pos="1985"/>
        </w:tabs>
        <w:overflowPunct w:val="0"/>
        <w:autoSpaceDE w:val="0"/>
        <w:autoSpaceDN w:val="0"/>
        <w:adjustRightInd w:val="0"/>
        <w:jc w:val="both"/>
        <w:textAlignment w:val="baseline"/>
      </w:pPr>
      <w:r w:rsidRPr="00745008">
        <w:t xml:space="preserve">promote dialogue amongst bodies having common </w:t>
      </w:r>
      <w:proofErr w:type="gramStart"/>
      <w:r w:rsidRPr="00745008">
        <w:t>interests;</w:t>
      </w:r>
      <w:proofErr w:type="gramEnd"/>
    </w:p>
    <w:p w14:paraId="754590F4" w14:textId="77777777" w:rsidR="0025739A" w:rsidRPr="00745008" w:rsidRDefault="0025739A" w:rsidP="00E757EA">
      <w:pPr>
        <w:pStyle w:val="ListParagraph"/>
        <w:numPr>
          <w:ilvl w:val="0"/>
          <w:numId w:val="1"/>
        </w:numPr>
        <w:tabs>
          <w:tab w:val="left" w:pos="794"/>
          <w:tab w:val="left" w:pos="1191"/>
          <w:tab w:val="left" w:pos="1588"/>
          <w:tab w:val="left" w:pos="1985"/>
        </w:tabs>
        <w:overflowPunct w:val="0"/>
        <w:autoSpaceDE w:val="0"/>
        <w:autoSpaceDN w:val="0"/>
        <w:adjustRightInd w:val="0"/>
        <w:jc w:val="both"/>
        <w:textAlignment w:val="baseline"/>
      </w:pPr>
      <w:r w:rsidRPr="00745008">
        <w:t>improve coordination leading to more effective preparation for events such as WRCs; and</w:t>
      </w:r>
    </w:p>
    <w:p w14:paraId="08D6C832" w14:textId="77777777" w:rsidR="0025739A" w:rsidRPr="00745008" w:rsidRDefault="0025739A" w:rsidP="00E757EA">
      <w:pPr>
        <w:pStyle w:val="ListParagraph"/>
        <w:numPr>
          <w:ilvl w:val="0"/>
          <w:numId w:val="1"/>
        </w:numPr>
        <w:tabs>
          <w:tab w:val="left" w:pos="794"/>
          <w:tab w:val="left" w:pos="1191"/>
          <w:tab w:val="left" w:pos="1588"/>
          <w:tab w:val="left" w:pos="1985"/>
        </w:tabs>
        <w:overflowPunct w:val="0"/>
        <w:autoSpaceDE w:val="0"/>
        <w:autoSpaceDN w:val="0"/>
        <w:adjustRightInd w:val="0"/>
        <w:jc w:val="both"/>
        <w:textAlignment w:val="baseline"/>
      </w:pPr>
      <w:r w:rsidRPr="00745008">
        <w:t>keep ITU-R abreast of relevant activities in other organizations for a more strategic planning of work programmes.</w:t>
      </w:r>
    </w:p>
    <w:p w14:paraId="32CADAD7" w14:textId="082A8D01" w:rsidR="0025739A" w:rsidRPr="00745008" w:rsidRDefault="0025739A" w:rsidP="00577624">
      <w:r w:rsidRPr="00745008">
        <w:t>The Bureau continues its close collaboration with the relevant international and regional organizations including, but not limited to:</w:t>
      </w:r>
    </w:p>
    <w:p w14:paraId="2B3A382F" w14:textId="77777777" w:rsidR="0025739A" w:rsidRPr="009E4F77" w:rsidRDefault="0025739A" w:rsidP="009E4F77">
      <w:pPr>
        <w:pStyle w:val="enumlev1"/>
      </w:pPr>
      <w:r w:rsidRPr="00745008">
        <w:t>−</w:t>
      </w:r>
      <w:r w:rsidRPr="00745008">
        <w:tab/>
        <w:t xml:space="preserve">APT, ASMG, ATU, CEPT, CITEL </w:t>
      </w:r>
      <w:r w:rsidRPr="009E4F77">
        <w:t xml:space="preserve">and RCC for regional </w:t>
      </w:r>
      <w:proofErr w:type="gramStart"/>
      <w:r w:rsidRPr="009E4F77">
        <w:t>coordination;</w:t>
      </w:r>
      <w:proofErr w:type="gramEnd"/>
    </w:p>
    <w:p w14:paraId="738A20E3" w14:textId="77777777" w:rsidR="0025739A" w:rsidRPr="009E4F77" w:rsidRDefault="0025739A" w:rsidP="009E4F77">
      <w:pPr>
        <w:pStyle w:val="enumlev1"/>
      </w:pPr>
      <w:r w:rsidRPr="009E4F77">
        <w:t>−</w:t>
      </w:r>
      <w:r w:rsidRPr="009E4F77">
        <w:tab/>
        <w:t xml:space="preserve">ABU, ASBU, EBU, SMPT, ETSI and HFCC for broadcasting </w:t>
      </w:r>
      <w:proofErr w:type="gramStart"/>
      <w:r w:rsidRPr="009E4F77">
        <w:t>matters;</w:t>
      </w:r>
      <w:proofErr w:type="gramEnd"/>
    </w:p>
    <w:p w14:paraId="151C9F0D" w14:textId="77777777" w:rsidR="0025739A" w:rsidRPr="009E4F77" w:rsidRDefault="0025739A" w:rsidP="009E4F77">
      <w:pPr>
        <w:pStyle w:val="enumlev1"/>
      </w:pPr>
      <w:r w:rsidRPr="009E4F77">
        <w:t>−</w:t>
      </w:r>
      <w:r w:rsidRPr="009E4F77">
        <w:tab/>
        <w:t xml:space="preserve">ITSO, ESOA, GVF, GSMA for the use of specific radiocommunication systems and </w:t>
      </w:r>
      <w:proofErr w:type="gramStart"/>
      <w:r w:rsidRPr="009E4F77">
        <w:t>services;</w:t>
      </w:r>
      <w:proofErr w:type="gramEnd"/>
    </w:p>
    <w:p w14:paraId="060E6F7F" w14:textId="77777777" w:rsidR="0025739A" w:rsidRPr="009E4F77" w:rsidRDefault="0025739A" w:rsidP="009E4F77">
      <w:pPr>
        <w:pStyle w:val="enumlev1"/>
      </w:pPr>
      <w:r w:rsidRPr="009E4F77">
        <w:t>−</w:t>
      </w:r>
      <w:r w:rsidRPr="009E4F77">
        <w:tab/>
        <w:t>3GPP, IEEE and several regional standardization organizations for activities related to the Global Standards Collaboration (GSC</w:t>
      </w:r>
      <w:proofErr w:type="gramStart"/>
      <w:r w:rsidRPr="009E4F77">
        <w:t>);</w:t>
      </w:r>
      <w:proofErr w:type="gramEnd"/>
    </w:p>
    <w:p w14:paraId="72D81055" w14:textId="33D9574B" w:rsidR="0025739A" w:rsidRPr="009E4F77" w:rsidRDefault="0025739A" w:rsidP="009E4F77">
      <w:pPr>
        <w:pStyle w:val="enumlev1"/>
      </w:pPr>
      <w:r w:rsidRPr="009E4F77">
        <w:t>−</w:t>
      </w:r>
      <w:r w:rsidRPr="009E4F77">
        <w:tab/>
      </w:r>
      <w:r w:rsidR="00356C3D" w:rsidRPr="009E4F77">
        <w:t xml:space="preserve">The World Meteorological Organization (WMO), the World Health Organization (WHO), ISO and IEC (including the International Special Committee on Radio Interference (CISPR)), Space Frequency Coordination Group, the International Union of Radio Science (URSI), and several others on an ad-hoc basis, for the useful exchange of information with respect to SG </w:t>
      </w:r>
      <w:proofErr w:type="gramStart"/>
      <w:r w:rsidR="00356C3D" w:rsidRPr="009E4F77">
        <w:t>activities;</w:t>
      </w:r>
      <w:proofErr w:type="gramEnd"/>
    </w:p>
    <w:p w14:paraId="65F78BBB" w14:textId="77777777" w:rsidR="0025739A" w:rsidRPr="00745008" w:rsidRDefault="0025739A" w:rsidP="009E4F77">
      <w:pPr>
        <w:pStyle w:val="enumlev1"/>
      </w:pPr>
      <w:r w:rsidRPr="009E4F77">
        <w:t>−</w:t>
      </w:r>
      <w:r w:rsidRPr="009E4F77">
        <w:tab/>
        <w:t xml:space="preserve">UN Committee on the Peaceful Uses of Outer Space (UN-COPUOS), the United Nations Economic Commission for Europe (UNECE), the International Maritime Organization (IMO), the International Mobile Satellite Organization (IMSO), Bureau International des Poids et </w:t>
      </w:r>
      <w:proofErr w:type="spellStart"/>
      <w:r w:rsidRPr="009E4F77">
        <w:t>Mesures</w:t>
      </w:r>
      <w:proofErr w:type="spellEnd"/>
      <w:r w:rsidRPr="009E4F77">
        <w:t xml:space="preserve"> (BIPM), the International Telecommunications Satellite Organization (ITSO), COSPAS-SARSAT, the International Committee of the Red Cross (CICR), the International Civil Aviation Organi</w:t>
      </w:r>
      <w:r w:rsidRPr="00745008">
        <w:t>zation (ICAO) with regard to the application of ITU treaty texts.</w:t>
      </w:r>
    </w:p>
    <w:p w14:paraId="64B872B4" w14:textId="33F6AF17" w:rsidR="0025739A" w:rsidRPr="00745008" w:rsidRDefault="00F00AA8" w:rsidP="00577624">
      <w:pPr>
        <w:pStyle w:val="Heading1"/>
      </w:pPr>
      <w:bookmarkStart w:id="18" w:name="_Toc445972800"/>
      <w:r>
        <w:t>7</w:t>
      </w:r>
      <w:r w:rsidR="0025739A" w:rsidRPr="00745008">
        <w:tab/>
        <w:t xml:space="preserve">Other </w:t>
      </w:r>
      <w:r w:rsidR="0025739A" w:rsidRPr="00577624">
        <w:t>intersectoral</w:t>
      </w:r>
      <w:r w:rsidR="0025739A" w:rsidRPr="00745008">
        <w:t xml:space="preserve"> activities</w:t>
      </w:r>
      <w:bookmarkEnd w:id="18"/>
    </w:p>
    <w:p w14:paraId="13154134" w14:textId="77777777" w:rsidR="0025739A" w:rsidRPr="00745008" w:rsidRDefault="0025739A" w:rsidP="00577624">
      <w:r w:rsidRPr="00745008">
        <w:t>BR has actively participated in other intersectoral activities that are relevant to the work of ITU</w:t>
      </w:r>
      <w:r w:rsidRPr="00745008">
        <w:noBreakHyphen/>
        <w:t>R SGs, as described below:</w:t>
      </w:r>
    </w:p>
    <w:p w14:paraId="31732B41" w14:textId="3714CAE1" w:rsidR="0025739A" w:rsidRPr="00745008" w:rsidRDefault="0025739A" w:rsidP="009E4F77">
      <w:pPr>
        <w:pStyle w:val="enumlev1"/>
      </w:pPr>
      <w:r w:rsidRPr="00745008">
        <w:rPr>
          <w:i/>
          <w:iCs/>
        </w:rPr>
        <w:lastRenderedPageBreak/>
        <w:t>–</w:t>
      </w:r>
      <w:r w:rsidRPr="00745008">
        <w:tab/>
        <w:t xml:space="preserve">Climate Change and Emergency Communications: The BR participates in the Intersectoral activities </w:t>
      </w:r>
      <w:r w:rsidRPr="009E4F77">
        <w:t>coordinated</w:t>
      </w:r>
      <w:r w:rsidRPr="00745008">
        <w:t xml:space="preserve"> by the ITU Climate Change and Emergency Telecommunications Task Force for the implementation of Resolution 136 (Rev. Bucharest, 2022). There are also studies in response to Resolution </w:t>
      </w:r>
      <w:hyperlink r:id="rId33">
        <w:r>
          <w:rPr>
            <w:rStyle w:val="Hyperlink"/>
          </w:rPr>
          <w:t>IT</w:t>
        </w:r>
        <w:r>
          <w:rPr>
            <w:rStyle w:val="Hyperlink"/>
          </w:rPr>
          <w:t>U</w:t>
        </w:r>
        <w:r>
          <w:rPr>
            <w:rStyle w:val="Hyperlink"/>
          </w:rPr>
          <w:t>-R 60-3</w:t>
        </w:r>
      </w:hyperlink>
      <w:r w:rsidRPr="00745008">
        <w:t xml:space="preserve"> (Reduction of energy consumption for environmental protection and mitigating climate change by use of ICT/radiocommunication technologies and systems).</w:t>
      </w:r>
    </w:p>
    <w:p w14:paraId="2A4F1B68" w14:textId="77777777" w:rsidR="0025739A" w:rsidRPr="00745008" w:rsidRDefault="0025739A" w:rsidP="009E4F77">
      <w:pPr>
        <w:pStyle w:val="enumlev1"/>
      </w:pPr>
      <w:r w:rsidRPr="00745008">
        <w:t>–</w:t>
      </w:r>
      <w:r w:rsidRPr="00745008">
        <w:tab/>
        <w:t xml:space="preserve">Accessibility: ITU-R has been </w:t>
      </w:r>
      <w:r w:rsidRPr="009E4F77">
        <w:t>actively</w:t>
      </w:r>
      <w:r w:rsidRPr="00745008">
        <w:t xml:space="preserve"> participating in the ITU-T JCA-AHF (Joint Coordination Activity on Accessibility and Human Factors).</w:t>
      </w:r>
    </w:p>
    <w:p w14:paraId="37DB2080" w14:textId="77777777" w:rsidR="0025739A" w:rsidRPr="00745008" w:rsidRDefault="0025739A" w:rsidP="009E4F77">
      <w:pPr>
        <w:pStyle w:val="enumlev1"/>
      </w:pPr>
      <w:r w:rsidRPr="00745008">
        <w:t>–</w:t>
      </w:r>
      <w:r w:rsidRPr="00745008">
        <w:tab/>
        <w:t xml:space="preserve">WSIS and CWG on WSIS and SDGs: In </w:t>
      </w:r>
      <w:r w:rsidRPr="009E4F77">
        <w:t>response</w:t>
      </w:r>
      <w:r w:rsidRPr="00745008">
        <w:t xml:space="preserve"> to Resolution 140 (Rev. Bucharest, 2022) of the Plenipotentiary Conference on “ITU’s role in implementing the outcomes of the World Summit on the Information Society and the 2030 Agenda for Sustainable Development, as well as in their follow-up and review processes”, ITU-R liaises with the CWG on WSIS and SDGs, and contributes with the updates on the work carried out by the ITU-R Study Groups. BR SGD has prepared and published a website that lists the ITU-R publications related to each SDG. This can be found here: </w:t>
      </w:r>
      <w:hyperlink r:id="rId34">
        <w:r w:rsidRPr="00745008">
          <w:rPr>
            <w:rStyle w:val="Hyperlink"/>
          </w:rPr>
          <w:t>http</w:t>
        </w:r>
        <w:r w:rsidRPr="00745008">
          <w:rPr>
            <w:rStyle w:val="Hyperlink"/>
          </w:rPr>
          <w:t>s</w:t>
        </w:r>
        <w:r w:rsidRPr="00745008">
          <w:rPr>
            <w:rStyle w:val="Hyperlink"/>
          </w:rPr>
          <w:t>://www.itu.int/en/ITU-R/study-groups/Pages/Sustainable-dev-goals.aspx</w:t>
        </w:r>
      </w:hyperlink>
      <w:r w:rsidRPr="00745008">
        <w:t>.</w:t>
      </w:r>
    </w:p>
    <w:p w14:paraId="6C7A9F6C" w14:textId="77777777" w:rsidR="0025739A" w:rsidRDefault="0025739A" w:rsidP="009E4F77">
      <w:pPr>
        <w:pStyle w:val="enumlev1"/>
      </w:pPr>
      <w:r w:rsidRPr="00745008">
        <w:t>–</w:t>
      </w:r>
      <w:r w:rsidRPr="00745008">
        <w:tab/>
        <w:t xml:space="preserve">The Bureau is continuing its participation in the activities related to the major ITU events, conferences and meetings. </w:t>
      </w:r>
      <w:r w:rsidRPr="009E4F77">
        <w:t>These</w:t>
      </w:r>
      <w:r w:rsidRPr="00745008">
        <w:t xml:space="preserve"> activities are in support of the Plenipotentiary Conference, the ITU Council, WTSA and WTDC.</w:t>
      </w:r>
    </w:p>
    <w:p w14:paraId="3742D2AB" w14:textId="297C945C" w:rsidR="0025739A" w:rsidRPr="00745008" w:rsidRDefault="0025739A" w:rsidP="00577624">
      <w:r>
        <w:t xml:space="preserve">As requested by new </w:t>
      </w:r>
      <w:r w:rsidR="00C63CD6">
        <w:t xml:space="preserve">Resolution </w:t>
      </w:r>
      <w:hyperlink r:id="rId35" w:history="1">
        <w:r w:rsidRPr="007955F8">
          <w:rPr>
            <w:rStyle w:val="Hyperlink"/>
          </w:rPr>
          <w:t>ITU-</w:t>
        </w:r>
        <w:r w:rsidRPr="007955F8">
          <w:rPr>
            <w:rStyle w:val="Hyperlink"/>
          </w:rPr>
          <w:t>R</w:t>
        </w:r>
        <w:r w:rsidRPr="007955F8">
          <w:rPr>
            <w:rStyle w:val="Hyperlink"/>
          </w:rPr>
          <w:t xml:space="preserve"> 75</w:t>
        </w:r>
      </w:hyperlink>
      <w:r>
        <w:t xml:space="preserve"> on </w:t>
      </w:r>
      <w:r w:rsidRPr="00BE6491">
        <w:rPr>
          <w:i/>
          <w:iCs/>
        </w:rPr>
        <w:t>“Strengthening coordination and cooperation among the three ITU Sectors on matters of mutual interest”</w:t>
      </w:r>
      <w:r>
        <w:t>, BR will continue to cooperate with ITU-D and ITU-T as appropriate.</w:t>
      </w:r>
    </w:p>
    <w:p w14:paraId="1998BB45" w14:textId="7480871C" w:rsidR="0025739A" w:rsidRPr="000623D1" w:rsidRDefault="00AC74EB" w:rsidP="00CB623F">
      <w:pPr>
        <w:pStyle w:val="Heading1"/>
      </w:pPr>
      <w:r>
        <w:t>8</w:t>
      </w:r>
      <w:r w:rsidR="0025739A" w:rsidRPr="003D5E5A">
        <w:tab/>
        <w:t xml:space="preserve">Follow-up actions requested by the RAG at its meeting in </w:t>
      </w:r>
      <w:r w:rsidR="000C6C5B" w:rsidRPr="003D5E5A">
        <w:t>2024</w:t>
      </w:r>
    </w:p>
    <w:p w14:paraId="1355150B" w14:textId="78B0E74B" w:rsidR="0025739A" w:rsidRPr="000623D1" w:rsidRDefault="0025739A" w:rsidP="00577624">
      <w:r w:rsidRPr="000623D1">
        <w:t xml:space="preserve">The Bureau performed the follow-up actions as per RAG request during its last meeting in </w:t>
      </w:r>
      <w:r w:rsidR="001D5147">
        <w:t>March</w:t>
      </w:r>
      <w:r w:rsidR="001D5147" w:rsidRPr="000623D1">
        <w:t xml:space="preserve"> </w:t>
      </w:r>
      <w:r w:rsidRPr="000623D1">
        <w:t>202</w:t>
      </w:r>
      <w:r w:rsidR="001D5147">
        <w:t>4</w:t>
      </w:r>
      <w:r w:rsidRPr="000623D1">
        <w:t xml:space="preserve"> (as contained in the Summary of Conclusions – Administrative Circular</w:t>
      </w:r>
      <w:r w:rsidRPr="00E757EA">
        <w:rPr>
          <w:rStyle w:val="Hyperlink"/>
          <w:u w:val="none"/>
        </w:rPr>
        <w:t xml:space="preserve"> </w:t>
      </w:r>
      <w:hyperlink r:id="rId36" w:history="1">
        <w:r w:rsidR="001D5147">
          <w:rPr>
            <w:rStyle w:val="Hyperlink"/>
          </w:rPr>
          <w:t>CA/2</w:t>
        </w:r>
        <w:r w:rsidR="001D5147">
          <w:rPr>
            <w:rStyle w:val="Hyperlink"/>
          </w:rPr>
          <w:t>7</w:t>
        </w:r>
        <w:r w:rsidR="001D5147">
          <w:rPr>
            <w:rStyle w:val="Hyperlink"/>
          </w:rPr>
          <w:t>3</w:t>
        </w:r>
      </w:hyperlink>
      <w:r w:rsidRPr="000623D1">
        <w:t>).</w:t>
      </w:r>
    </w:p>
    <w:p w14:paraId="1A44F1F0" w14:textId="276FCC09" w:rsidR="000F49E6" w:rsidRPr="00D0078E" w:rsidRDefault="00F45F45" w:rsidP="009E4F77">
      <w:pPr>
        <w:pStyle w:val="enumlev1"/>
      </w:pPr>
      <w:r w:rsidRPr="000623D1">
        <w:t>−</w:t>
      </w:r>
      <w:r w:rsidRPr="000623D1">
        <w:tab/>
      </w:r>
      <w:r w:rsidRPr="00F45F45">
        <w:t xml:space="preserve">The RAG requested the BR Director to collect information on ITU-R Study Groups’ </w:t>
      </w:r>
      <w:r w:rsidR="007130A2" w:rsidRPr="007130A2">
        <w:t xml:space="preserve">Sustainable Digital Transformation </w:t>
      </w:r>
      <w:r w:rsidR="007130A2">
        <w:t>(</w:t>
      </w:r>
      <w:r w:rsidRPr="00F45F45">
        <w:t>SDT</w:t>
      </w:r>
      <w:r w:rsidR="007130A2">
        <w:t>)</w:t>
      </w:r>
      <w:r w:rsidRPr="00F45F45">
        <w:t xml:space="preserve"> activities</w:t>
      </w:r>
      <w:r w:rsidR="00ED5881">
        <w:t xml:space="preserve">. </w:t>
      </w:r>
      <w:r w:rsidR="00BE62F2">
        <w:t>Some of t</w:t>
      </w:r>
      <w:r w:rsidR="00ED5881">
        <w:t xml:space="preserve">hese </w:t>
      </w:r>
      <w:r w:rsidR="000F49E6">
        <w:t>are provided in the Annex to this document</w:t>
      </w:r>
      <w:r w:rsidR="002D781B">
        <w:t xml:space="preserve"> for </w:t>
      </w:r>
      <w:r w:rsidR="002D781B" w:rsidRPr="009E4F77">
        <w:t>information</w:t>
      </w:r>
      <w:r w:rsidR="000F49E6">
        <w:t>.</w:t>
      </w:r>
    </w:p>
    <w:p w14:paraId="3DD8D7FA" w14:textId="028E89BE" w:rsidR="00060403" w:rsidRDefault="00060403" w:rsidP="00E757EA">
      <w:pPr>
        <w:pStyle w:val="enumlev1"/>
        <w:jc w:val="both"/>
        <w:sectPr w:rsidR="00060403" w:rsidSect="002B7EEE">
          <w:headerReference w:type="default" r:id="rId37"/>
          <w:pgSz w:w="11907" w:h="16840" w:code="9"/>
          <w:pgMar w:top="1089" w:right="1089" w:bottom="1089" w:left="1089" w:header="482" w:footer="482" w:gutter="0"/>
          <w:pgNumType w:start="1"/>
          <w:cols w:space="720"/>
          <w:titlePg/>
          <w:docGrid w:linePitch="326"/>
        </w:sectPr>
      </w:pPr>
    </w:p>
    <w:p w14:paraId="15D64769" w14:textId="46F959F8" w:rsidR="00453460" w:rsidRPr="00F55C3D" w:rsidRDefault="00453460" w:rsidP="00577624">
      <w:pPr>
        <w:pStyle w:val="Annextitle"/>
      </w:pPr>
      <w:r w:rsidRPr="00F55C3D">
        <w:lastRenderedPageBreak/>
        <w:t>Annex</w:t>
      </w:r>
      <w:r w:rsidRPr="00F55C3D">
        <w:br/>
      </w:r>
      <w:r w:rsidRPr="00F55C3D">
        <w:br/>
        <w:t>Activities and studies related to sustainable digital transformation</w:t>
      </w:r>
    </w:p>
    <w:p w14:paraId="587E3167" w14:textId="77777777" w:rsidR="00453460" w:rsidRPr="00F55C3D" w:rsidRDefault="00453460" w:rsidP="00453460"/>
    <w:tbl>
      <w:tblPr>
        <w:tblW w:w="14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6"/>
        <w:gridCol w:w="1258"/>
        <w:gridCol w:w="2931"/>
        <w:gridCol w:w="3600"/>
        <w:gridCol w:w="1866"/>
        <w:gridCol w:w="2801"/>
      </w:tblGrid>
      <w:tr w:rsidR="00453460" w:rsidRPr="00E237B6" w14:paraId="539BA6A5" w14:textId="77777777" w:rsidTr="00DC71A2">
        <w:trPr>
          <w:tblHeader/>
        </w:trPr>
        <w:tc>
          <w:tcPr>
            <w:tcW w:w="2106" w:type="dxa"/>
            <w:shd w:val="clear" w:color="auto" w:fill="C6D9F1" w:themeFill="text2" w:themeFillTint="33"/>
            <w:vAlign w:val="center"/>
          </w:tcPr>
          <w:p w14:paraId="7C3A2756" w14:textId="77777777" w:rsidR="00453460" w:rsidRPr="00BE6491" w:rsidRDefault="00453460" w:rsidP="00E237B6">
            <w:pPr>
              <w:pStyle w:val="Tablehead"/>
              <w:rPr>
                <w:sz w:val="20"/>
                <w:szCs w:val="18"/>
              </w:rPr>
            </w:pPr>
            <w:r w:rsidRPr="00BE6491">
              <w:rPr>
                <w:sz w:val="20"/>
                <w:szCs w:val="18"/>
              </w:rPr>
              <w:t>Sector/Domain</w:t>
            </w:r>
          </w:p>
        </w:tc>
        <w:tc>
          <w:tcPr>
            <w:tcW w:w="1258" w:type="dxa"/>
            <w:shd w:val="clear" w:color="auto" w:fill="C6D9F1" w:themeFill="text2" w:themeFillTint="33"/>
            <w:vAlign w:val="center"/>
          </w:tcPr>
          <w:p w14:paraId="5E041629" w14:textId="77777777" w:rsidR="00453460" w:rsidRPr="00BE6491" w:rsidRDefault="00453460" w:rsidP="00E237B6">
            <w:pPr>
              <w:pStyle w:val="Tablehead"/>
              <w:rPr>
                <w:sz w:val="20"/>
                <w:szCs w:val="18"/>
              </w:rPr>
            </w:pPr>
            <w:r w:rsidRPr="00BE6491">
              <w:rPr>
                <w:sz w:val="20"/>
                <w:szCs w:val="18"/>
              </w:rPr>
              <w:t>Study group or SDO</w:t>
            </w:r>
          </w:p>
        </w:tc>
        <w:tc>
          <w:tcPr>
            <w:tcW w:w="2931" w:type="dxa"/>
            <w:shd w:val="clear" w:color="auto" w:fill="C6D9F1" w:themeFill="text2" w:themeFillTint="33"/>
            <w:vAlign w:val="center"/>
          </w:tcPr>
          <w:p w14:paraId="5DD30FEA" w14:textId="77777777" w:rsidR="00453460" w:rsidRPr="00BE6491" w:rsidRDefault="00453460" w:rsidP="00E237B6">
            <w:pPr>
              <w:pStyle w:val="Tablehead"/>
              <w:rPr>
                <w:sz w:val="20"/>
                <w:szCs w:val="18"/>
              </w:rPr>
            </w:pPr>
            <w:r w:rsidRPr="00BE6491">
              <w:rPr>
                <w:sz w:val="20"/>
                <w:szCs w:val="18"/>
              </w:rPr>
              <w:t>Title of deliverable</w:t>
            </w:r>
          </w:p>
        </w:tc>
        <w:tc>
          <w:tcPr>
            <w:tcW w:w="3600" w:type="dxa"/>
            <w:shd w:val="clear" w:color="auto" w:fill="C6D9F1" w:themeFill="text2" w:themeFillTint="33"/>
            <w:vAlign w:val="center"/>
          </w:tcPr>
          <w:p w14:paraId="051668DD" w14:textId="77777777" w:rsidR="00453460" w:rsidRPr="00BE6491" w:rsidRDefault="00453460" w:rsidP="00E237B6">
            <w:pPr>
              <w:pStyle w:val="Tablehead"/>
              <w:rPr>
                <w:sz w:val="20"/>
                <w:szCs w:val="18"/>
              </w:rPr>
            </w:pPr>
            <w:r w:rsidRPr="00BE6491">
              <w:rPr>
                <w:sz w:val="20"/>
                <w:szCs w:val="18"/>
              </w:rPr>
              <w:t>Scope of deliverable</w:t>
            </w:r>
          </w:p>
        </w:tc>
        <w:tc>
          <w:tcPr>
            <w:tcW w:w="1866" w:type="dxa"/>
            <w:shd w:val="clear" w:color="auto" w:fill="C6D9F1" w:themeFill="text2" w:themeFillTint="33"/>
            <w:vAlign w:val="center"/>
          </w:tcPr>
          <w:p w14:paraId="47C1AC7E" w14:textId="77777777" w:rsidR="00453460" w:rsidRPr="00BE6491" w:rsidRDefault="00453460" w:rsidP="00E237B6">
            <w:pPr>
              <w:pStyle w:val="Tablehead"/>
              <w:rPr>
                <w:sz w:val="20"/>
                <w:szCs w:val="18"/>
              </w:rPr>
            </w:pPr>
            <w:proofErr w:type="gramStart"/>
            <w:r w:rsidRPr="00BE6491">
              <w:rPr>
                <w:sz w:val="20"/>
                <w:szCs w:val="18"/>
              </w:rPr>
              <w:t>Current status</w:t>
            </w:r>
            <w:proofErr w:type="gramEnd"/>
          </w:p>
        </w:tc>
        <w:tc>
          <w:tcPr>
            <w:tcW w:w="2801" w:type="dxa"/>
            <w:shd w:val="clear" w:color="auto" w:fill="C6D9F1" w:themeFill="text2" w:themeFillTint="33"/>
            <w:vAlign w:val="center"/>
          </w:tcPr>
          <w:p w14:paraId="6C033F2E" w14:textId="7A81FBC3" w:rsidR="00453460" w:rsidRPr="00BE6491" w:rsidRDefault="00453460" w:rsidP="00E237B6">
            <w:pPr>
              <w:pStyle w:val="Tablehead"/>
              <w:rPr>
                <w:sz w:val="20"/>
                <w:szCs w:val="18"/>
              </w:rPr>
            </w:pPr>
            <w:r w:rsidRPr="00BE6491">
              <w:rPr>
                <w:sz w:val="20"/>
                <w:szCs w:val="18"/>
              </w:rPr>
              <w:t>Reference/UR</w:t>
            </w:r>
            <w:r w:rsidR="007630F0">
              <w:rPr>
                <w:sz w:val="20"/>
                <w:szCs w:val="18"/>
              </w:rPr>
              <w:t>L</w:t>
            </w:r>
          </w:p>
        </w:tc>
      </w:tr>
      <w:tr w:rsidR="00BA266F" w:rsidRPr="00F1295D" w14:paraId="10F29ACF" w14:textId="77777777" w:rsidTr="00DC71A2">
        <w:trPr>
          <w:trHeight w:val="3000"/>
        </w:trPr>
        <w:tc>
          <w:tcPr>
            <w:tcW w:w="2106" w:type="dxa"/>
            <w:vMerge w:val="restart"/>
          </w:tcPr>
          <w:p w14:paraId="1554E72E" w14:textId="77777777" w:rsidR="00BA266F" w:rsidRPr="00BE6491" w:rsidRDefault="00BA266F" w:rsidP="00DC71A2">
            <w:pPr>
              <w:pStyle w:val="Tabletext"/>
              <w:rPr>
                <w:sz w:val="20"/>
              </w:rPr>
            </w:pPr>
            <w:r w:rsidRPr="00BE6491">
              <w:rPr>
                <w:sz w:val="20"/>
              </w:rPr>
              <w:t>Energy Aware Broadcasting</w:t>
            </w:r>
          </w:p>
        </w:tc>
        <w:tc>
          <w:tcPr>
            <w:tcW w:w="1258" w:type="dxa"/>
            <w:vMerge w:val="restart"/>
          </w:tcPr>
          <w:p w14:paraId="75357E04" w14:textId="77777777" w:rsidR="00BA266F" w:rsidRPr="00BE6491" w:rsidRDefault="00BA266F" w:rsidP="00DC71A2">
            <w:pPr>
              <w:pStyle w:val="Tabletext"/>
              <w:rPr>
                <w:sz w:val="20"/>
              </w:rPr>
            </w:pPr>
            <w:r w:rsidRPr="00BE6491">
              <w:rPr>
                <w:sz w:val="20"/>
              </w:rPr>
              <w:t>ITU-R SG 6</w:t>
            </w:r>
          </w:p>
        </w:tc>
        <w:tc>
          <w:tcPr>
            <w:tcW w:w="2931" w:type="dxa"/>
          </w:tcPr>
          <w:p w14:paraId="20304309" w14:textId="77777777" w:rsidR="00BA266F" w:rsidRPr="00BE6491" w:rsidRDefault="00BA266F" w:rsidP="00DC71A2">
            <w:pPr>
              <w:pStyle w:val="Tabletext"/>
              <w:rPr>
                <w:sz w:val="20"/>
                <w:lang w:eastAsia="zh-CN"/>
              </w:rPr>
            </w:pPr>
            <w:r w:rsidRPr="00BE6491">
              <w:rPr>
                <w:sz w:val="20"/>
                <w:lang w:eastAsia="zh-CN"/>
              </w:rPr>
              <w:t>Question ITU-R 147/6 “Energy Aware Broadcasting Systems”</w:t>
            </w:r>
          </w:p>
        </w:tc>
        <w:tc>
          <w:tcPr>
            <w:tcW w:w="3600" w:type="dxa"/>
          </w:tcPr>
          <w:p w14:paraId="4E846368" w14:textId="77777777" w:rsidR="00F92362" w:rsidRDefault="00F92362" w:rsidP="00DC71A2">
            <w:pPr>
              <w:pStyle w:val="Tabletext"/>
              <w:rPr>
                <w:sz w:val="20"/>
              </w:rPr>
            </w:pPr>
            <w:r w:rsidRPr="00BE6491">
              <w:rPr>
                <w:i/>
                <w:iCs/>
                <w:sz w:val="20"/>
              </w:rPr>
              <w:t>decides</w:t>
            </w:r>
            <w:r w:rsidRPr="00F92362">
              <w:rPr>
                <w:sz w:val="20"/>
              </w:rPr>
              <w:t xml:space="preserve"> that the following Questions should be studied</w:t>
            </w:r>
          </w:p>
          <w:p w14:paraId="6BB78D6A" w14:textId="7CE8DBFD" w:rsidR="00BA266F" w:rsidRPr="00BE6491" w:rsidRDefault="00F92362" w:rsidP="00DC71A2">
            <w:pPr>
              <w:pStyle w:val="Tabletext"/>
              <w:rPr>
                <w:sz w:val="20"/>
              </w:rPr>
            </w:pPr>
            <w:r>
              <w:rPr>
                <w:sz w:val="20"/>
              </w:rPr>
              <w:t xml:space="preserve">1 </w:t>
            </w:r>
            <w:r w:rsidR="00BA266F" w:rsidRPr="00BE6491">
              <w:rPr>
                <w:sz w:val="20"/>
              </w:rPr>
              <w:t>What direct impact do the technologies and features used for broadcasting have on energy consumption?</w:t>
            </w:r>
          </w:p>
          <w:p w14:paraId="7BB91650" w14:textId="2DB863D9" w:rsidR="00BA266F" w:rsidRPr="00BE6491" w:rsidRDefault="00F92362" w:rsidP="00DC71A2">
            <w:pPr>
              <w:pStyle w:val="Tabletext"/>
              <w:rPr>
                <w:sz w:val="20"/>
              </w:rPr>
            </w:pPr>
            <w:r>
              <w:rPr>
                <w:sz w:val="20"/>
              </w:rPr>
              <w:t xml:space="preserve">2 </w:t>
            </w:r>
            <w:r w:rsidR="00BA266F" w:rsidRPr="00BE6491">
              <w:rPr>
                <w:sz w:val="20"/>
              </w:rPr>
              <w:t>What indirect impact does the use of external services used for broadcasting have on overall energy consumption?</w:t>
            </w:r>
          </w:p>
          <w:p w14:paraId="0699F02E" w14:textId="775D7084" w:rsidR="00BA266F" w:rsidRPr="00BE6491" w:rsidRDefault="00F92362" w:rsidP="00DC71A2">
            <w:pPr>
              <w:pStyle w:val="Tabletext"/>
              <w:rPr>
                <w:sz w:val="20"/>
              </w:rPr>
            </w:pPr>
            <w:r>
              <w:rPr>
                <w:sz w:val="20"/>
              </w:rPr>
              <w:t xml:space="preserve">3 </w:t>
            </w:r>
            <w:r w:rsidR="00BA266F" w:rsidRPr="00BE6491">
              <w:rPr>
                <w:sz w:val="20"/>
              </w:rPr>
              <w:t>What metrics should be used to quantify and report both the direct and indirect impact on energy consumption?</w:t>
            </w:r>
          </w:p>
          <w:p w14:paraId="5A9FC497" w14:textId="029A8609" w:rsidR="00BA266F" w:rsidRPr="00BE6491" w:rsidRDefault="00F92362" w:rsidP="00DC71A2">
            <w:pPr>
              <w:pStyle w:val="Tabletext"/>
              <w:rPr>
                <w:sz w:val="20"/>
              </w:rPr>
            </w:pPr>
            <w:r>
              <w:rPr>
                <w:sz w:val="20"/>
              </w:rPr>
              <w:t xml:space="preserve">4 </w:t>
            </w:r>
            <w:r w:rsidR="00BA266F" w:rsidRPr="00BE6491">
              <w:rPr>
                <w:sz w:val="20"/>
              </w:rPr>
              <w:t>How can broadcasting be made more energy efficient</w:t>
            </w:r>
            <w:r w:rsidR="00EE7849">
              <w:rPr>
                <w:sz w:val="20"/>
              </w:rPr>
              <w:t>?</w:t>
            </w:r>
          </w:p>
        </w:tc>
        <w:tc>
          <w:tcPr>
            <w:tcW w:w="1866" w:type="dxa"/>
          </w:tcPr>
          <w:p w14:paraId="3E45B151" w14:textId="77777777" w:rsidR="00BA266F" w:rsidRPr="00BE6491" w:rsidRDefault="00BA266F" w:rsidP="00DC71A2">
            <w:pPr>
              <w:pStyle w:val="Tabletext"/>
              <w:rPr>
                <w:sz w:val="20"/>
              </w:rPr>
            </w:pPr>
            <w:r w:rsidRPr="00BE6491">
              <w:rPr>
                <w:sz w:val="20"/>
              </w:rPr>
              <w:t>Published</w:t>
            </w:r>
          </w:p>
        </w:tc>
        <w:tc>
          <w:tcPr>
            <w:tcW w:w="2801" w:type="dxa"/>
          </w:tcPr>
          <w:p w14:paraId="12B04FD0" w14:textId="77777777" w:rsidR="00BA266F" w:rsidRPr="00BE6491" w:rsidRDefault="00BA266F" w:rsidP="00DC71A2">
            <w:pPr>
              <w:pStyle w:val="Tabletext"/>
              <w:rPr>
                <w:sz w:val="20"/>
              </w:rPr>
            </w:pPr>
            <w:hyperlink r:id="rId38" w:history="1">
              <w:r w:rsidRPr="00BE6491">
                <w:rPr>
                  <w:rStyle w:val="Hyperlink"/>
                  <w:sz w:val="20"/>
                </w:rPr>
                <w:t>https://www.itu.int/pub/R-QUE-SG06</w:t>
              </w:r>
              <w:r w:rsidRPr="00BE6491">
                <w:rPr>
                  <w:rStyle w:val="Hyperlink"/>
                  <w:sz w:val="20"/>
                </w:rPr>
                <w:t>.</w:t>
              </w:r>
              <w:r w:rsidRPr="00BE6491">
                <w:rPr>
                  <w:rStyle w:val="Hyperlink"/>
                  <w:sz w:val="20"/>
                </w:rPr>
                <w:t>147</w:t>
              </w:r>
            </w:hyperlink>
            <w:r w:rsidRPr="00BE6491">
              <w:rPr>
                <w:sz w:val="20"/>
              </w:rPr>
              <w:t xml:space="preserve"> </w:t>
            </w:r>
          </w:p>
        </w:tc>
      </w:tr>
      <w:tr w:rsidR="00BA266F" w:rsidRPr="00F1295D" w14:paraId="0611463C" w14:textId="77777777" w:rsidTr="00BA266F">
        <w:trPr>
          <w:trHeight w:val="776"/>
        </w:trPr>
        <w:tc>
          <w:tcPr>
            <w:tcW w:w="2106" w:type="dxa"/>
            <w:vMerge/>
          </w:tcPr>
          <w:p w14:paraId="4629AC2C" w14:textId="77777777" w:rsidR="00BA266F" w:rsidRPr="00BE6491" w:rsidRDefault="00BA266F" w:rsidP="00DC71A2">
            <w:pPr>
              <w:pStyle w:val="Tabletext"/>
              <w:rPr>
                <w:sz w:val="20"/>
              </w:rPr>
            </w:pPr>
          </w:p>
        </w:tc>
        <w:tc>
          <w:tcPr>
            <w:tcW w:w="1258" w:type="dxa"/>
            <w:vMerge/>
          </w:tcPr>
          <w:p w14:paraId="47BEFDEF" w14:textId="77777777" w:rsidR="00BA266F" w:rsidRPr="00BE6491" w:rsidRDefault="00BA266F" w:rsidP="00DC71A2">
            <w:pPr>
              <w:pStyle w:val="Tabletext"/>
              <w:rPr>
                <w:sz w:val="20"/>
              </w:rPr>
            </w:pPr>
          </w:p>
        </w:tc>
        <w:tc>
          <w:tcPr>
            <w:tcW w:w="2931" w:type="dxa"/>
            <w:vMerge w:val="restart"/>
          </w:tcPr>
          <w:p w14:paraId="05208D86" w14:textId="77777777" w:rsidR="00BA266F" w:rsidRPr="00BE6491" w:rsidRDefault="00BA266F" w:rsidP="00DC71A2">
            <w:pPr>
              <w:pStyle w:val="Tabletext"/>
              <w:rPr>
                <w:sz w:val="20"/>
                <w:lang w:eastAsia="zh-CN"/>
              </w:rPr>
            </w:pPr>
            <w:r w:rsidRPr="00BE6491">
              <w:rPr>
                <w:sz w:val="20"/>
                <w:lang w:eastAsia="zh-CN"/>
              </w:rPr>
              <w:t>Opinion ITU-R 104 “Advice for sustainability strategies incorporating carbon offsetting policies”</w:t>
            </w:r>
          </w:p>
        </w:tc>
        <w:tc>
          <w:tcPr>
            <w:tcW w:w="3600" w:type="dxa"/>
            <w:vMerge w:val="restart"/>
          </w:tcPr>
          <w:p w14:paraId="4CE1FD09" w14:textId="16F7A233" w:rsidR="00BA266F" w:rsidRPr="00BE6491" w:rsidRDefault="00BA266F" w:rsidP="00DC71A2">
            <w:pPr>
              <w:pStyle w:val="Tabletext"/>
              <w:rPr>
                <w:sz w:val="20"/>
              </w:rPr>
            </w:pPr>
            <w:r w:rsidRPr="00BE6491">
              <w:rPr>
                <w:sz w:val="20"/>
              </w:rPr>
              <w:t>that broadcasters and broadcasting related organizations world-wide should have robust sustainability strategies in place that move towards net zero and encourage the implementation of robust energy efficiency schemes that reduce energy consumption before considering carbon offsetting protocols as a last resort</w:t>
            </w:r>
          </w:p>
        </w:tc>
        <w:tc>
          <w:tcPr>
            <w:tcW w:w="1866" w:type="dxa"/>
          </w:tcPr>
          <w:p w14:paraId="14B51452" w14:textId="77777777" w:rsidR="00BA266F" w:rsidRPr="00BE6491" w:rsidRDefault="00BA266F" w:rsidP="00DC71A2">
            <w:pPr>
              <w:pStyle w:val="Tabletext"/>
              <w:rPr>
                <w:sz w:val="20"/>
              </w:rPr>
            </w:pPr>
            <w:r w:rsidRPr="00BE6491">
              <w:rPr>
                <w:sz w:val="20"/>
              </w:rPr>
              <w:t>Published</w:t>
            </w:r>
          </w:p>
        </w:tc>
        <w:tc>
          <w:tcPr>
            <w:tcW w:w="2801" w:type="dxa"/>
          </w:tcPr>
          <w:p w14:paraId="01D93D4C" w14:textId="77777777" w:rsidR="00BA266F" w:rsidRPr="00BE6491" w:rsidRDefault="00BA266F" w:rsidP="00DC71A2">
            <w:pPr>
              <w:pStyle w:val="Tabletext"/>
              <w:rPr>
                <w:sz w:val="20"/>
              </w:rPr>
            </w:pPr>
            <w:hyperlink r:id="rId39" w:history="1">
              <w:r w:rsidRPr="00BE6491">
                <w:rPr>
                  <w:rStyle w:val="Hyperlink"/>
                  <w:sz w:val="20"/>
                </w:rPr>
                <w:t>https://www.itu</w:t>
              </w:r>
              <w:r w:rsidRPr="00BE6491">
                <w:rPr>
                  <w:rStyle w:val="Hyperlink"/>
                  <w:sz w:val="20"/>
                </w:rPr>
                <w:t>.</w:t>
              </w:r>
              <w:r w:rsidRPr="00BE6491">
                <w:rPr>
                  <w:rStyle w:val="Hyperlink"/>
                  <w:sz w:val="20"/>
                </w:rPr>
                <w:t>int/pub/R-OP-R.104</w:t>
              </w:r>
            </w:hyperlink>
            <w:r w:rsidRPr="00BE6491">
              <w:rPr>
                <w:sz w:val="20"/>
              </w:rPr>
              <w:t xml:space="preserve"> </w:t>
            </w:r>
          </w:p>
        </w:tc>
      </w:tr>
      <w:tr w:rsidR="00BA266F" w:rsidRPr="00F1295D" w14:paraId="71FA6278" w14:textId="77777777" w:rsidTr="00DC71A2">
        <w:trPr>
          <w:trHeight w:val="776"/>
        </w:trPr>
        <w:tc>
          <w:tcPr>
            <w:tcW w:w="2106" w:type="dxa"/>
            <w:vMerge/>
          </w:tcPr>
          <w:p w14:paraId="4B396F66" w14:textId="77777777" w:rsidR="00BA266F" w:rsidRPr="00BE6491" w:rsidRDefault="00BA266F" w:rsidP="00BA266F">
            <w:pPr>
              <w:pStyle w:val="Tabletext"/>
              <w:rPr>
                <w:sz w:val="20"/>
              </w:rPr>
            </w:pPr>
          </w:p>
        </w:tc>
        <w:tc>
          <w:tcPr>
            <w:tcW w:w="1258" w:type="dxa"/>
            <w:vMerge/>
          </w:tcPr>
          <w:p w14:paraId="75738181" w14:textId="77777777" w:rsidR="00BA266F" w:rsidRPr="00BE6491" w:rsidRDefault="00BA266F" w:rsidP="00BA266F">
            <w:pPr>
              <w:pStyle w:val="Tabletext"/>
              <w:rPr>
                <w:sz w:val="20"/>
              </w:rPr>
            </w:pPr>
          </w:p>
        </w:tc>
        <w:tc>
          <w:tcPr>
            <w:tcW w:w="2931" w:type="dxa"/>
            <w:vMerge/>
          </w:tcPr>
          <w:p w14:paraId="6B3C2FD1" w14:textId="77777777" w:rsidR="00BA266F" w:rsidRPr="00BE6491" w:rsidRDefault="00BA266F" w:rsidP="00BA266F">
            <w:pPr>
              <w:pStyle w:val="Tabletext"/>
              <w:rPr>
                <w:sz w:val="20"/>
                <w:lang w:eastAsia="zh-CN"/>
              </w:rPr>
            </w:pPr>
          </w:p>
        </w:tc>
        <w:tc>
          <w:tcPr>
            <w:tcW w:w="3600" w:type="dxa"/>
            <w:vMerge/>
          </w:tcPr>
          <w:p w14:paraId="7F034BCC" w14:textId="77777777" w:rsidR="00BA266F" w:rsidRPr="00BE6491" w:rsidRDefault="00BA266F" w:rsidP="00BA266F">
            <w:pPr>
              <w:pStyle w:val="Tabletext"/>
              <w:rPr>
                <w:sz w:val="20"/>
              </w:rPr>
            </w:pPr>
          </w:p>
        </w:tc>
        <w:tc>
          <w:tcPr>
            <w:tcW w:w="1866" w:type="dxa"/>
          </w:tcPr>
          <w:p w14:paraId="3C7FE073" w14:textId="75C037B9" w:rsidR="00BA266F" w:rsidRPr="00BE6491" w:rsidRDefault="00BA266F" w:rsidP="00BA266F">
            <w:pPr>
              <w:pStyle w:val="Tabletext"/>
              <w:rPr>
                <w:sz w:val="20"/>
              </w:rPr>
            </w:pPr>
            <w:r w:rsidRPr="00BE6491">
              <w:rPr>
                <w:sz w:val="20"/>
              </w:rPr>
              <w:t>Undergoing revision</w:t>
            </w:r>
          </w:p>
        </w:tc>
        <w:tc>
          <w:tcPr>
            <w:tcW w:w="2801" w:type="dxa"/>
          </w:tcPr>
          <w:p w14:paraId="2D125880" w14:textId="77777777" w:rsidR="00CC1CB6" w:rsidRPr="00BE6491" w:rsidRDefault="00CC1CB6" w:rsidP="00CC1CB6">
            <w:pPr>
              <w:pStyle w:val="Tabletext"/>
              <w:rPr>
                <w:sz w:val="20"/>
              </w:rPr>
            </w:pPr>
            <w:r w:rsidRPr="00BE6491">
              <w:rPr>
                <w:sz w:val="20"/>
              </w:rPr>
              <w:t>Working Document version available attached to the Report of the March 2024 meeting of Working Party 6C</w:t>
            </w:r>
          </w:p>
          <w:p w14:paraId="10D261B0" w14:textId="35E4FEDE" w:rsidR="00BA266F" w:rsidRPr="000806AE" w:rsidRDefault="00BA266F" w:rsidP="00BA266F">
            <w:pPr>
              <w:pStyle w:val="Tabletext"/>
              <w:rPr>
                <w:sz w:val="20"/>
              </w:rPr>
            </w:pPr>
            <w:r w:rsidRPr="000806AE">
              <w:rPr>
                <w:sz w:val="20"/>
              </w:rPr>
              <w:t xml:space="preserve">Doc. </w:t>
            </w:r>
            <w:hyperlink r:id="rId40" w:history="1">
              <w:r w:rsidRPr="00BE6491">
                <w:rPr>
                  <w:rStyle w:val="Hyperlink"/>
                </w:rPr>
                <w:t>6C/</w:t>
              </w:r>
              <w:r w:rsidRPr="00BE6491">
                <w:rPr>
                  <w:rStyle w:val="Hyperlink"/>
                </w:rPr>
                <w:t>7</w:t>
              </w:r>
              <w:r w:rsidRPr="00BE6491">
                <w:rPr>
                  <w:rStyle w:val="Hyperlink"/>
                </w:rPr>
                <w:t>7</w:t>
              </w:r>
            </w:hyperlink>
            <w:r w:rsidRPr="000806AE">
              <w:rPr>
                <w:sz w:val="20"/>
              </w:rPr>
              <w:t xml:space="preserve"> (</w:t>
            </w:r>
            <w:hyperlink r:id="rId41" w:history="1">
              <w:r w:rsidRPr="00BE6491">
                <w:rPr>
                  <w:rStyle w:val="Hyperlink"/>
                </w:rPr>
                <w:t>Chapte</w:t>
              </w:r>
              <w:r w:rsidRPr="00BE6491">
                <w:rPr>
                  <w:rStyle w:val="Hyperlink"/>
                </w:rPr>
                <w:t>r</w:t>
              </w:r>
              <w:r w:rsidRPr="00BE6491">
                <w:rPr>
                  <w:rStyle w:val="Hyperlink"/>
                </w:rPr>
                <w:t xml:space="preserve"> 4, Annex 4.1</w:t>
              </w:r>
            </w:hyperlink>
            <w:r w:rsidRPr="000806AE">
              <w:rPr>
                <w:sz w:val="20"/>
              </w:rPr>
              <w:t>)</w:t>
            </w:r>
            <w:r w:rsidR="00C3637F" w:rsidRPr="000806AE">
              <w:rPr>
                <w:sz w:val="20"/>
              </w:rPr>
              <w:t xml:space="preserve"> </w:t>
            </w:r>
            <w:r w:rsidR="00C3637F" w:rsidRPr="00BE6491">
              <w:rPr>
                <w:sz w:val="20"/>
              </w:rPr>
              <w:t>(TIES protected)</w:t>
            </w:r>
          </w:p>
        </w:tc>
      </w:tr>
      <w:tr w:rsidR="00BA266F" w:rsidRPr="00F1295D" w14:paraId="4F42A000" w14:textId="77777777" w:rsidTr="00DC71A2">
        <w:trPr>
          <w:trHeight w:val="2483"/>
        </w:trPr>
        <w:tc>
          <w:tcPr>
            <w:tcW w:w="2106" w:type="dxa"/>
            <w:vMerge/>
          </w:tcPr>
          <w:p w14:paraId="5FC0130F" w14:textId="77777777" w:rsidR="00BA266F" w:rsidRPr="00BE6491" w:rsidRDefault="00BA266F" w:rsidP="00BA266F">
            <w:pPr>
              <w:pStyle w:val="Tabletext"/>
              <w:rPr>
                <w:sz w:val="20"/>
              </w:rPr>
            </w:pPr>
          </w:p>
        </w:tc>
        <w:tc>
          <w:tcPr>
            <w:tcW w:w="1258" w:type="dxa"/>
            <w:vMerge/>
          </w:tcPr>
          <w:p w14:paraId="66A81E2C" w14:textId="77777777" w:rsidR="00BA266F" w:rsidRPr="00BE6491" w:rsidRDefault="00BA266F" w:rsidP="00BA266F">
            <w:pPr>
              <w:pStyle w:val="Tabletext"/>
              <w:rPr>
                <w:sz w:val="20"/>
              </w:rPr>
            </w:pPr>
          </w:p>
        </w:tc>
        <w:tc>
          <w:tcPr>
            <w:tcW w:w="2931" w:type="dxa"/>
          </w:tcPr>
          <w:p w14:paraId="5A9A78F1" w14:textId="77777777" w:rsidR="00BA266F" w:rsidRPr="00BE6491" w:rsidRDefault="00BA266F" w:rsidP="00BA266F">
            <w:pPr>
              <w:pStyle w:val="Tabletext"/>
              <w:rPr>
                <w:sz w:val="20"/>
                <w:lang w:eastAsia="zh-CN"/>
              </w:rPr>
            </w:pPr>
            <w:r w:rsidRPr="00BE6491">
              <w:rPr>
                <w:sz w:val="20"/>
                <w:lang w:eastAsia="zh-CN"/>
              </w:rPr>
              <w:t>Report ITU-R BT.2385-1. “Reducing the environmental impact of terrestrial broadcasting systems”</w:t>
            </w:r>
          </w:p>
        </w:tc>
        <w:tc>
          <w:tcPr>
            <w:tcW w:w="3600" w:type="dxa"/>
          </w:tcPr>
          <w:p w14:paraId="731E9229" w14:textId="77777777" w:rsidR="00BA266F" w:rsidRPr="00BE6491" w:rsidRDefault="00BA266F" w:rsidP="00BA266F">
            <w:pPr>
              <w:pStyle w:val="Tabletext"/>
              <w:rPr>
                <w:sz w:val="20"/>
              </w:rPr>
            </w:pPr>
            <w:r w:rsidRPr="00BE6491">
              <w:rPr>
                <w:sz w:val="20"/>
              </w:rPr>
              <w:t>This report proposes Life Cycle Assessment (LCA) methodology for assessing environmental impact of Broadcasting delivery. It also provides case studies from broadcasters which explains how they could reduce the environmental impact of their business activities.</w:t>
            </w:r>
          </w:p>
        </w:tc>
        <w:tc>
          <w:tcPr>
            <w:tcW w:w="1866" w:type="dxa"/>
          </w:tcPr>
          <w:p w14:paraId="76DA1C36" w14:textId="77777777" w:rsidR="00BA266F" w:rsidRPr="00BE6491" w:rsidRDefault="00BA266F" w:rsidP="00BA266F">
            <w:pPr>
              <w:pStyle w:val="Tabletext"/>
              <w:rPr>
                <w:sz w:val="20"/>
              </w:rPr>
            </w:pPr>
            <w:r w:rsidRPr="00BE6491">
              <w:rPr>
                <w:sz w:val="20"/>
              </w:rPr>
              <w:t>Published</w:t>
            </w:r>
          </w:p>
        </w:tc>
        <w:tc>
          <w:tcPr>
            <w:tcW w:w="2801" w:type="dxa"/>
          </w:tcPr>
          <w:p w14:paraId="2879446C" w14:textId="77777777" w:rsidR="00BA266F" w:rsidRPr="00BE6491" w:rsidRDefault="00BA266F" w:rsidP="00BA266F">
            <w:pPr>
              <w:pStyle w:val="Tabletext"/>
              <w:rPr>
                <w:sz w:val="20"/>
              </w:rPr>
            </w:pPr>
            <w:hyperlink r:id="rId42" w:history="1">
              <w:r w:rsidRPr="00BE6491">
                <w:rPr>
                  <w:rStyle w:val="Hyperlink"/>
                  <w:sz w:val="20"/>
                </w:rPr>
                <w:t>https://www.itu.int/pub/R-REP-BT.2385-1</w:t>
              </w:r>
              <w:r w:rsidRPr="00BE6491">
                <w:rPr>
                  <w:rStyle w:val="Hyperlink"/>
                  <w:sz w:val="20"/>
                </w:rPr>
                <w:t>-</w:t>
              </w:r>
              <w:r w:rsidRPr="00BE6491">
                <w:rPr>
                  <w:rStyle w:val="Hyperlink"/>
                  <w:sz w:val="20"/>
                </w:rPr>
                <w:t>2022</w:t>
              </w:r>
            </w:hyperlink>
            <w:r w:rsidRPr="00BE6491">
              <w:rPr>
                <w:sz w:val="20"/>
              </w:rPr>
              <w:t xml:space="preserve"> </w:t>
            </w:r>
          </w:p>
        </w:tc>
      </w:tr>
      <w:tr w:rsidR="00BA266F" w:rsidRPr="00F1295D" w14:paraId="438076CD" w14:textId="77777777" w:rsidTr="00DC71A2">
        <w:trPr>
          <w:trHeight w:val="2483"/>
        </w:trPr>
        <w:tc>
          <w:tcPr>
            <w:tcW w:w="2106" w:type="dxa"/>
            <w:vMerge/>
          </w:tcPr>
          <w:p w14:paraId="4A0105C1" w14:textId="77777777" w:rsidR="00BA266F" w:rsidRPr="00BE6491" w:rsidRDefault="00BA266F" w:rsidP="00BA266F">
            <w:pPr>
              <w:pStyle w:val="Tabletext"/>
              <w:rPr>
                <w:sz w:val="20"/>
              </w:rPr>
            </w:pPr>
          </w:p>
        </w:tc>
        <w:tc>
          <w:tcPr>
            <w:tcW w:w="1258" w:type="dxa"/>
            <w:vMerge/>
          </w:tcPr>
          <w:p w14:paraId="24468A37" w14:textId="77777777" w:rsidR="00BA266F" w:rsidRPr="00BE6491" w:rsidRDefault="00BA266F" w:rsidP="00BA266F">
            <w:pPr>
              <w:pStyle w:val="Tabletext"/>
              <w:rPr>
                <w:sz w:val="20"/>
              </w:rPr>
            </w:pPr>
          </w:p>
        </w:tc>
        <w:tc>
          <w:tcPr>
            <w:tcW w:w="2931" w:type="dxa"/>
          </w:tcPr>
          <w:p w14:paraId="4131364C" w14:textId="0C87F62D" w:rsidR="00BA266F" w:rsidRPr="00BE6491" w:rsidRDefault="00BA266F" w:rsidP="00BA266F">
            <w:pPr>
              <w:pStyle w:val="Tabletext"/>
              <w:rPr>
                <w:sz w:val="20"/>
                <w:lang w:eastAsia="zh-CN"/>
              </w:rPr>
            </w:pPr>
            <w:r w:rsidRPr="00BE6491">
              <w:rPr>
                <w:sz w:val="20"/>
                <w:lang w:eastAsia="zh-CN"/>
              </w:rPr>
              <w:t>Report ITU-R 2521</w:t>
            </w:r>
            <w:r w:rsidR="003D0977" w:rsidRPr="00BE6491">
              <w:rPr>
                <w:sz w:val="20"/>
                <w:lang w:eastAsia="zh-CN"/>
              </w:rPr>
              <w:t>-</w:t>
            </w:r>
            <w:r w:rsidR="00246D24" w:rsidRPr="00BE6491">
              <w:rPr>
                <w:sz w:val="20"/>
                <w:lang w:eastAsia="zh-CN"/>
              </w:rPr>
              <w:t>1</w:t>
            </w:r>
            <w:r w:rsidRPr="00BE6491">
              <w:rPr>
                <w:sz w:val="20"/>
                <w:lang w:eastAsia="zh-CN"/>
              </w:rPr>
              <w:t xml:space="preserve"> “Practical examples of actions to realize energy aware broadcasting”</w:t>
            </w:r>
          </w:p>
        </w:tc>
        <w:tc>
          <w:tcPr>
            <w:tcW w:w="3600" w:type="dxa"/>
          </w:tcPr>
          <w:p w14:paraId="17FCE50B" w14:textId="6138D7D7" w:rsidR="00BA266F" w:rsidRPr="00BE6491" w:rsidRDefault="00BA266F" w:rsidP="00BA266F">
            <w:pPr>
              <w:pStyle w:val="Tabletext"/>
              <w:rPr>
                <w:sz w:val="20"/>
              </w:rPr>
            </w:pPr>
            <w:r w:rsidRPr="00BE6491">
              <w:rPr>
                <w:sz w:val="20"/>
              </w:rPr>
              <w:t>This Report is intended to assist broadcasters and broadcasting related organizations to implement sustainability strategies and assess and reduce their impact on the environment</w:t>
            </w:r>
            <w:r w:rsidR="00A50470" w:rsidRPr="00BE6491">
              <w:rPr>
                <w:sz w:val="20"/>
              </w:rPr>
              <w:t>.</w:t>
            </w:r>
          </w:p>
        </w:tc>
        <w:tc>
          <w:tcPr>
            <w:tcW w:w="1866" w:type="dxa"/>
          </w:tcPr>
          <w:p w14:paraId="5BEB8BE5" w14:textId="77777777" w:rsidR="00BA266F" w:rsidRPr="00BE6491" w:rsidRDefault="00BA266F" w:rsidP="00BA266F">
            <w:pPr>
              <w:pStyle w:val="Tabletext"/>
              <w:rPr>
                <w:sz w:val="20"/>
              </w:rPr>
            </w:pPr>
            <w:r w:rsidRPr="00BE6491">
              <w:rPr>
                <w:sz w:val="20"/>
              </w:rPr>
              <w:t>Published</w:t>
            </w:r>
          </w:p>
        </w:tc>
        <w:tc>
          <w:tcPr>
            <w:tcW w:w="2801" w:type="dxa"/>
          </w:tcPr>
          <w:p w14:paraId="7662B32B" w14:textId="77777777" w:rsidR="00BA266F" w:rsidRPr="00BE6491" w:rsidRDefault="00BA266F" w:rsidP="00BA266F">
            <w:pPr>
              <w:pStyle w:val="Tabletext"/>
              <w:rPr>
                <w:sz w:val="20"/>
              </w:rPr>
            </w:pPr>
            <w:hyperlink r:id="rId43" w:history="1">
              <w:r w:rsidRPr="00BE6491">
                <w:rPr>
                  <w:rStyle w:val="Hyperlink"/>
                  <w:sz w:val="20"/>
                </w:rPr>
                <w:t>https://www</w:t>
              </w:r>
              <w:r w:rsidRPr="00BE6491">
                <w:rPr>
                  <w:rStyle w:val="Hyperlink"/>
                  <w:sz w:val="20"/>
                </w:rPr>
                <w:t>.</w:t>
              </w:r>
              <w:r w:rsidRPr="00BE6491">
                <w:rPr>
                  <w:rStyle w:val="Hyperlink"/>
                  <w:sz w:val="20"/>
                </w:rPr>
                <w:t>itu.int/pub/R-REP-BT.2521</w:t>
              </w:r>
            </w:hyperlink>
            <w:r w:rsidRPr="00BE6491">
              <w:rPr>
                <w:sz w:val="20"/>
              </w:rPr>
              <w:t xml:space="preserve"> </w:t>
            </w:r>
          </w:p>
        </w:tc>
      </w:tr>
      <w:tr w:rsidR="00BA266F" w:rsidRPr="00F1295D" w14:paraId="6DB90ADD" w14:textId="77777777" w:rsidTr="00DC71A2">
        <w:trPr>
          <w:trHeight w:val="2483"/>
        </w:trPr>
        <w:tc>
          <w:tcPr>
            <w:tcW w:w="2106" w:type="dxa"/>
            <w:vMerge/>
          </w:tcPr>
          <w:p w14:paraId="325A6BD1" w14:textId="77777777" w:rsidR="00BA266F" w:rsidRPr="00BE6491" w:rsidRDefault="00BA266F" w:rsidP="00BA266F">
            <w:pPr>
              <w:pStyle w:val="Tabletext"/>
              <w:rPr>
                <w:sz w:val="20"/>
              </w:rPr>
            </w:pPr>
          </w:p>
        </w:tc>
        <w:tc>
          <w:tcPr>
            <w:tcW w:w="1258" w:type="dxa"/>
            <w:vMerge/>
          </w:tcPr>
          <w:p w14:paraId="51E7067E" w14:textId="77777777" w:rsidR="00BA266F" w:rsidRPr="00BE6491" w:rsidRDefault="00BA266F" w:rsidP="00BA266F">
            <w:pPr>
              <w:pStyle w:val="Tabletext"/>
              <w:rPr>
                <w:sz w:val="20"/>
              </w:rPr>
            </w:pPr>
          </w:p>
        </w:tc>
        <w:tc>
          <w:tcPr>
            <w:tcW w:w="2931" w:type="dxa"/>
          </w:tcPr>
          <w:p w14:paraId="26F0FA40" w14:textId="3881CB07" w:rsidR="00BA266F" w:rsidRPr="00BE6491" w:rsidRDefault="00BA266F" w:rsidP="00BA266F">
            <w:pPr>
              <w:pStyle w:val="Tabletext"/>
              <w:rPr>
                <w:sz w:val="20"/>
                <w:lang w:eastAsia="zh-CN"/>
              </w:rPr>
            </w:pPr>
            <w:r w:rsidRPr="00BE6491">
              <w:rPr>
                <w:sz w:val="20"/>
                <w:lang w:eastAsia="zh-CN"/>
              </w:rPr>
              <w:t xml:space="preserve">Report ITU-R </w:t>
            </w:r>
            <w:r w:rsidR="00C47E4E" w:rsidRPr="00BE6491">
              <w:rPr>
                <w:sz w:val="20"/>
                <w:lang w:eastAsia="zh-CN"/>
              </w:rPr>
              <w:t>BT</w:t>
            </w:r>
            <w:r w:rsidRPr="00BE6491">
              <w:rPr>
                <w:sz w:val="20"/>
                <w:lang w:eastAsia="zh-CN"/>
              </w:rPr>
              <w:t>.</w:t>
            </w:r>
            <w:r w:rsidR="00C47E4E" w:rsidRPr="00BE6491">
              <w:rPr>
                <w:sz w:val="20"/>
                <w:lang w:eastAsia="zh-CN"/>
              </w:rPr>
              <w:t>2540-0</w:t>
            </w:r>
            <w:r w:rsidRPr="00BE6491">
              <w:rPr>
                <w:sz w:val="20"/>
                <w:lang w:eastAsia="zh-CN"/>
              </w:rPr>
              <w:t xml:space="preserve"> “Display energy reduction through image signal processing”</w:t>
            </w:r>
          </w:p>
        </w:tc>
        <w:tc>
          <w:tcPr>
            <w:tcW w:w="3600" w:type="dxa"/>
          </w:tcPr>
          <w:p w14:paraId="0CC13751" w14:textId="77777777" w:rsidR="00BA266F" w:rsidRPr="00BE6491" w:rsidRDefault="00BA266F" w:rsidP="00BA266F">
            <w:pPr>
              <w:pStyle w:val="Tabletext"/>
              <w:rPr>
                <w:sz w:val="20"/>
              </w:rPr>
            </w:pPr>
            <w:r w:rsidRPr="00BE6491">
              <w:rPr>
                <w:sz w:val="20"/>
              </w:rPr>
              <w:t>Broadcasting and streaming technologies incur a cost in terms of energy that is distributed over the entire transmission chain, from production to distribution / transmission and final viewing by consumers. Television displays, when considered the whole quantity globally, consume a relatively large part of this energy. This energy consumption may be mitigated by content-adaptive image signal processing while minimizing the impact on visual quality. This Report describes such techniques.</w:t>
            </w:r>
          </w:p>
        </w:tc>
        <w:tc>
          <w:tcPr>
            <w:tcW w:w="1866" w:type="dxa"/>
          </w:tcPr>
          <w:p w14:paraId="13F900AF" w14:textId="2F7D66F1" w:rsidR="00BA266F" w:rsidRPr="00BE6491" w:rsidRDefault="00C47E4E" w:rsidP="00BA266F">
            <w:pPr>
              <w:pStyle w:val="Tabletext"/>
              <w:rPr>
                <w:sz w:val="20"/>
              </w:rPr>
            </w:pPr>
            <w:r w:rsidRPr="00BE6491">
              <w:rPr>
                <w:sz w:val="20"/>
              </w:rPr>
              <w:t>Published</w:t>
            </w:r>
          </w:p>
        </w:tc>
        <w:tc>
          <w:tcPr>
            <w:tcW w:w="2801" w:type="dxa"/>
          </w:tcPr>
          <w:p w14:paraId="44578C95" w14:textId="0B72C3ED" w:rsidR="00BA266F" w:rsidRPr="00C63CD6" w:rsidRDefault="003D0977" w:rsidP="00BA266F">
            <w:pPr>
              <w:pStyle w:val="Tabletext"/>
              <w:rPr>
                <w:sz w:val="20"/>
                <w:szCs w:val="18"/>
              </w:rPr>
            </w:pPr>
            <w:hyperlink r:id="rId44" w:history="1">
              <w:r w:rsidRPr="00542EFF">
                <w:rPr>
                  <w:rStyle w:val="Hyperlink"/>
                  <w:sz w:val="20"/>
                  <w:szCs w:val="18"/>
                </w:rPr>
                <w:t>https://ww</w:t>
              </w:r>
              <w:r w:rsidRPr="00542EFF">
                <w:rPr>
                  <w:rStyle w:val="Hyperlink"/>
                  <w:sz w:val="20"/>
                  <w:szCs w:val="18"/>
                </w:rPr>
                <w:t>w</w:t>
              </w:r>
              <w:r w:rsidRPr="00542EFF">
                <w:rPr>
                  <w:rStyle w:val="Hyperlink"/>
                  <w:sz w:val="20"/>
                  <w:szCs w:val="18"/>
                </w:rPr>
                <w:t>.itu.int/pub/R-REP-BT.2540</w:t>
              </w:r>
            </w:hyperlink>
          </w:p>
        </w:tc>
      </w:tr>
      <w:tr w:rsidR="00BA266F" w:rsidRPr="00E237B6" w14:paraId="7E8D2279" w14:textId="77777777" w:rsidTr="00DC71A2">
        <w:trPr>
          <w:trHeight w:val="2483"/>
        </w:trPr>
        <w:tc>
          <w:tcPr>
            <w:tcW w:w="2106" w:type="dxa"/>
            <w:vMerge w:val="restart"/>
          </w:tcPr>
          <w:p w14:paraId="6EE2BF36" w14:textId="77777777" w:rsidR="00BA266F" w:rsidRPr="00BE6491" w:rsidRDefault="00BA266F" w:rsidP="00BA266F">
            <w:pPr>
              <w:pStyle w:val="Tabletext"/>
              <w:rPr>
                <w:sz w:val="20"/>
              </w:rPr>
            </w:pPr>
          </w:p>
        </w:tc>
        <w:tc>
          <w:tcPr>
            <w:tcW w:w="1258" w:type="dxa"/>
            <w:vMerge w:val="restart"/>
          </w:tcPr>
          <w:p w14:paraId="0BCE6F6F" w14:textId="77777777" w:rsidR="00BA266F" w:rsidRPr="00BE6491" w:rsidRDefault="00BA266F" w:rsidP="00BA266F">
            <w:pPr>
              <w:pStyle w:val="Tabletext"/>
              <w:rPr>
                <w:sz w:val="20"/>
              </w:rPr>
            </w:pPr>
          </w:p>
        </w:tc>
        <w:tc>
          <w:tcPr>
            <w:tcW w:w="2931" w:type="dxa"/>
          </w:tcPr>
          <w:p w14:paraId="0995AFB2" w14:textId="27B88601" w:rsidR="00BA266F" w:rsidRPr="00BE6491" w:rsidRDefault="00BA266F" w:rsidP="00BA266F">
            <w:pPr>
              <w:pStyle w:val="Tabletext"/>
              <w:rPr>
                <w:sz w:val="20"/>
                <w:lang w:eastAsia="zh-CN"/>
              </w:rPr>
            </w:pPr>
            <w:r w:rsidRPr="00BE6491">
              <w:rPr>
                <w:sz w:val="20"/>
                <w:lang w:eastAsia="zh-CN"/>
              </w:rPr>
              <w:t>Recommendation ITU-R BT.</w:t>
            </w:r>
            <w:r w:rsidR="009922A7">
              <w:rPr>
                <w:sz w:val="20"/>
                <w:lang w:eastAsia="zh-CN"/>
              </w:rPr>
              <w:t xml:space="preserve">2167-0 </w:t>
            </w:r>
            <w:r w:rsidRPr="00BE6491">
              <w:rPr>
                <w:sz w:val="20"/>
                <w:lang w:eastAsia="zh-CN"/>
              </w:rPr>
              <w:t>“A framework for content-adaptive methods for reduction of energy consumption in television displays”</w:t>
            </w:r>
          </w:p>
        </w:tc>
        <w:tc>
          <w:tcPr>
            <w:tcW w:w="3600" w:type="dxa"/>
          </w:tcPr>
          <w:p w14:paraId="4E82063F" w14:textId="77777777" w:rsidR="00BA266F" w:rsidRPr="00BE6491" w:rsidRDefault="00BA266F" w:rsidP="00BA266F">
            <w:pPr>
              <w:pStyle w:val="Tabletext"/>
              <w:rPr>
                <w:sz w:val="20"/>
              </w:rPr>
            </w:pPr>
            <w:r w:rsidRPr="00BE6491">
              <w:rPr>
                <w:sz w:val="20"/>
              </w:rPr>
              <w:t>Television displays consume a relatively large part of the total energy consumed in the end-to-end of a broadcasting chain from production of programmes to final viewing by consumers. The energy consumption by television displays may be mitigated by content-adaptive methods without unduly impacting visual quality. This Recommendation defines a framework for such techniques.</w:t>
            </w:r>
          </w:p>
          <w:p w14:paraId="6D367CC5" w14:textId="18CBC0A8" w:rsidR="00BA266F" w:rsidRPr="00BE6491" w:rsidRDefault="00BA266F" w:rsidP="00BA266F">
            <w:pPr>
              <w:pStyle w:val="Tabletext"/>
              <w:rPr>
                <w:sz w:val="20"/>
              </w:rPr>
            </w:pPr>
            <w:r w:rsidRPr="00BE6491">
              <w:rPr>
                <w:sz w:val="20"/>
              </w:rPr>
              <w:t>NOTE</w:t>
            </w:r>
            <w:r w:rsidR="0008276C">
              <w:rPr>
                <w:sz w:val="20"/>
              </w:rPr>
              <w:t xml:space="preserve"> –</w:t>
            </w:r>
            <w:r w:rsidRPr="00BE6491">
              <w:rPr>
                <w:sz w:val="20"/>
              </w:rPr>
              <w:t xml:space="preserve"> Companion</w:t>
            </w:r>
            <w:r w:rsidR="0008276C">
              <w:rPr>
                <w:sz w:val="20"/>
              </w:rPr>
              <w:t xml:space="preserve"> </w:t>
            </w:r>
            <w:r w:rsidRPr="00BE6491">
              <w:rPr>
                <w:sz w:val="20"/>
              </w:rPr>
              <w:t>to</w:t>
            </w:r>
            <w:r w:rsidRPr="00BE6491">
              <w:rPr>
                <w:sz w:val="20"/>
                <w:lang w:eastAsia="zh-CN"/>
              </w:rPr>
              <w:t xml:space="preserve"> Report ITU</w:t>
            </w:r>
            <w:r w:rsidRPr="00BE6491">
              <w:rPr>
                <w:sz w:val="20"/>
                <w:lang w:eastAsia="zh-CN"/>
              </w:rPr>
              <w:noBreakHyphen/>
              <w:t>R</w:t>
            </w:r>
            <w:r w:rsidR="007630F0" w:rsidRPr="00BE6491">
              <w:rPr>
                <w:sz w:val="20"/>
                <w:lang w:eastAsia="zh-CN"/>
              </w:rPr>
              <w:t xml:space="preserve"> BT</w:t>
            </w:r>
            <w:r w:rsidRPr="00BE6491">
              <w:rPr>
                <w:sz w:val="20"/>
                <w:lang w:eastAsia="zh-CN"/>
              </w:rPr>
              <w:t>.</w:t>
            </w:r>
            <w:r w:rsidR="00244A49" w:rsidRPr="00BE6491">
              <w:rPr>
                <w:sz w:val="20"/>
                <w:lang w:eastAsia="zh-CN"/>
              </w:rPr>
              <w:t>2540-0</w:t>
            </w:r>
          </w:p>
        </w:tc>
        <w:tc>
          <w:tcPr>
            <w:tcW w:w="1866" w:type="dxa"/>
          </w:tcPr>
          <w:p w14:paraId="5E5D8242" w14:textId="538EC4DD" w:rsidR="00325E94" w:rsidRPr="00BE6491" w:rsidRDefault="007464E1" w:rsidP="00BA266F">
            <w:pPr>
              <w:pStyle w:val="Tabletext"/>
              <w:rPr>
                <w:sz w:val="20"/>
              </w:rPr>
            </w:pPr>
            <w:r>
              <w:rPr>
                <w:sz w:val="20"/>
              </w:rPr>
              <w:t xml:space="preserve">Approved. </w:t>
            </w:r>
          </w:p>
        </w:tc>
        <w:tc>
          <w:tcPr>
            <w:tcW w:w="2801" w:type="dxa"/>
          </w:tcPr>
          <w:p w14:paraId="71F5D22E" w14:textId="681EDFF7" w:rsidR="00BA266F" w:rsidRPr="00BE6491" w:rsidRDefault="0024117A" w:rsidP="00BA266F">
            <w:pPr>
              <w:pStyle w:val="Tabletext"/>
              <w:rPr>
                <w:sz w:val="20"/>
                <w:highlight w:val="yellow"/>
              </w:rPr>
            </w:pPr>
            <w:hyperlink r:id="rId45" w:history="1">
              <w:r w:rsidRPr="00542EFF">
                <w:rPr>
                  <w:rStyle w:val="Hyperlink"/>
                  <w:sz w:val="20"/>
                  <w:szCs w:val="18"/>
                </w:rPr>
                <w:t>https://ww</w:t>
              </w:r>
              <w:r w:rsidRPr="00542EFF">
                <w:rPr>
                  <w:rStyle w:val="Hyperlink"/>
                  <w:sz w:val="20"/>
                  <w:szCs w:val="18"/>
                </w:rPr>
                <w:t>w</w:t>
              </w:r>
              <w:r w:rsidRPr="00542EFF">
                <w:rPr>
                  <w:rStyle w:val="Hyperlink"/>
                  <w:sz w:val="20"/>
                  <w:szCs w:val="18"/>
                </w:rPr>
                <w:t>.itu.int/rec/R-REC-BT.2167/en</w:t>
              </w:r>
            </w:hyperlink>
          </w:p>
        </w:tc>
      </w:tr>
      <w:tr w:rsidR="00BA266F" w:rsidRPr="00E237B6" w14:paraId="39F0A211" w14:textId="77777777" w:rsidTr="00DC71A2">
        <w:trPr>
          <w:trHeight w:val="2483"/>
        </w:trPr>
        <w:tc>
          <w:tcPr>
            <w:tcW w:w="2106" w:type="dxa"/>
            <w:vMerge/>
          </w:tcPr>
          <w:p w14:paraId="07706E3A" w14:textId="77777777" w:rsidR="00BA266F" w:rsidRPr="00BE6491" w:rsidRDefault="00BA266F" w:rsidP="00BA266F">
            <w:pPr>
              <w:pStyle w:val="Tabletext"/>
              <w:rPr>
                <w:sz w:val="20"/>
              </w:rPr>
            </w:pPr>
          </w:p>
        </w:tc>
        <w:tc>
          <w:tcPr>
            <w:tcW w:w="1258" w:type="dxa"/>
            <w:vMerge/>
          </w:tcPr>
          <w:p w14:paraId="7F415AB1" w14:textId="77777777" w:rsidR="00BA266F" w:rsidRPr="00BE6491" w:rsidRDefault="00BA266F" w:rsidP="00BA266F">
            <w:pPr>
              <w:pStyle w:val="Tabletext"/>
              <w:rPr>
                <w:sz w:val="20"/>
              </w:rPr>
            </w:pPr>
          </w:p>
        </w:tc>
        <w:tc>
          <w:tcPr>
            <w:tcW w:w="2931" w:type="dxa"/>
          </w:tcPr>
          <w:p w14:paraId="09413E47" w14:textId="77777777" w:rsidR="00BA266F" w:rsidRPr="00BE6491" w:rsidRDefault="00BA266F" w:rsidP="00BA266F">
            <w:pPr>
              <w:pStyle w:val="Tabletext"/>
              <w:rPr>
                <w:sz w:val="20"/>
                <w:lang w:eastAsia="zh-CN"/>
              </w:rPr>
            </w:pPr>
            <w:r w:rsidRPr="00BE6491">
              <w:rPr>
                <w:sz w:val="20"/>
                <w:lang w:eastAsia="zh-CN"/>
              </w:rPr>
              <w:t xml:space="preserve">Proposed New Recommendation </w:t>
            </w:r>
            <w:r w:rsidRPr="00BE6491">
              <w:rPr>
                <w:sz w:val="20"/>
                <w:lang w:eastAsia="zh-CN"/>
              </w:rPr>
              <w:br/>
              <w:t>“A measurement framework for broadcasters to assess their Scope 3 impact of televisions displaying a television programme”</w:t>
            </w:r>
          </w:p>
        </w:tc>
        <w:tc>
          <w:tcPr>
            <w:tcW w:w="3600" w:type="dxa"/>
          </w:tcPr>
          <w:p w14:paraId="26FED494" w14:textId="01C1C5E2" w:rsidR="00BA266F" w:rsidRPr="00BE6491" w:rsidRDefault="00BA266F" w:rsidP="00BA266F">
            <w:pPr>
              <w:pStyle w:val="Tabletext"/>
              <w:rPr>
                <w:sz w:val="20"/>
              </w:rPr>
            </w:pPr>
            <w:r w:rsidRPr="00BE6491">
              <w:rPr>
                <w:sz w:val="20"/>
              </w:rPr>
              <w:t>For broadcasters, the downstream impact of broadcasting a television programme is considered part of Scope 3, Category 11 indirect use phase emissions of sold products, the reporting of which is currently voluntary. This Recommendation defines a framework to assess this impact, insofar end user displays are involved</w:t>
            </w:r>
            <w:r w:rsidR="0008276C">
              <w:rPr>
                <w:sz w:val="20"/>
              </w:rPr>
              <w:t>.</w:t>
            </w:r>
          </w:p>
        </w:tc>
        <w:tc>
          <w:tcPr>
            <w:tcW w:w="1866" w:type="dxa"/>
          </w:tcPr>
          <w:p w14:paraId="192E00BE" w14:textId="77777777" w:rsidR="00BA266F" w:rsidRPr="00BE6491" w:rsidRDefault="00BA266F" w:rsidP="00BA266F">
            <w:pPr>
              <w:pStyle w:val="Tabletext"/>
              <w:rPr>
                <w:sz w:val="20"/>
              </w:rPr>
            </w:pPr>
            <w:r w:rsidRPr="00BE6491">
              <w:rPr>
                <w:sz w:val="20"/>
              </w:rPr>
              <w:t>Under Study</w:t>
            </w:r>
          </w:p>
        </w:tc>
        <w:tc>
          <w:tcPr>
            <w:tcW w:w="2801" w:type="dxa"/>
          </w:tcPr>
          <w:p w14:paraId="14DF3DBC" w14:textId="77777777" w:rsidR="00BA266F" w:rsidRPr="00BE6491" w:rsidRDefault="00BA266F" w:rsidP="00BA266F">
            <w:pPr>
              <w:pStyle w:val="Tabletext"/>
              <w:rPr>
                <w:sz w:val="20"/>
              </w:rPr>
            </w:pPr>
            <w:r w:rsidRPr="00BE6491">
              <w:rPr>
                <w:sz w:val="20"/>
              </w:rPr>
              <w:t>Working Document version available attached to the Report of the March 2024 meeting of Working Party 6C</w:t>
            </w:r>
          </w:p>
          <w:p w14:paraId="53501E6D" w14:textId="006FBD4C" w:rsidR="00BA266F" w:rsidRPr="00BE6491" w:rsidRDefault="00BA266F" w:rsidP="00BA266F">
            <w:pPr>
              <w:pStyle w:val="Tabletext"/>
              <w:rPr>
                <w:rStyle w:val="Hyperlink"/>
                <w:sz w:val="20"/>
              </w:rPr>
            </w:pPr>
            <w:hyperlink r:id="rId46" w:history="1">
              <w:r w:rsidRPr="00BE6491">
                <w:rPr>
                  <w:rStyle w:val="Hyperlink"/>
                  <w:sz w:val="20"/>
                </w:rPr>
                <w:t>6C/37</w:t>
              </w:r>
              <w:r w:rsidR="009E58BB">
                <w:rPr>
                  <w:rStyle w:val="Hyperlink"/>
                  <w:sz w:val="20"/>
                </w:rPr>
                <w:t xml:space="preserve"> (</w:t>
              </w:r>
              <w:r w:rsidRPr="00BE6491">
                <w:rPr>
                  <w:rStyle w:val="Hyperlink"/>
                  <w:sz w:val="20"/>
                </w:rPr>
                <w:t>An</w:t>
              </w:r>
              <w:r w:rsidRPr="00BE6491">
                <w:rPr>
                  <w:rStyle w:val="Hyperlink"/>
                  <w:sz w:val="20"/>
                </w:rPr>
                <w:t>n</w:t>
              </w:r>
              <w:r w:rsidRPr="00BE6491">
                <w:rPr>
                  <w:rStyle w:val="Hyperlink"/>
                  <w:sz w:val="20"/>
                </w:rPr>
                <w:t>e</w:t>
              </w:r>
              <w:r w:rsidRPr="00BE6491">
                <w:rPr>
                  <w:rStyle w:val="Hyperlink"/>
                  <w:sz w:val="20"/>
                </w:rPr>
                <w:t>x 3.1</w:t>
              </w:r>
            </w:hyperlink>
            <w:r w:rsidR="009E58BB">
              <w:rPr>
                <w:rStyle w:val="Hyperlink"/>
                <w:sz w:val="20"/>
              </w:rPr>
              <w:t>)</w:t>
            </w:r>
          </w:p>
          <w:p w14:paraId="43AC203A" w14:textId="62ACD347" w:rsidR="00BA266F" w:rsidRPr="00BE6491" w:rsidRDefault="00BA266F" w:rsidP="00BA266F">
            <w:pPr>
              <w:pStyle w:val="Tabletext"/>
              <w:rPr>
                <w:rStyle w:val="Hyperlink"/>
                <w:sz w:val="20"/>
              </w:rPr>
            </w:pPr>
            <w:r w:rsidRPr="00BE6491">
              <w:rPr>
                <w:sz w:val="20"/>
              </w:rPr>
              <w:t>(TIES</w:t>
            </w:r>
            <w:r w:rsidR="009F3BB5" w:rsidRPr="00BE6491">
              <w:rPr>
                <w:sz w:val="20"/>
              </w:rPr>
              <w:t xml:space="preserve"> protected</w:t>
            </w:r>
            <w:r w:rsidRPr="00BE6491">
              <w:rPr>
                <w:sz w:val="20"/>
              </w:rPr>
              <w:t>)</w:t>
            </w:r>
          </w:p>
          <w:p w14:paraId="3D5D28BD" w14:textId="77777777" w:rsidR="00BA266F" w:rsidRPr="00BE6491" w:rsidRDefault="00BA266F" w:rsidP="00BA266F">
            <w:pPr>
              <w:pStyle w:val="Tabletext"/>
              <w:rPr>
                <w:sz w:val="20"/>
              </w:rPr>
            </w:pPr>
          </w:p>
        </w:tc>
      </w:tr>
    </w:tbl>
    <w:p w14:paraId="3C6EE7E2" w14:textId="4498F888" w:rsidR="0025739A" w:rsidRPr="00745008" w:rsidRDefault="0025739A" w:rsidP="00E757EA">
      <w:pPr>
        <w:pStyle w:val="enumlev1"/>
        <w:jc w:val="both"/>
      </w:pPr>
    </w:p>
    <w:p w14:paraId="05C2ADBC" w14:textId="77777777" w:rsidR="0025739A" w:rsidRPr="009D0532" w:rsidRDefault="0025739A" w:rsidP="00E757EA">
      <w:pPr>
        <w:spacing w:before="0"/>
        <w:jc w:val="both"/>
        <w:rPr>
          <w:rFonts w:eastAsia="SimSun"/>
        </w:rPr>
      </w:pPr>
    </w:p>
    <w:p w14:paraId="143AA1E3" w14:textId="77777777" w:rsidR="00F96B5F" w:rsidRPr="00F96B5F" w:rsidRDefault="00F96B5F" w:rsidP="00E757EA">
      <w:pPr>
        <w:pStyle w:val="Reasons"/>
        <w:jc w:val="both"/>
        <w:rPr>
          <w:highlight w:val="yellow"/>
        </w:rPr>
      </w:pPr>
    </w:p>
    <w:p w14:paraId="44A4BC64" w14:textId="77777777" w:rsidR="00C04B16" w:rsidRDefault="00C04B16" w:rsidP="00E757EA">
      <w:pPr>
        <w:jc w:val="center"/>
      </w:pPr>
      <w:r w:rsidRPr="00FA67AE">
        <w:t>______________</w:t>
      </w:r>
    </w:p>
    <w:p w14:paraId="7EDC2144" w14:textId="77777777" w:rsidR="00C04B16" w:rsidRPr="009D0532" w:rsidRDefault="00C04B16" w:rsidP="00E757EA">
      <w:pPr>
        <w:spacing w:before="0"/>
        <w:jc w:val="both"/>
        <w:rPr>
          <w:rFonts w:eastAsia="SimSun"/>
        </w:rPr>
      </w:pPr>
    </w:p>
    <w:p w14:paraId="53B7DA75" w14:textId="401C369C" w:rsidR="00762732" w:rsidRDefault="00762732" w:rsidP="00C04B16">
      <w:pPr>
        <w:spacing w:before="240" w:after="240"/>
      </w:pPr>
    </w:p>
    <w:sectPr w:rsidR="00762732" w:rsidSect="00BE6491">
      <w:pgSz w:w="16840" w:h="11907" w:orient="landscape" w:code="9"/>
      <w:pgMar w:top="1094" w:right="1094" w:bottom="1094" w:left="1094" w:header="475" w:footer="475"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E0CFE" w14:textId="77777777" w:rsidR="00DB3D58" w:rsidRDefault="00DB3D58">
      <w:r>
        <w:separator/>
      </w:r>
    </w:p>
  </w:endnote>
  <w:endnote w:type="continuationSeparator" w:id="0">
    <w:p w14:paraId="307DE0EF" w14:textId="77777777" w:rsidR="00DB3D58" w:rsidRDefault="00DB3D58">
      <w:r>
        <w:continuationSeparator/>
      </w:r>
    </w:p>
  </w:endnote>
  <w:endnote w:type="continuationNotice" w:id="1">
    <w:p w14:paraId="51A1C2D7" w14:textId="77777777" w:rsidR="00DB3D58" w:rsidRDefault="00DB3D5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D27BB" w14:textId="77777777" w:rsidR="00DB3D58" w:rsidRDefault="00DB3D58">
      <w:r>
        <w:t>____________________</w:t>
      </w:r>
    </w:p>
  </w:footnote>
  <w:footnote w:type="continuationSeparator" w:id="0">
    <w:p w14:paraId="13DAA011" w14:textId="77777777" w:rsidR="00DB3D58" w:rsidRDefault="00DB3D58">
      <w:r>
        <w:continuationSeparator/>
      </w:r>
    </w:p>
  </w:footnote>
  <w:footnote w:type="continuationNotice" w:id="1">
    <w:p w14:paraId="118C5E72" w14:textId="77777777" w:rsidR="00DB3D58" w:rsidRDefault="00DB3D5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4198450"/>
      <w:docPartObj>
        <w:docPartGallery w:val="Page Numbers (Top of Page)"/>
        <w:docPartUnique/>
      </w:docPartObj>
    </w:sdtPr>
    <w:sdtEndPr/>
    <w:sdtContent>
      <w:p w14:paraId="488923B9" w14:textId="69BB37AD" w:rsidR="00773DF4" w:rsidRPr="00773DF4" w:rsidRDefault="00773DF4" w:rsidP="00773DF4">
        <w:pPr>
          <w:pStyle w:val="Header"/>
        </w:pPr>
        <w:r w:rsidRPr="00773DF4">
          <w:fldChar w:fldCharType="begin"/>
        </w:r>
        <w:r w:rsidRPr="00773DF4">
          <w:instrText xml:space="preserve"> PAGE   \* MERGEFORMAT </w:instrText>
        </w:r>
        <w:r w:rsidRPr="00773DF4">
          <w:fldChar w:fldCharType="separate"/>
        </w:r>
        <w:r>
          <w:t>1</w:t>
        </w:r>
        <w:r w:rsidRPr="00773DF4">
          <w:fldChar w:fldCharType="end"/>
        </w:r>
      </w:p>
      <w:p w14:paraId="502C5D27" w14:textId="5F042D00" w:rsidR="00773DF4" w:rsidRPr="00773DF4" w:rsidRDefault="00773DF4" w:rsidP="00773DF4">
        <w:pPr>
          <w:pStyle w:val="Header"/>
        </w:pPr>
        <w:r w:rsidRPr="00773DF4">
          <w:rPr>
            <w:lang w:val="es-ES"/>
          </w:rPr>
          <w:t>RAG/</w:t>
        </w:r>
        <w:r w:rsidR="00DE4177">
          <w:rPr>
            <w:lang w:val="es-ES"/>
          </w:rPr>
          <w:t>30</w:t>
        </w:r>
        <w:r>
          <w:rPr>
            <w:lang w:val="es-ES"/>
          </w:rPr>
          <w:t>(Add.1)</w:t>
        </w:r>
        <w:r w:rsidRPr="00773DF4">
          <w:rPr>
            <w:lang w:val="es-ES"/>
          </w:rPr>
          <w:t>-E</w:t>
        </w:r>
      </w:p>
    </w:sdtContent>
  </w:sdt>
  <w:p w14:paraId="61E7C102" w14:textId="77777777" w:rsidR="00773DF4" w:rsidRDefault="00773D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22BB3"/>
    <w:multiLevelType w:val="hybridMultilevel"/>
    <w:tmpl w:val="1C58BC1C"/>
    <w:lvl w:ilvl="0" w:tplc="D166D5FE">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16cid:durableId="145328233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s-ES"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041"/>
    <w:rsid w:val="000015F2"/>
    <w:rsid w:val="00001F7D"/>
    <w:rsid w:val="00002751"/>
    <w:rsid w:val="00004409"/>
    <w:rsid w:val="0000549A"/>
    <w:rsid w:val="00014DD4"/>
    <w:rsid w:val="00016387"/>
    <w:rsid w:val="00020560"/>
    <w:rsid w:val="0002295E"/>
    <w:rsid w:val="00023AC3"/>
    <w:rsid w:val="00030E03"/>
    <w:rsid w:val="00033E60"/>
    <w:rsid w:val="00035AF0"/>
    <w:rsid w:val="00035DC7"/>
    <w:rsid w:val="00042191"/>
    <w:rsid w:val="00056354"/>
    <w:rsid w:val="00060403"/>
    <w:rsid w:val="000606D2"/>
    <w:rsid w:val="000618CC"/>
    <w:rsid w:val="00071376"/>
    <w:rsid w:val="000806AE"/>
    <w:rsid w:val="0008276C"/>
    <w:rsid w:val="00082B8C"/>
    <w:rsid w:val="00086062"/>
    <w:rsid w:val="000913C1"/>
    <w:rsid w:val="00092639"/>
    <w:rsid w:val="00093BB2"/>
    <w:rsid w:val="00093C73"/>
    <w:rsid w:val="00094D9C"/>
    <w:rsid w:val="000979B3"/>
    <w:rsid w:val="000A0947"/>
    <w:rsid w:val="000A1596"/>
    <w:rsid w:val="000A369E"/>
    <w:rsid w:val="000B41EA"/>
    <w:rsid w:val="000B498F"/>
    <w:rsid w:val="000B4C20"/>
    <w:rsid w:val="000B6085"/>
    <w:rsid w:val="000B6416"/>
    <w:rsid w:val="000B6EB7"/>
    <w:rsid w:val="000B73D5"/>
    <w:rsid w:val="000C0049"/>
    <w:rsid w:val="000C144A"/>
    <w:rsid w:val="000C6BEC"/>
    <w:rsid w:val="000C6C5B"/>
    <w:rsid w:val="000D0CF0"/>
    <w:rsid w:val="000D17E1"/>
    <w:rsid w:val="000D1B39"/>
    <w:rsid w:val="000D597E"/>
    <w:rsid w:val="000D701A"/>
    <w:rsid w:val="000E0177"/>
    <w:rsid w:val="000E62DA"/>
    <w:rsid w:val="000F2431"/>
    <w:rsid w:val="000F49E6"/>
    <w:rsid w:val="00103F3E"/>
    <w:rsid w:val="00107049"/>
    <w:rsid w:val="0012366C"/>
    <w:rsid w:val="00123B09"/>
    <w:rsid w:val="0012527D"/>
    <w:rsid w:val="00125914"/>
    <w:rsid w:val="00131612"/>
    <w:rsid w:val="00132648"/>
    <w:rsid w:val="00132ADB"/>
    <w:rsid w:val="001377D6"/>
    <w:rsid w:val="001454A5"/>
    <w:rsid w:val="00153A66"/>
    <w:rsid w:val="00154104"/>
    <w:rsid w:val="00156931"/>
    <w:rsid w:val="001570F5"/>
    <w:rsid w:val="00160EF6"/>
    <w:rsid w:val="001632FD"/>
    <w:rsid w:val="001662AA"/>
    <w:rsid w:val="00171B9B"/>
    <w:rsid w:val="001732C2"/>
    <w:rsid w:val="00176705"/>
    <w:rsid w:val="00176EE7"/>
    <w:rsid w:val="00183705"/>
    <w:rsid w:val="001915D5"/>
    <w:rsid w:val="001A0041"/>
    <w:rsid w:val="001A54E2"/>
    <w:rsid w:val="001B1863"/>
    <w:rsid w:val="001B2389"/>
    <w:rsid w:val="001B24FA"/>
    <w:rsid w:val="001B3530"/>
    <w:rsid w:val="001B3781"/>
    <w:rsid w:val="001B7847"/>
    <w:rsid w:val="001C4D19"/>
    <w:rsid w:val="001D2FC7"/>
    <w:rsid w:val="001D5147"/>
    <w:rsid w:val="001D64B7"/>
    <w:rsid w:val="001D7994"/>
    <w:rsid w:val="001E0F32"/>
    <w:rsid w:val="001E13D2"/>
    <w:rsid w:val="001E41A0"/>
    <w:rsid w:val="001E5DC3"/>
    <w:rsid w:val="001E78A0"/>
    <w:rsid w:val="001F02A5"/>
    <w:rsid w:val="00202A60"/>
    <w:rsid w:val="00202F28"/>
    <w:rsid w:val="00204D01"/>
    <w:rsid w:val="00207A74"/>
    <w:rsid w:val="0021060E"/>
    <w:rsid w:val="002123ED"/>
    <w:rsid w:val="00214B39"/>
    <w:rsid w:val="002217F4"/>
    <w:rsid w:val="00223E68"/>
    <w:rsid w:val="002308AD"/>
    <w:rsid w:val="0023494C"/>
    <w:rsid w:val="00234E0B"/>
    <w:rsid w:val="00235C73"/>
    <w:rsid w:val="00235EB7"/>
    <w:rsid w:val="00236E44"/>
    <w:rsid w:val="00237E22"/>
    <w:rsid w:val="0024117A"/>
    <w:rsid w:val="00242152"/>
    <w:rsid w:val="00242295"/>
    <w:rsid w:val="00242539"/>
    <w:rsid w:val="00243A90"/>
    <w:rsid w:val="00244A49"/>
    <w:rsid w:val="00244B06"/>
    <w:rsid w:val="002463B1"/>
    <w:rsid w:val="00246D24"/>
    <w:rsid w:val="0024791A"/>
    <w:rsid w:val="00247A18"/>
    <w:rsid w:val="0025131C"/>
    <w:rsid w:val="00253AFB"/>
    <w:rsid w:val="0025559C"/>
    <w:rsid w:val="00255CED"/>
    <w:rsid w:val="00256CBE"/>
    <w:rsid w:val="0025739A"/>
    <w:rsid w:val="00260409"/>
    <w:rsid w:val="002613F0"/>
    <w:rsid w:val="0026189A"/>
    <w:rsid w:val="00262733"/>
    <w:rsid w:val="00264B2E"/>
    <w:rsid w:val="00264BC7"/>
    <w:rsid w:val="002706EE"/>
    <w:rsid w:val="00271373"/>
    <w:rsid w:val="00271B43"/>
    <w:rsid w:val="002774E4"/>
    <w:rsid w:val="00283FDA"/>
    <w:rsid w:val="0029066F"/>
    <w:rsid w:val="00294C3D"/>
    <w:rsid w:val="00296BB1"/>
    <w:rsid w:val="002A6D27"/>
    <w:rsid w:val="002A70F8"/>
    <w:rsid w:val="002B60F7"/>
    <w:rsid w:val="002B6C7C"/>
    <w:rsid w:val="002B79F2"/>
    <w:rsid w:val="002B7EEE"/>
    <w:rsid w:val="002C094F"/>
    <w:rsid w:val="002C467F"/>
    <w:rsid w:val="002C721B"/>
    <w:rsid w:val="002C74B3"/>
    <w:rsid w:val="002D057B"/>
    <w:rsid w:val="002D1E90"/>
    <w:rsid w:val="002D33DC"/>
    <w:rsid w:val="002D6A7B"/>
    <w:rsid w:val="002D781B"/>
    <w:rsid w:val="002E2201"/>
    <w:rsid w:val="002E4E50"/>
    <w:rsid w:val="002E571C"/>
    <w:rsid w:val="002E60FE"/>
    <w:rsid w:val="002F1B3C"/>
    <w:rsid w:val="002F4DA3"/>
    <w:rsid w:val="002F7238"/>
    <w:rsid w:val="003010EF"/>
    <w:rsid w:val="00301212"/>
    <w:rsid w:val="00304DCD"/>
    <w:rsid w:val="00314550"/>
    <w:rsid w:val="00314DA2"/>
    <w:rsid w:val="0031628E"/>
    <w:rsid w:val="00321191"/>
    <w:rsid w:val="0032489E"/>
    <w:rsid w:val="00324C82"/>
    <w:rsid w:val="00325E94"/>
    <w:rsid w:val="00325EB8"/>
    <w:rsid w:val="0032701A"/>
    <w:rsid w:val="003329D8"/>
    <w:rsid w:val="00333175"/>
    <w:rsid w:val="0033459B"/>
    <w:rsid w:val="00334DC6"/>
    <w:rsid w:val="00337165"/>
    <w:rsid w:val="003373A7"/>
    <w:rsid w:val="003409FE"/>
    <w:rsid w:val="003445F1"/>
    <w:rsid w:val="00351F99"/>
    <w:rsid w:val="00356C3D"/>
    <w:rsid w:val="00370789"/>
    <w:rsid w:val="003727E6"/>
    <w:rsid w:val="00373A29"/>
    <w:rsid w:val="00373C42"/>
    <w:rsid w:val="00382C5E"/>
    <w:rsid w:val="00383B31"/>
    <w:rsid w:val="003909F2"/>
    <w:rsid w:val="003940AF"/>
    <w:rsid w:val="003A6BF8"/>
    <w:rsid w:val="003A7B7A"/>
    <w:rsid w:val="003B1EBD"/>
    <w:rsid w:val="003B3A06"/>
    <w:rsid w:val="003B4CF8"/>
    <w:rsid w:val="003B5204"/>
    <w:rsid w:val="003C1373"/>
    <w:rsid w:val="003C1A49"/>
    <w:rsid w:val="003C7A8F"/>
    <w:rsid w:val="003D068D"/>
    <w:rsid w:val="003D0977"/>
    <w:rsid w:val="003D2340"/>
    <w:rsid w:val="003D4F32"/>
    <w:rsid w:val="003D5E5A"/>
    <w:rsid w:val="003D6845"/>
    <w:rsid w:val="003D7C7F"/>
    <w:rsid w:val="003E1772"/>
    <w:rsid w:val="003E2CE2"/>
    <w:rsid w:val="003E4607"/>
    <w:rsid w:val="003E6A0D"/>
    <w:rsid w:val="003E7D96"/>
    <w:rsid w:val="003F4B73"/>
    <w:rsid w:val="003F7318"/>
    <w:rsid w:val="00410F0F"/>
    <w:rsid w:val="00411BF2"/>
    <w:rsid w:val="00414C38"/>
    <w:rsid w:val="0041522A"/>
    <w:rsid w:val="00420D35"/>
    <w:rsid w:val="00420F57"/>
    <w:rsid w:val="00422D51"/>
    <w:rsid w:val="004233A1"/>
    <w:rsid w:val="004308BE"/>
    <w:rsid w:val="00430B74"/>
    <w:rsid w:val="00433426"/>
    <w:rsid w:val="00433C90"/>
    <w:rsid w:val="004358DF"/>
    <w:rsid w:val="0043685E"/>
    <w:rsid w:val="00437BA5"/>
    <w:rsid w:val="004408F9"/>
    <w:rsid w:val="004439FC"/>
    <w:rsid w:val="00443CB4"/>
    <w:rsid w:val="0044582B"/>
    <w:rsid w:val="004473FB"/>
    <w:rsid w:val="00450523"/>
    <w:rsid w:val="0045107E"/>
    <w:rsid w:val="00453460"/>
    <w:rsid w:val="00460139"/>
    <w:rsid w:val="0046083D"/>
    <w:rsid w:val="00462934"/>
    <w:rsid w:val="00463A4B"/>
    <w:rsid w:val="00466892"/>
    <w:rsid w:val="00467EA7"/>
    <w:rsid w:val="00474781"/>
    <w:rsid w:val="00481551"/>
    <w:rsid w:val="004855FF"/>
    <w:rsid w:val="00494B5F"/>
    <w:rsid w:val="004979AB"/>
    <w:rsid w:val="004A0B11"/>
    <w:rsid w:val="004A0D27"/>
    <w:rsid w:val="004A3189"/>
    <w:rsid w:val="004B148A"/>
    <w:rsid w:val="004B6F40"/>
    <w:rsid w:val="004B7138"/>
    <w:rsid w:val="004B7C97"/>
    <w:rsid w:val="004C12BA"/>
    <w:rsid w:val="004C2CFA"/>
    <w:rsid w:val="004C5392"/>
    <w:rsid w:val="004C57E4"/>
    <w:rsid w:val="004C5E0E"/>
    <w:rsid w:val="004D0D88"/>
    <w:rsid w:val="004D1065"/>
    <w:rsid w:val="004D3DEF"/>
    <w:rsid w:val="004D5A29"/>
    <w:rsid w:val="004D76E4"/>
    <w:rsid w:val="004E3051"/>
    <w:rsid w:val="004E6B06"/>
    <w:rsid w:val="004F0848"/>
    <w:rsid w:val="004F4B99"/>
    <w:rsid w:val="005027C7"/>
    <w:rsid w:val="00505893"/>
    <w:rsid w:val="00507DA3"/>
    <w:rsid w:val="005102A3"/>
    <w:rsid w:val="0051070C"/>
    <w:rsid w:val="00512600"/>
    <w:rsid w:val="00513465"/>
    <w:rsid w:val="0051352B"/>
    <w:rsid w:val="0051782D"/>
    <w:rsid w:val="0052011E"/>
    <w:rsid w:val="0052415C"/>
    <w:rsid w:val="0052590D"/>
    <w:rsid w:val="005269D4"/>
    <w:rsid w:val="005302D8"/>
    <w:rsid w:val="00530368"/>
    <w:rsid w:val="00534F65"/>
    <w:rsid w:val="005370E4"/>
    <w:rsid w:val="00542676"/>
    <w:rsid w:val="00542EFF"/>
    <w:rsid w:val="005523BD"/>
    <w:rsid w:val="005533DF"/>
    <w:rsid w:val="005542B8"/>
    <w:rsid w:val="005551A6"/>
    <w:rsid w:val="0055658E"/>
    <w:rsid w:val="00562D2C"/>
    <w:rsid w:val="00563C3B"/>
    <w:rsid w:val="005647F7"/>
    <w:rsid w:val="00565F4D"/>
    <w:rsid w:val="00566F7C"/>
    <w:rsid w:val="005678CE"/>
    <w:rsid w:val="00567C33"/>
    <w:rsid w:val="0057592F"/>
    <w:rsid w:val="00576E87"/>
    <w:rsid w:val="00577624"/>
    <w:rsid w:val="005836B1"/>
    <w:rsid w:val="00585975"/>
    <w:rsid w:val="00586D51"/>
    <w:rsid w:val="00592D9C"/>
    <w:rsid w:val="005931E8"/>
    <w:rsid w:val="00597657"/>
    <w:rsid w:val="00597CC9"/>
    <w:rsid w:val="005A15E9"/>
    <w:rsid w:val="005A3F6E"/>
    <w:rsid w:val="005A5619"/>
    <w:rsid w:val="005A7E0F"/>
    <w:rsid w:val="005B0F53"/>
    <w:rsid w:val="005B2A6F"/>
    <w:rsid w:val="005B2C58"/>
    <w:rsid w:val="005B4306"/>
    <w:rsid w:val="005B5DAB"/>
    <w:rsid w:val="005B6A03"/>
    <w:rsid w:val="005C3F25"/>
    <w:rsid w:val="005C63E4"/>
    <w:rsid w:val="005E3487"/>
    <w:rsid w:val="005F1710"/>
    <w:rsid w:val="005F2494"/>
    <w:rsid w:val="005F30CD"/>
    <w:rsid w:val="005F76EC"/>
    <w:rsid w:val="006013A7"/>
    <w:rsid w:val="00601527"/>
    <w:rsid w:val="006033A0"/>
    <w:rsid w:val="0060408D"/>
    <w:rsid w:val="00610161"/>
    <w:rsid w:val="00611607"/>
    <w:rsid w:val="006133EA"/>
    <w:rsid w:val="0061729F"/>
    <w:rsid w:val="0062185A"/>
    <w:rsid w:val="00623DB4"/>
    <w:rsid w:val="00624F72"/>
    <w:rsid w:val="0063711B"/>
    <w:rsid w:val="0064453D"/>
    <w:rsid w:val="00646775"/>
    <w:rsid w:val="006507CD"/>
    <w:rsid w:val="0065168F"/>
    <w:rsid w:val="006516F5"/>
    <w:rsid w:val="0065554F"/>
    <w:rsid w:val="00656189"/>
    <w:rsid w:val="00661AA6"/>
    <w:rsid w:val="006642A6"/>
    <w:rsid w:val="00666D98"/>
    <w:rsid w:val="006711CA"/>
    <w:rsid w:val="00673252"/>
    <w:rsid w:val="006744D0"/>
    <w:rsid w:val="00675527"/>
    <w:rsid w:val="0067679B"/>
    <w:rsid w:val="00677B58"/>
    <w:rsid w:val="00681437"/>
    <w:rsid w:val="00683F34"/>
    <w:rsid w:val="00686697"/>
    <w:rsid w:val="00691ECC"/>
    <w:rsid w:val="006925FC"/>
    <w:rsid w:val="00692A60"/>
    <w:rsid w:val="00692EA3"/>
    <w:rsid w:val="0069388B"/>
    <w:rsid w:val="006A2AA0"/>
    <w:rsid w:val="006A2F5F"/>
    <w:rsid w:val="006A390D"/>
    <w:rsid w:val="006A3E62"/>
    <w:rsid w:val="006A6EFE"/>
    <w:rsid w:val="006A7698"/>
    <w:rsid w:val="006B4CFB"/>
    <w:rsid w:val="006B5F12"/>
    <w:rsid w:val="006B64E7"/>
    <w:rsid w:val="006B7B00"/>
    <w:rsid w:val="006C00B5"/>
    <w:rsid w:val="006C1DC1"/>
    <w:rsid w:val="006C3B0D"/>
    <w:rsid w:val="006C688D"/>
    <w:rsid w:val="006D4672"/>
    <w:rsid w:val="006D4714"/>
    <w:rsid w:val="006E16F5"/>
    <w:rsid w:val="006E2465"/>
    <w:rsid w:val="006E4E32"/>
    <w:rsid w:val="006F120F"/>
    <w:rsid w:val="006F1A86"/>
    <w:rsid w:val="006F3128"/>
    <w:rsid w:val="006F5907"/>
    <w:rsid w:val="006F63CD"/>
    <w:rsid w:val="007032DB"/>
    <w:rsid w:val="007060D7"/>
    <w:rsid w:val="00707E66"/>
    <w:rsid w:val="007130A2"/>
    <w:rsid w:val="00713B1B"/>
    <w:rsid w:val="00713E9F"/>
    <w:rsid w:val="00724D45"/>
    <w:rsid w:val="00724DA6"/>
    <w:rsid w:val="00725496"/>
    <w:rsid w:val="0072619A"/>
    <w:rsid w:val="00727512"/>
    <w:rsid w:val="00730D90"/>
    <w:rsid w:val="0073398E"/>
    <w:rsid w:val="007370E1"/>
    <w:rsid w:val="00741591"/>
    <w:rsid w:val="00745775"/>
    <w:rsid w:val="007458AA"/>
    <w:rsid w:val="007464E1"/>
    <w:rsid w:val="00746923"/>
    <w:rsid w:val="00751E88"/>
    <w:rsid w:val="0075529E"/>
    <w:rsid w:val="00760D5E"/>
    <w:rsid w:val="00762732"/>
    <w:rsid w:val="007630F0"/>
    <w:rsid w:val="00763EF0"/>
    <w:rsid w:val="0076523A"/>
    <w:rsid w:val="007660FA"/>
    <w:rsid w:val="00766EB4"/>
    <w:rsid w:val="007702E7"/>
    <w:rsid w:val="00772952"/>
    <w:rsid w:val="00772D81"/>
    <w:rsid w:val="00773DF4"/>
    <w:rsid w:val="00773FEA"/>
    <w:rsid w:val="0077555B"/>
    <w:rsid w:val="00775EFB"/>
    <w:rsid w:val="00776442"/>
    <w:rsid w:val="00780BCC"/>
    <w:rsid w:val="00786385"/>
    <w:rsid w:val="007934C9"/>
    <w:rsid w:val="007935B5"/>
    <w:rsid w:val="007955F8"/>
    <w:rsid w:val="007A2AB4"/>
    <w:rsid w:val="007A3797"/>
    <w:rsid w:val="007A7DBB"/>
    <w:rsid w:val="007B1649"/>
    <w:rsid w:val="007B33A9"/>
    <w:rsid w:val="007B54B6"/>
    <w:rsid w:val="007B5967"/>
    <w:rsid w:val="007C1AD2"/>
    <w:rsid w:val="007C23D5"/>
    <w:rsid w:val="007C26B4"/>
    <w:rsid w:val="007C2D8A"/>
    <w:rsid w:val="007D0F10"/>
    <w:rsid w:val="007D10BF"/>
    <w:rsid w:val="007D23B9"/>
    <w:rsid w:val="007D2F19"/>
    <w:rsid w:val="007D489D"/>
    <w:rsid w:val="007D48C2"/>
    <w:rsid w:val="007D4B75"/>
    <w:rsid w:val="007D71B2"/>
    <w:rsid w:val="007E104F"/>
    <w:rsid w:val="007E6629"/>
    <w:rsid w:val="007F0873"/>
    <w:rsid w:val="007F44C5"/>
    <w:rsid w:val="007F5154"/>
    <w:rsid w:val="007F55BA"/>
    <w:rsid w:val="007F5C6A"/>
    <w:rsid w:val="008027A8"/>
    <w:rsid w:val="00802AD0"/>
    <w:rsid w:val="008036C5"/>
    <w:rsid w:val="00806E63"/>
    <w:rsid w:val="0081028D"/>
    <w:rsid w:val="00811F5F"/>
    <w:rsid w:val="0081470B"/>
    <w:rsid w:val="00814C63"/>
    <w:rsid w:val="00814FB5"/>
    <w:rsid w:val="00815753"/>
    <w:rsid w:val="008163DE"/>
    <w:rsid w:val="0082494D"/>
    <w:rsid w:val="00827929"/>
    <w:rsid w:val="00835256"/>
    <w:rsid w:val="00836235"/>
    <w:rsid w:val="0083756E"/>
    <w:rsid w:val="0084650C"/>
    <w:rsid w:val="00847379"/>
    <w:rsid w:val="0085339E"/>
    <w:rsid w:val="008547E2"/>
    <w:rsid w:val="00856FA6"/>
    <w:rsid w:val="0085795F"/>
    <w:rsid w:val="00857D92"/>
    <w:rsid w:val="00860FBB"/>
    <w:rsid w:val="008610ED"/>
    <w:rsid w:val="00861C9D"/>
    <w:rsid w:val="00862792"/>
    <w:rsid w:val="008649F9"/>
    <w:rsid w:val="008664B7"/>
    <w:rsid w:val="00871542"/>
    <w:rsid w:val="00874993"/>
    <w:rsid w:val="008762CB"/>
    <w:rsid w:val="00881028"/>
    <w:rsid w:val="008817E0"/>
    <w:rsid w:val="00881E43"/>
    <w:rsid w:val="00882F31"/>
    <w:rsid w:val="00883DA0"/>
    <w:rsid w:val="00884943"/>
    <w:rsid w:val="00885419"/>
    <w:rsid w:val="00885C9F"/>
    <w:rsid w:val="00890ED2"/>
    <w:rsid w:val="008916F9"/>
    <w:rsid w:val="00892468"/>
    <w:rsid w:val="00892CB4"/>
    <w:rsid w:val="00893155"/>
    <w:rsid w:val="0089342B"/>
    <w:rsid w:val="00895891"/>
    <w:rsid w:val="008A004A"/>
    <w:rsid w:val="008A2850"/>
    <w:rsid w:val="008B399A"/>
    <w:rsid w:val="008B3F50"/>
    <w:rsid w:val="008B7462"/>
    <w:rsid w:val="008C18B2"/>
    <w:rsid w:val="008C2BD9"/>
    <w:rsid w:val="008C2D04"/>
    <w:rsid w:val="008C4240"/>
    <w:rsid w:val="008C7D56"/>
    <w:rsid w:val="008D5718"/>
    <w:rsid w:val="008D574A"/>
    <w:rsid w:val="008D5760"/>
    <w:rsid w:val="008E2152"/>
    <w:rsid w:val="008F1179"/>
    <w:rsid w:val="008F510D"/>
    <w:rsid w:val="008F5289"/>
    <w:rsid w:val="0090075E"/>
    <w:rsid w:val="009041F0"/>
    <w:rsid w:val="00904ED0"/>
    <w:rsid w:val="00906598"/>
    <w:rsid w:val="009105E3"/>
    <w:rsid w:val="00911C21"/>
    <w:rsid w:val="009129C5"/>
    <w:rsid w:val="009147CA"/>
    <w:rsid w:val="00921FEF"/>
    <w:rsid w:val="00923806"/>
    <w:rsid w:val="0092450A"/>
    <w:rsid w:val="009317AC"/>
    <w:rsid w:val="00932B89"/>
    <w:rsid w:val="0093550E"/>
    <w:rsid w:val="00936B11"/>
    <w:rsid w:val="00936D88"/>
    <w:rsid w:val="00940146"/>
    <w:rsid w:val="009402C9"/>
    <w:rsid w:val="00943751"/>
    <w:rsid w:val="00944A11"/>
    <w:rsid w:val="0095426A"/>
    <w:rsid w:val="00955BA7"/>
    <w:rsid w:val="00956793"/>
    <w:rsid w:val="0095796A"/>
    <w:rsid w:val="0096168D"/>
    <w:rsid w:val="00962930"/>
    <w:rsid w:val="00965A3F"/>
    <w:rsid w:val="00965FDC"/>
    <w:rsid w:val="00971BF2"/>
    <w:rsid w:val="009731E1"/>
    <w:rsid w:val="009751A6"/>
    <w:rsid w:val="0098118B"/>
    <w:rsid w:val="00981AA3"/>
    <w:rsid w:val="00981CB8"/>
    <w:rsid w:val="0098521B"/>
    <w:rsid w:val="0098759E"/>
    <w:rsid w:val="0099022C"/>
    <w:rsid w:val="009922A7"/>
    <w:rsid w:val="00993F3D"/>
    <w:rsid w:val="00994257"/>
    <w:rsid w:val="00995988"/>
    <w:rsid w:val="009A5421"/>
    <w:rsid w:val="009B1C16"/>
    <w:rsid w:val="009C0C62"/>
    <w:rsid w:val="009C5C81"/>
    <w:rsid w:val="009D1F82"/>
    <w:rsid w:val="009D27EC"/>
    <w:rsid w:val="009D6D9B"/>
    <w:rsid w:val="009E2178"/>
    <w:rsid w:val="009E317D"/>
    <w:rsid w:val="009E4F77"/>
    <w:rsid w:val="009E58BB"/>
    <w:rsid w:val="009E79BD"/>
    <w:rsid w:val="009F0DE0"/>
    <w:rsid w:val="009F0F7D"/>
    <w:rsid w:val="009F3BB5"/>
    <w:rsid w:val="009F4E45"/>
    <w:rsid w:val="009F6CC9"/>
    <w:rsid w:val="00A074A1"/>
    <w:rsid w:val="00A10F14"/>
    <w:rsid w:val="00A154EE"/>
    <w:rsid w:val="00A15605"/>
    <w:rsid w:val="00A16707"/>
    <w:rsid w:val="00A16CB2"/>
    <w:rsid w:val="00A210C8"/>
    <w:rsid w:val="00A22CA6"/>
    <w:rsid w:val="00A24461"/>
    <w:rsid w:val="00A265B9"/>
    <w:rsid w:val="00A300D8"/>
    <w:rsid w:val="00A309F8"/>
    <w:rsid w:val="00A324CA"/>
    <w:rsid w:val="00A33095"/>
    <w:rsid w:val="00A36753"/>
    <w:rsid w:val="00A37DEB"/>
    <w:rsid w:val="00A411EB"/>
    <w:rsid w:val="00A42D46"/>
    <w:rsid w:val="00A43C8E"/>
    <w:rsid w:val="00A457D6"/>
    <w:rsid w:val="00A47A31"/>
    <w:rsid w:val="00A47FE1"/>
    <w:rsid w:val="00A50470"/>
    <w:rsid w:val="00A51874"/>
    <w:rsid w:val="00A54F7B"/>
    <w:rsid w:val="00A61978"/>
    <w:rsid w:val="00A67A4B"/>
    <w:rsid w:val="00A70FF6"/>
    <w:rsid w:val="00A730F7"/>
    <w:rsid w:val="00A7443B"/>
    <w:rsid w:val="00A838DE"/>
    <w:rsid w:val="00A95FFA"/>
    <w:rsid w:val="00A97EF1"/>
    <w:rsid w:val="00AA25E9"/>
    <w:rsid w:val="00AA31E4"/>
    <w:rsid w:val="00AA3A45"/>
    <w:rsid w:val="00AA7D7D"/>
    <w:rsid w:val="00AB2536"/>
    <w:rsid w:val="00AB2556"/>
    <w:rsid w:val="00AB2F36"/>
    <w:rsid w:val="00AB4A85"/>
    <w:rsid w:val="00AB6CF1"/>
    <w:rsid w:val="00AB788A"/>
    <w:rsid w:val="00AB7C89"/>
    <w:rsid w:val="00AC628A"/>
    <w:rsid w:val="00AC74EB"/>
    <w:rsid w:val="00AC754B"/>
    <w:rsid w:val="00AD27B7"/>
    <w:rsid w:val="00AE4BCF"/>
    <w:rsid w:val="00AE5D1F"/>
    <w:rsid w:val="00AF4E3F"/>
    <w:rsid w:val="00AF7CE7"/>
    <w:rsid w:val="00B113E8"/>
    <w:rsid w:val="00B20BC2"/>
    <w:rsid w:val="00B23B6C"/>
    <w:rsid w:val="00B25708"/>
    <w:rsid w:val="00B25C09"/>
    <w:rsid w:val="00B27590"/>
    <w:rsid w:val="00B35067"/>
    <w:rsid w:val="00B35BE4"/>
    <w:rsid w:val="00B37444"/>
    <w:rsid w:val="00B40514"/>
    <w:rsid w:val="00B409FB"/>
    <w:rsid w:val="00B476FB"/>
    <w:rsid w:val="00B52992"/>
    <w:rsid w:val="00B53215"/>
    <w:rsid w:val="00B536C3"/>
    <w:rsid w:val="00B541C6"/>
    <w:rsid w:val="00B54B1C"/>
    <w:rsid w:val="00B56195"/>
    <w:rsid w:val="00B57A5D"/>
    <w:rsid w:val="00B60332"/>
    <w:rsid w:val="00B61960"/>
    <w:rsid w:val="00B66F51"/>
    <w:rsid w:val="00B70E14"/>
    <w:rsid w:val="00B71B53"/>
    <w:rsid w:val="00B8042E"/>
    <w:rsid w:val="00B80691"/>
    <w:rsid w:val="00B836AD"/>
    <w:rsid w:val="00B85DB3"/>
    <w:rsid w:val="00B8637F"/>
    <w:rsid w:val="00B9613B"/>
    <w:rsid w:val="00B96D95"/>
    <w:rsid w:val="00BA1979"/>
    <w:rsid w:val="00BA266F"/>
    <w:rsid w:val="00BB2123"/>
    <w:rsid w:val="00BB2893"/>
    <w:rsid w:val="00BB451B"/>
    <w:rsid w:val="00BB4E7B"/>
    <w:rsid w:val="00BB4EB1"/>
    <w:rsid w:val="00BB4FBE"/>
    <w:rsid w:val="00BB6D87"/>
    <w:rsid w:val="00BC1F85"/>
    <w:rsid w:val="00BC4E8C"/>
    <w:rsid w:val="00BC55E1"/>
    <w:rsid w:val="00BD1850"/>
    <w:rsid w:val="00BD29DC"/>
    <w:rsid w:val="00BD4258"/>
    <w:rsid w:val="00BD6C91"/>
    <w:rsid w:val="00BD716C"/>
    <w:rsid w:val="00BE3570"/>
    <w:rsid w:val="00BE62F2"/>
    <w:rsid w:val="00BE6491"/>
    <w:rsid w:val="00BE6FD9"/>
    <w:rsid w:val="00BF0A7E"/>
    <w:rsid w:val="00BF7781"/>
    <w:rsid w:val="00BF7A2B"/>
    <w:rsid w:val="00C01E41"/>
    <w:rsid w:val="00C04B16"/>
    <w:rsid w:val="00C126C1"/>
    <w:rsid w:val="00C143FB"/>
    <w:rsid w:val="00C17522"/>
    <w:rsid w:val="00C20185"/>
    <w:rsid w:val="00C20890"/>
    <w:rsid w:val="00C2188B"/>
    <w:rsid w:val="00C24845"/>
    <w:rsid w:val="00C261C7"/>
    <w:rsid w:val="00C2663D"/>
    <w:rsid w:val="00C268F4"/>
    <w:rsid w:val="00C322C4"/>
    <w:rsid w:val="00C3637F"/>
    <w:rsid w:val="00C3677E"/>
    <w:rsid w:val="00C41A18"/>
    <w:rsid w:val="00C41A83"/>
    <w:rsid w:val="00C41A9E"/>
    <w:rsid w:val="00C42CE1"/>
    <w:rsid w:val="00C46508"/>
    <w:rsid w:val="00C47E4E"/>
    <w:rsid w:val="00C5073D"/>
    <w:rsid w:val="00C50D99"/>
    <w:rsid w:val="00C54DA9"/>
    <w:rsid w:val="00C63CD6"/>
    <w:rsid w:val="00C65955"/>
    <w:rsid w:val="00C72521"/>
    <w:rsid w:val="00C77A19"/>
    <w:rsid w:val="00C807F7"/>
    <w:rsid w:val="00C83043"/>
    <w:rsid w:val="00C83ECC"/>
    <w:rsid w:val="00C84996"/>
    <w:rsid w:val="00C868B9"/>
    <w:rsid w:val="00C8773B"/>
    <w:rsid w:val="00C92A0F"/>
    <w:rsid w:val="00C938A9"/>
    <w:rsid w:val="00C97025"/>
    <w:rsid w:val="00C9794F"/>
    <w:rsid w:val="00CA4427"/>
    <w:rsid w:val="00CB294D"/>
    <w:rsid w:val="00CB623F"/>
    <w:rsid w:val="00CB6E71"/>
    <w:rsid w:val="00CC005B"/>
    <w:rsid w:val="00CC0764"/>
    <w:rsid w:val="00CC1CB6"/>
    <w:rsid w:val="00CC1D49"/>
    <w:rsid w:val="00CC28F1"/>
    <w:rsid w:val="00CC4DF5"/>
    <w:rsid w:val="00CC5CD3"/>
    <w:rsid w:val="00CC7F9C"/>
    <w:rsid w:val="00CD007D"/>
    <w:rsid w:val="00CD4D80"/>
    <w:rsid w:val="00CD52BB"/>
    <w:rsid w:val="00CE366B"/>
    <w:rsid w:val="00CE4D4A"/>
    <w:rsid w:val="00CE57F2"/>
    <w:rsid w:val="00CE6093"/>
    <w:rsid w:val="00CF53D6"/>
    <w:rsid w:val="00CF6D38"/>
    <w:rsid w:val="00CF728F"/>
    <w:rsid w:val="00CF7532"/>
    <w:rsid w:val="00D01D74"/>
    <w:rsid w:val="00D03E43"/>
    <w:rsid w:val="00D04DD7"/>
    <w:rsid w:val="00D12296"/>
    <w:rsid w:val="00D12CA8"/>
    <w:rsid w:val="00D16004"/>
    <w:rsid w:val="00D201E7"/>
    <w:rsid w:val="00D211BC"/>
    <w:rsid w:val="00D21A4B"/>
    <w:rsid w:val="00D22853"/>
    <w:rsid w:val="00D25224"/>
    <w:rsid w:val="00D25A85"/>
    <w:rsid w:val="00D45D5E"/>
    <w:rsid w:val="00D46687"/>
    <w:rsid w:val="00D47185"/>
    <w:rsid w:val="00D47DD4"/>
    <w:rsid w:val="00D50B77"/>
    <w:rsid w:val="00D615B8"/>
    <w:rsid w:val="00D61B38"/>
    <w:rsid w:val="00D6420E"/>
    <w:rsid w:val="00D66C84"/>
    <w:rsid w:val="00D75015"/>
    <w:rsid w:val="00D770C4"/>
    <w:rsid w:val="00D77262"/>
    <w:rsid w:val="00D81801"/>
    <w:rsid w:val="00D87517"/>
    <w:rsid w:val="00D9033B"/>
    <w:rsid w:val="00D91395"/>
    <w:rsid w:val="00D95F54"/>
    <w:rsid w:val="00D961F7"/>
    <w:rsid w:val="00DA2B77"/>
    <w:rsid w:val="00DA7547"/>
    <w:rsid w:val="00DA78B6"/>
    <w:rsid w:val="00DB152E"/>
    <w:rsid w:val="00DB16C3"/>
    <w:rsid w:val="00DB1850"/>
    <w:rsid w:val="00DB2D21"/>
    <w:rsid w:val="00DB3D58"/>
    <w:rsid w:val="00DB48E7"/>
    <w:rsid w:val="00DC1588"/>
    <w:rsid w:val="00DC3B29"/>
    <w:rsid w:val="00DC71A2"/>
    <w:rsid w:val="00DD02E6"/>
    <w:rsid w:val="00DD3BF8"/>
    <w:rsid w:val="00DD40B8"/>
    <w:rsid w:val="00DD6AD1"/>
    <w:rsid w:val="00DE4177"/>
    <w:rsid w:val="00DE4CAC"/>
    <w:rsid w:val="00DE5FA7"/>
    <w:rsid w:val="00DF23F6"/>
    <w:rsid w:val="00DF6F7C"/>
    <w:rsid w:val="00E00DC5"/>
    <w:rsid w:val="00E02DF4"/>
    <w:rsid w:val="00E03F23"/>
    <w:rsid w:val="00E16BEB"/>
    <w:rsid w:val="00E20BE9"/>
    <w:rsid w:val="00E2345B"/>
    <w:rsid w:val="00E237B6"/>
    <w:rsid w:val="00E247E2"/>
    <w:rsid w:val="00E261F5"/>
    <w:rsid w:val="00E27545"/>
    <w:rsid w:val="00E30D84"/>
    <w:rsid w:val="00E30E1B"/>
    <w:rsid w:val="00E31A8E"/>
    <w:rsid w:val="00E31B22"/>
    <w:rsid w:val="00E327F2"/>
    <w:rsid w:val="00E36D3F"/>
    <w:rsid w:val="00E427BC"/>
    <w:rsid w:val="00E508A2"/>
    <w:rsid w:val="00E5174D"/>
    <w:rsid w:val="00E51C4B"/>
    <w:rsid w:val="00E5271E"/>
    <w:rsid w:val="00E57B5E"/>
    <w:rsid w:val="00E600E1"/>
    <w:rsid w:val="00E60D90"/>
    <w:rsid w:val="00E677D5"/>
    <w:rsid w:val="00E711A8"/>
    <w:rsid w:val="00E73A73"/>
    <w:rsid w:val="00E757EA"/>
    <w:rsid w:val="00E77647"/>
    <w:rsid w:val="00E81EA3"/>
    <w:rsid w:val="00E830F8"/>
    <w:rsid w:val="00E85CEE"/>
    <w:rsid w:val="00E91BB9"/>
    <w:rsid w:val="00E93CAA"/>
    <w:rsid w:val="00E950E3"/>
    <w:rsid w:val="00EA02BB"/>
    <w:rsid w:val="00EA18D6"/>
    <w:rsid w:val="00EA290A"/>
    <w:rsid w:val="00EA2D2D"/>
    <w:rsid w:val="00EA5488"/>
    <w:rsid w:val="00EA6361"/>
    <w:rsid w:val="00EB06A9"/>
    <w:rsid w:val="00EB33D3"/>
    <w:rsid w:val="00EB4D2D"/>
    <w:rsid w:val="00EB67ED"/>
    <w:rsid w:val="00EC0BE3"/>
    <w:rsid w:val="00EC7B12"/>
    <w:rsid w:val="00EC7D83"/>
    <w:rsid w:val="00ED5881"/>
    <w:rsid w:val="00EE096B"/>
    <w:rsid w:val="00EE41B2"/>
    <w:rsid w:val="00EE53AC"/>
    <w:rsid w:val="00EE7346"/>
    <w:rsid w:val="00EE7849"/>
    <w:rsid w:val="00EF18E2"/>
    <w:rsid w:val="00EF6C3F"/>
    <w:rsid w:val="00F00AA8"/>
    <w:rsid w:val="00F02249"/>
    <w:rsid w:val="00F05338"/>
    <w:rsid w:val="00F1295D"/>
    <w:rsid w:val="00F176DA"/>
    <w:rsid w:val="00F17E04"/>
    <w:rsid w:val="00F2124E"/>
    <w:rsid w:val="00F22064"/>
    <w:rsid w:val="00F24447"/>
    <w:rsid w:val="00F24811"/>
    <w:rsid w:val="00F24C7D"/>
    <w:rsid w:val="00F26A97"/>
    <w:rsid w:val="00F3106E"/>
    <w:rsid w:val="00F325B7"/>
    <w:rsid w:val="00F45F45"/>
    <w:rsid w:val="00F46533"/>
    <w:rsid w:val="00F52E18"/>
    <w:rsid w:val="00F53F84"/>
    <w:rsid w:val="00F652AD"/>
    <w:rsid w:val="00F6695D"/>
    <w:rsid w:val="00F749FF"/>
    <w:rsid w:val="00F75871"/>
    <w:rsid w:val="00F81C36"/>
    <w:rsid w:val="00F857F2"/>
    <w:rsid w:val="00F90FA0"/>
    <w:rsid w:val="00F922EB"/>
    <w:rsid w:val="00F92362"/>
    <w:rsid w:val="00F938A7"/>
    <w:rsid w:val="00F96B5F"/>
    <w:rsid w:val="00FA657D"/>
    <w:rsid w:val="00FA67AE"/>
    <w:rsid w:val="00FB0541"/>
    <w:rsid w:val="00FB1F70"/>
    <w:rsid w:val="00FB2BB7"/>
    <w:rsid w:val="00FB4919"/>
    <w:rsid w:val="00FB4941"/>
    <w:rsid w:val="00FB768D"/>
    <w:rsid w:val="00FB7DA0"/>
    <w:rsid w:val="00FC1E29"/>
    <w:rsid w:val="00FC5D34"/>
    <w:rsid w:val="00FD1B50"/>
    <w:rsid w:val="00FD1C99"/>
    <w:rsid w:val="00FD2B95"/>
    <w:rsid w:val="00FD6916"/>
    <w:rsid w:val="00FD7445"/>
    <w:rsid w:val="00FD7977"/>
    <w:rsid w:val="00FE4129"/>
    <w:rsid w:val="00FE56BC"/>
    <w:rsid w:val="00FF1290"/>
    <w:rsid w:val="00FF379C"/>
    <w:rsid w:val="00FF4085"/>
    <w:rsid w:val="00FF4116"/>
    <w:rsid w:val="00FF4FF1"/>
    <w:rsid w:val="00FF5738"/>
    <w:rsid w:val="22C21BAD"/>
    <w:rsid w:val="325AB7FF"/>
    <w:rsid w:val="4CB85965"/>
    <w:rsid w:val="55D4FECE"/>
    <w:rsid w:val="6BA0A565"/>
    <w:rsid w:val="789260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7AB457"/>
  <w15:docId w15:val="{9F710A7F-4343-4F58-940E-3DF92B08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CD4D80"/>
    <w:pPr>
      <w:spacing w:before="240"/>
      <w:outlineLvl w:val="1"/>
    </w:pPr>
  </w:style>
  <w:style w:type="paragraph" w:styleId="Heading3">
    <w:name w:val="heading 3"/>
    <w:basedOn w:val="Heading1"/>
    <w:next w:val="Normal"/>
    <w:link w:val="Heading3Char"/>
    <w:qFormat/>
    <w:rsid w:val="00CD4D80"/>
    <w:pPr>
      <w:spacing w:before="160"/>
      <w:outlineLvl w:val="2"/>
    </w:pPr>
  </w:style>
  <w:style w:type="paragraph" w:styleId="Heading4">
    <w:name w:val="heading 4"/>
    <w:basedOn w:val="Heading3"/>
    <w:next w:val="Normal"/>
    <w:link w:val="Heading4Char"/>
    <w:qFormat/>
    <w:rsid w:val="00CD4D80"/>
    <w:pPr>
      <w:tabs>
        <w:tab w:val="clear" w:pos="794"/>
        <w:tab w:val="left" w:pos="1021"/>
      </w:tabs>
      <w:ind w:left="1021" w:hanging="1021"/>
      <w:outlineLvl w:val="3"/>
    </w:pPr>
  </w:style>
  <w:style w:type="paragraph" w:styleId="Heading5">
    <w:name w:val="heading 5"/>
    <w:basedOn w:val="Heading4"/>
    <w:next w:val="Normal"/>
    <w:link w:val="Heading5Char"/>
    <w:qFormat/>
    <w:rsid w:val="00CD4D80"/>
    <w:pPr>
      <w:outlineLvl w:val="4"/>
    </w:pPr>
  </w:style>
  <w:style w:type="paragraph" w:styleId="Heading6">
    <w:name w:val="heading 6"/>
    <w:basedOn w:val="Heading4"/>
    <w:next w:val="Normal"/>
    <w:link w:val="Heading6Char"/>
    <w:qFormat/>
    <w:rsid w:val="00CD4D80"/>
    <w:pPr>
      <w:tabs>
        <w:tab w:val="clear" w:pos="1021"/>
        <w:tab w:val="clear" w:pos="1191"/>
      </w:tabs>
      <w:ind w:left="1588" w:hanging="1588"/>
      <w:outlineLvl w:val="5"/>
    </w:pPr>
  </w:style>
  <w:style w:type="paragraph" w:styleId="Heading7">
    <w:name w:val="heading 7"/>
    <w:basedOn w:val="Heading6"/>
    <w:next w:val="Normal"/>
    <w:link w:val="Heading7Char"/>
    <w:qFormat/>
    <w:rsid w:val="00CD4D80"/>
    <w:pPr>
      <w:outlineLvl w:val="6"/>
    </w:pPr>
  </w:style>
  <w:style w:type="paragraph" w:styleId="Heading8">
    <w:name w:val="heading 8"/>
    <w:basedOn w:val="Heading6"/>
    <w:next w:val="Normal"/>
    <w:link w:val="Heading8Char"/>
    <w:qFormat/>
    <w:rsid w:val="00CD4D80"/>
    <w:pPr>
      <w:outlineLvl w:val="7"/>
    </w:pPr>
  </w:style>
  <w:style w:type="paragraph" w:styleId="Heading9">
    <w:name w:val="heading 9"/>
    <w:basedOn w:val="Heading6"/>
    <w:next w:val="Normal"/>
    <w:link w:val="Heading9Char"/>
    <w:qFormat/>
    <w:rsid w:val="00CD4D80"/>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link w:val="CallChar"/>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link w:val="enumlev1Char"/>
    <w:qFormat/>
    <w:rsid w:val="00CD4D80"/>
    <w:pPr>
      <w:spacing w:before="80"/>
      <w:ind w:left="794" w:hanging="794"/>
    </w:pPr>
  </w:style>
  <w:style w:type="paragraph" w:customStyle="1" w:styleId="enumlev2">
    <w:name w:val="enumlev2"/>
    <w:basedOn w:val="enumlev1"/>
    <w:uiPriority w:val="99"/>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Style 12,(NECG) Footnote Reference,FR,Style 13,Style 124,o,fr,Style 3,Footnote symbol,Voetnootverwijzing,Times 10 Point,Exposant 3 Point,footnote ref,Fuكnotenzeichen diss neu"/>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Char,fn"/>
    <w:basedOn w:val="Note"/>
    <w:link w:val="FootnoteTextChar"/>
    <w:rsid w:val="00CD4D80"/>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Char Char,fn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aliases w:val="encabezado,he"/>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he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link w:val="HeadingbChar"/>
    <w:qFormat/>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uiPriority w:val="99"/>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link w:val="RestitleChar"/>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link w:val="SourceChar"/>
    <w:qFormat/>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link w:val="TableheadChar"/>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qFormat/>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link w:val="Title1Char"/>
    <w:qFormat/>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uiPriority w:val="39"/>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CD4D80"/>
    <w:pPr>
      <w:spacing w:before="80"/>
      <w:ind w:left="1531" w:hanging="851"/>
    </w:pPr>
  </w:style>
  <w:style w:type="paragraph" w:styleId="TOC3">
    <w:name w:val="toc 3"/>
    <w:basedOn w:val="TOC2"/>
    <w:uiPriority w:val="39"/>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customStyle="1" w:styleId="Docnumber">
    <w:name w:val="Docnumber"/>
    <w:basedOn w:val="Normal"/>
    <w:link w:val="DocnumberChar"/>
    <w:qFormat/>
    <w:rsid w:val="00762732"/>
    <w:pPr>
      <w:jc w:val="right"/>
    </w:pPr>
    <w:rPr>
      <w:rFonts w:eastAsia="SimSun"/>
      <w:b/>
      <w:sz w:val="32"/>
    </w:rPr>
  </w:style>
  <w:style w:type="character" w:customStyle="1" w:styleId="DocnumberChar">
    <w:name w:val="Docnumber Char"/>
    <w:link w:val="Docnumber"/>
    <w:rsid w:val="00762732"/>
    <w:rPr>
      <w:rFonts w:ascii="Times New Roman" w:eastAsia="SimSun" w:hAnsi="Times New Roman"/>
      <w:b/>
      <w:sz w:val="32"/>
      <w:lang w:val="en-GB" w:eastAsia="en-US"/>
    </w:rPr>
  </w:style>
  <w:style w:type="character" w:styleId="Hyperlink">
    <w:name w:val="Hyperlink"/>
    <w:aliases w:val="超级链接,超?级链,CEO_Hyperlink,Style 58,超????,하이퍼링크2,超链接1,하이퍼링크21,超??级链Ú,fL????,fL?级,超??级链,超?级链Ú,’´?级链,’´????,’´??级链Ú,’´??级,超?级链?,Style?,S"/>
    <w:basedOn w:val="DefaultParagraphFont"/>
    <w:qFormat/>
    <w:rsid w:val="00762732"/>
    <w:rPr>
      <w:color w:val="0000FF"/>
      <w:u w:val="single"/>
    </w:rPr>
  </w:style>
  <w:style w:type="paragraph" w:customStyle="1" w:styleId="LSDeadline">
    <w:name w:val="LSDeadline"/>
    <w:basedOn w:val="Normal"/>
    <w:next w:val="Normal"/>
    <w:rsid w:val="00762732"/>
    <w:pPr>
      <w:tabs>
        <w:tab w:val="clear" w:pos="794"/>
        <w:tab w:val="clear" w:pos="1191"/>
        <w:tab w:val="clear" w:pos="1588"/>
        <w:tab w:val="clear" w:pos="1985"/>
      </w:tabs>
      <w:overflowPunct/>
      <w:autoSpaceDE/>
      <w:autoSpaceDN/>
      <w:adjustRightInd/>
      <w:textAlignment w:val="auto"/>
    </w:pPr>
    <w:rPr>
      <w:rFonts w:eastAsiaTheme="minorHAnsi"/>
      <w:szCs w:val="24"/>
      <w:lang w:eastAsia="ja-JP"/>
    </w:rPr>
  </w:style>
  <w:style w:type="paragraph" w:customStyle="1" w:styleId="LSForAction">
    <w:name w:val="LSForAction"/>
    <w:basedOn w:val="Normal"/>
    <w:next w:val="Normal"/>
    <w:rsid w:val="00762732"/>
  </w:style>
  <w:style w:type="paragraph" w:customStyle="1" w:styleId="LSForInfo">
    <w:name w:val="LSForInfo"/>
    <w:basedOn w:val="Normal"/>
    <w:next w:val="Normal"/>
    <w:rsid w:val="00762732"/>
    <w:pPr>
      <w:tabs>
        <w:tab w:val="clear" w:pos="794"/>
        <w:tab w:val="clear" w:pos="1191"/>
        <w:tab w:val="clear" w:pos="1588"/>
        <w:tab w:val="clear" w:pos="1985"/>
      </w:tabs>
      <w:overflowPunct/>
      <w:autoSpaceDE/>
      <w:autoSpaceDN/>
      <w:adjustRightInd/>
      <w:textAlignment w:val="auto"/>
    </w:pPr>
    <w:rPr>
      <w:rFonts w:eastAsiaTheme="minorHAnsi"/>
      <w:bCs/>
      <w:szCs w:val="24"/>
      <w:lang w:eastAsia="ja-JP"/>
    </w:rPr>
  </w:style>
  <w:style w:type="paragraph" w:customStyle="1" w:styleId="VenueDate">
    <w:name w:val="VenueDate"/>
    <w:basedOn w:val="Normal"/>
    <w:qFormat/>
    <w:rsid w:val="00762732"/>
    <w:pPr>
      <w:tabs>
        <w:tab w:val="clear" w:pos="794"/>
        <w:tab w:val="clear" w:pos="1191"/>
        <w:tab w:val="clear" w:pos="1588"/>
        <w:tab w:val="clear" w:pos="1985"/>
      </w:tabs>
      <w:jc w:val="right"/>
    </w:pPr>
  </w:style>
  <w:style w:type="paragraph" w:customStyle="1" w:styleId="TSBHeaderQuestion">
    <w:name w:val="TSBHeaderQuestion"/>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ource">
    <w:name w:val="TSBHeaderSource"/>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Title">
    <w:name w:val="TSBHeaderTitle"/>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ummary">
    <w:name w:val="TSBHeaderSummary"/>
    <w:basedOn w:val="Normal"/>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LSApproval">
    <w:name w:val="LSApproval"/>
    <w:basedOn w:val="Normal"/>
    <w:rsid w:val="00762732"/>
    <w:pPr>
      <w:tabs>
        <w:tab w:val="clear" w:pos="794"/>
        <w:tab w:val="clear" w:pos="1191"/>
        <w:tab w:val="clear" w:pos="1588"/>
        <w:tab w:val="clear" w:pos="1985"/>
      </w:tabs>
      <w:overflowPunct/>
      <w:autoSpaceDE/>
      <w:autoSpaceDN/>
      <w:adjustRightInd/>
      <w:textAlignment w:val="auto"/>
    </w:pPr>
    <w:rPr>
      <w:rFonts w:eastAsiaTheme="minorEastAsia"/>
      <w:b/>
      <w:bCs/>
      <w:szCs w:val="24"/>
      <w:lang w:eastAsia="ja-JP"/>
    </w:rPr>
  </w:style>
  <w:style w:type="paragraph" w:customStyle="1" w:styleId="TSBHeaderRight14">
    <w:name w:val="TSBHeaderRight14"/>
    <w:basedOn w:val="Normal"/>
    <w:qFormat/>
    <w:rsid w:val="00762732"/>
    <w:pPr>
      <w:jc w:val="right"/>
    </w:pPr>
    <w:rPr>
      <w:b/>
      <w:bCs/>
      <w:sz w:val="28"/>
      <w:szCs w:val="28"/>
    </w:rPr>
  </w:style>
  <w:style w:type="table" w:styleId="TableGrid">
    <w:name w:val="Table Grid"/>
    <w:basedOn w:val="TableNormal"/>
    <w:rsid w:val="007627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ourceChar">
    <w:name w:val="Source Char"/>
    <w:link w:val="Source"/>
    <w:locked/>
    <w:rsid w:val="00762732"/>
    <w:rPr>
      <w:rFonts w:ascii="Times New Roman" w:hAnsi="Times New Roman"/>
      <w:b/>
      <w:sz w:val="28"/>
      <w:lang w:val="en-GB" w:eastAsia="en-US"/>
    </w:rPr>
  </w:style>
  <w:style w:type="character" w:customStyle="1" w:styleId="Title1Char">
    <w:name w:val="Title 1 Char"/>
    <w:link w:val="Title1"/>
    <w:qFormat/>
    <w:locked/>
    <w:rsid w:val="00762732"/>
    <w:rPr>
      <w:rFonts w:ascii="Times New Roman" w:hAnsi="Times New Roman"/>
      <w:caps/>
      <w:sz w:val="28"/>
      <w:lang w:val="en-GB" w:eastAsia="en-US"/>
    </w:rPr>
  </w:style>
  <w:style w:type="paragraph" w:styleId="ListParagraph">
    <w:name w:val="List Paragraph"/>
    <w:aliases w:val="Recommendation,List Paragraph11,O5,Para_sk,Resume Title,- Bullets"/>
    <w:basedOn w:val="Normal"/>
    <w:link w:val="ListParagraphChar"/>
    <w:uiPriority w:val="34"/>
    <w:qFormat/>
    <w:rsid w:val="005A5619"/>
    <w:pPr>
      <w:tabs>
        <w:tab w:val="clear" w:pos="794"/>
        <w:tab w:val="clear" w:pos="1191"/>
        <w:tab w:val="clear" w:pos="1588"/>
        <w:tab w:val="clear" w:pos="1985"/>
      </w:tabs>
      <w:overflowPunct/>
      <w:autoSpaceDE/>
      <w:autoSpaceDN/>
      <w:adjustRightInd/>
      <w:ind w:left="720"/>
      <w:contextualSpacing/>
      <w:textAlignment w:val="auto"/>
    </w:pPr>
    <w:rPr>
      <w:rFonts w:eastAsiaTheme="minorEastAsia"/>
      <w:szCs w:val="24"/>
      <w:lang w:eastAsia="ja-JP"/>
    </w:r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locked/>
    <w:rsid w:val="005A5619"/>
    <w:rPr>
      <w:rFonts w:ascii="Times New Roman" w:eastAsiaTheme="minorEastAsia" w:hAnsi="Times New Roman"/>
      <w:sz w:val="24"/>
      <w:szCs w:val="24"/>
      <w:lang w:val="en-GB" w:eastAsia="ja-JP"/>
    </w:rPr>
  </w:style>
  <w:style w:type="character" w:styleId="PlaceholderText">
    <w:name w:val="Placeholder Text"/>
    <w:basedOn w:val="DefaultParagraphFont"/>
    <w:uiPriority w:val="99"/>
    <w:semiHidden/>
    <w:rsid w:val="005A5619"/>
    <w:rPr>
      <w:color w:val="808080"/>
    </w:rPr>
  </w:style>
  <w:style w:type="character" w:customStyle="1" w:styleId="Heading1Char">
    <w:name w:val="Heading 1 Char"/>
    <w:basedOn w:val="DefaultParagraphFont"/>
    <w:link w:val="Heading1"/>
    <w:rsid w:val="00C04B16"/>
    <w:rPr>
      <w:rFonts w:ascii="Times New Roman" w:hAnsi="Times New Roman"/>
      <w:b/>
      <w:sz w:val="24"/>
      <w:lang w:val="en-GB" w:eastAsia="en-US"/>
    </w:rPr>
  </w:style>
  <w:style w:type="character" w:customStyle="1" w:styleId="Heading2Char">
    <w:name w:val="Heading 2 Char"/>
    <w:basedOn w:val="DefaultParagraphFont"/>
    <w:link w:val="Heading2"/>
    <w:rsid w:val="00C04B16"/>
    <w:rPr>
      <w:rFonts w:ascii="Times New Roman" w:hAnsi="Times New Roman"/>
      <w:b/>
      <w:sz w:val="24"/>
      <w:lang w:val="en-GB" w:eastAsia="en-US"/>
    </w:rPr>
  </w:style>
  <w:style w:type="character" w:customStyle="1" w:styleId="Heading3Char">
    <w:name w:val="Heading 3 Char"/>
    <w:basedOn w:val="DefaultParagraphFont"/>
    <w:link w:val="Heading3"/>
    <w:rsid w:val="00C04B16"/>
    <w:rPr>
      <w:rFonts w:ascii="Times New Roman" w:hAnsi="Times New Roman"/>
      <w:b/>
      <w:sz w:val="24"/>
      <w:lang w:val="en-GB" w:eastAsia="en-US"/>
    </w:rPr>
  </w:style>
  <w:style w:type="character" w:customStyle="1" w:styleId="Heading4Char">
    <w:name w:val="Heading 4 Char"/>
    <w:basedOn w:val="DefaultParagraphFont"/>
    <w:link w:val="Heading4"/>
    <w:rsid w:val="00C04B16"/>
    <w:rPr>
      <w:rFonts w:ascii="Times New Roman" w:hAnsi="Times New Roman"/>
      <w:b/>
      <w:sz w:val="24"/>
      <w:lang w:val="en-GB" w:eastAsia="en-US"/>
    </w:rPr>
  </w:style>
  <w:style w:type="character" w:customStyle="1" w:styleId="Heading5Char">
    <w:name w:val="Heading 5 Char"/>
    <w:basedOn w:val="DefaultParagraphFont"/>
    <w:link w:val="Heading5"/>
    <w:rsid w:val="00C04B16"/>
    <w:rPr>
      <w:rFonts w:ascii="Times New Roman" w:hAnsi="Times New Roman"/>
      <w:b/>
      <w:sz w:val="24"/>
      <w:lang w:val="en-GB" w:eastAsia="en-US"/>
    </w:rPr>
  </w:style>
  <w:style w:type="character" w:customStyle="1" w:styleId="Heading6Char">
    <w:name w:val="Heading 6 Char"/>
    <w:basedOn w:val="DefaultParagraphFont"/>
    <w:link w:val="Heading6"/>
    <w:rsid w:val="00C04B16"/>
    <w:rPr>
      <w:rFonts w:ascii="Times New Roman" w:hAnsi="Times New Roman"/>
      <w:b/>
      <w:sz w:val="24"/>
      <w:lang w:val="en-GB" w:eastAsia="en-US"/>
    </w:rPr>
  </w:style>
  <w:style w:type="character" w:customStyle="1" w:styleId="Heading7Char">
    <w:name w:val="Heading 7 Char"/>
    <w:basedOn w:val="DefaultParagraphFont"/>
    <w:link w:val="Heading7"/>
    <w:rsid w:val="00C04B16"/>
    <w:rPr>
      <w:rFonts w:ascii="Times New Roman" w:hAnsi="Times New Roman"/>
      <w:b/>
      <w:sz w:val="24"/>
      <w:lang w:val="en-GB" w:eastAsia="en-US"/>
    </w:rPr>
  </w:style>
  <w:style w:type="character" w:customStyle="1" w:styleId="Heading8Char">
    <w:name w:val="Heading 8 Char"/>
    <w:basedOn w:val="DefaultParagraphFont"/>
    <w:link w:val="Heading8"/>
    <w:rsid w:val="00C04B16"/>
    <w:rPr>
      <w:rFonts w:ascii="Times New Roman" w:hAnsi="Times New Roman"/>
      <w:b/>
      <w:sz w:val="24"/>
      <w:lang w:val="en-GB" w:eastAsia="en-US"/>
    </w:rPr>
  </w:style>
  <w:style w:type="character" w:customStyle="1" w:styleId="Heading9Char">
    <w:name w:val="Heading 9 Char"/>
    <w:basedOn w:val="DefaultParagraphFont"/>
    <w:link w:val="Heading9"/>
    <w:rsid w:val="00C04B16"/>
    <w:rPr>
      <w:rFonts w:ascii="Times New Roman" w:hAnsi="Times New Roman"/>
      <w:b/>
      <w:sz w:val="24"/>
      <w:lang w:val="en-GB" w:eastAsia="en-US"/>
    </w:rPr>
  </w:style>
  <w:style w:type="paragraph" w:customStyle="1" w:styleId="Reasons">
    <w:name w:val="Reasons"/>
    <w:basedOn w:val="Normal"/>
    <w:qFormat/>
    <w:rsid w:val="00C04B16"/>
    <w:pPr>
      <w:tabs>
        <w:tab w:val="clear" w:pos="794"/>
        <w:tab w:val="clear" w:pos="1191"/>
        <w:tab w:val="left" w:pos="1134"/>
      </w:tabs>
    </w:pPr>
  </w:style>
  <w:style w:type="paragraph" w:customStyle="1" w:styleId="ASN1">
    <w:name w:val="ASN.1"/>
    <w:basedOn w:val="Normal"/>
    <w:rsid w:val="00C04B1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styleId="EndnoteReference">
    <w:name w:val="endnote reference"/>
    <w:basedOn w:val="DefaultParagraphFont"/>
    <w:uiPriority w:val="99"/>
    <w:rsid w:val="00C04B16"/>
    <w:rPr>
      <w:vertAlign w:val="superscript"/>
    </w:rPr>
  </w:style>
  <w:style w:type="paragraph" w:customStyle="1" w:styleId="FooterQP">
    <w:name w:val="Footer_QP"/>
    <w:basedOn w:val="Normal"/>
    <w:rsid w:val="00C04B16"/>
    <w:pPr>
      <w:tabs>
        <w:tab w:val="clear" w:pos="794"/>
        <w:tab w:val="clear" w:pos="1191"/>
        <w:tab w:val="clear" w:pos="1588"/>
        <w:tab w:val="clear" w:pos="1985"/>
        <w:tab w:val="left" w:pos="907"/>
        <w:tab w:val="right" w:pos="8789"/>
        <w:tab w:val="right" w:pos="9639"/>
      </w:tabs>
      <w:spacing w:before="0"/>
    </w:pPr>
    <w:rPr>
      <w:b/>
      <w:sz w:val="22"/>
    </w:rPr>
  </w:style>
  <w:style w:type="paragraph" w:styleId="BalloonText">
    <w:name w:val="Balloon Text"/>
    <w:basedOn w:val="Normal"/>
    <w:link w:val="BalloonTextChar"/>
    <w:rsid w:val="00C04B16"/>
    <w:pPr>
      <w:spacing w:before="0"/>
    </w:pPr>
    <w:rPr>
      <w:rFonts w:ascii="Tahoma" w:hAnsi="Tahoma" w:cs="Tahoma"/>
      <w:sz w:val="16"/>
      <w:szCs w:val="16"/>
    </w:rPr>
  </w:style>
  <w:style w:type="character" w:customStyle="1" w:styleId="BalloonTextChar">
    <w:name w:val="Balloon Text Char"/>
    <w:basedOn w:val="DefaultParagraphFont"/>
    <w:link w:val="BalloonText"/>
    <w:rsid w:val="00C04B16"/>
    <w:rPr>
      <w:rFonts w:ascii="Tahoma" w:hAnsi="Tahoma" w:cs="Tahoma"/>
      <w:sz w:val="16"/>
      <w:szCs w:val="16"/>
      <w:lang w:val="en-GB" w:eastAsia="en-US"/>
    </w:rPr>
  </w:style>
  <w:style w:type="paragraph" w:customStyle="1" w:styleId="Normalaftertitle0">
    <w:name w:val="Normal after title"/>
    <w:basedOn w:val="Normal"/>
    <w:next w:val="Normal"/>
    <w:rsid w:val="00C04B16"/>
    <w:pPr>
      <w:tabs>
        <w:tab w:val="clear" w:pos="794"/>
        <w:tab w:val="clear" w:pos="1191"/>
        <w:tab w:val="clear" w:pos="1588"/>
        <w:tab w:val="clear" w:pos="1985"/>
        <w:tab w:val="left" w:pos="1134"/>
        <w:tab w:val="left" w:pos="1871"/>
        <w:tab w:val="left" w:pos="2268"/>
      </w:tabs>
      <w:spacing w:before="280"/>
      <w:textAlignment w:val="auto"/>
    </w:pPr>
  </w:style>
  <w:style w:type="paragraph" w:customStyle="1" w:styleId="headingb0">
    <w:name w:val="heading_b"/>
    <w:basedOn w:val="Heading3"/>
    <w:next w:val="Normal"/>
    <w:rsid w:val="00C04B16"/>
    <w:pPr>
      <w:tabs>
        <w:tab w:val="clear" w:pos="1191"/>
        <w:tab w:val="clear" w:pos="1588"/>
        <w:tab w:val="clear" w:pos="1985"/>
        <w:tab w:val="left" w:pos="1134"/>
        <w:tab w:val="left" w:pos="1871"/>
        <w:tab w:val="left" w:pos="2127"/>
        <w:tab w:val="left" w:pos="2268"/>
        <w:tab w:val="left" w:pos="2410"/>
        <w:tab w:val="left" w:pos="2921"/>
        <w:tab w:val="left" w:pos="3261"/>
      </w:tabs>
      <w:ind w:left="0" w:firstLine="0"/>
      <w:textAlignment w:val="auto"/>
      <w:outlineLvl w:val="9"/>
    </w:pPr>
    <w:rPr>
      <w:b w:val="0"/>
    </w:rPr>
  </w:style>
  <w:style w:type="paragraph" w:styleId="PlainText">
    <w:name w:val="Plain Text"/>
    <w:basedOn w:val="Normal"/>
    <w:link w:val="PlainTextChar"/>
    <w:uiPriority w:val="99"/>
    <w:unhideWhenUsed/>
    <w:rsid w:val="00C04B16"/>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C04B16"/>
    <w:rPr>
      <w:rFonts w:ascii="Consolas" w:eastAsiaTheme="minorEastAsia" w:hAnsi="Consolas" w:cstheme="minorBidi"/>
      <w:sz w:val="21"/>
      <w:szCs w:val="21"/>
    </w:rPr>
  </w:style>
  <w:style w:type="paragraph" w:styleId="NoSpacing">
    <w:name w:val="No Spacing"/>
    <w:uiPriority w:val="1"/>
    <w:qFormat/>
    <w:rsid w:val="00C04B16"/>
    <w:rPr>
      <w:rFonts w:asciiTheme="minorHAnsi" w:eastAsiaTheme="minorEastAsia" w:hAnsiTheme="minorHAnsi" w:cstheme="minorBidi"/>
      <w:sz w:val="22"/>
      <w:szCs w:val="22"/>
    </w:rPr>
  </w:style>
  <w:style w:type="character" w:customStyle="1" w:styleId="TabletextChar">
    <w:name w:val="Table_text Char"/>
    <w:basedOn w:val="DefaultParagraphFont"/>
    <w:link w:val="Tabletext"/>
    <w:locked/>
    <w:rsid w:val="00C04B16"/>
    <w:rPr>
      <w:rFonts w:ascii="Times New Roman" w:hAnsi="Times New Roman"/>
      <w:sz w:val="22"/>
      <w:lang w:val="en-GB" w:eastAsia="en-US"/>
    </w:rPr>
  </w:style>
  <w:style w:type="character" w:customStyle="1" w:styleId="enumlev1Char">
    <w:name w:val="enumlev1 Char"/>
    <w:basedOn w:val="DefaultParagraphFont"/>
    <w:link w:val="enumlev1"/>
    <w:locked/>
    <w:rsid w:val="00C04B16"/>
    <w:rPr>
      <w:rFonts w:ascii="Times New Roman" w:hAnsi="Times New Roman"/>
      <w:sz w:val="24"/>
      <w:lang w:val="en-GB" w:eastAsia="en-US"/>
    </w:rPr>
  </w:style>
  <w:style w:type="character" w:customStyle="1" w:styleId="apple-converted-space">
    <w:name w:val="apple-converted-space"/>
    <w:basedOn w:val="DefaultParagraphFont"/>
    <w:rsid w:val="00C04B16"/>
  </w:style>
  <w:style w:type="table" w:customStyle="1" w:styleId="TableGrid1">
    <w:name w:val="Table Grid1"/>
    <w:basedOn w:val="TableNormal"/>
    <w:next w:val="TableGrid"/>
    <w:rsid w:val="00C04B16"/>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04B16"/>
    <w:rPr>
      <w:b/>
      <w:bCs/>
    </w:rPr>
  </w:style>
  <w:style w:type="paragraph" w:customStyle="1" w:styleId="Annextitle">
    <w:name w:val="Annex_title"/>
    <w:basedOn w:val="Normal"/>
    <w:next w:val="Normal"/>
    <w:rsid w:val="00C04B16"/>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nnexNo">
    <w:name w:val="Annex_No"/>
    <w:basedOn w:val="Normal"/>
    <w:next w:val="Normal"/>
    <w:rsid w:val="00C04B16"/>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character" w:customStyle="1" w:styleId="CallChar">
    <w:name w:val="Call Char"/>
    <w:basedOn w:val="DefaultParagraphFont"/>
    <w:link w:val="Call"/>
    <w:locked/>
    <w:rsid w:val="00C04B16"/>
    <w:rPr>
      <w:rFonts w:ascii="Times New Roman" w:hAnsi="Times New Roman"/>
      <w:i/>
      <w:sz w:val="24"/>
      <w:lang w:val="en-GB" w:eastAsia="en-US"/>
    </w:rPr>
  </w:style>
  <w:style w:type="character" w:customStyle="1" w:styleId="HeadingbChar">
    <w:name w:val="Heading_b Char"/>
    <w:link w:val="Headingb"/>
    <w:locked/>
    <w:rsid w:val="00C04B16"/>
    <w:rPr>
      <w:rFonts w:ascii="Times New Roman" w:hAnsi="Times New Roman"/>
      <w:b/>
      <w:sz w:val="24"/>
      <w:lang w:val="en-GB" w:eastAsia="en-US"/>
    </w:rPr>
  </w:style>
  <w:style w:type="character" w:customStyle="1" w:styleId="RestitleChar">
    <w:name w:val="Res_title Char"/>
    <w:basedOn w:val="DefaultParagraphFont"/>
    <w:link w:val="Restitle"/>
    <w:locked/>
    <w:rsid w:val="00C04B16"/>
    <w:rPr>
      <w:rFonts w:ascii="Times New Roman" w:hAnsi="Times New Roman"/>
      <w:b/>
      <w:sz w:val="28"/>
      <w:lang w:val="en-GB" w:eastAsia="en-US"/>
    </w:rPr>
  </w:style>
  <w:style w:type="character" w:styleId="FollowedHyperlink">
    <w:name w:val="FollowedHyperlink"/>
    <w:basedOn w:val="DefaultParagraphFont"/>
    <w:unhideWhenUsed/>
    <w:rsid w:val="00C04B16"/>
    <w:rPr>
      <w:color w:val="606420"/>
      <w:u w:val="single"/>
    </w:rPr>
  </w:style>
  <w:style w:type="paragraph" w:styleId="NormalWeb">
    <w:name w:val="Normal (Web)"/>
    <w:basedOn w:val="Normal"/>
    <w:uiPriority w:val="99"/>
    <w:unhideWhenUsed/>
    <w:rsid w:val="00C04B16"/>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EndnoteText">
    <w:name w:val="endnote text"/>
    <w:basedOn w:val="Normal"/>
    <w:link w:val="EndnoteTextChar"/>
    <w:uiPriority w:val="99"/>
    <w:unhideWhenUsed/>
    <w:rsid w:val="00C04B16"/>
    <w:pPr>
      <w:spacing w:before="0"/>
      <w:textAlignment w:val="auto"/>
    </w:pPr>
    <w:rPr>
      <w:sz w:val="20"/>
    </w:rPr>
  </w:style>
  <w:style w:type="character" w:customStyle="1" w:styleId="EndnoteTextChar">
    <w:name w:val="Endnote Text Char"/>
    <w:basedOn w:val="DefaultParagraphFont"/>
    <w:link w:val="EndnoteText"/>
    <w:uiPriority w:val="99"/>
    <w:rsid w:val="00C04B16"/>
    <w:rPr>
      <w:rFonts w:ascii="Times New Roman" w:hAnsi="Times New Roman"/>
      <w:lang w:val="en-GB" w:eastAsia="en-US"/>
    </w:rPr>
  </w:style>
  <w:style w:type="paragraph" w:styleId="Title">
    <w:name w:val="Title"/>
    <w:basedOn w:val="Normal"/>
    <w:next w:val="Normal"/>
    <w:link w:val="TitleChar"/>
    <w:qFormat/>
    <w:rsid w:val="00C04B16"/>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04B16"/>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C04B16"/>
    <w:pPr>
      <w:textAlignment w:val="auto"/>
    </w:pPr>
    <w:rPr>
      <w:b/>
      <w:bCs/>
      <w:i/>
      <w:iCs/>
      <w:szCs w:val="24"/>
    </w:rPr>
  </w:style>
  <w:style w:type="character" w:customStyle="1" w:styleId="BodyTextChar">
    <w:name w:val="Body Text Char"/>
    <w:basedOn w:val="DefaultParagraphFont"/>
    <w:link w:val="BodyText"/>
    <w:rsid w:val="00C04B16"/>
    <w:rPr>
      <w:rFonts w:ascii="Times New Roman" w:hAnsi="Times New Roman"/>
      <w:b/>
      <w:bCs/>
      <w:i/>
      <w:iCs/>
      <w:sz w:val="24"/>
      <w:szCs w:val="24"/>
      <w:lang w:val="en-GB" w:eastAsia="en-US"/>
    </w:rPr>
  </w:style>
  <w:style w:type="paragraph" w:styleId="BodyTextIndent">
    <w:name w:val="Body Text Indent"/>
    <w:basedOn w:val="Normal"/>
    <w:link w:val="BodyTextIndentChar"/>
    <w:unhideWhenUsed/>
    <w:rsid w:val="00C04B16"/>
    <w:pPr>
      <w:spacing w:after="120"/>
      <w:ind w:left="360"/>
      <w:textAlignment w:val="auto"/>
    </w:pPr>
  </w:style>
  <w:style w:type="character" w:customStyle="1" w:styleId="BodyTextIndentChar">
    <w:name w:val="Body Text Indent Char"/>
    <w:basedOn w:val="DefaultParagraphFont"/>
    <w:link w:val="BodyTextIndent"/>
    <w:rsid w:val="00C04B16"/>
    <w:rPr>
      <w:rFonts w:ascii="Times New Roman" w:hAnsi="Times New Roman"/>
      <w:sz w:val="24"/>
      <w:lang w:val="en-GB" w:eastAsia="en-US"/>
    </w:rPr>
  </w:style>
  <w:style w:type="paragraph" w:styleId="Subtitle">
    <w:name w:val="Subtitle"/>
    <w:basedOn w:val="Normal"/>
    <w:next w:val="Normal"/>
    <w:link w:val="SubtitleChar"/>
    <w:uiPriority w:val="11"/>
    <w:qFormat/>
    <w:rsid w:val="00C04B16"/>
    <w:p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C04B16"/>
    <w:rPr>
      <w:rFonts w:ascii="Cambria" w:eastAsia="SimSun" w:hAnsi="Cambria"/>
      <w:i/>
      <w:iCs/>
      <w:color w:val="4F81BD"/>
      <w:spacing w:val="15"/>
      <w:sz w:val="24"/>
      <w:szCs w:val="24"/>
    </w:rPr>
  </w:style>
  <w:style w:type="paragraph" w:styleId="BodyText2">
    <w:name w:val="Body Text 2"/>
    <w:basedOn w:val="Normal"/>
    <w:link w:val="BodyText2Char"/>
    <w:unhideWhenUsed/>
    <w:rsid w:val="00C04B16"/>
    <w:pPr>
      <w:spacing w:after="120" w:line="480" w:lineRule="auto"/>
      <w:textAlignment w:val="auto"/>
    </w:pPr>
  </w:style>
  <w:style w:type="character" w:customStyle="1" w:styleId="BodyText2Char">
    <w:name w:val="Body Text 2 Char"/>
    <w:basedOn w:val="DefaultParagraphFont"/>
    <w:link w:val="BodyText2"/>
    <w:rsid w:val="00C04B16"/>
    <w:rPr>
      <w:rFonts w:ascii="Times New Roman" w:hAnsi="Times New Roman"/>
      <w:sz w:val="24"/>
      <w:lang w:val="en-GB" w:eastAsia="en-US"/>
    </w:rPr>
  </w:style>
  <w:style w:type="paragraph" w:styleId="Revision">
    <w:name w:val="Revision"/>
    <w:uiPriority w:val="99"/>
    <w:semiHidden/>
    <w:rsid w:val="00C04B16"/>
    <w:rPr>
      <w:rFonts w:ascii="Times New Roman" w:hAnsi="Times New Roman"/>
      <w:sz w:val="24"/>
      <w:lang w:val="en-GB" w:eastAsia="en-US"/>
    </w:rPr>
  </w:style>
  <w:style w:type="character" w:styleId="CommentReference">
    <w:name w:val="annotation reference"/>
    <w:basedOn w:val="DefaultParagraphFont"/>
    <w:semiHidden/>
    <w:unhideWhenUsed/>
    <w:rsid w:val="00C04B16"/>
    <w:rPr>
      <w:sz w:val="16"/>
      <w:szCs w:val="16"/>
    </w:rPr>
  </w:style>
  <w:style w:type="paragraph" w:styleId="CommentText">
    <w:name w:val="annotation text"/>
    <w:basedOn w:val="Normal"/>
    <w:link w:val="CommentTextChar"/>
    <w:unhideWhenUsed/>
    <w:rsid w:val="00C04B16"/>
    <w:rPr>
      <w:sz w:val="20"/>
    </w:rPr>
  </w:style>
  <w:style w:type="character" w:customStyle="1" w:styleId="CommentTextChar">
    <w:name w:val="Comment Text Char"/>
    <w:basedOn w:val="DefaultParagraphFont"/>
    <w:link w:val="CommentText"/>
    <w:rsid w:val="00C04B16"/>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C04B16"/>
    <w:rPr>
      <w:b/>
      <w:bCs/>
    </w:rPr>
  </w:style>
  <w:style w:type="character" w:customStyle="1" w:styleId="CommentSubjectChar">
    <w:name w:val="Comment Subject Char"/>
    <w:basedOn w:val="CommentTextChar"/>
    <w:link w:val="CommentSubject"/>
    <w:semiHidden/>
    <w:rsid w:val="00C04B16"/>
    <w:rPr>
      <w:rFonts w:ascii="Times New Roman" w:hAnsi="Times New Roman"/>
      <w:b/>
      <w:bCs/>
      <w:lang w:val="en-GB" w:eastAsia="en-US"/>
    </w:rPr>
  </w:style>
  <w:style w:type="table" w:customStyle="1" w:styleId="GridTable1Light-Accent512">
    <w:name w:val="Grid Table 1 Light - Accent 512"/>
    <w:basedOn w:val="TableNormal"/>
    <w:uiPriority w:val="46"/>
    <w:rsid w:val="00C04B16"/>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C04B16"/>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C04B16"/>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TableheadChar">
    <w:name w:val="Table_head Char"/>
    <w:basedOn w:val="DefaultParagraphFont"/>
    <w:link w:val="Tablehead"/>
    <w:rsid w:val="00C04B16"/>
    <w:rPr>
      <w:rFonts w:ascii="Times New Roman" w:hAnsi="Times New Roman"/>
      <w:b/>
      <w:sz w:val="22"/>
      <w:lang w:val="en-GB" w:eastAsia="en-US"/>
    </w:rPr>
  </w:style>
  <w:style w:type="paragraph" w:customStyle="1" w:styleId="TableNo">
    <w:name w:val="Table_No"/>
    <w:basedOn w:val="Normal"/>
    <w:next w:val="Normal"/>
    <w:uiPriority w:val="99"/>
    <w:rsid w:val="00C04B16"/>
    <w:pPr>
      <w:keepNext/>
      <w:tabs>
        <w:tab w:val="clear" w:pos="794"/>
        <w:tab w:val="clear" w:pos="1191"/>
        <w:tab w:val="clear" w:pos="1588"/>
        <w:tab w:val="clear" w:pos="1985"/>
        <w:tab w:val="left" w:pos="1134"/>
        <w:tab w:val="left" w:pos="1871"/>
        <w:tab w:val="left" w:pos="2268"/>
      </w:tabs>
      <w:spacing w:before="560" w:after="120"/>
      <w:jc w:val="center"/>
    </w:pPr>
    <w:rPr>
      <w:caps/>
    </w:rPr>
  </w:style>
  <w:style w:type="paragraph" w:customStyle="1" w:styleId="Tabletitle">
    <w:name w:val="Table_title"/>
    <w:basedOn w:val="Normal"/>
    <w:next w:val="Tabletext"/>
    <w:rsid w:val="00C04B16"/>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rPr>
  </w:style>
  <w:style w:type="paragraph" w:styleId="Index4">
    <w:name w:val="index 4"/>
    <w:basedOn w:val="Normal"/>
    <w:next w:val="Normal"/>
    <w:autoRedefine/>
    <w:uiPriority w:val="99"/>
    <w:unhideWhenUsed/>
    <w:rsid w:val="00C04B16"/>
    <w:pPr>
      <w:tabs>
        <w:tab w:val="clear" w:pos="794"/>
        <w:tab w:val="clear" w:pos="1191"/>
        <w:tab w:val="clear" w:pos="1588"/>
        <w:tab w:val="clear" w:pos="1985"/>
      </w:tabs>
      <w:overflowPunct/>
      <w:autoSpaceDE/>
      <w:autoSpaceDN/>
      <w:adjustRightInd/>
      <w:spacing w:before="0" w:line="259" w:lineRule="auto"/>
      <w:ind w:left="880" w:hanging="220"/>
      <w:textAlignment w:val="auto"/>
    </w:pPr>
    <w:rPr>
      <w:rFonts w:eastAsiaTheme="minorEastAsia" w:cstheme="minorBidi"/>
      <w:sz w:val="18"/>
      <w:szCs w:val="18"/>
      <w:lang w:val="en-US" w:eastAsia="zh-CN"/>
    </w:rPr>
  </w:style>
  <w:style w:type="paragraph" w:styleId="Index5">
    <w:name w:val="index 5"/>
    <w:basedOn w:val="Normal"/>
    <w:next w:val="Normal"/>
    <w:autoRedefine/>
    <w:uiPriority w:val="99"/>
    <w:unhideWhenUsed/>
    <w:rsid w:val="00C04B16"/>
    <w:pPr>
      <w:tabs>
        <w:tab w:val="clear" w:pos="794"/>
        <w:tab w:val="clear" w:pos="1191"/>
        <w:tab w:val="clear" w:pos="1588"/>
        <w:tab w:val="clear" w:pos="1985"/>
      </w:tabs>
      <w:overflowPunct/>
      <w:autoSpaceDE/>
      <w:autoSpaceDN/>
      <w:adjustRightInd/>
      <w:spacing w:before="0" w:line="259" w:lineRule="auto"/>
      <w:ind w:left="1100" w:hanging="220"/>
      <w:textAlignment w:val="auto"/>
    </w:pPr>
    <w:rPr>
      <w:rFonts w:eastAsiaTheme="minorEastAsia" w:cstheme="minorBidi"/>
      <w:sz w:val="18"/>
      <w:szCs w:val="18"/>
      <w:lang w:val="en-US" w:eastAsia="zh-CN"/>
    </w:rPr>
  </w:style>
  <w:style w:type="paragraph" w:styleId="Index6">
    <w:name w:val="index 6"/>
    <w:basedOn w:val="Normal"/>
    <w:next w:val="Normal"/>
    <w:autoRedefine/>
    <w:uiPriority w:val="99"/>
    <w:unhideWhenUsed/>
    <w:rsid w:val="00C04B16"/>
    <w:pPr>
      <w:tabs>
        <w:tab w:val="clear" w:pos="794"/>
        <w:tab w:val="clear" w:pos="1191"/>
        <w:tab w:val="clear" w:pos="1588"/>
        <w:tab w:val="clear" w:pos="1985"/>
      </w:tabs>
      <w:overflowPunct/>
      <w:autoSpaceDE/>
      <w:autoSpaceDN/>
      <w:adjustRightInd/>
      <w:spacing w:before="0" w:line="259" w:lineRule="auto"/>
      <w:ind w:left="1320" w:hanging="220"/>
      <w:textAlignment w:val="auto"/>
    </w:pPr>
    <w:rPr>
      <w:rFonts w:eastAsiaTheme="minorEastAsia" w:cstheme="minorBidi"/>
      <w:sz w:val="18"/>
      <w:szCs w:val="18"/>
      <w:lang w:val="en-US" w:eastAsia="zh-CN"/>
    </w:rPr>
  </w:style>
  <w:style w:type="paragraph" w:styleId="Index7">
    <w:name w:val="index 7"/>
    <w:basedOn w:val="Normal"/>
    <w:next w:val="Normal"/>
    <w:autoRedefine/>
    <w:uiPriority w:val="99"/>
    <w:unhideWhenUsed/>
    <w:rsid w:val="00C04B16"/>
    <w:pPr>
      <w:tabs>
        <w:tab w:val="clear" w:pos="794"/>
        <w:tab w:val="clear" w:pos="1191"/>
        <w:tab w:val="clear" w:pos="1588"/>
        <w:tab w:val="clear" w:pos="1985"/>
      </w:tabs>
      <w:overflowPunct/>
      <w:autoSpaceDE/>
      <w:autoSpaceDN/>
      <w:adjustRightInd/>
      <w:spacing w:before="0" w:line="259" w:lineRule="auto"/>
      <w:ind w:left="1540" w:hanging="220"/>
      <w:textAlignment w:val="auto"/>
    </w:pPr>
    <w:rPr>
      <w:rFonts w:eastAsiaTheme="minorEastAsia" w:cstheme="minorBidi"/>
      <w:sz w:val="18"/>
      <w:szCs w:val="18"/>
      <w:lang w:val="en-US" w:eastAsia="zh-CN"/>
    </w:rPr>
  </w:style>
  <w:style w:type="paragraph" w:styleId="Index8">
    <w:name w:val="index 8"/>
    <w:basedOn w:val="Normal"/>
    <w:next w:val="Normal"/>
    <w:autoRedefine/>
    <w:uiPriority w:val="99"/>
    <w:unhideWhenUsed/>
    <w:rsid w:val="00C04B16"/>
    <w:pPr>
      <w:tabs>
        <w:tab w:val="clear" w:pos="794"/>
        <w:tab w:val="clear" w:pos="1191"/>
        <w:tab w:val="clear" w:pos="1588"/>
        <w:tab w:val="clear" w:pos="1985"/>
      </w:tabs>
      <w:overflowPunct/>
      <w:autoSpaceDE/>
      <w:autoSpaceDN/>
      <w:adjustRightInd/>
      <w:spacing w:before="0" w:line="259" w:lineRule="auto"/>
      <w:ind w:left="1760" w:hanging="220"/>
      <w:textAlignment w:val="auto"/>
    </w:pPr>
    <w:rPr>
      <w:rFonts w:eastAsiaTheme="minorEastAsia" w:cstheme="minorBidi"/>
      <w:sz w:val="18"/>
      <w:szCs w:val="18"/>
      <w:lang w:val="en-US" w:eastAsia="zh-CN"/>
    </w:rPr>
  </w:style>
  <w:style w:type="paragraph" w:styleId="Index9">
    <w:name w:val="index 9"/>
    <w:basedOn w:val="Normal"/>
    <w:next w:val="Normal"/>
    <w:autoRedefine/>
    <w:uiPriority w:val="99"/>
    <w:unhideWhenUsed/>
    <w:rsid w:val="00C04B16"/>
    <w:pPr>
      <w:tabs>
        <w:tab w:val="clear" w:pos="794"/>
        <w:tab w:val="clear" w:pos="1191"/>
        <w:tab w:val="clear" w:pos="1588"/>
        <w:tab w:val="clear" w:pos="1985"/>
      </w:tabs>
      <w:overflowPunct/>
      <w:autoSpaceDE/>
      <w:autoSpaceDN/>
      <w:adjustRightInd/>
      <w:spacing w:before="0" w:line="259" w:lineRule="auto"/>
      <w:ind w:left="1980" w:hanging="220"/>
      <w:textAlignment w:val="auto"/>
    </w:pPr>
    <w:rPr>
      <w:rFonts w:eastAsiaTheme="minorEastAsia" w:cstheme="minorBidi"/>
      <w:sz w:val="18"/>
      <w:szCs w:val="18"/>
      <w:lang w:val="en-US" w:eastAsia="zh-CN"/>
    </w:rPr>
  </w:style>
  <w:style w:type="paragraph" w:styleId="IndexHeading">
    <w:name w:val="index heading"/>
    <w:basedOn w:val="Normal"/>
    <w:next w:val="Index1"/>
    <w:uiPriority w:val="99"/>
    <w:unhideWhenUsed/>
    <w:rsid w:val="00C04B16"/>
    <w:pPr>
      <w:tabs>
        <w:tab w:val="clear" w:pos="794"/>
        <w:tab w:val="clear" w:pos="1191"/>
        <w:tab w:val="clear" w:pos="1588"/>
        <w:tab w:val="clear" w:pos="1985"/>
      </w:tabs>
      <w:overflowPunct/>
      <w:autoSpaceDE/>
      <w:autoSpaceDN/>
      <w:adjustRightInd/>
      <w:spacing w:before="240" w:after="120" w:line="259" w:lineRule="auto"/>
      <w:jc w:val="center"/>
      <w:textAlignment w:val="auto"/>
    </w:pPr>
    <w:rPr>
      <w:rFonts w:eastAsiaTheme="minorEastAsia" w:cstheme="minorBidi"/>
      <w:b/>
      <w:bCs/>
      <w:sz w:val="26"/>
      <w:szCs w:val="26"/>
      <w:lang w:val="en-US" w:eastAsia="zh-CN"/>
    </w:rPr>
  </w:style>
  <w:style w:type="paragraph" w:styleId="TOC9">
    <w:name w:val="toc 9"/>
    <w:basedOn w:val="Normal"/>
    <w:next w:val="Normal"/>
    <w:autoRedefine/>
    <w:uiPriority w:val="39"/>
    <w:unhideWhenUsed/>
    <w:rsid w:val="00C04B16"/>
    <w:pPr>
      <w:tabs>
        <w:tab w:val="clear" w:pos="794"/>
        <w:tab w:val="clear" w:pos="1191"/>
        <w:tab w:val="clear" w:pos="1588"/>
        <w:tab w:val="clear" w:pos="1985"/>
      </w:tabs>
      <w:overflowPunct/>
      <w:autoSpaceDE/>
      <w:autoSpaceDN/>
      <w:adjustRightInd/>
      <w:spacing w:before="0" w:line="259" w:lineRule="auto"/>
      <w:ind w:left="1760"/>
      <w:textAlignment w:val="auto"/>
    </w:pPr>
    <w:rPr>
      <w:rFonts w:eastAsiaTheme="minorEastAsia" w:cstheme="minorBidi"/>
      <w:sz w:val="20"/>
      <w:lang w:val="en-US" w:eastAsia="zh-CN"/>
    </w:rPr>
  </w:style>
  <w:style w:type="table" w:customStyle="1" w:styleId="TableGrid2">
    <w:name w:val="Table Grid2"/>
    <w:basedOn w:val="TableNormal"/>
    <w:next w:val="TableGrid"/>
    <w:uiPriority w:val="39"/>
    <w:rsid w:val="00C04B16"/>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C04B16"/>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eastAsia="zh-CN"/>
    </w:rPr>
  </w:style>
  <w:style w:type="table" w:styleId="ListTable1Light-Accent1">
    <w:name w:val="List Table 1 Light Accent 1"/>
    <w:basedOn w:val="TableNormal"/>
    <w:uiPriority w:val="46"/>
    <w:rsid w:val="00C04B1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1">
    <w:name w:val="List Table 2 Accent 1"/>
    <w:basedOn w:val="TableNormal"/>
    <w:uiPriority w:val="47"/>
    <w:rsid w:val="00C04B16"/>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C04B1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C04B1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ate">
    <w:name w:val="Date"/>
    <w:basedOn w:val="Normal"/>
    <w:next w:val="Normal"/>
    <w:link w:val="DateChar"/>
    <w:rsid w:val="00C04B16"/>
  </w:style>
  <w:style w:type="character" w:customStyle="1" w:styleId="DateChar">
    <w:name w:val="Date Char"/>
    <w:basedOn w:val="DefaultParagraphFont"/>
    <w:link w:val="Date"/>
    <w:rsid w:val="00C04B16"/>
    <w:rPr>
      <w:rFonts w:ascii="Times New Roman" w:hAnsi="Times New Roman"/>
      <w:sz w:val="24"/>
      <w:lang w:val="en-GB" w:eastAsia="en-US"/>
    </w:rPr>
  </w:style>
  <w:style w:type="paragraph" w:customStyle="1" w:styleId="Tablefin">
    <w:name w:val="Table_fin"/>
    <w:basedOn w:val="Tabletext"/>
    <w:rsid w:val="00C04B16"/>
    <w:rPr>
      <w:sz w:val="20"/>
    </w:rPr>
  </w:style>
  <w:style w:type="table" w:customStyle="1" w:styleId="ListTable1Light-Accent11">
    <w:name w:val="List Table 1 Light - Accent 11"/>
    <w:basedOn w:val="TableNormal"/>
    <w:next w:val="ListTable1Light-Accent1"/>
    <w:uiPriority w:val="46"/>
    <w:rsid w:val="00C04B1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C04B16"/>
    <w:rPr>
      <w:color w:val="605E5C"/>
      <w:shd w:val="clear" w:color="auto" w:fill="E1DFDD"/>
    </w:rPr>
  </w:style>
  <w:style w:type="paragraph" w:customStyle="1" w:styleId="paragraph">
    <w:name w:val="paragraph"/>
    <w:basedOn w:val="Normal"/>
    <w:rsid w:val="00C04B16"/>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eastAsia="en-GB"/>
    </w:rPr>
  </w:style>
  <w:style w:type="character" w:customStyle="1" w:styleId="normaltextrun">
    <w:name w:val="normaltextrun"/>
    <w:basedOn w:val="DefaultParagraphFont"/>
    <w:rsid w:val="00C04B16"/>
  </w:style>
  <w:style w:type="character" w:customStyle="1" w:styleId="eop">
    <w:name w:val="eop"/>
    <w:basedOn w:val="DefaultParagraphFont"/>
    <w:rsid w:val="00C04B16"/>
  </w:style>
  <w:style w:type="paragraph" w:customStyle="1" w:styleId="Figuretitle">
    <w:name w:val="Figure_title"/>
    <w:basedOn w:val="Normal"/>
    <w:next w:val="Normal"/>
    <w:rsid w:val="00F96B5F"/>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lang w:val="en-US"/>
    </w:rPr>
  </w:style>
  <w:style w:type="paragraph" w:customStyle="1" w:styleId="FigureNo">
    <w:name w:val="Figure_No"/>
    <w:basedOn w:val="Normal"/>
    <w:next w:val="Normal"/>
    <w:rsid w:val="00F96B5F"/>
    <w:pPr>
      <w:keepNext/>
      <w:keepLines/>
      <w:tabs>
        <w:tab w:val="clear" w:pos="794"/>
        <w:tab w:val="clear" w:pos="1191"/>
        <w:tab w:val="clear" w:pos="1588"/>
        <w:tab w:val="clear" w:pos="1985"/>
        <w:tab w:val="left" w:pos="1134"/>
        <w:tab w:val="left" w:pos="1871"/>
        <w:tab w:val="left" w:pos="2268"/>
      </w:tabs>
      <w:spacing w:before="480" w:after="120"/>
      <w:jc w:val="center"/>
    </w:pPr>
    <w:rPr>
      <w:caps/>
      <w:sz w:val="20"/>
    </w:rPr>
  </w:style>
  <w:style w:type="character" w:customStyle="1" w:styleId="ui-provider">
    <w:name w:val="ui-provider"/>
    <w:basedOn w:val="DefaultParagraphFont"/>
    <w:rsid w:val="002A7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35367">
      <w:bodyDiv w:val="1"/>
      <w:marLeft w:val="0"/>
      <w:marRight w:val="0"/>
      <w:marTop w:val="0"/>
      <w:marBottom w:val="0"/>
      <w:divBdr>
        <w:top w:val="none" w:sz="0" w:space="0" w:color="auto"/>
        <w:left w:val="none" w:sz="0" w:space="0" w:color="auto"/>
        <w:bottom w:val="none" w:sz="0" w:space="0" w:color="auto"/>
        <w:right w:val="none" w:sz="0" w:space="0" w:color="auto"/>
      </w:divBdr>
    </w:div>
    <w:div w:id="108790083">
      <w:bodyDiv w:val="1"/>
      <w:marLeft w:val="0"/>
      <w:marRight w:val="0"/>
      <w:marTop w:val="0"/>
      <w:marBottom w:val="0"/>
      <w:divBdr>
        <w:top w:val="none" w:sz="0" w:space="0" w:color="auto"/>
        <w:left w:val="none" w:sz="0" w:space="0" w:color="auto"/>
        <w:bottom w:val="none" w:sz="0" w:space="0" w:color="auto"/>
        <w:right w:val="none" w:sz="0" w:space="0" w:color="auto"/>
      </w:divBdr>
    </w:div>
    <w:div w:id="110519664">
      <w:bodyDiv w:val="1"/>
      <w:marLeft w:val="0"/>
      <w:marRight w:val="0"/>
      <w:marTop w:val="0"/>
      <w:marBottom w:val="0"/>
      <w:divBdr>
        <w:top w:val="none" w:sz="0" w:space="0" w:color="auto"/>
        <w:left w:val="none" w:sz="0" w:space="0" w:color="auto"/>
        <w:bottom w:val="none" w:sz="0" w:space="0" w:color="auto"/>
        <w:right w:val="none" w:sz="0" w:space="0" w:color="auto"/>
      </w:divBdr>
    </w:div>
    <w:div w:id="134765325">
      <w:bodyDiv w:val="1"/>
      <w:marLeft w:val="0"/>
      <w:marRight w:val="0"/>
      <w:marTop w:val="0"/>
      <w:marBottom w:val="0"/>
      <w:divBdr>
        <w:top w:val="none" w:sz="0" w:space="0" w:color="auto"/>
        <w:left w:val="none" w:sz="0" w:space="0" w:color="auto"/>
        <w:bottom w:val="none" w:sz="0" w:space="0" w:color="auto"/>
        <w:right w:val="none" w:sz="0" w:space="0" w:color="auto"/>
      </w:divBdr>
    </w:div>
    <w:div w:id="508451575">
      <w:bodyDiv w:val="1"/>
      <w:marLeft w:val="0"/>
      <w:marRight w:val="0"/>
      <w:marTop w:val="0"/>
      <w:marBottom w:val="0"/>
      <w:divBdr>
        <w:top w:val="none" w:sz="0" w:space="0" w:color="auto"/>
        <w:left w:val="none" w:sz="0" w:space="0" w:color="auto"/>
        <w:bottom w:val="none" w:sz="0" w:space="0" w:color="auto"/>
        <w:right w:val="none" w:sz="0" w:space="0" w:color="auto"/>
      </w:divBdr>
    </w:div>
    <w:div w:id="532765134">
      <w:bodyDiv w:val="1"/>
      <w:marLeft w:val="0"/>
      <w:marRight w:val="0"/>
      <w:marTop w:val="0"/>
      <w:marBottom w:val="0"/>
      <w:divBdr>
        <w:top w:val="none" w:sz="0" w:space="0" w:color="auto"/>
        <w:left w:val="none" w:sz="0" w:space="0" w:color="auto"/>
        <w:bottom w:val="none" w:sz="0" w:space="0" w:color="auto"/>
        <w:right w:val="none" w:sz="0" w:space="0" w:color="auto"/>
      </w:divBdr>
    </w:div>
    <w:div w:id="685865760">
      <w:bodyDiv w:val="1"/>
      <w:marLeft w:val="0"/>
      <w:marRight w:val="0"/>
      <w:marTop w:val="0"/>
      <w:marBottom w:val="0"/>
      <w:divBdr>
        <w:top w:val="none" w:sz="0" w:space="0" w:color="auto"/>
        <w:left w:val="none" w:sz="0" w:space="0" w:color="auto"/>
        <w:bottom w:val="none" w:sz="0" w:space="0" w:color="auto"/>
        <w:right w:val="none" w:sz="0" w:space="0" w:color="auto"/>
      </w:divBdr>
    </w:div>
    <w:div w:id="738596296">
      <w:bodyDiv w:val="1"/>
      <w:marLeft w:val="0"/>
      <w:marRight w:val="0"/>
      <w:marTop w:val="0"/>
      <w:marBottom w:val="0"/>
      <w:divBdr>
        <w:top w:val="none" w:sz="0" w:space="0" w:color="auto"/>
        <w:left w:val="none" w:sz="0" w:space="0" w:color="auto"/>
        <w:bottom w:val="none" w:sz="0" w:space="0" w:color="auto"/>
        <w:right w:val="none" w:sz="0" w:space="0" w:color="auto"/>
      </w:divBdr>
    </w:div>
    <w:div w:id="806319742">
      <w:bodyDiv w:val="1"/>
      <w:marLeft w:val="0"/>
      <w:marRight w:val="0"/>
      <w:marTop w:val="0"/>
      <w:marBottom w:val="0"/>
      <w:divBdr>
        <w:top w:val="none" w:sz="0" w:space="0" w:color="auto"/>
        <w:left w:val="none" w:sz="0" w:space="0" w:color="auto"/>
        <w:bottom w:val="none" w:sz="0" w:space="0" w:color="auto"/>
        <w:right w:val="none" w:sz="0" w:space="0" w:color="auto"/>
      </w:divBdr>
    </w:div>
    <w:div w:id="860312969">
      <w:bodyDiv w:val="1"/>
      <w:marLeft w:val="0"/>
      <w:marRight w:val="0"/>
      <w:marTop w:val="0"/>
      <w:marBottom w:val="0"/>
      <w:divBdr>
        <w:top w:val="none" w:sz="0" w:space="0" w:color="auto"/>
        <w:left w:val="none" w:sz="0" w:space="0" w:color="auto"/>
        <w:bottom w:val="none" w:sz="0" w:space="0" w:color="auto"/>
        <w:right w:val="none" w:sz="0" w:space="0" w:color="auto"/>
      </w:divBdr>
    </w:div>
    <w:div w:id="1029062536">
      <w:bodyDiv w:val="1"/>
      <w:marLeft w:val="0"/>
      <w:marRight w:val="0"/>
      <w:marTop w:val="0"/>
      <w:marBottom w:val="0"/>
      <w:divBdr>
        <w:top w:val="none" w:sz="0" w:space="0" w:color="auto"/>
        <w:left w:val="none" w:sz="0" w:space="0" w:color="auto"/>
        <w:bottom w:val="none" w:sz="0" w:space="0" w:color="auto"/>
        <w:right w:val="none" w:sz="0" w:space="0" w:color="auto"/>
      </w:divBdr>
    </w:div>
    <w:div w:id="1089622319">
      <w:bodyDiv w:val="1"/>
      <w:marLeft w:val="0"/>
      <w:marRight w:val="0"/>
      <w:marTop w:val="0"/>
      <w:marBottom w:val="0"/>
      <w:divBdr>
        <w:top w:val="none" w:sz="0" w:space="0" w:color="auto"/>
        <w:left w:val="none" w:sz="0" w:space="0" w:color="auto"/>
        <w:bottom w:val="none" w:sz="0" w:space="0" w:color="auto"/>
        <w:right w:val="none" w:sz="0" w:space="0" w:color="auto"/>
      </w:divBdr>
    </w:div>
    <w:div w:id="1115253772">
      <w:bodyDiv w:val="1"/>
      <w:marLeft w:val="0"/>
      <w:marRight w:val="0"/>
      <w:marTop w:val="0"/>
      <w:marBottom w:val="0"/>
      <w:divBdr>
        <w:top w:val="none" w:sz="0" w:space="0" w:color="auto"/>
        <w:left w:val="none" w:sz="0" w:space="0" w:color="auto"/>
        <w:bottom w:val="none" w:sz="0" w:space="0" w:color="auto"/>
        <w:right w:val="none" w:sz="0" w:space="0" w:color="auto"/>
      </w:divBdr>
    </w:div>
    <w:div w:id="1172523028">
      <w:bodyDiv w:val="1"/>
      <w:marLeft w:val="0"/>
      <w:marRight w:val="0"/>
      <w:marTop w:val="0"/>
      <w:marBottom w:val="0"/>
      <w:divBdr>
        <w:top w:val="none" w:sz="0" w:space="0" w:color="auto"/>
        <w:left w:val="none" w:sz="0" w:space="0" w:color="auto"/>
        <w:bottom w:val="none" w:sz="0" w:space="0" w:color="auto"/>
        <w:right w:val="none" w:sz="0" w:space="0" w:color="auto"/>
      </w:divBdr>
    </w:div>
    <w:div w:id="1252011273">
      <w:bodyDiv w:val="1"/>
      <w:marLeft w:val="0"/>
      <w:marRight w:val="0"/>
      <w:marTop w:val="0"/>
      <w:marBottom w:val="0"/>
      <w:divBdr>
        <w:top w:val="none" w:sz="0" w:space="0" w:color="auto"/>
        <w:left w:val="none" w:sz="0" w:space="0" w:color="auto"/>
        <w:bottom w:val="none" w:sz="0" w:space="0" w:color="auto"/>
        <w:right w:val="none" w:sz="0" w:space="0" w:color="auto"/>
      </w:divBdr>
    </w:div>
    <w:div w:id="1294824585">
      <w:bodyDiv w:val="1"/>
      <w:marLeft w:val="0"/>
      <w:marRight w:val="0"/>
      <w:marTop w:val="0"/>
      <w:marBottom w:val="0"/>
      <w:divBdr>
        <w:top w:val="none" w:sz="0" w:space="0" w:color="auto"/>
        <w:left w:val="none" w:sz="0" w:space="0" w:color="auto"/>
        <w:bottom w:val="none" w:sz="0" w:space="0" w:color="auto"/>
        <w:right w:val="none" w:sz="0" w:space="0" w:color="auto"/>
      </w:divBdr>
    </w:div>
    <w:div w:id="1337803959">
      <w:bodyDiv w:val="1"/>
      <w:marLeft w:val="0"/>
      <w:marRight w:val="0"/>
      <w:marTop w:val="0"/>
      <w:marBottom w:val="0"/>
      <w:divBdr>
        <w:top w:val="none" w:sz="0" w:space="0" w:color="auto"/>
        <w:left w:val="none" w:sz="0" w:space="0" w:color="auto"/>
        <w:bottom w:val="none" w:sz="0" w:space="0" w:color="auto"/>
        <w:right w:val="none" w:sz="0" w:space="0" w:color="auto"/>
      </w:divBdr>
    </w:div>
    <w:div w:id="1506283798">
      <w:bodyDiv w:val="1"/>
      <w:marLeft w:val="0"/>
      <w:marRight w:val="0"/>
      <w:marTop w:val="0"/>
      <w:marBottom w:val="0"/>
      <w:divBdr>
        <w:top w:val="none" w:sz="0" w:space="0" w:color="auto"/>
        <w:left w:val="none" w:sz="0" w:space="0" w:color="auto"/>
        <w:bottom w:val="none" w:sz="0" w:space="0" w:color="auto"/>
        <w:right w:val="none" w:sz="0" w:space="0" w:color="auto"/>
      </w:divBdr>
    </w:div>
    <w:div w:id="1518887450">
      <w:bodyDiv w:val="1"/>
      <w:marLeft w:val="0"/>
      <w:marRight w:val="0"/>
      <w:marTop w:val="0"/>
      <w:marBottom w:val="0"/>
      <w:divBdr>
        <w:top w:val="none" w:sz="0" w:space="0" w:color="auto"/>
        <w:left w:val="none" w:sz="0" w:space="0" w:color="auto"/>
        <w:bottom w:val="none" w:sz="0" w:space="0" w:color="auto"/>
        <w:right w:val="none" w:sz="0" w:space="0" w:color="auto"/>
      </w:divBdr>
    </w:div>
    <w:div w:id="1555577917">
      <w:bodyDiv w:val="1"/>
      <w:marLeft w:val="0"/>
      <w:marRight w:val="0"/>
      <w:marTop w:val="0"/>
      <w:marBottom w:val="0"/>
      <w:divBdr>
        <w:top w:val="none" w:sz="0" w:space="0" w:color="auto"/>
        <w:left w:val="none" w:sz="0" w:space="0" w:color="auto"/>
        <w:bottom w:val="none" w:sz="0" w:space="0" w:color="auto"/>
        <w:right w:val="none" w:sz="0" w:space="0" w:color="auto"/>
      </w:divBdr>
    </w:div>
    <w:div w:id="1557887358">
      <w:bodyDiv w:val="1"/>
      <w:marLeft w:val="0"/>
      <w:marRight w:val="0"/>
      <w:marTop w:val="0"/>
      <w:marBottom w:val="0"/>
      <w:divBdr>
        <w:top w:val="none" w:sz="0" w:space="0" w:color="auto"/>
        <w:left w:val="none" w:sz="0" w:space="0" w:color="auto"/>
        <w:bottom w:val="none" w:sz="0" w:space="0" w:color="auto"/>
        <w:right w:val="none" w:sz="0" w:space="0" w:color="auto"/>
      </w:divBdr>
    </w:div>
    <w:div w:id="1619988868">
      <w:bodyDiv w:val="1"/>
      <w:marLeft w:val="0"/>
      <w:marRight w:val="0"/>
      <w:marTop w:val="0"/>
      <w:marBottom w:val="0"/>
      <w:divBdr>
        <w:top w:val="none" w:sz="0" w:space="0" w:color="auto"/>
        <w:left w:val="none" w:sz="0" w:space="0" w:color="auto"/>
        <w:bottom w:val="none" w:sz="0" w:space="0" w:color="auto"/>
        <w:right w:val="none" w:sz="0" w:space="0" w:color="auto"/>
      </w:divBdr>
    </w:div>
    <w:div w:id="1794516146">
      <w:bodyDiv w:val="1"/>
      <w:marLeft w:val="0"/>
      <w:marRight w:val="0"/>
      <w:marTop w:val="0"/>
      <w:marBottom w:val="0"/>
      <w:divBdr>
        <w:top w:val="none" w:sz="0" w:space="0" w:color="auto"/>
        <w:left w:val="none" w:sz="0" w:space="0" w:color="auto"/>
        <w:bottom w:val="none" w:sz="0" w:space="0" w:color="auto"/>
        <w:right w:val="none" w:sz="0" w:space="0" w:color="auto"/>
      </w:divBdr>
    </w:div>
    <w:div w:id="1796869307">
      <w:bodyDiv w:val="1"/>
      <w:marLeft w:val="0"/>
      <w:marRight w:val="0"/>
      <w:marTop w:val="0"/>
      <w:marBottom w:val="0"/>
      <w:divBdr>
        <w:top w:val="none" w:sz="0" w:space="0" w:color="auto"/>
        <w:left w:val="none" w:sz="0" w:space="0" w:color="auto"/>
        <w:bottom w:val="none" w:sz="0" w:space="0" w:color="auto"/>
        <w:right w:val="none" w:sz="0" w:space="0" w:color="auto"/>
      </w:divBdr>
    </w:div>
    <w:div w:id="1936790661">
      <w:bodyDiv w:val="1"/>
      <w:marLeft w:val="0"/>
      <w:marRight w:val="0"/>
      <w:marTop w:val="0"/>
      <w:marBottom w:val="0"/>
      <w:divBdr>
        <w:top w:val="none" w:sz="0" w:space="0" w:color="auto"/>
        <w:left w:val="none" w:sz="0" w:space="0" w:color="auto"/>
        <w:bottom w:val="none" w:sz="0" w:space="0" w:color="auto"/>
        <w:right w:val="none" w:sz="0" w:space="0" w:color="auto"/>
      </w:divBdr>
    </w:div>
    <w:div w:id="1954510897">
      <w:bodyDiv w:val="1"/>
      <w:marLeft w:val="0"/>
      <w:marRight w:val="0"/>
      <w:marTop w:val="0"/>
      <w:marBottom w:val="0"/>
      <w:divBdr>
        <w:top w:val="none" w:sz="0" w:space="0" w:color="auto"/>
        <w:left w:val="none" w:sz="0" w:space="0" w:color="auto"/>
        <w:bottom w:val="none" w:sz="0" w:space="0" w:color="auto"/>
        <w:right w:val="none" w:sz="0" w:space="0" w:color="auto"/>
      </w:divBdr>
    </w:div>
    <w:div w:id="198234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hyperlink" Target="https://www.itu.int/md/R00-SG01-CIR-0113/en" TargetMode="External"/><Relationship Id="rId26" Type="http://schemas.openxmlformats.org/officeDocument/2006/relationships/hyperlink" Target="https://www.itu.int/en/general-secretariat/Pages/coordination-committee-for-terminology.aspx" TargetMode="External"/><Relationship Id="rId39" Type="http://schemas.openxmlformats.org/officeDocument/2006/relationships/hyperlink" Target="https://www.itu.int/pub/R-OP-R.104" TargetMode="External"/><Relationship Id="rId21" Type="http://schemas.openxmlformats.org/officeDocument/2006/relationships/hyperlink" Target="https://www.itu.int/md/R00-CACE-CIR-1129/en" TargetMode="External"/><Relationship Id="rId34" Type="http://schemas.openxmlformats.org/officeDocument/2006/relationships/hyperlink" Target="https://www.itu.int/en/ITU-R/study-groups/Pages/Sustainable-dev-goals.aspx" TargetMode="External"/><Relationship Id="rId42" Type="http://schemas.openxmlformats.org/officeDocument/2006/relationships/hyperlink" Target="https://www.itu.int/pub/R-REP-BT.2385-1-2022"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R23-SG01-C-0027/en" TargetMode="External"/><Relationship Id="rId29" Type="http://schemas.openxmlformats.org/officeDocument/2006/relationships/hyperlink" Target="https://www.itu.int/md/R23-RA23-C-0101/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dms_pub/itu-r/oth/0a/07/R0A070000470001PDFE.pdf" TargetMode="External"/><Relationship Id="rId32" Type="http://schemas.openxmlformats.org/officeDocument/2006/relationships/hyperlink" Target="https://www.itu.int/pub/R-RES-R.9" TargetMode="External"/><Relationship Id="rId37" Type="http://schemas.openxmlformats.org/officeDocument/2006/relationships/header" Target="header1.xml"/><Relationship Id="rId40" Type="http://schemas.openxmlformats.org/officeDocument/2006/relationships/hyperlink" Target="https://www.itu.int/md/R23-WP6C-C-0077/en" TargetMode="External"/><Relationship Id="rId45" Type="http://schemas.openxmlformats.org/officeDocument/2006/relationships/hyperlink" Target="https://www.itu.int/rec/R-REC-BT.2167/en" TargetMode="External"/><Relationship Id="rId5" Type="http://schemas.openxmlformats.org/officeDocument/2006/relationships/numbering" Target="numbering.xml"/><Relationship Id="rId15" Type="http://schemas.openxmlformats.org/officeDocument/2006/relationships/hyperlink" Target="https://www.itu.int/oth/R0A0E000097" TargetMode="External"/><Relationship Id="rId23" Type="http://schemas.openxmlformats.org/officeDocument/2006/relationships/hyperlink" Target="https://www.itu.int/en/ITU-R/seminars/Future-of-tv-europe/Pages/default.aspx" TargetMode="External"/><Relationship Id="rId28" Type="http://schemas.openxmlformats.org/officeDocument/2006/relationships/hyperlink" Target="https://www.itu.int/br_tsb_terms/" TargetMode="External"/><Relationship Id="rId36" Type="http://schemas.openxmlformats.org/officeDocument/2006/relationships/hyperlink" Target="https://www.itu.int/md/R00-CA-CIR-0273/en" TargetMode="External"/><Relationship Id="rId10" Type="http://schemas.openxmlformats.org/officeDocument/2006/relationships/endnotes" Target="endnotes.xml"/><Relationship Id="rId19" Type="http://schemas.openxmlformats.org/officeDocument/2006/relationships/hyperlink" Target="https://www.itu.int/oth/R0A04000096/en" TargetMode="External"/><Relationship Id="rId31" Type="http://schemas.openxmlformats.org/officeDocument/2006/relationships/hyperlink" Target="https://www.itu.int/md/R23-RAG-C-0030/en" TargetMode="External"/><Relationship Id="rId44" Type="http://schemas.openxmlformats.org/officeDocument/2006/relationships/hyperlink" Target="https://www.itu.int/pub/R-REP-BT.254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oth/R0A01000004" TargetMode="External"/><Relationship Id="rId22" Type="http://schemas.openxmlformats.org/officeDocument/2006/relationships/hyperlink" Target="https://www.itu.int/md/R00-SG04-CIR-0140/en" TargetMode="External"/><Relationship Id="rId27" Type="http://schemas.openxmlformats.org/officeDocument/2006/relationships/hyperlink" Target="https://www.itu.int/md/S23-SG-CIR-0045/en" TargetMode="External"/><Relationship Id="rId30" Type="http://schemas.openxmlformats.org/officeDocument/2006/relationships/hyperlink" Target="https://www.itu.int/md/R23-RA23-C-0091/en" TargetMode="External"/><Relationship Id="rId35" Type="http://schemas.openxmlformats.org/officeDocument/2006/relationships/hyperlink" Target="https://www.itu.int/pub/R-RES-R.75" TargetMode="External"/><Relationship Id="rId43" Type="http://schemas.openxmlformats.org/officeDocument/2006/relationships/hyperlink" Target="https://www.itu.int/pub/R-REP-BT.2521"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tu.int/md/R00-CA-CIR-0276/en" TargetMode="External"/><Relationship Id="rId17" Type="http://schemas.openxmlformats.org/officeDocument/2006/relationships/hyperlink" Target="https://www.itu.int/md/R00-CACE-CIR-1131/en" TargetMode="External"/><Relationship Id="rId25" Type="http://schemas.openxmlformats.org/officeDocument/2006/relationships/hyperlink" Target="https://www.itu.int/en/ITU-R/seminars/sg6-tmmb-2024/Pages/default.aspx" TargetMode="External"/><Relationship Id="rId33" Type="http://schemas.openxmlformats.org/officeDocument/2006/relationships/hyperlink" Target="https://www.itu.int/pub/R-RES-R.60" TargetMode="External"/><Relationship Id="rId38" Type="http://schemas.openxmlformats.org/officeDocument/2006/relationships/hyperlink" Target="https://www.itu.int/pub/R-QUE-SG06.147" TargetMode="External"/><Relationship Id="rId46" Type="http://schemas.openxmlformats.org/officeDocument/2006/relationships/hyperlink" Target="https://www.itu.int/dms_ties/itu-r/md/23/wp6c/c/R23-WP6C-C-0037!H3-N3.01!MSW-E.docx" TargetMode="External"/><Relationship Id="rId20" Type="http://schemas.openxmlformats.org/officeDocument/2006/relationships/hyperlink" Target="https://www.itu.int/oth/R0A04000095/en" TargetMode="External"/><Relationship Id="rId41" Type="http://schemas.openxmlformats.org/officeDocument/2006/relationships/hyperlink" Target="https://www.itu.int/dms_ties/itu-r/md/23/wp6c/c/R23-WP6C-C-0077!H4-N4.01!MSW-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ure\Desktop\RAG\Templates\Templates\English.dot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Physical</c:v>
                </c:pt>
              </c:strCache>
            </c:strRef>
          </c:tx>
          <c:spPr>
            <a:solidFill>
              <a:schemeClr val="accent1"/>
            </a:solidFill>
            <a:ln>
              <a:noFill/>
            </a:ln>
            <a:effectLst/>
          </c:spPr>
          <c:invertIfNegative val="0"/>
          <c:dPt>
            <c:idx val="4"/>
            <c:invertIfNegative val="0"/>
            <c:bubble3D val="0"/>
            <c:spPr>
              <a:solidFill>
                <a:srgbClr val="B85410"/>
              </a:solidFill>
              <a:ln>
                <a:noFill/>
              </a:ln>
              <a:effectLst/>
            </c:spPr>
            <c:extLst>
              <c:ext xmlns:c16="http://schemas.microsoft.com/office/drawing/2014/chart" uri="{C3380CC4-5D6E-409C-BE32-E72D297353CC}">
                <c16:uniqueId val="{00000001-1F0B-4C65-A247-7B3585714E50}"/>
              </c:ext>
            </c:extLst>
          </c:dPt>
          <c:dPt>
            <c:idx val="5"/>
            <c:invertIfNegative val="0"/>
            <c:bubble3D val="0"/>
            <c:spPr>
              <a:solidFill>
                <a:srgbClr val="ED7D31"/>
              </a:solidFill>
              <a:ln>
                <a:noFill/>
              </a:ln>
              <a:effectLst/>
            </c:spPr>
            <c:extLst>
              <c:ext xmlns:c16="http://schemas.microsoft.com/office/drawing/2014/chart" uri="{C3380CC4-5D6E-409C-BE32-E72D297353CC}">
                <c16:uniqueId val="{00000003-1F0B-4C65-A247-7B3585714E50}"/>
              </c:ext>
            </c:extLst>
          </c:dPt>
          <c:dPt>
            <c:idx val="6"/>
            <c:invertIfNegative val="0"/>
            <c:bubble3D val="0"/>
            <c:spPr>
              <a:solidFill>
                <a:srgbClr val="ED7D31"/>
              </a:solidFill>
              <a:ln>
                <a:noFill/>
              </a:ln>
              <a:effectLst/>
            </c:spPr>
            <c:extLst>
              <c:ext xmlns:c16="http://schemas.microsoft.com/office/drawing/2014/chart" uri="{C3380CC4-5D6E-409C-BE32-E72D297353CC}">
                <c16:uniqueId val="{00000005-1F0B-4C65-A247-7B3585714E50}"/>
              </c:ext>
            </c:extLst>
          </c:dPt>
          <c:dPt>
            <c:idx val="7"/>
            <c:invertIfNegative val="0"/>
            <c:bubble3D val="0"/>
            <c:spPr>
              <a:solidFill>
                <a:srgbClr val="ED7D31"/>
              </a:solidFill>
              <a:ln>
                <a:noFill/>
              </a:ln>
              <a:effectLst/>
            </c:spPr>
            <c:extLst>
              <c:ext xmlns:c16="http://schemas.microsoft.com/office/drawing/2014/chart" uri="{C3380CC4-5D6E-409C-BE32-E72D297353CC}">
                <c16:uniqueId val="{00000007-1F0B-4C65-A247-7B3585714E50}"/>
              </c:ext>
            </c:extLst>
          </c:dPt>
          <c:dPt>
            <c:idx val="8"/>
            <c:invertIfNegative val="0"/>
            <c:bubble3D val="0"/>
            <c:spPr>
              <a:solidFill>
                <a:srgbClr val="ED7D31"/>
              </a:solidFill>
              <a:ln>
                <a:noFill/>
              </a:ln>
              <a:effectLst/>
            </c:spPr>
            <c:extLst>
              <c:ext xmlns:c16="http://schemas.microsoft.com/office/drawing/2014/chart" uri="{C3380CC4-5D6E-409C-BE32-E72D297353CC}">
                <c16:uniqueId val="{00000009-1F0B-4C65-A247-7B3585714E50}"/>
              </c:ext>
            </c:extLst>
          </c:dPt>
          <c:dPt>
            <c:idx val="9"/>
            <c:invertIfNegative val="0"/>
            <c:bubble3D val="0"/>
            <c:spPr>
              <a:solidFill>
                <a:srgbClr val="00823B"/>
              </a:solidFill>
              <a:ln>
                <a:noFill/>
              </a:ln>
              <a:effectLst/>
            </c:spPr>
            <c:extLst>
              <c:ext xmlns:c16="http://schemas.microsoft.com/office/drawing/2014/chart" uri="{C3380CC4-5D6E-409C-BE32-E72D297353CC}">
                <c16:uniqueId val="{0000000B-1F0B-4C65-A247-7B3585714E50}"/>
              </c:ext>
            </c:extLst>
          </c:dPt>
          <c:dPt>
            <c:idx val="10"/>
            <c:invertIfNegative val="0"/>
            <c:bubble3D val="0"/>
            <c:spPr>
              <a:solidFill>
                <a:srgbClr val="00B050"/>
              </a:solidFill>
              <a:ln>
                <a:noFill/>
              </a:ln>
              <a:effectLst/>
            </c:spPr>
            <c:extLst>
              <c:ext xmlns:c16="http://schemas.microsoft.com/office/drawing/2014/chart" uri="{C3380CC4-5D6E-409C-BE32-E72D297353CC}">
                <c16:uniqueId val="{0000000D-1F0B-4C65-A247-7B3585714E50}"/>
              </c:ext>
            </c:extLst>
          </c:dPt>
          <c:dPt>
            <c:idx val="11"/>
            <c:invertIfNegative val="0"/>
            <c:bubble3D val="0"/>
            <c:spPr>
              <a:solidFill>
                <a:srgbClr val="00B050"/>
              </a:solidFill>
              <a:ln>
                <a:noFill/>
              </a:ln>
              <a:effectLst/>
            </c:spPr>
            <c:extLst>
              <c:ext xmlns:c16="http://schemas.microsoft.com/office/drawing/2014/chart" uri="{C3380CC4-5D6E-409C-BE32-E72D297353CC}">
                <c16:uniqueId val="{0000000F-1F0B-4C65-A247-7B3585714E50}"/>
              </c:ext>
            </c:extLst>
          </c:dPt>
          <c:dPt>
            <c:idx val="12"/>
            <c:invertIfNegative val="0"/>
            <c:bubble3D val="0"/>
            <c:spPr>
              <a:solidFill>
                <a:srgbClr val="00B050"/>
              </a:solidFill>
              <a:ln>
                <a:noFill/>
              </a:ln>
              <a:effectLst/>
            </c:spPr>
            <c:extLst>
              <c:ext xmlns:c16="http://schemas.microsoft.com/office/drawing/2014/chart" uri="{C3380CC4-5D6E-409C-BE32-E72D297353CC}">
                <c16:uniqueId val="{00000011-1F0B-4C65-A247-7B3585714E50}"/>
              </c:ext>
            </c:extLst>
          </c:dPt>
          <c:dPt>
            <c:idx val="13"/>
            <c:invertIfNegative val="0"/>
            <c:bubble3D val="0"/>
            <c:spPr>
              <a:solidFill>
                <a:srgbClr val="532476"/>
              </a:solidFill>
              <a:ln>
                <a:noFill/>
              </a:ln>
              <a:effectLst/>
            </c:spPr>
            <c:extLst>
              <c:ext xmlns:c16="http://schemas.microsoft.com/office/drawing/2014/chart" uri="{C3380CC4-5D6E-409C-BE32-E72D297353CC}">
                <c16:uniqueId val="{00000013-1F0B-4C65-A247-7B3585714E50}"/>
              </c:ext>
            </c:extLst>
          </c:dPt>
          <c:dPt>
            <c:idx val="14"/>
            <c:invertIfNegative val="0"/>
            <c:bubble3D val="0"/>
            <c:spPr>
              <a:solidFill>
                <a:srgbClr val="7030A0"/>
              </a:solidFill>
              <a:ln>
                <a:noFill/>
              </a:ln>
              <a:effectLst/>
            </c:spPr>
            <c:extLst>
              <c:ext xmlns:c16="http://schemas.microsoft.com/office/drawing/2014/chart" uri="{C3380CC4-5D6E-409C-BE32-E72D297353CC}">
                <c16:uniqueId val="{00000015-1F0B-4C65-A247-7B3585714E50}"/>
              </c:ext>
            </c:extLst>
          </c:dPt>
          <c:dPt>
            <c:idx val="15"/>
            <c:invertIfNegative val="0"/>
            <c:bubble3D val="0"/>
            <c:spPr>
              <a:solidFill>
                <a:srgbClr val="7030A0"/>
              </a:solidFill>
              <a:ln>
                <a:noFill/>
              </a:ln>
              <a:effectLst/>
            </c:spPr>
            <c:extLst>
              <c:ext xmlns:c16="http://schemas.microsoft.com/office/drawing/2014/chart" uri="{C3380CC4-5D6E-409C-BE32-E72D297353CC}">
                <c16:uniqueId val="{00000017-1F0B-4C65-A247-7B3585714E50}"/>
              </c:ext>
            </c:extLst>
          </c:dPt>
          <c:dPt>
            <c:idx val="16"/>
            <c:invertIfNegative val="0"/>
            <c:bubble3D val="0"/>
            <c:spPr>
              <a:solidFill>
                <a:srgbClr val="7030A0"/>
              </a:solidFill>
              <a:ln>
                <a:noFill/>
              </a:ln>
              <a:effectLst/>
            </c:spPr>
            <c:extLst>
              <c:ext xmlns:c16="http://schemas.microsoft.com/office/drawing/2014/chart" uri="{C3380CC4-5D6E-409C-BE32-E72D297353CC}">
                <c16:uniqueId val="{00000019-1F0B-4C65-A247-7B3585714E50}"/>
              </c:ext>
            </c:extLst>
          </c:dPt>
          <c:dPt>
            <c:idx val="17"/>
            <c:invertIfNegative val="0"/>
            <c:bubble3D val="0"/>
            <c:spPr>
              <a:solidFill>
                <a:srgbClr val="7030A0"/>
              </a:solidFill>
              <a:ln>
                <a:noFill/>
              </a:ln>
              <a:effectLst/>
            </c:spPr>
            <c:extLst>
              <c:ext xmlns:c16="http://schemas.microsoft.com/office/drawing/2014/chart" uri="{C3380CC4-5D6E-409C-BE32-E72D297353CC}">
                <c16:uniqueId val="{0000001B-1F0B-4C65-A247-7B3585714E50}"/>
              </c:ext>
            </c:extLst>
          </c:dPt>
          <c:dPt>
            <c:idx val="18"/>
            <c:invertIfNegative val="0"/>
            <c:bubble3D val="0"/>
            <c:spPr>
              <a:solidFill>
                <a:srgbClr val="A80000"/>
              </a:solidFill>
              <a:ln>
                <a:noFill/>
              </a:ln>
              <a:effectLst/>
            </c:spPr>
            <c:extLst>
              <c:ext xmlns:c16="http://schemas.microsoft.com/office/drawing/2014/chart" uri="{C3380CC4-5D6E-409C-BE32-E72D297353CC}">
                <c16:uniqueId val="{0000001D-1F0B-4C65-A247-7B3585714E50}"/>
              </c:ext>
            </c:extLst>
          </c:dPt>
          <c:dPt>
            <c:idx val="19"/>
            <c:invertIfNegative val="0"/>
            <c:bubble3D val="0"/>
            <c:spPr>
              <a:solidFill>
                <a:srgbClr val="C00000"/>
              </a:solidFill>
              <a:ln>
                <a:noFill/>
              </a:ln>
              <a:effectLst/>
            </c:spPr>
            <c:extLst>
              <c:ext xmlns:c16="http://schemas.microsoft.com/office/drawing/2014/chart" uri="{C3380CC4-5D6E-409C-BE32-E72D297353CC}">
                <c16:uniqueId val="{0000001F-1F0B-4C65-A247-7B3585714E50}"/>
              </c:ext>
            </c:extLst>
          </c:dPt>
          <c:dPt>
            <c:idx val="20"/>
            <c:invertIfNegative val="0"/>
            <c:bubble3D val="0"/>
            <c:spPr>
              <a:solidFill>
                <a:srgbClr val="C00000"/>
              </a:solidFill>
              <a:ln>
                <a:noFill/>
              </a:ln>
              <a:effectLst/>
            </c:spPr>
            <c:extLst>
              <c:ext xmlns:c16="http://schemas.microsoft.com/office/drawing/2014/chart" uri="{C3380CC4-5D6E-409C-BE32-E72D297353CC}">
                <c16:uniqueId val="{00000021-1F0B-4C65-A247-7B3585714E50}"/>
              </c:ext>
            </c:extLst>
          </c:dPt>
          <c:dPt>
            <c:idx val="21"/>
            <c:invertIfNegative val="0"/>
            <c:bubble3D val="0"/>
            <c:spPr>
              <a:solidFill>
                <a:srgbClr val="C00000"/>
              </a:solidFill>
              <a:ln>
                <a:noFill/>
              </a:ln>
              <a:effectLst/>
            </c:spPr>
            <c:extLst>
              <c:ext xmlns:c16="http://schemas.microsoft.com/office/drawing/2014/chart" uri="{C3380CC4-5D6E-409C-BE32-E72D297353CC}">
                <c16:uniqueId val="{00000023-1F0B-4C65-A247-7B3585714E50}"/>
              </c:ext>
            </c:extLst>
          </c:dPt>
          <c:dPt>
            <c:idx val="22"/>
            <c:invertIfNegative val="0"/>
            <c:bubble3D val="0"/>
            <c:spPr>
              <a:solidFill>
                <a:schemeClr val="bg1">
                  <a:lumMod val="50000"/>
                </a:schemeClr>
              </a:solidFill>
              <a:ln>
                <a:noFill/>
              </a:ln>
              <a:effectLst/>
            </c:spPr>
            <c:extLst>
              <c:ext xmlns:c16="http://schemas.microsoft.com/office/drawing/2014/chart" uri="{C3380CC4-5D6E-409C-BE32-E72D297353CC}">
                <c16:uniqueId val="{00000025-1F0B-4C65-A247-7B3585714E50}"/>
              </c:ext>
            </c:extLst>
          </c:dPt>
          <c:dPt>
            <c:idx val="23"/>
            <c:invertIfNegative val="0"/>
            <c:bubble3D val="0"/>
            <c:spPr>
              <a:solidFill>
                <a:schemeClr val="bg1">
                  <a:lumMod val="65000"/>
                </a:schemeClr>
              </a:solidFill>
              <a:ln>
                <a:noFill/>
              </a:ln>
              <a:effectLst/>
            </c:spPr>
            <c:extLst>
              <c:ext xmlns:c16="http://schemas.microsoft.com/office/drawing/2014/chart" uri="{C3380CC4-5D6E-409C-BE32-E72D297353CC}">
                <c16:uniqueId val="{00000027-1F0B-4C65-A247-7B3585714E50}"/>
              </c:ext>
            </c:extLst>
          </c:dPt>
          <c:dPt>
            <c:idx val="24"/>
            <c:invertIfNegative val="0"/>
            <c:bubble3D val="0"/>
            <c:spPr>
              <a:solidFill>
                <a:schemeClr val="bg1">
                  <a:lumMod val="65000"/>
                </a:schemeClr>
              </a:solidFill>
              <a:ln>
                <a:noFill/>
              </a:ln>
              <a:effectLst/>
            </c:spPr>
            <c:extLst>
              <c:ext xmlns:c16="http://schemas.microsoft.com/office/drawing/2014/chart" uri="{C3380CC4-5D6E-409C-BE32-E72D297353CC}">
                <c16:uniqueId val="{00000029-1F0B-4C65-A247-7B3585714E50}"/>
              </c:ext>
            </c:extLst>
          </c:dPt>
          <c:dPt>
            <c:idx val="25"/>
            <c:invertIfNegative val="0"/>
            <c:bubble3D val="0"/>
            <c:spPr>
              <a:solidFill>
                <a:schemeClr val="bg1">
                  <a:lumMod val="65000"/>
                </a:schemeClr>
              </a:solidFill>
              <a:ln>
                <a:noFill/>
              </a:ln>
              <a:effectLst/>
            </c:spPr>
            <c:extLst>
              <c:ext xmlns:c16="http://schemas.microsoft.com/office/drawing/2014/chart" uri="{C3380CC4-5D6E-409C-BE32-E72D297353CC}">
                <c16:uniqueId val="{0000002B-1F0B-4C65-A247-7B3585714E50}"/>
              </c:ext>
            </c:extLst>
          </c:dPt>
          <c:dPt>
            <c:idx val="26"/>
            <c:invertIfNegative val="0"/>
            <c:bubble3D val="0"/>
            <c:spPr>
              <a:solidFill>
                <a:schemeClr val="bg1">
                  <a:lumMod val="65000"/>
                </a:schemeClr>
              </a:solidFill>
              <a:ln>
                <a:noFill/>
              </a:ln>
              <a:effectLst/>
            </c:spPr>
            <c:extLst>
              <c:ext xmlns:c16="http://schemas.microsoft.com/office/drawing/2014/chart" uri="{C3380CC4-5D6E-409C-BE32-E72D297353CC}">
                <c16:uniqueId val="{0000002D-1F0B-4C65-A247-7B3585714E50}"/>
              </c:ext>
            </c:extLst>
          </c:dPt>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Sheet1!$A$2:$A$28</c:f>
              <c:strCache>
                <c:ptCount val="27"/>
                <c:pt idx="0">
                  <c:v>SG 1</c:v>
                </c:pt>
                <c:pt idx="1">
                  <c:v>WP 1A</c:v>
                </c:pt>
                <c:pt idx="2">
                  <c:v>WP 1B</c:v>
                </c:pt>
                <c:pt idx="3">
                  <c:v>WP 1C</c:v>
                </c:pt>
                <c:pt idx="4">
                  <c:v>SG 3</c:v>
                </c:pt>
                <c:pt idx="5">
                  <c:v>WP 3J</c:v>
                </c:pt>
                <c:pt idx="6">
                  <c:v>WP 3K</c:v>
                </c:pt>
                <c:pt idx="7">
                  <c:v>WP 3L</c:v>
                </c:pt>
                <c:pt idx="8">
                  <c:v>WP 3M</c:v>
                </c:pt>
                <c:pt idx="9">
                  <c:v>SG 4</c:v>
                </c:pt>
                <c:pt idx="10">
                  <c:v>WP 4A</c:v>
                </c:pt>
                <c:pt idx="11">
                  <c:v>WP 4B</c:v>
                </c:pt>
                <c:pt idx="12">
                  <c:v>WP 4C</c:v>
                </c:pt>
                <c:pt idx="13">
                  <c:v>SG 5</c:v>
                </c:pt>
                <c:pt idx="14">
                  <c:v>WP 5A</c:v>
                </c:pt>
                <c:pt idx="15">
                  <c:v>WP 5B</c:v>
                </c:pt>
                <c:pt idx="16">
                  <c:v>WP 5C</c:v>
                </c:pt>
                <c:pt idx="17">
                  <c:v>WP 5D</c:v>
                </c:pt>
                <c:pt idx="18">
                  <c:v>SG 6</c:v>
                </c:pt>
                <c:pt idx="19">
                  <c:v>WP 6A</c:v>
                </c:pt>
                <c:pt idx="20">
                  <c:v>WP 6B</c:v>
                </c:pt>
                <c:pt idx="21">
                  <c:v>WP 6C</c:v>
                </c:pt>
                <c:pt idx="22">
                  <c:v>SG 7</c:v>
                </c:pt>
                <c:pt idx="23">
                  <c:v>WP 7A</c:v>
                </c:pt>
                <c:pt idx="24">
                  <c:v>WP 7B</c:v>
                </c:pt>
                <c:pt idx="25">
                  <c:v>WP 7C</c:v>
                </c:pt>
                <c:pt idx="26">
                  <c:v>WP 7D</c:v>
                </c:pt>
              </c:strCache>
            </c:strRef>
          </c:cat>
          <c:val>
            <c:numRef>
              <c:f>Sheet1!$B$2:$B$28</c:f>
              <c:numCache>
                <c:formatCode>General</c:formatCode>
                <c:ptCount val="27"/>
                <c:pt idx="0">
                  <c:v>141</c:v>
                </c:pt>
                <c:pt idx="1">
                  <c:v>110</c:v>
                </c:pt>
                <c:pt idx="2">
                  <c:v>93</c:v>
                </c:pt>
                <c:pt idx="3">
                  <c:v>109</c:v>
                </c:pt>
                <c:pt idx="4">
                  <c:v>51</c:v>
                </c:pt>
                <c:pt idx="5">
                  <c:v>57</c:v>
                </c:pt>
                <c:pt idx="6">
                  <c:v>53</c:v>
                </c:pt>
                <c:pt idx="7">
                  <c:v>43</c:v>
                </c:pt>
                <c:pt idx="8">
                  <c:v>54</c:v>
                </c:pt>
                <c:pt idx="9">
                  <c:v>208</c:v>
                </c:pt>
                <c:pt idx="10">
                  <c:v>443</c:v>
                </c:pt>
                <c:pt idx="11">
                  <c:v>206</c:v>
                </c:pt>
                <c:pt idx="12">
                  <c:v>347</c:v>
                </c:pt>
                <c:pt idx="13">
                  <c:v>150</c:v>
                </c:pt>
                <c:pt idx="14">
                  <c:v>179</c:v>
                </c:pt>
                <c:pt idx="15">
                  <c:v>183</c:v>
                </c:pt>
                <c:pt idx="16">
                  <c:v>142</c:v>
                </c:pt>
                <c:pt idx="17">
                  <c:v>307</c:v>
                </c:pt>
                <c:pt idx="18">
                  <c:v>117</c:v>
                </c:pt>
                <c:pt idx="19">
                  <c:v>92</c:v>
                </c:pt>
                <c:pt idx="20">
                  <c:v>67</c:v>
                </c:pt>
                <c:pt idx="21">
                  <c:v>78</c:v>
                </c:pt>
                <c:pt idx="22">
                  <c:v>136</c:v>
                </c:pt>
                <c:pt idx="23">
                  <c:v>108</c:v>
                </c:pt>
                <c:pt idx="24">
                  <c:v>106</c:v>
                </c:pt>
                <c:pt idx="25">
                  <c:v>105</c:v>
                </c:pt>
                <c:pt idx="26">
                  <c:v>85</c:v>
                </c:pt>
              </c:numCache>
            </c:numRef>
          </c:val>
          <c:extLst>
            <c:ext xmlns:c16="http://schemas.microsoft.com/office/drawing/2014/chart" uri="{C3380CC4-5D6E-409C-BE32-E72D297353CC}">
              <c16:uniqueId val="{0000002E-1F0B-4C65-A247-7B3585714E50}"/>
            </c:ext>
          </c:extLst>
        </c:ser>
        <c:dLbls>
          <c:dLblPos val="outEnd"/>
          <c:showLegendKey val="0"/>
          <c:showVal val="1"/>
          <c:showCatName val="0"/>
          <c:showSerName val="0"/>
          <c:showPercent val="0"/>
          <c:showBubbleSize val="0"/>
        </c:dLbls>
        <c:gapWidth val="444"/>
        <c:overlap val="-90"/>
        <c:axId val="883584144"/>
        <c:axId val="883574064"/>
      </c:barChart>
      <c:catAx>
        <c:axId val="88358414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cap="all" baseline="0">
                    <a:solidFill>
                      <a:schemeClr val="tx1">
                        <a:lumMod val="65000"/>
                        <a:lumOff val="35000"/>
                      </a:schemeClr>
                    </a:solidFill>
                    <a:latin typeface="+mn-lt"/>
                    <a:ea typeface="+mn-ea"/>
                    <a:cs typeface="+mn-cs"/>
                  </a:defRPr>
                </a:pPr>
                <a:r>
                  <a:rPr lang="en-GB" sz="800" cap="none" dirty="0"/>
                  <a:t>Group</a:t>
                </a:r>
                <a:endParaRPr lang="en-GB" sz="800" dirty="0"/>
              </a:p>
            </c:rich>
          </c:tx>
          <c:overlay val="0"/>
          <c:spPr>
            <a:noFill/>
            <a:ln>
              <a:noFill/>
            </a:ln>
            <a:effectLst/>
          </c:spPr>
          <c:txPr>
            <a:bodyPr rot="0" spcFirstLastPara="1" vertOverflow="ellipsis" vert="horz" wrap="square" anchor="ctr" anchorCtr="1"/>
            <a:lstStyle/>
            <a:p>
              <a:pPr>
                <a:defRPr sz="800" b="0" i="0" u="none" strike="noStrike" kern="1200" cap="all" baseline="0">
                  <a:solidFill>
                    <a:schemeClr val="tx1">
                      <a:lumMod val="65000"/>
                      <a:lumOff val="35000"/>
                    </a:schemeClr>
                  </a:solidFill>
                  <a:latin typeface="+mn-lt"/>
                  <a:ea typeface="+mn-ea"/>
                  <a:cs typeface="+mn-cs"/>
                </a:defRPr>
              </a:pPr>
              <a:endParaRPr lang="en-GB"/>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500" b="0" i="0" u="none" strike="noStrike" kern="1200" cap="all" spc="120" normalizeH="0" baseline="0">
                <a:solidFill>
                  <a:schemeClr val="tx1">
                    <a:lumMod val="65000"/>
                    <a:lumOff val="35000"/>
                  </a:schemeClr>
                </a:solidFill>
                <a:latin typeface="+mn-lt"/>
                <a:ea typeface="+mn-ea"/>
                <a:cs typeface="+mn-cs"/>
              </a:defRPr>
            </a:pPr>
            <a:endParaRPr lang="en-US"/>
          </a:p>
        </c:txPr>
        <c:crossAx val="883574064"/>
        <c:crosses val="autoZero"/>
        <c:auto val="1"/>
        <c:lblAlgn val="ctr"/>
        <c:lblOffset val="100"/>
        <c:noMultiLvlLbl val="0"/>
      </c:catAx>
      <c:valAx>
        <c:axId val="883574064"/>
        <c:scaling>
          <c:orientation val="minMax"/>
        </c:scaling>
        <c:delete val="1"/>
        <c:axPos val="l"/>
        <c:title>
          <c:tx>
            <c:rich>
              <a:bodyPr rot="-5400000" spcFirstLastPara="1" vertOverflow="ellipsis" vert="horz" wrap="square" anchor="ctr" anchorCtr="1"/>
              <a:lstStyle/>
              <a:p>
                <a:pPr>
                  <a:defRPr sz="800" b="0" i="0" u="none" strike="noStrike" kern="1200" cap="all" baseline="0">
                    <a:solidFill>
                      <a:schemeClr val="tx1">
                        <a:lumMod val="65000"/>
                        <a:lumOff val="35000"/>
                      </a:schemeClr>
                    </a:solidFill>
                    <a:latin typeface="+mn-lt"/>
                    <a:ea typeface="+mn-ea"/>
                    <a:cs typeface="+mn-cs"/>
                  </a:defRPr>
                </a:pPr>
                <a:r>
                  <a:rPr lang="en-GB" sz="800" cap="none" dirty="0"/>
                  <a:t>Number of physical participants</a:t>
                </a:r>
              </a:p>
            </c:rich>
          </c:tx>
          <c:overlay val="0"/>
          <c:spPr>
            <a:noFill/>
            <a:ln>
              <a:noFill/>
            </a:ln>
            <a:effectLst/>
          </c:spPr>
          <c:txPr>
            <a:bodyPr rot="-5400000" spcFirstLastPara="1" vertOverflow="ellipsis" vert="horz" wrap="square" anchor="ctr" anchorCtr="1"/>
            <a:lstStyle/>
            <a:p>
              <a:pPr>
                <a:defRPr sz="8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crossAx val="8835841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1197"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064"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50000"/>
        <a:lumOff val="50000"/>
      </a:schemeClr>
    </cs:fontRef>
    <cs:defRPr sz="1064"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1064"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1197"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93da9a-8d8a-4824-945d-2346bcf27de4">
      <Terms xmlns="http://schemas.microsoft.com/office/infopath/2007/PartnerControls"/>
    </lcf76f155ced4ddcb4097134ff3c332f>
    <TaxCatchAll xmlns="ad0d4407-0c86-4168-aef5-7e5ed32f9eb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4F6660A0379C4F9667852F9D86F5EE" ma:contentTypeVersion="15" ma:contentTypeDescription="Create a new document." ma:contentTypeScope="" ma:versionID="36e020b8d31cad381b798e47a6cf4eaa">
  <xsd:schema xmlns:xsd="http://www.w3.org/2001/XMLSchema" xmlns:xs="http://www.w3.org/2001/XMLSchema" xmlns:p="http://schemas.microsoft.com/office/2006/metadata/properties" xmlns:ns2="ad0d4407-0c86-4168-aef5-7e5ed32f9eb2" xmlns:ns3="b793da9a-8d8a-4824-945d-2346bcf27de4" targetNamespace="http://schemas.microsoft.com/office/2006/metadata/properties" ma:root="true" ma:fieldsID="84aa0a7b1d621276db037f8c250184a6" ns2:_="" ns3:_="">
    <xsd:import namespace="ad0d4407-0c86-4168-aef5-7e5ed32f9eb2"/>
    <xsd:import namespace="b793da9a-8d8a-4824-945d-2346bcf27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407-0c86-4168-aef5-7e5ed32f9e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6162d7c-2863-43f3-b21c-a062b40443c4}" ma:internalName="TaxCatchAll" ma:showField="CatchAllData" ma:web="ad0d4407-0c86-4168-aef5-7e5ed32f9e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93da9a-8d8a-4824-945d-2346bcf27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CF909F-E883-4758-915A-B96CF17AB70D}">
  <ds:schemaRefs>
    <ds:schemaRef ds:uri="http://schemas.microsoft.com/office/2006/metadata/properties"/>
    <ds:schemaRef ds:uri="http://schemas.microsoft.com/office/infopath/2007/PartnerControls"/>
    <ds:schemaRef ds:uri="b793da9a-8d8a-4824-945d-2346bcf27de4"/>
    <ds:schemaRef ds:uri="ad0d4407-0c86-4168-aef5-7e5ed32f9eb2"/>
  </ds:schemaRefs>
</ds:datastoreItem>
</file>

<file path=customXml/itemProps2.xml><?xml version="1.0" encoding="utf-8"?>
<ds:datastoreItem xmlns:ds="http://schemas.openxmlformats.org/officeDocument/2006/customXml" ds:itemID="{0F1BCC72-D33F-4923-A589-28022D0D71B0}">
  <ds:schemaRefs>
    <ds:schemaRef ds:uri="http://schemas.openxmlformats.org/officeDocument/2006/bibliography"/>
  </ds:schemaRefs>
</ds:datastoreItem>
</file>

<file path=customXml/itemProps3.xml><?xml version="1.0" encoding="utf-8"?>
<ds:datastoreItem xmlns:ds="http://schemas.openxmlformats.org/officeDocument/2006/customXml" ds:itemID="{DFE2A166-9F9D-4ED7-864A-8E7F8A736518}">
  <ds:schemaRefs>
    <ds:schemaRef ds:uri="http://schemas.microsoft.com/sharepoint/v3/contenttype/forms"/>
  </ds:schemaRefs>
</ds:datastoreItem>
</file>

<file path=customXml/itemProps4.xml><?xml version="1.0" encoding="utf-8"?>
<ds:datastoreItem xmlns:ds="http://schemas.openxmlformats.org/officeDocument/2006/customXml" ds:itemID="{B7433184-2CAB-47AD-A290-8C42CACDC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4407-0c86-4168-aef5-7e5ed32f9eb2"/>
    <ds:schemaRef ds:uri="b793da9a-8d8a-4824-945d-2346bcf27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English.dotm</Template>
  <TotalTime>205</TotalTime>
  <Pages>17</Pages>
  <Words>6264</Words>
  <Characters>38676</Characters>
  <Application>Microsoft Office Word</Application>
  <DocSecurity>0</DocSecurity>
  <Lines>38676</Lines>
  <Paragraphs>2042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Graciela Faure</dc:creator>
  <cp:keywords/>
  <dc:description>RAG21</dc:description>
  <cp:lastModifiedBy>Xue, Kun</cp:lastModifiedBy>
  <cp:revision>124</cp:revision>
  <cp:lastPrinted>1999-10-01T00:03:00Z</cp:lastPrinted>
  <dcterms:created xsi:type="dcterms:W3CDTF">2025-02-26T13:28:00Z</dcterms:created>
  <dcterms:modified xsi:type="dcterms:W3CDTF">2025-03-03T09:36:00Z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0x010100FD4F6660A0379C4F9667852F9D86F5EE</vt:lpwstr>
  </property>
  <property fmtid="{D5CDD505-2E9C-101B-9397-08002B2CF9AE}" pid="7" name="MediaServiceImageTags">
    <vt:lpwstr/>
  </property>
  <property fmtid="{D5CDD505-2E9C-101B-9397-08002B2CF9AE}" pid="8" name="GrammarlyDocumentId">
    <vt:lpwstr>e715e6192d2a0debf96d6a18a5aa28d1c1941c18db6fc3c219f2200910832df3</vt:lpwstr>
  </property>
</Properties>
</file>