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4971" w:type="pct"/>
        <w:tblLayout w:type="fixed"/>
        <w:tblLook w:val="0000" w:firstRow="0" w:lastRow="0" w:firstColumn="0" w:lastColumn="0" w:noHBand="0" w:noVBand="0"/>
      </w:tblPr>
      <w:tblGrid>
        <w:gridCol w:w="6620"/>
        <w:gridCol w:w="3053"/>
      </w:tblGrid>
      <w:tr w:rsidR="00280E04" w:rsidRPr="00DC0CBE" w14:paraId="6A0E5EFA" w14:textId="77777777" w:rsidTr="009D4103">
        <w:trPr>
          <w:cantSplit/>
          <w:trHeight w:val="20"/>
        </w:trPr>
        <w:tc>
          <w:tcPr>
            <w:tcW w:w="6619" w:type="dxa"/>
          </w:tcPr>
          <w:p w14:paraId="0A43EB88" w14:textId="77777777" w:rsidR="00280E04" w:rsidRPr="00DC0CBE" w:rsidRDefault="0057610B" w:rsidP="00827482">
            <w:pPr>
              <w:pStyle w:val="LOGO"/>
              <w:framePr w:hSpace="0" w:wrap="auto" w:xAlign="left" w:yAlign="inline"/>
              <w:spacing w:before="480"/>
              <w:rPr>
                <w:rtl/>
              </w:rPr>
            </w:pPr>
            <w:r w:rsidRPr="00DC0CBE">
              <w:rPr>
                <w:rFonts w:hint="cs"/>
                <w:rtl/>
              </w:rPr>
              <w:t>الفريق الاستشاري للاتصالات الراديوية</w:t>
            </w:r>
          </w:p>
        </w:tc>
        <w:tc>
          <w:tcPr>
            <w:tcW w:w="3053" w:type="dxa"/>
          </w:tcPr>
          <w:p w14:paraId="6AAF81AB" w14:textId="77777777" w:rsidR="00280E04" w:rsidRPr="00DC0CBE" w:rsidRDefault="00553F66" w:rsidP="00F52E75">
            <w:pPr>
              <w:spacing w:before="0"/>
              <w:jc w:val="left"/>
              <w:rPr>
                <w:rtl/>
                <w:lang w:bidi="ar-EG"/>
              </w:rPr>
            </w:pPr>
            <w:bookmarkStart w:id="0" w:name="ditulogo"/>
            <w:bookmarkEnd w:id="0"/>
            <w:r w:rsidRPr="00DC0CBE">
              <w:rPr>
                <w:noProof/>
                <w:lang w:eastAsia="zh-CN"/>
              </w:rPr>
              <w:drawing>
                <wp:inline distT="0" distB="0" distL="0" distR="0" wp14:anchorId="7254E70E" wp14:editId="3E31024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DC0CBE" w14:paraId="320CA41A" w14:textId="77777777" w:rsidTr="009D4103">
        <w:trPr>
          <w:cantSplit/>
          <w:trHeight w:val="20"/>
        </w:trPr>
        <w:tc>
          <w:tcPr>
            <w:tcW w:w="6619" w:type="dxa"/>
            <w:tcBorders>
              <w:bottom w:val="single" w:sz="12" w:space="0" w:color="auto"/>
            </w:tcBorders>
          </w:tcPr>
          <w:p w14:paraId="445E7F34" w14:textId="77777777" w:rsidR="00280E04" w:rsidRPr="00DC0CBE" w:rsidRDefault="00280E04" w:rsidP="002F3031">
            <w:pPr>
              <w:spacing w:before="0" w:line="120" w:lineRule="auto"/>
              <w:rPr>
                <w:rtl/>
                <w:lang w:bidi="ar-EG"/>
              </w:rPr>
            </w:pPr>
          </w:p>
        </w:tc>
        <w:tc>
          <w:tcPr>
            <w:tcW w:w="3053" w:type="dxa"/>
            <w:tcBorders>
              <w:bottom w:val="single" w:sz="12" w:space="0" w:color="auto"/>
            </w:tcBorders>
          </w:tcPr>
          <w:p w14:paraId="7842B452" w14:textId="77777777" w:rsidR="00280E04" w:rsidRPr="00DC0CBE" w:rsidRDefault="00280E04" w:rsidP="002F3031">
            <w:pPr>
              <w:spacing w:before="0" w:line="120" w:lineRule="auto"/>
              <w:rPr>
                <w:lang w:bidi="ar-EG"/>
              </w:rPr>
            </w:pPr>
          </w:p>
        </w:tc>
      </w:tr>
      <w:tr w:rsidR="00280E04" w:rsidRPr="00DC0CBE" w14:paraId="43A220B0" w14:textId="77777777" w:rsidTr="009D4103">
        <w:trPr>
          <w:cantSplit/>
          <w:trHeight w:val="20"/>
        </w:trPr>
        <w:tc>
          <w:tcPr>
            <w:tcW w:w="6619" w:type="dxa"/>
            <w:tcBorders>
              <w:top w:val="single" w:sz="12" w:space="0" w:color="auto"/>
            </w:tcBorders>
          </w:tcPr>
          <w:p w14:paraId="2A004C18" w14:textId="77777777" w:rsidR="00280E04" w:rsidRPr="00DC0CBE" w:rsidRDefault="00280E04" w:rsidP="00D44350">
            <w:pPr>
              <w:pStyle w:val="Adress"/>
              <w:framePr w:hSpace="0" w:wrap="auto" w:xAlign="left" w:yAlign="inline"/>
              <w:rPr>
                <w:rtl/>
              </w:rPr>
            </w:pPr>
          </w:p>
        </w:tc>
        <w:tc>
          <w:tcPr>
            <w:tcW w:w="3053" w:type="dxa"/>
            <w:tcBorders>
              <w:top w:val="single" w:sz="12" w:space="0" w:color="auto"/>
            </w:tcBorders>
          </w:tcPr>
          <w:p w14:paraId="6873F59B" w14:textId="77777777" w:rsidR="00280E04" w:rsidRPr="00DC0CBE" w:rsidRDefault="00280E04" w:rsidP="00D44350">
            <w:pPr>
              <w:pStyle w:val="Adress"/>
              <w:framePr w:hSpace="0" w:wrap="auto" w:xAlign="left" w:yAlign="inline"/>
            </w:pPr>
          </w:p>
        </w:tc>
      </w:tr>
      <w:tr w:rsidR="0030601A" w:rsidRPr="00DC0CBE" w14:paraId="7B179491" w14:textId="77777777" w:rsidTr="009D4103">
        <w:trPr>
          <w:cantSplit/>
        </w:trPr>
        <w:tc>
          <w:tcPr>
            <w:tcW w:w="6619" w:type="dxa"/>
            <w:vMerge w:val="restart"/>
          </w:tcPr>
          <w:p w14:paraId="3DCCD090" w14:textId="77777777" w:rsidR="0030601A" w:rsidRPr="00DC0CBE" w:rsidRDefault="0030601A" w:rsidP="0030601A">
            <w:pPr>
              <w:pStyle w:val="Committee"/>
              <w:framePr w:hSpace="0" w:wrap="auto" w:hAnchor="text" w:yAlign="inline"/>
              <w:bidi/>
              <w:spacing w:before="20" w:after="20"/>
              <w:rPr>
                <w:rtl/>
              </w:rPr>
            </w:pPr>
          </w:p>
        </w:tc>
        <w:tc>
          <w:tcPr>
            <w:tcW w:w="3053" w:type="dxa"/>
            <w:vAlign w:val="center"/>
          </w:tcPr>
          <w:p w14:paraId="7569E8DE" w14:textId="77777777" w:rsidR="0030601A" w:rsidRPr="00DC0CBE" w:rsidRDefault="00CA2488" w:rsidP="0030601A">
            <w:pPr>
              <w:pStyle w:val="Adress"/>
              <w:framePr w:hSpace="0" w:wrap="auto" w:xAlign="left" w:yAlign="inline"/>
              <w:spacing w:before="20" w:after="20"/>
              <w:rPr>
                <w:rtl/>
              </w:rPr>
            </w:pPr>
            <w:r w:rsidRPr="00DC0CBE">
              <w:rPr>
                <w:rFonts w:hint="cs"/>
                <w:rtl/>
              </w:rPr>
              <w:t xml:space="preserve">الإضافة </w:t>
            </w:r>
            <w:r w:rsidRPr="00DC0CBE">
              <w:t>1</w:t>
            </w:r>
            <w:r w:rsidRPr="00DC0CBE">
              <w:rPr>
                <w:rtl/>
              </w:rPr>
              <w:br/>
            </w:r>
            <w:r w:rsidRPr="00DC0CBE">
              <w:rPr>
                <w:rFonts w:hint="cs"/>
                <w:rtl/>
              </w:rPr>
              <w:t>ل</w:t>
            </w:r>
            <w:r w:rsidR="0030601A" w:rsidRPr="00DC0CBE">
              <w:rPr>
                <w:rFonts w:hint="cs"/>
                <w:rtl/>
              </w:rPr>
              <w:t>ل</w:t>
            </w:r>
            <w:r w:rsidR="0030601A" w:rsidRPr="00DC0CBE">
              <w:rPr>
                <w:rtl/>
              </w:rPr>
              <w:t>و</w:t>
            </w:r>
            <w:r w:rsidR="0030601A" w:rsidRPr="00DC0CBE">
              <w:rPr>
                <w:rFonts w:hint="cs"/>
                <w:rtl/>
              </w:rPr>
              <w:t xml:space="preserve">ثيقة </w:t>
            </w:r>
            <w:r w:rsidR="0030601A" w:rsidRPr="00DC0CBE">
              <w:t>RAG/</w:t>
            </w:r>
            <w:r w:rsidRPr="00DC0CBE">
              <w:t>30</w:t>
            </w:r>
            <w:r w:rsidR="0030601A" w:rsidRPr="00DC0CBE">
              <w:t>-A</w:t>
            </w:r>
          </w:p>
        </w:tc>
      </w:tr>
      <w:tr w:rsidR="0030601A" w:rsidRPr="00DC0CBE" w14:paraId="239F4466" w14:textId="77777777" w:rsidTr="009D4103">
        <w:trPr>
          <w:cantSplit/>
        </w:trPr>
        <w:tc>
          <w:tcPr>
            <w:tcW w:w="6619" w:type="dxa"/>
            <w:vMerge/>
          </w:tcPr>
          <w:p w14:paraId="52AB6BB2" w14:textId="77777777" w:rsidR="0030601A" w:rsidRPr="00DC0CBE" w:rsidRDefault="0030601A" w:rsidP="0030601A">
            <w:pPr>
              <w:pStyle w:val="Adress"/>
              <w:framePr w:hSpace="0" w:wrap="auto" w:xAlign="left" w:yAlign="inline"/>
              <w:spacing w:before="20" w:after="20"/>
              <w:rPr>
                <w:rtl/>
              </w:rPr>
            </w:pPr>
          </w:p>
        </w:tc>
        <w:tc>
          <w:tcPr>
            <w:tcW w:w="3053" w:type="dxa"/>
            <w:vAlign w:val="center"/>
          </w:tcPr>
          <w:p w14:paraId="154F7098" w14:textId="77777777" w:rsidR="0030601A" w:rsidRPr="00DC0CBE" w:rsidRDefault="00CA2488" w:rsidP="0030601A">
            <w:pPr>
              <w:pStyle w:val="Adress"/>
              <w:framePr w:hSpace="0" w:wrap="auto" w:xAlign="left" w:yAlign="inline"/>
              <w:spacing w:before="20" w:after="20"/>
              <w:rPr>
                <w:rtl/>
              </w:rPr>
            </w:pPr>
            <w:r w:rsidRPr="00DC0CBE">
              <w:t>28</w:t>
            </w:r>
            <w:r w:rsidR="0030601A" w:rsidRPr="00DC0CBE">
              <w:rPr>
                <w:rFonts w:hint="cs"/>
                <w:rtl/>
              </w:rPr>
              <w:t xml:space="preserve"> </w:t>
            </w:r>
            <w:r w:rsidRPr="00DC0CBE">
              <w:rPr>
                <w:rFonts w:hint="cs"/>
                <w:rtl/>
              </w:rPr>
              <w:t>فبراير</w:t>
            </w:r>
            <w:r w:rsidR="0030601A" w:rsidRPr="00DC0CBE">
              <w:rPr>
                <w:rFonts w:hint="cs"/>
                <w:rtl/>
              </w:rPr>
              <w:t xml:space="preserve"> </w:t>
            </w:r>
            <w:r w:rsidRPr="00DC0CBE">
              <w:t>2025</w:t>
            </w:r>
          </w:p>
        </w:tc>
      </w:tr>
      <w:tr w:rsidR="0030601A" w:rsidRPr="00DC0CBE" w14:paraId="559996A0" w14:textId="77777777" w:rsidTr="009D4103">
        <w:trPr>
          <w:cantSplit/>
        </w:trPr>
        <w:tc>
          <w:tcPr>
            <w:tcW w:w="6619" w:type="dxa"/>
            <w:vMerge/>
          </w:tcPr>
          <w:p w14:paraId="300FB3FA" w14:textId="77777777" w:rsidR="0030601A" w:rsidRPr="00DC0CBE" w:rsidRDefault="0030601A" w:rsidP="0030601A">
            <w:pPr>
              <w:pStyle w:val="Adress"/>
              <w:framePr w:hSpace="0" w:wrap="auto" w:xAlign="left" w:yAlign="inline"/>
              <w:spacing w:before="20" w:after="20"/>
              <w:rPr>
                <w:rFonts w:eastAsia="SimSun"/>
                <w:rtl/>
              </w:rPr>
            </w:pPr>
          </w:p>
        </w:tc>
        <w:tc>
          <w:tcPr>
            <w:tcW w:w="3053" w:type="dxa"/>
            <w:vAlign w:val="center"/>
          </w:tcPr>
          <w:p w14:paraId="65785D21" w14:textId="77777777" w:rsidR="0030601A" w:rsidRPr="00DC0CBE" w:rsidRDefault="0030601A" w:rsidP="0030601A">
            <w:pPr>
              <w:pStyle w:val="Adress"/>
              <w:framePr w:hSpace="0" w:wrap="auto" w:xAlign="left" w:yAlign="inline"/>
              <w:spacing w:before="20" w:after="20"/>
              <w:rPr>
                <w:rFonts w:eastAsia="SimSun"/>
              </w:rPr>
            </w:pPr>
            <w:r w:rsidRPr="00DC0CBE">
              <w:rPr>
                <w:rFonts w:hint="cs"/>
                <w:rtl/>
              </w:rPr>
              <w:t>الأصل: بالإنكليزية</w:t>
            </w:r>
          </w:p>
        </w:tc>
      </w:tr>
      <w:tr w:rsidR="00764079" w:rsidRPr="00DC0CBE" w14:paraId="7310D8B3" w14:textId="77777777" w:rsidTr="009D4103">
        <w:trPr>
          <w:cantSplit/>
        </w:trPr>
        <w:tc>
          <w:tcPr>
            <w:tcW w:w="9672" w:type="dxa"/>
            <w:gridSpan w:val="2"/>
          </w:tcPr>
          <w:p w14:paraId="00345796" w14:textId="4352AF40" w:rsidR="00764079" w:rsidRPr="00DC0CBE" w:rsidRDefault="00CA2488" w:rsidP="00034B65">
            <w:pPr>
              <w:pStyle w:val="Source"/>
              <w:rPr>
                <w:rtl/>
              </w:rPr>
            </w:pPr>
            <w:r w:rsidRPr="00DC0CBE">
              <w:rPr>
                <w:rtl/>
              </w:rPr>
              <w:t>مدير مكتب الاتصالات الراديوية</w:t>
            </w:r>
          </w:p>
        </w:tc>
      </w:tr>
      <w:tr w:rsidR="00764079" w:rsidRPr="00DC0CBE" w14:paraId="512C5B04" w14:textId="77777777" w:rsidTr="009D4103">
        <w:trPr>
          <w:cantSplit/>
        </w:trPr>
        <w:tc>
          <w:tcPr>
            <w:tcW w:w="9672" w:type="dxa"/>
            <w:gridSpan w:val="2"/>
          </w:tcPr>
          <w:p w14:paraId="6856489B" w14:textId="77777777" w:rsidR="00764079" w:rsidRPr="00DC0CBE" w:rsidRDefault="00CA2488" w:rsidP="00D44350">
            <w:pPr>
              <w:pStyle w:val="Title1"/>
              <w:spacing w:before="240"/>
              <w:rPr>
                <w:rtl/>
              </w:rPr>
            </w:pPr>
            <w:r w:rsidRPr="00DC0CBE">
              <w:rPr>
                <w:rtl/>
              </w:rPr>
              <w:t>تقرير إلى الاجتماع الثاني والثلاثين</w:t>
            </w:r>
            <w:r w:rsidRPr="00DC0CBE">
              <w:rPr>
                <w:rtl/>
              </w:rPr>
              <w:br/>
              <w:t>للفريق الاستشاري للاتصالات الراديوية</w:t>
            </w:r>
          </w:p>
        </w:tc>
      </w:tr>
      <w:tr w:rsidR="0012545F" w:rsidRPr="00DC0CBE" w14:paraId="51A43FAA" w14:textId="77777777" w:rsidTr="009D4103">
        <w:trPr>
          <w:cantSplit/>
        </w:trPr>
        <w:tc>
          <w:tcPr>
            <w:tcW w:w="9672" w:type="dxa"/>
            <w:gridSpan w:val="2"/>
          </w:tcPr>
          <w:p w14:paraId="2DAC9A32" w14:textId="77777777" w:rsidR="0012545F" w:rsidRPr="00DC0CBE" w:rsidRDefault="00CA2488" w:rsidP="0021047C">
            <w:pPr>
              <w:pStyle w:val="Title2"/>
              <w:rPr>
                <w:rtl/>
              </w:rPr>
            </w:pPr>
            <w:r w:rsidRPr="00DC0CBE">
              <w:rPr>
                <w:rtl/>
              </w:rPr>
              <w:t>أنشطة لجان الدراسات</w:t>
            </w:r>
          </w:p>
        </w:tc>
      </w:tr>
    </w:tbl>
    <w:p w14:paraId="252B2BE2" w14:textId="77777777" w:rsidR="009D4103" w:rsidRPr="00DC0CBE" w:rsidRDefault="009D4103" w:rsidP="00C97C5D">
      <w:pPr>
        <w:pStyle w:val="Heading1"/>
        <w:rPr>
          <w:lang w:val="ar-SA"/>
        </w:rPr>
      </w:pPr>
      <w:bookmarkStart w:id="1" w:name="_Toc446060751"/>
      <w:bookmarkStart w:id="2" w:name="_Toc192766195"/>
      <w:bookmarkStart w:id="3" w:name="_Toc445972791"/>
      <w:r w:rsidRPr="00DC0CBE">
        <w:t>1</w:t>
      </w:r>
      <w:r w:rsidRPr="00DC0CBE">
        <w:rPr>
          <w:rtl/>
        </w:rPr>
        <w:tab/>
        <w:t>مقدمة</w:t>
      </w:r>
      <w:bookmarkEnd w:id="1"/>
      <w:bookmarkEnd w:id="2"/>
    </w:p>
    <w:p w14:paraId="043F4FC0" w14:textId="77777777" w:rsidR="009D4103" w:rsidRPr="00DC0CBE" w:rsidRDefault="009D4103" w:rsidP="009D4103">
      <w:pPr>
        <w:rPr>
          <w:lang w:val="ar-SA" w:bidi="ar-EG"/>
        </w:rPr>
      </w:pPr>
      <w:r w:rsidRPr="00DC0CBE">
        <w:rPr>
          <w:rtl/>
        </w:rPr>
        <w:t xml:space="preserve">تقدم هذه الوثيقة تقارير حالة ومعلومات بشأن بعض المسائل الواردة في مشروع جدول أعمال الاجتماع الثاني والثلاثين للفريق الاستشاري للاتصالات الراديوية </w:t>
      </w:r>
      <w:r w:rsidRPr="00DC0CBE">
        <w:rPr>
          <w:lang w:bidi="ar-EG"/>
        </w:rPr>
        <w:t>(RAG</w:t>
      </w:r>
      <w:r w:rsidRPr="00DC0CBE">
        <w:t>)</w:t>
      </w:r>
      <w:r w:rsidRPr="00DC0CBE">
        <w:rPr>
          <w:rtl/>
        </w:rPr>
        <w:t xml:space="preserve"> (انظر الرسالة الإدارية المعممة </w:t>
      </w:r>
      <w:hyperlink r:id="rId13" w:history="1">
        <w:r w:rsidRPr="00DC0CBE">
          <w:rPr>
            <w:rStyle w:val="Hyperlink"/>
          </w:rPr>
          <w:t>CA/276</w:t>
        </w:r>
      </w:hyperlink>
      <w:r w:rsidRPr="00DC0CBE">
        <w:rPr>
          <w:rtl/>
        </w:rPr>
        <w:t>).</w:t>
      </w:r>
    </w:p>
    <w:p w14:paraId="0BE339A4" w14:textId="77777777" w:rsidR="009D4103" w:rsidRPr="00DC0CBE" w:rsidRDefault="009D4103" w:rsidP="00C97C5D">
      <w:pPr>
        <w:pStyle w:val="Heading1"/>
        <w:rPr>
          <w:lang w:val="ar-SA"/>
        </w:rPr>
      </w:pPr>
      <w:bookmarkStart w:id="4" w:name="_Toc445972781"/>
      <w:bookmarkStart w:id="5" w:name="_Toc192766196"/>
      <w:r w:rsidRPr="00DC0CBE">
        <w:t>2</w:t>
      </w:r>
      <w:r w:rsidRPr="00DC0CBE">
        <w:rPr>
          <w:rtl/>
        </w:rPr>
        <w:tab/>
        <w:t>مرافق العمل الإلكترونية</w:t>
      </w:r>
      <w:bookmarkEnd w:id="4"/>
      <w:bookmarkEnd w:id="5"/>
    </w:p>
    <w:p w14:paraId="27270798" w14:textId="77777777" w:rsidR="009D4103" w:rsidRPr="00DC0CBE" w:rsidRDefault="009D4103" w:rsidP="009D4103">
      <w:pPr>
        <w:rPr>
          <w:spacing w:val="-2"/>
          <w:lang w:val="ar-SA" w:bidi="ar-EG"/>
        </w:rPr>
      </w:pPr>
      <w:r w:rsidRPr="00DC0CBE">
        <w:rPr>
          <w:spacing w:val="-2"/>
          <w:rtl/>
        </w:rPr>
        <w:t>كل اجتماعات لجان الدراسات/فرق العمل لقطاع الاتصالات الراديوية غير ورقية ووثائق الاجتماعات مُتاحة على المواقع الإلكترونية المعنية لتنزيلها. وكان هناك تركيز مستمر على تطوير واستخدام المرافق الإلكترونية التي تعود بفائدة كبيرة على</w:t>
      </w:r>
      <w:r w:rsidRPr="00DC0CBE">
        <w:rPr>
          <w:rFonts w:hint="eastAsia"/>
          <w:spacing w:val="-2"/>
          <w:rtl/>
        </w:rPr>
        <w:t> </w:t>
      </w:r>
      <w:r w:rsidRPr="00DC0CBE">
        <w:rPr>
          <w:spacing w:val="-2"/>
          <w:rtl/>
        </w:rPr>
        <w:t>المندوبين.</w:t>
      </w:r>
    </w:p>
    <w:p w14:paraId="1F5B22D8" w14:textId="77777777" w:rsidR="009D4103" w:rsidRPr="00DC0CBE" w:rsidRDefault="009D4103" w:rsidP="00C97C5D">
      <w:pPr>
        <w:pStyle w:val="Heading2"/>
        <w:rPr>
          <w:lang w:val="ar-SA"/>
        </w:rPr>
      </w:pPr>
      <w:bookmarkStart w:id="6" w:name="_Toc445972782"/>
      <w:bookmarkStart w:id="7" w:name="_Toc192766197"/>
      <w:r w:rsidRPr="00DC0CBE">
        <w:t>1.2</w:t>
      </w:r>
      <w:r w:rsidRPr="00DC0CBE">
        <w:rPr>
          <w:rtl/>
        </w:rPr>
        <w:tab/>
        <w:t xml:space="preserve">الموقع الإلكتروني لتبادل المعلومات </w:t>
      </w:r>
      <w:r w:rsidRPr="00DC0CBE">
        <w:t>(SharePoint)</w:t>
      </w:r>
      <w:bookmarkEnd w:id="6"/>
      <w:bookmarkEnd w:id="7"/>
    </w:p>
    <w:p w14:paraId="06547D08" w14:textId="77777777" w:rsidR="009D4103" w:rsidRPr="00DC0CBE" w:rsidRDefault="009D4103" w:rsidP="009D4103">
      <w:pPr>
        <w:rPr>
          <w:lang w:val="ar-SA" w:bidi="ar-EG"/>
        </w:rPr>
      </w:pPr>
      <w:bookmarkStart w:id="8" w:name="_Toc445972783"/>
      <w:r w:rsidRPr="00DC0CBE">
        <w:rPr>
          <w:rtl/>
        </w:rPr>
        <w:t xml:space="preserve">أصبح النفاذ إلى الوثائق أثناء الاجتماعات عبر الموقع الإلكتروني المكرس لتبادل المعلومات </w:t>
      </w:r>
      <w:r w:rsidRPr="00DC0CBE">
        <w:rPr>
          <w:lang w:bidi="ar-EG"/>
        </w:rPr>
        <w:t>(SharePoint</w:t>
      </w:r>
      <w:r w:rsidRPr="00DC0CBE">
        <w:t>)</w:t>
      </w:r>
      <w:r w:rsidRPr="00DC0CBE">
        <w:rPr>
          <w:rtl/>
        </w:rPr>
        <w:t xml:space="preserve"> عرفاً مألوفاً.</w:t>
      </w:r>
    </w:p>
    <w:p w14:paraId="724D5719" w14:textId="77777777" w:rsidR="009D4103" w:rsidRPr="00DC0CBE" w:rsidRDefault="009D4103" w:rsidP="009D4103">
      <w:pPr>
        <w:rPr>
          <w:lang w:val="ar-SA" w:bidi="ar-EG"/>
        </w:rPr>
      </w:pPr>
      <w:r w:rsidRPr="00DC0CBE">
        <w:rPr>
          <w:rtl/>
        </w:rPr>
        <w:t xml:space="preserve">وبالإضافة إلى ذلك، استُخدمت مواقع </w:t>
      </w:r>
      <w:r w:rsidRPr="00DC0CBE">
        <w:rPr>
          <w:lang w:bidi="ar-EG"/>
        </w:rPr>
        <w:t>SharePoint</w:t>
      </w:r>
      <w:r w:rsidRPr="00DC0CBE">
        <w:rPr>
          <w:rtl/>
        </w:rPr>
        <w:t xml:space="preserve"> استخداماً مكثفاً لأفرقة العمل بالمراسلة وأفرقة المقررين في الفترات الفاصلة بين اجتماعات فرق العمل.</w:t>
      </w:r>
    </w:p>
    <w:p w14:paraId="1C1346F5" w14:textId="77777777" w:rsidR="009D4103" w:rsidRPr="00DC0CBE" w:rsidRDefault="009D4103" w:rsidP="00C97C5D">
      <w:pPr>
        <w:pStyle w:val="Heading2"/>
        <w:rPr>
          <w:lang w:val="ar-SA"/>
        </w:rPr>
      </w:pPr>
      <w:bookmarkStart w:id="9" w:name="_Toc192766198"/>
      <w:r w:rsidRPr="00DC0CBE">
        <w:t>2.2</w:t>
      </w:r>
      <w:r w:rsidRPr="00DC0CBE">
        <w:rPr>
          <w:rtl/>
        </w:rPr>
        <w:tab/>
        <w:t>مزامنة الملفات</w:t>
      </w:r>
      <w:bookmarkEnd w:id="8"/>
      <w:bookmarkEnd w:id="9"/>
    </w:p>
    <w:p w14:paraId="2A95D5A2" w14:textId="77777777" w:rsidR="009D4103" w:rsidRPr="00DC0CBE" w:rsidRDefault="009D4103" w:rsidP="009D4103">
      <w:pPr>
        <w:rPr>
          <w:lang w:val="ar-SA" w:bidi="ar-EG"/>
        </w:rPr>
      </w:pPr>
      <w:bookmarkStart w:id="10" w:name="_Toc445972784"/>
      <w:r w:rsidRPr="00DC0CBE">
        <w:rPr>
          <w:rtl/>
        </w:rPr>
        <w:t>تم تحديث مرفق مزامنة الملفات في كل اجتماعات لجان الدراسات/فرق العمل وذلك لتسهيل النفاذ إلى أحدث صيغة للوثائق أثناء الاجتماعات وإلى معلومات تخصيص قاعات الاجتماعات.</w:t>
      </w:r>
    </w:p>
    <w:p w14:paraId="51317D45" w14:textId="77777777" w:rsidR="009D4103" w:rsidRPr="00DC0CBE" w:rsidRDefault="009D4103" w:rsidP="00C97C5D">
      <w:pPr>
        <w:pStyle w:val="Heading2"/>
        <w:rPr>
          <w:lang w:val="ar-SA"/>
        </w:rPr>
      </w:pPr>
      <w:bookmarkStart w:id="11" w:name="_Toc445972785"/>
      <w:bookmarkStart w:id="12" w:name="_Toc192766199"/>
      <w:bookmarkEnd w:id="10"/>
      <w:r w:rsidRPr="00DC0CBE">
        <w:t>3.2</w:t>
      </w:r>
      <w:r w:rsidRPr="00DC0CBE">
        <w:rPr>
          <w:rtl/>
        </w:rPr>
        <w:tab/>
        <w:t>الاجتماعات الحضورية مع المشاركة عن بُعد</w:t>
      </w:r>
      <w:bookmarkEnd w:id="11"/>
      <w:bookmarkEnd w:id="12"/>
    </w:p>
    <w:p w14:paraId="729F9C9A" w14:textId="77777777" w:rsidR="009D4103" w:rsidRPr="00DC0CBE" w:rsidRDefault="009D4103" w:rsidP="009D4103">
      <w:pPr>
        <w:rPr>
          <w:lang w:val="ar-SA" w:bidi="ar-EG"/>
        </w:rPr>
      </w:pPr>
      <w:r w:rsidRPr="00DC0CBE">
        <w:rPr>
          <w:rtl/>
        </w:rPr>
        <w:t xml:space="preserve">منذ أبريل </w:t>
      </w:r>
      <w:r w:rsidRPr="00DC0CBE">
        <w:t>2022</w:t>
      </w:r>
      <w:r w:rsidRPr="00DC0CBE">
        <w:rPr>
          <w:rtl/>
        </w:rPr>
        <w:t xml:space="preserve">، تُعْقد اجتماعات لجان الدراسات وفرق العمل التابعة لقطاع الاتصالات الراديوية بوصفها اجتماعات حضورية بمشاركة عن بُعد. وأتاحت المنصة المستخدمة لهذه الاجتماعات </w:t>
      </w:r>
      <w:r w:rsidRPr="00DC0CBE">
        <w:rPr>
          <w:lang w:bidi="ar-EG"/>
        </w:rPr>
        <w:t>(Zoom</w:t>
      </w:r>
      <w:r w:rsidRPr="00DC0CBE">
        <w:t>)</w:t>
      </w:r>
      <w:r w:rsidRPr="00DC0CBE">
        <w:rPr>
          <w:rtl/>
        </w:rPr>
        <w:t xml:space="preserve"> مشاركة تفاعلية عن بُعد لكل من الرؤساء والمندوبين. وأُجريت جميع ترتيبات الاجتماعات بالاتفاق مع قيادة لجان الدراسات/فرق العمل المعنية.</w:t>
      </w:r>
    </w:p>
    <w:p w14:paraId="7047A64B" w14:textId="77777777" w:rsidR="009D4103" w:rsidRPr="00DC0CBE" w:rsidRDefault="009D4103" w:rsidP="000C7098">
      <w:pPr>
        <w:rPr>
          <w:lang w:val="ar-SA" w:bidi="ar-EG"/>
        </w:rPr>
      </w:pPr>
      <w:r w:rsidRPr="00DC0CBE">
        <w:rPr>
          <w:rtl/>
        </w:rPr>
        <w:t xml:space="preserve">وابتداءً من عام </w:t>
      </w:r>
      <w:r w:rsidRPr="00DC0CBE">
        <w:t>2025</w:t>
      </w:r>
      <w:r w:rsidRPr="00DC0CBE">
        <w:rPr>
          <w:rtl/>
        </w:rPr>
        <w:t>، أُتيحت الترجمة الشفوية إلى اللغات الرسمية للاتحاد بناءً على طلب الإدارات، على النحو المُبيَّن في رسائل الدعوة إلى اجتماعات لجان الدراسات. ونتيج</w:t>
      </w:r>
      <w:r w:rsidR="000C7098" w:rsidRPr="00DC0CBE">
        <w:rPr>
          <w:rFonts w:hint="cs"/>
          <w:rtl/>
        </w:rPr>
        <w:t>ةً</w:t>
      </w:r>
      <w:r w:rsidRPr="00DC0CBE">
        <w:rPr>
          <w:rtl/>
        </w:rPr>
        <w:t xml:space="preserve"> لذلك، تمكن المكتب من توفير الموارد.</w:t>
      </w:r>
    </w:p>
    <w:p w14:paraId="07C3903F" w14:textId="77777777" w:rsidR="009D4103" w:rsidRPr="00DC0CBE" w:rsidRDefault="009D4103" w:rsidP="009D4103">
      <w:pPr>
        <w:rPr>
          <w:lang w:val="ar-SA" w:bidi="ar-EG"/>
        </w:rPr>
      </w:pPr>
      <w:r w:rsidRPr="00DC0CBE">
        <w:rPr>
          <w:rtl/>
        </w:rPr>
        <w:t>وزوِّدت جميع اجتماعات لجان الدراسات بالعرض الحي لنصوص الحوار باللغة الإنكليزية. ولكن، بالنظر إلى المتطلبات التقنية ذات الصلة، تؤثر هذه الميزة على تكاليف الاجتماع، خاصة إذا عُقدت الاجتماعات خارج مباني الاتحاد.</w:t>
      </w:r>
    </w:p>
    <w:p w14:paraId="7481843F" w14:textId="77777777" w:rsidR="009D4103" w:rsidRPr="00DC0CBE" w:rsidDel="008163D4" w:rsidRDefault="009D4103" w:rsidP="00C97C5D">
      <w:pPr>
        <w:pStyle w:val="Heading2"/>
        <w:rPr>
          <w:lang w:val="ar-SA"/>
        </w:rPr>
      </w:pPr>
      <w:bookmarkStart w:id="13" w:name="_Toc192766200"/>
      <w:r w:rsidRPr="00DC0CBE">
        <w:lastRenderedPageBreak/>
        <w:t>4.2</w:t>
      </w:r>
      <w:r w:rsidRPr="00DC0CBE">
        <w:rPr>
          <w:rtl/>
        </w:rPr>
        <w:tab/>
        <w:t>الصفحات الإلكترونية للجان الدراسات</w:t>
      </w:r>
      <w:bookmarkEnd w:id="13"/>
    </w:p>
    <w:p w14:paraId="27BB4A0B" w14:textId="77777777" w:rsidR="009D4103" w:rsidRPr="00DC0CBE" w:rsidDel="008163D4" w:rsidRDefault="009D4103" w:rsidP="009D4103">
      <w:pPr>
        <w:rPr>
          <w:lang w:val="ar-SA" w:bidi="ar-EG"/>
        </w:rPr>
      </w:pPr>
      <w:bookmarkStart w:id="14" w:name="_Toc445972789"/>
      <w:r w:rsidRPr="00DC0CBE">
        <w:rPr>
          <w:rtl/>
        </w:rPr>
        <w:t>تماشياً مع سياسة الاتحاد، تُجرى باستمرار تحديثات للصفحات الإلكترونية من أجل تقديم المعلومات اللازمة للمندوبين.</w:t>
      </w:r>
    </w:p>
    <w:p w14:paraId="571443DD" w14:textId="0AE0B0E8" w:rsidR="009D4103" w:rsidRPr="00DC0CBE" w:rsidRDefault="009D4103" w:rsidP="009D4103">
      <w:pPr>
        <w:rPr>
          <w:lang w:val="ar-SA" w:bidi="ar-EG"/>
        </w:rPr>
      </w:pPr>
      <w:r w:rsidRPr="00DC0CBE">
        <w:rPr>
          <w:rtl/>
        </w:rPr>
        <w:t xml:space="preserve">ويمكن الاطلاع على قائمة أفرقة المراسلة/أفرقة المقررين في كل صفحة رئيسية للجان الدراسات عبر رابط محدد، وهي متوائمة بالنسبة لجميع لجان الدراسات. وتُتاح للمستعملين معلومات مثل اسم الفريق وصفحة </w:t>
      </w:r>
      <w:r w:rsidRPr="00DC0CBE">
        <w:rPr>
          <w:lang w:bidi="ar-EG"/>
        </w:rPr>
        <w:t>SharePoint</w:t>
      </w:r>
      <w:r w:rsidRPr="00DC0CBE">
        <w:rPr>
          <w:rtl/>
        </w:rPr>
        <w:t xml:space="preserve"> والمقرر/الرئيس/منظم الاجتماعات والقائمة البريدية والمحفوظات والمعلومات الضرورية الأخرى.</w:t>
      </w:r>
    </w:p>
    <w:p w14:paraId="3F7C5425" w14:textId="77777777" w:rsidR="009D4103" w:rsidRPr="00DC0CBE" w:rsidRDefault="009D4103" w:rsidP="009D4103">
      <w:pPr>
        <w:rPr>
          <w:lang w:val="ar-SA" w:bidi="ar-EG"/>
        </w:rPr>
      </w:pPr>
      <w:r w:rsidRPr="00DC0CBE">
        <w:rPr>
          <w:rtl/>
        </w:rPr>
        <w:t xml:space="preserve">وعملاً بأحكام القرار </w:t>
      </w:r>
      <w:r w:rsidRPr="00DC0CBE">
        <w:t>ITU-R 1</w:t>
      </w:r>
      <w:r w:rsidRPr="00DC0CBE">
        <w:rPr>
          <w:rtl/>
        </w:rPr>
        <w:t xml:space="preserve">، يقوم موظفو دائرة لجان الدراسات </w:t>
      </w:r>
      <w:r w:rsidRPr="00DC0CBE">
        <w:rPr>
          <w:lang w:bidi="ar-EG"/>
        </w:rPr>
        <w:t>(SGD</w:t>
      </w:r>
      <w:r w:rsidRPr="00DC0CBE">
        <w:t>)</w:t>
      </w:r>
      <w:r w:rsidRPr="00DC0CBE">
        <w:rPr>
          <w:rtl/>
        </w:rPr>
        <w:t xml:space="preserve"> في مكتب الاتصالات الراديوية بنشر وثائق الاجتماعات "كما وردت" في غضون يوم عمل واحد على صفحة إلكترونية مُعدّة لهذا الغرض. وتنشر النسخ الرسمية في الموقع الإلكتروني في</w:t>
      </w:r>
      <w:r w:rsidRPr="00DC0CBE">
        <w:rPr>
          <w:rFonts w:hint="cs"/>
          <w:rtl/>
        </w:rPr>
        <w:t> </w:t>
      </w:r>
      <w:r w:rsidRPr="00DC0CBE">
        <w:rPr>
          <w:rtl/>
        </w:rPr>
        <w:t>غضون ثلاثة أيام عمل.</w:t>
      </w:r>
    </w:p>
    <w:p w14:paraId="1FB4E7A2" w14:textId="77777777" w:rsidR="009D4103" w:rsidRPr="00DC0CBE" w:rsidDel="008163D4" w:rsidRDefault="009D4103" w:rsidP="009D4103">
      <w:pPr>
        <w:rPr>
          <w:lang w:val="ar-SA" w:bidi="ar-EG"/>
        </w:rPr>
      </w:pPr>
      <w:r w:rsidRPr="00DC0CBE">
        <w:rPr>
          <w:rtl/>
        </w:rPr>
        <w:t xml:space="preserve">وأنهت دائرة لجان الدراسات </w:t>
      </w:r>
      <w:r w:rsidRPr="00DC0CBE">
        <w:rPr>
          <w:lang w:bidi="ar-EG"/>
        </w:rPr>
        <w:t>(SGD</w:t>
      </w:r>
      <w:r w:rsidRPr="00DC0CBE">
        <w:t>)</w:t>
      </w:r>
      <w:r w:rsidRPr="00DC0CBE">
        <w:rPr>
          <w:rtl/>
        </w:rPr>
        <w:t xml:space="preserve"> في مكتب الاتصالات الراديوية تنفيذ أداة تنشر تلقائياً المساهمات "كما وردت".</w:t>
      </w:r>
    </w:p>
    <w:p w14:paraId="7A2703AC" w14:textId="77777777" w:rsidR="009D4103" w:rsidRPr="00DC0CBE" w:rsidRDefault="009D4103" w:rsidP="00C97C5D">
      <w:pPr>
        <w:pStyle w:val="Heading1"/>
        <w:rPr>
          <w:lang w:val="ar-SA"/>
        </w:rPr>
      </w:pPr>
      <w:bookmarkStart w:id="15" w:name="_Toc192766201"/>
      <w:bookmarkEnd w:id="14"/>
      <w:r w:rsidRPr="00DC0CBE">
        <w:t>3</w:t>
      </w:r>
      <w:r w:rsidRPr="00DC0CBE">
        <w:rPr>
          <w:rtl/>
        </w:rPr>
        <w:tab/>
        <w:t>المشاركة</w:t>
      </w:r>
      <w:bookmarkEnd w:id="15"/>
    </w:p>
    <w:p w14:paraId="45C4C4CF" w14:textId="77777777" w:rsidR="009D4103" w:rsidRPr="00DC0CBE" w:rsidRDefault="009D4103" w:rsidP="009D4103">
      <w:pPr>
        <w:rPr>
          <w:lang w:val="ar-SA" w:bidi="ar-EG"/>
        </w:rPr>
      </w:pPr>
      <w:r w:rsidRPr="00DC0CBE">
        <w:rPr>
          <w:rtl/>
        </w:rPr>
        <w:t xml:space="preserve">سُجِّل ارتفاع كبير في مستوى المشاركة في اجتماعات لجان الدراسات وفرق العمل التابعة لقطاع الاتصالات الراديوية، ولا سيما منذ عام </w:t>
      </w:r>
      <w:r w:rsidRPr="00DC0CBE">
        <w:t>2020</w:t>
      </w:r>
      <w:r w:rsidRPr="00DC0CBE">
        <w:rPr>
          <w:rtl/>
        </w:rPr>
        <w:t xml:space="preserve"> عندما عقدت جميع الاجتماعات إلكترونياً أو حضورياً مع المشاركة عن بُعد. وكان هذا الأمر مشجعاً للغاية، لكنه في الوقت نفسه خلق صعوبات عند التخطيط لاجتماعات المجموعات الكبيرة.</w:t>
      </w:r>
    </w:p>
    <w:p w14:paraId="28BF259F" w14:textId="77777777" w:rsidR="009D4103" w:rsidRPr="00DC0CBE" w:rsidRDefault="009D4103" w:rsidP="009D4103">
      <w:pPr>
        <w:rPr>
          <w:lang w:val="ar-SA" w:bidi="ar-EG"/>
        </w:rPr>
      </w:pPr>
      <w:r w:rsidRPr="00DC0CBE">
        <w:rPr>
          <w:rtl/>
        </w:rPr>
        <w:t xml:space="preserve">ويصف الشكل </w:t>
      </w:r>
      <w:r w:rsidRPr="00DC0CBE">
        <w:t>1</w:t>
      </w:r>
      <w:r w:rsidRPr="00DC0CBE">
        <w:rPr>
          <w:rtl/>
        </w:rPr>
        <w:t xml:space="preserve"> المشاركة بالحضور الشخصي لكل فريق في عام </w:t>
      </w:r>
      <w:r w:rsidRPr="00DC0CBE">
        <w:t>2024</w:t>
      </w:r>
      <w:r w:rsidRPr="00DC0CBE">
        <w:rPr>
          <w:rtl/>
        </w:rPr>
        <w:t>.</w:t>
      </w:r>
    </w:p>
    <w:p w14:paraId="4813183B" w14:textId="77777777" w:rsidR="009D4103" w:rsidRPr="00DC0CBE" w:rsidRDefault="009D4103" w:rsidP="00C97C5D">
      <w:pPr>
        <w:pStyle w:val="FigureNo"/>
        <w:rPr>
          <w:lang w:val="ar-SA" w:bidi="ar-EG"/>
        </w:rPr>
      </w:pPr>
      <w:r w:rsidRPr="00DC0CBE">
        <w:rPr>
          <w:rtl/>
        </w:rPr>
        <w:t xml:space="preserve">الشكل </w:t>
      </w:r>
      <w:r w:rsidRPr="00DC0CBE">
        <w:t>1</w:t>
      </w:r>
    </w:p>
    <w:p w14:paraId="1F95769D" w14:textId="77777777" w:rsidR="009D4103" w:rsidRPr="00DC0CBE" w:rsidRDefault="009D4103" w:rsidP="00C97C5D">
      <w:pPr>
        <w:pStyle w:val="Figuretitle"/>
        <w:rPr>
          <w:lang w:val="ar-SA"/>
        </w:rPr>
      </w:pPr>
      <w:r w:rsidRPr="00DC0CBE">
        <w:rPr>
          <w:rtl/>
        </w:rPr>
        <w:t>إجمالي عدد المشاركين بالحضور الشخصي في اجتماعات لجان الدراسات/</w:t>
      </w:r>
      <w:r w:rsidR="00C97C5D" w:rsidRPr="00DC0CBE">
        <w:br/>
      </w:r>
      <w:r w:rsidRPr="00DC0CBE">
        <w:rPr>
          <w:rtl/>
        </w:rPr>
        <w:t xml:space="preserve">فرق العمل لقطاع الاتصالات الراديوية في عام </w:t>
      </w:r>
      <w:r w:rsidRPr="00DC0CBE">
        <w:t>2024</w:t>
      </w:r>
    </w:p>
    <w:p w14:paraId="49BA1151" w14:textId="361D2DA0" w:rsidR="008F056B" w:rsidRPr="00DC0CBE" w:rsidRDefault="008F056B" w:rsidP="006F310C">
      <w:pPr>
        <w:tabs>
          <w:tab w:val="clear" w:pos="1134"/>
          <w:tab w:val="clear" w:pos="1871"/>
          <w:tab w:val="clear" w:pos="2268"/>
          <w:tab w:val="left" w:pos="1842"/>
        </w:tabs>
        <w:spacing w:before="100" w:beforeAutospacing="1" w:after="100" w:afterAutospacing="1" w:line="240" w:lineRule="auto"/>
        <w:jc w:val="center"/>
        <w:rPr>
          <w:rFonts w:eastAsia="Malgun Gothic"/>
          <w:noProof/>
          <w:szCs w:val="24"/>
          <w:rtl/>
          <w:lang w:eastAsia="ko-KR" w:bidi="ar-EG"/>
        </w:rPr>
      </w:pPr>
      <w:r w:rsidRPr="00DC0CBE">
        <w:rPr>
          <w:rFonts w:eastAsia="Malgun Gothic"/>
          <w:noProof/>
          <w:szCs w:val="24"/>
          <w:lang w:eastAsia="ko-KR" w:bidi="ar-EG"/>
        </w:rPr>
        <w:drawing>
          <wp:inline distT="0" distB="0" distL="0" distR="0" wp14:anchorId="186C2D91" wp14:editId="3E689099">
            <wp:extent cx="6156000" cy="222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6000" cy="2221725"/>
                    </a:xfrm>
                    <a:prstGeom prst="rect">
                      <a:avLst/>
                    </a:prstGeom>
                    <a:noFill/>
                  </pic:spPr>
                </pic:pic>
              </a:graphicData>
            </a:graphic>
          </wp:inline>
        </w:drawing>
      </w:r>
    </w:p>
    <w:p w14:paraId="070C8360" w14:textId="77777777" w:rsidR="009D4103" w:rsidRPr="00DC0CBE" w:rsidRDefault="009D4103" w:rsidP="00DC0CBE">
      <w:pPr>
        <w:pStyle w:val="Heading2"/>
        <w:rPr>
          <w:lang w:val="ar-SA"/>
        </w:rPr>
      </w:pPr>
      <w:bookmarkStart w:id="16" w:name="_Toc192766202"/>
      <w:r w:rsidRPr="00DC0CBE">
        <w:t>1.3</w:t>
      </w:r>
      <w:r w:rsidRPr="00DC0CBE">
        <w:rPr>
          <w:rtl/>
        </w:rPr>
        <w:tab/>
        <w:t>منح لدعم المشاركة في أنشطة لجان دراسات قطاع الاتصالات الراديوية</w:t>
      </w:r>
      <w:bookmarkEnd w:id="16"/>
    </w:p>
    <w:p w14:paraId="0618BE10" w14:textId="77777777" w:rsidR="006E689A" w:rsidRPr="00DC0CBE" w:rsidRDefault="009D4103" w:rsidP="009D4103">
      <w:pPr>
        <w:rPr>
          <w:rtl/>
        </w:rPr>
      </w:pPr>
      <w:r w:rsidRPr="00DC0CBE">
        <w:rPr>
          <w:rtl/>
        </w:rPr>
        <w:t xml:space="preserve">بمقتضى القسم </w:t>
      </w:r>
      <w:r w:rsidRPr="00DC0CBE">
        <w:t>1.2.3.A1</w:t>
      </w:r>
      <w:r w:rsidRPr="00DC0CBE">
        <w:rPr>
          <w:rFonts w:hint="cs"/>
          <w:rtl/>
          <w:lang w:bidi="ar-EG"/>
        </w:rPr>
        <w:t xml:space="preserve"> </w:t>
      </w:r>
      <w:r w:rsidRPr="00DC0CBE">
        <w:rPr>
          <w:i/>
          <w:iCs/>
          <w:rtl/>
        </w:rPr>
        <w:t>مكرراً رابعاً</w:t>
      </w:r>
      <w:r w:rsidRPr="00DC0CBE">
        <w:rPr>
          <w:rtl/>
        </w:rPr>
        <w:t xml:space="preserve"> من القرار </w:t>
      </w:r>
      <w:r w:rsidRPr="00DC0CBE">
        <w:t>‎ITU-R 1-9</w:t>
      </w:r>
      <w:r w:rsidRPr="00DC0CBE">
        <w:rPr>
          <w:rtl/>
        </w:rPr>
        <w:t xml:space="preserve">، ينبغي أن يقدم الاتحاد الدعم ويسهل المشاركة في أعمال لجان دراسات قطاع الاتصالات الراديوية، ولا سيما الأشخاص من البلدان النامية، قدر الإمكان عملياً. ومن أجل تحديد الميزانية المخصصة لتقديم المنح من أجل اجتماعات قطاع الاتصالات الراديوية، قُدِّم طلب إلى مجلس الاتحاد لعام </w:t>
      </w:r>
      <w:r w:rsidRPr="00DC0CBE">
        <w:t>2025</w:t>
      </w:r>
      <w:r w:rsidRPr="00DC0CBE">
        <w:rPr>
          <w:rtl/>
        </w:rPr>
        <w:t>.</w:t>
      </w:r>
    </w:p>
    <w:p w14:paraId="7E402A86" w14:textId="77777777" w:rsidR="009D4103" w:rsidRPr="00DC0CBE" w:rsidRDefault="009D4103" w:rsidP="00C97C5D">
      <w:pPr>
        <w:pStyle w:val="Heading1"/>
        <w:rPr>
          <w:lang w:val="ar-SA"/>
        </w:rPr>
      </w:pPr>
      <w:bookmarkStart w:id="17" w:name="_Toc192766203"/>
      <w:r w:rsidRPr="00DC0CBE">
        <w:t>4</w:t>
      </w:r>
      <w:r w:rsidRPr="00DC0CBE">
        <w:rPr>
          <w:rtl/>
        </w:rPr>
        <w:tab/>
        <w:t>قاعات الاجتماع</w:t>
      </w:r>
      <w:bookmarkEnd w:id="17"/>
    </w:p>
    <w:p w14:paraId="7EAC5827" w14:textId="77777777" w:rsidR="009D4103" w:rsidRPr="00DC0CBE" w:rsidRDefault="009D4103" w:rsidP="009D4103">
      <w:pPr>
        <w:rPr>
          <w:lang w:val="ar-SA" w:bidi="ar-EG"/>
        </w:rPr>
      </w:pPr>
      <w:r w:rsidRPr="00DC0CBE">
        <w:rPr>
          <w:rtl/>
        </w:rPr>
        <w:t>استمر النقص في قاعات الاجتماع في مقر الاتحاد في التسبب بعرقلة تخطيط الاجتماعات على نحو فعال. وتفاقمت هذه المشكلة بسبب العوامل التالية:</w:t>
      </w:r>
    </w:p>
    <w:p w14:paraId="34BECB93" w14:textId="77777777" w:rsidR="009D4103" w:rsidRPr="00DC0CBE" w:rsidRDefault="000000EE" w:rsidP="009D4103">
      <w:pPr>
        <w:pStyle w:val="enumlev1"/>
        <w:rPr>
          <w:lang w:val="ar-SA" w:bidi="ar-EG"/>
        </w:rPr>
      </w:pPr>
      <w:r w:rsidRPr="00DC0CBE">
        <w:rPr>
          <w:lang w:bidi="ar-EG"/>
        </w:rPr>
        <w:t>–</w:t>
      </w:r>
      <w:r w:rsidR="009D4103" w:rsidRPr="00DC0CBE">
        <w:rPr>
          <w:rtl/>
        </w:rPr>
        <w:tab/>
        <w:t xml:space="preserve">زيادة عدد الاجتماعات التي تنظمها جميع القطاعات والأمانة </w:t>
      </w:r>
      <w:proofErr w:type="gramStart"/>
      <w:r w:rsidR="009D4103" w:rsidRPr="00DC0CBE">
        <w:rPr>
          <w:rtl/>
        </w:rPr>
        <w:t>العامة؛</w:t>
      </w:r>
      <w:proofErr w:type="gramEnd"/>
    </w:p>
    <w:p w14:paraId="1694A68A" w14:textId="77777777" w:rsidR="009D4103" w:rsidRPr="00DC0CBE" w:rsidRDefault="001F6293" w:rsidP="009D4103">
      <w:pPr>
        <w:pStyle w:val="enumlev1"/>
        <w:rPr>
          <w:lang w:val="ar-SA" w:bidi="ar-EG"/>
        </w:rPr>
      </w:pPr>
      <w:r w:rsidRPr="00DC0CBE">
        <w:rPr>
          <w:lang w:bidi="ar-EG"/>
        </w:rPr>
        <w:t>–</w:t>
      </w:r>
      <w:r w:rsidR="009D4103" w:rsidRPr="00DC0CBE">
        <w:rPr>
          <w:rtl/>
        </w:rPr>
        <w:tab/>
        <w:t xml:space="preserve">النقص في قاعات الاجتماع التي تتسع لأكثر من </w:t>
      </w:r>
      <w:r w:rsidR="009D4103" w:rsidRPr="00DC0CBE">
        <w:t>120</w:t>
      </w:r>
      <w:r w:rsidR="009D4103" w:rsidRPr="00DC0CBE">
        <w:rPr>
          <w:rtl/>
        </w:rPr>
        <w:t xml:space="preserve"> </w:t>
      </w:r>
      <w:proofErr w:type="gramStart"/>
      <w:r w:rsidR="009D4103" w:rsidRPr="00DC0CBE">
        <w:rPr>
          <w:rtl/>
        </w:rPr>
        <w:t>مشاركاً؛</w:t>
      </w:r>
      <w:proofErr w:type="gramEnd"/>
    </w:p>
    <w:p w14:paraId="5FC5B155" w14:textId="77777777" w:rsidR="009D4103" w:rsidRPr="00DC0CBE" w:rsidRDefault="000000EE" w:rsidP="009D4103">
      <w:pPr>
        <w:pStyle w:val="enumlev1"/>
        <w:rPr>
          <w:lang w:val="ar-SA" w:bidi="ar-EG"/>
        </w:rPr>
      </w:pPr>
      <w:r w:rsidRPr="00DC0CBE">
        <w:rPr>
          <w:lang w:bidi="ar-EG"/>
        </w:rPr>
        <w:lastRenderedPageBreak/>
        <w:t>–</w:t>
      </w:r>
      <w:r w:rsidR="009D4103" w:rsidRPr="00DC0CBE">
        <w:rPr>
          <w:rtl/>
        </w:rPr>
        <w:tab/>
        <w:t xml:space="preserve">الحاجة إلى تجنب تزامن تواريخ انعقاد الاجتماعات، فضلاً عن متطلبات عقد اجتماعات أفرقة قطاع الاتصالات الراديوية </w:t>
      </w:r>
      <w:proofErr w:type="gramStart"/>
      <w:r w:rsidR="009D4103" w:rsidRPr="00DC0CBE">
        <w:rPr>
          <w:rtl/>
        </w:rPr>
        <w:t>بالتوازي؛</w:t>
      </w:r>
      <w:proofErr w:type="gramEnd"/>
    </w:p>
    <w:p w14:paraId="3E30E25F" w14:textId="77777777" w:rsidR="009D4103" w:rsidRPr="00DC0CBE" w:rsidRDefault="000000EE" w:rsidP="009D4103">
      <w:pPr>
        <w:pStyle w:val="enumlev1"/>
        <w:rPr>
          <w:lang w:val="ar-SA" w:bidi="ar-EG"/>
        </w:rPr>
      </w:pPr>
      <w:r w:rsidRPr="00DC0CBE">
        <w:rPr>
          <w:lang w:bidi="ar-EG"/>
        </w:rPr>
        <w:t>–</w:t>
      </w:r>
      <w:r w:rsidR="009D4103" w:rsidRPr="00DC0CBE">
        <w:rPr>
          <w:rtl/>
        </w:rPr>
        <w:tab/>
        <w:t xml:space="preserve">محدودية توفر مرافق بديلة، مثل مركز جنيف الدولي للمؤتمرات </w:t>
      </w:r>
      <w:r w:rsidR="009D4103" w:rsidRPr="00DC0CBE">
        <w:t>(</w:t>
      </w:r>
      <w:r w:rsidR="009D4103" w:rsidRPr="00DC0CBE">
        <w:rPr>
          <w:lang w:bidi="ar-EG"/>
        </w:rPr>
        <w:t>CICG</w:t>
      </w:r>
      <w:r w:rsidR="009D4103" w:rsidRPr="00DC0CBE">
        <w:t>)</w:t>
      </w:r>
      <w:r w:rsidR="009D4103" w:rsidRPr="00DC0CBE">
        <w:rPr>
          <w:rtl/>
        </w:rPr>
        <w:t xml:space="preserve">، وفترات الإشعار المسبق الطويلة للغاية والمطلوبة </w:t>
      </w:r>
      <w:proofErr w:type="gramStart"/>
      <w:r w:rsidR="009D4103" w:rsidRPr="00DC0CBE">
        <w:rPr>
          <w:rtl/>
        </w:rPr>
        <w:t>لحجزها؛</w:t>
      </w:r>
      <w:proofErr w:type="gramEnd"/>
    </w:p>
    <w:p w14:paraId="74691DD7" w14:textId="77777777" w:rsidR="009D4103" w:rsidRPr="00DC0CBE" w:rsidRDefault="000000EE" w:rsidP="009D4103">
      <w:pPr>
        <w:pStyle w:val="enumlev1"/>
        <w:rPr>
          <w:lang w:val="ar-SA" w:bidi="ar-EG"/>
        </w:rPr>
      </w:pPr>
      <w:r w:rsidRPr="00DC0CBE">
        <w:rPr>
          <w:lang w:bidi="ar-EG"/>
        </w:rPr>
        <w:t>–</w:t>
      </w:r>
      <w:r w:rsidR="009D4103" w:rsidRPr="00DC0CBE">
        <w:rPr>
          <w:rtl/>
        </w:rPr>
        <w:tab/>
        <w:t xml:space="preserve">شروط عقد مركز جنيف الدولي للمؤتمرات تغيرت أيضاً وأصبحت أكثر صرامة: فمركز جنيف الدولي للمؤتمرات لم يعد يتيح تلقائياً قاعات اجتماعات مجاناً للاتحاد الدولي للاتصالات أو للمنظمات الدولية الأخرى مع تخصيص مساحة للاجتماعات بدون رسوم إيجار رهناً بتوافر ميزانية المركز ويجب تقديم كل طلبات الإيجار المجاني قبل </w:t>
      </w:r>
      <w:r w:rsidR="009D4103" w:rsidRPr="00DC0CBE">
        <w:t>18</w:t>
      </w:r>
      <w:r w:rsidR="009D4103" w:rsidRPr="00DC0CBE">
        <w:rPr>
          <w:rtl/>
        </w:rPr>
        <w:t xml:space="preserve"> شهراً للنظر </w:t>
      </w:r>
      <w:proofErr w:type="gramStart"/>
      <w:r w:rsidR="009D4103" w:rsidRPr="00DC0CBE">
        <w:rPr>
          <w:rtl/>
        </w:rPr>
        <w:t>فيها؛</w:t>
      </w:r>
      <w:proofErr w:type="gramEnd"/>
    </w:p>
    <w:p w14:paraId="7FAABE4F" w14:textId="77777777" w:rsidR="009D4103" w:rsidRPr="00DC0CBE" w:rsidRDefault="000000EE" w:rsidP="009D4103">
      <w:pPr>
        <w:pStyle w:val="enumlev1"/>
        <w:rPr>
          <w:lang w:val="ar-SA" w:bidi="ar-EG"/>
        </w:rPr>
      </w:pPr>
      <w:r w:rsidRPr="00DC0CBE">
        <w:rPr>
          <w:lang w:bidi="ar-EG"/>
        </w:rPr>
        <w:t>–</w:t>
      </w:r>
      <w:r w:rsidR="009D4103" w:rsidRPr="00DC0CBE">
        <w:rPr>
          <w:rtl/>
        </w:rPr>
        <w:tab/>
        <w:t xml:space="preserve">هدم مبنى </w:t>
      </w:r>
      <w:proofErr w:type="spellStart"/>
      <w:r w:rsidR="009D4103" w:rsidRPr="00DC0CBE">
        <w:rPr>
          <w:rtl/>
        </w:rPr>
        <w:t>فارامبيه</w:t>
      </w:r>
      <w:proofErr w:type="spellEnd"/>
      <w:r w:rsidR="009D4103" w:rsidRPr="00DC0CBE">
        <w:rPr>
          <w:rtl/>
        </w:rPr>
        <w:t xml:space="preserve"> مستقبلاً وتشييد المبنى الجديد للاتحاد، مما سيكون له تأثير على عدد من قاعات الاجتماعات</w:t>
      </w:r>
      <w:r w:rsidR="00D462C6" w:rsidRPr="00DC0CBE">
        <w:rPr>
          <w:rFonts w:hint="cs"/>
          <w:rtl/>
        </w:rPr>
        <w:t>.</w:t>
      </w:r>
    </w:p>
    <w:p w14:paraId="5453CA9E" w14:textId="77777777" w:rsidR="009D4103" w:rsidRPr="00DC0CBE" w:rsidRDefault="009D4103" w:rsidP="009D4103">
      <w:pPr>
        <w:rPr>
          <w:lang w:val="ar-SA" w:bidi="ar-EG"/>
        </w:rPr>
      </w:pPr>
      <w:r w:rsidRPr="00DC0CBE">
        <w:rPr>
          <w:rtl/>
        </w:rPr>
        <w:t xml:space="preserve">ونتيجةً لذلك، عندما يبدأ هدم مبنى </w:t>
      </w:r>
      <w:proofErr w:type="spellStart"/>
      <w:r w:rsidRPr="00DC0CBE">
        <w:rPr>
          <w:rtl/>
        </w:rPr>
        <w:t>فارامبيه</w:t>
      </w:r>
      <w:proofErr w:type="spellEnd"/>
      <w:r w:rsidRPr="00DC0CBE">
        <w:rPr>
          <w:rtl/>
        </w:rPr>
        <w:t>، سيتعين عقد عدد متزايد من الاجتماعات خارج مقرّ الاتحاد، أو مزيجاً من المشاركة حضورياً والمشاركة عن بُعد. ولتحقيق ذلك، ستكون العروض المقدمة من الأعضاء لاستضافة اجتماعات لجان الدراسات/فرق العمل موضع ترحيب بوجهٍ خاص. وعلاوةً على ذلك، تتطلب هذه الترتيبات قدراً جديراً بالاعتبار من التخطيط والإعداد مسبقاً.</w:t>
      </w:r>
    </w:p>
    <w:p w14:paraId="2D90FB39" w14:textId="77777777" w:rsidR="009D4103" w:rsidRPr="00DC0CBE" w:rsidRDefault="009D4103" w:rsidP="009D4103">
      <w:pPr>
        <w:rPr>
          <w:lang w:val="ar-SA" w:bidi="ar-EG"/>
        </w:rPr>
      </w:pPr>
      <w:r w:rsidRPr="00DC0CBE">
        <w:rPr>
          <w:rtl/>
        </w:rPr>
        <w:t xml:space="preserve">وتم تجنب التداخل مع اجتماعات قطاعي الاتحاد الآخرين والأمانة العامة في عام </w:t>
      </w:r>
      <w:r w:rsidRPr="00DC0CBE">
        <w:t>2024</w:t>
      </w:r>
      <w:r w:rsidRPr="00DC0CBE">
        <w:rPr>
          <w:rtl/>
        </w:rPr>
        <w:t xml:space="preserve"> قدر الإمكان. ومن المؤسف أن عدد الأحداث غير التابعة لقطاع الاتصالات الراديوية شهد زيادةً كبيرةً. وأصبح من الصعب وأحياناً من المستحيل تجنب مثل هذه التداخلات. ومن المتوقع حدوث وضع مماثل في عام </w:t>
      </w:r>
      <w:r w:rsidRPr="00DC0CBE">
        <w:t>2025</w:t>
      </w:r>
      <w:r w:rsidRPr="00DC0CBE">
        <w:rPr>
          <w:rtl/>
        </w:rPr>
        <w:t xml:space="preserve"> والتنسيق المنتظم بين قطاعات الاتحاد مستمر للتخفيف من الأثر.</w:t>
      </w:r>
    </w:p>
    <w:p w14:paraId="2E027BCC" w14:textId="77777777" w:rsidR="009D4103" w:rsidRPr="00DC0CBE" w:rsidRDefault="00246115" w:rsidP="00C97C5D">
      <w:pPr>
        <w:pStyle w:val="Heading1"/>
        <w:rPr>
          <w:lang w:val="ar-SA"/>
        </w:rPr>
      </w:pPr>
      <w:bookmarkStart w:id="18" w:name="_Toc192766204"/>
      <w:bookmarkStart w:id="19" w:name="_Toc445972792"/>
      <w:bookmarkEnd w:id="3"/>
      <w:r w:rsidRPr="00DC0CBE">
        <w:t>5</w:t>
      </w:r>
      <w:r w:rsidR="009D4103" w:rsidRPr="00DC0CBE">
        <w:rPr>
          <w:rtl/>
        </w:rPr>
        <w:tab/>
        <w:t>الأنشطة التي تضطلع بها لجان الدراسات</w:t>
      </w:r>
      <w:bookmarkEnd w:id="18"/>
    </w:p>
    <w:p w14:paraId="3053FC87" w14:textId="77777777" w:rsidR="009D4103" w:rsidRPr="00DC0CBE" w:rsidRDefault="009D4103" w:rsidP="009D4103">
      <w:pPr>
        <w:rPr>
          <w:lang w:val="ar-SA" w:bidi="ar-EG"/>
        </w:rPr>
      </w:pPr>
      <w:r w:rsidRPr="00DC0CBE">
        <w:rPr>
          <w:rtl/>
        </w:rPr>
        <w:t xml:space="preserve">طُبقت أساليب عمل لجان الدراسات </w:t>
      </w:r>
      <w:r w:rsidRPr="00DC0CBE">
        <w:rPr>
          <w:lang w:bidi="ar-EG"/>
        </w:rPr>
        <w:t>(SG</w:t>
      </w:r>
      <w:r w:rsidRPr="00DC0CBE">
        <w:t>)</w:t>
      </w:r>
      <w:r w:rsidRPr="00DC0CBE">
        <w:rPr>
          <w:rtl/>
        </w:rPr>
        <w:t xml:space="preserve"> وفرق العمل </w:t>
      </w:r>
      <w:r w:rsidRPr="00DC0CBE">
        <w:t>(</w:t>
      </w:r>
      <w:r w:rsidRPr="00DC0CBE">
        <w:rPr>
          <w:lang w:bidi="ar-EG"/>
        </w:rPr>
        <w:t>WP</w:t>
      </w:r>
      <w:r w:rsidRPr="00DC0CBE">
        <w:t>)</w:t>
      </w:r>
      <w:r w:rsidRPr="00DC0CBE">
        <w:rPr>
          <w:rtl/>
        </w:rPr>
        <w:t xml:space="preserve"> وفقاً للقرار </w:t>
      </w:r>
      <w:r w:rsidRPr="00DC0CBE">
        <w:t>ITU-R 1</w:t>
      </w:r>
      <w:r w:rsidRPr="00DC0CBE">
        <w:rPr>
          <w:rtl/>
        </w:rPr>
        <w:t xml:space="preserve"> و</w:t>
      </w:r>
      <w:hyperlink r:id="rId15" w:history="1">
        <w:r w:rsidRPr="00DC0CBE">
          <w:rPr>
            <w:rStyle w:val="Hyperlink"/>
            <w:rtl/>
          </w:rPr>
          <w:t>المبادئ التوجيهية ذات الصلة بشأن أساليب العمل</w:t>
        </w:r>
      </w:hyperlink>
      <w:r w:rsidRPr="00DC0CBE">
        <w:rPr>
          <w:rtl/>
        </w:rPr>
        <w:t>.</w:t>
      </w:r>
    </w:p>
    <w:p w14:paraId="210BA275" w14:textId="77777777" w:rsidR="009D4103" w:rsidRPr="00DC0CBE" w:rsidRDefault="009D4103" w:rsidP="00246115">
      <w:pPr>
        <w:spacing w:after="120"/>
        <w:rPr>
          <w:lang w:val="ar-SA" w:bidi="ar-EG"/>
        </w:rPr>
      </w:pPr>
      <w:r w:rsidRPr="00DC0CBE">
        <w:rPr>
          <w:rtl/>
        </w:rPr>
        <w:t xml:space="preserve">ويرد أدناه وصف لبعض الأنشطة وغيرها من دراسات التقييس الجارية، وهي تلخص الدراسات التي أُجريت منذ انعقاد الفريق الاستشاري للاتصالات الراديوية لعام </w:t>
      </w:r>
      <w:r w:rsidRPr="00DC0CBE">
        <w:t>2024</w:t>
      </w:r>
      <w:r w:rsidRPr="00DC0CBE">
        <w:rPr>
          <w:rtl/>
        </w:rPr>
        <w:t xml:space="preserve"> فضلاً عن توصيات وتقارير قطاع الاتصالات الراديوية الصادرة التي نالت الموافقة منذ ذلك الحين.</w:t>
      </w:r>
    </w:p>
    <w:tbl>
      <w:tblPr>
        <w:tblStyle w:val="TableGrid1"/>
        <w:bidiVisual/>
        <w:tblW w:w="0" w:type="auto"/>
        <w:jc w:val="center"/>
        <w:tblLayout w:type="fixed"/>
        <w:tblCellMar>
          <w:left w:w="57" w:type="dxa"/>
          <w:right w:w="57" w:type="dxa"/>
        </w:tblCellMar>
        <w:tblLook w:val="04A0" w:firstRow="1" w:lastRow="0" w:firstColumn="1" w:lastColumn="0" w:noHBand="0" w:noVBand="1"/>
      </w:tblPr>
      <w:tblGrid>
        <w:gridCol w:w="1218"/>
        <w:gridCol w:w="2126"/>
        <w:gridCol w:w="2126"/>
        <w:gridCol w:w="1418"/>
        <w:gridCol w:w="1417"/>
        <w:gridCol w:w="1414"/>
      </w:tblGrid>
      <w:tr w:rsidR="009D4103" w:rsidRPr="00DC0CBE" w14:paraId="08A08447" w14:textId="77777777" w:rsidTr="001F6293">
        <w:trPr>
          <w:trHeight w:val="287"/>
          <w:tblHeader/>
          <w:jc w:val="center"/>
        </w:trPr>
        <w:tc>
          <w:tcPr>
            <w:tcW w:w="1218" w:type="dxa"/>
            <w:vMerge w:val="restart"/>
            <w:tcBorders>
              <w:right w:val="single" w:sz="4" w:space="0" w:color="000000" w:themeColor="text1"/>
            </w:tcBorders>
            <w:shd w:val="clear" w:color="auto" w:fill="DBE5F1" w:themeFill="accent1" w:themeFillTint="33"/>
            <w:vAlign w:val="center"/>
          </w:tcPr>
          <w:p w14:paraId="56642D0E" w14:textId="77777777" w:rsidR="009D4103" w:rsidRPr="00DC0CBE" w:rsidRDefault="009D4103" w:rsidP="00C97C5D">
            <w:pPr>
              <w:pStyle w:val="Tablehead"/>
            </w:pPr>
            <w:r w:rsidRPr="00DC0CBE">
              <w:rPr>
                <w:rtl/>
              </w:rPr>
              <w:t>لجنة دراسات</w:t>
            </w:r>
          </w:p>
        </w:tc>
        <w:tc>
          <w:tcPr>
            <w:tcW w:w="8501" w:type="dxa"/>
            <w:gridSpan w:val="5"/>
            <w:tcBorders>
              <w:left w:val="single" w:sz="4" w:space="0" w:color="000000" w:themeColor="text1"/>
            </w:tcBorders>
            <w:shd w:val="clear" w:color="auto" w:fill="DBE5F1" w:themeFill="accent1" w:themeFillTint="33"/>
            <w:vAlign w:val="center"/>
          </w:tcPr>
          <w:p w14:paraId="5C216806" w14:textId="77777777" w:rsidR="009D4103" w:rsidRPr="00DC0CBE" w:rsidRDefault="009D4103" w:rsidP="00C97C5D">
            <w:pPr>
              <w:pStyle w:val="Tablehead"/>
            </w:pPr>
            <w:r w:rsidRPr="00DC0CBE">
              <w:rPr>
                <w:rtl/>
              </w:rPr>
              <w:t>حالات الدراسة</w:t>
            </w:r>
          </w:p>
        </w:tc>
      </w:tr>
      <w:tr w:rsidR="00246115" w:rsidRPr="00DC0CBE" w14:paraId="3F851AA9" w14:textId="77777777" w:rsidTr="001F6293">
        <w:trPr>
          <w:trHeight w:val="270"/>
          <w:tblHeader/>
          <w:jc w:val="center"/>
        </w:trPr>
        <w:tc>
          <w:tcPr>
            <w:tcW w:w="1218" w:type="dxa"/>
            <w:vMerge/>
            <w:vAlign w:val="center"/>
          </w:tcPr>
          <w:p w14:paraId="10FF3FF5" w14:textId="77777777" w:rsidR="009D4103" w:rsidRPr="00DC0CBE" w:rsidDel="00A14716" w:rsidRDefault="009D4103" w:rsidP="00C97C5D">
            <w:pPr>
              <w:pStyle w:val="Tablehead"/>
            </w:pPr>
          </w:p>
        </w:tc>
        <w:tc>
          <w:tcPr>
            <w:tcW w:w="2126" w:type="dxa"/>
            <w:tcBorders>
              <w:left w:val="single" w:sz="4" w:space="0" w:color="000000" w:themeColor="text1"/>
            </w:tcBorders>
            <w:shd w:val="clear" w:color="auto" w:fill="DBE5F1" w:themeFill="accent1" w:themeFillTint="33"/>
            <w:vAlign w:val="center"/>
          </w:tcPr>
          <w:p w14:paraId="2B455B45" w14:textId="77777777" w:rsidR="009D4103" w:rsidRPr="00DC0CBE" w:rsidRDefault="009D4103" w:rsidP="00C97C5D">
            <w:pPr>
              <w:pStyle w:val="Tablehead"/>
            </w:pPr>
            <w:r w:rsidRPr="00DC0CBE">
              <w:rPr>
                <w:rtl/>
              </w:rPr>
              <w:t>توصيات القطاع</w:t>
            </w:r>
            <w:r w:rsidR="002B21F6" w:rsidRPr="00DC0CBE">
              <w:rPr>
                <w:rtl/>
              </w:rPr>
              <w:t xml:space="preserve"> </w:t>
            </w:r>
            <w:r w:rsidR="002B21F6" w:rsidRPr="00DC0CBE">
              <w:t>ITU-R</w:t>
            </w:r>
            <w:r w:rsidRPr="00DC0CBE">
              <w:rPr>
                <w:rtl/>
              </w:rPr>
              <w:t xml:space="preserve"> التي نالت الموافقة</w:t>
            </w:r>
          </w:p>
        </w:tc>
        <w:tc>
          <w:tcPr>
            <w:tcW w:w="2126" w:type="dxa"/>
            <w:tcBorders>
              <w:left w:val="single" w:sz="4" w:space="0" w:color="000000" w:themeColor="text1"/>
            </w:tcBorders>
            <w:shd w:val="clear" w:color="auto" w:fill="DBE5F1" w:themeFill="accent1" w:themeFillTint="33"/>
            <w:vAlign w:val="center"/>
          </w:tcPr>
          <w:p w14:paraId="1ECB2190" w14:textId="77777777" w:rsidR="009D4103" w:rsidRPr="00DC0CBE" w:rsidRDefault="009D4103" w:rsidP="00C97C5D">
            <w:pPr>
              <w:pStyle w:val="Tablehead"/>
            </w:pPr>
            <w:r w:rsidRPr="00DC0CBE">
              <w:rPr>
                <w:rtl/>
              </w:rPr>
              <w:t>تقارير القطاع</w:t>
            </w:r>
            <w:r w:rsidR="002B21F6" w:rsidRPr="00DC0CBE">
              <w:rPr>
                <w:rtl/>
              </w:rPr>
              <w:t xml:space="preserve"> </w:t>
            </w:r>
            <w:r w:rsidR="002B21F6" w:rsidRPr="00DC0CBE">
              <w:t>ITU-R</w:t>
            </w:r>
            <w:r w:rsidRPr="00DC0CBE">
              <w:rPr>
                <w:rtl/>
              </w:rPr>
              <w:t xml:space="preserve"> التي نالت الموافقة</w:t>
            </w:r>
          </w:p>
        </w:tc>
        <w:tc>
          <w:tcPr>
            <w:tcW w:w="1418" w:type="dxa"/>
            <w:tcBorders>
              <w:left w:val="single" w:sz="4" w:space="0" w:color="000000" w:themeColor="text1"/>
            </w:tcBorders>
            <w:shd w:val="clear" w:color="auto" w:fill="DBE5F1" w:themeFill="accent1" w:themeFillTint="33"/>
            <w:vAlign w:val="center"/>
          </w:tcPr>
          <w:p w14:paraId="71D34D54" w14:textId="77777777" w:rsidR="009D4103" w:rsidRPr="00DC0CBE" w:rsidRDefault="009D4103" w:rsidP="00C97C5D">
            <w:pPr>
              <w:pStyle w:val="Tablehead"/>
            </w:pPr>
            <w:r w:rsidRPr="00DC0CBE">
              <w:rPr>
                <w:rtl/>
              </w:rPr>
              <w:t xml:space="preserve">مسائل القطاع </w:t>
            </w:r>
            <w:r w:rsidRPr="00DC0CBE">
              <w:t>ITU-R</w:t>
            </w:r>
            <w:r w:rsidRPr="00DC0CBE">
              <w:rPr>
                <w:rtl/>
              </w:rPr>
              <w:t xml:space="preserve"> التي نالت الموافقة</w:t>
            </w:r>
          </w:p>
        </w:tc>
        <w:tc>
          <w:tcPr>
            <w:tcW w:w="1417" w:type="dxa"/>
            <w:tcBorders>
              <w:left w:val="single" w:sz="4" w:space="0" w:color="000000" w:themeColor="text1"/>
            </w:tcBorders>
            <w:shd w:val="clear" w:color="auto" w:fill="DBE5F1" w:themeFill="accent1" w:themeFillTint="33"/>
            <w:vAlign w:val="center"/>
          </w:tcPr>
          <w:p w14:paraId="524A7C50" w14:textId="77777777" w:rsidR="009D4103" w:rsidRPr="00DC0CBE" w:rsidRDefault="009D4103" w:rsidP="00C97C5D">
            <w:pPr>
              <w:pStyle w:val="Tablehead"/>
            </w:pPr>
            <w:r w:rsidRPr="00DC0CBE">
              <w:rPr>
                <w:rtl/>
              </w:rPr>
              <w:t xml:space="preserve">كتيبات القطاع </w:t>
            </w:r>
            <w:r w:rsidRPr="00DC0CBE">
              <w:t>ITU-R</w:t>
            </w:r>
            <w:r w:rsidRPr="00DC0CBE">
              <w:rPr>
                <w:rtl/>
              </w:rPr>
              <w:t xml:space="preserve"> التي نالت الموافقة</w:t>
            </w:r>
          </w:p>
        </w:tc>
        <w:tc>
          <w:tcPr>
            <w:tcW w:w="1414" w:type="dxa"/>
            <w:tcBorders>
              <w:left w:val="single" w:sz="4" w:space="0" w:color="000000" w:themeColor="text1"/>
            </w:tcBorders>
            <w:shd w:val="clear" w:color="auto" w:fill="DBE5F1" w:themeFill="accent1" w:themeFillTint="33"/>
            <w:vAlign w:val="center"/>
          </w:tcPr>
          <w:p w14:paraId="0E8FD904" w14:textId="77777777" w:rsidR="009D4103" w:rsidRPr="00DC0CBE" w:rsidRDefault="009D4103" w:rsidP="00C97C5D">
            <w:pPr>
              <w:pStyle w:val="Tablehead"/>
            </w:pPr>
            <w:r w:rsidRPr="00DC0CBE">
              <w:rPr>
                <w:rtl/>
              </w:rPr>
              <w:t>آراء القطاع</w:t>
            </w:r>
            <w:r w:rsidR="001F6293" w:rsidRPr="00DC0CBE">
              <w:rPr>
                <w:rtl/>
              </w:rPr>
              <w:br/>
            </w:r>
            <w:r w:rsidRPr="00DC0CBE">
              <w:t>ITU-R</w:t>
            </w:r>
            <w:r w:rsidRPr="00DC0CBE">
              <w:rPr>
                <w:rtl/>
              </w:rPr>
              <w:t xml:space="preserve"> التي نالت الموافقة</w:t>
            </w:r>
          </w:p>
        </w:tc>
      </w:tr>
      <w:tr w:rsidR="00246115" w:rsidRPr="00DC0CBE" w14:paraId="25F0B652" w14:textId="77777777" w:rsidTr="001F6293">
        <w:trPr>
          <w:trHeight w:val="270"/>
          <w:jc w:val="center"/>
        </w:trPr>
        <w:tc>
          <w:tcPr>
            <w:tcW w:w="1218" w:type="dxa"/>
            <w:tcBorders>
              <w:right w:val="single" w:sz="4" w:space="0" w:color="000000" w:themeColor="text1"/>
            </w:tcBorders>
            <w:shd w:val="clear" w:color="auto" w:fill="auto"/>
          </w:tcPr>
          <w:p w14:paraId="705CA5AD" w14:textId="77777777" w:rsidR="00246115" w:rsidRPr="00DC0CBE" w:rsidDel="00A14716" w:rsidRDefault="00246115" w:rsidP="00C97C5D">
            <w:pPr>
              <w:pStyle w:val="Tabletext"/>
              <w:jc w:val="center"/>
              <w:rPr>
                <w:b/>
                <w:bCs/>
              </w:rPr>
            </w:pPr>
            <w:r w:rsidRPr="00DC0CBE">
              <w:rPr>
                <w:b/>
                <w:bCs/>
                <w:rtl/>
              </w:rPr>
              <w:t xml:space="preserve">لجنة الدراسات </w:t>
            </w:r>
            <w:r w:rsidRPr="00DC0CBE">
              <w:rPr>
                <w:b/>
                <w:bCs/>
              </w:rPr>
              <w:t>1</w:t>
            </w:r>
            <w:r w:rsidRPr="00DC0CBE">
              <w:rPr>
                <w:b/>
                <w:bCs/>
                <w:rtl/>
              </w:rPr>
              <w:t xml:space="preserve"> </w:t>
            </w:r>
            <w:r w:rsidRPr="00DC0CBE">
              <w:rPr>
                <w:b/>
                <w:bCs/>
              </w:rPr>
              <w:t>(SG 1)</w:t>
            </w:r>
          </w:p>
        </w:tc>
        <w:tc>
          <w:tcPr>
            <w:tcW w:w="2126" w:type="dxa"/>
            <w:tcBorders>
              <w:left w:val="single" w:sz="4" w:space="0" w:color="000000" w:themeColor="text1"/>
            </w:tcBorders>
            <w:shd w:val="clear" w:color="auto" w:fill="auto"/>
          </w:tcPr>
          <w:p w14:paraId="2D4CC759" w14:textId="77777777" w:rsidR="00246115" w:rsidRPr="00DC0CBE" w:rsidRDefault="00246115" w:rsidP="00DC0CBE">
            <w:pPr>
              <w:pStyle w:val="Tabletext"/>
              <w:jc w:val="left"/>
            </w:pPr>
            <w:r w:rsidRPr="00DC0CBE">
              <w:t>SM.329-13</w:t>
            </w:r>
            <w:r w:rsidRPr="00DC0CBE">
              <w:rPr>
                <w:rtl/>
              </w:rPr>
              <w:t xml:space="preserve">، </w:t>
            </w:r>
            <w:r w:rsidRPr="00DC0CBE">
              <w:t>SM.853-2</w:t>
            </w:r>
            <w:r w:rsidRPr="00DC0CBE">
              <w:rPr>
                <w:rtl/>
              </w:rPr>
              <w:t xml:space="preserve">، </w:t>
            </w:r>
            <w:r w:rsidRPr="00DC0CBE">
              <w:t>SM.1539-2</w:t>
            </w:r>
            <w:r w:rsidRPr="00DC0CBE">
              <w:rPr>
                <w:rtl/>
              </w:rPr>
              <w:t xml:space="preserve">، </w:t>
            </w:r>
            <w:r w:rsidRPr="00DC0CBE">
              <w:t>SM.1541-7</w:t>
            </w:r>
            <w:r w:rsidRPr="00DC0CBE">
              <w:rPr>
                <w:rtl/>
              </w:rPr>
              <w:t xml:space="preserve">، </w:t>
            </w:r>
            <w:r w:rsidRPr="00DC0CBE">
              <w:t>SM.2129-1</w:t>
            </w:r>
          </w:p>
        </w:tc>
        <w:tc>
          <w:tcPr>
            <w:tcW w:w="2126" w:type="dxa"/>
            <w:tcBorders>
              <w:left w:val="single" w:sz="4" w:space="0" w:color="000000" w:themeColor="text1"/>
            </w:tcBorders>
            <w:shd w:val="clear" w:color="auto" w:fill="auto"/>
          </w:tcPr>
          <w:p w14:paraId="75887194" w14:textId="77777777" w:rsidR="00246115" w:rsidRPr="00DC0CBE" w:rsidRDefault="00246115" w:rsidP="00DC0CBE">
            <w:pPr>
              <w:pStyle w:val="Tabletext"/>
              <w:jc w:val="left"/>
            </w:pPr>
            <w:r w:rsidRPr="00DC0CBE">
              <w:t>SM.2486-1</w:t>
            </w:r>
            <w:r w:rsidRPr="00DC0CBE">
              <w:rPr>
                <w:rtl/>
              </w:rPr>
              <w:t xml:space="preserve">، </w:t>
            </w:r>
            <w:r w:rsidRPr="00DC0CBE">
              <w:t>SM.2449-1</w:t>
            </w:r>
            <w:r w:rsidRPr="00DC0CBE">
              <w:rPr>
                <w:rtl/>
              </w:rPr>
              <w:t xml:space="preserve">، </w:t>
            </w:r>
            <w:r w:rsidRPr="00DC0CBE">
              <w:t>SM.2542-0</w:t>
            </w:r>
          </w:p>
        </w:tc>
        <w:tc>
          <w:tcPr>
            <w:tcW w:w="1418" w:type="dxa"/>
            <w:tcBorders>
              <w:left w:val="single" w:sz="4" w:space="0" w:color="000000" w:themeColor="text1"/>
            </w:tcBorders>
            <w:shd w:val="clear" w:color="auto" w:fill="auto"/>
          </w:tcPr>
          <w:p w14:paraId="0E7A2937" w14:textId="77777777" w:rsidR="00246115" w:rsidRPr="00DC0CBE" w:rsidRDefault="00246115" w:rsidP="00C97C5D">
            <w:pPr>
              <w:pStyle w:val="Tabletext"/>
            </w:pPr>
          </w:p>
        </w:tc>
        <w:tc>
          <w:tcPr>
            <w:tcW w:w="1417" w:type="dxa"/>
            <w:tcBorders>
              <w:left w:val="single" w:sz="4" w:space="0" w:color="000000" w:themeColor="text1"/>
            </w:tcBorders>
          </w:tcPr>
          <w:p w14:paraId="7F8BCC90" w14:textId="77777777" w:rsidR="00246115" w:rsidRPr="00DC0CBE" w:rsidRDefault="00246115" w:rsidP="00C97C5D">
            <w:pPr>
              <w:pStyle w:val="Tabletext"/>
            </w:pPr>
          </w:p>
        </w:tc>
        <w:tc>
          <w:tcPr>
            <w:tcW w:w="1414" w:type="dxa"/>
            <w:tcBorders>
              <w:left w:val="single" w:sz="4" w:space="0" w:color="000000" w:themeColor="text1"/>
            </w:tcBorders>
          </w:tcPr>
          <w:p w14:paraId="3133A93F" w14:textId="77777777" w:rsidR="00246115" w:rsidRPr="00DC0CBE" w:rsidRDefault="00246115" w:rsidP="00C97C5D">
            <w:pPr>
              <w:pStyle w:val="Tabletext"/>
            </w:pPr>
          </w:p>
        </w:tc>
      </w:tr>
      <w:tr w:rsidR="00246115" w:rsidRPr="00DC0CBE" w14:paraId="31522EA4" w14:textId="77777777" w:rsidTr="001F6293">
        <w:trPr>
          <w:trHeight w:val="270"/>
          <w:jc w:val="center"/>
        </w:trPr>
        <w:tc>
          <w:tcPr>
            <w:tcW w:w="1218" w:type="dxa"/>
            <w:tcBorders>
              <w:right w:val="single" w:sz="4" w:space="0" w:color="000000" w:themeColor="text1"/>
            </w:tcBorders>
            <w:shd w:val="clear" w:color="auto" w:fill="auto"/>
          </w:tcPr>
          <w:p w14:paraId="1E8F38DD" w14:textId="77777777" w:rsidR="00246115" w:rsidRPr="00DC0CBE" w:rsidDel="00A14716" w:rsidRDefault="00246115" w:rsidP="00C97C5D">
            <w:pPr>
              <w:pStyle w:val="Tabletext"/>
              <w:jc w:val="center"/>
              <w:rPr>
                <w:b/>
                <w:bCs/>
              </w:rPr>
            </w:pPr>
            <w:r w:rsidRPr="00DC0CBE">
              <w:rPr>
                <w:b/>
                <w:bCs/>
                <w:rtl/>
              </w:rPr>
              <w:t xml:space="preserve">لجنة الدراسات </w:t>
            </w:r>
            <w:r w:rsidRPr="00DC0CBE">
              <w:rPr>
                <w:b/>
                <w:bCs/>
              </w:rPr>
              <w:t>3</w:t>
            </w:r>
            <w:r w:rsidRPr="00DC0CBE">
              <w:rPr>
                <w:b/>
                <w:bCs/>
                <w:rtl/>
              </w:rPr>
              <w:t xml:space="preserve"> </w:t>
            </w:r>
            <w:r w:rsidRPr="00DC0CBE">
              <w:rPr>
                <w:b/>
                <w:bCs/>
              </w:rPr>
              <w:t>(SG 3)</w:t>
            </w:r>
          </w:p>
        </w:tc>
        <w:tc>
          <w:tcPr>
            <w:tcW w:w="2126" w:type="dxa"/>
            <w:tcBorders>
              <w:left w:val="single" w:sz="4" w:space="0" w:color="000000" w:themeColor="text1"/>
            </w:tcBorders>
            <w:shd w:val="clear" w:color="auto" w:fill="auto"/>
          </w:tcPr>
          <w:p w14:paraId="77853E4A" w14:textId="77777777" w:rsidR="00246115" w:rsidRPr="00DC0CBE" w:rsidRDefault="00246115" w:rsidP="00DC0CBE">
            <w:pPr>
              <w:pStyle w:val="Tabletext"/>
              <w:jc w:val="left"/>
            </w:pPr>
            <w:r w:rsidRPr="00DC0CBE">
              <w:t>P.372-17</w:t>
            </w:r>
            <w:r w:rsidRPr="00DC0CBE">
              <w:rPr>
                <w:rtl/>
              </w:rPr>
              <w:t xml:space="preserve">، </w:t>
            </w:r>
            <w:r w:rsidRPr="00DC0CBE">
              <w:t>P.525-5</w:t>
            </w:r>
            <w:r w:rsidRPr="00DC0CBE">
              <w:rPr>
                <w:rtl/>
              </w:rPr>
              <w:t xml:space="preserve">، </w:t>
            </w:r>
            <w:r w:rsidRPr="00DC0CBE">
              <w:t>P.835</w:t>
            </w:r>
            <w:r w:rsidRPr="00DC0CBE">
              <w:noBreakHyphen/>
              <w:t>7</w:t>
            </w:r>
            <w:r w:rsidRPr="00DC0CBE">
              <w:rPr>
                <w:rtl/>
              </w:rPr>
              <w:t xml:space="preserve">، </w:t>
            </w:r>
            <w:r w:rsidRPr="00DC0CBE">
              <w:t>P.1511-3</w:t>
            </w:r>
          </w:p>
        </w:tc>
        <w:tc>
          <w:tcPr>
            <w:tcW w:w="2126" w:type="dxa"/>
            <w:tcBorders>
              <w:left w:val="single" w:sz="4" w:space="0" w:color="000000" w:themeColor="text1"/>
            </w:tcBorders>
            <w:shd w:val="clear" w:color="auto" w:fill="auto"/>
          </w:tcPr>
          <w:p w14:paraId="4DB38C13" w14:textId="77777777" w:rsidR="00246115" w:rsidRPr="00DC0CBE" w:rsidRDefault="00246115" w:rsidP="00DC0CBE">
            <w:pPr>
              <w:pStyle w:val="Tabletext"/>
              <w:jc w:val="left"/>
            </w:pPr>
          </w:p>
        </w:tc>
        <w:tc>
          <w:tcPr>
            <w:tcW w:w="1418" w:type="dxa"/>
            <w:tcBorders>
              <w:left w:val="single" w:sz="4" w:space="0" w:color="000000" w:themeColor="text1"/>
            </w:tcBorders>
            <w:shd w:val="clear" w:color="auto" w:fill="auto"/>
          </w:tcPr>
          <w:p w14:paraId="7C11A405" w14:textId="77777777" w:rsidR="00246115" w:rsidRPr="00DC0CBE" w:rsidRDefault="00246115" w:rsidP="00C97C5D">
            <w:pPr>
              <w:pStyle w:val="Tabletext"/>
            </w:pPr>
          </w:p>
        </w:tc>
        <w:tc>
          <w:tcPr>
            <w:tcW w:w="1417" w:type="dxa"/>
            <w:tcBorders>
              <w:left w:val="single" w:sz="4" w:space="0" w:color="000000" w:themeColor="text1"/>
            </w:tcBorders>
          </w:tcPr>
          <w:p w14:paraId="4BCE3BF7" w14:textId="77777777" w:rsidR="00246115" w:rsidRPr="00DC0CBE" w:rsidRDefault="00246115" w:rsidP="00C97C5D">
            <w:pPr>
              <w:pStyle w:val="Tabletext"/>
            </w:pPr>
          </w:p>
        </w:tc>
        <w:tc>
          <w:tcPr>
            <w:tcW w:w="1414" w:type="dxa"/>
            <w:tcBorders>
              <w:left w:val="single" w:sz="4" w:space="0" w:color="000000" w:themeColor="text1"/>
            </w:tcBorders>
          </w:tcPr>
          <w:p w14:paraId="41DF5F27" w14:textId="77777777" w:rsidR="00246115" w:rsidRPr="00DC0CBE" w:rsidRDefault="00246115" w:rsidP="00C97C5D">
            <w:pPr>
              <w:pStyle w:val="Tabletext"/>
            </w:pPr>
          </w:p>
        </w:tc>
      </w:tr>
      <w:tr w:rsidR="00246115" w:rsidRPr="00DC0CBE" w14:paraId="2AD5BA1C" w14:textId="77777777" w:rsidTr="001F6293">
        <w:trPr>
          <w:trHeight w:val="270"/>
          <w:jc w:val="center"/>
        </w:trPr>
        <w:tc>
          <w:tcPr>
            <w:tcW w:w="1218" w:type="dxa"/>
            <w:tcBorders>
              <w:right w:val="single" w:sz="4" w:space="0" w:color="000000" w:themeColor="text1"/>
            </w:tcBorders>
            <w:shd w:val="clear" w:color="auto" w:fill="auto"/>
          </w:tcPr>
          <w:p w14:paraId="38D40A64" w14:textId="77777777" w:rsidR="00246115" w:rsidRPr="00DC0CBE" w:rsidDel="00A14716" w:rsidRDefault="00246115" w:rsidP="00C97C5D">
            <w:pPr>
              <w:pStyle w:val="Tabletext"/>
              <w:jc w:val="center"/>
              <w:rPr>
                <w:b/>
                <w:bCs/>
              </w:rPr>
            </w:pPr>
            <w:r w:rsidRPr="00DC0CBE">
              <w:rPr>
                <w:b/>
                <w:bCs/>
                <w:rtl/>
              </w:rPr>
              <w:t xml:space="preserve">لجنة الدراسات </w:t>
            </w:r>
            <w:r w:rsidRPr="00DC0CBE">
              <w:rPr>
                <w:b/>
                <w:bCs/>
              </w:rPr>
              <w:t>4</w:t>
            </w:r>
            <w:r w:rsidRPr="00DC0CBE">
              <w:rPr>
                <w:b/>
                <w:bCs/>
                <w:rtl/>
              </w:rPr>
              <w:t xml:space="preserve"> </w:t>
            </w:r>
            <w:r w:rsidRPr="00DC0CBE">
              <w:rPr>
                <w:b/>
                <w:bCs/>
              </w:rPr>
              <w:t>(SG 4)</w:t>
            </w:r>
          </w:p>
        </w:tc>
        <w:tc>
          <w:tcPr>
            <w:tcW w:w="2126" w:type="dxa"/>
            <w:tcBorders>
              <w:left w:val="single" w:sz="4" w:space="0" w:color="000000" w:themeColor="text1"/>
            </w:tcBorders>
            <w:shd w:val="clear" w:color="auto" w:fill="auto"/>
          </w:tcPr>
          <w:p w14:paraId="399F7CBD" w14:textId="77777777" w:rsidR="00246115" w:rsidRPr="00DC0CBE" w:rsidRDefault="00246115" w:rsidP="00DC0CBE">
            <w:pPr>
              <w:pStyle w:val="Tabletext"/>
              <w:jc w:val="left"/>
            </w:pPr>
            <w:r w:rsidRPr="00DC0CBE">
              <w:t>M.1787-5</w:t>
            </w:r>
            <w:r w:rsidRPr="00DC0CBE">
              <w:rPr>
                <w:rtl/>
              </w:rPr>
              <w:t xml:space="preserve">، </w:t>
            </w:r>
            <w:r w:rsidRPr="00DC0CBE">
              <w:t>S.1328-5</w:t>
            </w:r>
          </w:p>
        </w:tc>
        <w:tc>
          <w:tcPr>
            <w:tcW w:w="2126" w:type="dxa"/>
            <w:tcBorders>
              <w:left w:val="single" w:sz="4" w:space="0" w:color="000000" w:themeColor="text1"/>
            </w:tcBorders>
            <w:shd w:val="clear" w:color="auto" w:fill="auto"/>
          </w:tcPr>
          <w:p w14:paraId="36813368" w14:textId="77777777" w:rsidR="00246115" w:rsidRPr="00DC0CBE" w:rsidRDefault="00246115" w:rsidP="00DC0CBE">
            <w:pPr>
              <w:pStyle w:val="Tabletext"/>
              <w:jc w:val="left"/>
            </w:pPr>
            <w:r w:rsidRPr="00DC0CBE">
              <w:t>BO.2497-1</w:t>
            </w:r>
            <w:r w:rsidRPr="00DC0CBE">
              <w:rPr>
                <w:rtl/>
              </w:rPr>
              <w:t xml:space="preserve">، </w:t>
            </w:r>
            <w:r w:rsidRPr="00DC0CBE">
              <w:t>M.2513-1</w:t>
            </w:r>
            <w:r w:rsidRPr="00DC0CBE">
              <w:rPr>
                <w:rtl/>
              </w:rPr>
              <w:t xml:space="preserve">، </w:t>
            </w:r>
            <w:r w:rsidRPr="00DC0CBE">
              <w:t>M.2543-0</w:t>
            </w:r>
            <w:r w:rsidRPr="00DC0CBE">
              <w:rPr>
                <w:rtl/>
              </w:rPr>
              <w:t xml:space="preserve">، </w:t>
            </w:r>
            <w:r w:rsidRPr="00DC0CBE">
              <w:t>S.2546-0</w:t>
            </w:r>
          </w:p>
        </w:tc>
        <w:tc>
          <w:tcPr>
            <w:tcW w:w="1418" w:type="dxa"/>
            <w:tcBorders>
              <w:left w:val="single" w:sz="4" w:space="0" w:color="000000" w:themeColor="text1"/>
            </w:tcBorders>
            <w:shd w:val="clear" w:color="auto" w:fill="auto"/>
          </w:tcPr>
          <w:p w14:paraId="159DE0F8" w14:textId="77777777" w:rsidR="00246115" w:rsidRPr="00DC0CBE" w:rsidRDefault="00246115" w:rsidP="00C97C5D">
            <w:pPr>
              <w:pStyle w:val="Tabletext"/>
            </w:pPr>
          </w:p>
        </w:tc>
        <w:tc>
          <w:tcPr>
            <w:tcW w:w="1417" w:type="dxa"/>
            <w:tcBorders>
              <w:left w:val="single" w:sz="4" w:space="0" w:color="000000" w:themeColor="text1"/>
            </w:tcBorders>
          </w:tcPr>
          <w:p w14:paraId="64CC48CF" w14:textId="77777777" w:rsidR="00246115" w:rsidRPr="00DC0CBE" w:rsidRDefault="00246115" w:rsidP="00C97C5D">
            <w:pPr>
              <w:pStyle w:val="Tabletext"/>
            </w:pPr>
          </w:p>
        </w:tc>
        <w:tc>
          <w:tcPr>
            <w:tcW w:w="1414" w:type="dxa"/>
            <w:tcBorders>
              <w:left w:val="single" w:sz="4" w:space="0" w:color="000000" w:themeColor="text1"/>
            </w:tcBorders>
          </w:tcPr>
          <w:p w14:paraId="0C120851" w14:textId="77777777" w:rsidR="00246115" w:rsidRPr="00DC0CBE" w:rsidRDefault="00246115" w:rsidP="00C97C5D">
            <w:pPr>
              <w:pStyle w:val="Tabletext"/>
            </w:pPr>
          </w:p>
        </w:tc>
      </w:tr>
      <w:tr w:rsidR="00246115" w:rsidRPr="00DC0CBE" w14:paraId="05695C94" w14:textId="77777777" w:rsidTr="001F6293">
        <w:trPr>
          <w:trHeight w:val="270"/>
          <w:jc w:val="center"/>
        </w:trPr>
        <w:tc>
          <w:tcPr>
            <w:tcW w:w="1218" w:type="dxa"/>
            <w:tcBorders>
              <w:right w:val="single" w:sz="4" w:space="0" w:color="000000" w:themeColor="text1"/>
            </w:tcBorders>
            <w:shd w:val="clear" w:color="auto" w:fill="auto"/>
          </w:tcPr>
          <w:p w14:paraId="64517DDD" w14:textId="77777777" w:rsidR="00246115" w:rsidRPr="00DC0CBE" w:rsidDel="00A14716" w:rsidRDefault="00246115" w:rsidP="00C97C5D">
            <w:pPr>
              <w:pStyle w:val="Tabletext"/>
              <w:jc w:val="center"/>
              <w:rPr>
                <w:b/>
                <w:bCs/>
              </w:rPr>
            </w:pPr>
            <w:r w:rsidRPr="00DC0CBE">
              <w:rPr>
                <w:b/>
                <w:bCs/>
                <w:rtl/>
              </w:rPr>
              <w:t xml:space="preserve">لجنة الدراسات </w:t>
            </w:r>
            <w:r w:rsidRPr="00DC0CBE">
              <w:rPr>
                <w:b/>
                <w:bCs/>
              </w:rPr>
              <w:t>5</w:t>
            </w:r>
            <w:r w:rsidRPr="00DC0CBE">
              <w:rPr>
                <w:b/>
                <w:bCs/>
                <w:rtl/>
              </w:rPr>
              <w:t xml:space="preserve"> </w:t>
            </w:r>
            <w:r w:rsidRPr="00DC0CBE">
              <w:rPr>
                <w:b/>
                <w:bCs/>
              </w:rPr>
              <w:t>(SG 5)</w:t>
            </w:r>
          </w:p>
        </w:tc>
        <w:tc>
          <w:tcPr>
            <w:tcW w:w="2126" w:type="dxa"/>
            <w:tcBorders>
              <w:left w:val="single" w:sz="4" w:space="0" w:color="000000" w:themeColor="text1"/>
            </w:tcBorders>
            <w:shd w:val="clear" w:color="auto" w:fill="auto"/>
          </w:tcPr>
          <w:p w14:paraId="2556823F" w14:textId="77777777" w:rsidR="00246115" w:rsidRPr="00DC0CBE" w:rsidRDefault="00246115" w:rsidP="00DC0CBE">
            <w:pPr>
              <w:pStyle w:val="Tabletext"/>
              <w:jc w:val="left"/>
            </w:pPr>
            <w:r w:rsidRPr="00DC0CBE">
              <w:t>F.758-8</w:t>
            </w:r>
            <w:r w:rsidRPr="00DC0CBE">
              <w:rPr>
                <w:rtl/>
              </w:rPr>
              <w:t xml:space="preserve">، </w:t>
            </w:r>
            <w:r w:rsidRPr="00DC0CBE">
              <w:t>M.1041-3</w:t>
            </w:r>
          </w:p>
        </w:tc>
        <w:tc>
          <w:tcPr>
            <w:tcW w:w="2126" w:type="dxa"/>
            <w:tcBorders>
              <w:left w:val="single" w:sz="4" w:space="0" w:color="000000" w:themeColor="text1"/>
            </w:tcBorders>
            <w:shd w:val="clear" w:color="auto" w:fill="auto"/>
          </w:tcPr>
          <w:p w14:paraId="02CF6124" w14:textId="77777777" w:rsidR="00246115" w:rsidRPr="00DC0CBE" w:rsidRDefault="00246115" w:rsidP="00DC0CBE">
            <w:pPr>
              <w:pStyle w:val="Tabletext"/>
              <w:jc w:val="left"/>
            </w:pPr>
            <w:r w:rsidRPr="00DC0CBE">
              <w:t>F.2416-1</w:t>
            </w:r>
            <w:r w:rsidRPr="00DC0CBE">
              <w:rPr>
                <w:rtl/>
              </w:rPr>
              <w:t xml:space="preserve">، </w:t>
            </w:r>
            <w:r w:rsidRPr="00DC0CBE">
              <w:t>M.2442-1</w:t>
            </w:r>
            <w:r w:rsidRPr="00DC0CBE">
              <w:rPr>
                <w:rtl/>
              </w:rPr>
              <w:t xml:space="preserve">، </w:t>
            </w:r>
            <w:r w:rsidRPr="00DC0CBE">
              <w:t>M.2541-0</w:t>
            </w:r>
            <w:r w:rsidRPr="00DC0CBE">
              <w:rPr>
                <w:rtl/>
              </w:rPr>
              <w:t xml:space="preserve">، </w:t>
            </w:r>
            <w:r w:rsidRPr="00DC0CBE">
              <w:t>M.2547-0</w:t>
            </w:r>
            <w:r w:rsidRPr="00DC0CBE">
              <w:rPr>
                <w:rtl/>
              </w:rPr>
              <w:t xml:space="preserve">، </w:t>
            </w:r>
            <w:r w:rsidRPr="00DC0CBE">
              <w:t>M.2548-0</w:t>
            </w:r>
          </w:p>
        </w:tc>
        <w:tc>
          <w:tcPr>
            <w:tcW w:w="1418" w:type="dxa"/>
            <w:tcBorders>
              <w:left w:val="single" w:sz="4" w:space="0" w:color="000000" w:themeColor="text1"/>
            </w:tcBorders>
            <w:shd w:val="clear" w:color="auto" w:fill="auto"/>
          </w:tcPr>
          <w:p w14:paraId="68CE42AB" w14:textId="77777777" w:rsidR="00246115" w:rsidRPr="00DC0CBE" w:rsidRDefault="00246115" w:rsidP="00C97C5D">
            <w:pPr>
              <w:pStyle w:val="Tabletext"/>
            </w:pPr>
            <w:r w:rsidRPr="00DC0CBE">
              <w:t>265/5</w:t>
            </w:r>
            <w:r w:rsidRPr="00DC0CBE">
              <w:rPr>
                <w:rtl/>
              </w:rPr>
              <w:t xml:space="preserve">، </w:t>
            </w:r>
            <w:r w:rsidRPr="00DC0CBE">
              <w:t xml:space="preserve">266/5 </w:t>
            </w:r>
          </w:p>
        </w:tc>
        <w:tc>
          <w:tcPr>
            <w:tcW w:w="1417" w:type="dxa"/>
            <w:tcBorders>
              <w:left w:val="single" w:sz="4" w:space="0" w:color="000000" w:themeColor="text1"/>
            </w:tcBorders>
          </w:tcPr>
          <w:p w14:paraId="4BE09ADA" w14:textId="77777777" w:rsidR="00246115" w:rsidRPr="00DC0CBE" w:rsidRDefault="00246115" w:rsidP="00C97C5D">
            <w:pPr>
              <w:pStyle w:val="Tabletext"/>
            </w:pPr>
          </w:p>
        </w:tc>
        <w:tc>
          <w:tcPr>
            <w:tcW w:w="1414" w:type="dxa"/>
            <w:tcBorders>
              <w:left w:val="single" w:sz="4" w:space="0" w:color="000000" w:themeColor="text1"/>
            </w:tcBorders>
          </w:tcPr>
          <w:p w14:paraId="02A169ED" w14:textId="77777777" w:rsidR="00246115" w:rsidRPr="00DC0CBE" w:rsidRDefault="00246115" w:rsidP="00C97C5D">
            <w:pPr>
              <w:pStyle w:val="Tabletext"/>
            </w:pPr>
          </w:p>
        </w:tc>
      </w:tr>
      <w:tr w:rsidR="00246115" w:rsidRPr="00DC0CBE" w14:paraId="0D7CE355" w14:textId="77777777" w:rsidTr="001F6293">
        <w:trPr>
          <w:trHeight w:val="270"/>
          <w:jc w:val="center"/>
        </w:trPr>
        <w:tc>
          <w:tcPr>
            <w:tcW w:w="1218" w:type="dxa"/>
            <w:tcBorders>
              <w:right w:val="single" w:sz="4" w:space="0" w:color="000000" w:themeColor="text1"/>
            </w:tcBorders>
            <w:shd w:val="clear" w:color="auto" w:fill="auto"/>
          </w:tcPr>
          <w:p w14:paraId="36114514" w14:textId="77777777" w:rsidR="00246115" w:rsidRPr="00DC0CBE" w:rsidDel="00A14716" w:rsidRDefault="00246115" w:rsidP="00C97C5D">
            <w:pPr>
              <w:pStyle w:val="Tabletext"/>
              <w:jc w:val="center"/>
              <w:rPr>
                <w:b/>
                <w:bCs/>
              </w:rPr>
            </w:pPr>
            <w:r w:rsidRPr="00DC0CBE">
              <w:rPr>
                <w:b/>
                <w:bCs/>
                <w:rtl/>
              </w:rPr>
              <w:t xml:space="preserve">لجنة الدراسات </w:t>
            </w:r>
            <w:r w:rsidRPr="00DC0CBE">
              <w:rPr>
                <w:b/>
                <w:bCs/>
              </w:rPr>
              <w:t>6</w:t>
            </w:r>
            <w:r w:rsidRPr="00DC0CBE">
              <w:rPr>
                <w:b/>
                <w:bCs/>
                <w:rtl/>
              </w:rPr>
              <w:t xml:space="preserve"> </w:t>
            </w:r>
            <w:r w:rsidRPr="00DC0CBE">
              <w:rPr>
                <w:b/>
                <w:bCs/>
              </w:rPr>
              <w:t>(SG 6)</w:t>
            </w:r>
          </w:p>
        </w:tc>
        <w:tc>
          <w:tcPr>
            <w:tcW w:w="2126" w:type="dxa"/>
            <w:tcBorders>
              <w:left w:val="single" w:sz="4" w:space="0" w:color="000000" w:themeColor="text1"/>
            </w:tcBorders>
            <w:shd w:val="clear" w:color="auto" w:fill="auto"/>
          </w:tcPr>
          <w:p w14:paraId="4F93DA49" w14:textId="77777777" w:rsidR="00246115" w:rsidRPr="00DC0CBE" w:rsidRDefault="00246115" w:rsidP="00DC0CBE">
            <w:pPr>
              <w:pStyle w:val="Tabletext"/>
              <w:jc w:val="left"/>
            </w:pPr>
            <w:r w:rsidRPr="00DC0CBE">
              <w:t>BS.2076-3</w:t>
            </w:r>
            <w:r w:rsidRPr="00DC0CBE">
              <w:rPr>
                <w:rtl/>
              </w:rPr>
              <w:t xml:space="preserve">، </w:t>
            </w:r>
            <w:r w:rsidRPr="00DC0CBE">
              <w:t>BS.2094-2</w:t>
            </w:r>
            <w:r w:rsidRPr="00DC0CBE">
              <w:rPr>
                <w:rtl/>
              </w:rPr>
              <w:t xml:space="preserve">، </w:t>
            </w:r>
            <w:r w:rsidRPr="00DC0CBE">
              <w:t>BS.2168-0</w:t>
            </w:r>
            <w:r w:rsidR="001F6293" w:rsidRPr="00DC0CBE">
              <w:rPr>
                <w:rFonts w:hint="cs"/>
                <w:rtl/>
              </w:rPr>
              <w:t>،</w:t>
            </w:r>
          </w:p>
          <w:p w14:paraId="7629FEC1" w14:textId="77777777" w:rsidR="00246115" w:rsidRPr="00DC0CBE" w:rsidRDefault="00246115" w:rsidP="00DC0CBE">
            <w:pPr>
              <w:pStyle w:val="Tabletext"/>
              <w:jc w:val="left"/>
            </w:pPr>
            <w:r w:rsidRPr="00DC0CBE">
              <w:t>BT.1662-1</w:t>
            </w:r>
            <w:r w:rsidRPr="00DC0CBE">
              <w:rPr>
                <w:rtl/>
              </w:rPr>
              <w:t xml:space="preserve">، </w:t>
            </w:r>
            <w:r w:rsidRPr="00DC0CBE">
              <w:t>BT.1666-1</w:t>
            </w:r>
            <w:r w:rsidRPr="00DC0CBE">
              <w:rPr>
                <w:rtl/>
              </w:rPr>
              <w:t xml:space="preserve">، </w:t>
            </w:r>
            <w:r w:rsidRPr="00DC0CBE">
              <w:t>BT.2016-4</w:t>
            </w:r>
            <w:r w:rsidRPr="00DC0CBE">
              <w:rPr>
                <w:rtl/>
              </w:rPr>
              <w:t xml:space="preserve">، </w:t>
            </w:r>
            <w:r w:rsidRPr="00DC0CBE">
              <w:t>BT.2100-3</w:t>
            </w:r>
            <w:r w:rsidRPr="00DC0CBE">
              <w:rPr>
                <w:rtl/>
              </w:rPr>
              <w:t xml:space="preserve">، </w:t>
            </w:r>
            <w:r w:rsidRPr="00DC0CBE">
              <w:t>BT.2123-1</w:t>
            </w:r>
            <w:r w:rsidRPr="00DC0CBE">
              <w:rPr>
                <w:rtl/>
              </w:rPr>
              <w:t xml:space="preserve">، </w:t>
            </w:r>
            <w:r w:rsidRPr="00DC0CBE">
              <w:t>BT.2166-0</w:t>
            </w:r>
            <w:r w:rsidRPr="00DC0CBE">
              <w:rPr>
                <w:rtl/>
              </w:rPr>
              <w:t xml:space="preserve">، </w:t>
            </w:r>
            <w:r w:rsidRPr="00DC0CBE">
              <w:t>BT.2167-0</w:t>
            </w:r>
          </w:p>
        </w:tc>
        <w:tc>
          <w:tcPr>
            <w:tcW w:w="2126" w:type="dxa"/>
            <w:tcBorders>
              <w:left w:val="single" w:sz="4" w:space="0" w:color="000000" w:themeColor="text1"/>
            </w:tcBorders>
            <w:shd w:val="clear" w:color="auto" w:fill="auto"/>
          </w:tcPr>
          <w:p w14:paraId="441F22F5" w14:textId="77777777" w:rsidR="00246115" w:rsidRPr="00DC0CBE" w:rsidRDefault="00246115" w:rsidP="00DC0CBE">
            <w:pPr>
              <w:pStyle w:val="Tabletext"/>
              <w:jc w:val="left"/>
            </w:pPr>
            <w:r w:rsidRPr="00DC0CBE">
              <w:t>BS.2388-5</w:t>
            </w:r>
            <w:r w:rsidRPr="00DC0CBE">
              <w:rPr>
                <w:rtl/>
              </w:rPr>
              <w:t xml:space="preserve">، </w:t>
            </w:r>
            <w:r w:rsidRPr="00DC0CBE">
              <w:t>BS.2493-1</w:t>
            </w:r>
            <w:r w:rsidRPr="00DC0CBE">
              <w:rPr>
                <w:rtl/>
              </w:rPr>
              <w:t xml:space="preserve">، </w:t>
            </w:r>
            <w:r w:rsidRPr="00DC0CBE">
              <w:t>BT.2343-9</w:t>
            </w:r>
            <w:r w:rsidRPr="00DC0CBE">
              <w:rPr>
                <w:rtl/>
              </w:rPr>
              <w:t xml:space="preserve">، </w:t>
            </w:r>
            <w:r w:rsidRPr="00DC0CBE">
              <w:t>BT.2386-5</w:t>
            </w:r>
            <w:r w:rsidRPr="00DC0CBE">
              <w:rPr>
                <w:rtl/>
              </w:rPr>
              <w:t xml:space="preserve">، </w:t>
            </w:r>
            <w:r w:rsidRPr="00DC0CBE">
              <w:t>BT.2389-1</w:t>
            </w:r>
            <w:r w:rsidRPr="00DC0CBE">
              <w:rPr>
                <w:rtl/>
              </w:rPr>
              <w:t xml:space="preserve">، </w:t>
            </w:r>
            <w:r w:rsidRPr="00DC0CBE">
              <w:t>BT.2408-8</w:t>
            </w:r>
            <w:r w:rsidRPr="00DC0CBE">
              <w:rPr>
                <w:rtl/>
              </w:rPr>
              <w:t xml:space="preserve">، </w:t>
            </w:r>
            <w:r w:rsidRPr="00DC0CBE">
              <w:t>BT.2420-7</w:t>
            </w:r>
            <w:r w:rsidRPr="00DC0CBE">
              <w:rPr>
                <w:rtl/>
              </w:rPr>
              <w:t xml:space="preserve">، </w:t>
            </w:r>
            <w:r w:rsidRPr="00DC0CBE">
              <w:t>BT.2467-3</w:t>
            </w:r>
            <w:r w:rsidRPr="00DC0CBE">
              <w:rPr>
                <w:rtl/>
              </w:rPr>
              <w:t xml:space="preserve">، </w:t>
            </w:r>
            <w:r w:rsidRPr="00DC0CBE">
              <w:t>BT.2468-2</w:t>
            </w:r>
            <w:r w:rsidRPr="00DC0CBE">
              <w:rPr>
                <w:rtl/>
              </w:rPr>
              <w:t xml:space="preserve">، </w:t>
            </w:r>
            <w:r w:rsidRPr="00DC0CBE">
              <w:t>BT.2485-3</w:t>
            </w:r>
            <w:r w:rsidRPr="00DC0CBE">
              <w:rPr>
                <w:rtl/>
              </w:rPr>
              <w:t xml:space="preserve">، </w:t>
            </w:r>
            <w:r w:rsidRPr="00DC0CBE">
              <w:t>BT.2506-1</w:t>
            </w:r>
            <w:r w:rsidRPr="00DC0CBE">
              <w:rPr>
                <w:rtl/>
              </w:rPr>
              <w:t xml:space="preserve">، </w:t>
            </w:r>
            <w:r w:rsidRPr="00DC0CBE">
              <w:t>BT.2521-1</w:t>
            </w:r>
            <w:r w:rsidRPr="00DC0CBE">
              <w:rPr>
                <w:rtl/>
              </w:rPr>
              <w:t xml:space="preserve">، </w:t>
            </w:r>
            <w:r w:rsidRPr="00DC0CBE">
              <w:t>BT.2522-1</w:t>
            </w:r>
            <w:r w:rsidRPr="00DC0CBE">
              <w:rPr>
                <w:rtl/>
              </w:rPr>
              <w:t xml:space="preserve">، </w:t>
            </w:r>
            <w:r w:rsidRPr="00DC0CBE">
              <w:t>BT.2526-1</w:t>
            </w:r>
            <w:r w:rsidRPr="00DC0CBE">
              <w:rPr>
                <w:rtl/>
              </w:rPr>
              <w:t xml:space="preserve">، </w:t>
            </w:r>
            <w:r w:rsidRPr="00DC0CBE">
              <w:t>BT.2538-0</w:t>
            </w:r>
            <w:r w:rsidRPr="00DC0CBE">
              <w:rPr>
                <w:rtl/>
              </w:rPr>
              <w:t xml:space="preserve">، </w:t>
            </w:r>
            <w:r w:rsidRPr="00DC0CBE">
              <w:t>BT.2539-0</w:t>
            </w:r>
            <w:r w:rsidRPr="00DC0CBE">
              <w:rPr>
                <w:rtl/>
              </w:rPr>
              <w:t xml:space="preserve">، </w:t>
            </w:r>
            <w:r w:rsidRPr="00DC0CBE">
              <w:lastRenderedPageBreak/>
              <w:t>BT.2540-0</w:t>
            </w:r>
            <w:r w:rsidRPr="00DC0CBE">
              <w:rPr>
                <w:rtl/>
              </w:rPr>
              <w:t xml:space="preserve">، </w:t>
            </w:r>
            <w:r w:rsidRPr="00DC0CBE">
              <w:t>BT.2544-0</w:t>
            </w:r>
            <w:r w:rsidRPr="00DC0CBE">
              <w:rPr>
                <w:rtl/>
              </w:rPr>
              <w:t>،</w:t>
            </w:r>
            <w:r w:rsidRPr="00DC0CBE">
              <w:rPr>
                <w:rFonts w:hint="cs"/>
                <w:rtl/>
              </w:rPr>
              <w:t xml:space="preserve"> </w:t>
            </w:r>
            <w:r w:rsidRPr="00DC0CBE">
              <w:t>BT.2545-0</w:t>
            </w:r>
          </w:p>
        </w:tc>
        <w:tc>
          <w:tcPr>
            <w:tcW w:w="1418" w:type="dxa"/>
            <w:tcBorders>
              <w:left w:val="single" w:sz="4" w:space="0" w:color="000000" w:themeColor="text1"/>
            </w:tcBorders>
            <w:shd w:val="clear" w:color="auto" w:fill="auto"/>
          </w:tcPr>
          <w:p w14:paraId="798CD9C2" w14:textId="2EF5B3F4" w:rsidR="00246115" w:rsidRPr="00DC0CBE" w:rsidRDefault="00246115" w:rsidP="00C97C5D">
            <w:pPr>
              <w:pStyle w:val="Tabletext"/>
            </w:pPr>
            <w:r w:rsidRPr="00DC0CBE">
              <w:lastRenderedPageBreak/>
              <w:t>148/6</w:t>
            </w:r>
          </w:p>
        </w:tc>
        <w:tc>
          <w:tcPr>
            <w:tcW w:w="1417" w:type="dxa"/>
            <w:tcBorders>
              <w:left w:val="single" w:sz="4" w:space="0" w:color="000000" w:themeColor="text1"/>
            </w:tcBorders>
          </w:tcPr>
          <w:p w14:paraId="2B8ACFA1" w14:textId="77777777" w:rsidR="00246115" w:rsidRPr="00DC0CBE" w:rsidRDefault="00246115" w:rsidP="00C97C5D">
            <w:pPr>
              <w:pStyle w:val="Tabletext"/>
            </w:pPr>
          </w:p>
        </w:tc>
        <w:tc>
          <w:tcPr>
            <w:tcW w:w="1414" w:type="dxa"/>
            <w:tcBorders>
              <w:left w:val="single" w:sz="4" w:space="0" w:color="000000" w:themeColor="text1"/>
            </w:tcBorders>
          </w:tcPr>
          <w:p w14:paraId="074C198D" w14:textId="77777777" w:rsidR="00246115" w:rsidRPr="00DC0CBE" w:rsidRDefault="00246115" w:rsidP="00C97C5D">
            <w:pPr>
              <w:pStyle w:val="Tabletext"/>
            </w:pPr>
          </w:p>
        </w:tc>
      </w:tr>
      <w:tr w:rsidR="00246115" w:rsidRPr="00DC0CBE" w14:paraId="19992BA1" w14:textId="77777777" w:rsidTr="001F6293">
        <w:trPr>
          <w:trHeight w:val="270"/>
          <w:jc w:val="center"/>
        </w:trPr>
        <w:tc>
          <w:tcPr>
            <w:tcW w:w="1218" w:type="dxa"/>
            <w:tcBorders>
              <w:bottom w:val="single" w:sz="4" w:space="0" w:color="000000" w:themeColor="text1"/>
              <w:right w:val="single" w:sz="4" w:space="0" w:color="000000" w:themeColor="text1"/>
            </w:tcBorders>
            <w:shd w:val="clear" w:color="auto" w:fill="auto"/>
          </w:tcPr>
          <w:p w14:paraId="0B29F4B2" w14:textId="77777777" w:rsidR="00246115" w:rsidRPr="00DC0CBE" w:rsidRDefault="00246115" w:rsidP="00C97C5D">
            <w:pPr>
              <w:pStyle w:val="Tabletext"/>
              <w:jc w:val="center"/>
              <w:rPr>
                <w:b/>
                <w:bCs/>
              </w:rPr>
            </w:pPr>
            <w:r w:rsidRPr="00DC0CBE">
              <w:rPr>
                <w:b/>
                <w:bCs/>
                <w:rtl/>
              </w:rPr>
              <w:t xml:space="preserve">لجنة الدراسات </w:t>
            </w:r>
            <w:r w:rsidRPr="00DC0CBE">
              <w:rPr>
                <w:b/>
                <w:bCs/>
              </w:rPr>
              <w:t>7</w:t>
            </w:r>
            <w:r w:rsidRPr="00DC0CBE">
              <w:rPr>
                <w:b/>
                <w:bCs/>
                <w:rtl/>
              </w:rPr>
              <w:t xml:space="preserve"> </w:t>
            </w:r>
            <w:r w:rsidRPr="00DC0CBE">
              <w:rPr>
                <w:b/>
                <w:bCs/>
              </w:rPr>
              <w:t>(SG 7)</w:t>
            </w:r>
          </w:p>
        </w:tc>
        <w:tc>
          <w:tcPr>
            <w:tcW w:w="2126" w:type="dxa"/>
            <w:tcBorders>
              <w:left w:val="single" w:sz="4" w:space="0" w:color="000000" w:themeColor="text1"/>
            </w:tcBorders>
            <w:shd w:val="clear" w:color="auto" w:fill="auto"/>
          </w:tcPr>
          <w:p w14:paraId="639D08B5" w14:textId="77777777" w:rsidR="00246115" w:rsidRPr="00DC0CBE" w:rsidRDefault="00246115" w:rsidP="00C97C5D">
            <w:pPr>
              <w:pStyle w:val="Tabletext"/>
            </w:pPr>
          </w:p>
        </w:tc>
        <w:tc>
          <w:tcPr>
            <w:tcW w:w="2126" w:type="dxa"/>
            <w:tcBorders>
              <w:left w:val="single" w:sz="4" w:space="0" w:color="000000" w:themeColor="text1"/>
            </w:tcBorders>
            <w:shd w:val="clear" w:color="auto" w:fill="auto"/>
          </w:tcPr>
          <w:p w14:paraId="1A6402DD" w14:textId="77777777" w:rsidR="00246115" w:rsidRPr="00DC0CBE" w:rsidRDefault="00246115" w:rsidP="00C97C5D">
            <w:pPr>
              <w:pStyle w:val="Tabletext"/>
            </w:pPr>
          </w:p>
        </w:tc>
        <w:tc>
          <w:tcPr>
            <w:tcW w:w="1418" w:type="dxa"/>
            <w:tcBorders>
              <w:left w:val="single" w:sz="4" w:space="0" w:color="000000" w:themeColor="text1"/>
            </w:tcBorders>
            <w:shd w:val="clear" w:color="auto" w:fill="auto"/>
          </w:tcPr>
          <w:p w14:paraId="09CE9C79" w14:textId="77777777" w:rsidR="00246115" w:rsidRPr="00DC0CBE" w:rsidRDefault="00246115" w:rsidP="00C97C5D">
            <w:pPr>
              <w:pStyle w:val="Tabletext"/>
            </w:pPr>
          </w:p>
        </w:tc>
        <w:tc>
          <w:tcPr>
            <w:tcW w:w="1417" w:type="dxa"/>
            <w:tcBorders>
              <w:left w:val="single" w:sz="4" w:space="0" w:color="000000" w:themeColor="text1"/>
            </w:tcBorders>
          </w:tcPr>
          <w:p w14:paraId="56558CAC" w14:textId="77777777" w:rsidR="00246115" w:rsidRPr="00DC0CBE" w:rsidRDefault="00246115" w:rsidP="00C97C5D">
            <w:pPr>
              <w:pStyle w:val="Tabletext"/>
            </w:pPr>
          </w:p>
        </w:tc>
        <w:tc>
          <w:tcPr>
            <w:tcW w:w="1414" w:type="dxa"/>
            <w:tcBorders>
              <w:left w:val="single" w:sz="4" w:space="0" w:color="000000" w:themeColor="text1"/>
            </w:tcBorders>
          </w:tcPr>
          <w:p w14:paraId="2B027D99" w14:textId="77777777" w:rsidR="00246115" w:rsidRPr="00DC0CBE" w:rsidRDefault="00246115" w:rsidP="00C97C5D">
            <w:pPr>
              <w:pStyle w:val="Tabletext"/>
            </w:pPr>
          </w:p>
        </w:tc>
      </w:tr>
    </w:tbl>
    <w:p w14:paraId="242B792F" w14:textId="77777777" w:rsidR="009D4103" w:rsidRPr="00DC0CBE" w:rsidRDefault="009D4103" w:rsidP="001F6293">
      <w:pPr>
        <w:pStyle w:val="Note"/>
      </w:pPr>
      <w:bookmarkStart w:id="20" w:name="_Hlk192677416"/>
      <w:bookmarkStart w:id="21" w:name="_Toc445972794"/>
      <w:bookmarkEnd w:id="19"/>
      <w:r w:rsidRPr="00DC0CBE">
        <w:rPr>
          <w:b/>
          <w:bCs/>
          <w:rtl/>
          <w:lang w:bidi="ar-SA"/>
        </w:rPr>
        <w:t>ملاحظة</w:t>
      </w:r>
      <w:r w:rsidRPr="00DC0CBE">
        <w:rPr>
          <w:rtl/>
          <w:lang w:bidi="ar-SA"/>
        </w:rPr>
        <w:t>: تم تجميع النواتج المذكورة أعلاه وقت إعداد هذه الوثيقة.</w:t>
      </w:r>
    </w:p>
    <w:bookmarkEnd w:id="20"/>
    <w:p w14:paraId="32D4D4AB" w14:textId="77777777" w:rsidR="009D4103" w:rsidRPr="00DC0CBE" w:rsidRDefault="009D4103" w:rsidP="009D4103">
      <w:pPr>
        <w:rPr>
          <w:lang w:val="ar-SA" w:bidi="ar-EG"/>
        </w:rPr>
      </w:pPr>
      <w:r w:rsidRPr="00DC0CBE">
        <w:rPr>
          <w:rtl/>
        </w:rPr>
        <w:t xml:space="preserve">وتجدر الإشارة إلى أن المراجعات </w:t>
      </w:r>
      <w:proofErr w:type="spellStart"/>
      <w:r w:rsidRPr="00DC0CBE">
        <w:rPr>
          <w:rtl/>
        </w:rPr>
        <w:t>الصياغية</w:t>
      </w:r>
      <w:proofErr w:type="spellEnd"/>
      <w:r w:rsidRPr="00DC0CBE">
        <w:rPr>
          <w:rtl/>
        </w:rPr>
        <w:t xml:space="preserve"> لتقارير قطاع الاتصالات الراديوية عُولِجت قياساً على ذلك بحسب الفقرتين </w:t>
      </w:r>
      <w:r w:rsidR="001F6293" w:rsidRPr="00DC0CBE">
        <w:t>4.2.5.A2</w:t>
      </w:r>
      <w:r w:rsidRPr="00DC0CBE">
        <w:rPr>
          <w:rtl/>
        </w:rPr>
        <w:t xml:space="preserve"> و</w:t>
      </w:r>
      <w:r w:rsidR="001F6293" w:rsidRPr="00DC0CBE">
        <w:t>5.2.</w:t>
      </w:r>
      <w:proofErr w:type="gramStart"/>
      <w:r w:rsidR="001F6293" w:rsidRPr="00DC0CBE">
        <w:t>6.A</w:t>
      </w:r>
      <w:proofErr w:type="gramEnd"/>
      <w:r w:rsidR="001F6293" w:rsidRPr="00DC0CBE">
        <w:t>2</w:t>
      </w:r>
      <w:r w:rsidRPr="00DC0CBE">
        <w:rPr>
          <w:rtl/>
        </w:rPr>
        <w:t xml:space="preserve"> من القرار </w:t>
      </w:r>
      <w:r w:rsidRPr="00DC0CBE">
        <w:t>ITU-R 1-9</w:t>
      </w:r>
      <w:r w:rsidRPr="00DC0CBE">
        <w:rPr>
          <w:rtl/>
        </w:rPr>
        <w:t>.</w:t>
      </w:r>
    </w:p>
    <w:p w14:paraId="29EF80BC" w14:textId="77777777" w:rsidR="009D4103" w:rsidRPr="00DC0CBE" w:rsidRDefault="001F6293" w:rsidP="001F6293">
      <w:pPr>
        <w:pStyle w:val="Heading2"/>
        <w:rPr>
          <w:lang w:val="ar-SA"/>
        </w:rPr>
      </w:pPr>
      <w:bookmarkStart w:id="22" w:name="_Toc192766205"/>
      <w:r w:rsidRPr="00DC0CBE">
        <w:t>1.5</w:t>
      </w:r>
      <w:r w:rsidR="009D4103" w:rsidRPr="00DC0CBE">
        <w:rPr>
          <w:rtl/>
        </w:rPr>
        <w:tab/>
        <w:t xml:space="preserve">لجنة دراسات </w:t>
      </w:r>
      <w:r w:rsidRPr="00DC0CBE">
        <w:t>1</w:t>
      </w:r>
      <w:bookmarkEnd w:id="22"/>
    </w:p>
    <w:p w14:paraId="642A7341" w14:textId="77777777" w:rsidR="009D4103" w:rsidRPr="00DC0CBE" w:rsidRDefault="009D4103" w:rsidP="009D4103">
      <w:pPr>
        <w:rPr>
          <w:lang w:val="ar-SA" w:bidi="ar-EG"/>
        </w:rPr>
      </w:pPr>
      <w:r w:rsidRPr="00DC0CBE">
        <w:rPr>
          <w:rtl/>
        </w:rPr>
        <w:t xml:space="preserve">واصلت لجنة الدراسات </w:t>
      </w:r>
      <w:r w:rsidR="001F6293" w:rsidRPr="00DC0CBE">
        <w:t>1</w:t>
      </w:r>
      <w:r w:rsidRPr="00DC0CBE">
        <w:rPr>
          <w:rtl/>
        </w:rPr>
        <w:t xml:space="preserve"> وضع توصيات قطاع الاتصالات الراديوية وتقاريره وكتيباته المتعلقة بمبادئ وتقنيات إدارة الطيف والمبادئ العامة للتشارُك ومراقبة الطيف والاستراتيجيات طويلة الأجل لاستعمال الطيف والنهج الاقتصادية لإدارة الطيف على</w:t>
      </w:r>
      <w:r w:rsidR="00D462C6" w:rsidRPr="00DC0CBE">
        <w:rPr>
          <w:rFonts w:hint="cs"/>
          <w:rtl/>
        </w:rPr>
        <w:t> </w:t>
      </w:r>
      <w:r w:rsidRPr="00DC0CBE">
        <w:rPr>
          <w:rtl/>
        </w:rPr>
        <w:t>الصعيد الوطني والتقنيات المؤتمتة وتقديم المساعدة إلى البلدان النامية بالتعاون مع قطاع تنمية الاتصالات. وشملت الدراسات أيضاً أساليب تحديد التداخل وإزالته والبث غير المطلوب وإدارة قاموس البيانات وإعادة توزيع الطيف وقياس استعمال الطيف والاستعمال غير المرخص والمشترك للطيف والنفاذ الدينامي إلى الطيف والشبكات الذكية وإرسال القدرة لاسلكياً.</w:t>
      </w:r>
    </w:p>
    <w:p w14:paraId="4B945EFA" w14:textId="77777777" w:rsidR="009D4103" w:rsidRPr="00DC0CBE" w:rsidRDefault="009D4103" w:rsidP="009D4103">
      <w:pPr>
        <w:rPr>
          <w:lang w:val="ar-SA" w:bidi="ar-EG"/>
        </w:rPr>
      </w:pPr>
      <w:r w:rsidRPr="00DC0CBE">
        <w:rPr>
          <w:rtl/>
        </w:rPr>
        <w:t xml:space="preserve">وعقدت فرق العمل </w:t>
      </w:r>
      <w:r w:rsidRPr="00DC0CBE">
        <w:t>1A</w:t>
      </w:r>
      <w:r w:rsidRPr="00DC0CBE">
        <w:rPr>
          <w:rtl/>
        </w:rPr>
        <w:t xml:space="preserve"> و</w:t>
      </w:r>
      <w:r w:rsidRPr="00DC0CBE">
        <w:t>1B</w:t>
      </w:r>
      <w:r w:rsidRPr="00DC0CBE">
        <w:rPr>
          <w:rtl/>
        </w:rPr>
        <w:t xml:space="preserve"> و</w:t>
      </w:r>
      <w:r w:rsidRPr="00DC0CBE">
        <w:t>1C</w:t>
      </w:r>
      <w:r w:rsidRPr="00DC0CBE">
        <w:rPr>
          <w:rtl/>
        </w:rPr>
        <w:t xml:space="preserve"> ولجنة الدراسات </w:t>
      </w:r>
      <w:r w:rsidRPr="00DC0CBE">
        <w:t>1</w:t>
      </w:r>
      <w:r w:rsidRPr="00DC0CBE">
        <w:rPr>
          <w:rtl/>
        </w:rPr>
        <w:t xml:space="preserve"> مجموعة من الاجتماعات الحضورية مع المشاركة عن بُعد في الفترة من</w:t>
      </w:r>
      <w:r w:rsidR="00D462C6" w:rsidRPr="00DC0CBE">
        <w:rPr>
          <w:rFonts w:hint="cs"/>
          <w:rtl/>
        </w:rPr>
        <w:t> </w:t>
      </w:r>
      <w:r w:rsidRPr="00DC0CBE">
        <w:t>12</w:t>
      </w:r>
      <w:r w:rsidR="00D462C6" w:rsidRPr="00DC0CBE">
        <w:rPr>
          <w:rFonts w:hint="cs"/>
          <w:rtl/>
        </w:rPr>
        <w:t> </w:t>
      </w:r>
      <w:r w:rsidRPr="00DC0CBE">
        <w:rPr>
          <w:rtl/>
        </w:rPr>
        <w:t xml:space="preserve">إلى </w:t>
      </w:r>
      <w:r w:rsidRPr="00DC0CBE">
        <w:t>20</w:t>
      </w:r>
      <w:r w:rsidRPr="00DC0CBE">
        <w:rPr>
          <w:rtl/>
        </w:rPr>
        <w:t xml:space="preserve"> يونيو </w:t>
      </w:r>
      <w:r w:rsidRPr="00DC0CBE">
        <w:t>2024</w:t>
      </w:r>
      <w:r w:rsidRPr="00DC0CBE">
        <w:rPr>
          <w:rtl/>
        </w:rPr>
        <w:t xml:space="preserve"> في جنيف. وبالإضافة إلى المنشورات المعتمدة المُشار إليها في القسم </w:t>
      </w:r>
      <w:r w:rsidRPr="00DC0CBE">
        <w:t>5</w:t>
      </w:r>
      <w:r w:rsidRPr="00DC0CBE">
        <w:rPr>
          <w:rtl/>
        </w:rPr>
        <w:t xml:space="preserve"> أعلاه والمفصلة أدناه، أُحرز تقدم جيد أيضاُ في الأنشطة الأخرى للجنة الدراسات </w:t>
      </w:r>
      <w:r w:rsidRPr="00DC0CBE">
        <w:t>1</w:t>
      </w:r>
      <w:r w:rsidRPr="00DC0CBE">
        <w:rPr>
          <w:rtl/>
        </w:rPr>
        <w:t xml:space="preserve">. واتُفِق في يونيو </w:t>
      </w:r>
      <w:r w:rsidRPr="00DC0CBE">
        <w:t>2024</w:t>
      </w:r>
      <w:r w:rsidRPr="00DC0CBE">
        <w:rPr>
          <w:rtl/>
        </w:rPr>
        <w:t xml:space="preserve"> على تحديد موعد الاجتماعات التالية في نوفمبر </w:t>
      </w:r>
      <w:r w:rsidRPr="00DC0CBE">
        <w:t>2024</w:t>
      </w:r>
      <w:r w:rsidRPr="00DC0CBE">
        <w:rPr>
          <w:rtl/>
        </w:rPr>
        <w:t xml:space="preserve"> في</w:t>
      </w:r>
      <w:r w:rsidR="001F6293" w:rsidRPr="00DC0CBE">
        <w:rPr>
          <w:rFonts w:hint="cs"/>
          <w:rtl/>
        </w:rPr>
        <w:t> </w:t>
      </w:r>
      <w:r w:rsidRPr="00DC0CBE">
        <w:rPr>
          <w:rtl/>
        </w:rPr>
        <w:t>مقر الاتحاد في جنيف:</w:t>
      </w:r>
    </w:p>
    <w:p w14:paraId="160C78E9" w14:textId="77777777" w:rsidR="006E689A" w:rsidRPr="00DC0CBE" w:rsidRDefault="000000EE" w:rsidP="001F6293">
      <w:pPr>
        <w:pStyle w:val="enumlev1"/>
        <w:rPr>
          <w:rtl/>
        </w:rPr>
      </w:pPr>
      <w:r w:rsidRPr="00DC0CBE">
        <w:rPr>
          <w:lang w:bidi="ar-EG"/>
        </w:rPr>
        <w:t>–</w:t>
      </w:r>
      <w:r w:rsidR="009D4103" w:rsidRPr="00DC0CBE">
        <w:rPr>
          <w:rtl/>
        </w:rPr>
        <w:tab/>
        <w:t xml:space="preserve">اجتمعت فرقة العمل </w:t>
      </w:r>
      <w:r w:rsidR="009D4103" w:rsidRPr="00DC0CBE">
        <w:t>1B</w:t>
      </w:r>
      <w:r w:rsidR="009D4103" w:rsidRPr="00DC0CBE">
        <w:rPr>
          <w:rtl/>
        </w:rPr>
        <w:t xml:space="preserve"> في الفترة من </w:t>
      </w:r>
      <w:r w:rsidR="009D4103" w:rsidRPr="00DC0CBE">
        <w:t>5</w:t>
      </w:r>
      <w:r w:rsidR="009D4103" w:rsidRPr="00DC0CBE">
        <w:rPr>
          <w:rtl/>
        </w:rPr>
        <w:t xml:space="preserve"> إلى </w:t>
      </w:r>
      <w:r w:rsidR="009D4103" w:rsidRPr="00DC0CBE">
        <w:t>8</w:t>
      </w:r>
      <w:r w:rsidR="009D4103" w:rsidRPr="00DC0CBE">
        <w:rPr>
          <w:rtl/>
        </w:rPr>
        <w:t xml:space="preserve"> نوفمبر </w:t>
      </w:r>
      <w:r w:rsidR="009D4103" w:rsidRPr="00DC0CBE">
        <w:t>2024</w:t>
      </w:r>
      <w:r w:rsidR="009D4103" w:rsidRPr="00DC0CBE">
        <w:rPr>
          <w:rtl/>
        </w:rPr>
        <w:t xml:space="preserve"> لإحراز تقدم في العمل، وبالنظر إلى أن فرقة العمل هذه هي فريق مساهم في البند </w:t>
      </w:r>
      <w:r w:rsidR="00D462C6" w:rsidRPr="00DC0CBE">
        <w:t>5.1</w:t>
      </w:r>
      <w:r w:rsidR="009D4103" w:rsidRPr="00DC0CBE">
        <w:rPr>
          <w:rtl/>
        </w:rPr>
        <w:t xml:space="preserve"> من جدول أعمال المؤتمر </w:t>
      </w:r>
      <w:r w:rsidR="009D4103" w:rsidRPr="00DC0CBE">
        <w:t>WRC-27</w:t>
      </w:r>
      <w:r w:rsidR="009D4103" w:rsidRPr="00DC0CBE">
        <w:rPr>
          <w:rtl/>
        </w:rPr>
        <w:t xml:space="preserve">، لتتمكن من تقديم معلومات في الوقت المناسب إلى فرقة العمل </w:t>
      </w:r>
      <w:r w:rsidR="009D4103" w:rsidRPr="00DC0CBE">
        <w:t>4A</w:t>
      </w:r>
      <w:r w:rsidR="009D4103" w:rsidRPr="00DC0CBE">
        <w:rPr>
          <w:rtl/>
        </w:rPr>
        <w:t>، على النحو المناسب.</w:t>
      </w:r>
    </w:p>
    <w:p w14:paraId="77873F2F" w14:textId="77777777" w:rsidR="009D4103" w:rsidRPr="00DC0CBE" w:rsidRDefault="000000EE" w:rsidP="001F6293">
      <w:pPr>
        <w:pStyle w:val="enumlev1"/>
        <w:rPr>
          <w:lang w:val="ar-SA" w:bidi="ar-EG"/>
        </w:rPr>
      </w:pPr>
      <w:r w:rsidRPr="00DC0CBE">
        <w:rPr>
          <w:lang w:bidi="ar-EG"/>
        </w:rPr>
        <w:t>–</w:t>
      </w:r>
      <w:r w:rsidR="009D4103" w:rsidRPr="00DC0CBE">
        <w:rPr>
          <w:rtl/>
        </w:rPr>
        <w:tab/>
        <w:t xml:space="preserve">اجتمع فريق المقرر </w:t>
      </w:r>
      <w:r w:rsidR="009D4103" w:rsidRPr="00DC0CBE">
        <w:t>(</w:t>
      </w:r>
      <w:r w:rsidR="009D4103" w:rsidRPr="00DC0CBE">
        <w:rPr>
          <w:lang w:bidi="ar-EG"/>
        </w:rPr>
        <w:t>RG</w:t>
      </w:r>
      <w:r w:rsidR="009D4103" w:rsidRPr="00DC0CBE">
        <w:t>)</w:t>
      </w:r>
      <w:r w:rsidR="009D4103" w:rsidRPr="00DC0CBE">
        <w:rPr>
          <w:rtl/>
        </w:rPr>
        <w:t xml:space="preserve"> التابع لفرقة العمل </w:t>
      </w:r>
      <w:r w:rsidR="009D4103" w:rsidRPr="00DC0CBE">
        <w:t>1C</w:t>
      </w:r>
      <w:r w:rsidR="009D4103" w:rsidRPr="00DC0CBE">
        <w:rPr>
          <w:rtl/>
        </w:rPr>
        <w:t xml:space="preserve"> والمعني بكتيب قطاع الاتصالات الراديوية بشأن مراقبة الطيف</w:t>
      </w:r>
      <w:r w:rsidR="00217696" w:rsidRPr="00DC0CBE">
        <w:rPr>
          <w:rFonts w:hint="eastAsia"/>
          <w:rtl/>
          <w:lang w:bidi="ar-EG"/>
        </w:rPr>
        <w:t> </w:t>
      </w:r>
      <w:r w:rsidR="009D4103" w:rsidRPr="00DC0CBE">
        <w:t>(</w:t>
      </w:r>
      <w:r w:rsidR="009D4103" w:rsidRPr="00DC0CBE">
        <w:rPr>
          <w:lang w:bidi="ar-EG"/>
        </w:rPr>
        <w:t>SMH</w:t>
      </w:r>
      <w:r w:rsidR="009D4103" w:rsidRPr="00DC0CBE">
        <w:t>)</w:t>
      </w:r>
      <w:r w:rsidR="009D4103" w:rsidRPr="00DC0CBE">
        <w:rPr>
          <w:rtl/>
        </w:rPr>
        <w:t xml:space="preserve"> في الفترة من </w:t>
      </w:r>
      <w:r w:rsidR="009D4103" w:rsidRPr="00DC0CBE">
        <w:t>5</w:t>
      </w:r>
      <w:r w:rsidR="009D4103" w:rsidRPr="00DC0CBE">
        <w:rPr>
          <w:rtl/>
        </w:rPr>
        <w:t xml:space="preserve"> إلى </w:t>
      </w:r>
      <w:r w:rsidR="009D4103" w:rsidRPr="00DC0CBE">
        <w:t>12</w:t>
      </w:r>
      <w:r w:rsidR="009D4103" w:rsidRPr="00DC0CBE">
        <w:rPr>
          <w:rtl/>
        </w:rPr>
        <w:t xml:space="preserve"> نوفمبر </w:t>
      </w:r>
      <w:r w:rsidR="009D4103" w:rsidRPr="00DC0CBE">
        <w:t>2024</w:t>
      </w:r>
      <w:r w:rsidR="009D4103" w:rsidRPr="00DC0CBE">
        <w:rPr>
          <w:rtl/>
        </w:rPr>
        <w:t xml:space="preserve"> لإحراز تقدم في العمل المتعلق بمراجعة هذا الكتيب المهم للمنظمين الوطنيين والمصنعين الذين يقدمون المعدات لهم.</w:t>
      </w:r>
    </w:p>
    <w:p w14:paraId="1A8FE54A" w14:textId="230560C6" w:rsidR="009D4103" w:rsidRPr="00DC0CBE" w:rsidRDefault="009D4103" w:rsidP="001F6293">
      <w:pPr>
        <w:pStyle w:val="Headingb"/>
        <w:rPr>
          <w:lang w:val="ar-SA"/>
        </w:rPr>
      </w:pPr>
      <w:r w:rsidRPr="00DC0CBE">
        <w:rPr>
          <w:rtl/>
        </w:rPr>
        <w:t>توصيات القطاع</w:t>
      </w:r>
      <w:r w:rsidR="002B21F6" w:rsidRPr="00DC0CBE">
        <w:rPr>
          <w:rtl/>
        </w:rPr>
        <w:t xml:space="preserve"> </w:t>
      </w:r>
      <w:r w:rsidR="002B21F6" w:rsidRPr="00DC0CBE">
        <w:t>ITU-R</w:t>
      </w:r>
      <w:r w:rsidRPr="00DC0CBE">
        <w:rPr>
          <w:rtl/>
        </w:rPr>
        <w:t>:</w:t>
      </w:r>
    </w:p>
    <w:p w14:paraId="1D5BFB10"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SM.329-13</w:t>
      </w:r>
      <w:r w:rsidR="009D4103" w:rsidRPr="00DC0CBE">
        <w:rPr>
          <w:rtl/>
        </w:rPr>
        <w:t xml:space="preserve"> "</w:t>
      </w:r>
      <w:proofErr w:type="spellStart"/>
      <w:r w:rsidR="009D4103" w:rsidRPr="00DC0CBE">
        <w:rPr>
          <w:rtl/>
        </w:rPr>
        <w:t>البثوث</w:t>
      </w:r>
      <w:proofErr w:type="spellEnd"/>
      <w:r w:rsidR="009D4103" w:rsidRPr="00DC0CBE">
        <w:rPr>
          <w:rtl/>
        </w:rPr>
        <w:t xml:space="preserve"> غير المطلوبة في الميدان الهامشي"</w:t>
      </w:r>
    </w:p>
    <w:p w14:paraId="6CBB4A9C"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SM.853-2</w:t>
      </w:r>
      <w:r w:rsidR="009D4103" w:rsidRPr="00DC0CBE">
        <w:rPr>
          <w:rtl/>
        </w:rPr>
        <w:t xml:space="preserve"> "عرض النطاق اللازم"</w:t>
      </w:r>
    </w:p>
    <w:p w14:paraId="682A2C8B"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SM.1539-2</w:t>
      </w:r>
      <w:r w:rsidR="009D4103" w:rsidRPr="00DC0CBE">
        <w:rPr>
          <w:rtl/>
        </w:rPr>
        <w:t xml:space="preserve"> "التغيّر المتعلق بالحدود بين الميدان خارج النطاق والميدان الهامشي واللازم لتطبيق التوصيتين </w:t>
      </w:r>
      <w:r w:rsidR="009D4103" w:rsidRPr="00DC0CBE">
        <w:t>ITU-R SM.1541</w:t>
      </w:r>
      <w:r w:rsidR="009D4103" w:rsidRPr="00DC0CBE">
        <w:rPr>
          <w:rtl/>
        </w:rPr>
        <w:t xml:space="preserve"> و</w:t>
      </w:r>
      <w:r w:rsidR="009D4103" w:rsidRPr="00DC0CBE">
        <w:t>ITU-R SM.329</w:t>
      </w:r>
      <w:r w:rsidR="009D4103" w:rsidRPr="00DC0CBE">
        <w:rPr>
          <w:rtl/>
        </w:rPr>
        <w:t>"</w:t>
      </w:r>
    </w:p>
    <w:p w14:paraId="34FBC3A9"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SM.1541-7</w:t>
      </w:r>
      <w:r w:rsidR="009D4103" w:rsidRPr="00DC0CBE">
        <w:rPr>
          <w:rtl/>
        </w:rPr>
        <w:t xml:space="preserve"> "</w:t>
      </w:r>
      <w:proofErr w:type="spellStart"/>
      <w:r w:rsidR="009D4103" w:rsidRPr="00DC0CBE">
        <w:rPr>
          <w:rtl/>
        </w:rPr>
        <w:t>البثوث</w:t>
      </w:r>
      <w:proofErr w:type="spellEnd"/>
      <w:r w:rsidR="009D4103" w:rsidRPr="00DC0CBE">
        <w:rPr>
          <w:rtl/>
        </w:rPr>
        <w:t xml:space="preserve"> غير المطلوبة في ميدان خارج النطاق"</w:t>
      </w:r>
    </w:p>
    <w:p w14:paraId="398E0B34"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SM.2129-1</w:t>
      </w:r>
      <w:r w:rsidR="009D4103" w:rsidRPr="00DC0CBE">
        <w:rPr>
          <w:rtl/>
        </w:rPr>
        <w:t xml:space="preserve"> "إرشادات بشأن مديات الترددات من أجل التشغيل </w:t>
      </w:r>
      <w:proofErr w:type="spellStart"/>
      <w:r w:rsidR="009D4103" w:rsidRPr="00DC0CBE">
        <w:rPr>
          <w:rtl/>
        </w:rPr>
        <w:t>اللاحزمي</w:t>
      </w:r>
      <w:proofErr w:type="spellEnd"/>
      <w:r w:rsidR="009D4103" w:rsidRPr="00DC0CBE">
        <w:rPr>
          <w:rtl/>
        </w:rPr>
        <w:t xml:space="preserve"> لإرسال القدرة لاسلكياً في الأجهزة المتنقلة والمحمولة"</w:t>
      </w:r>
    </w:p>
    <w:p w14:paraId="19509772" w14:textId="77777777" w:rsidR="009D4103" w:rsidRPr="00DC0CBE" w:rsidRDefault="009D4103" w:rsidP="001F6293">
      <w:pPr>
        <w:pStyle w:val="Headingb"/>
        <w:rPr>
          <w:lang w:val="ar-SA"/>
        </w:rPr>
      </w:pPr>
      <w:r w:rsidRPr="00DC0CBE">
        <w:rPr>
          <w:rtl/>
        </w:rPr>
        <w:t xml:space="preserve">تقارير القطاع </w:t>
      </w:r>
      <w:r w:rsidRPr="00DC0CBE">
        <w:t>ITU-R</w:t>
      </w:r>
      <w:r w:rsidR="001F6293" w:rsidRPr="00DC0CBE">
        <w:rPr>
          <w:rFonts w:hint="cs"/>
          <w:rtl/>
        </w:rPr>
        <w:t>:</w:t>
      </w:r>
    </w:p>
    <w:p w14:paraId="43CEA3D1"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SM.2486-1</w:t>
      </w:r>
      <w:r w:rsidR="001F6293" w:rsidRPr="00DC0CBE">
        <w:rPr>
          <w:rFonts w:hint="cs"/>
          <w:rtl/>
        </w:rPr>
        <w:t xml:space="preserve"> </w:t>
      </w:r>
      <w:r w:rsidR="009D4103" w:rsidRPr="00DC0CBE">
        <w:rPr>
          <w:rtl/>
        </w:rPr>
        <w:t>"استعمال الطائرات بدون طيار التجارية لمهام قطاع الاتصالات الراديوية في مراقبة الطيف"</w:t>
      </w:r>
    </w:p>
    <w:p w14:paraId="696F53A1" w14:textId="70D15DEA"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SM.2449-1</w:t>
      </w:r>
      <w:r w:rsidR="009D4103" w:rsidRPr="00DC0CBE">
        <w:rPr>
          <w:rtl/>
        </w:rPr>
        <w:t xml:space="preserve"> "</w:t>
      </w:r>
      <w:r w:rsidR="00462D23" w:rsidRPr="00DC0CBE">
        <w:rPr>
          <w:rFonts w:hint="cs"/>
          <w:rtl/>
          <w:lang w:bidi="ar-EG"/>
        </w:rPr>
        <w:t xml:space="preserve">تحليلات </w:t>
      </w:r>
      <w:r w:rsidR="009D4103" w:rsidRPr="00DC0CBE">
        <w:rPr>
          <w:rtl/>
        </w:rPr>
        <w:t xml:space="preserve">الأثر للأنظمة </w:t>
      </w:r>
      <w:proofErr w:type="spellStart"/>
      <w:r w:rsidR="009D4103" w:rsidRPr="00DC0CBE">
        <w:rPr>
          <w:rtl/>
        </w:rPr>
        <w:t>اللاحزمية</w:t>
      </w:r>
      <w:proofErr w:type="spellEnd"/>
      <w:r w:rsidR="009D4103" w:rsidRPr="00DC0CBE">
        <w:rPr>
          <w:rtl/>
        </w:rPr>
        <w:t xml:space="preserve"> الحثية لإرسال الطاقة لاسلكياً في الأجهزة المتنقلة والمحمولة في خدمات الاتصالات الراديوية"</w:t>
      </w:r>
    </w:p>
    <w:p w14:paraId="6EE824FF" w14:textId="77777777" w:rsidR="009D4103" w:rsidRPr="00DC0CBE" w:rsidRDefault="000000EE" w:rsidP="001F6293">
      <w:pPr>
        <w:pStyle w:val="enumlev1"/>
        <w:rPr>
          <w:lang w:val="ar-SA" w:bidi="ar-EG"/>
        </w:rPr>
      </w:pPr>
      <w:r w:rsidRPr="00DC0CBE">
        <w:rPr>
          <w:lang w:bidi="ar-EG"/>
        </w:rPr>
        <w:t>–</w:t>
      </w:r>
      <w:r w:rsidR="009D4103" w:rsidRPr="00DC0CBE">
        <w:rPr>
          <w:rtl/>
        </w:rPr>
        <w:tab/>
      </w:r>
      <w:r w:rsidR="009D4103" w:rsidRPr="00DC0CBE">
        <w:t>SM.2542-0</w:t>
      </w:r>
      <w:r w:rsidR="009D4103" w:rsidRPr="00DC0CBE">
        <w:rPr>
          <w:rtl/>
        </w:rPr>
        <w:t xml:space="preserve"> "الجيل التالي من مراقبة الطيف - استباقي ومستقل وقائم على البيانات"</w:t>
      </w:r>
    </w:p>
    <w:p w14:paraId="5AE03ED9" w14:textId="205E4A33" w:rsidR="009D4103" w:rsidRPr="00DC0CBE" w:rsidRDefault="000000EE" w:rsidP="001F6293">
      <w:pPr>
        <w:pStyle w:val="enumlev1"/>
        <w:rPr>
          <w:lang w:val="ar-SA" w:bidi="ar-EG"/>
        </w:rPr>
      </w:pPr>
      <w:r w:rsidRPr="00DC0CBE">
        <w:rPr>
          <w:lang w:bidi="ar-EG"/>
        </w:rPr>
        <w:lastRenderedPageBreak/>
        <w:t>–</w:t>
      </w:r>
      <w:r w:rsidR="009D4103" w:rsidRPr="00DC0CBE">
        <w:rPr>
          <w:rtl/>
        </w:rPr>
        <w:tab/>
        <w:t xml:space="preserve">الوثيقة </w:t>
      </w:r>
      <w:r w:rsidR="009D4103" w:rsidRPr="00DC0CBE">
        <w:t>SM.2353-0</w:t>
      </w:r>
      <w:r w:rsidR="009D4103" w:rsidRPr="00DC0CBE">
        <w:rPr>
          <w:rtl/>
        </w:rPr>
        <w:t xml:space="preserve"> "التحديات والفرص أمام إدارة الطيف جراء الانتقال إلى الإذاعة التلفزيونية الرقمية للأرض في نطاقات الموجات </w:t>
      </w:r>
      <w:proofErr w:type="spellStart"/>
      <w:r w:rsidR="009D4103" w:rsidRPr="00DC0CBE">
        <w:rPr>
          <w:rtl/>
        </w:rPr>
        <w:t>الديسيمترية</w:t>
      </w:r>
      <w:proofErr w:type="spellEnd"/>
      <w:r w:rsidR="009D4103" w:rsidRPr="00DC0CBE">
        <w:rPr>
          <w:rtl/>
        </w:rPr>
        <w:t xml:space="preserve"> </w:t>
      </w:r>
      <w:r w:rsidR="009D4103" w:rsidRPr="00DC0CBE">
        <w:t>(</w:t>
      </w:r>
      <w:r w:rsidR="009D4103" w:rsidRPr="00DC0CBE">
        <w:rPr>
          <w:lang w:bidi="ar-EG"/>
        </w:rPr>
        <w:t>UHF</w:t>
      </w:r>
      <w:r w:rsidR="009D4103" w:rsidRPr="00DC0CBE">
        <w:t>)</w:t>
      </w:r>
      <w:r w:rsidR="001F6293" w:rsidRPr="00DC0CBE">
        <w:rPr>
          <w:rFonts w:hint="cs"/>
          <w:rtl/>
          <w:lang w:bidi="ar-EG"/>
        </w:rPr>
        <w:t>"</w:t>
      </w:r>
      <w:r w:rsidR="009D4103" w:rsidRPr="00DC0CBE">
        <w:rPr>
          <w:rtl/>
        </w:rPr>
        <w:t>.</w:t>
      </w:r>
    </w:p>
    <w:p w14:paraId="67D8008B" w14:textId="77777777" w:rsidR="009D4103" w:rsidRPr="00DC0CBE" w:rsidRDefault="009D4103" w:rsidP="009D4103">
      <w:pPr>
        <w:rPr>
          <w:lang w:val="ar-SA" w:bidi="ar-EG"/>
        </w:rPr>
      </w:pPr>
      <w:bookmarkStart w:id="23" w:name="_Toc445972793"/>
      <w:r w:rsidRPr="00DC0CBE">
        <w:rPr>
          <w:rtl/>
        </w:rPr>
        <w:t xml:space="preserve">وفي اجتماع لجنة الدراسات </w:t>
      </w:r>
      <w:r w:rsidRPr="00DC0CBE">
        <w:t>1</w:t>
      </w:r>
      <w:r w:rsidRPr="00DC0CBE">
        <w:rPr>
          <w:rtl/>
        </w:rPr>
        <w:t xml:space="preserve"> المعقود في يونيو </w:t>
      </w:r>
      <w:r w:rsidRPr="00DC0CBE">
        <w:t>2024</w:t>
      </w:r>
      <w:r w:rsidRPr="00DC0CBE">
        <w:rPr>
          <w:rtl/>
        </w:rPr>
        <w:t xml:space="preserve">، سُلِّط الضوء على ضرورة إجراء الفريق الاستشاري للاتصالات الراديوية استعراض </w:t>
      </w:r>
      <w:hyperlink r:id="rId16" w:history="1">
        <w:r w:rsidRPr="00DC0CBE">
          <w:rPr>
            <w:rStyle w:val="Hyperlink"/>
            <w:rtl/>
          </w:rPr>
          <w:t>نسق توصيات قطاع الاتصالات الراديوية</w:t>
        </w:r>
      </w:hyperlink>
      <w:r w:rsidRPr="00DC0CBE">
        <w:rPr>
          <w:rtl/>
        </w:rPr>
        <w:t xml:space="preserve">، من أجل توضيح حيثما ينبغي إدراج الإشارات إلى تقارير قطاع الاتصالات الراديوية في توصية لقطاع الاتصالات الراديوية (انظر القسم </w:t>
      </w:r>
      <w:r w:rsidR="001F6293" w:rsidRPr="00DC0CBE">
        <w:t>1.10</w:t>
      </w:r>
      <w:r w:rsidRPr="00DC0CBE">
        <w:rPr>
          <w:rtl/>
        </w:rPr>
        <w:t xml:space="preserve"> من المحضر الموجز في الوثيقة </w:t>
      </w:r>
      <w:hyperlink r:id="rId17" w:history="1">
        <w:r w:rsidR="001F6293" w:rsidRPr="00DC0CBE">
          <w:rPr>
            <w:rStyle w:val="Hyperlink"/>
          </w:rPr>
          <w:t>1/27</w:t>
        </w:r>
      </w:hyperlink>
      <w:r w:rsidRPr="00DC0CBE">
        <w:rPr>
          <w:rtl/>
        </w:rPr>
        <w:t>).</w:t>
      </w:r>
    </w:p>
    <w:p w14:paraId="6499BC0C" w14:textId="77777777" w:rsidR="009D4103" w:rsidRPr="00DC0CBE" w:rsidRDefault="009D4103" w:rsidP="009D4103">
      <w:pPr>
        <w:rPr>
          <w:lang w:val="ar-SA" w:bidi="ar-EG"/>
        </w:rPr>
      </w:pPr>
      <w:r w:rsidRPr="00DC0CBE">
        <w:rPr>
          <w:rtl/>
        </w:rPr>
        <w:t xml:space="preserve">وفي الاجتماعات الحضورية التي عُقِدت في نوفمبر </w:t>
      </w:r>
      <w:r w:rsidRPr="00DC0CBE">
        <w:t>2024</w:t>
      </w:r>
      <w:r w:rsidRPr="00DC0CBE">
        <w:rPr>
          <w:rtl/>
        </w:rPr>
        <w:t xml:space="preserve"> بمشاركة عن بُعد، أحرزت فرقة العمل </w:t>
      </w:r>
      <w:r w:rsidRPr="00DC0CBE">
        <w:t>1B</w:t>
      </w:r>
      <w:r w:rsidRPr="00DC0CBE">
        <w:rPr>
          <w:rtl/>
        </w:rPr>
        <w:t xml:space="preserve"> مزيداً من التقدم في دراساتها المنتظمة ووافقت على أن ترسل إلى لجنة الدراسات </w:t>
      </w:r>
      <w:r w:rsidRPr="00DC0CBE">
        <w:t>1</w:t>
      </w:r>
      <w:r w:rsidRPr="00DC0CBE">
        <w:rPr>
          <w:rtl/>
        </w:rPr>
        <w:t xml:space="preserve"> مشروع مراجعة للتقرير </w:t>
      </w:r>
      <w:r w:rsidRPr="00DC0CBE">
        <w:t>ITU-R 2015-2</w:t>
      </w:r>
      <w:r w:rsidRPr="00DC0CBE">
        <w:rPr>
          <w:rtl/>
        </w:rPr>
        <w:t xml:space="preserve"> بشأن "</w:t>
      </w:r>
      <w:r w:rsidRPr="00DC0CBE">
        <w:rPr>
          <w:i/>
          <w:iCs/>
          <w:rtl/>
        </w:rPr>
        <w:t>طرائق لتحديد الاستراتيجيات الوطنية طويلة الأجل لاستعمال الطيف</w:t>
      </w:r>
      <w:r w:rsidRPr="00DC0CBE">
        <w:rPr>
          <w:rtl/>
        </w:rPr>
        <w:t xml:space="preserve">". وبالإضافة إلى ذلك، كانت فريق المقرر </w:t>
      </w:r>
      <w:r w:rsidRPr="00DC0CBE">
        <w:rPr>
          <w:lang w:bidi="ar-EG"/>
        </w:rPr>
        <w:t>(RG</w:t>
      </w:r>
      <w:r w:rsidRPr="00DC0CBE">
        <w:t>)</w:t>
      </w:r>
      <w:r w:rsidRPr="00DC0CBE">
        <w:rPr>
          <w:rtl/>
        </w:rPr>
        <w:t xml:space="preserve"> التابع لفرقة العمل </w:t>
      </w:r>
      <w:r w:rsidRPr="00DC0CBE">
        <w:t>1C</w:t>
      </w:r>
      <w:r w:rsidRPr="00DC0CBE">
        <w:rPr>
          <w:rtl/>
        </w:rPr>
        <w:t xml:space="preserve"> والمعني بكتيب قطاع الاتصالات الراديوية بشأن مراقبة الطيف </w:t>
      </w:r>
      <w:r w:rsidRPr="00DC0CBE">
        <w:t>(</w:t>
      </w:r>
      <w:r w:rsidRPr="00DC0CBE">
        <w:rPr>
          <w:lang w:bidi="ar-EG"/>
        </w:rPr>
        <w:t>SMH</w:t>
      </w:r>
      <w:r w:rsidRPr="00DC0CBE">
        <w:t>)</w:t>
      </w:r>
      <w:r w:rsidRPr="00DC0CBE">
        <w:rPr>
          <w:rtl/>
        </w:rPr>
        <w:t xml:space="preserve"> منتِجة للغاية في مواصلة مشروع مراجعة جميع فصول الكتيب وملحقه وكذلك في إعداد مشروع فصل جديد بشأن البيانات والأتمتة. وبناء على ذلك، أُلغيَ الاجتماع التالي لفريق المقرر المعني بكتيب قطاع الاتصالات الراديوية بشأن مراقبة الطيف </w:t>
      </w:r>
      <w:r w:rsidRPr="00DC0CBE">
        <w:t>(</w:t>
      </w:r>
      <w:r w:rsidRPr="00DC0CBE">
        <w:rPr>
          <w:lang w:bidi="ar-EG"/>
        </w:rPr>
        <w:t>RG-SMH</w:t>
      </w:r>
      <w:r w:rsidRPr="00DC0CBE">
        <w:t>)</w:t>
      </w:r>
      <w:r w:rsidRPr="00DC0CBE">
        <w:rPr>
          <w:rtl/>
        </w:rPr>
        <w:t xml:space="preserve"> كما كان متوقعاً في فبراير </w:t>
      </w:r>
      <w:r w:rsidRPr="00DC0CBE">
        <w:t>2025</w:t>
      </w:r>
      <w:r w:rsidRPr="00DC0CBE">
        <w:rPr>
          <w:rtl/>
        </w:rPr>
        <w:t xml:space="preserve"> لإعطاء مزيد من الوقت للتحضير لاجتماع فرقة العمل </w:t>
      </w:r>
      <w:r w:rsidRPr="00DC0CBE">
        <w:t>1C</w:t>
      </w:r>
      <w:r w:rsidRPr="00DC0CBE">
        <w:rPr>
          <w:rtl/>
        </w:rPr>
        <w:t xml:space="preserve"> في يونيو </w:t>
      </w:r>
      <w:r w:rsidRPr="00DC0CBE">
        <w:t>2025</w:t>
      </w:r>
      <w:r w:rsidRPr="00DC0CBE">
        <w:rPr>
          <w:rtl/>
        </w:rPr>
        <w:t xml:space="preserve"> والذي ستُمنح خلاله أيام إضافية لمراجعة كتيب قطاع الاتصالات الراديوية بشأن مراقبة الطيف.</w:t>
      </w:r>
    </w:p>
    <w:p w14:paraId="78CFF33F" w14:textId="77777777" w:rsidR="009D4103" w:rsidRPr="00DC0CBE" w:rsidRDefault="009D4103" w:rsidP="009D4103">
      <w:pPr>
        <w:rPr>
          <w:lang w:val="ar-SA" w:bidi="ar-EG"/>
        </w:rPr>
      </w:pPr>
      <w:r w:rsidRPr="00DC0CBE">
        <w:rPr>
          <w:rtl/>
        </w:rPr>
        <w:t>وعلى النحو المُبين في تعميمي الدعوة (</w:t>
      </w:r>
      <w:hyperlink r:id="rId18" w:history="1">
        <w:r w:rsidRPr="00DC0CBE">
          <w:rPr>
            <w:rStyle w:val="Hyperlink"/>
            <w:lang w:bidi="ar-EG"/>
          </w:rPr>
          <w:t>CACE/1131</w:t>
        </w:r>
      </w:hyperlink>
      <w:r w:rsidRPr="00DC0CBE">
        <w:rPr>
          <w:rtl/>
        </w:rPr>
        <w:t xml:space="preserve"> و</w:t>
      </w:r>
      <w:hyperlink r:id="rId19" w:history="1">
        <w:r w:rsidRPr="00DC0CBE">
          <w:rPr>
            <w:rStyle w:val="Hyperlink"/>
          </w:rPr>
          <w:t>1/LCCE/113</w:t>
        </w:r>
      </w:hyperlink>
      <w:r w:rsidRPr="00DC0CBE">
        <w:rPr>
          <w:rtl/>
        </w:rPr>
        <w:t xml:space="preserve">)، من المقرر عقد الاجتماع المقبل لفرقة العمل </w:t>
      </w:r>
      <w:r w:rsidRPr="00DC0CBE">
        <w:t>1C</w:t>
      </w:r>
      <w:r w:rsidRPr="00DC0CBE">
        <w:rPr>
          <w:rtl/>
        </w:rPr>
        <w:t xml:space="preserve"> في</w:t>
      </w:r>
      <w:r w:rsidR="00CE40A1" w:rsidRPr="00DC0CBE">
        <w:rPr>
          <w:rFonts w:hint="cs"/>
          <w:rtl/>
        </w:rPr>
        <w:t> </w:t>
      </w:r>
      <w:r w:rsidRPr="00DC0CBE">
        <w:rPr>
          <w:rtl/>
        </w:rPr>
        <w:t xml:space="preserve">الفترة من </w:t>
      </w:r>
      <w:r w:rsidRPr="00DC0CBE">
        <w:t>9</w:t>
      </w:r>
      <w:r w:rsidRPr="00DC0CBE">
        <w:rPr>
          <w:rtl/>
        </w:rPr>
        <w:t xml:space="preserve"> إلى </w:t>
      </w:r>
      <w:r w:rsidRPr="00DC0CBE">
        <w:t>18</w:t>
      </w:r>
      <w:r w:rsidRPr="00DC0CBE">
        <w:rPr>
          <w:rtl/>
        </w:rPr>
        <w:t xml:space="preserve"> يونيو </w:t>
      </w:r>
      <w:r w:rsidRPr="00DC0CBE">
        <w:t>2025</w:t>
      </w:r>
      <w:r w:rsidRPr="00DC0CBE">
        <w:rPr>
          <w:rtl/>
        </w:rPr>
        <w:t xml:space="preserve"> مع تخصيص اليومين الأولين للعمل على مراجعة كتيب قطاع الاتصالات الراديوية بشأن مراقبة الطيف، ومن المقرر عقد الاجتماعين المقبلين لفرقتي العمل </w:t>
      </w:r>
      <w:r w:rsidRPr="00DC0CBE">
        <w:t>1A</w:t>
      </w:r>
      <w:r w:rsidRPr="00DC0CBE">
        <w:rPr>
          <w:rtl/>
        </w:rPr>
        <w:t xml:space="preserve"> و</w:t>
      </w:r>
      <w:r w:rsidRPr="00DC0CBE">
        <w:t>1B</w:t>
      </w:r>
      <w:r w:rsidRPr="00DC0CBE">
        <w:rPr>
          <w:rtl/>
        </w:rPr>
        <w:t xml:space="preserve"> في الفترة من </w:t>
      </w:r>
      <w:r w:rsidRPr="00DC0CBE">
        <w:t>11</w:t>
      </w:r>
      <w:r w:rsidRPr="00DC0CBE">
        <w:rPr>
          <w:rtl/>
        </w:rPr>
        <w:t xml:space="preserve"> إلى </w:t>
      </w:r>
      <w:r w:rsidRPr="00DC0CBE">
        <w:t>18</w:t>
      </w:r>
      <w:r w:rsidRPr="00DC0CBE">
        <w:rPr>
          <w:rtl/>
        </w:rPr>
        <w:t xml:space="preserve"> يونيو </w:t>
      </w:r>
      <w:r w:rsidRPr="00DC0CBE">
        <w:t>2025</w:t>
      </w:r>
      <w:r w:rsidRPr="00DC0CBE">
        <w:rPr>
          <w:rtl/>
        </w:rPr>
        <w:t xml:space="preserve">. وستجتمع لجنة الدراسات </w:t>
      </w:r>
      <w:r w:rsidRPr="00DC0CBE">
        <w:t>1</w:t>
      </w:r>
      <w:r w:rsidRPr="00DC0CBE">
        <w:rPr>
          <w:rtl/>
        </w:rPr>
        <w:t xml:space="preserve"> في </w:t>
      </w:r>
      <w:r w:rsidRPr="00DC0CBE">
        <w:t>19</w:t>
      </w:r>
      <w:r w:rsidRPr="00DC0CBE">
        <w:rPr>
          <w:rtl/>
        </w:rPr>
        <w:t xml:space="preserve"> يونيو </w:t>
      </w:r>
      <w:r w:rsidRPr="00DC0CBE">
        <w:t>2025</w:t>
      </w:r>
      <w:r w:rsidRPr="00DC0CBE">
        <w:rPr>
          <w:rtl/>
        </w:rPr>
        <w:t xml:space="preserve">. وبالإضافة إلى ذلك، تم تصور بعض الاحتمالات لتخطيط اجتماعات أخرى لفرق العمل التابعة للجنة الدراسات </w:t>
      </w:r>
      <w:r w:rsidRPr="00DC0CBE">
        <w:t>1</w:t>
      </w:r>
      <w:r w:rsidRPr="00DC0CBE">
        <w:rPr>
          <w:rtl/>
        </w:rPr>
        <w:t xml:space="preserve"> خلال الفترة من </w:t>
      </w:r>
      <w:r w:rsidRPr="00DC0CBE">
        <w:t>5</w:t>
      </w:r>
      <w:r w:rsidRPr="00DC0CBE">
        <w:rPr>
          <w:rtl/>
        </w:rPr>
        <w:t xml:space="preserve"> إلى </w:t>
      </w:r>
      <w:r w:rsidRPr="00DC0CBE">
        <w:t>14</w:t>
      </w:r>
      <w:r w:rsidRPr="00DC0CBE">
        <w:rPr>
          <w:rtl/>
        </w:rPr>
        <w:t xml:space="preserve"> نوفمبر </w:t>
      </w:r>
      <w:r w:rsidRPr="00DC0CBE">
        <w:t>2025</w:t>
      </w:r>
      <w:r w:rsidRPr="00DC0CBE">
        <w:rPr>
          <w:rtl/>
        </w:rPr>
        <w:t xml:space="preserve"> بالاستناد إلى عبء العمل في نهاية اجتماعات يونيو </w:t>
      </w:r>
      <w:r w:rsidRPr="00DC0CBE">
        <w:t>2025</w:t>
      </w:r>
      <w:r w:rsidRPr="00DC0CBE">
        <w:rPr>
          <w:rtl/>
        </w:rPr>
        <w:t xml:space="preserve"> ورهناً بتوافر قاعات الاتحاد في ضوء الأولويات. ومع ذلك، من المرجح أن يعقد اجتماع لفريق المقرر </w:t>
      </w:r>
      <w:r w:rsidRPr="00DC0CBE">
        <w:t>(</w:t>
      </w:r>
      <w:r w:rsidRPr="00DC0CBE">
        <w:rPr>
          <w:lang w:bidi="ar-EG"/>
        </w:rPr>
        <w:t>RG</w:t>
      </w:r>
      <w:r w:rsidRPr="00DC0CBE">
        <w:t>)</w:t>
      </w:r>
      <w:r w:rsidRPr="00DC0CBE">
        <w:rPr>
          <w:rtl/>
        </w:rPr>
        <w:t xml:space="preserve"> التابع لفرقة العمل </w:t>
      </w:r>
      <w:r w:rsidRPr="00DC0CBE">
        <w:t>1C</w:t>
      </w:r>
      <w:r w:rsidRPr="00DC0CBE">
        <w:rPr>
          <w:rtl/>
        </w:rPr>
        <w:t xml:space="preserve"> والمعني بكتيب قطاع الاتصالات الراديوية بشأن مراقبة الطيف </w:t>
      </w:r>
      <w:r w:rsidRPr="00DC0CBE">
        <w:t>(</w:t>
      </w:r>
      <w:r w:rsidRPr="00DC0CBE">
        <w:rPr>
          <w:lang w:bidi="ar-EG"/>
        </w:rPr>
        <w:t>SMH</w:t>
      </w:r>
      <w:r w:rsidRPr="00DC0CBE">
        <w:t>)</w:t>
      </w:r>
      <w:r w:rsidRPr="00DC0CBE">
        <w:rPr>
          <w:rtl/>
        </w:rPr>
        <w:t xml:space="preserve"> خلال تلك الفترة من أجل الوفاء بالموعد النهائي المستهدف وهو يونيو </w:t>
      </w:r>
      <w:r w:rsidRPr="00DC0CBE">
        <w:t>2026</w:t>
      </w:r>
      <w:r w:rsidRPr="00DC0CBE">
        <w:rPr>
          <w:rtl/>
        </w:rPr>
        <w:t xml:space="preserve"> لمراجعة هذا الكتيب المهم.</w:t>
      </w:r>
    </w:p>
    <w:p w14:paraId="5CB39E63" w14:textId="77777777" w:rsidR="009D4103" w:rsidRPr="00DC0CBE" w:rsidRDefault="00FB0E6A" w:rsidP="00C97C5D">
      <w:pPr>
        <w:pStyle w:val="Heading2"/>
        <w:rPr>
          <w:lang w:val="ar-SA"/>
        </w:rPr>
      </w:pPr>
      <w:bookmarkStart w:id="24" w:name="_Toc192766206"/>
      <w:r w:rsidRPr="00DC0CBE">
        <w:t>2.5</w:t>
      </w:r>
      <w:r w:rsidR="009D4103" w:rsidRPr="00DC0CBE">
        <w:rPr>
          <w:rtl/>
        </w:rPr>
        <w:tab/>
        <w:t xml:space="preserve">لجنة دراسات </w:t>
      </w:r>
      <w:bookmarkEnd w:id="23"/>
      <w:r w:rsidRPr="00DC0CBE">
        <w:t>3</w:t>
      </w:r>
      <w:bookmarkEnd w:id="24"/>
    </w:p>
    <w:p w14:paraId="71D02862" w14:textId="77777777" w:rsidR="009D4103" w:rsidRPr="00DC0CBE" w:rsidRDefault="009D4103" w:rsidP="009D4103">
      <w:pPr>
        <w:rPr>
          <w:lang w:val="ar-SA" w:bidi="ar-EG"/>
        </w:rPr>
      </w:pPr>
      <w:r w:rsidRPr="00DC0CBE">
        <w:rPr>
          <w:rtl/>
        </w:rPr>
        <w:t xml:space="preserve">واصلت لجنة الدراسات </w:t>
      </w:r>
      <w:r w:rsidR="00FB0E6A" w:rsidRPr="00DC0CBE">
        <w:t>3</w:t>
      </w:r>
      <w:r w:rsidRPr="00DC0CBE">
        <w:rPr>
          <w:rtl/>
        </w:rPr>
        <w:t xml:space="preserve"> إجراء بحوث موسعة باستخدام قياسات الانتشار وتحليل بياناته وتطوير نماذجه لتوسيع إمكانية تطبيق طرق التنبؤ بانتشار الموجات الراديوية في أجزاء ذات صلة من الطيف تصل إلى </w:t>
      </w:r>
      <w:r w:rsidRPr="00DC0CBE">
        <w:t>THz 375</w:t>
      </w:r>
      <w:r w:rsidRPr="00DC0CBE">
        <w:rPr>
          <w:rtl/>
        </w:rPr>
        <w:t>.</w:t>
      </w:r>
      <w:r w:rsidR="006E689A" w:rsidRPr="00DC0CBE">
        <w:rPr>
          <w:rtl/>
        </w:rPr>
        <w:t xml:space="preserve"> </w:t>
      </w:r>
      <w:r w:rsidRPr="00DC0CBE">
        <w:rPr>
          <w:rtl/>
        </w:rPr>
        <w:t xml:space="preserve">وواصلت لجنة الدراسات </w:t>
      </w:r>
      <w:r w:rsidRPr="00DC0CBE">
        <w:t>3</w:t>
      </w:r>
      <w:r w:rsidRPr="00DC0CBE">
        <w:rPr>
          <w:rtl/>
        </w:rPr>
        <w:t xml:space="preserve"> أيضاً مراجعة أو إعداد توصيات وتقارير وكتيبات جديدة ضمن نطاق اختصاصها لدعم تصميم أنظمة الاتصالات الراديوية وتقييم التداخل.</w:t>
      </w:r>
      <w:r w:rsidR="006E689A" w:rsidRPr="00DC0CBE">
        <w:rPr>
          <w:rtl/>
        </w:rPr>
        <w:t xml:space="preserve"> </w:t>
      </w:r>
      <w:r w:rsidRPr="00DC0CBE">
        <w:rPr>
          <w:rtl/>
        </w:rPr>
        <w:t>وكثيراً ما كان يُتطلب ذلك لدراسات التشارك والتوافق لدعم العمل بشأن بنود جدول أعمال المؤتمر العالمي للاتصالات الراديوية.</w:t>
      </w:r>
    </w:p>
    <w:p w14:paraId="59AA316F" w14:textId="77777777" w:rsidR="009D4103" w:rsidRPr="00DC0CBE" w:rsidRDefault="009D4103" w:rsidP="009D4103">
      <w:pPr>
        <w:rPr>
          <w:spacing w:val="-2"/>
          <w:lang w:val="ar-SA" w:bidi="ar-EG"/>
        </w:rPr>
      </w:pPr>
      <w:r w:rsidRPr="00DC0CBE">
        <w:rPr>
          <w:spacing w:val="-2"/>
          <w:rtl/>
        </w:rPr>
        <w:t xml:space="preserve">وقد اعتمدت لجنة الدراسات </w:t>
      </w:r>
      <w:r w:rsidRPr="00DC0CBE">
        <w:rPr>
          <w:spacing w:val="-2"/>
        </w:rPr>
        <w:t>3</w:t>
      </w:r>
      <w:r w:rsidRPr="00DC0CBE">
        <w:rPr>
          <w:spacing w:val="-2"/>
          <w:rtl/>
        </w:rPr>
        <w:t xml:space="preserve"> أربع توصية مراجَعَة لقطاع الاتصالات الراديوية وتمت الموافقة عليها منذ اجتماع الفريق الاستشاري للاتصالات الراديوية لعام </w:t>
      </w:r>
      <w:r w:rsidRPr="00DC0CBE">
        <w:rPr>
          <w:spacing w:val="-2"/>
        </w:rPr>
        <w:t>2024</w:t>
      </w:r>
      <w:r w:rsidRPr="00DC0CBE">
        <w:rPr>
          <w:spacing w:val="-2"/>
          <w:rtl/>
        </w:rPr>
        <w:t xml:space="preserve">. وأُدخلت أيضاً تعديلات </w:t>
      </w:r>
      <w:proofErr w:type="spellStart"/>
      <w:r w:rsidRPr="00DC0CBE">
        <w:rPr>
          <w:spacing w:val="-2"/>
          <w:rtl/>
        </w:rPr>
        <w:t>صياغية</w:t>
      </w:r>
      <w:proofErr w:type="spellEnd"/>
      <w:r w:rsidRPr="00DC0CBE">
        <w:rPr>
          <w:spacing w:val="-2"/>
          <w:rtl/>
        </w:rPr>
        <w:t xml:space="preserve"> على ثلاث توصيات لقطاع الاتصالات الراديوية.</w:t>
      </w:r>
    </w:p>
    <w:p w14:paraId="713756A6" w14:textId="5C5137D4" w:rsidR="009D4103" w:rsidRPr="00DC0CBE" w:rsidRDefault="009D4103" w:rsidP="009D4103">
      <w:pPr>
        <w:rPr>
          <w:lang w:val="ar-SA" w:bidi="ar-EG"/>
        </w:rPr>
      </w:pPr>
      <w:r w:rsidRPr="00DC0CBE">
        <w:rPr>
          <w:rtl/>
        </w:rPr>
        <w:t>وأنشئت ثلاثة أفرقة عمل بالمراسلة</w:t>
      </w:r>
      <w:r w:rsidR="0047410A" w:rsidRPr="00DC0CBE">
        <w:rPr>
          <w:rFonts w:hint="cs"/>
          <w:rtl/>
          <w:lang w:bidi="ar-EG"/>
        </w:rPr>
        <w:t xml:space="preserve"> </w:t>
      </w:r>
      <w:r w:rsidR="0047410A" w:rsidRPr="00DC0CBE">
        <w:rPr>
          <w:lang w:bidi="ar-EG"/>
        </w:rPr>
        <w:t>(CG)</w:t>
      </w:r>
      <w:r w:rsidRPr="00DC0CBE">
        <w:rPr>
          <w:rtl/>
        </w:rPr>
        <w:t xml:space="preserve"> إضافية. ونشط ما مجموعه </w:t>
      </w:r>
      <w:r w:rsidRPr="00DC0CBE">
        <w:t>39</w:t>
      </w:r>
      <w:r w:rsidRPr="00DC0CBE">
        <w:rPr>
          <w:rtl/>
        </w:rPr>
        <w:t xml:space="preserve"> فريق عمل بالمراسلة من فرق العمل </w:t>
      </w:r>
      <w:r w:rsidRPr="00DC0CBE">
        <w:t>3J</w:t>
      </w:r>
      <w:r w:rsidRPr="00DC0CBE">
        <w:rPr>
          <w:rtl/>
        </w:rPr>
        <w:t xml:space="preserve"> و</w:t>
      </w:r>
      <w:r w:rsidRPr="00DC0CBE">
        <w:t>3K</w:t>
      </w:r>
      <w:r w:rsidR="0047410A" w:rsidRPr="00DC0CBE">
        <w:rPr>
          <w:rFonts w:hint="cs"/>
          <w:rtl/>
          <w:lang w:bidi="ar-EG"/>
        </w:rPr>
        <w:t xml:space="preserve"> </w:t>
      </w:r>
      <w:r w:rsidRPr="00DC0CBE">
        <w:rPr>
          <w:rtl/>
        </w:rPr>
        <w:t>و</w:t>
      </w:r>
      <w:r w:rsidRPr="00DC0CBE">
        <w:t>3L</w:t>
      </w:r>
      <w:r w:rsidRPr="00DC0CBE">
        <w:rPr>
          <w:rtl/>
        </w:rPr>
        <w:t xml:space="preserve"> و</w:t>
      </w:r>
      <w:r w:rsidRPr="00DC0CBE">
        <w:t>3M</w:t>
      </w:r>
      <w:r w:rsidRPr="00DC0CBE">
        <w:rPr>
          <w:rtl/>
        </w:rPr>
        <w:t xml:space="preserve"> لإحراز تقدم في العمل بين الاجتماعات الرسمية. وقامت أفرقة العمل بالمراسلة تلك بنسبة كبيرة من الأعمال بين الاجتماعات الرسمية. وقد استَخدمت فرق العمل لدى لجنة الدراسات ‎</w:t>
      </w:r>
      <w:r w:rsidRPr="00DC0CBE">
        <w:t>3</w:t>
      </w:r>
      <w:r w:rsidRPr="00DC0CBE">
        <w:rPr>
          <w:rtl/>
        </w:rPr>
        <w:t xml:space="preserve"> أفرقةَ العمل بالمراسلة على هذا النحو لأكثر من عقد من الزمن، مع العلم خاصةً أن فرق العمل هذه تجتمع عادة مرة واحدة في السنة فقط وأن مواضيع العمل قد تكون أحياناً قيد الإعداد لفترات أطول من خمس </w:t>
      </w:r>
      <w:proofErr w:type="gramStart"/>
      <w:r w:rsidRPr="00DC0CBE">
        <w:rPr>
          <w:rtl/>
        </w:rPr>
        <w:t>سنوات</w:t>
      </w:r>
      <w:proofErr w:type="gramEnd"/>
      <w:r w:rsidRPr="00DC0CBE">
        <w:rPr>
          <w:rtl/>
        </w:rPr>
        <w:t xml:space="preserve"> بل عشر سنوات. ولذلك، ينبغي ألا يُعتبر أن استخدام أفرقة العمل بالمراسلة على هذا النحو جرى تحديداً وفقط بسبب الوضع الذي أوجدته جائحة كوفيد-</w:t>
      </w:r>
      <w:r w:rsidRPr="00DC0CBE">
        <w:t>19</w:t>
      </w:r>
      <w:r w:rsidRPr="00DC0CBE">
        <w:rPr>
          <w:rtl/>
        </w:rPr>
        <w:t xml:space="preserve"> خلال الفترة </w:t>
      </w:r>
      <w:r w:rsidRPr="00DC0CBE">
        <w:t>2020</w:t>
      </w:r>
      <w:r w:rsidRPr="00DC0CBE">
        <w:rPr>
          <w:rtl/>
        </w:rPr>
        <w:t>-</w:t>
      </w:r>
      <w:r w:rsidRPr="00DC0CBE">
        <w:t>2022</w:t>
      </w:r>
      <w:r w:rsidRPr="00DC0CBE">
        <w:rPr>
          <w:rtl/>
        </w:rPr>
        <w:t>.</w:t>
      </w:r>
    </w:p>
    <w:p w14:paraId="73040AA6" w14:textId="76FBE545" w:rsidR="009D4103" w:rsidRPr="00DC0CBE" w:rsidRDefault="009D4103" w:rsidP="009D4103">
      <w:pPr>
        <w:rPr>
          <w:lang w:val="ar-SA" w:bidi="ar-EG"/>
        </w:rPr>
      </w:pPr>
      <w:r w:rsidRPr="00DC0CBE">
        <w:rPr>
          <w:rtl/>
        </w:rPr>
        <w:t xml:space="preserve">وخططت فرق العمل </w:t>
      </w:r>
      <w:r w:rsidRPr="00DC0CBE">
        <w:t>3J</w:t>
      </w:r>
      <w:r w:rsidRPr="00DC0CBE">
        <w:rPr>
          <w:rtl/>
        </w:rPr>
        <w:t xml:space="preserve"> و</w:t>
      </w:r>
      <w:r w:rsidRPr="00DC0CBE">
        <w:t>3K</w:t>
      </w:r>
      <w:r w:rsidRPr="00DC0CBE">
        <w:rPr>
          <w:rtl/>
        </w:rPr>
        <w:t xml:space="preserve"> و</w:t>
      </w:r>
      <w:r w:rsidRPr="00DC0CBE">
        <w:t>3M</w:t>
      </w:r>
      <w:r w:rsidRPr="00DC0CBE">
        <w:rPr>
          <w:rtl/>
        </w:rPr>
        <w:t>، في اجتماعاتها التي عقدت في دنفر، كولورادو، الولايات المتحدة (</w:t>
      </w:r>
      <w:r w:rsidRPr="00DC0CBE">
        <w:t>29</w:t>
      </w:r>
      <w:r w:rsidRPr="00DC0CBE">
        <w:rPr>
          <w:rtl/>
        </w:rPr>
        <w:t xml:space="preserve"> مايو</w:t>
      </w:r>
      <w:r w:rsidR="00DD0DAB" w:rsidRPr="00DC0CBE">
        <w:rPr>
          <w:rFonts w:hint="cs"/>
          <w:rtl/>
        </w:rPr>
        <w:t xml:space="preserve"> </w:t>
      </w:r>
      <w:r w:rsidRPr="00DC0CBE">
        <w:rPr>
          <w:rtl/>
        </w:rPr>
        <w:t xml:space="preserve">- </w:t>
      </w:r>
      <w:r w:rsidRPr="00DC0CBE">
        <w:t>7</w:t>
      </w:r>
      <w:r w:rsidRPr="00DC0CBE">
        <w:rPr>
          <w:rtl/>
        </w:rPr>
        <w:t xml:space="preserve"> يونيو </w:t>
      </w:r>
      <w:r w:rsidRPr="00DC0CBE">
        <w:t>2024</w:t>
      </w:r>
      <w:r w:rsidRPr="00DC0CBE">
        <w:rPr>
          <w:rtl/>
        </w:rPr>
        <w:t xml:space="preserve">)، بشكل استثنائي عقد اجتماعين في عام </w:t>
      </w:r>
      <w:r w:rsidRPr="00DC0CBE">
        <w:t>2025</w:t>
      </w:r>
      <w:r w:rsidRPr="00DC0CBE">
        <w:rPr>
          <w:rtl/>
        </w:rPr>
        <w:t xml:space="preserve"> (أي </w:t>
      </w:r>
      <w:r w:rsidRPr="00DC0CBE">
        <w:t>21-17</w:t>
      </w:r>
      <w:r w:rsidRPr="00DC0CBE">
        <w:rPr>
          <w:rtl/>
        </w:rPr>
        <w:t xml:space="preserve"> فبراير </w:t>
      </w:r>
      <w:r w:rsidRPr="00DC0CBE">
        <w:t>2025</w:t>
      </w:r>
      <w:r w:rsidRPr="00DC0CBE">
        <w:rPr>
          <w:rtl/>
        </w:rPr>
        <w:t xml:space="preserve"> </w:t>
      </w:r>
      <w:r w:rsidRPr="00DC0CBE">
        <w:t>و25</w:t>
      </w:r>
      <w:r w:rsidRPr="00DC0CBE">
        <w:rPr>
          <w:rtl/>
        </w:rPr>
        <w:t xml:space="preserve"> مايو</w:t>
      </w:r>
      <w:r w:rsidR="00DD0DAB" w:rsidRPr="00DC0CBE">
        <w:rPr>
          <w:rFonts w:hint="cs"/>
          <w:rtl/>
        </w:rPr>
        <w:t xml:space="preserve"> </w:t>
      </w:r>
      <w:r w:rsidRPr="00DC0CBE">
        <w:rPr>
          <w:rtl/>
        </w:rPr>
        <w:t xml:space="preserve">- </w:t>
      </w:r>
      <w:r w:rsidRPr="00DC0CBE">
        <w:t>5</w:t>
      </w:r>
      <w:r w:rsidRPr="00DC0CBE">
        <w:rPr>
          <w:rtl/>
        </w:rPr>
        <w:t xml:space="preserve"> يونيو </w:t>
      </w:r>
      <w:r w:rsidRPr="00DC0CBE">
        <w:t>2025</w:t>
      </w:r>
      <w:r w:rsidRPr="00DC0CBE">
        <w:rPr>
          <w:rtl/>
        </w:rPr>
        <w:t xml:space="preserve">، مقر الاتحاد، جنيف) لاستكمال بنود العمل التي تستلزمها فرق العمل المسؤولة في دراساتها المتعلقة بالتشارك والتوافق بغية دعم العمل بشأن بنود جدول أعمال المؤتمر العالمي للاتصالات الراديوية. ولن تجتمع فرقة العمل </w:t>
      </w:r>
      <w:r w:rsidRPr="00DC0CBE">
        <w:t>3L</w:t>
      </w:r>
      <w:r w:rsidRPr="00DC0CBE">
        <w:rPr>
          <w:rtl/>
        </w:rPr>
        <w:t xml:space="preserve"> إلا خلال الفترة من </w:t>
      </w:r>
      <w:r w:rsidRPr="00DC0CBE">
        <w:t>25</w:t>
      </w:r>
      <w:r w:rsidRPr="00DC0CBE">
        <w:rPr>
          <w:rtl/>
        </w:rPr>
        <w:t xml:space="preserve"> مايو إلى </w:t>
      </w:r>
      <w:r w:rsidRPr="00DC0CBE">
        <w:t>5</w:t>
      </w:r>
      <w:r w:rsidRPr="00DC0CBE">
        <w:rPr>
          <w:rtl/>
        </w:rPr>
        <w:t xml:space="preserve"> يونيو </w:t>
      </w:r>
      <w:r w:rsidRPr="00DC0CBE">
        <w:t>2025</w:t>
      </w:r>
      <w:r w:rsidRPr="00DC0CBE">
        <w:rPr>
          <w:rtl/>
        </w:rPr>
        <w:t>. وعلاوة</w:t>
      </w:r>
      <w:r w:rsidR="00CE40A1" w:rsidRPr="00DC0CBE">
        <w:rPr>
          <w:rFonts w:hint="cs"/>
          <w:rtl/>
        </w:rPr>
        <w:t>ً</w:t>
      </w:r>
      <w:r w:rsidRPr="00DC0CBE">
        <w:rPr>
          <w:rtl/>
        </w:rPr>
        <w:t xml:space="preserve"> على ذلك، قررت فرق العمل الأربعة عقد ورشة عمل لتبادل الأفكار بشأن تطبيقات التعلم الآلي في التنبؤ بانتشار الموجات الراديوية. وستتزامن ورشة العمل مع اجتماعات فرقة العمل في </w:t>
      </w:r>
      <w:r w:rsidRPr="00DC0CBE">
        <w:t>27</w:t>
      </w:r>
      <w:r w:rsidRPr="00DC0CBE">
        <w:rPr>
          <w:rtl/>
        </w:rPr>
        <w:t xml:space="preserve"> مايو </w:t>
      </w:r>
      <w:r w:rsidRPr="00DC0CBE">
        <w:t>2025</w:t>
      </w:r>
      <w:r w:rsidRPr="00DC0CBE">
        <w:rPr>
          <w:rtl/>
        </w:rPr>
        <w:t xml:space="preserve"> وستشمل المشاركة عن بُعد.</w:t>
      </w:r>
    </w:p>
    <w:p w14:paraId="7D197551" w14:textId="77777777" w:rsidR="009D4103" w:rsidRPr="00DC0CBE" w:rsidRDefault="009D4103" w:rsidP="009D4103">
      <w:pPr>
        <w:rPr>
          <w:lang w:val="ar-SA" w:bidi="ar-EG"/>
        </w:rPr>
      </w:pPr>
      <w:r w:rsidRPr="00DC0CBE">
        <w:rPr>
          <w:rtl/>
        </w:rPr>
        <w:t xml:space="preserve">وفي عام </w:t>
      </w:r>
      <w:r w:rsidRPr="00DC0CBE">
        <w:t>2024</w:t>
      </w:r>
      <w:r w:rsidRPr="00DC0CBE">
        <w:rPr>
          <w:rtl/>
        </w:rPr>
        <w:t xml:space="preserve">، على غرار الأعوام الماضية، ظلت توصيات السلسلة </w:t>
      </w:r>
      <w:r w:rsidRPr="00DC0CBE">
        <w:rPr>
          <w:lang w:bidi="ar-EG"/>
        </w:rPr>
        <w:t>P</w:t>
      </w:r>
      <w:r w:rsidRPr="00DC0CBE">
        <w:rPr>
          <w:rtl/>
        </w:rPr>
        <w:t xml:space="preserve"> الأكثر شيوعاً من بين جميع سلاسل توصيات القطاع، إذ جرى تنزيلها أكثر من </w:t>
      </w:r>
      <w:r w:rsidR="00FB0E6A" w:rsidRPr="00DC0CBE">
        <w:t>76 000</w:t>
      </w:r>
      <w:r w:rsidRPr="00DC0CBE">
        <w:rPr>
          <w:rtl/>
        </w:rPr>
        <w:t xml:space="preserve"> مرةً أكثر من ثاني </w:t>
      </w:r>
      <w:proofErr w:type="spellStart"/>
      <w:r w:rsidRPr="00DC0CBE">
        <w:rPr>
          <w:rtl/>
        </w:rPr>
        <w:t>السلسلات</w:t>
      </w:r>
      <w:proofErr w:type="spellEnd"/>
      <w:r w:rsidRPr="00DC0CBE">
        <w:rPr>
          <w:rtl/>
        </w:rPr>
        <w:t xml:space="preserve"> رواجاً، مما واصلَ تبيان أهميتها لجميع مستعملي الأنظمة الراديوية داخل الاتحاد وفي مجتمع الاتصالات الراديوية الأوسع.</w:t>
      </w:r>
    </w:p>
    <w:p w14:paraId="54B69DBC" w14:textId="14420FBE" w:rsidR="009D4103" w:rsidRPr="00DC0CBE" w:rsidRDefault="009D4103" w:rsidP="00C97C5D">
      <w:pPr>
        <w:pStyle w:val="Headingb"/>
        <w:rPr>
          <w:lang w:val="ar-SA"/>
        </w:rPr>
      </w:pPr>
      <w:r w:rsidRPr="00DC0CBE">
        <w:rPr>
          <w:rtl/>
        </w:rPr>
        <w:lastRenderedPageBreak/>
        <w:t>توصيات القطاع</w:t>
      </w:r>
      <w:r w:rsidR="002165EC" w:rsidRPr="00DC0CBE">
        <w:rPr>
          <w:rFonts w:hint="cs"/>
          <w:rtl/>
        </w:rPr>
        <w:t xml:space="preserve"> </w:t>
      </w:r>
      <w:r w:rsidR="002B21F6" w:rsidRPr="00DC0CBE">
        <w:t>ITU-R</w:t>
      </w:r>
      <w:r w:rsidRPr="00DC0CBE">
        <w:rPr>
          <w:rtl/>
        </w:rPr>
        <w:t>:</w:t>
      </w:r>
    </w:p>
    <w:p w14:paraId="7CCE1221" w14:textId="77777777" w:rsidR="009D4103" w:rsidRPr="00DC0CBE" w:rsidRDefault="000000EE" w:rsidP="00C97C5D">
      <w:pPr>
        <w:pStyle w:val="enumlev1"/>
        <w:rPr>
          <w:lang w:val="ar-SA" w:bidi="ar-EG"/>
        </w:rPr>
      </w:pPr>
      <w:r w:rsidRPr="00DC0CBE">
        <w:rPr>
          <w:lang w:bidi="ar-EG"/>
        </w:rPr>
        <w:t>–</w:t>
      </w:r>
      <w:r w:rsidR="009D4103" w:rsidRPr="00DC0CBE">
        <w:rPr>
          <w:rtl/>
        </w:rPr>
        <w:tab/>
      </w:r>
      <w:r w:rsidR="009D4103" w:rsidRPr="00DC0CBE">
        <w:t>P.372-17</w:t>
      </w:r>
      <w:r w:rsidR="009D4103" w:rsidRPr="00DC0CBE">
        <w:rPr>
          <w:rtl/>
        </w:rPr>
        <w:t xml:space="preserve"> "الضوضاء الراديوية"</w:t>
      </w:r>
    </w:p>
    <w:p w14:paraId="089A7E38" w14:textId="77777777" w:rsidR="009D4103" w:rsidRPr="00DC0CBE" w:rsidRDefault="000000EE" w:rsidP="00C97C5D">
      <w:pPr>
        <w:pStyle w:val="enumlev1"/>
        <w:rPr>
          <w:lang w:val="ar-SA" w:bidi="ar-EG"/>
        </w:rPr>
      </w:pPr>
      <w:r w:rsidRPr="00DC0CBE">
        <w:rPr>
          <w:lang w:bidi="ar-EG"/>
        </w:rPr>
        <w:t>–</w:t>
      </w:r>
      <w:r w:rsidR="009D4103" w:rsidRPr="00DC0CBE">
        <w:rPr>
          <w:rtl/>
        </w:rPr>
        <w:tab/>
      </w:r>
      <w:r w:rsidR="009D4103" w:rsidRPr="00DC0CBE">
        <w:t>P.525-5</w:t>
      </w:r>
      <w:r w:rsidR="009D4103" w:rsidRPr="00DC0CBE">
        <w:rPr>
          <w:rtl/>
        </w:rPr>
        <w:t xml:space="preserve"> "حساب التوهين في الفضاء الحر"</w:t>
      </w:r>
    </w:p>
    <w:p w14:paraId="29E8D222" w14:textId="77777777" w:rsidR="009D4103" w:rsidRPr="00DC0CBE" w:rsidRDefault="000000EE" w:rsidP="00C97C5D">
      <w:pPr>
        <w:pStyle w:val="enumlev1"/>
        <w:rPr>
          <w:lang w:val="ar-SA" w:bidi="ar-EG"/>
        </w:rPr>
      </w:pPr>
      <w:r w:rsidRPr="00DC0CBE">
        <w:rPr>
          <w:lang w:bidi="ar-EG"/>
        </w:rPr>
        <w:t>–</w:t>
      </w:r>
      <w:r w:rsidR="009D4103" w:rsidRPr="00DC0CBE">
        <w:rPr>
          <w:rtl/>
        </w:rPr>
        <w:tab/>
      </w:r>
      <w:r w:rsidR="009D4103" w:rsidRPr="00DC0CBE">
        <w:t>P.835-7</w:t>
      </w:r>
      <w:r w:rsidR="009D4103" w:rsidRPr="00DC0CBE">
        <w:rPr>
          <w:rtl/>
        </w:rPr>
        <w:t xml:space="preserve"> "الأغلفة الجوية المرجعية"</w:t>
      </w:r>
    </w:p>
    <w:p w14:paraId="63D22722" w14:textId="77777777" w:rsidR="009D4103" w:rsidRPr="00DC0CBE" w:rsidRDefault="000000EE" w:rsidP="00C97C5D">
      <w:pPr>
        <w:pStyle w:val="enumlev1"/>
        <w:rPr>
          <w:lang w:val="ar-SA" w:bidi="ar-EG"/>
        </w:rPr>
      </w:pPr>
      <w:r w:rsidRPr="00DC0CBE">
        <w:rPr>
          <w:lang w:bidi="ar-EG"/>
        </w:rPr>
        <w:t>–</w:t>
      </w:r>
      <w:r w:rsidR="009D4103" w:rsidRPr="00DC0CBE">
        <w:rPr>
          <w:rtl/>
        </w:rPr>
        <w:tab/>
      </w:r>
      <w:r w:rsidR="009D4103" w:rsidRPr="00DC0CBE">
        <w:t>P.1511-3</w:t>
      </w:r>
      <w:r w:rsidR="009D4103" w:rsidRPr="00DC0CBE">
        <w:rPr>
          <w:rtl/>
        </w:rPr>
        <w:t xml:space="preserve"> "طوبوغرافيا وضع نماذج الانتشار باتجاه أرض-فضاء"</w:t>
      </w:r>
    </w:p>
    <w:p w14:paraId="103439D1" w14:textId="77777777" w:rsidR="009D4103" w:rsidRPr="00DC0CBE" w:rsidRDefault="009D4103" w:rsidP="009D4103">
      <w:pPr>
        <w:rPr>
          <w:lang w:val="ar-SA" w:bidi="ar-EG"/>
        </w:rPr>
      </w:pPr>
      <w:r w:rsidRPr="00DC0CBE">
        <w:rPr>
          <w:rtl/>
        </w:rPr>
        <w:t xml:space="preserve">وواصلت فرق العمل التابعة للجنة الدراسات </w:t>
      </w:r>
      <w:r w:rsidRPr="00DC0CBE">
        <w:t>3</w:t>
      </w:r>
      <w:r w:rsidRPr="00DC0CBE">
        <w:rPr>
          <w:rtl/>
        </w:rPr>
        <w:t xml:space="preserve"> الاحتفاظ بعدد من الكراسات التي تحتوي على معلومات ينبغي حفظها لأغراض مرجعية، ولكنها غير مناسبة كي تُدرجَ في تقارير أو توصيات قطاع الاتصالات الراديوية.</w:t>
      </w:r>
      <w:r w:rsidR="006E689A" w:rsidRPr="00DC0CBE">
        <w:rPr>
          <w:rtl/>
        </w:rPr>
        <w:t xml:space="preserve"> </w:t>
      </w:r>
      <w:r w:rsidRPr="00DC0CBE">
        <w:rPr>
          <w:rtl/>
        </w:rPr>
        <w:t xml:space="preserve">ووافقت فرقة العمل </w:t>
      </w:r>
      <w:r w:rsidRPr="00DC0CBE">
        <w:t>3J</w:t>
      </w:r>
      <w:r w:rsidRPr="00DC0CBE">
        <w:rPr>
          <w:rtl/>
        </w:rPr>
        <w:t xml:space="preserve"> على الكراسات الجديدة التالية:</w:t>
      </w:r>
    </w:p>
    <w:p w14:paraId="3E9AC112" w14:textId="77777777" w:rsidR="009D4103" w:rsidRPr="00DC0CBE" w:rsidRDefault="000000EE" w:rsidP="00C97C5D">
      <w:pPr>
        <w:pStyle w:val="enumlev1"/>
        <w:rPr>
          <w:lang w:val="ar-SA" w:bidi="ar-EG"/>
        </w:rPr>
      </w:pPr>
      <w:r w:rsidRPr="00DC0CBE">
        <w:rPr>
          <w:lang w:bidi="ar-EG"/>
        </w:rPr>
        <w:t>–</w:t>
      </w:r>
      <w:r w:rsidR="009D4103" w:rsidRPr="00DC0CBE">
        <w:rPr>
          <w:rtl/>
        </w:rPr>
        <w:tab/>
      </w:r>
      <w:hyperlink r:id="rId20" w:history="1">
        <w:r w:rsidR="009D4103" w:rsidRPr="00DC0CBE">
          <w:rPr>
            <w:rStyle w:val="Hyperlink"/>
          </w:rPr>
          <w:t>3J/FAS/11</w:t>
        </w:r>
      </w:hyperlink>
      <w:r w:rsidR="009D4103" w:rsidRPr="00DC0CBE">
        <w:rPr>
          <w:rtl/>
        </w:rPr>
        <w:t xml:space="preserve"> "معلومات أساسية عن الملحق </w:t>
      </w:r>
      <w:r w:rsidR="009D4103" w:rsidRPr="00DC0CBE">
        <w:t>3</w:t>
      </w:r>
      <w:r w:rsidR="009D4103" w:rsidRPr="00DC0CBE">
        <w:rPr>
          <w:rtl/>
        </w:rPr>
        <w:t xml:space="preserve"> بالتوصية </w:t>
      </w:r>
      <w:r w:rsidR="009D4103" w:rsidRPr="00DC0CBE">
        <w:t>ITU-R P.835</w:t>
      </w:r>
      <w:proofErr w:type="gramStart"/>
      <w:r w:rsidR="009D4103" w:rsidRPr="00DC0CBE">
        <w:rPr>
          <w:rtl/>
        </w:rPr>
        <w:t>"؛</w:t>
      </w:r>
      <w:proofErr w:type="gramEnd"/>
    </w:p>
    <w:p w14:paraId="51EDA794" w14:textId="77777777" w:rsidR="009D4103" w:rsidRPr="00DC0CBE" w:rsidRDefault="000000EE" w:rsidP="00C97C5D">
      <w:pPr>
        <w:pStyle w:val="enumlev1"/>
        <w:rPr>
          <w:lang w:val="ar-SA" w:bidi="ar-EG"/>
        </w:rPr>
      </w:pPr>
      <w:r w:rsidRPr="00DC0CBE">
        <w:rPr>
          <w:lang w:bidi="ar-EG"/>
        </w:rPr>
        <w:t>–</w:t>
      </w:r>
      <w:r w:rsidR="009D4103" w:rsidRPr="00DC0CBE">
        <w:rPr>
          <w:rtl/>
        </w:rPr>
        <w:tab/>
      </w:r>
      <w:hyperlink r:id="rId21" w:history="1">
        <w:r w:rsidR="009D4103" w:rsidRPr="00DC0CBE">
          <w:rPr>
            <w:rStyle w:val="Hyperlink"/>
          </w:rPr>
          <w:t>3L/FAS/1</w:t>
        </w:r>
      </w:hyperlink>
      <w:r w:rsidR="009D4103" w:rsidRPr="00DC0CBE">
        <w:rPr>
          <w:rtl/>
        </w:rPr>
        <w:t xml:space="preserve"> </w:t>
      </w:r>
      <w:r w:rsidR="00217696" w:rsidRPr="00DC0CBE">
        <w:rPr>
          <w:rFonts w:hint="cs"/>
          <w:rtl/>
        </w:rPr>
        <w:t>"</w:t>
      </w:r>
      <w:r w:rsidR="009D4103" w:rsidRPr="00DC0CBE">
        <w:rPr>
          <w:rtl/>
        </w:rPr>
        <w:t xml:space="preserve">طريقة التنبؤ بدرجة حرارة اللمعان في التوصية </w:t>
      </w:r>
      <w:r w:rsidR="009D4103" w:rsidRPr="00DC0CBE">
        <w:t>ITU-R P.372</w:t>
      </w:r>
      <w:r w:rsidR="00C97C5D" w:rsidRPr="00DC0CBE">
        <w:rPr>
          <w:rFonts w:hint="cs"/>
          <w:rtl/>
          <w:lang w:bidi="ar-EG"/>
        </w:rPr>
        <w:t xml:space="preserve"> </w:t>
      </w:r>
      <w:r w:rsidR="009D4103" w:rsidRPr="00DC0CBE">
        <w:rPr>
          <w:rtl/>
        </w:rPr>
        <w:t>- الضوضاء الراديوية".</w:t>
      </w:r>
    </w:p>
    <w:p w14:paraId="2542C304" w14:textId="77777777" w:rsidR="009D4103" w:rsidRPr="00DC0CBE" w:rsidRDefault="00C97C5D" w:rsidP="00C97C5D">
      <w:pPr>
        <w:pStyle w:val="Heading2"/>
        <w:rPr>
          <w:lang w:val="ar-SA"/>
        </w:rPr>
      </w:pPr>
      <w:bookmarkStart w:id="25" w:name="_Toc192766207"/>
      <w:bookmarkStart w:id="26" w:name="_Toc445972795"/>
      <w:bookmarkEnd w:id="21"/>
      <w:r w:rsidRPr="00DC0CBE">
        <w:t>3.5</w:t>
      </w:r>
      <w:r w:rsidR="009D4103" w:rsidRPr="00DC0CBE">
        <w:rPr>
          <w:rtl/>
        </w:rPr>
        <w:tab/>
        <w:t xml:space="preserve">لجنة دراسات </w:t>
      </w:r>
      <w:r w:rsidR="009D4103" w:rsidRPr="00DC0CBE">
        <w:t>4</w:t>
      </w:r>
      <w:bookmarkEnd w:id="25"/>
    </w:p>
    <w:p w14:paraId="0D4039A9" w14:textId="77777777" w:rsidR="009D4103" w:rsidRPr="00DC0CBE" w:rsidRDefault="009D4103" w:rsidP="009D4103">
      <w:pPr>
        <w:rPr>
          <w:lang w:val="ar-SA" w:bidi="ar-EG"/>
        </w:rPr>
      </w:pPr>
      <w:r w:rsidRPr="00DC0CBE">
        <w:rPr>
          <w:rtl/>
        </w:rPr>
        <w:t xml:space="preserve">تواصل لجنة الدراسات </w:t>
      </w:r>
      <w:r w:rsidRPr="00DC0CBE">
        <w:t>4</w:t>
      </w:r>
      <w:r w:rsidRPr="00DC0CBE">
        <w:rPr>
          <w:rtl/>
        </w:rPr>
        <w:t xml:space="preserve"> دراسة خصائص أنظمة وشبكات الخدمة الثابتة </w:t>
      </w:r>
      <w:proofErr w:type="spellStart"/>
      <w:r w:rsidRPr="00DC0CBE">
        <w:rPr>
          <w:rtl/>
        </w:rPr>
        <w:t>الساتلية</w:t>
      </w:r>
      <w:proofErr w:type="spellEnd"/>
      <w:r w:rsidRPr="00DC0CBE">
        <w:rPr>
          <w:rtl/>
        </w:rPr>
        <w:t xml:space="preserve"> والخدمة المتنقلة </w:t>
      </w:r>
      <w:proofErr w:type="spellStart"/>
      <w:r w:rsidRPr="00DC0CBE">
        <w:rPr>
          <w:rtl/>
        </w:rPr>
        <w:t>الساتلية</w:t>
      </w:r>
      <w:proofErr w:type="spellEnd"/>
      <w:r w:rsidRPr="00DC0CBE">
        <w:rPr>
          <w:rtl/>
        </w:rPr>
        <w:t xml:space="preserve"> والخدمة الإذاعية </w:t>
      </w:r>
      <w:proofErr w:type="spellStart"/>
      <w:r w:rsidRPr="00DC0CBE">
        <w:rPr>
          <w:rtl/>
        </w:rPr>
        <w:t>الساتلية</w:t>
      </w:r>
      <w:proofErr w:type="spellEnd"/>
      <w:r w:rsidRPr="00DC0CBE">
        <w:rPr>
          <w:rtl/>
        </w:rPr>
        <w:t xml:space="preserve"> وخدمة الاستدلال الراديوي </w:t>
      </w:r>
      <w:proofErr w:type="spellStart"/>
      <w:r w:rsidRPr="00DC0CBE">
        <w:rPr>
          <w:rtl/>
        </w:rPr>
        <w:t>الساتلية</w:t>
      </w:r>
      <w:proofErr w:type="spellEnd"/>
      <w:r w:rsidRPr="00DC0CBE">
        <w:rPr>
          <w:rtl/>
        </w:rPr>
        <w:t xml:space="preserve">، وما يرتبط بذلك من استعمال الوصلات في خدمة ما بين </w:t>
      </w:r>
      <w:proofErr w:type="spellStart"/>
      <w:r w:rsidRPr="00DC0CBE">
        <w:rPr>
          <w:rtl/>
        </w:rPr>
        <w:t>السواتل</w:t>
      </w:r>
      <w:proofErr w:type="spellEnd"/>
      <w:r w:rsidRPr="00DC0CBE">
        <w:rPr>
          <w:rtl/>
        </w:rPr>
        <w:t xml:space="preserve">، حسب الاقتضاء، والواجهات الهوائية، وأهداف الأداء </w:t>
      </w:r>
      <w:proofErr w:type="spellStart"/>
      <w:r w:rsidRPr="00DC0CBE">
        <w:rPr>
          <w:rtl/>
        </w:rPr>
        <w:t>والتيسر</w:t>
      </w:r>
      <w:proofErr w:type="spellEnd"/>
      <w:r w:rsidRPr="00DC0CBE">
        <w:rPr>
          <w:rtl/>
        </w:rPr>
        <w:t xml:space="preserve"> وكذلك التشارُك في موارد المدار/الطيف بين الأنظمة </w:t>
      </w:r>
      <w:proofErr w:type="spellStart"/>
      <w:r w:rsidRPr="00DC0CBE">
        <w:rPr>
          <w:rtl/>
        </w:rPr>
        <w:t>الساتلية</w:t>
      </w:r>
      <w:proofErr w:type="spellEnd"/>
      <w:r w:rsidRPr="00DC0CBE">
        <w:rPr>
          <w:rtl/>
        </w:rPr>
        <w:t xml:space="preserve"> المستقرة بالنسبة إلى</w:t>
      </w:r>
      <w:r w:rsidR="00900119" w:rsidRPr="00DC0CBE">
        <w:rPr>
          <w:rFonts w:hint="cs"/>
          <w:rtl/>
        </w:rPr>
        <w:t> </w:t>
      </w:r>
      <w:r w:rsidRPr="00DC0CBE">
        <w:rPr>
          <w:rtl/>
        </w:rPr>
        <w:t xml:space="preserve">الأرض </w:t>
      </w:r>
      <w:r w:rsidRPr="00DC0CBE">
        <w:rPr>
          <w:lang w:bidi="ar-EG"/>
        </w:rPr>
        <w:t>(GSO</w:t>
      </w:r>
      <w:r w:rsidRPr="00DC0CBE">
        <w:t>)</w:t>
      </w:r>
      <w:r w:rsidRPr="00DC0CBE">
        <w:rPr>
          <w:rtl/>
        </w:rPr>
        <w:t xml:space="preserve"> والأنظمة </w:t>
      </w:r>
      <w:proofErr w:type="spellStart"/>
      <w:r w:rsidRPr="00DC0CBE">
        <w:rPr>
          <w:rtl/>
        </w:rPr>
        <w:t>الساتلية</w:t>
      </w:r>
      <w:proofErr w:type="spellEnd"/>
      <w:r w:rsidRPr="00DC0CBE">
        <w:rPr>
          <w:rtl/>
        </w:rPr>
        <w:t xml:space="preserve"> غير المستقرة بالنسبة إلى الأرض </w:t>
      </w:r>
      <w:r w:rsidRPr="00DC0CBE">
        <w:t>(</w:t>
      </w:r>
      <w:r w:rsidRPr="00DC0CBE">
        <w:rPr>
          <w:lang w:bidi="ar-EG"/>
        </w:rPr>
        <w:t>non-GSO</w:t>
      </w:r>
      <w:r w:rsidRPr="00DC0CBE">
        <w:t>)</w:t>
      </w:r>
      <w:r w:rsidRPr="00DC0CBE">
        <w:rPr>
          <w:rtl/>
        </w:rPr>
        <w:t>، مما يمكن من تحقيق التنمية المستدامة للنظام الإيكولوجي للفضاء.</w:t>
      </w:r>
    </w:p>
    <w:p w14:paraId="73F0CDA0" w14:textId="77777777" w:rsidR="009D4103" w:rsidRPr="00DC0CBE" w:rsidRDefault="009D4103" w:rsidP="00DC0CBE">
      <w:pPr>
        <w:keepNext/>
        <w:keepLines/>
        <w:rPr>
          <w:lang w:val="ar-SA" w:bidi="ar-EG"/>
        </w:rPr>
      </w:pPr>
      <w:r w:rsidRPr="00DC0CBE">
        <w:rPr>
          <w:rtl/>
        </w:rPr>
        <w:t xml:space="preserve">ويتواصل العمل في فرقة العمل </w:t>
      </w:r>
      <w:r w:rsidRPr="00DC0CBE">
        <w:t>4A</w:t>
      </w:r>
      <w:r w:rsidRPr="00DC0CBE">
        <w:rPr>
          <w:rtl/>
        </w:rPr>
        <w:t xml:space="preserve"> استجابةً للقرار </w:t>
      </w:r>
      <w:r w:rsidRPr="00DC0CBE">
        <w:t>ITU</w:t>
      </w:r>
      <w:r w:rsidR="002B21F6" w:rsidRPr="00DC0CBE">
        <w:t>-</w:t>
      </w:r>
      <w:r w:rsidRPr="00DC0CBE">
        <w:t>R 74</w:t>
      </w:r>
      <w:r w:rsidRPr="00DC0CBE">
        <w:rPr>
          <w:rtl/>
        </w:rPr>
        <w:t xml:space="preserve"> "</w:t>
      </w:r>
      <w:r w:rsidR="005D765C" w:rsidRPr="00DC0CBE">
        <w:t> </w:t>
      </w:r>
      <w:r w:rsidRPr="00DC0CBE">
        <w:rPr>
          <w:i/>
          <w:iCs/>
          <w:rtl/>
        </w:rPr>
        <w:t xml:space="preserve">الأنشطة المتعلقة بالاستخدام المستدام للموارد من طيف الترددات الراديوية وما يرتبط به من مدارات </w:t>
      </w:r>
      <w:proofErr w:type="spellStart"/>
      <w:r w:rsidRPr="00DC0CBE">
        <w:rPr>
          <w:i/>
          <w:iCs/>
          <w:rtl/>
        </w:rPr>
        <w:t>ساتلية</w:t>
      </w:r>
      <w:proofErr w:type="spellEnd"/>
      <w:r w:rsidRPr="00DC0CBE">
        <w:rPr>
          <w:i/>
          <w:iCs/>
          <w:rtl/>
        </w:rPr>
        <w:t xml:space="preserve"> والتي تستخدمها الخدمات الفضائية</w:t>
      </w:r>
      <w:r w:rsidRPr="00DC0CBE">
        <w:rPr>
          <w:rtl/>
        </w:rPr>
        <w:t>".</w:t>
      </w:r>
      <w:r w:rsidR="006E689A" w:rsidRPr="00DC0CBE">
        <w:rPr>
          <w:rtl/>
        </w:rPr>
        <w:t xml:space="preserve"> </w:t>
      </w:r>
      <w:r w:rsidRPr="00DC0CBE">
        <w:rPr>
          <w:rtl/>
        </w:rPr>
        <w:t>ووجهت دعوة لتقديم مقترحات لوضع كتيب لقطاع الاتصالات الراديوية بشأن "</w:t>
      </w:r>
      <w:r w:rsidR="005D765C" w:rsidRPr="00DC0CBE">
        <w:t> </w:t>
      </w:r>
      <w:r w:rsidR="005D765C" w:rsidRPr="00DC0CBE">
        <w:rPr>
          <w:i/>
          <w:iCs/>
          <w:rtl/>
        </w:rPr>
        <w:t xml:space="preserve">الممارسات </w:t>
      </w:r>
      <w:r w:rsidR="005D765C" w:rsidRPr="00DC0CBE">
        <w:rPr>
          <w:rFonts w:hint="cs"/>
          <w:i/>
          <w:iCs/>
          <w:rtl/>
        </w:rPr>
        <w:t>الفضلى</w:t>
      </w:r>
      <w:r w:rsidRPr="00DC0CBE">
        <w:rPr>
          <w:i/>
          <w:iCs/>
          <w:rtl/>
        </w:rPr>
        <w:t xml:space="preserve"> من أجل الاستخدام المستدام للترددات والمدارات غير المستقرة بالنسبة إلى الأرض المرتبطة بها من جانب خدمات الاتصالات الراديوية الفضائية</w:t>
      </w:r>
      <w:r w:rsidRPr="00DC0CBE">
        <w:rPr>
          <w:rtl/>
        </w:rPr>
        <w:t xml:space="preserve">" (انظر </w:t>
      </w:r>
      <w:hyperlink r:id="rId22" w:history="1">
        <w:r w:rsidRPr="00DC0CBE">
          <w:rPr>
            <w:rStyle w:val="Hyperlink"/>
            <w:lang w:bidi="ar-EG"/>
          </w:rPr>
          <w:t>CACE/1129</w:t>
        </w:r>
      </w:hyperlink>
      <w:r w:rsidRPr="00DC0CBE">
        <w:rPr>
          <w:rtl/>
        </w:rPr>
        <w:t>).</w:t>
      </w:r>
    </w:p>
    <w:p w14:paraId="780D6D08" w14:textId="77777777" w:rsidR="006E689A" w:rsidRPr="00DC0CBE" w:rsidRDefault="009D4103" w:rsidP="009D4103">
      <w:pPr>
        <w:rPr>
          <w:rtl/>
        </w:rPr>
      </w:pPr>
      <w:r w:rsidRPr="00DC0CBE">
        <w:rPr>
          <w:rtl/>
        </w:rPr>
        <w:t xml:space="preserve">ومع مراعاة الاقتراحات المقدَّمة في اجتماع الفريق الاستشاري للاتصالات الراديوية في مايو </w:t>
      </w:r>
      <w:r w:rsidRPr="00DC0CBE">
        <w:t>2024</w:t>
      </w:r>
      <w:r w:rsidRPr="00DC0CBE">
        <w:rPr>
          <w:rtl/>
        </w:rPr>
        <w:t xml:space="preserve">، وافقت لجنة الدراسات </w:t>
      </w:r>
      <w:r w:rsidRPr="00DC0CBE">
        <w:t>4</w:t>
      </w:r>
      <w:r w:rsidRPr="00DC0CBE">
        <w:rPr>
          <w:rtl/>
        </w:rPr>
        <w:t xml:space="preserve"> على</w:t>
      </w:r>
      <w:r w:rsidR="00900119" w:rsidRPr="00DC0CBE">
        <w:rPr>
          <w:rFonts w:hint="cs"/>
          <w:rtl/>
        </w:rPr>
        <w:t> </w:t>
      </w:r>
      <w:r w:rsidRPr="00DC0CBE">
        <w:rPr>
          <w:rtl/>
        </w:rPr>
        <w:t>إعداد كتيب جديد لقطاع الاتصالات الراديوية بشأن "</w:t>
      </w:r>
      <w:r w:rsidR="00992792" w:rsidRPr="00DC0CBE">
        <w:rPr>
          <w:rFonts w:hint="cs"/>
          <w:rtl/>
        </w:rPr>
        <w:t> </w:t>
      </w:r>
      <w:r w:rsidRPr="00DC0CBE">
        <w:rPr>
          <w:i/>
          <w:iCs/>
          <w:rtl/>
        </w:rPr>
        <w:t xml:space="preserve">الاتصالات والتكنولوجيات </w:t>
      </w:r>
      <w:proofErr w:type="spellStart"/>
      <w:r w:rsidRPr="00DC0CBE">
        <w:rPr>
          <w:i/>
          <w:iCs/>
          <w:rtl/>
        </w:rPr>
        <w:t>الساتلية</w:t>
      </w:r>
      <w:proofErr w:type="spellEnd"/>
      <w:r w:rsidRPr="00DC0CBE">
        <w:rPr>
          <w:rtl/>
        </w:rPr>
        <w:t xml:space="preserve">"، مع تركيز المواد ذات الصلة بأنظمة الخدمة الثابتة </w:t>
      </w:r>
      <w:proofErr w:type="spellStart"/>
      <w:r w:rsidRPr="00DC0CBE">
        <w:rPr>
          <w:rtl/>
        </w:rPr>
        <w:t>الساتلية</w:t>
      </w:r>
      <w:proofErr w:type="spellEnd"/>
      <w:r w:rsidRPr="00DC0CBE">
        <w:rPr>
          <w:rtl/>
        </w:rPr>
        <w:t xml:space="preserve"> </w:t>
      </w:r>
      <w:r w:rsidRPr="00DC0CBE">
        <w:rPr>
          <w:lang w:bidi="ar-EG"/>
        </w:rPr>
        <w:t>(FSS</w:t>
      </w:r>
      <w:r w:rsidRPr="00DC0CBE">
        <w:t>)</w:t>
      </w:r>
      <w:r w:rsidRPr="00DC0CBE">
        <w:rPr>
          <w:rtl/>
        </w:rPr>
        <w:t xml:space="preserve"> والخدمة الإذاعية </w:t>
      </w:r>
      <w:proofErr w:type="spellStart"/>
      <w:r w:rsidRPr="00DC0CBE">
        <w:rPr>
          <w:rtl/>
        </w:rPr>
        <w:t>الساتلية</w:t>
      </w:r>
      <w:proofErr w:type="spellEnd"/>
      <w:r w:rsidRPr="00DC0CBE">
        <w:rPr>
          <w:rtl/>
        </w:rPr>
        <w:t xml:space="preserve"> (</w:t>
      </w:r>
      <w:r w:rsidRPr="00DC0CBE">
        <w:rPr>
          <w:lang w:bidi="ar-EG"/>
        </w:rPr>
        <w:t>BSS</w:t>
      </w:r>
      <w:r w:rsidRPr="00DC0CBE">
        <w:rPr>
          <w:rtl/>
        </w:rPr>
        <w:t xml:space="preserve">) والخدمة المتنقلة </w:t>
      </w:r>
      <w:proofErr w:type="spellStart"/>
      <w:r w:rsidRPr="00DC0CBE">
        <w:rPr>
          <w:rtl/>
        </w:rPr>
        <w:t>الساتلية</w:t>
      </w:r>
      <w:proofErr w:type="spellEnd"/>
      <w:r w:rsidRPr="00DC0CBE">
        <w:rPr>
          <w:rtl/>
        </w:rPr>
        <w:t xml:space="preserve"> (</w:t>
      </w:r>
      <w:r w:rsidRPr="00DC0CBE">
        <w:rPr>
          <w:lang w:bidi="ar-EG"/>
        </w:rPr>
        <w:t>MSS</w:t>
      </w:r>
      <w:r w:rsidRPr="00DC0CBE">
        <w:rPr>
          <w:rtl/>
        </w:rPr>
        <w:t xml:space="preserve">) وخدمة الاستدلال الراديوي </w:t>
      </w:r>
      <w:proofErr w:type="spellStart"/>
      <w:r w:rsidRPr="00DC0CBE">
        <w:rPr>
          <w:rtl/>
        </w:rPr>
        <w:t>الساتلية</w:t>
      </w:r>
      <w:proofErr w:type="spellEnd"/>
      <w:r w:rsidRPr="00DC0CBE">
        <w:rPr>
          <w:rtl/>
        </w:rPr>
        <w:t xml:space="preserve"> (</w:t>
      </w:r>
      <w:r w:rsidRPr="00DC0CBE">
        <w:rPr>
          <w:lang w:bidi="ar-EG"/>
        </w:rPr>
        <w:t>RDSS</w:t>
      </w:r>
      <w:r w:rsidRPr="00DC0CBE">
        <w:rPr>
          <w:rtl/>
        </w:rPr>
        <w:t xml:space="preserve">). وسيخلف هذا الكتيبُ </w:t>
      </w:r>
      <w:proofErr w:type="spellStart"/>
      <w:r w:rsidRPr="00DC0CBE">
        <w:rPr>
          <w:rtl/>
        </w:rPr>
        <w:t>الكتيبَ</w:t>
      </w:r>
      <w:proofErr w:type="spellEnd"/>
      <w:r w:rsidRPr="00DC0CBE">
        <w:rPr>
          <w:rtl/>
        </w:rPr>
        <w:t xml:space="preserve"> المتقادم بشأن الأنظمة </w:t>
      </w:r>
      <w:proofErr w:type="spellStart"/>
      <w:r w:rsidRPr="00DC0CBE">
        <w:rPr>
          <w:rtl/>
        </w:rPr>
        <w:t>الساتلية</w:t>
      </w:r>
      <w:proofErr w:type="spellEnd"/>
      <w:r w:rsidRPr="00DC0CBE">
        <w:rPr>
          <w:rtl/>
        </w:rPr>
        <w:t xml:space="preserve">، ولا يزال قيد الإعداد. ووجهت دعوة لتقديم مقترحات لإعداده (انظر </w:t>
      </w:r>
      <w:hyperlink r:id="rId23" w:history="1">
        <w:r w:rsidRPr="00DC0CBE">
          <w:rPr>
            <w:rStyle w:val="Hyperlink"/>
          </w:rPr>
          <w:t>4/LCCE/140</w:t>
        </w:r>
      </w:hyperlink>
      <w:r w:rsidRPr="00DC0CBE">
        <w:rPr>
          <w:rtl/>
        </w:rPr>
        <w:t xml:space="preserve">). ومنذ انعقاد الفريق الاستشاري للاتصالات الراديوية لعام </w:t>
      </w:r>
      <w:r w:rsidRPr="00DC0CBE">
        <w:t>2024</w:t>
      </w:r>
      <w:r w:rsidRPr="00DC0CBE">
        <w:rPr>
          <w:rtl/>
        </w:rPr>
        <w:t xml:space="preserve">، اعتمدت لجنة الدراسات </w:t>
      </w:r>
      <w:r w:rsidRPr="00DC0CBE">
        <w:t>4</w:t>
      </w:r>
      <w:r w:rsidRPr="00DC0CBE">
        <w:rPr>
          <w:rtl/>
        </w:rPr>
        <w:t xml:space="preserve"> توصيتين مراجعتين لقطاع الاتصالات الراديوية ووافقت عليهما. ووافقت لجنة الدراسات </w:t>
      </w:r>
      <w:r w:rsidRPr="00DC0CBE">
        <w:t>4</w:t>
      </w:r>
      <w:r w:rsidRPr="00DC0CBE">
        <w:rPr>
          <w:rtl/>
        </w:rPr>
        <w:t xml:space="preserve"> أيضاً على تقريرَين جديدَين و</w:t>
      </w:r>
      <w:r w:rsidR="005D765C" w:rsidRPr="00DC0CBE">
        <w:rPr>
          <w:rtl/>
        </w:rPr>
        <w:t>تقريرَين</w:t>
      </w:r>
      <w:r w:rsidRPr="00DC0CBE">
        <w:rPr>
          <w:rtl/>
        </w:rPr>
        <w:t xml:space="preserve"> مراجعَين لقطاع الاتصالات الراديوية.</w:t>
      </w:r>
    </w:p>
    <w:p w14:paraId="361CBA20" w14:textId="2C0DBDDE" w:rsidR="009D4103" w:rsidRPr="00DC0CBE" w:rsidRDefault="009D4103" w:rsidP="005D765C">
      <w:pPr>
        <w:pStyle w:val="Headingb"/>
        <w:rPr>
          <w:lang w:val="ar-SA"/>
        </w:rPr>
      </w:pPr>
      <w:r w:rsidRPr="00DC0CBE">
        <w:rPr>
          <w:rtl/>
        </w:rPr>
        <w:t>توصيات القطاع</w:t>
      </w:r>
      <w:r w:rsidR="006E689A" w:rsidRPr="00DC0CBE">
        <w:rPr>
          <w:rtl/>
        </w:rPr>
        <w:t xml:space="preserve"> </w:t>
      </w:r>
      <w:r w:rsidR="002B21F6" w:rsidRPr="00DC0CBE">
        <w:t>ITU-R</w:t>
      </w:r>
      <w:r w:rsidRPr="00DC0CBE">
        <w:rPr>
          <w:rtl/>
        </w:rPr>
        <w:t>:</w:t>
      </w:r>
    </w:p>
    <w:p w14:paraId="071D3EF6"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M.1787-5</w:t>
      </w:r>
      <w:r w:rsidR="009D4103" w:rsidRPr="00DC0CBE">
        <w:rPr>
          <w:rtl/>
        </w:rPr>
        <w:t xml:space="preserve"> "وصف الأنظمة والشبكات في خدمة الملاحة الراديوية </w:t>
      </w:r>
      <w:proofErr w:type="spellStart"/>
      <w:r w:rsidR="009D4103" w:rsidRPr="00DC0CBE">
        <w:rPr>
          <w:rtl/>
        </w:rPr>
        <w:t>الساتلية</w:t>
      </w:r>
      <w:proofErr w:type="spellEnd"/>
      <w:r w:rsidR="009D4103" w:rsidRPr="00DC0CBE">
        <w:rPr>
          <w:rtl/>
        </w:rPr>
        <w:t xml:space="preserve"> (فضاء-أرض وفضاء-فضاء) والخصائص التقنية لمحطات الإرسال الفضائية العاملة في النطاقات </w:t>
      </w:r>
      <w:r w:rsidR="009D4103" w:rsidRPr="00DC0CBE">
        <w:t>MHz</w:t>
      </w:r>
      <w:r w:rsidR="005D765C" w:rsidRPr="00DC0CBE">
        <w:t> </w:t>
      </w:r>
      <w:r w:rsidR="009D4103" w:rsidRPr="00DC0CBE">
        <w:t>1</w:t>
      </w:r>
      <w:r w:rsidR="005D765C" w:rsidRPr="00DC0CBE">
        <w:t> </w:t>
      </w:r>
      <w:r w:rsidR="009D4103" w:rsidRPr="00DC0CBE">
        <w:t>215-1</w:t>
      </w:r>
      <w:r w:rsidR="005D765C" w:rsidRPr="00DC0CBE">
        <w:t> </w:t>
      </w:r>
      <w:r w:rsidR="009D4103" w:rsidRPr="00DC0CBE">
        <w:t>164</w:t>
      </w:r>
      <w:r w:rsidR="009D4103" w:rsidRPr="00DC0CBE">
        <w:rPr>
          <w:rtl/>
        </w:rPr>
        <w:t xml:space="preserve"> و</w:t>
      </w:r>
      <w:r w:rsidR="009D4103" w:rsidRPr="00DC0CBE">
        <w:t>MHz</w:t>
      </w:r>
      <w:r w:rsidR="005D765C" w:rsidRPr="00DC0CBE">
        <w:t> 1 300-1 215</w:t>
      </w:r>
      <w:r w:rsidR="009D4103" w:rsidRPr="00DC0CBE">
        <w:rPr>
          <w:rtl/>
        </w:rPr>
        <w:t xml:space="preserve"> و</w:t>
      </w:r>
      <w:r w:rsidR="009D4103" w:rsidRPr="00DC0CBE">
        <w:t>MHz</w:t>
      </w:r>
      <w:r w:rsidR="005D765C" w:rsidRPr="00DC0CBE">
        <w:t> 1 610-1 559</w:t>
      </w:r>
      <w:r w:rsidR="009D4103" w:rsidRPr="00DC0CBE">
        <w:rPr>
          <w:rtl/>
        </w:rPr>
        <w:t>"</w:t>
      </w:r>
    </w:p>
    <w:p w14:paraId="080514F9"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S.1328-5</w:t>
      </w:r>
      <w:r w:rsidR="009D4103" w:rsidRPr="00DC0CBE">
        <w:rPr>
          <w:rtl/>
        </w:rPr>
        <w:t xml:space="preserve"> "خصائص النظام </w:t>
      </w:r>
      <w:proofErr w:type="spellStart"/>
      <w:r w:rsidR="009D4103" w:rsidRPr="00DC0CBE">
        <w:rPr>
          <w:rtl/>
        </w:rPr>
        <w:t>الساتلي</w:t>
      </w:r>
      <w:proofErr w:type="spellEnd"/>
      <w:r w:rsidR="009D4103" w:rsidRPr="00DC0CBE">
        <w:rPr>
          <w:rtl/>
        </w:rPr>
        <w:t xml:space="preserve"> التي يجب أخذها في الاعتبار في تحليلات التشارك في الترددات للخدمة الثابتة</w:t>
      </w:r>
      <w:r w:rsidR="00900119" w:rsidRPr="00DC0CBE">
        <w:rPr>
          <w:rFonts w:hint="cs"/>
          <w:rtl/>
        </w:rPr>
        <w:t> </w:t>
      </w:r>
      <w:proofErr w:type="spellStart"/>
      <w:r w:rsidR="009D4103" w:rsidRPr="00DC0CBE">
        <w:rPr>
          <w:rtl/>
        </w:rPr>
        <w:t>الساتلية</w:t>
      </w:r>
      <w:proofErr w:type="spellEnd"/>
      <w:r w:rsidR="009D4103" w:rsidRPr="00DC0CBE">
        <w:rPr>
          <w:rtl/>
        </w:rPr>
        <w:t>"</w:t>
      </w:r>
    </w:p>
    <w:p w14:paraId="46025160" w14:textId="241D1561" w:rsidR="009D4103" w:rsidRPr="00DC0CBE" w:rsidRDefault="009D4103" w:rsidP="005D765C">
      <w:pPr>
        <w:pStyle w:val="Headingb"/>
        <w:rPr>
          <w:lang w:val="ar-SA"/>
        </w:rPr>
      </w:pPr>
      <w:r w:rsidRPr="00DC0CBE">
        <w:rPr>
          <w:rtl/>
        </w:rPr>
        <w:t xml:space="preserve">تقارير القطاع </w:t>
      </w:r>
      <w:r w:rsidRPr="00DC0CBE">
        <w:t>ITU-R</w:t>
      </w:r>
      <w:r w:rsidRPr="00DC0CBE">
        <w:rPr>
          <w:rtl/>
        </w:rPr>
        <w:t>:</w:t>
      </w:r>
    </w:p>
    <w:p w14:paraId="61F89D33"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BO.2597-1</w:t>
      </w:r>
      <w:r w:rsidR="009D4103" w:rsidRPr="00DC0CBE">
        <w:rPr>
          <w:rtl/>
        </w:rPr>
        <w:t xml:space="preserve"> "خصائص وفعالية معايير تقاسم الترددات للخدمة الإذاعية </w:t>
      </w:r>
      <w:proofErr w:type="spellStart"/>
      <w:r w:rsidR="009D4103" w:rsidRPr="00DC0CBE">
        <w:rPr>
          <w:rtl/>
        </w:rPr>
        <w:t>الساتلية</w:t>
      </w:r>
      <w:proofErr w:type="spellEnd"/>
      <w:r w:rsidR="009D4103" w:rsidRPr="00DC0CBE">
        <w:rPr>
          <w:rtl/>
        </w:rPr>
        <w:t xml:space="preserve"> في الإقليمين </w:t>
      </w:r>
      <w:r w:rsidR="009D4103" w:rsidRPr="00DC0CBE">
        <w:t>1</w:t>
      </w:r>
      <w:r w:rsidR="009D4103" w:rsidRPr="00DC0CBE">
        <w:rPr>
          <w:rtl/>
        </w:rPr>
        <w:t xml:space="preserve"> و</w:t>
      </w:r>
      <w:r w:rsidR="009D4103" w:rsidRPr="00DC0CBE">
        <w:t>3</w:t>
      </w:r>
      <w:r w:rsidR="009D4103" w:rsidRPr="00DC0CBE">
        <w:rPr>
          <w:rtl/>
        </w:rPr>
        <w:t xml:space="preserve"> الخاضعة للتذييل </w:t>
      </w:r>
      <w:r w:rsidR="009D4103" w:rsidRPr="00DC0CBE">
        <w:t>30</w:t>
      </w:r>
      <w:r w:rsidR="009D4103" w:rsidRPr="00DC0CBE">
        <w:rPr>
          <w:rtl/>
        </w:rPr>
        <w:t xml:space="preserve"> للوائح الراديو"</w:t>
      </w:r>
    </w:p>
    <w:p w14:paraId="19B398C1" w14:textId="77777777" w:rsidR="009D4103" w:rsidRPr="00DC0CBE" w:rsidRDefault="000000EE" w:rsidP="005D765C">
      <w:pPr>
        <w:pStyle w:val="enumlev1"/>
        <w:rPr>
          <w:spacing w:val="-5"/>
          <w:lang w:val="ar-SA" w:bidi="ar-EG"/>
        </w:rPr>
      </w:pPr>
      <w:r w:rsidRPr="00DC0CBE">
        <w:rPr>
          <w:spacing w:val="-5"/>
          <w:lang w:bidi="ar-EG"/>
        </w:rPr>
        <w:t>–</w:t>
      </w:r>
      <w:r w:rsidR="009D4103" w:rsidRPr="00DC0CBE">
        <w:rPr>
          <w:spacing w:val="-5"/>
          <w:rtl/>
        </w:rPr>
        <w:tab/>
      </w:r>
      <w:r w:rsidR="009D4103" w:rsidRPr="00DC0CBE">
        <w:rPr>
          <w:spacing w:val="-5"/>
        </w:rPr>
        <w:t>M.2513</w:t>
      </w:r>
      <w:r w:rsidR="00900119" w:rsidRPr="00DC0CBE">
        <w:rPr>
          <w:spacing w:val="-5"/>
        </w:rPr>
        <w:t>-1</w:t>
      </w:r>
      <w:r w:rsidR="009D4103" w:rsidRPr="00DC0CBE">
        <w:rPr>
          <w:spacing w:val="-5"/>
          <w:rtl/>
        </w:rPr>
        <w:t xml:space="preserve"> "الدراسات المتعلقة بحماية خدمة الملاحة الراديوية </w:t>
      </w:r>
      <w:proofErr w:type="spellStart"/>
      <w:r w:rsidR="009D4103" w:rsidRPr="00DC0CBE">
        <w:rPr>
          <w:spacing w:val="-5"/>
          <w:rtl/>
        </w:rPr>
        <w:t>الساتلية</w:t>
      </w:r>
      <w:proofErr w:type="spellEnd"/>
      <w:r w:rsidR="009D4103" w:rsidRPr="00DC0CBE">
        <w:rPr>
          <w:spacing w:val="-5"/>
          <w:rtl/>
        </w:rPr>
        <w:t xml:space="preserve"> (فضاء-أرض) التي لديها توزيع على أساس أولي من خدمة الهواة وخدمة الهواة </w:t>
      </w:r>
      <w:proofErr w:type="spellStart"/>
      <w:r w:rsidR="009D4103" w:rsidRPr="00DC0CBE">
        <w:rPr>
          <w:spacing w:val="-5"/>
          <w:rtl/>
        </w:rPr>
        <w:t>الساتلية</w:t>
      </w:r>
      <w:proofErr w:type="spellEnd"/>
      <w:r w:rsidR="009D4103" w:rsidRPr="00DC0CBE">
        <w:rPr>
          <w:spacing w:val="-5"/>
          <w:rtl/>
        </w:rPr>
        <w:t xml:space="preserve"> اللتين لديهما توزيع على أساس ثانوي في نطاق التردد </w:t>
      </w:r>
      <w:r w:rsidR="005D765C" w:rsidRPr="00DC0CBE">
        <w:rPr>
          <w:spacing w:val="-5"/>
        </w:rPr>
        <w:t>MHz 1 300-1 240</w:t>
      </w:r>
      <w:r w:rsidR="009D4103" w:rsidRPr="00DC0CBE">
        <w:rPr>
          <w:spacing w:val="-5"/>
          <w:rtl/>
        </w:rPr>
        <w:t>"</w:t>
      </w:r>
    </w:p>
    <w:p w14:paraId="19F7D4D2" w14:textId="77777777" w:rsidR="009D4103" w:rsidRPr="00DC0CBE" w:rsidRDefault="000000EE" w:rsidP="005D765C">
      <w:pPr>
        <w:pStyle w:val="enumlev1"/>
        <w:rPr>
          <w:spacing w:val="-2"/>
          <w:lang w:val="ar-SA" w:bidi="ar-EG"/>
        </w:rPr>
      </w:pPr>
      <w:r w:rsidRPr="00DC0CBE">
        <w:rPr>
          <w:lang w:bidi="ar-EG"/>
        </w:rPr>
        <w:t>–</w:t>
      </w:r>
      <w:r w:rsidR="009D4103" w:rsidRPr="00DC0CBE">
        <w:rPr>
          <w:spacing w:val="-2"/>
          <w:rtl/>
        </w:rPr>
        <w:tab/>
      </w:r>
      <w:r w:rsidR="009D4103" w:rsidRPr="00DC0CBE">
        <w:rPr>
          <w:spacing w:val="-2"/>
        </w:rPr>
        <w:t>M.2543-0</w:t>
      </w:r>
      <w:r w:rsidR="009D4103" w:rsidRPr="00DC0CBE">
        <w:rPr>
          <w:spacing w:val="-2"/>
          <w:rtl/>
        </w:rPr>
        <w:t xml:space="preserve"> "نتائج التقييم وبناء توافق الآراء والقرار بشأن العملية </w:t>
      </w:r>
      <w:proofErr w:type="spellStart"/>
      <w:r w:rsidR="009D4103" w:rsidRPr="00DC0CBE">
        <w:rPr>
          <w:spacing w:val="-2"/>
          <w:rtl/>
        </w:rPr>
        <w:t>الساتلية</w:t>
      </w:r>
      <w:proofErr w:type="spellEnd"/>
      <w:r w:rsidR="009D4103" w:rsidRPr="00DC0CBE">
        <w:rPr>
          <w:spacing w:val="-2"/>
          <w:rtl/>
        </w:rPr>
        <w:t xml:space="preserve"> للاتصالات المتنقلة الدولية-</w:t>
      </w:r>
      <w:r w:rsidR="009D4103" w:rsidRPr="00DC0CBE">
        <w:rPr>
          <w:spacing w:val="-2"/>
        </w:rPr>
        <w:t>2020</w:t>
      </w:r>
      <w:r w:rsidR="009D4103" w:rsidRPr="00DC0CBE">
        <w:rPr>
          <w:spacing w:val="-2"/>
          <w:rtl/>
        </w:rPr>
        <w:t xml:space="preserve"> (الخطوات من </w:t>
      </w:r>
      <w:r w:rsidR="009D4103" w:rsidRPr="00DC0CBE">
        <w:rPr>
          <w:spacing w:val="-2"/>
        </w:rPr>
        <w:t>4</w:t>
      </w:r>
      <w:r w:rsidR="009D4103" w:rsidRPr="00DC0CBE">
        <w:rPr>
          <w:spacing w:val="-2"/>
          <w:rtl/>
        </w:rPr>
        <w:t xml:space="preserve"> إلى </w:t>
      </w:r>
      <w:proofErr w:type="gramStart"/>
      <w:r w:rsidR="009D4103" w:rsidRPr="00DC0CBE">
        <w:rPr>
          <w:spacing w:val="-2"/>
        </w:rPr>
        <w:t>7</w:t>
      </w:r>
      <w:r w:rsidR="009D4103" w:rsidRPr="00DC0CBE">
        <w:rPr>
          <w:spacing w:val="-2"/>
          <w:rtl/>
        </w:rPr>
        <w:t>)،</w:t>
      </w:r>
      <w:proofErr w:type="gramEnd"/>
      <w:r w:rsidR="009D4103" w:rsidRPr="00DC0CBE">
        <w:rPr>
          <w:spacing w:val="-2"/>
          <w:rtl/>
        </w:rPr>
        <w:t xml:space="preserve"> بما في ذلك خصائص السطوح البينية الراديوية </w:t>
      </w:r>
      <w:proofErr w:type="spellStart"/>
      <w:r w:rsidR="009D4103" w:rsidRPr="00DC0CBE">
        <w:rPr>
          <w:spacing w:val="-2"/>
          <w:rtl/>
        </w:rPr>
        <w:t>الساتلية</w:t>
      </w:r>
      <w:proofErr w:type="spellEnd"/>
      <w:r w:rsidR="009D4103" w:rsidRPr="00DC0CBE">
        <w:rPr>
          <w:spacing w:val="-2"/>
          <w:rtl/>
        </w:rPr>
        <w:t xml:space="preserve"> للاتصالات المتنقلة الدولية-</w:t>
      </w:r>
      <w:r w:rsidR="009D4103" w:rsidRPr="00DC0CBE">
        <w:rPr>
          <w:spacing w:val="-2"/>
        </w:rPr>
        <w:t>2020</w:t>
      </w:r>
      <w:r w:rsidR="009D4103" w:rsidRPr="00DC0CBE">
        <w:rPr>
          <w:spacing w:val="-2"/>
          <w:rtl/>
        </w:rPr>
        <w:t>"</w:t>
      </w:r>
    </w:p>
    <w:p w14:paraId="53AC3250" w14:textId="77777777" w:rsidR="009D4103" w:rsidRPr="00DC0CBE" w:rsidRDefault="000000EE" w:rsidP="005D765C">
      <w:pPr>
        <w:pStyle w:val="enumlev1"/>
        <w:rPr>
          <w:spacing w:val="4"/>
          <w:lang w:val="ar-SA" w:bidi="ar-EG"/>
        </w:rPr>
      </w:pPr>
      <w:r w:rsidRPr="00DC0CBE">
        <w:rPr>
          <w:lang w:bidi="ar-EG"/>
        </w:rPr>
        <w:lastRenderedPageBreak/>
        <w:t>–</w:t>
      </w:r>
      <w:r w:rsidR="009D4103" w:rsidRPr="00DC0CBE">
        <w:rPr>
          <w:spacing w:val="4"/>
          <w:rtl/>
        </w:rPr>
        <w:tab/>
      </w:r>
      <w:r w:rsidR="009D4103" w:rsidRPr="00DC0CBE">
        <w:rPr>
          <w:spacing w:val="4"/>
        </w:rPr>
        <w:t>S.2546-0</w:t>
      </w:r>
      <w:r w:rsidR="009D4103" w:rsidRPr="00DC0CBE">
        <w:rPr>
          <w:spacing w:val="4"/>
          <w:rtl/>
        </w:rPr>
        <w:t xml:space="preserve"> "تدابير التخفيف بين الخدمة الثابتة </w:t>
      </w:r>
      <w:proofErr w:type="spellStart"/>
      <w:r w:rsidR="009D4103" w:rsidRPr="00DC0CBE">
        <w:rPr>
          <w:spacing w:val="4"/>
          <w:rtl/>
        </w:rPr>
        <w:t>الساتلية</w:t>
      </w:r>
      <w:proofErr w:type="spellEnd"/>
      <w:r w:rsidR="009D4103" w:rsidRPr="00DC0CBE">
        <w:rPr>
          <w:spacing w:val="4"/>
          <w:rtl/>
        </w:rPr>
        <w:t xml:space="preserve"> والاتصالات المتنقلة الدولية في نطاق التردد </w:t>
      </w:r>
      <w:r w:rsidR="005D765C" w:rsidRPr="00DC0CBE">
        <w:rPr>
          <w:spacing w:val="4"/>
        </w:rPr>
        <w:t>MHz 3 600-3 400</w:t>
      </w:r>
      <w:r w:rsidR="009D4103" w:rsidRPr="00DC0CBE">
        <w:rPr>
          <w:spacing w:val="4"/>
          <w:rtl/>
        </w:rPr>
        <w:t>"</w:t>
      </w:r>
    </w:p>
    <w:p w14:paraId="1012FF7B" w14:textId="77777777" w:rsidR="009D4103" w:rsidRPr="00DC0CBE" w:rsidRDefault="009D4103" w:rsidP="009D4103">
      <w:pPr>
        <w:rPr>
          <w:lang w:val="ar-SA" w:bidi="ar-EG"/>
        </w:rPr>
      </w:pPr>
      <w:r w:rsidRPr="00DC0CBE">
        <w:rPr>
          <w:rtl/>
        </w:rPr>
        <w:t xml:space="preserve">ومن المقرر عقد الاجتماعات المقبلة لفرق العمل </w:t>
      </w:r>
      <w:r w:rsidRPr="00DC0CBE">
        <w:t>4A</w:t>
      </w:r>
      <w:r w:rsidRPr="00DC0CBE">
        <w:rPr>
          <w:rtl/>
        </w:rPr>
        <w:t xml:space="preserve"> و</w:t>
      </w:r>
      <w:r w:rsidRPr="00DC0CBE">
        <w:t>4B</w:t>
      </w:r>
      <w:r w:rsidRPr="00DC0CBE">
        <w:rPr>
          <w:rtl/>
        </w:rPr>
        <w:t xml:space="preserve"> و</w:t>
      </w:r>
      <w:r w:rsidRPr="00DC0CBE">
        <w:t>4C</w:t>
      </w:r>
      <w:r w:rsidRPr="00DC0CBE">
        <w:rPr>
          <w:rtl/>
        </w:rPr>
        <w:t xml:space="preserve"> في الفترة من </w:t>
      </w:r>
      <w:r w:rsidRPr="00DC0CBE">
        <w:t>23</w:t>
      </w:r>
      <w:r w:rsidRPr="00DC0CBE">
        <w:rPr>
          <w:rtl/>
        </w:rPr>
        <w:t xml:space="preserve"> أبريل إلى </w:t>
      </w:r>
      <w:r w:rsidRPr="00DC0CBE">
        <w:t>16</w:t>
      </w:r>
      <w:r w:rsidRPr="00DC0CBE">
        <w:rPr>
          <w:rtl/>
        </w:rPr>
        <w:t xml:space="preserve"> مايو </w:t>
      </w:r>
      <w:r w:rsidRPr="00DC0CBE">
        <w:t>2025</w:t>
      </w:r>
      <w:r w:rsidRPr="00DC0CBE">
        <w:rPr>
          <w:rtl/>
        </w:rPr>
        <w:t xml:space="preserve"> في شنغهاي، الصين. وستجتمع لجنة الدراسات </w:t>
      </w:r>
      <w:r w:rsidRPr="00DC0CBE">
        <w:t>4</w:t>
      </w:r>
      <w:r w:rsidRPr="00DC0CBE">
        <w:rPr>
          <w:rtl/>
        </w:rPr>
        <w:t xml:space="preserve"> في نوفمبر </w:t>
      </w:r>
      <w:r w:rsidRPr="00DC0CBE">
        <w:t>2025</w:t>
      </w:r>
      <w:r w:rsidRPr="00DC0CBE">
        <w:rPr>
          <w:rtl/>
        </w:rPr>
        <w:t>.</w:t>
      </w:r>
    </w:p>
    <w:bookmarkEnd w:id="26"/>
    <w:p w14:paraId="43DFD20C" w14:textId="77777777" w:rsidR="009D4103" w:rsidRPr="00DC0CBE" w:rsidRDefault="005D765C" w:rsidP="00CD306A">
      <w:pPr>
        <w:pStyle w:val="Heading2"/>
        <w:rPr>
          <w:rStyle w:val="Heading2Char"/>
          <w:b/>
          <w:bCs/>
        </w:rPr>
      </w:pPr>
      <w:r w:rsidRPr="00DC0CBE">
        <w:t>4.5</w:t>
      </w:r>
      <w:r w:rsidR="009D4103" w:rsidRPr="00DC0CBE">
        <w:rPr>
          <w:rStyle w:val="Heading2Char"/>
          <w:b/>
          <w:bCs/>
          <w:rtl/>
        </w:rPr>
        <w:tab/>
        <w:t xml:space="preserve">لجنة دراسات </w:t>
      </w:r>
      <w:r w:rsidRPr="00DC0CBE">
        <w:rPr>
          <w:rStyle w:val="Heading2Char"/>
          <w:b/>
          <w:bCs/>
        </w:rPr>
        <w:t>5</w:t>
      </w:r>
    </w:p>
    <w:p w14:paraId="7C89F152" w14:textId="3F1FD1F7" w:rsidR="009D4103" w:rsidRPr="00DC0CBE" w:rsidRDefault="009D4103" w:rsidP="009D4103">
      <w:pPr>
        <w:rPr>
          <w:lang w:val="ar-SA" w:bidi="ar-EG"/>
        </w:rPr>
      </w:pPr>
      <w:r w:rsidRPr="00DC0CBE">
        <w:rPr>
          <w:rtl/>
        </w:rPr>
        <w:t xml:space="preserve">واصلت لجنة الدراسات </w:t>
      </w:r>
      <w:r w:rsidRPr="00DC0CBE">
        <w:t>5</w:t>
      </w:r>
      <w:r w:rsidRPr="00DC0CBE">
        <w:rPr>
          <w:rtl/>
        </w:rPr>
        <w:t xml:space="preserve"> دراساتها المتعلقة بأنظمة وشبكات الخدمة الثابتة، والخدمة المتنقلة، (للأرض والبحرية وللطيران)، وخدمة الاستدلال الراديوي، (بما في ذلك التحديد الراديوي للموقع والملاحة الراديوية)، وخدمة الهواة وخدمة الهواة </w:t>
      </w:r>
      <w:proofErr w:type="spellStart"/>
      <w:r w:rsidRPr="00DC0CBE">
        <w:rPr>
          <w:rtl/>
        </w:rPr>
        <w:t>الساتلية</w:t>
      </w:r>
      <w:proofErr w:type="spellEnd"/>
      <w:r w:rsidRPr="00DC0CBE">
        <w:rPr>
          <w:rtl/>
        </w:rPr>
        <w:t>، مما</w:t>
      </w:r>
      <w:r w:rsidR="000C5263" w:rsidRPr="00DC0CBE">
        <w:rPr>
          <w:rFonts w:hint="cs"/>
          <w:rtl/>
        </w:rPr>
        <w:t> </w:t>
      </w:r>
      <w:r w:rsidRPr="00DC0CBE">
        <w:rPr>
          <w:rtl/>
        </w:rPr>
        <w:t xml:space="preserve">يرسي الأسس اللازمة لمواصلة تطوير كل هذه الخدمات بما فيها الاتصالات المتنقلة الدولية </w:t>
      </w:r>
      <w:r w:rsidRPr="00DC0CBE">
        <w:t>(</w:t>
      </w:r>
      <w:r w:rsidRPr="00DC0CBE">
        <w:rPr>
          <w:lang w:bidi="ar-EG"/>
        </w:rPr>
        <w:t>IMT</w:t>
      </w:r>
      <w:r w:rsidRPr="00DC0CBE">
        <w:t>)</w:t>
      </w:r>
      <w:r w:rsidRPr="00DC0CBE">
        <w:rPr>
          <w:rtl/>
        </w:rPr>
        <w:t xml:space="preserve"> وأنظمة المنصات عالية الارتفاع </w:t>
      </w:r>
      <w:r w:rsidRPr="00DC0CBE">
        <w:t>(</w:t>
      </w:r>
      <w:r w:rsidRPr="00DC0CBE">
        <w:rPr>
          <w:lang w:bidi="ar-EG"/>
        </w:rPr>
        <w:t>HAPS</w:t>
      </w:r>
      <w:r w:rsidRPr="00DC0CBE">
        <w:t>)</w:t>
      </w:r>
      <w:r w:rsidR="005D765C" w:rsidRPr="00DC0CBE">
        <w:rPr>
          <w:rFonts w:hint="cs"/>
          <w:rtl/>
          <w:lang w:bidi="ar-EG"/>
        </w:rPr>
        <w:t>/</w:t>
      </w:r>
      <w:r w:rsidRPr="00DC0CBE">
        <w:rPr>
          <w:rtl/>
        </w:rPr>
        <w:t xml:space="preserve">محطات قاعدة الاتصالات المتنقلة الدولية </w:t>
      </w:r>
      <w:r w:rsidRPr="00DC0CBE">
        <w:t>(</w:t>
      </w:r>
      <w:r w:rsidRPr="00DC0CBE">
        <w:rPr>
          <w:lang w:bidi="ar-EG"/>
        </w:rPr>
        <w:t>HIBS</w:t>
      </w:r>
      <w:r w:rsidRPr="00DC0CBE">
        <w:t>)</w:t>
      </w:r>
      <w:r w:rsidRPr="00DC0CBE">
        <w:rPr>
          <w:rtl/>
        </w:rPr>
        <w:t xml:space="preserve"> وأنظمة النقل الذكية </w:t>
      </w:r>
      <w:r w:rsidRPr="00DC0CBE">
        <w:t>(</w:t>
      </w:r>
      <w:r w:rsidRPr="00DC0CBE">
        <w:rPr>
          <w:lang w:bidi="ar-EG"/>
        </w:rPr>
        <w:t>ITS</w:t>
      </w:r>
      <w:r w:rsidRPr="00DC0CBE">
        <w:t>)</w:t>
      </w:r>
      <w:r w:rsidRPr="00DC0CBE">
        <w:rPr>
          <w:rtl/>
        </w:rPr>
        <w:t xml:space="preserve"> وخدمات حماية الجمهور والإغاثة في حالات الكوارث </w:t>
      </w:r>
      <w:r w:rsidRPr="00DC0CBE">
        <w:t>(</w:t>
      </w:r>
      <w:r w:rsidRPr="00DC0CBE">
        <w:rPr>
          <w:lang w:bidi="ar-EG"/>
        </w:rPr>
        <w:t>PPDR</w:t>
      </w:r>
      <w:r w:rsidRPr="00DC0CBE">
        <w:t>)</w:t>
      </w:r>
      <w:r w:rsidRPr="00DC0CBE">
        <w:rPr>
          <w:rtl/>
        </w:rPr>
        <w:t>.</w:t>
      </w:r>
    </w:p>
    <w:p w14:paraId="52FBC442" w14:textId="77777777" w:rsidR="009D4103" w:rsidRPr="00DC0CBE" w:rsidRDefault="009D4103" w:rsidP="009D4103">
      <w:pPr>
        <w:rPr>
          <w:lang w:val="ar-SA" w:bidi="ar-EG"/>
        </w:rPr>
      </w:pPr>
      <w:r w:rsidRPr="00DC0CBE">
        <w:rPr>
          <w:rtl/>
        </w:rPr>
        <w:t xml:space="preserve">ووافقت لجنة الدراسات </w:t>
      </w:r>
      <w:r w:rsidRPr="00DC0CBE">
        <w:t>5</w:t>
      </w:r>
      <w:r w:rsidRPr="00DC0CBE">
        <w:rPr>
          <w:rtl/>
        </w:rPr>
        <w:t xml:space="preserve"> على مسألتين جديدتين لقطاع الاتصالات الراديوية. وعلاوةً على ذلك، تمت الموافقة على توصيتين مراجعتين لقطاع الاتصالات الراديوية جديدة وتقريرين جديدين وثلاثة تقارير مراجعة لقطاع الاتصالات الراديوية تتعلق بمجال عمل لجنة الدراسات ‎</w:t>
      </w:r>
      <w:r w:rsidRPr="00DC0CBE">
        <w:t>5</w:t>
      </w:r>
      <w:r w:rsidRPr="00DC0CBE">
        <w:rPr>
          <w:rtl/>
        </w:rPr>
        <w:t>.</w:t>
      </w:r>
    </w:p>
    <w:p w14:paraId="1FA5005B" w14:textId="6712596B" w:rsidR="009D4103" w:rsidRPr="00DC0CBE" w:rsidRDefault="009D4103" w:rsidP="005D765C">
      <w:pPr>
        <w:pStyle w:val="Headingb"/>
        <w:rPr>
          <w:lang w:val="ar-SA"/>
        </w:rPr>
      </w:pPr>
      <w:r w:rsidRPr="00DC0CBE">
        <w:rPr>
          <w:rtl/>
        </w:rPr>
        <w:t xml:space="preserve">مسائل القطاع </w:t>
      </w:r>
      <w:r w:rsidRPr="00DC0CBE">
        <w:t>ITU-R</w:t>
      </w:r>
      <w:r w:rsidRPr="00DC0CBE">
        <w:rPr>
          <w:rtl/>
        </w:rPr>
        <w:t>:</w:t>
      </w:r>
    </w:p>
    <w:p w14:paraId="180B5783" w14:textId="77777777" w:rsidR="009D4103" w:rsidRPr="00DC0CBE" w:rsidRDefault="000000EE" w:rsidP="005D765C">
      <w:pPr>
        <w:pStyle w:val="enumlev1"/>
        <w:rPr>
          <w:lang w:val="ar-SA" w:bidi="ar-EG"/>
        </w:rPr>
      </w:pPr>
      <w:r w:rsidRPr="00DC0CBE">
        <w:rPr>
          <w:lang w:bidi="ar-EG"/>
        </w:rPr>
        <w:t>–</w:t>
      </w:r>
      <w:r w:rsidR="009D4103" w:rsidRPr="00DC0CBE">
        <w:rPr>
          <w:rtl/>
        </w:rPr>
        <w:tab/>
      </w:r>
      <w:r w:rsidR="005D765C" w:rsidRPr="00DC0CBE">
        <w:t>265/5</w:t>
      </w:r>
      <w:r w:rsidR="005D765C" w:rsidRPr="00DC0CBE">
        <w:rPr>
          <w:rFonts w:hint="cs"/>
          <w:rtl/>
        </w:rPr>
        <w:t xml:space="preserve"> </w:t>
      </w:r>
      <w:r w:rsidR="009D4103" w:rsidRPr="00DC0CBE">
        <w:rPr>
          <w:rtl/>
        </w:rPr>
        <w:t xml:space="preserve">"تعايش نظام تبادل البيانات في نطاق الموجات المترية </w:t>
      </w:r>
      <w:r w:rsidR="009D4103" w:rsidRPr="00DC0CBE">
        <w:t>(</w:t>
      </w:r>
      <w:r w:rsidR="009D4103" w:rsidRPr="00DC0CBE">
        <w:rPr>
          <w:lang w:bidi="ar-EG"/>
        </w:rPr>
        <w:t>VHF</w:t>
      </w:r>
      <w:r w:rsidR="009D4103" w:rsidRPr="00DC0CBE">
        <w:t>)</w:t>
      </w:r>
      <w:r w:rsidR="009D4103" w:rsidRPr="00DC0CBE">
        <w:rPr>
          <w:rtl/>
        </w:rPr>
        <w:t xml:space="preserve"> مع أسلوب تحديد المدى في نظام تبادل البيانات في نطاق الموجات المترية"</w:t>
      </w:r>
    </w:p>
    <w:p w14:paraId="0628F5C4" w14:textId="77777777" w:rsidR="009D4103" w:rsidRPr="00DC0CBE" w:rsidRDefault="000000EE" w:rsidP="005D765C">
      <w:pPr>
        <w:pStyle w:val="enumlev1"/>
        <w:rPr>
          <w:lang w:val="ar-SA" w:bidi="ar-EG"/>
        </w:rPr>
      </w:pPr>
      <w:r w:rsidRPr="00DC0CBE">
        <w:rPr>
          <w:lang w:bidi="ar-EG"/>
        </w:rPr>
        <w:t>–</w:t>
      </w:r>
      <w:r w:rsidR="009D4103" w:rsidRPr="00DC0CBE">
        <w:rPr>
          <w:rtl/>
        </w:rPr>
        <w:tab/>
      </w:r>
      <w:r w:rsidR="005D765C" w:rsidRPr="00DC0CBE">
        <w:t>266/5</w:t>
      </w:r>
      <w:r w:rsidR="005D765C" w:rsidRPr="00DC0CBE">
        <w:rPr>
          <w:rFonts w:hint="cs"/>
          <w:rtl/>
          <w:lang w:bidi="ar-EG"/>
        </w:rPr>
        <w:t xml:space="preserve"> </w:t>
      </w:r>
      <w:r w:rsidR="009D4103" w:rsidRPr="00DC0CBE">
        <w:rPr>
          <w:rtl/>
        </w:rPr>
        <w:t xml:space="preserve">"إدخال الاتصالات الصوتية الرقمية في قنوات الترددات البحرية في نطاق الموجات المترية </w:t>
      </w:r>
      <w:r w:rsidR="009D4103" w:rsidRPr="00DC0CBE">
        <w:t>(</w:t>
      </w:r>
      <w:r w:rsidR="009D4103" w:rsidRPr="00DC0CBE">
        <w:rPr>
          <w:lang w:bidi="ar-EG"/>
        </w:rPr>
        <w:t>VHF</w:t>
      </w:r>
      <w:r w:rsidR="009D4103" w:rsidRPr="00DC0CBE">
        <w:t>)</w:t>
      </w:r>
      <w:r w:rsidR="009D4103" w:rsidRPr="00DC0CBE">
        <w:rPr>
          <w:rtl/>
          <w:lang w:bidi="ar-EG"/>
        </w:rPr>
        <w:t>"</w:t>
      </w:r>
    </w:p>
    <w:p w14:paraId="6C690404" w14:textId="1EE76BF0" w:rsidR="009D4103" w:rsidRPr="00DC0CBE" w:rsidRDefault="009D4103" w:rsidP="005D765C">
      <w:pPr>
        <w:pStyle w:val="Headingb"/>
        <w:rPr>
          <w:lang w:val="ar-SA"/>
        </w:rPr>
      </w:pPr>
      <w:r w:rsidRPr="00DC0CBE">
        <w:rPr>
          <w:rtl/>
        </w:rPr>
        <w:t>توصيات القطاع</w:t>
      </w:r>
      <w:r w:rsidR="006E689A" w:rsidRPr="00DC0CBE">
        <w:rPr>
          <w:rtl/>
        </w:rPr>
        <w:t xml:space="preserve"> </w:t>
      </w:r>
      <w:r w:rsidR="002B21F6" w:rsidRPr="00DC0CBE">
        <w:t>ITU-R</w:t>
      </w:r>
      <w:r w:rsidRPr="00DC0CBE">
        <w:rPr>
          <w:rtl/>
        </w:rPr>
        <w:t>:</w:t>
      </w:r>
    </w:p>
    <w:p w14:paraId="13CC06EA"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F.758-8</w:t>
      </w:r>
      <w:r w:rsidR="009D4103" w:rsidRPr="00DC0CBE">
        <w:rPr>
          <w:rtl/>
        </w:rPr>
        <w:t xml:space="preserve"> "‏معلمات النظام واعتبارات وضع معايير التشارك أو التوافق بين الأنظمة اللاسلكية الثابتة الرقمية في</w:t>
      </w:r>
      <w:r w:rsidR="005D765C" w:rsidRPr="00DC0CBE">
        <w:rPr>
          <w:rFonts w:hint="eastAsia"/>
          <w:rtl/>
          <w:lang w:bidi="ar-EG"/>
        </w:rPr>
        <w:t> </w:t>
      </w:r>
      <w:r w:rsidR="009D4103" w:rsidRPr="00DC0CBE">
        <w:rPr>
          <w:rtl/>
        </w:rPr>
        <w:t>الخدمة الثابتة والأنظمة في الخدمات الأخرى ومصادر التداخل الأخرى‎"</w:t>
      </w:r>
    </w:p>
    <w:p w14:paraId="1532036C"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M.1041-3</w:t>
      </w:r>
      <w:r w:rsidR="009D4103" w:rsidRPr="00DC0CBE">
        <w:rPr>
          <w:rtl/>
        </w:rPr>
        <w:t xml:space="preserve"> "أنظمة راديو الهواة المستقبلية"</w:t>
      </w:r>
    </w:p>
    <w:p w14:paraId="3AB9F37E" w14:textId="29741CE7" w:rsidR="009D4103" w:rsidRPr="00DC0CBE" w:rsidRDefault="009D4103" w:rsidP="005D765C">
      <w:pPr>
        <w:pStyle w:val="Headingb"/>
        <w:rPr>
          <w:lang w:val="ar-SA"/>
        </w:rPr>
      </w:pPr>
      <w:r w:rsidRPr="00DC0CBE">
        <w:rPr>
          <w:rtl/>
        </w:rPr>
        <w:t xml:space="preserve">تقارير القطاع </w:t>
      </w:r>
      <w:r w:rsidRPr="00DC0CBE">
        <w:t>ITU-R</w:t>
      </w:r>
      <w:r w:rsidRPr="00DC0CBE">
        <w:rPr>
          <w:rtl/>
        </w:rPr>
        <w:t>:</w:t>
      </w:r>
    </w:p>
    <w:p w14:paraId="0ABEF787"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F.2416-1</w:t>
      </w:r>
      <w:r w:rsidR="009D4103" w:rsidRPr="00DC0CBE">
        <w:rPr>
          <w:rtl/>
        </w:rPr>
        <w:t xml:space="preserve"> "الخصائص التقنية والتشغيلية لتطبيقات الخدمة الثابتة من نقطة إلى نقطة العاملة في نطاق التردد</w:t>
      </w:r>
      <w:r w:rsidR="00900119" w:rsidRPr="00DC0CBE">
        <w:rPr>
          <w:rFonts w:hint="eastAsia"/>
          <w:rtl/>
          <w:lang w:bidi="ar-EG"/>
        </w:rPr>
        <w:t> </w:t>
      </w:r>
      <w:r w:rsidR="009D4103" w:rsidRPr="00DC0CBE">
        <w:t>GHz 450-275</w:t>
      </w:r>
      <w:r w:rsidR="009D4103" w:rsidRPr="00DC0CBE">
        <w:rPr>
          <w:rtl/>
        </w:rPr>
        <w:t>"</w:t>
      </w:r>
    </w:p>
    <w:p w14:paraId="5B2AA5D9" w14:textId="77777777" w:rsidR="009D4103" w:rsidRPr="00DC0CBE" w:rsidRDefault="000000EE" w:rsidP="005D765C">
      <w:pPr>
        <w:pStyle w:val="enumlev1"/>
        <w:rPr>
          <w:spacing w:val="-2"/>
          <w:lang w:val="ar-SA" w:bidi="ar-EG"/>
        </w:rPr>
      </w:pPr>
      <w:r w:rsidRPr="00DC0CBE">
        <w:rPr>
          <w:spacing w:val="-2"/>
          <w:lang w:bidi="ar-EG"/>
        </w:rPr>
        <w:t>–</w:t>
      </w:r>
      <w:r w:rsidR="009D4103" w:rsidRPr="00DC0CBE">
        <w:rPr>
          <w:spacing w:val="-2"/>
          <w:rtl/>
        </w:rPr>
        <w:tab/>
      </w:r>
      <w:r w:rsidR="009D4103" w:rsidRPr="00DC0CBE">
        <w:rPr>
          <w:spacing w:val="-2"/>
        </w:rPr>
        <w:t>M.2442-1</w:t>
      </w:r>
      <w:r w:rsidR="009D4103" w:rsidRPr="00DC0CBE">
        <w:rPr>
          <w:spacing w:val="-2"/>
          <w:rtl/>
        </w:rPr>
        <w:t xml:space="preserve"> "الاستعمال الحالي والمستقبلي لأنظمة الاتصالات الراديوية للسكك الحديدية بين القطار وجانب السكة"</w:t>
      </w:r>
    </w:p>
    <w:p w14:paraId="0E294B54"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M.2541-0</w:t>
      </w:r>
      <w:r w:rsidR="009D4103" w:rsidRPr="00DC0CBE">
        <w:rPr>
          <w:rtl/>
        </w:rPr>
        <w:t xml:space="preserve"> "الجدوى التقنية للاتصالات المتنقلة الدولية في نطاقات</w:t>
      </w:r>
      <w:r w:rsidR="00FE5808" w:rsidRPr="00DC0CBE">
        <w:t xml:space="preserve"> </w:t>
      </w:r>
      <w:r w:rsidR="009D4103" w:rsidRPr="00DC0CBE">
        <w:rPr>
          <w:rtl/>
        </w:rPr>
        <w:t xml:space="preserve">فوق </w:t>
      </w:r>
      <w:r w:rsidR="009D4103" w:rsidRPr="00DC0CBE">
        <w:t>GHz 100</w:t>
      </w:r>
      <w:r w:rsidR="009D4103" w:rsidRPr="00DC0CBE">
        <w:rPr>
          <w:rtl/>
        </w:rPr>
        <w:t>"</w:t>
      </w:r>
    </w:p>
    <w:p w14:paraId="613B92A8"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M.2547-0</w:t>
      </w:r>
      <w:r w:rsidR="009D4103" w:rsidRPr="00DC0CBE">
        <w:rPr>
          <w:rtl/>
        </w:rPr>
        <w:t xml:space="preserve"> "جوانب متنوعة فيما يخص أنظمة الخدمة المتنقلة للطيران غير المتعلقة بالسلامة في نطاقي التردد</w:t>
      </w:r>
      <w:r w:rsidR="00D54776" w:rsidRPr="00DC0CBE">
        <w:rPr>
          <w:rFonts w:hint="cs"/>
          <w:rtl/>
        </w:rPr>
        <w:t> </w:t>
      </w:r>
      <w:r w:rsidR="009D4103" w:rsidRPr="00DC0CBE">
        <w:t>GHz 15,7-15,4</w:t>
      </w:r>
      <w:r w:rsidR="009D4103" w:rsidRPr="00DC0CBE">
        <w:rPr>
          <w:rtl/>
        </w:rPr>
        <w:t xml:space="preserve"> و</w:t>
      </w:r>
      <w:r w:rsidR="009D4103" w:rsidRPr="00DC0CBE">
        <w:t>GHz 22,21-22</w:t>
      </w:r>
      <w:r w:rsidR="009D4103" w:rsidRPr="00DC0CBE">
        <w:rPr>
          <w:rtl/>
        </w:rPr>
        <w:t>"</w:t>
      </w:r>
    </w:p>
    <w:p w14:paraId="45761943" w14:textId="77777777" w:rsidR="009D4103" w:rsidRPr="00DC0CBE" w:rsidRDefault="000000EE" w:rsidP="005D765C">
      <w:pPr>
        <w:pStyle w:val="enumlev1"/>
        <w:rPr>
          <w:lang w:val="ar-SA" w:bidi="ar-EG"/>
        </w:rPr>
      </w:pPr>
      <w:r w:rsidRPr="00DC0CBE">
        <w:rPr>
          <w:lang w:bidi="ar-EG"/>
        </w:rPr>
        <w:t>–</w:t>
      </w:r>
      <w:r w:rsidR="009D4103" w:rsidRPr="00DC0CBE">
        <w:rPr>
          <w:rtl/>
        </w:rPr>
        <w:tab/>
      </w:r>
      <w:r w:rsidR="009D4103" w:rsidRPr="00DC0CBE">
        <w:t>M.2548-0</w:t>
      </w:r>
      <w:r w:rsidR="009D4103" w:rsidRPr="00DC0CBE">
        <w:rPr>
          <w:rtl/>
        </w:rPr>
        <w:t xml:space="preserve"> "اعتبارات عرض النطاق لتطبيقات الخدمة المتنقلة البرية في مدى التردد </w:t>
      </w:r>
      <w:r w:rsidR="009D4103" w:rsidRPr="00DC0CBE">
        <w:t>GHz 450-275</w:t>
      </w:r>
      <w:r w:rsidR="009D4103" w:rsidRPr="00DC0CBE">
        <w:rPr>
          <w:rtl/>
        </w:rPr>
        <w:t>"</w:t>
      </w:r>
    </w:p>
    <w:p w14:paraId="5EB3FE33" w14:textId="77777777" w:rsidR="009D4103" w:rsidRPr="00DC0CBE" w:rsidRDefault="009D4103" w:rsidP="009D4103">
      <w:pPr>
        <w:rPr>
          <w:lang w:val="ar-SA" w:bidi="ar-EG"/>
        </w:rPr>
      </w:pPr>
      <w:r w:rsidRPr="00DC0CBE">
        <w:rPr>
          <w:rtl/>
        </w:rPr>
        <w:t xml:space="preserve">وبالنظر إلى العدد الكبير من المشاركين وتحسين توزيع قاعات الاجتماعات، تَقَرَّرَ أن تجتمع فرقة العمل </w:t>
      </w:r>
      <w:r w:rsidRPr="00DC0CBE">
        <w:t>5B</w:t>
      </w:r>
      <w:r w:rsidRPr="00DC0CBE">
        <w:rPr>
          <w:rtl/>
        </w:rPr>
        <w:t xml:space="preserve"> في الفترة من</w:t>
      </w:r>
      <w:r w:rsidR="00D54776" w:rsidRPr="00DC0CBE">
        <w:rPr>
          <w:rFonts w:hint="cs"/>
          <w:rtl/>
        </w:rPr>
        <w:t> </w:t>
      </w:r>
      <w:r w:rsidRPr="00DC0CBE">
        <w:t>29</w:t>
      </w:r>
      <w:r w:rsidR="00D54776" w:rsidRPr="00DC0CBE">
        <w:rPr>
          <w:rFonts w:hint="cs"/>
          <w:rtl/>
        </w:rPr>
        <w:t> </w:t>
      </w:r>
      <w:r w:rsidRPr="00DC0CBE">
        <w:rPr>
          <w:rtl/>
        </w:rPr>
        <w:t>أبريل</w:t>
      </w:r>
      <w:r w:rsidR="00D54776" w:rsidRPr="00DC0CBE">
        <w:rPr>
          <w:rFonts w:hint="cs"/>
          <w:rtl/>
        </w:rPr>
        <w:t> </w:t>
      </w:r>
      <w:r w:rsidRPr="00DC0CBE">
        <w:rPr>
          <w:rtl/>
        </w:rPr>
        <w:t xml:space="preserve">إلى </w:t>
      </w:r>
      <w:r w:rsidRPr="00DC0CBE">
        <w:t>8</w:t>
      </w:r>
      <w:r w:rsidRPr="00DC0CBE">
        <w:rPr>
          <w:rtl/>
        </w:rPr>
        <w:t xml:space="preserve"> مايو </w:t>
      </w:r>
      <w:r w:rsidRPr="00DC0CBE">
        <w:t>2025</w:t>
      </w:r>
      <w:r w:rsidRPr="00DC0CBE">
        <w:rPr>
          <w:rtl/>
        </w:rPr>
        <w:t xml:space="preserve">، بشكل منفصل عن فرقتي العمل </w:t>
      </w:r>
      <w:r w:rsidRPr="00DC0CBE">
        <w:t>5A</w:t>
      </w:r>
      <w:r w:rsidRPr="00DC0CBE">
        <w:rPr>
          <w:rtl/>
        </w:rPr>
        <w:t xml:space="preserve"> و</w:t>
      </w:r>
      <w:r w:rsidR="003847DE" w:rsidRPr="00DC0CBE">
        <w:t>5C</w:t>
      </w:r>
      <w:r w:rsidRPr="00DC0CBE">
        <w:rPr>
          <w:rtl/>
        </w:rPr>
        <w:t xml:space="preserve">. وستجتمع فرقتا العمل </w:t>
      </w:r>
      <w:r w:rsidRPr="00DC0CBE">
        <w:t>5A</w:t>
      </w:r>
      <w:r w:rsidRPr="00DC0CBE">
        <w:rPr>
          <w:rtl/>
        </w:rPr>
        <w:t xml:space="preserve"> و</w:t>
      </w:r>
      <w:r w:rsidR="00FE5808" w:rsidRPr="00DC0CBE">
        <w:t>5C</w:t>
      </w:r>
      <w:r w:rsidRPr="00DC0CBE">
        <w:rPr>
          <w:rtl/>
        </w:rPr>
        <w:t xml:space="preserve"> في الفترة من</w:t>
      </w:r>
      <w:r w:rsidR="00D54776" w:rsidRPr="00DC0CBE">
        <w:rPr>
          <w:rFonts w:hint="cs"/>
          <w:rtl/>
        </w:rPr>
        <w:t> </w:t>
      </w:r>
      <w:r w:rsidRPr="00DC0CBE">
        <w:t>12</w:t>
      </w:r>
      <w:r w:rsidR="00D54776" w:rsidRPr="00DC0CBE">
        <w:rPr>
          <w:rFonts w:hint="cs"/>
          <w:rtl/>
        </w:rPr>
        <w:t> </w:t>
      </w:r>
      <w:r w:rsidRPr="00DC0CBE">
        <w:rPr>
          <w:rtl/>
        </w:rPr>
        <w:t>إلى</w:t>
      </w:r>
      <w:r w:rsidR="00D54776" w:rsidRPr="00DC0CBE">
        <w:rPr>
          <w:rFonts w:hint="cs"/>
          <w:rtl/>
        </w:rPr>
        <w:t> </w:t>
      </w:r>
      <w:r w:rsidR="00D54776" w:rsidRPr="00DC0CBE">
        <w:t>22</w:t>
      </w:r>
      <w:r w:rsidRPr="00DC0CBE">
        <w:rPr>
          <w:rtl/>
        </w:rPr>
        <w:t xml:space="preserve"> مايو </w:t>
      </w:r>
      <w:r w:rsidRPr="00DC0CBE">
        <w:t>2025</w:t>
      </w:r>
      <w:r w:rsidRPr="00DC0CBE">
        <w:rPr>
          <w:rtl/>
        </w:rPr>
        <w:t xml:space="preserve">. وأكدت فرقة العمل </w:t>
      </w:r>
      <w:r w:rsidRPr="00DC0CBE">
        <w:t>5D</w:t>
      </w:r>
      <w:r w:rsidRPr="00DC0CBE">
        <w:rPr>
          <w:rtl/>
        </w:rPr>
        <w:t xml:space="preserve">، في اجتماعها الأول في فبراير </w:t>
      </w:r>
      <w:r w:rsidRPr="00DC0CBE">
        <w:t>2025</w:t>
      </w:r>
      <w:r w:rsidRPr="00DC0CBE">
        <w:rPr>
          <w:rtl/>
        </w:rPr>
        <w:t xml:space="preserve">، عقد اجتماعها المقبل في كوبي بدعوة كريمة من إدارة اليابان (من </w:t>
      </w:r>
      <w:r w:rsidRPr="00DC0CBE">
        <w:t>24</w:t>
      </w:r>
      <w:r w:rsidRPr="00DC0CBE">
        <w:rPr>
          <w:rtl/>
        </w:rPr>
        <w:t xml:space="preserve"> يونيو إلى </w:t>
      </w:r>
      <w:r w:rsidRPr="00DC0CBE">
        <w:t>3</w:t>
      </w:r>
      <w:r w:rsidRPr="00DC0CBE">
        <w:rPr>
          <w:rtl/>
        </w:rPr>
        <w:t xml:space="preserve"> يوليو </w:t>
      </w:r>
      <w:r w:rsidRPr="00DC0CBE">
        <w:t>2025</w:t>
      </w:r>
      <w:r w:rsidRPr="00DC0CBE">
        <w:rPr>
          <w:rtl/>
        </w:rPr>
        <w:t>).</w:t>
      </w:r>
    </w:p>
    <w:p w14:paraId="3A2BC2B8" w14:textId="77777777" w:rsidR="009D4103" w:rsidRPr="00DC0CBE" w:rsidRDefault="009D4103" w:rsidP="009D4103">
      <w:pPr>
        <w:rPr>
          <w:lang w:val="ar-SA" w:bidi="ar-EG"/>
        </w:rPr>
      </w:pPr>
      <w:r w:rsidRPr="00DC0CBE">
        <w:rPr>
          <w:rtl/>
        </w:rPr>
        <w:t xml:space="preserve">وأعرب مندوبون مشاركون في اجتماعات لجنة الدراسات </w:t>
      </w:r>
      <w:r w:rsidRPr="00DC0CBE">
        <w:t>5</w:t>
      </w:r>
      <w:r w:rsidRPr="00DC0CBE">
        <w:rPr>
          <w:rtl/>
        </w:rPr>
        <w:t xml:space="preserve"> عن قلقهم إزاء التداخل مع اجتماعات الأفرقة الأخرى الذي لا مفر منه خلال عام </w:t>
      </w:r>
      <w:r w:rsidRPr="00DC0CBE">
        <w:t>2024</w:t>
      </w:r>
      <w:r w:rsidRPr="00DC0CBE">
        <w:rPr>
          <w:rtl/>
        </w:rPr>
        <w:t xml:space="preserve">. وتشمل عوامل عدة سبباً إضافياً يتمثل في تمديد المدة الإجمالية لكتلة لجنة الدراسات </w:t>
      </w:r>
      <w:r w:rsidRPr="00DC0CBE">
        <w:t>4</w:t>
      </w:r>
      <w:r w:rsidRPr="00DC0CBE">
        <w:rPr>
          <w:rtl/>
        </w:rPr>
        <w:t xml:space="preserve"> عدة أيام، وبالتالي التداخل حتماً مع الاجتماعات المقررة سابقاً.</w:t>
      </w:r>
    </w:p>
    <w:p w14:paraId="3BD9DEAB" w14:textId="77777777" w:rsidR="009D4103" w:rsidRPr="00DC0CBE" w:rsidRDefault="003847DE" w:rsidP="003847DE">
      <w:pPr>
        <w:pStyle w:val="Heading2"/>
        <w:rPr>
          <w:lang w:val="ar-SA"/>
        </w:rPr>
      </w:pPr>
      <w:bookmarkStart w:id="27" w:name="_Toc192766208"/>
      <w:r w:rsidRPr="00DC0CBE">
        <w:t>5.5</w:t>
      </w:r>
      <w:r w:rsidR="009D4103" w:rsidRPr="00DC0CBE">
        <w:rPr>
          <w:rtl/>
        </w:rPr>
        <w:tab/>
        <w:t xml:space="preserve">لجنة دراسات </w:t>
      </w:r>
      <w:r w:rsidRPr="00DC0CBE">
        <w:t>6</w:t>
      </w:r>
      <w:bookmarkEnd w:id="27"/>
    </w:p>
    <w:p w14:paraId="30400716" w14:textId="77777777" w:rsidR="009D4103" w:rsidRPr="00DC0CBE" w:rsidRDefault="009D4103" w:rsidP="009D4103">
      <w:pPr>
        <w:rPr>
          <w:spacing w:val="-2"/>
          <w:lang w:val="ar-SA" w:bidi="ar-EG"/>
        </w:rPr>
      </w:pPr>
      <w:r w:rsidRPr="00DC0CBE">
        <w:rPr>
          <w:spacing w:val="-2"/>
          <w:rtl/>
        </w:rPr>
        <w:t xml:space="preserve">تواصل لجنة الدراسات </w:t>
      </w:r>
      <w:r w:rsidRPr="00DC0CBE">
        <w:rPr>
          <w:spacing w:val="-2"/>
        </w:rPr>
        <w:t>6</w:t>
      </w:r>
      <w:r w:rsidRPr="00DC0CBE">
        <w:rPr>
          <w:spacing w:val="-2"/>
          <w:rtl/>
        </w:rPr>
        <w:t xml:space="preserve"> دراساتها المتعلقة بالإذاعة بالاتصالات الراديوية، لا سيما المواضيع الناشئة التي تشمل التكنولوجيات المتقدمة من أجل الإذاعة الرقمية للأرض، والمنصة العالمية للخدمة الإذاعية، والتلفزيون ذي المدى الدينامي الواسع </w:t>
      </w:r>
      <w:r w:rsidRPr="00DC0CBE">
        <w:rPr>
          <w:spacing w:val="-2"/>
          <w:lang w:bidi="ar-EG"/>
        </w:rPr>
        <w:t>(HDR-TV</w:t>
      </w:r>
      <w:r w:rsidRPr="00DC0CBE">
        <w:rPr>
          <w:spacing w:val="-2"/>
        </w:rPr>
        <w:t>)</w:t>
      </w:r>
      <w:r w:rsidRPr="00DC0CBE">
        <w:rPr>
          <w:spacing w:val="-2"/>
          <w:rtl/>
        </w:rPr>
        <w:t xml:space="preserve">، </w:t>
      </w:r>
      <w:r w:rsidRPr="00DC0CBE">
        <w:rPr>
          <w:spacing w:val="-2"/>
          <w:rtl/>
        </w:rPr>
        <w:lastRenderedPageBreak/>
        <w:t xml:space="preserve">والأنظمة المتكاملة للإذاعة والنطاق العريض </w:t>
      </w:r>
      <w:r w:rsidRPr="00DC0CBE">
        <w:rPr>
          <w:spacing w:val="-2"/>
        </w:rPr>
        <w:t>(</w:t>
      </w:r>
      <w:r w:rsidRPr="00DC0CBE">
        <w:rPr>
          <w:spacing w:val="-2"/>
          <w:lang w:bidi="ar-EG"/>
        </w:rPr>
        <w:t>IBB</w:t>
      </w:r>
      <w:r w:rsidRPr="00DC0CBE">
        <w:rPr>
          <w:spacing w:val="-2"/>
        </w:rPr>
        <w:t>)</w:t>
      </w:r>
      <w:r w:rsidRPr="00DC0CBE">
        <w:rPr>
          <w:spacing w:val="-2"/>
          <w:rtl/>
        </w:rPr>
        <w:t xml:space="preserve">، وأجهزة </w:t>
      </w:r>
      <w:proofErr w:type="spellStart"/>
      <w:r w:rsidRPr="00DC0CBE">
        <w:rPr>
          <w:spacing w:val="-2"/>
          <w:rtl/>
        </w:rPr>
        <w:t>الكودك</w:t>
      </w:r>
      <w:proofErr w:type="spellEnd"/>
      <w:r w:rsidRPr="00DC0CBE">
        <w:rPr>
          <w:spacing w:val="-2"/>
          <w:rtl/>
        </w:rPr>
        <w:t xml:space="preserve"> السمعية </w:t>
      </w:r>
      <w:proofErr w:type="spellStart"/>
      <w:r w:rsidRPr="00DC0CBE">
        <w:rPr>
          <w:spacing w:val="-2"/>
          <w:rtl/>
        </w:rPr>
        <w:t>والفيديوية</w:t>
      </w:r>
      <w:proofErr w:type="spellEnd"/>
      <w:r w:rsidRPr="00DC0CBE">
        <w:rPr>
          <w:spacing w:val="-2"/>
          <w:rtl/>
        </w:rPr>
        <w:t xml:space="preserve"> من أجل الإذاعة الرقمية، والأنظمة السمعية البصرية المتقدمة الغامرة </w:t>
      </w:r>
      <w:r w:rsidRPr="00DC0CBE">
        <w:rPr>
          <w:spacing w:val="-2"/>
        </w:rPr>
        <w:t>(</w:t>
      </w:r>
      <w:r w:rsidRPr="00DC0CBE">
        <w:rPr>
          <w:spacing w:val="-2"/>
          <w:lang w:bidi="ar-EG"/>
        </w:rPr>
        <w:t>AIAV</w:t>
      </w:r>
      <w:r w:rsidRPr="00DC0CBE">
        <w:rPr>
          <w:spacing w:val="-2"/>
        </w:rPr>
        <w:t>)</w:t>
      </w:r>
      <w:r w:rsidRPr="00DC0CBE">
        <w:rPr>
          <w:spacing w:val="-2"/>
          <w:rtl/>
        </w:rPr>
        <w:t xml:space="preserve"> ومواصفات العارض للأنظمة الصوتية المتقدمة، وتطبيق الذكاء الاصطناعي من أجل الإذاعة وإمكانية النفاذ إلى الوسائط السمعية البصرية </w:t>
      </w:r>
      <w:r w:rsidRPr="00DC0CBE">
        <w:rPr>
          <w:spacing w:val="-2"/>
        </w:rPr>
        <w:t>(</w:t>
      </w:r>
      <w:r w:rsidRPr="00DC0CBE">
        <w:rPr>
          <w:spacing w:val="-2"/>
          <w:lang w:bidi="ar-EG"/>
        </w:rPr>
        <w:t>AVA</w:t>
      </w:r>
      <w:r w:rsidRPr="00DC0CBE">
        <w:rPr>
          <w:spacing w:val="-2"/>
        </w:rPr>
        <w:t>)</w:t>
      </w:r>
      <w:r w:rsidRPr="00DC0CBE">
        <w:rPr>
          <w:spacing w:val="-2"/>
          <w:rtl/>
        </w:rPr>
        <w:t>.</w:t>
      </w:r>
    </w:p>
    <w:p w14:paraId="235C9CFA" w14:textId="77777777" w:rsidR="009D4103" w:rsidRPr="00DC0CBE" w:rsidRDefault="009D4103" w:rsidP="009D4103">
      <w:pPr>
        <w:rPr>
          <w:lang w:val="ar-SA" w:bidi="ar-EG"/>
        </w:rPr>
      </w:pPr>
      <w:r w:rsidRPr="00DC0CBE">
        <w:rPr>
          <w:rtl/>
        </w:rPr>
        <w:t xml:space="preserve">وتعمل لجنة الدراسات </w:t>
      </w:r>
      <w:r w:rsidRPr="00DC0CBE">
        <w:t>6</w:t>
      </w:r>
      <w:r w:rsidRPr="00DC0CBE">
        <w:rPr>
          <w:rtl/>
        </w:rPr>
        <w:t xml:space="preserve"> أيضاً بنشاط في تنسيق الأعمال ذات الاهتمام المشترك مع لجنتي الدراسات </w:t>
      </w:r>
      <w:r w:rsidRPr="00DC0CBE">
        <w:t>21</w:t>
      </w:r>
      <w:r w:rsidRPr="00DC0CBE">
        <w:rPr>
          <w:rtl/>
        </w:rPr>
        <w:t xml:space="preserve"> لقطاع تقييس الاتصالات (لجنتا الدراسات </w:t>
      </w:r>
      <w:r w:rsidRPr="00DC0CBE">
        <w:t>9</w:t>
      </w:r>
      <w:r w:rsidRPr="00DC0CBE">
        <w:rPr>
          <w:rtl/>
        </w:rPr>
        <w:t xml:space="preserve"> و</w:t>
      </w:r>
      <w:r w:rsidRPr="00DC0CBE">
        <w:t>16</w:t>
      </w:r>
      <w:r w:rsidRPr="00DC0CBE">
        <w:rPr>
          <w:rtl/>
        </w:rPr>
        <w:t xml:space="preserve"> لقطاع تقييس الاتصالات سابقاً) و</w:t>
      </w:r>
      <w:r w:rsidRPr="00DC0CBE">
        <w:t>12</w:t>
      </w:r>
      <w:r w:rsidRPr="00DC0CBE">
        <w:rPr>
          <w:rtl/>
        </w:rPr>
        <w:t xml:space="preserve"> من خلال فريق المقرر المشترك بين القطاعات </w:t>
      </w:r>
      <w:r w:rsidRPr="00DC0CBE">
        <w:rPr>
          <w:lang w:bidi="ar-EG"/>
        </w:rPr>
        <w:t>(IRG</w:t>
      </w:r>
      <w:r w:rsidRPr="00DC0CBE">
        <w:t>)</w:t>
      </w:r>
      <w:r w:rsidRPr="00DC0CBE">
        <w:rPr>
          <w:rtl/>
        </w:rPr>
        <w:t xml:space="preserve"> بخصوص إمكانية النفاذ للوسائط السمعية المرئية </w:t>
      </w:r>
      <w:r w:rsidRPr="00DC0CBE">
        <w:t>(</w:t>
      </w:r>
      <w:r w:rsidRPr="00DC0CBE">
        <w:rPr>
          <w:lang w:bidi="ar-EG"/>
        </w:rPr>
        <w:t>IRG-AVA</w:t>
      </w:r>
      <w:r w:rsidRPr="00DC0CBE">
        <w:t>)</w:t>
      </w:r>
      <w:r w:rsidRPr="00DC0CBE">
        <w:rPr>
          <w:rtl/>
        </w:rPr>
        <w:t xml:space="preserve"> وفريق المقرِّر المشترك بين القطاعات المعني بتقييم الجودة السمعية البصرية (</w:t>
      </w:r>
      <w:r w:rsidRPr="00DC0CBE">
        <w:rPr>
          <w:lang w:bidi="ar-EG"/>
        </w:rPr>
        <w:t>IRG-AVQA</w:t>
      </w:r>
      <w:r w:rsidRPr="00DC0CBE">
        <w:rPr>
          <w:rtl/>
        </w:rPr>
        <w:t>) على التوالي.</w:t>
      </w:r>
    </w:p>
    <w:p w14:paraId="32FEEF53" w14:textId="77777777" w:rsidR="009D4103" w:rsidRPr="00DC0CBE" w:rsidRDefault="009D4103" w:rsidP="009D4103">
      <w:pPr>
        <w:rPr>
          <w:lang w:val="ar-SA" w:bidi="ar-EG"/>
        </w:rPr>
      </w:pPr>
      <w:r w:rsidRPr="00DC0CBE">
        <w:rPr>
          <w:rtl/>
        </w:rPr>
        <w:t xml:space="preserve">ووافقت لجنة الدراسات </w:t>
      </w:r>
      <w:r w:rsidRPr="00DC0CBE">
        <w:t>6</w:t>
      </w:r>
      <w:r w:rsidRPr="00DC0CBE">
        <w:rPr>
          <w:rtl/>
        </w:rPr>
        <w:t xml:space="preserve"> منذ انعقاد الفريق الاستشاري للاتصالات الراديوية لعام </w:t>
      </w:r>
      <w:r w:rsidRPr="00DC0CBE">
        <w:t>2024</w:t>
      </w:r>
      <w:r w:rsidRPr="00DC0CBE">
        <w:rPr>
          <w:rtl/>
        </w:rPr>
        <w:t xml:space="preserve"> على مسألة جديدة من مسائل قطاع الاتصالات الراديوية وثلاث توصيات جديدة وسبع توصيات مراجعة لقطاع الاتصالات الراديوية، فضلاً عن خمسة تقارير جديدة و</w:t>
      </w:r>
      <w:r w:rsidRPr="00DC0CBE">
        <w:t>15</w:t>
      </w:r>
      <w:r w:rsidRPr="00DC0CBE">
        <w:rPr>
          <w:rtl/>
        </w:rPr>
        <w:t xml:space="preserve"> تقريراً مراجعاً. واعتمدت لجنة الدراسات </w:t>
      </w:r>
      <w:r w:rsidRPr="00DC0CBE">
        <w:t>6</w:t>
      </w:r>
      <w:r w:rsidRPr="00DC0CBE">
        <w:rPr>
          <w:rtl/>
        </w:rPr>
        <w:t xml:space="preserve"> مشروع التوصية المراجعة </w:t>
      </w:r>
      <w:r w:rsidRPr="00DC0CBE">
        <w:t>ITU-R BT.1774-2</w:t>
      </w:r>
      <w:r w:rsidRPr="00DC0CBE">
        <w:rPr>
          <w:rtl/>
        </w:rPr>
        <w:t xml:space="preserve"> وهو يخضع لموافقة الأعضاء. وبالإضافة إلى ذلك، تم تحديث التوصية </w:t>
      </w:r>
      <w:r w:rsidRPr="00DC0CBE">
        <w:t>ITU-R BT.500-15</w:t>
      </w:r>
      <w:r w:rsidRPr="00DC0CBE">
        <w:rPr>
          <w:rtl/>
        </w:rPr>
        <w:t xml:space="preserve"> </w:t>
      </w:r>
      <w:proofErr w:type="spellStart"/>
      <w:r w:rsidRPr="00DC0CBE">
        <w:rPr>
          <w:rtl/>
        </w:rPr>
        <w:t>صياغياً</w:t>
      </w:r>
      <w:proofErr w:type="spellEnd"/>
      <w:r w:rsidRPr="00DC0CBE">
        <w:rPr>
          <w:rtl/>
        </w:rPr>
        <w:t xml:space="preserve">. ووافقت لجنة الدراسات </w:t>
      </w:r>
      <w:r w:rsidRPr="00DC0CBE">
        <w:t>6</w:t>
      </w:r>
      <w:r w:rsidRPr="00DC0CBE">
        <w:rPr>
          <w:rtl/>
        </w:rPr>
        <w:t xml:space="preserve"> أيضاً على إلغاء مسـألتين من مسائل قطاع الاتصالات الراديوية.</w:t>
      </w:r>
    </w:p>
    <w:p w14:paraId="79300815" w14:textId="33AB2135" w:rsidR="009D4103" w:rsidRPr="00DC0CBE" w:rsidRDefault="009D4103" w:rsidP="008F6E36">
      <w:pPr>
        <w:pStyle w:val="Headingb"/>
        <w:rPr>
          <w:lang w:val="ar-SA"/>
        </w:rPr>
      </w:pPr>
      <w:r w:rsidRPr="00DC0CBE">
        <w:rPr>
          <w:rtl/>
        </w:rPr>
        <w:t xml:space="preserve">مسائل القطاع </w:t>
      </w:r>
      <w:r w:rsidRPr="00DC0CBE">
        <w:t>ITU-R</w:t>
      </w:r>
      <w:r w:rsidRPr="00DC0CBE">
        <w:rPr>
          <w:rtl/>
        </w:rPr>
        <w:t>:</w:t>
      </w:r>
    </w:p>
    <w:p w14:paraId="42B31207" w14:textId="17A3871C" w:rsidR="009D4103" w:rsidRPr="00DC0CBE" w:rsidRDefault="000000EE" w:rsidP="008F6E36">
      <w:pPr>
        <w:pStyle w:val="enumlev1"/>
        <w:rPr>
          <w:lang w:val="ar-SA" w:bidi="ar-EG"/>
        </w:rPr>
      </w:pPr>
      <w:r w:rsidRPr="00DC0CBE">
        <w:rPr>
          <w:lang w:bidi="ar-EG"/>
        </w:rPr>
        <w:t>–</w:t>
      </w:r>
      <w:r w:rsidR="009D4103" w:rsidRPr="00DC0CBE">
        <w:rPr>
          <w:rtl/>
        </w:rPr>
        <w:tab/>
      </w:r>
      <w:r w:rsidR="008F6E36" w:rsidRPr="00DC0CBE">
        <w:t>148/</w:t>
      </w:r>
      <w:r w:rsidR="00CC4D37" w:rsidRPr="00DC0CBE">
        <w:t>6</w:t>
      </w:r>
      <w:r w:rsidR="008F6E36" w:rsidRPr="00DC0CBE">
        <w:rPr>
          <w:rFonts w:hint="cs"/>
          <w:rtl/>
          <w:lang w:bidi="ar-EG"/>
        </w:rPr>
        <w:t xml:space="preserve"> </w:t>
      </w:r>
      <w:r w:rsidR="009D4103" w:rsidRPr="00DC0CBE">
        <w:rPr>
          <w:rtl/>
        </w:rPr>
        <w:t>"تطور الأنظمة الصوتية للإذاعة"</w:t>
      </w:r>
    </w:p>
    <w:p w14:paraId="6AC76EE2" w14:textId="0CCDF12C" w:rsidR="009D4103" w:rsidRPr="00DC0CBE" w:rsidRDefault="009D4103" w:rsidP="008F6E36">
      <w:pPr>
        <w:pStyle w:val="Headingb"/>
        <w:rPr>
          <w:lang w:val="ar-SA"/>
        </w:rPr>
      </w:pPr>
      <w:r w:rsidRPr="00DC0CBE">
        <w:rPr>
          <w:rtl/>
        </w:rPr>
        <w:t>توصيات القطاع</w:t>
      </w:r>
      <w:r w:rsidR="006E689A" w:rsidRPr="00DC0CBE">
        <w:rPr>
          <w:rtl/>
        </w:rPr>
        <w:t xml:space="preserve"> </w:t>
      </w:r>
      <w:r w:rsidR="002B21F6" w:rsidRPr="00DC0CBE">
        <w:t>ITU-R</w:t>
      </w:r>
      <w:r w:rsidRPr="00DC0CBE">
        <w:rPr>
          <w:rtl/>
        </w:rPr>
        <w:t>:</w:t>
      </w:r>
    </w:p>
    <w:p w14:paraId="7FF5B3DB"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BS.2076-3</w:t>
      </w:r>
      <w:r w:rsidR="009D4103" w:rsidRPr="00DC0CBE">
        <w:rPr>
          <w:rtl/>
        </w:rPr>
        <w:t xml:space="preserve"> "نموذج تعريف الإشارة السمعية"</w:t>
      </w:r>
    </w:p>
    <w:p w14:paraId="1001DE29"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BS.2094-2</w:t>
      </w:r>
      <w:r w:rsidR="009D4103" w:rsidRPr="00DC0CBE">
        <w:rPr>
          <w:rtl/>
        </w:rPr>
        <w:t xml:space="preserve"> "تعاريف مشتركة لنموذج تعريف الإشارة السمعية"</w:t>
      </w:r>
    </w:p>
    <w:p w14:paraId="32B47947"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BS.2168-0</w:t>
      </w:r>
      <w:r w:rsidR="009D4103" w:rsidRPr="00DC0CBE">
        <w:rPr>
          <w:rtl/>
        </w:rPr>
        <w:t xml:space="preserve"> "نموذج وضوح الإشارة السمعية والتمثيل التسلسلي للبيانات الوصفية لنموذج وضوح الإشارة السمعية لأغراض البث عبر الأنظمة الصوتية المتقدمة"</w:t>
      </w:r>
    </w:p>
    <w:p w14:paraId="509D5CFA" w14:textId="77777777" w:rsidR="009D4103" w:rsidRPr="00DC0CBE" w:rsidRDefault="000000EE" w:rsidP="008F6E36">
      <w:pPr>
        <w:pStyle w:val="enumlev1"/>
        <w:rPr>
          <w:spacing w:val="-2"/>
          <w:lang w:val="ar-SA" w:bidi="ar-EG"/>
        </w:rPr>
      </w:pPr>
      <w:r w:rsidRPr="00DC0CBE">
        <w:rPr>
          <w:spacing w:val="-2"/>
          <w:lang w:bidi="ar-EG"/>
        </w:rPr>
        <w:t>–</w:t>
      </w:r>
      <w:r w:rsidR="009D4103" w:rsidRPr="00DC0CBE">
        <w:rPr>
          <w:spacing w:val="-2"/>
          <w:rtl/>
        </w:rPr>
        <w:tab/>
      </w:r>
      <w:r w:rsidR="009D4103" w:rsidRPr="00DC0CBE">
        <w:rPr>
          <w:spacing w:val="-2"/>
        </w:rPr>
        <w:t>BT.1662-1</w:t>
      </w:r>
      <w:r w:rsidR="009D4103" w:rsidRPr="00DC0CBE">
        <w:rPr>
          <w:spacing w:val="-2"/>
          <w:rtl/>
        </w:rPr>
        <w:t xml:space="preserve"> "السلسلة المرجعية العامة وإدارة الحيِّز العلوي بعد معالجة البرنامج الأساسي في تطبيقات التلفزيون"</w:t>
      </w:r>
    </w:p>
    <w:p w14:paraId="4004C7E6"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BT.1666-1</w:t>
      </w:r>
      <w:r w:rsidR="009D4103" w:rsidRPr="00DC0CBE">
        <w:rPr>
          <w:rtl/>
        </w:rPr>
        <w:t xml:space="preserve"> "متطلبات المستعمل المتعلقة بتطبيقات التلفزيون المخصصة للعرض في بيئة مسرحية"</w:t>
      </w:r>
    </w:p>
    <w:p w14:paraId="12759DAC" w14:textId="345F3358"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BT.2016-4</w:t>
      </w:r>
      <w:r w:rsidR="009D4103" w:rsidRPr="00DC0CBE">
        <w:rPr>
          <w:rtl/>
        </w:rPr>
        <w:t xml:space="preserve"> "طرائق تصحيح الأخطاء وتأطير البيانات والتشكيل والبث للإذاعة متعددة الوسائط للأرض من أجل الاستقبال المتنقل باستعمال أجهزة الاستقبال المحمولة باليد في نطاقات الموجات المترية </w:t>
      </w:r>
      <w:r w:rsidR="009D4103" w:rsidRPr="00DC0CBE">
        <w:t>(</w:t>
      </w:r>
      <w:r w:rsidR="009D4103" w:rsidRPr="00DC0CBE">
        <w:rPr>
          <w:lang w:bidi="ar-EG"/>
        </w:rPr>
        <w:t>VHF</w:t>
      </w:r>
      <w:r w:rsidR="009D4103" w:rsidRPr="00DC0CBE">
        <w:t>)</w:t>
      </w:r>
      <w:r w:rsidR="009D4103" w:rsidRPr="00DC0CBE">
        <w:rPr>
          <w:rtl/>
        </w:rPr>
        <w:t xml:space="preserve"> </w:t>
      </w:r>
      <w:r w:rsidR="00597D8F" w:rsidRPr="00DC0CBE">
        <w:rPr>
          <w:rFonts w:hint="cs"/>
          <w:rtl/>
        </w:rPr>
        <w:t>/</w:t>
      </w:r>
      <w:proofErr w:type="spellStart"/>
      <w:r w:rsidR="009D4103" w:rsidRPr="00DC0CBE">
        <w:rPr>
          <w:rtl/>
        </w:rPr>
        <w:t>والديسيمترية</w:t>
      </w:r>
      <w:proofErr w:type="spellEnd"/>
      <w:r w:rsidR="008F6E36" w:rsidRPr="00DC0CBE">
        <w:rPr>
          <w:rFonts w:hint="eastAsia"/>
          <w:rtl/>
          <w:lang w:bidi="ar-EG"/>
        </w:rPr>
        <w:t> </w:t>
      </w:r>
      <w:r w:rsidR="009D4103" w:rsidRPr="00DC0CBE">
        <w:t>(</w:t>
      </w:r>
      <w:r w:rsidR="009D4103" w:rsidRPr="00DC0CBE">
        <w:rPr>
          <w:lang w:bidi="ar-EG"/>
        </w:rPr>
        <w:t>UHF</w:t>
      </w:r>
      <w:r w:rsidR="009D4103" w:rsidRPr="00DC0CBE">
        <w:t>)</w:t>
      </w:r>
      <w:r w:rsidR="009D4103" w:rsidRPr="00DC0CBE">
        <w:rPr>
          <w:rtl/>
          <w:lang w:bidi="ar-EG"/>
        </w:rPr>
        <w:t>"</w:t>
      </w:r>
    </w:p>
    <w:p w14:paraId="452E7E2A"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BT.2100-3</w:t>
      </w:r>
      <w:r w:rsidR="009D4103" w:rsidRPr="00DC0CBE">
        <w:rPr>
          <w:rtl/>
        </w:rPr>
        <w:t xml:space="preserve"> "قيم معلمات الصور لأنظمة التلفزيون ذات المدى الدينامي العالي من أجل الاستعمال في إنتاج البرامج وتبادلها دولياً"</w:t>
      </w:r>
    </w:p>
    <w:p w14:paraId="23AAF151"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BT.2123-1</w:t>
      </w:r>
      <w:r w:rsidR="009D4103" w:rsidRPr="00DC0CBE">
        <w:rPr>
          <w:rtl/>
        </w:rPr>
        <w:t xml:space="preserve"> "قيم المعلمات </w:t>
      </w:r>
      <w:proofErr w:type="spellStart"/>
      <w:r w:rsidR="009D4103" w:rsidRPr="00DC0CBE">
        <w:rPr>
          <w:rtl/>
        </w:rPr>
        <w:t>الفيديوية</w:t>
      </w:r>
      <w:proofErr w:type="spellEnd"/>
      <w:r w:rsidR="009D4103" w:rsidRPr="00DC0CBE">
        <w:rPr>
          <w:rtl/>
        </w:rPr>
        <w:t xml:space="preserve"> المتعلقة بالأنظمة السمعية المرئية المتقدمة الغامرة لإنتاج البرامج وتبادلها دولياً في الإذاعة"</w:t>
      </w:r>
    </w:p>
    <w:p w14:paraId="6FF88504"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BT.2166-0</w:t>
      </w:r>
      <w:r w:rsidR="009D4103" w:rsidRPr="00DC0CBE">
        <w:rPr>
          <w:rtl/>
        </w:rPr>
        <w:t xml:space="preserve"> "ظروف المشاهدة لمراقبة المدى الدينامي العالي والمدى الدينامي العادي عن قرب في بيئة إنتاج أصلي واحد بمدى دينامي عال"</w:t>
      </w:r>
    </w:p>
    <w:p w14:paraId="2C13ED6E"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BT.2167-0</w:t>
      </w:r>
      <w:r w:rsidR="009D4103" w:rsidRPr="00DC0CBE">
        <w:rPr>
          <w:rtl/>
        </w:rPr>
        <w:t xml:space="preserve"> "إطار للأساليب التكيفية مع المحتوى من أجل خفض استهلاك الطاقة في شاشات التلفزيون"</w:t>
      </w:r>
    </w:p>
    <w:p w14:paraId="13885BEC" w14:textId="391253D0" w:rsidR="009D4103" w:rsidRPr="00DC0CBE" w:rsidRDefault="009D4103" w:rsidP="008F6E36">
      <w:pPr>
        <w:pStyle w:val="Headingb"/>
        <w:rPr>
          <w:lang w:val="ar-SA"/>
        </w:rPr>
      </w:pPr>
      <w:r w:rsidRPr="00DC0CBE">
        <w:rPr>
          <w:rtl/>
        </w:rPr>
        <w:t xml:space="preserve">تقارير القطاع </w:t>
      </w:r>
      <w:r w:rsidRPr="00DC0CBE">
        <w:t>ITU-R</w:t>
      </w:r>
      <w:r w:rsidRPr="00DC0CBE">
        <w:rPr>
          <w:rtl/>
        </w:rPr>
        <w:t>:</w:t>
      </w:r>
    </w:p>
    <w:p w14:paraId="713B20BB" w14:textId="77777777" w:rsidR="009D4103" w:rsidRPr="00DC0CBE" w:rsidRDefault="000000EE" w:rsidP="008F6E36">
      <w:pPr>
        <w:pStyle w:val="enumlev1"/>
        <w:rPr>
          <w:lang w:val="ar-SA" w:bidi="ar-EG"/>
        </w:rPr>
      </w:pPr>
      <w:r w:rsidRPr="00DC0CBE">
        <w:rPr>
          <w:lang w:bidi="ar-EG"/>
        </w:rPr>
        <w:t>–</w:t>
      </w:r>
      <w:r w:rsidR="009D4103" w:rsidRPr="00DC0CBE">
        <w:rPr>
          <w:rtl/>
        </w:rPr>
        <w:tab/>
      </w:r>
      <w:r w:rsidR="009D4103" w:rsidRPr="00DC0CBE">
        <w:t>BS.2388-5</w:t>
      </w:r>
      <w:r w:rsidR="009D4103" w:rsidRPr="00DC0CBE">
        <w:rPr>
          <w:rtl/>
        </w:rPr>
        <w:t xml:space="preserve"> "المبادئ التوجيهية لاستعمال نموذج الوضوح السمعي والملفات السمعية متعددة القنوات"</w:t>
      </w:r>
    </w:p>
    <w:p w14:paraId="0463A863" w14:textId="77777777" w:rsidR="009D4103" w:rsidRPr="00DC0CBE" w:rsidRDefault="009D4103" w:rsidP="008F6E36">
      <w:pPr>
        <w:pStyle w:val="enumlev1"/>
        <w:rPr>
          <w:lang w:val="ar-SA" w:bidi="ar-EG"/>
        </w:rPr>
      </w:pPr>
      <w:r w:rsidRPr="00DC0CBE">
        <w:rPr>
          <w:lang w:bidi="ar-EG"/>
        </w:rPr>
        <w:t>–</w:t>
      </w:r>
      <w:r w:rsidRPr="00DC0CBE">
        <w:rPr>
          <w:rtl/>
        </w:rPr>
        <w:tab/>
      </w:r>
      <w:r w:rsidRPr="00DC0CBE">
        <w:t>BS.2493-1</w:t>
      </w:r>
      <w:r w:rsidRPr="00DC0CBE">
        <w:rPr>
          <w:rtl/>
        </w:rPr>
        <w:t xml:space="preserve"> "التنفيذ العملي للأنظمة الإذاعية التي تستخدم كودكات سمعية للأنظمة السمعية المتقدمة للاتحاد الدولي للاتصالات"</w:t>
      </w:r>
    </w:p>
    <w:p w14:paraId="7E3F9A94" w14:textId="77777777" w:rsidR="009D4103" w:rsidRPr="00DC0CBE" w:rsidRDefault="009D4103" w:rsidP="008F6E36">
      <w:pPr>
        <w:pStyle w:val="enumlev1"/>
        <w:rPr>
          <w:lang w:val="ar-SA" w:bidi="ar-EG"/>
        </w:rPr>
      </w:pPr>
      <w:r w:rsidRPr="00DC0CBE">
        <w:rPr>
          <w:lang w:bidi="ar-EG"/>
        </w:rPr>
        <w:t>–</w:t>
      </w:r>
      <w:r w:rsidRPr="00DC0CBE">
        <w:rPr>
          <w:rtl/>
        </w:rPr>
        <w:tab/>
      </w:r>
      <w:r w:rsidRPr="00DC0CBE">
        <w:t>BT.2343-9</w:t>
      </w:r>
      <w:r w:rsidRPr="00DC0CBE">
        <w:rPr>
          <w:rtl/>
        </w:rPr>
        <w:t xml:space="preserve"> "مجموعة التجارب الميدانية للتلفزيون فائق الوضوح عبر شبكات الإذاعة التلفزيونية الرقمية للأرض"</w:t>
      </w:r>
    </w:p>
    <w:p w14:paraId="691A1DF1" w14:textId="77777777" w:rsidR="009D4103" w:rsidRPr="00DC0CBE" w:rsidRDefault="009D4103" w:rsidP="008F6E36">
      <w:pPr>
        <w:pStyle w:val="enumlev1"/>
        <w:rPr>
          <w:lang w:val="ar-SA" w:bidi="ar-EG"/>
        </w:rPr>
      </w:pPr>
      <w:r w:rsidRPr="00DC0CBE">
        <w:rPr>
          <w:lang w:bidi="ar-EG"/>
        </w:rPr>
        <w:t>–</w:t>
      </w:r>
      <w:r w:rsidRPr="00DC0CBE">
        <w:rPr>
          <w:rtl/>
        </w:rPr>
        <w:tab/>
      </w:r>
      <w:r w:rsidRPr="00DC0CBE">
        <w:t>BT.2386-5</w:t>
      </w:r>
      <w:r w:rsidRPr="00DC0CBE">
        <w:rPr>
          <w:rtl/>
        </w:rPr>
        <w:t xml:space="preserve"> "الإذاعة الرقمية للأرض: تصميم وتنفيذ الشبكات وحيدة التردد (</w:t>
      </w:r>
      <w:r w:rsidRPr="00DC0CBE">
        <w:rPr>
          <w:lang w:bidi="ar-EG"/>
        </w:rPr>
        <w:t>SNF</w:t>
      </w:r>
      <w:r w:rsidRPr="00DC0CBE">
        <w:rPr>
          <w:rtl/>
        </w:rPr>
        <w:t>)</w:t>
      </w:r>
      <w:r w:rsidRPr="00DC0CBE">
        <w:rPr>
          <w:lang w:bidi="ar-EG"/>
        </w:rPr>
        <w:t>"</w:t>
      </w:r>
    </w:p>
    <w:p w14:paraId="29FBA242" w14:textId="77777777" w:rsidR="009D4103" w:rsidRPr="00DC0CBE" w:rsidRDefault="009D4103" w:rsidP="008F6E36">
      <w:pPr>
        <w:pStyle w:val="enumlev1"/>
        <w:rPr>
          <w:lang w:val="ar-SA" w:bidi="ar-EG"/>
        </w:rPr>
      </w:pPr>
      <w:r w:rsidRPr="00DC0CBE">
        <w:rPr>
          <w:lang w:bidi="ar-EG"/>
        </w:rPr>
        <w:t>–</w:t>
      </w:r>
      <w:r w:rsidRPr="00DC0CBE">
        <w:rPr>
          <w:rtl/>
        </w:rPr>
        <w:tab/>
      </w:r>
      <w:r w:rsidRPr="00DC0CBE">
        <w:t>BT.2389-1</w:t>
      </w:r>
      <w:r w:rsidRPr="00DC0CBE">
        <w:rPr>
          <w:rtl/>
        </w:rPr>
        <w:t xml:space="preserve"> "مبادئ توجيهية بشأن القياسات في أنظمة الإذاعة التلفزيونية الرقمية للأرض"</w:t>
      </w:r>
    </w:p>
    <w:p w14:paraId="358C938C" w14:textId="77777777" w:rsidR="009D4103" w:rsidRPr="00DC0CBE" w:rsidRDefault="009D4103" w:rsidP="008F6E36">
      <w:pPr>
        <w:pStyle w:val="enumlev1"/>
        <w:rPr>
          <w:lang w:val="ar-SA" w:bidi="ar-EG"/>
        </w:rPr>
      </w:pPr>
      <w:r w:rsidRPr="00DC0CBE">
        <w:rPr>
          <w:lang w:bidi="ar-EG"/>
        </w:rPr>
        <w:t>–</w:t>
      </w:r>
      <w:r w:rsidRPr="00DC0CBE">
        <w:rPr>
          <w:rtl/>
        </w:rPr>
        <w:tab/>
      </w:r>
      <w:r w:rsidRPr="00DC0CBE">
        <w:t>BT.2408-8</w:t>
      </w:r>
      <w:r w:rsidRPr="00DC0CBE">
        <w:rPr>
          <w:rtl/>
        </w:rPr>
        <w:t xml:space="preserve"> "إرشادات مقترحة للممارسات التشغيلية في إنتاج التلفزيون ذي المدى الدينامي الواسع (</w:t>
      </w:r>
      <w:r w:rsidRPr="00DC0CBE">
        <w:rPr>
          <w:lang w:bidi="ar-EG"/>
        </w:rPr>
        <w:t>HDR</w:t>
      </w:r>
      <w:r w:rsidRPr="00DC0CBE">
        <w:rPr>
          <w:rtl/>
        </w:rPr>
        <w:t>)</w:t>
      </w:r>
      <w:r w:rsidRPr="00DC0CBE">
        <w:rPr>
          <w:lang w:bidi="ar-EG"/>
        </w:rPr>
        <w:t>"</w:t>
      </w:r>
    </w:p>
    <w:p w14:paraId="6D0525F7" w14:textId="77777777" w:rsidR="009D4103" w:rsidRPr="00DC0CBE" w:rsidRDefault="009D4103" w:rsidP="008F6E36">
      <w:pPr>
        <w:pStyle w:val="enumlev1"/>
        <w:rPr>
          <w:lang w:val="ar-SA" w:bidi="ar-EG"/>
        </w:rPr>
      </w:pPr>
      <w:r w:rsidRPr="00DC0CBE">
        <w:rPr>
          <w:lang w:bidi="ar-EG"/>
        </w:rPr>
        <w:t>–</w:t>
      </w:r>
      <w:r w:rsidRPr="00DC0CBE">
        <w:rPr>
          <w:rtl/>
        </w:rPr>
        <w:tab/>
      </w:r>
      <w:r w:rsidRPr="00DC0CBE">
        <w:t>BT.2420-7</w:t>
      </w:r>
      <w:r w:rsidRPr="00DC0CBE">
        <w:rPr>
          <w:rtl/>
        </w:rPr>
        <w:t xml:space="preserve"> "مجموعة سيناريوهات استخدام أنظمة الوسائط الحسية الغامرة المتقدمة"</w:t>
      </w:r>
    </w:p>
    <w:p w14:paraId="798E7933" w14:textId="77777777" w:rsidR="009D4103" w:rsidRPr="00DC0CBE" w:rsidRDefault="009D4103" w:rsidP="008F6E36">
      <w:pPr>
        <w:pStyle w:val="enumlev1"/>
        <w:rPr>
          <w:lang w:val="ar-SA" w:bidi="ar-EG"/>
        </w:rPr>
      </w:pPr>
      <w:r w:rsidRPr="00DC0CBE">
        <w:rPr>
          <w:lang w:bidi="ar-EG"/>
        </w:rPr>
        <w:lastRenderedPageBreak/>
        <w:t>–</w:t>
      </w:r>
      <w:r w:rsidRPr="00DC0CBE">
        <w:rPr>
          <w:rtl/>
        </w:rPr>
        <w:tab/>
      </w:r>
      <w:r w:rsidRPr="00DC0CBE">
        <w:t>BT.2467-3</w:t>
      </w:r>
      <w:r w:rsidRPr="00DC0CBE">
        <w:rPr>
          <w:rtl/>
        </w:rPr>
        <w:t xml:space="preserve"> "أساليب لتقييم جودة خدمة أنظمة الجيل الثاني من الإذاعة التلفزيونية الرقمية للأرض"</w:t>
      </w:r>
    </w:p>
    <w:p w14:paraId="69CC9F1F" w14:textId="77777777" w:rsidR="009D4103" w:rsidRPr="00DC0CBE" w:rsidRDefault="009D4103" w:rsidP="008F6E36">
      <w:pPr>
        <w:pStyle w:val="enumlev1"/>
        <w:rPr>
          <w:lang w:val="ar-SA" w:bidi="ar-EG"/>
        </w:rPr>
      </w:pPr>
      <w:r w:rsidRPr="00DC0CBE">
        <w:rPr>
          <w:lang w:bidi="ar-EG"/>
        </w:rPr>
        <w:t>–</w:t>
      </w:r>
      <w:r w:rsidRPr="00DC0CBE">
        <w:rPr>
          <w:rtl/>
        </w:rPr>
        <w:tab/>
      </w:r>
      <w:r w:rsidRPr="00DC0CBE">
        <w:t>BT.2468-2</w:t>
      </w:r>
      <w:r w:rsidRPr="00DC0CBE">
        <w:rPr>
          <w:rtl/>
        </w:rPr>
        <w:t xml:space="preserve"> "إرشادات لاختيار معلمات النظام وتنفيذ الجيل الثاني من أنظمة الإذاعة التلفزيونية الرقمية للأرض"</w:t>
      </w:r>
    </w:p>
    <w:p w14:paraId="6A01635E" w14:textId="77777777" w:rsidR="009D4103" w:rsidRPr="00DC0CBE" w:rsidRDefault="009D4103" w:rsidP="008F6E36">
      <w:pPr>
        <w:pStyle w:val="enumlev1"/>
        <w:rPr>
          <w:lang w:val="ar-SA" w:bidi="ar-EG"/>
        </w:rPr>
      </w:pPr>
      <w:r w:rsidRPr="00DC0CBE">
        <w:rPr>
          <w:lang w:bidi="ar-EG"/>
        </w:rPr>
        <w:t>–</w:t>
      </w:r>
      <w:r w:rsidRPr="00DC0CBE">
        <w:rPr>
          <w:rtl/>
        </w:rPr>
        <w:tab/>
      </w:r>
      <w:r w:rsidRPr="00DC0CBE">
        <w:t>BT.2485-3</w:t>
      </w:r>
      <w:r w:rsidRPr="00DC0CBE">
        <w:rPr>
          <w:rtl/>
        </w:rPr>
        <w:t xml:space="preserve"> "أساليب متقدمة للتخطيط والإرسال في الشبكة لتعزيز الإذاعة التلفزيونية الرقمية للأرض"</w:t>
      </w:r>
    </w:p>
    <w:p w14:paraId="524DF7B2" w14:textId="77777777" w:rsidR="009D4103" w:rsidRPr="00DC0CBE" w:rsidRDefault="009D4103" w:rsidP="008F6E36">
      <w:pPr>
        <w:pStyle w:val="enumlev1"/>
        <w:rPr>
          <w:lang w:val="ar-SA" w:bidi="ar-EG"/>
        </w:rPr>
      </w:pPr>
      <w:r w:rsidRPr="00DC0CBE">
        <w:rPr>
          <w:lang w:bidi="ar-EG"/>
        </w:rPr>
        <w:t>–</w:t>
      </w:r>
      <w:r w:rsidRPr="00DC0CBE">
        <w:rPr>
          <w:rtl/>
        </w:rPr>
        <w:tab/>
      </w:r>
      <w:r w:rsidRPr="00DC0CBE">
        <w:t>BT.2506-1</w:t>
      </w:r>
      <w:r w:rsidRPr="00DC0CBE">
        <w:rPr>
          <w:rtl/>
        </w:rPr>
        <w:t xml:space="preserve"> "متطلبات الخصائص المكانية لشاشة عرض مثالية مثبتة على الرأس من أجل الفيديو الغامر"</w:t>
      </w:r>
    </w:p>
    <w:p w14:paraId="14244CBF" w14:textId="77777777" w:rsidR="009D4103" w:rsidRPr="00DC0CBE" w:rsidRDefault="009D4103" w:rsidP="008F6E36">
      <w:pPr>
        <w:pStyle w:val="enumlev1"/>
        <w:rPr>
          <w:lang w:val="ar-SA" w:bidi="ar-EG"/>
        </w:rPr>
      </w:pPr>
      <w:r w:rsidRPr="00DC0CBE">
        <w:rPr>
          <w:lang w:bidi="ar-EG"/>
        </w:rPr>
        <w:t>–</w:t>
      </w:r>
      <w:r w:rsidRPr="00DC0CBE">
        <w:rPr>
          <w:rtl/>
        </w:rPr>
        <w:tab/>
      </w:r>
      <w:r w:rsidRPr="00DC0CBE">
        <w:t>BT.2521-1</w:t>
      </w:r>
      <w:r w:rsidRPr="00DC0CBE">
        <w:rPr>
          <w:rtl/>
        </w:rPr>
        <w:t xml:space="preserve"> "أمثلة عملية للإجراءات الرامية إلى تحقيق كفاءة استخدام الطاقة في الإذاعة"</w:t>
      </w:r>
    </w:p>
    <w:p w14:paraId="4FA0F023" w14:textId="77777777" w:rsidR="009D4103" w:rsidRPr="00DC0CBE" w:rsidRDefault="009D4103" w:rsidP="008F6E36">
      <w:pPr>
        <w:pStyle w:val="enumlev1"/>
        <w:rPr>
          <w:lang w:val="ar-SA" w:bidi="ar-EG"/>
        </w:rPr>
      </w:pPr>
      <w:r w:rsidRPr="00DC0CBE">
        <w:rPr>
          <w:lang w:bidi="ar-EG"/>
        </w:rPr>
        <w:t>–</w:t>
      </w:r>
      <w:r w:rsidRPr="00DC0CBE">
        <w:rPr>
          <w:rtl/>
        </w:rPr>
        <w:tab/>
      </w:r>
      <w:r w:rsidRPr="00DC0CBE">
        <w:t>BT.2522-1</w:t>
      </w:r>
      <w:r w:rsidRPr="00DC0CBE">
        <w:rPr>
          <w:rtl/>
        </w:rPr>
        <w:t xml:space="preserve"> "إطار لمستقبل الإذاعة"</w:t>
      </w:r>
    </w:p>
    <w:p w14:paraId="6C2943C2" w14:textId="77777777" w:rsidR="009D4103" w:rsidRPr="00DC0CBE" w:rsidRDefault="009D4103" w:rsidP="008F6E36">
      <w:pPr>
        <w:pStyle w:val="enumlev1"/>
        <w:rPr>
          <w:lang w:val="ar-SA" w:bidi="ar-EG"/>
        </w:rPr>
      </w:pPr>
      <w:r w:rsidRPr="00DC0CBE">
        <w:rPr>
          <w:lang w:bidi="ar-EG"/>
        </w:rPr>
        <w:t>–</w:t>
      </w:r>
      <w:r w:rsidRPr="00DC0CBE">
        <w:rPr>
          <w:rtl/>
        </w:rPr>
        <w:tab/>
      </w:r>
      <w:r w:rsidRPr="00DC0CBE">
        <w:t>BT.2526-1</w:t>
      </w:r>
      <w:r w:rsidRPr="00DC0CBE">
        <w:rPr>
          <w:rtl/>
        </w:rPr>
        <w:t xml:space="preserve"> "التجارب الميدانية لأنظمة إذاعة الوسائط المتعددة المتنقلة للأرض"</w:t>
      </w:r>
    </w:p>
    <w:p w14:paraId="0619498A" w14:textId="77777777" w:rsidR="009D4103" w:rsidRPr="00DC0CBE" w:rsidRDefault="009D4103" w:rsidP="008F6E36">
      <w:pPr>
        <w:pStyle w:val="enumlev1"/>
        <w:rPr>
          <w:lang w:val="ar-SA" w:bidi="ar-EG"/>
        </w:rPr>
      </w:pPr>
      <w:r w:rsidRPr="00DC0CBE">
        <w:rPr>
          <w:lang w:bidi="ar-EG"/>
        </w:rPr>
        <w:t>–</w:t>
      </w:r>
      <w:r w:rsidRPr="00DC0CBE">
        <w:rPr>
          <w:rtl/>
        </w:rPr>
        <w:tab/>
      </w:r>
      <w:r w:rsidRPr="00DC0CBE">
        <w:t>BT.2538-0</w:t>
      </w:r>
      <w:r w:rsidRPr="00DC0CBE">
        <w:rPr>
          <w:rtl/>
        </w:rPr>
        <w:t xml:space="preserve"> "حالات استعمال ملفات تعريف متعددة الطبقات للتشفير </w:t>
      </w:r>
      <w:proofErr w:type="spellStart"/>
      <w:r w:rsidRPr="00DC0CBE">
        <w:rPr>
          <w:rtl/>
        </w:rPr>
        <w:t>الفيديوي</w:t>
      </w:r>
      <w:proofErr w:type="spellEnd"/>
      <w:r w:rsidRPr="00DC0CBE">
        <w:rPr>
          <w:rtl/>
        </w:rPr>
        <w:t xml:space="preserve"> متعدد الاستخدامات للخدمات</w:t>
      </w:r>
      <w:r w:rsidR="002D08BC" w:rsidRPr="00DC0CBE">
        <w:rPr>
          <w:rFonts w:hint="cs"/>
          <w:rtl/>
        </w:rPr>
        <w:t> </w:t>
      </w:r>
      <w:r w:rsidRPr="00DC0CBE">
        <w:rPr>
          <w:rtl/>
        </w:rPr>
        <w:t>الإذاعية"</w:t>
      </w:r>
    </w:p>
    <w:p w14:paraId="1326E184" w14:textId="77777777" w:rsidR="009D4103" w:rsidRPr="00DC0CBE" w:rsidRDefault="009D4103" w:rsidP="008F6E36">
      <w:pPr>
        <w:pStyle w:val="enumlev1"/>
        <w:rPr>
          <w:lang w:val="ar-SA" w:bidi="ar-EG"/>
        </w:rPr>
      </w:pPr>
      <w:r w:rsidRPr="00DC0CBE">
        <w:rPr>
          <w:lang w:bidi="ar-EG"/>
        </w:rPr>
        <w:t>–</w:t>
      </w:r>
      <w:r w:rsidRPr="00DC0CBE">
        <w:rPr>
          <w:rtl/>
        </w:rPr>
        <w:tab/>
      </w:r>
      <w:r w:rsidRPr="00DC0CBE">
        <w:t>BT.2539-0</w:t>
      </w:r>
      <w:r w:rsidRPr="00DC0CBE">
        <w:rPr>
          <w:rtl/>
        </w:rPr>
        <w:t xml:space="preserve"> "استخدام الحوسبة السحابية في إنتاج البرامج"</w:t>
      </w:r>
    </w:p>
    <w:p w14:paraId="55A64923" w14:textId="77777777" w:rsidR="009D4103" w:rsidRPr="00DC0CBE" w:rsidRDefault="009D4103" w:rsidP="008F6E36">
      <w:pPr>
        <w:pStyle w:val="enumlev1"/>
        <w:rPr>
          <w:lang w:val="ar-SA" w:bidi="ar-EG"/>
        </w:rPr>
      </w:pPr>
      <w:r w:rsidRPr="00DC0CBE">
        <w:rPr>
          <w:lang w:bidi="ar-EG"/>
        </w:rPr>
        <w:t>–</w:t>
      </w:r>
      <w:r w:rsidRPr="00DC0CBE">
        <w:rPr>
          <w:rtl/>
        </w:rPr>
        <w:tab/>
      </w:r>
      <w:r w:rsidRPr="00DC0CBE">
        <w:t>BT.2540-0</w:t>
      </w:r>
      <w:r w:rsidRPr="00DC0CBE">
        <w:rPr>
          <w:rtl/>
        </w:rPr>
        <w:t xml:space="preserve"> "بيان تقليل الطاقة من خلال معالجة إشارة الصورة"</w:t>
      </w:r>
    </w:p>
    <w:p w14:paraId="6750A8CB" w14:textId="77777777" w:rsidR="009D4103" w:rsidRPr="00DC0CBE" w:rsidRDefault="009D4103" w:rsidP="008F6E36">
      <w:pPr>
        <w:pStyle w:val="enumlev1"/>
        <w:rPr>
          <w:lang w:val="ar-SA" w:bidi="ar-EG"/>
        </w:rPr>
      </w:pPr>
      <w:r w:rsidRPr="00DC0CBE">
        <w:rPr>
          <w:lang w:bidi="ar-EG"/>
        </w:rPr>
        <w:t>–</w:t>
      </w:r>
      <w:r w:rsidRPr="00DC0CBE">
        <w:rPr>
          <w:rtl/>
        </w:rPr>
        <w:tab/>
      </w:r>
      <w:r w:rsidRPr="00DC0CBE">
        <w:t>BT.2544-0</w:t>
      </w:r>
      <w:r w:rsidRPr="00DC0CBE">
        <w:rPr>
          <w:rtl/>
        </w:rPr>
        <w:t xml:space="preserve"> "التوافق بين النظام </w:t>
      </w:r>
      <w:r w:rsidRPr="00DC0CBE">
        <w:rPr>
          <w:lang w:bidi="ar-EG"/>
        </w:rPr>
        <w:t>L</w:t>
      </w:r>
      <w:r w:rsidRPr="00DC0CBE">
        <w:rPr>
          <w:rtl/>
        </w:rPr>
        <w:t xml:space="preserve"> للإذاعة المتنقلة متعددة الوسائط للأرض (</w:t>
      </w:r>
      <w:r w:rsidRPr="00DC0CBE">
        <w:rPr>
          <w:lang w:bidi="ar-EG"/>
        </w:rPr>
        <w:t>TMMB</w:t>
      </w:r>
      <w:r w:rsidRPr="00DC0CBE">
        <w:rPr>
          <w:rtl/>
        </w:rPr>
        <w:t xml:space="preserve">) وبين نظام الإذاعة التلفزيونية الرقمية للأرض في النطاق </w:t>
      </w:r>
      <w:r w:rsidRPr="00DC0CBE">
        <w:t>MHz 694-470</w:t>
      </w:r>
      <w:r w:rsidRPr="00DC0CBE">
        <w:rPr>
          <w:rtl/>
        </w:rPr>
        <w:t xml:space="preserve"> ضمن الاتفاق </w:t>
      </w:r>
      <w:r w:rsidRPr="00DC0CBE">
        <w:t>GE06</w:t>
      </w:r>
      <w:r w:rsidRPr="00DC0CBE">
        <w:rPr>
          <w:rtl/>
        </w:rPr>
        <w:t>"</w:t>
      </w:r>
    </w:p>
    <w:p w14:paraId="1C684EDD" w14:textId="77777777" w:rsidR="009D4103" w:rsidRPr="00DC0CBE" w:rsidRDefault="009D4103" w:rsidP="008F6E36">
      <w:pPr>
        <w:pStyle w:val="enumlev1"/>
        <w:rPr>
          <w:lang w:val="ar-SA" w:bidi="ar-EG"/>
        </w:rPr>
      </w:pPr>
      <w:r w:rsidRPr="00DC0CBE">
        <w:rPr>
          <w:lang w:bidi="ar-EG"/>
        </w:rPr>
        <w:t>–</w:t>
      </w:r>
      <w:r w:rsidRPr="00DC0CBE">
        <w:rPr>
          <w:rtl/>
        </w:rPr>
        <w:tab/>
      </w:r>
      <w:r w:rsidRPr="00DC0CBE">
        <w:t>BT.2545-0</w:t>
      </w:r>
      <w:r w:rsidRPr="00DC0CBE">
        <w:rPr>
          <w:rtl/>
        </w:rPr>
        <w:t xml:space="preserve"> "شبكة الاتصالات بين الأبراج </w:t>
      </w:r>
      <w:r w:rsidRPr="00DC0CBE">
        <w:t>(</w:t>
      </w:r>
      <w:r w:rsidRPr="00DC0CBE">
        <w:rPr>
          <w:lang w:bidi="ar-EG"/>
        </w:rPr>
        <w:t>ITCN</w:t>
      </w:r>
      <w:r w:rsidRPr="00DC0CBE">
        <w:t>)</w:t>
      </w:r>
      <w:r w:rsidRPr="00DC0CBE">
        <w:rPr>
          <w:rtl/>
        </w:rPr>
        <w:t xml:space="preserve"> لأنظمة الإذاعة للأرض وبث البيانات"</w:t>
      </w:r>
    </w:p>
    <w:p w14:paraId="68A622F7" w14:textId="77777777" w:rsidR="009D4103" w:rsidRPr="00DC0CBE" w:rsidRDefault="009D4103" w:rsidP="00DC0CBE">
      <w:pPr>
        <w:keepNext/>
        <w:keepLines/>
        <w:rPr>
          <w:lang w:val="ar-SA" w:bidi="ar-EG"/>
        </w:rPr>
      </w:pPr>
      <w:bookmarkStart w:id="28" w:name="_Toc445972797"/>
      <w:r w:rsidRPr="00DC0CBE">
        <w:rPr>
          <w:rtl/>
        </w:rPr>
        <w:t xml:space="preserve">وفي إطار مجموعات اجتماعات لجنة الدراسات </w:t>
      </w:r>
      <w:r w:rsidRPr="00DC0CBE">
        <w:t>6</w:t>
      </w:r>
      <w:r w:rsidRPr="00DC0CBE">
        <w:rPr>
          <w:rtl/>
        </w:rPr>
        <w:t xml:space="preserve"> لعام </w:t>
      </w:r>
      <w:r w:rsidRPr="00DC0CBE">
        <w:t>2024</w:t>
      </w:r>
      <w:r w:rsidRPr="00DC0CBE">
        <w:rPr>
          <w:rtl/>
        </w:rPr>
        <w:t>، نُظِّمت الأحداث التالية:</w:t>
      </w:r>
    </w:p>
    <w:p w14:paraId="48983DCA" w14:textId="77777777" w:rsidR="009D4103" w:rsidRPr="00DC0CBE" w:rsidRDefault="008F6E36" w:rsidP="00DC0CBE">
      <w:pPr>
        <w:pStyle w:val="enumlev1"/>
        <w:keepNext/>
        <w:keepLines/>
        <w:rPr>
          <w:lang w:val="ar-SA" w:bidi="ar-EG"/>
        </w:rPr>
      </w:pPr>
      <w:r w:rsidRPr="00DC0CBE">
        <w:rPr>
          <w:lang w:bidi="ar-EG"/>
        </w:rPr>
        <w:sym w:font="Wingdings 2" w:char="F097"/>
      </w:r>
      <w:r w:rsidR="009D4103" w:rsidRPr="00DC0CBE">
        <w:rPr>
          <w:rtl/>
        </w:rPr>
        <w:tab/>
      </w:r>
      <w:hyperlink r:id="rId24" w:anchor="/ar" w:history="1">
        <w:r w:rsidR="009D4103" w:rsidRPr="00DC0CBE">
          <w:rPr>
            <w:rStyle w:val="Hyperlink"/>
            <w:rtl/>
          </w:rPr>
          <w:t>ورشة عمل الاتحاد بشأن مستقبل التلفزيون في أوروبا</w:t>
        </w:r>
      </w:hyperlink>
      <w:r w:rsidR="009D4103" w:rsidRPr="00DC0CBE">
        <w:rPr>
          <w:rtl/>
        </w:rPr>
        <w:t xml:space="preserve"> (</w:t>
      </w:r>
      <w:r w:rsidR="009D4103" w:rsidRPr="00DC0CBE">
        <w:t>7</w:t>
      </w:r>
      <w:r w:rsidR="009D4103" w:rsidRPr="00DC0CBE">
        <w:rPr>
          <w:rtl/>
        </w:rPr>
        <w:t xml:space="preserve"> نوفمبر </w:t>
      </w:r>
      <w:r w:rsidR="009D4103" w:rsidRPr="00DC0CBE">
        <w:t>2024</w:t>
      </w:r>
      <w:r w:rsidR="009D4103" w:rsidRPr="00DC0CBE">
        <w:rPr>
          <w:rtl/>
        </w:rPr>
        <w:t xml:space="preserve">، اشتركت في تنظيمها لجنة الدراسات </w:t>
      </w:r>
      <w:r w:rsidR="009D4103" w:rsidRPr="00DC0CBE">
        <w:t>6</w:t>
      </w:r>
      <w:r w:rsidR="009D4103" w:rsidRPr="00DC0CBE">
        <w:rPr>
          <w:rtl/>
        </w:rPr>
        <w:t xml:space="preserve"> لقطاع الاتصالات الراديوية وقطاع تقييس الاتصالات وقطاع تنمية الاتصالات)</w:t>
      </w:r>
    </w:p>
    <w:p w14:paraId="138742FB" w14:textId="77777777" w:rsidR="009D4103" w:rsidRPr="00DC0CBE" w:rsidRDefault="008F6E36" w:rsidP="008F6E36">
      <w:pPr>
        <w:pStyle w:val="enumlev1"/>
        <w:rPr>
          <w:lang w:val="ar-SA" w:bidi="ar-EG"/>
        </w:rPr>
      </w:pPr>
      <w:r w:rsidRPr="00DC0CBE">
        <w:rPr>
          <w:lang w:bidi="ar-EG"/>
        </w:rPr>
        <w:sym w:font="Wingdings 2" w:char="F097"/>
      </w:r>
      <w:r w:rsidR="009D4103" w:rsidRPr="00DC0CBE">
        <w:rPr>
          <w:rtl/>
        </w:rPr>
        <w:tab/>
      </w:r>
      <w:hyperlink r:id="rId25" w:history="1">
        <w:r w:rsidR="009D4103" w:rsidRPr="00DC0CBE">
          <w:rPr>
            <w:rStyle w:val="Hyperlink"/>
            <w:rtl/>
          </w:rPr>
          <w:t>عروض توضيحية بشأن مستقبل البث</w:t>
        </w:r>
      </w:hyperlink>
      <w:r w:rsidR="009D4103" w:rsidRPr="00DC0CBE">
        <w:rPr>
          <w:rtl/>
        </w:rPr>
        <w:t xml:space="preserve"> (</w:t>
      </w:r>
      <w:r w:rsidR="009D4103" w:rsidRPr="00DC0CBE">
        <w:t>6</w:t>
      </w:r>
      <w:r w:rsidR="009D4103" w:rsidRPr="00DC0CBE">
        <w:rPr>
          <w:rtl/>
        </w:rPr>
        <w:t xml:space="preserve"> و</w:t>
      </w:r>
      <w:r w:rsidR="009D4103" w:rsidRPr="00DC0CBE">
        <w:t>7</w:t>
      </w:r>
      <w:r w:rsidR="009D4103" w:rsidRPr="00DC0CBE">
        <w:rPr>
          <w:rtl/>
        </w:rPr>
        <w:t xml:space="preserve"> نوفمبر </w:t>
      </w:r>
      <w:r w:rsidR="009D4103" w:rsidRPr="00DC0CBE">
        <w:t>2024</w:t>
      </w:r>
      <w:r w:rsidR="009D4103" w:rsidRPr="00DC0CBE">
        <w:rPr>
          <w:rtl/>
        </w:rPr>
        <w:t>)</w:t>
      </w:r>
    </w:p>
    <w:p w14:paraId="47214D6E" w14:textId="2B2FC6A8" w:rsidR="009D4103" w:rsidRPr="00DC0CBE" w:rsidRDefault="008F6E36" w:rsidP="008F6E36">
      <w:pPr>
        <w:pStyle w:val="enumlev1"/>
        <w:rPr>
          <w:lang w:val="ar-SA" w:bidi="ar-EG"/>
        </w:rPr>
      </w:pPr>
      <w:r w:rsidRPr="00DC0CBE">
        <w:rPr>
          <w:lang w:bidi="ar-EG"/>
        </w:rPr>
        <w:sym w:font="Wingdings 2" w:char="F097"/>
      </w:r>
      <w:r w:rsidR="009D4103" w:rsidRPr="00DC0CBE">
        <w:rPr>
          <w:rtl/>
        </w:rPr>
        <w:tab/>
      </w:r>
      <w:hyperlink r:id="rId26" w:history="1">
        <w:r w:rsidR="009D4103" w:rsidRPr="00DC0CBE">
          <w:rPr>
            <w:rStyle w:val="Hyperlink"/>
            <w:rtl/>
          </w:rPr>
          <w:t xml:space="preserve">ورشة عمل بشأن الإذاعة متعددة الوسائط للأرض </w:t>
        </w:r>
        <w:r w:rsidR="009D4103" w:rsidRPr="00DC0CBE">
          <w:rPr>
            <w:rStyle w:val="Hyperlink"/>
            <w:lang w:bidi="ar-EG"/>
          </w:rPr>
          <w:t>(TMMB</w:t>
        </w:r>
        <w:r w:rsidR="009D4103" w:rsidRPr="00DC0CBE">
          <w:rPr>
            <w:rStyle w:val="Hyperlink"/>
          </w:rPr>
          <w:t>)</w:t>
        </w:r>
      </w:hyperlink>
      <w:r w:rsidR="009D4103" w:rsidRPr="00DC0CBE">
        <w:rPr>
          <w:rtl/>
        </w:rPr>
        <w:t xml:space="preserve"> (</w:t>
      </w:r>
      <w:r w:rsidR="009D4103" w:rsidRPr="00DC0CBE">
        <w:t>8</w:t>
      </w:r>
      <w:r w:rsidR="009D4103" w:rsidRPr="00DC0CBE">
        <w:rPr>
          <w:rtl/>
        </w:rPr>
        <w:t xml:space="preserve"> مارس </w:t>
      </w:r>
      <w:r w:rsidR="009D4103" w:rsidRPr="00DC0CBE">
        <w:t>2024</w:t>
      </w:r>
      <w:r w:rsidR="009D4103" w:rsidRPr="00DC0CBE">
        <w:rPr>
          <w:rtl/>
        </w:rPr>
        <w:t>)</w:t>
      </w:r>
    </w:p>
    <w:p w14:paraId="63A46248" w14:textId="77777777" w:rsidR="009D4103" w:rsidRPr="00DC0CBE" w:rsidRDefault="009D4103" w:rsidP="009D4103">
      <w:pPr>
        <w:rPr>
          <w:spacing w:val="-2"/>
          <w:lang w:val="ar-SA" w:bidi="ar-EG"/>
        </w:rPr>
      </w:pPr>
      <w:r w:rsidRPr="00DC0CBE">
        <w:rPr>
          <w:spacing w:val="-2"/>
          <w:rtl/>
        </w:rPr>
        <w:t xml:space="preserve">ومن المقرر عقد اجتماعات فرق العمل </w:t>
      </w:r>
      <w:r w:rsidRPr="00DC0CBE">
        <w:rPr>
          <w:spacing w:val="-2"/>
          <w:cs/>
        </w:rPr>
        <w:t>‎</w:t>
      </w:r>
      <w:r w:rsidRPr="00DC0CBE">
        <w:rPr>
          <w:spacing w:val="-2"/>
        </w:rPr>
        <w:t>6A</w:t>
      </w:r>
      <w:r w:rsidRPr="00DC0CBE">
        <w:rPr>
          <w:spacing w:val="-2"/>
          <w:rtl/>
        </w:rPr>
        <w:t xml:space="preserve"> ‏و</w:t>
      </w:r>
      <w:r w:rsidRPr="00DC0CBE">
        <w:rPr>
          <w:spacing w:val="-2"/>
          <w:cs/>
        </w:rPr>
        <w:t>‎</w:t>
      </w:r>
      <w:r w:rsidRPr="00DC0CBE">
        <w:rPr>
          <w:spacing w:val="-2"/>
        </w:rPr>
        <w:t>6B</w:t>
      </w:r>
      <w:r w:rsidRPr="00DC0CBE">
        <w:rPr>
          <w:spacing w:val="-2"/>
          <w:rtl/>
        </w:rPr>
        <w:t xml:space="preserve"> ‏و</w:t>
      </w:r>
      <w:r w:rsidRPr="00DC0CBE">
        <w:rPr>
          <w:spacing w:val="-2"/>
          <w:cs/>
        </w:rPr>
        <w:t>‎</w:t>
      </w:r>
      <w:r w:rsidRPr="00DC0CBE">
        <w:rPr>
          <w:spacing w:val="-2"/>
        </w:rPr>
        <w:t>6C</w:t>
      </w:r>
      <w:r w:rsidRPr="00DC0CBE">
        <w:rPr>
          <w:spacing w:val="-2"/>
          <w:rtl/>
        </w:rPr>
        <w:t xml:space="preserve"> في الفترة من </w:t>
      </w:r>
      <w:r w:rsidRPr="00DC0CBE">
        <w:rPr>
          <w:spacing w:val="-2"/>
        </w:rPr>
        <w:t>3</w:t>
      </w:r>
      <w:r w:rsidRPr="00DC0CBE">
        <w:rPr>
          <w:spacing w:val="-2"/>
          <w:rtl/>
        </w:rPr>
        <w:t xml:space="preserve"> إلى </w:t>
      </w:r>
      <w:r w:rsidRPr="00DC0CBE">
        <w:rPr>
          <w:spacing w:val="-2"/>
        </w:rPr>
        <w:t>13</w:t>
      </w:r>
      <w:r w:rsidRPr="00DC0CBE">
        <w:rPr>
          <w:spacing w:val="-2"/>
          <w:rtl/>
        </w:rPr>
        <w:t xml:space="preserve"> مارس </w:t>
      </w:r>
      <w:r w:rsidRPr="00DC0CBE">
        <w:rPr>
          <w:spacing w:val="-2"/>
        </w:rPr>
        <w:t>2025</w:t>
      </w:r>
      <w:r w:rsidRPr="00DC0CBE">
        <w:rPr>
          <w:spacing w:val="-2"/>
          <w:rtl/>
        </w:rPr>
        <w:t xml:space="preserve"> على أن يليها اجتماع لجنة الدراسات </w:t>
      </w:r>
      <w:r w:rsidRPr="00DC0CBE">
        <w:rPr>
          <w:spacing w:val="-2"/>
        </w:rPr>
        <w:t>6</w:t>
      </w:r>
      <w:r w:rsidRPr="00DC0CBE">
        <w:rPr>
          <w:spacing w:val="-2"/>
          <w:rtl/>
        </w:rPr>
        <w:t xml:space="preserve"> في </w:t>
      </w:r>
      <w:r w:rsidRPr="00DC0CBE">
        <w:rPr>
          <w:spacing w:val="-2"/>
        </w:rPr>
        <w:t>14</w:t>
      </w:r>
      <w:r w:rsidRPr="00DC0CBE">
        <w:rPr>
          <w:spacing w:val="-2"/>
          <w:rtl/>
        </w:rPr>
        <w:t xml:space="preserve"> مارس </w:t>
      </w:r>
      <w:r w:rsidRPr="00DC0CBE">
        <w:rPr>
          <w:spacing w:val="-2"/>
        </w:rPr>
        <w:t>2025</w:t>
      </w:r>
      <w:r w:rsidRPr="00DC0CBE">
        <w:rPr>
          <w:spacing w:val="-2"/>
          <w:rtl/>
        </w:rPr>
        <w:t>.</w:t>
      </w:r>
    </w:p>
    <w:p w14:paraId="345B3E85" w14:textId="77777777" w:rsidR="009D4103" w:rsidRPr="00DC0CBE" w:rsidRDefault="00BC4CF4" w:rsidP="00BC4CF4">
      <w:pPr>
        <w:pStyle w:val="Heading2"/>
        <w:rPr>
          <w:lang w:val="ar-SA"/>
        </w:rPr>
      </w:pPr>
      <w:bookmarkStart w:id="29" w:name="_Toc192766209"/>
      <w:r w:rsidRPr="00DC0CBE">
        <w:t>6.5</w:t>
      </w:r>
      <w:r w:rsidR="009D4103" w:rsidRPr="00DC0CBE">
        <w:rPr>
          <w:rtl/>
        </w:rPr>
        <w:tab/>
        <w:t xml:space="preserve">لجنة دراسات </w:t>
      </w:r>
      <w:bookmarkEnd w:id="28"/>
      <w:r w:rsidRPr="00DC0CBE">
        <w:t>7</w:t>
      </w:r>
      <w:bookmarkEnd w:id="29"/>
    </w:p>
    <w:p w14:paraId="2B7A5068" w14:textId="77777777" w:rsidR="009D4103" w:rsidRPr="00DC0CBE" w:rsidRDefault="009D4103" w:rsidP="009D4103">
      <w:pPr>
        <w:rPr>
          <w:lang w:val="ar-SA" w:bidi="ar-EG"/>
        </w:rPr>
      </w:pPr>
      <w:r w:rsidRPr="00DC0CBE">
        <w:rPr>
          <w:rtl/>
        </w:rPr>
        <w:t xml:space="preserve">تواصل لجنة الدراسات </w:t>
      </w:r>
      <w:r w:rsidRPr="00DC0CBE">
        <w:t>7</w:t>
      </w:r>
      <w:r w:rsidRPr="00DC0CBE">
        <w:rPr>
          <w:rtl/>
        </w:rPr>
        <w:t xml:space="preserve"> وضع توصيات قطاع الاتصالات الراديوية وتقاريره وكتيباته التي تستعمل في تطوير وضمان تشغيل خالٍ من التداخل لأنظمة العمليات الفضائية واستكشاف الأرض والأرصاد الجوية (وما يرتبط بذلك من استعمال للوصلات في خدمة ما بين </w:t>
      </w:r>
      <w:proofErr w:type="spellStart"/>
      <w:r w:rsidRPr="00DC0CBE">
        <w:rPr>
          <w:rtl/>
        </w:rPr>
        <w:t>السواتل</w:t>
      </w:r>
      <w:proofErr w:type="spellEnd"/>
      <w:r w:rsidRPr="00DC0CBE">
        <w:rPr>
          <w:rtl/>
        </w:rPr>
        <w:t xml:space="preserve">) والفلك الراديوي والفلك </w:t>
      </w:r>
      <w:proofErr w:type="spellStart"/>
      <w:r w:rsidRPr="00DC0CBE">
        <w:rPr>
          <w:rtl/>
        </w:rPr>
        <w:t>الراداري</w:t>
      </w:r>
      <w:proofErr w:type="spellEnd"/>
      <w:r w:rsidRPr="00DC0CBE">
        <w:rPr>
          <w:rtl/>
        </w:rPr>
        <w:t>؛ ولنشر واستقبال وتنسيق خدمات الترددات المعيارية وإشارات التوقيت (بما</w:t>
      </w:r>
      <w:r w:rsidR="002D08BC" w:rsidRPr="00DC0CBE">
        <w:rPr>
          <w:rFonts w:hint="cs"/>
          <w:rtl/>
        </w:rPr>
        <w:t> </w:t>
      </w:r>
      <w:r w:rsidRPr="00DC0CBE">
        <w:rPr>
          <w:rtl/>
        </w:rPr>
        <w:t xml:space="preserve">في ذلك تطبيق التقنيات </w:t>
      </w:r>
      <w:proofErr w:type="spellStart"/>
      <w:r w:rsidRPr="00DC0CBE">
        <w:rPr>
          <w:rtl/>
        </w:rPr>
        <w:t>الساتلية</w:t>
      </w:r>
      <w:proofErr w:type="spellEnd"/>
      <w:r w:rsidRPr="00DC0CBE">
        <w:rPr>
          <w:rtl/>
        </w:rPr>
        <w:t xml:space="preserve">) على الصعيد العالمي. وتدرس كذلك أنظمة الاتصالات التي تستعمل مع مركبات فضائية مأهولة وغير مأهولة ووصلات الاتصالات بين الكواكب واستعمال </w:t>
      </w:r>
      <w:proofErr w:type="spellStart"/>
      <w:r w:rsidRPr="00DC0CBE">
        <w:rPr>
          <w:rtl/>
        </w:rPr>
        <w:t>سواتل</w:t>
      </w:r>
      <w:proofErr w:type="spellEnd"/>
      <w:r w:rsidRPr="00DC0CBE">
        <w:rPr>
          <w:rtl/>
        </w:rPr>
        <w:t xml:space="preserve"> ترحيل البيانات.</w:t>
      </w:r>
    </w:p>
    <w:p w14:paraId="0E6B6254" w14:textId="77777777" w:rsidR="009D4103" w:rsidRPr="00DC0CBE" w:rsidRDefault="009D4103" w:rsidP="009D4103">
      <w:pPr>
        <w:rPr>
          <w:lang w:val="ar-SA" w:bidi="ar-EG"/>
        </w:rPr>
      </w:pPr>
      <w:r w:rsidRPr="00DC0CBE">
        <w:rPr>
          <w:rtl/>
        </w:rPr>
        <w:t xml:space="preserve">وتُستعمل الأنظمة التي تتناولها لجنة الدراسات </w:t>
      </w:r>
      <w:r w:rsidRPr="00DC0CBE">
        <w:t>7</w:t>
      </w:r>
      <w:r w:rsidRPr="00DC0CBE">
        <w:rPr>
          <w:rtl/>
        </w:rPr>
        <w:t xml:space="preserve"> في أنشطة تشكل جزءاً هاماً من حياتنا اليومية مثل:</w:t>
      </w:r>
    </w:p>
    <w:p w14:paraId="48A7DB00" w14:textId="77777777" w:rsidR="009D4103" w:rsidRPr="00DC0CBE" w:rsidRDefault="000000EE" w:rsidP="00992792">
      <w:pPr>
        <w:pStyle w:val="enumlev1"/>
        <w:rPr>
          <w:lang w:val="ar-SA" w:bidi="ar-EG"/>
        </w:rPr>
      </w:pPr>
      <w:r w:rsidRPr="00DC0CBE">
        <w:rPr>
          <w:lang w:bidi="ar-EG"/>
        </w:rPr>
        <w:t>–</w:t>
      </w:r>
      <w:r w:rsidR="009D4103" w:rsidRPr="00DC0CBE">
        <w:rPr>
          <w:rtl/>
        </w:rPr>
        <w:tab/>
        <w:t xml:space="preserve">تعريف ونشر التوقيت العالمي </w:t>
      </w:r>
      <w:proofErr w:type="gramStart"/>
      <w:r w:rsidR="009D4103" w:rsidRPr="00DC0CBE">
        <w:rPr>
          <w:rtl/>
        </w:rPr>
        <w:t>المنسق؛</w:t>
      </w:r>
      <w:proofErr w:type="gramEnd"/>
    </w:p>
    <w:p w14:paraId="6A896876" w14:textId="77777777" w:rsidR="009D4103" w:rsidRPr="00DC0CBE" w:rsidRDefault="000000EE" w:rsidP="00992792">
      <w:pPr>
        <w:pStyle w:val="enumlev1"/>
        <w:rPr>
          <w:lang w:val="ar-SA" w:bidi="ar-EG"/>
        </w:rPr>
      </w:pPr>
      <w:r w:rsidRPr="00DC0CBE">
        <w:rPr>
          <w:lang w:bidi="ar-EG"/>
        </w:rPr>
        <w:t>–</w:t>
      </w:r>
      <w:r w:rsidR="009D4103" w:rsidRPr="00DC0CBE">
        <w:rPr>
          <w:rtl/>
        </w:rPr>
        <w:tab/>
        <w:t xml:space="preserve">مراقبة البيئة العالمية - الغلاف الجوي (بما في ذلك انبعاثات غازات الاحتباس الحراري) والمحيطات واليابسة والكتلة الأحيائية، وما إلى </w:t>
      </w:r>
      <w:proofErr w:type="gramStart"/>
      <w:r w:rsidR="009D4103" w:rsidRPr="00DC0CBE">
        <w:rPr>
          <w:rtl/>
        </w:rPr>
        <w:t>ذلك؛</w:t>
      </w:r>
      <w:proofErr w:type="gramEnd"/>
    </w:p>
    <w:p w14:paraId="3479726D" w14:textId="77777777" w:rsidR="009D4103" w:rsidRPr="00DC0CBE" w:rsidRDefault="009D4103" w:rsidP="00992792">
      <w:pPr>
        <w:pStyle w:val="enumlev1"/>
        <w:rPr>
          <w:lang w:val="ar-SA" w:bidi="ar-EG"/>
        </w:rPr>
      </w:pPr>
      <w:r w:rsidRPr="00DC0CBE">
        <w:rPr>
          <w:lang w:bidi="ar-EG"/>
        </w:rPr>
        <w:t>–</w:t>
      </w:r>
      <w:r w:rsidRPr="00DC0CBE">
        <w:rPr>
          <w:rtl/>
        </w:rPr>
        <w:tab/>
        <w:t xml:space="preserve">التنبؤات الجوية ومراقبة تغير المناخ والتنبؤ </w:t>
      </w:r>
      <w:proofErr w:type="gramStart"/>
      <w:r w:rsidRPr="00DC0CBE">
        <w:rPr>
          <w:rtl/>
        </w:rPr>
        <w:t>به؛</w:t>
      </w:r>
      <w:proofErr w:type="gramEnd"/>
    </w:p>
    <w:p w14:paraId="3227873B" w14:textId="77777777" w:rsidR="009D4103" w:rsidRPr="00DC0CBE" w:rsidRDefault="009D4103" w:rsidP="00992792">
      <w:pPr>
        <w:pStyle w:val="enumlev1"/>
        <w:rPr>
          <w:lang w:val="ar-SA" w:bidi="ar-EG"/>
        </w:rPr>
      </w:pPr>
      <w:r w:rsidRPr="00DC0CBE">
        <w:rPr>
          <w:lang w:bidi="ar-EG"/>
        </w:rPr>
        <w:t>–</w:t>
      </w:r>
      <w:r w:rsidRPr="00DC0CBE">
        <w:rPr>
          <w:rtl/>
        </w:rPr>
        <w:tab/>
        <w:t xml:space="preserve">الكشف عن الكثير من الكوارث الطبيعية والاصطناعية (الزلازل وموجات تسونامي والأعاصير وحرائق الغابات والتسربات النفطية وغيرها) </w:t>
      </w:r>
      <w:proofErr w:type="gramStart"/>
      <w:r w:rsidRPr="00DC0CBE">
        <w:rPr>
          <w:rtl/>
        </w:rPr>
        <w:t>وتتبعها؛</w:t>
      </w:r>
      <w:proofErr w:type="gramEnd"/>
    </w:p>
    <w:p w14:paraId="317BAEC9" w14:textId="77777777" w:rsidR="009D4103" w:rsidRPr="00DC0CBE" w:rsidRDefault="009D4103" w:rsidP="00992792">
      <w:pPr>
        <w:pStyle w:val="enumlev1"/>
        <w:rPr>
          <w:lang w:val="ar-SA" w:bidi="ar-EG"/>
        </w:rPr>
      </w:pPr>
      <w:r w:rsidRPr="00DC0CBE">
        <w:rPr>
          <w:lang w:bidi="ar-EG"/>
        </w:rPr>
        <w:t>–</w:t>
      </w:r>
      <w:r w:rsidRPr="00DC0CBE">
        <w:rPr>
          <w:rtl/>
        </w:rPr>
        <w:tab/>
        <w:t>توفير معلومات الإنذار/</w:t>
      </w:r>
      <w:proofErr w:type="gramStart"/>
      <w:r w:rsidRPr="00DC0CBE">
        <w:rPr>
          <w:rtl/>
        </w:rPr>
        <w:t>التحذير؛</w:t>
      </w:r>
      <w:proofErr w:type="gramEnd"/>
    </w:p>
    <w:p w14:paraId="70ED3261" w14:textId="77777777" w:rsidR="009D4103" w:rsidRPr="00DC0CBE" w:rsidRDefault="009D4103" w:rsidP="00992792">
      <w:pPr>
        <w:pStyle w:val="enumlev1"/>
        <w:rPr>
          <w:lang w:val="ar-SA" w:bidi="ar-EG"/>
        </w:rPr>
      </w:pPr>
      <w:r w:rsidRPr="00DC0CBE">
        <w:rPr>
          <w:lang w:bidi="ar-EG"/>
        </w:rPr>
        <w:t>–</w:t>
      </w:r>
      <w:r w:rsidRPr="00DC0CBE">
        <w:rPr>
          <w:rtl/>
        </w:rPr>
        <w:tab/>
        <w:t xml:space="preserve">تقييم الأضرار وتخطيط عمليات </w:t>
      </w:r>
      <w:proofErr w:type="gramStart"/>
      <w:r w:rsidRPr="00DC0CBE">
        <w:rPr>
          <w:rtl/>
        </w:rPr>
        <w:t>الإغاثة؛</w:t>
      </w:r>
      <w:proofErr w:type="gramEnd"/>
    </w:p>
    <w:p w14:paraId="56B29984" w14:textId="77777777" w:rsidR="009D4103" w:rsidRPr="00DC0CBE" w:rsidRDefault="009D4103" w:rsidP="00992792">
      <w:pPr>
        <w:pStyle w:val="enumlev1"/>
        <w:rPr>
          <w:lang w:val="ar-SA" w:bidi="ar-EG"/>
        </w:rPr>
      </w:pPr>
      <w:r w:rsidRPr="00DC0CBE">
        <w:rPr>
          <w:lang w:bidi="ar-EG"/>
        </w:rPr>
        <w:t>–</w:t>
      </w:r>
      <w:r w:rsidRPr="00DC0CBE">
        <w:rPr>
          <w:rtl/>
        </w:rPr>
        <w:tab/>
        <w:t>مراقبة أحداث الأحوال الجوية الفضائية والتخفيف من حدتها.</w:t>
      </w:r>
    </w:p>
    <w:p w14:paraId="1CB8348C" w14:textId="77777777" w:rsidR="009D4103" w:rsidRPr="00DC0CBE" w:rsidRDefault="009D4103" w:rsidP="00992792">
      <w:pPr>
        <w:rPr>
          <w:lang w:val="ar-SA" w:bidi="ar-EG"/>
        </w:rPr>
      </w:pPr>
      <w:r w:rsidRPr="00DC0CBE">
        <w:rPr>
          <w:rtl/>
        </w:rPr>
        <w:t xml:space="preserve">وتشمل لجنة الدراسات </w:t>
      </w:r>
      <w:r w:rsidRPr="00DC0CBE">
        <w:t>7</w:t>
      </w:r>
      <w:r w:rsidRPr="00DC0CBE">
        <w:rPr>
          <w:rtl/>
        </w:rPr>
        <w:t xml:space="preserve"> أيضاً أنظمة لدراسة الفضاء الخارجي:</w:t>
      </w:r>
    </w:p>
    <w:p w14:paraId="61C49F4C" w14:textId="77777777" w:rsidR="009D4103" w:rsidRPr="00DC0CBE" w:rsidRDefault="000000EE" w:rsidP="00992792">
      <w:pPr>
        <w:pStyle w:val="enumlev1"/>
        <w:rPr>
          <w:lang w:val="ar-SA" w:bidi="ar-EG"/>
        </w:rPr>
      </w:pPr>
      <w:r w:rsidRPr="00DC0CBE">
        <w:rPr>
          <w:lang w:bidi="ar-EG"/>
        </w:rPr>
        <w:t>–</w:t>
      </w:r>
      <w:r w:rsidR="009D4103" w:rsidRPr="00DC0CBE">
        <w:rPr>
          <w:rtl/>
        </w:rPr>
        <w:tab/>
      </w:r>
      <w:proofErr w:type="spellStart"/>
      <w:r w:rsidR="009D4103" w:rsidRPr="00DC0CBE">
        <w:rPr>
          <w:rtl/>
        </w:rPr>
        <w:t>سواتل</w:t>
      </w:r>
      <w:proofErr w:type="spellEnd"/>
      <w:r w:rsidR="009D4103" w:rsidRPr="00DC0CBE">
        <w:rPr>
          <w:rtl/>
        </w:rPr>
        <w:t xml:space="preserve"> لدراسة الشمل والغلاف المغنطيسي وكل عناصر نظامنا </w:t>
      </w:r>
      <w:proofErr w:type="gramStart"/>
      <w:r w:rsidR="009D4103" w:rsidRPr="00DC0CBE">
        <w:rPr>
          <w:rtl/>
        </w:rPr>
        <w:t>الشمسي؛</w:t>
      </w:r>
      <w:proofErr w:type="gramEnd"/>
    </w:p>
    <w:p w14:paraId="4F20088A" w14:textId="77777777" w:rsidR="009D4103" w:rsidRPr="00DC0CBE" w:rsidRDefault="009D4103" w:rsidP="00992792">
      <w:pPr>
        <w:pStyle w:val="enumlev1"/>
        <w:rPr>
          <w:lang w:val="ar-SA" w:bidi="ar-EG"/>
        </w:rPr>
      </w:pPr>
      <w:r w:rsidRPr="00DC0CBE">
        <w:rPr>
          <w:lang w:bidi="ar-EG"/>
        </w:rPr>
        <w:lastRenderedPageBreak/>
        <w:t>–</w:t>
      </w:r>
      <w:r w:rsidRPr="00DC0CBE">
        <w:rPr>
          <w:rtl/>
        </w:rPr>
        <w:tab/>
        <w:t xml:space="preserve">المركبات الفضائية للاستكشاف البشري والروبوتي للأجرام من خارج كوكب </w:t>
      </w:r>
      <w:proofErr w:type="gramStart"/>
      <w:r w:rsidRPr="00DC0CBE">
        <w:rPr>
          <w:rtl/>
        </w:rPr>
        <w:t>الأرض؛</w:t>
      </w:r>
      <w:proofErr w:type="gramEnd"/>
    </w:p>
    <w:p w14:paraId="1AF47F7C" w14:textId="5F9C37C8" w:rsidR="009D4103" w:rsidRPr="00DC0CBE" w:rsidRDefault="009D4103" w:rsidP="00992792">
      <w:pPr>
        <w:pStyle w:val="enumlev1"/>
        <w:rPr>
          <w:lang w:val="ar-SA" w:bidi="ar-EG"/>
        </w:rPr>
      </w:pPr>
      <w:r w:rsidRPr="00DC0CBE">
        <w:rPr>
          <w:lang w:bidi="ar-EG"/>
        </w:rPr>
        <w:t>–</w:t>
      </w:r>
      <w:r w:rsidRPr="00DC0CBE">
        <w:rPr>
          <w:rtl/>
        </w:rPr>
        <w:tab/>
        <w:t xml:space="preserve">أنظمة أبحاث القمر ونقاط </w:t>
      </w:r>
      <w:proofErr w:type="spellStart"/>
      <w:r w:rsidRPr="00DC0CBE">
        <w:rPr>
          <w:rtl/>
        </w:rPr>
        <w:t>لاغرانج</w:t>
      </w:r>
      <w:proofErr w:type="spellEnd"/>
      <w:r w:rsidRPr="00DC0CBE">
        <w:rPr>
          <w:rtl/>
        </w:rPr>
        <w:t xml:space="preserve"> والفضاء السحيق وأنظمة القياس بالتداخل ذي خط الأساس الطويل جداً، </w:t>
      </w:r>
      <w:r w:rsidR="000D723D" w:rsidRPr="00DC0CBE">
        <w:rPr>
          <w:rtl/>
        </w:rPr>
        <w:t>بما</w:t>
      </w:r>
      <w:r w:rsidR="000D723D" w:rsidRPr="00DC0CBE">
        <w:rPr>
          <w:rFonts w:hint="cs"/>
          <w:rtl/>
        </w:rPr>
        <w:t> </w:t>
      </w:r>
      <w:r w:rsidRPr="00DC0CBE">
        <w:rPr>
          <w:rtl/>
        </w:rPr>
        <w:t xml:space="preserve">في ذلك المحطات الأرضية المرتبطة </w:t>
      </w:r>
      <w:proofErr w:type="gramStart"/>
      <w:r w:rsidRPr="00DC0CBE">
        <w:rPr>
          <w:rtl/>
        </w:rPr>
        <w:t>بها؛</w:t>
      </w:r>
      <w:proofErr w:type="gramEnd"/>
    </w:p>
    <w:p w14:paraId="30CB7A5C" w14:textId="77777777" w:rsidR="009D4103" w:rsidRPr="00DC0CBE" w:rsidRDefault="009D4103" w:rsidP="00992792">
      <w:pPr>
        <w:pStyle w:val="enumlev1"/>
        <w:rPr>
          <w:lang w:val="ar-SA" w:bidi="ar-EG"/>
        </w:rPr>
      </w:pPr>
      <w:r w:rsidRPr="00DC0CBE">
        <w:rPr>
          <w:lang w:bidi="ar-EG"/>
        </w:rPr>
        <w:t>–</w:t>
      </w:r>
      <w:r w:rsidRPr="00DC0CBE">
        <w:rPr>
          <w:rtl/>
        </w:rPr>
        <w:tab/>
        <w:t xml:space="preserve">أنظمة الفلك الراديوي الأرضية </w:t>
      </w:r>
      <w:proofErr w:type="spellStart"/>
      <w:r w:rsidRPr="00DC0CBE">
        <w:rPr>
          <w:rtl/>
        </w:rPr>
        <w:t>والساتلية</w:t>
      </w:r>
      <w:proofErr w:type="spellEnd"/>
      <w:r w:rsidRPr="00DC0CBE">
        <w:rPr>
          <w:rtl/>
        </w:rPr>
        <w:t xml:space="preserve"> لدراسة الكون وظواهره.</w:t>
      </w:r>
    </w:p>
    <w:p w14:paraId="0921EBC0" w14:textId="77777777" w:rsidR="009D4103" w:rsidRPr="00DC0CBE" w:rsidRDefault="009D4103" w:rsidP="00992792">
      <w:pPr>
        <w:rPr>
          <w:lang w:val="ar-SA" w:bidi="ar-EG"/>
        </w:rPr>
      </w:pPr>
      <w:r w:rsidRPr="00DC0CBE">
        <w:rPr>
          <w:rtl/>
        </w:rPr>
        <w:t xml:space="preserve">واجتمعت فرق العمل </w:t>
      </w:r>
      <w:r w:rsidRPr="00DC0CBE">
        <w:t>7A</w:t>
      </w:r>
      <w:r w:rsidRPr="00DC0CBE">
        <w:rPr>
          <w:rtl/>
        </w:rPr>
        <w:t xml:space="preserve"> و</w:t>
      </w:r>
      <w:r w:rsidRPr="00DC0CBE">
        <w:t>7B</w:t>
      </w:r>
      <w:r w:rsidRPr="00DC0CBE">
        <w:rPr>
          <w:rtl/>
        </w:rPr>
        <w:t xml:space="preserve"> و</w:t>
      </w:r>
      <w:r w:rsidRPr="00DC0CBE">
        <w:t>7C</w:t>
      </w:r>
      <w:r w:rsidRPr="00DC0CBE">
        <w:rPr>
          <w:rtl/>
        </w:rPr>
        <w:t xml:space="preserve"> و</w:t>
      </w:r>
      <w:r w:rsidRPr="00DC0CBE">
        <w:t>7D</w:t>
      </w:r>
      <w:r w:rsidRPr="00DC0CBE">
        <w:rPr>
          <w:rtl/>
        </w:rPr>
        <w:t xml:space="preserve"> في الفترة من </w:t>
      </w:r>
      <w:r w:rsidRPr="00DC0CBE">
        <w:t>16</w:t>
      </w:r>
      <w:r w:rsidRPr="00DC0CBE">
        <w:rPr>
          <w:rtl/>
        </w:rPr>
        <w:t xml:space="preserve"> إلى </w:t>
      </w:r>
      <w:r w:rsidRPr="00DC0CBE">
        <w:t>27</w:t>
      </w:r>
      <w:r w:rsidRPr="00DC0CBE">
        <w:rPr>
          <w:rtl/>
        </w:rPr>
        <w:t xml:space="preserve"> سبتمبر </w:t>
      </w:r>
      <w:r w:rsidRPr="00DC0CBE">
        <w:t>2024</w:t>
      </w:r>
      <w:r w:rsidRPr="00DC0CBE">
        <w:rPr>
          <w:rtl/>
        </w:rPr>
        <w:t xml:space="preserve"> في </w:t>
      </w:r>
      <w:proofErr w:type="spellStart"/>
      <w:r w:rsidRPr="00DC0CBE">
        <w:rPr>
          <w:rtl/>
        </w:rPr>
        <w:t>ألماتي</w:t>
      </w:r>
      <w:proofErr w:type="spellEnd"/>
      <w:r w:rsidRPr="00DC0CBE">
        <w:rPr>
          <w:rtl/>
        </w:rPr>
        <w:t xml:space="preserve"> بدعوة كريمة من إدارة كازاخستان. وفي إطار هذه الاجتماعات، عُقدت الأحداث التالية أيضاً:</w:t>
      </w:r>
    </w:p>
    <w:p w14:paraId="755DCD6F" w14:textId="5359D1EB" w:rsidR="009D4103" w:rsidRPr="00DC0CBE" w:rsidRDefault="009D4103" w:rsidP="00992792">
      <w:pPr>
        <w:pStyle w:val="enumlev1"/>
        <w:rPr>
          <w:lang w:val="ar-SA" w:bidi="ar-EG"/>
        </w:rPr>
      </w:pPr>
      <w:r w:rsidRPr="00DC0CBE">
        <w:rPr>
          <w:lang w:bidi="ar-EG"/>
        </w:rPr>
        <w:t>–</w:t>
      </w:r>
      <w:r w:rsidRPr="00DC0CBE">
        <w:rPr>
          <w:rtl/>
        </w:rPr>
        <w:tab/>
        <w:t>الحلقة الدراسية المشتركة بين الاتحاد والمنظمة العالمية للأرصاد الجوية "رصد الأرض من أجل تحقيق أهداف التنمية المستدامة: التكنولوجيات والطيف والتطبيقات والآثار"،</w:t>
      </w:r>
      <w:r w:rsidR="005F7A27" w:rsidRPr="00DC0CBE">
        <w:rPr>
          <w:rFonts w:hint="cs"/>
          <w:rtl/>
        </w:rPr>
        <w:t xml:space="preserve"> </w:t>
      </w:r>
      <w:r w:rsidR="005F7A27" w:rsidRPr="00DC0CBE">
        <w:t>17-16</w:t>
      </w:r>
      <w:r w:rsidRPr="00DC0CBE">
        <w:rPr>
          <w:rtl/>
        </w:rPr>
        <w:t xml:space="preserve"> سبتمبر </w:t>
      </w:r>
      <w:r w:rsidRPr="00DC0CBE">
        <w:t>2024</w:t>
      </w:r>
      <w:r w:rsidRPr="00DC0CBE">
        <w:rPr>
          <w:rtl/>
        </w:rPr>
        <w:t xml:space="preserve">، </w:t>
      </w:r>
      <w:proofErr w:type="spellStart"/>
      <w:r w:rsidRPr="00DC0CBE">
        <w:rPr>
          <w:rtl/>
        </w:rPr>
        <w:t>ألماتي</w:t>
      </w:r>
      <w:proofErr w:type="spellEnd"/>
      <w:r w:rsidRPr="00DC0CBE">
        <w:rPr>
          <w:rtl/>
        </w:rPr>
        <w:t>، كازاخستان.</w:t>
      </w:r>
    </w:p>
    <w:p w14:paraId="2A9F0D5E" w14:textId="77777777" w:rsidR="009D4103" w:rsidRPr="00DC0CBE" w:rsidRDefault="009D4103" w:rsidP="00992792">
      <w:pPr>
        <w:pStyle w:val="enumlev1"/>
        <w:rPr>
          <w:lang w:val="ar-SA" w:bidi="ar-EG"/>
        </w:rPr>
      </w:pPr>
      <w:r w:rsidRPr="00DC0CBE">
        <w:rPr>
          <w:lang w:bidi="ar-EG"/>
        </w:rPr>
        <w:t>–</w:t>
      </w:r>
      <w:r w:rsidRPr="00DC0CBE">
        <w:rPr>
          <w:rtl/>
        </w:rPr>
        <w:tab/>
        <w:t xml:space="preserve">ورشة عمل الاتحاد بشأن علم الفلك الراديوي، </w:t>
      </w:r>
      <w:r w:rsidRPr="00DC0CBE">
        <w:t>16</w:t>
      </w:r>
      <w:r w:rsidRPr="00DC0CBE">
        <w:rPr>
          <w:rtl/>
        </w:rPr>
        <w:t xml:space="preserve"> سبتمبر </w:t>
      </w:r>
      <w:r w:rsidRPr="00DC0CBE">
        <w:t>2024</w:t>
      </w:r>
      <w:r w:rsidRPr="00DC0CBE">
        <w:rPr>
          <w:rtl/>
        </w:rPr>
        <w:t xml:space="preserve">، </w:t>
      </w:r>
      <w:proofErr w:type="spellStart"/>
      <w:r w:rsidRPr="00DC0CBE">
        <w:rPr>
          <w:rtl/>
        </w:rPr>
        <w:t>ألماتي</w:t>
      </w:r>
      <w:proofErr w:type="spellEnd"/>
      <w:r w:rsidRPr="00DC0CBE">
        <w:rPr>
          <w:rtl/>
        </w:rPr>
        <w:t>، كازاخستان.</w:t>
      </w:r>
    </w:p>
    <w:p w14:paraId="32D0944F" w14:textId="77777777" w:rsidR="009D4103" w:rsidRPr="00DC0CBE" w:rsidRDefault="009D4103" w:rsidP="00992792">
      <w:pPr>
        <w:rPr>
          <w:lang w:val="ar-SA" w:bidi="ar-EG"/>
        </w:rPr>
      </w:pPr>
      <w:r w:rsidRPr="00DC0CBE">
        <w:rPr>
          <w:rtl/>
        </w:rPr>
        <w:t xml:space="preserve">ومن المقرر عقد الاجتماع المقبل للجنة الدراسات </w:t>
      </w:r>
      <w:r w:rsidRPr="00DC0CBE">
        <w:t>7</w:t>
      </w:r>
      <w:r w:rsidRPr="00DC0CBE">
        <w:rPr>
          <w:rtl/>
        </w:rPr>
        <w:t xml:space="preserve"> في </w:t>
      </w:r>
      <w:r w:rsidRPr="00DC0CBE">
        <w:t>27</w:t>
      </w:r>
      <w:r w:rsidRPr="00DC0CBE">
        <w:rPr>
          <w:rtl/>
        </w:rPr>
        <w:t xml:space="preserve"> مارس </w:t>
      </w:r>
      <w:r w:rsidRPr="00DC0CBE">
        <w:t>2025</w:t>
      </w:r>
      <w:r w:rsidRPr="00DC0CBE">
        <w:rPr>
          <w:rtl/>
        </w:rPr>
        <w:t xml:space="preserve">، بينما من المقرر أن تجتمع فرق العمل </w:t>
      </w:r>
      <w:r w:rsidRPr="00DC0CBE">
        <w:t>7A</w:t>
      </w:r>
      <w:r w:rsidRPr="00DC0CBE">
        <w:rPr>
          <w:rtl/>
        </w:rPr>
        <w:t xml:space="preserve"> و</w:t>
      </w:r>
      <w:r w:rsidRPr="00DC0CBE">
        <w:t>7B</w:t>
      </w:r>
      <w:r w:rsidRPr="00DC0CBE">
        <w:rPr>
          <w:rtl/>
        </w:rPr>
        <w:t xml:space="preserve"> و</w:t>
      </w:r>
      <w:r w:rsidRPr="00DC0CBE">
        <w:t>7C</w:t>
      </w:r>
      <w:r w:rsidRPr="00DC0CBE">
        <w:rPr>
          <w:rtl/>
        </w:rPr>
        <w:t xml:space="preserve"> و</w:t>
      </w:r>
      <w:r w:rsidRPr="00DC0CBE">
        <w:t>7D</w:t>
      </w:r>
      <w:r w:rsidRPr="00DC0CBE">
        <w:rPr>
          <w:rtl/>
        </w:rPr>
        <w:t xml:space="preserve"> في الفترة من </w:t>
      </w:r>
      <w:r w:rsidRPr="00DC0CBE">
        <w:t>17</w:t>
      </w:r>
      <w:r w:rsidRPr="00DC0CBE">
        <w:rPr>
          <w:rtl/>
        </w:rPr>
        <w:t xml:space="preserve"> إلى </w:t>
      </w:r>
      <w:r w:rsidRPr="00DC0CBE">
        <w:t>26</w:t>
      </w:r>
      <w:r w:rsidRPr="00DC0CBE">
        <w:rPr>
          <w:rtl/>
        </w:rPr>
        <w:t xml:space="preserve"> مارس </w:t>
      </w:r>
      <w:r w:rsidRPr="00DC0CBE">
        <w:t>2025</w:t>
      </w:r>
      <w:r w:rsidRPr="00DC0CBE">
        <w:rPr>
          <w:rtl/>
        </w:rPr>
        <w:t>.</w:t>
      </w:r>
    </w:p>
    <w:p w14:paraId="06D66748" w14:textId="77777777" w:rsidR="009D4103" w:rsidRPr="00DC0CBE" w:rsidRDefault="00992792" w:rsidP="00992792">
      <w:pPr>
        <w:pStyle w:val="Heading2"/>
        <w:rPr>
          <w:lang w:val="ar-SA"/>
        </w:rPr>
      </w:pPr>
      <w:bookmarkStart w:id="30" w:name="_Toc192766210"/>
      <w:r w:rsidRPr="00DC0CBE">
        <w:t>7.5</w:t>
      </w:r>
      <w:r w:rsidR="009D4103" w:rsidRPr="00DC0CBE">
        <w:rPr>
          <w:rtl/>
        </w:rPr>
        <w:tab/>
        <w:t>لجنة تنسيق المفردات</w:t>
      </w:r>
      <w:bookmarkEnd w:id="30"/>
    </w:p>
    <w:p w14:paraId="6A44DAB1" w14:textId="77777777" w:rsidR="009D4103" w:rsidRPr="00DC0CBE" w:rsidRDefault="009D4103" w:rsidP="009D4103">
      <w:pPr>
        <w:rPr>
          <w:lang w:val="ar-SA" w:bidi="ar-EG"/>
        </w:rPr>
      </w:pPr>
      <w:r w:rsidRPr="00DC0CBE">
        <w:rPr>
          <w:rtl/>
        </w:rPr>
        <w:t xml:space="preserve">تتألف لجنة تنسيق المصطلحات </w:t>
      </w:r>
      <w:r w:rsidRPr="00DC0CBE">
        <w:rPr>
          <w:lang w:bidi="ar-EG"/>
        </w:rPr>
        <w:t>(CCT</w:t>
      </w:r>
      <w:r w:rsidRPr="00DC0CBE">
        <w:t>)</w:t>
      </w:r>
      <w:r w:rsidRPr="00DC0CBE">
        <w:rPr>
          <w:rtl/>
        </w:rPr>
        <w:t xml:space="preserve"> التابعة للاتحاد من الجهات التالية:</w:t>
      </w:r>
    </w:p>
    <w:p w14:paraId="6E86B893" w14:textId="77777777" w:rsidR="009D4103" w:rsidRPr="00DC0CBE" w:rsidRDefault="000000EE" w:rsidP="00992792">
      <w:pPr>
        <w:pStyle w:val="enumlev1"/>
        <w:rPr>
          <w:lang w:val="ar-SA" w:bidi="ar-EG"/>
        </w:rPr>
      </w:pPr>
      <w:r w:rsidRPr="00DC0CBE">
        <w:rPr>
          <w:lang w:bidi="ar-EG"/>
        </w:rPr>
        <w:t>–</w:t>
      </w:r>
      <w:r w:rsidR="009D4103" w:rsidRPr="00DC0CBE">
        <w:rPr>
          <w:rtl/>
        </w:rPr>
        <w:tab/>
        <w:t xml:space="preserve">لجنة تنسيق المفردات </w:t>
      </w:r>
      <w:r w:rsidR="009D4103" w:rsidRPr="00DC0CBE">
        <w:rPr>
          <w:lang w:bidi="ar-EG"/>
        </w:rPr>
        <w:t>(CCV</w:t>
      </w:r>
      <w:r w:rsidR="009D4103" w:rsidRPr="00DC0CBE">
        <w:t>)</w:t>
      </w:r>
      <w:r w:rsidR="009D4103" w:rsidRPr="00DC0CBE">
        <w:rPr>
          <w:rtl/>
        </w:rPr>
        <w:t xml:space="preserve"> التابعة لقطاع الاتصالات الراديوية التي تعمل وفقاً للقرار </w:t>
      </w:r>
      <w:r w:rsidR="009D4103" w:rsidRPr="00DC0CBE">
        <w:t xml:space="preserve">ITU-R </w:t>
      </w:r>
      <w:proofErr w:type="gramStart"/>
      <w:r w:rsidR="009D4103" w:rsidRPr="00DC0CBE">
        <w:t>36</w:t>
      </w:r>
      <w:r w:rsidR="009D4103" w:rsidRPr="00DC0CBE">
        <w:rPr>
          <w:rtl/>
        </w:rPr>
        <w:t>؛</w:t>
      </w:r>
      <w:proofErr w:type="gramEnd"/>
    </w:p>
    <w:p w14:paraId="4163DE68" w14:textId="77777777" w:rsidR="009D4103" w:rsidRPr="00DC0CBE" w:rsidRDefault="000000EE" w:rsidP="00992792">
      <w:pPr>
        <w:pStyle w:val="enumlev1"/>
        <w:rPr>
          <w:spacing w:val="-4"/>
          <w:lang w:val="ar-SA" w:bidi="ar-EG"/>
        </w:rPr>
      </w:pPr>
      <w:r w:rsidRPr="00DC0CBE">
        <w:rPr>
          <w:spacing w:val="-4"/>
          <w:lang w:bidi="ar-EG"/>
        </w:rPr>
        <w:t>–</w:t>
      </w:r>
      <w:r w:rsidR="009D4103" w:rsidRPr="00DC0CBE">
        <w:rPr>
          <w:spacing w:val="-4"/>
          <w:rtl/>
        </w:rPr>
        <w:tab/>
        <w:t xml:space="preserve">لجنة تقييس المفردات </w:t>
      </w:r>
      <w:r w:rsidR="00992792" w:rsidRPr="00DC0CBE">
        <w:rPr>
          <w:spacing w:val="-4"/>
        </w:rPr>
        <w:t>(</w:t>
      </w:r>
      <w:r w:rsidR="009D4103" w:rsidRPr="00DC0CBE">
        <w:rPr>
          <w:spacing w:val="-4"/>
          <w:lang w:bidi="ar-EG"/>
        </w:rPr>
        <w:t>SCV</w:t>
      </w:r>
      <w:r w:rsidR="00992792" w:rsidRPr="00DC0CBE">
        <w:rPr>
          <w:spacing w:val="-4"/>
          <w:lang w:bidi="ar-EG"/>
        </w:rPr>
        <w:t>)</w:t>
      </w:r>
      <w:r w:rsidR="009D4103" w:rsidRPr="00DC0CBE">
        <w:rPr>
          <w:spacing w:val="-4"/>
          <w:rtl/>
        </w:rPr>
        <w:t xml:space="preserve"> التابعة لقطاع تقييس الاتصالات التي تعمل وفقاً للقرار </w:t>
      </w:r>
      <w:r w:rsidR="009D4103" w:rsidRPr="00DC0CBE">
        <w:rPr>
          <w:spacing w:val="-4"/>
        </w:rPr>
        <w:t>67</w:t>
      </w:r>
      <w:r w:rsidR="009D4103" w:rsidRPr="00DC0CBE">
        <w:rPr>
          <w:spacing w:val="-4"/>
          <w:rtl/>
        </w:rPr>
        <w:t xml:space="preserve"> (المراج</w:t>
      </w:r>
      <w:r w:rsidR="00992792" w:rsidRPr="00DC0CBE">
        <w:rPr>
          <w:rFonts w:hint="cs"/>
          <w:spacing w:val="-4"/>
          <w:rtl/>
        </w:rPr>
        <w:t>َ</w:t>
      </w:r>
      <w:r w:rsidR="009D4103" w:rsidRPr="00DC0CBE">
        <w:rPr>
          <w:spacing w:val="-4"/>
          <w:rtl/>
        </w:rPr>
        <w:t xml:space="preserve">ع في نيودلهي، </w:t>
      </w:r>
      <w:r w:rsidR="009D4103" w:rsidRPr="00DC0CBE">
        <w:rPr>
          <w:spacing w:val="-4"/>
        </w:rPr>
        <w:t>2024</w:t>
      </w:r>
      <w:r w:rsidR="009D4103" w:rsidRPr="00DC0CBE">
        <w:rPr>
          <w:spacing w:val="-4"/>
          <w:rtl/>
        </w:rPr>
        <w:t xml:space="preserve">) للجمعية العالمية لتقييس </w:t>
      </w:r>
      <w:proofErr w:type="gramStart"/>
      <w:r w:rsidR="009D4103" w:rsidRPr="00DC0CBE">
        <w:rPr>
          <w:spacing w:val="-4"/>
          <w:rtl/>
        </w:rPr>
        <w:t>الاتصالات؛</w:t>
      </w:r>
      <w:proofErr w:type="gramEnd"/>
    </w:p>
    <w:p w14:paraId="2F581120" w14:textId="77777777" w:rsidR="009D4103" w:rsidRPr="00DC0CBE" w:rsidRDefault="000000EE" w:rsidP="00992792">
      <w:pPr>
        <w:pStyle w:val="enumlev1"/>
        <w:rPr>
          <w:lang w:val="ar-SA" w:bidi="ar-EG"/>
        </w:rPr>
      </w:pPr>
      <w:r w:rsidRPr="00DC0CBE">
        <w:rPr>
          <w:lang w:bidi="ar-EG"/>
        </w:rPr>
        <w:t>–</w:t>
      </w:r>
      <w:r w:rsidR="009D4103" w:rsidRPr="00DC0CBE">
        <w:rPr>
          <w:rtl/>
        </w:rPr>
        <w:tab/>
        <w:t>ممثلو قطاع تنمية الاتصالات.</w:t>
      </w:r>
    </w:p>
    <w:p w14:paraId="6095CE31" w14:textId="77777777" w:rsidR="006E689A" w:rsidRPr="00DC0CBE" w:rsidRDefault="009D4103" w:rsidP="009D4103">
      <w:pPr>
        <w:rPr>
          <w:rtl/>
        </w:rPr>
      </w:pPr>
      <w:r w:rsidRPr="00DC0CBE">
        <w:rPr>
          <w:rtl/>
        </w:rPr>
        <w:t xml:space="preserve">وتواصِل لجنة تنسيق المصطلحات بالاتحاد </w:t>
      </w:r>
      <w:r w:rsidRPr="00DC0CBE">
        <w:t>(ITU CCT)</w:t>
      </w:r>
      <w:r w:rsidRPr="00DC0CBE">
        <w:rPr>
          <w:rtl/>
        </w:rPr>
        <w:t xml:space="preserve"> عملها في توحيد المصطلحات والتعاريف داخل الاتحاد، بناءً على المقترحات المقدَّمة من لجان الدراسات في الاتحاد باللغة الإنكليزية، وتصديق ترجمتها في لغات الاتحاد الرسمية الخمس الأخرى. وقاد أعمالَ لجنة تنسيق المصطلحات رؤساءُ لجنة تنسيق المفردات ولجنة تنسيق المفردات بدعم نشط من نواب الرئيس والمقررين المعنيين بالمفردات وغيرهم من ممثلي قطاعات الاتحاد الثلاثة.</w:t>
      </w:r>
    </w:p>
    <w:p w14:paraId="6E141845" w14:textId="77777777" w:rsidR="009D4103" w:rsidRPr="00DC0CBE" w:rsidRDefault="009D4103" w:rsidP="009D4103">
      <w:pPr>
        <w:rPr>
          <w:lang w:val="ar-SA" w:bidi="ar-EG"/>
        </w:rPr>
      </w:pPr>
      <w:r w:rsidRPr="00DC0CBE">
        <w:rPr>
          <w:rtl/>
        </w:rPr>
        <w:t xml:space="preserve">ووُضعت </w:t>
      </w:r>
      <w:hyperlink r:id="rId27" w:anchor="/ar" w:history="1">
        <w:r w:rsidRPr="00DC0CBE">
          <w:rPr>
            <w:rStyle w:val="Hyperlink"/>
            <w:rtl/>
          </w:rPr>
          <w:t>الصفحة الإلكترونية الجديدة للجنة تنسيق المصطلحات التابعة للاتحاد</w:t>
        </w:r>
      </w:hyperlink>
      <w:r w:rsidRPr="00DC0CBE">
        <w:rPr>
          <w:rtl/>
        </w:rPr>
        <w:t xml:space="preserve"> تحت إشراف الأمانة العامة بناء</w:t>
      </w:r>
      <w:r w:rsidR="002D08BC" w:rsidRPr="00DC0CBE">
        <w:rPr>
          <w:rFonts w:hint="cs"/>
          <w:rtl/>
        </w:rPr>
        <w:t>ً</w:t>
      </w:r>
      <w:r w:rsidRPr="00DC0CBE">
        <w:rPr>
          <w:rtl/>
        </w:rPr>
        <w:t xml:space="preserve"> على طلب الأعضاء، ويمكن النفاذ إليها عبر الصفحتين الإلكترونيتين للجنة المفردات ولجنة تنسيق المفردات، وكذلك من الصفحة الإلكترونية للتنسيق بين القطاعات، وصفحة تعدد اللغات، وقسم الروابط السريعة في الصفحة الرئيسية للأمانة العامة.‎ ويستمر العمل على</w:t>
      </w:r>
      <w:r w:rsidR="000D40A9" w:rsidRPr="00DC0CBE">
        <w:rPr>
          <w:rFonts w:hint="cs"/>
          <w:rtl/>
        </w:rPr>
        <w:t> </w:t>
      </w:r>
      <w:r w:rsidRPr="00DC0CBE">
        <w:rPr>
          <w:rtl/>
        </w:rPr>
        <w:t>تكييف شكل ومضمون الصفحة الإلكترونية لمواءمتها مع تلك الصفحات الخاصة بالمجموعات الأخرى في الاتحاد.</w:t>
      </w:r>
    </w:p>
    <w:p w14:paraId="13F4138B" w14:textId="77777777" w:rsidR="009D4103" w:rsidRPr="00DC0CBE" w:rsidRDefault="009D4103" w:rsidP="009D4103">
      <w:pPr>
        <w:rPr>
          <w:lang w:val="ar-SA" w:bidi="ar-EG"/>
        </w:rPr>
      </w:pPr>
      <w:r w:rsidRPr="00DC0CBE">
        <w:rPr>
          <w:rtl/>
        </w:rPr>
        <w:t xml:space="preserve">ووافق مجلس الاتحاد في يونيو </w:t>
      </w:r>
      <w:r w:rsidRPr="00DC0CBE">
        <w:t>2024</w:t>
      </w:r>
      <w:r w:rsidRPr="00DC0CBE">
        <w:rPr>
          <w:rtl/>
        </w:rPr>
        <w:t xml:space="preserve"> على نسخة محدثة من قرار المجلس </w:t>
      </w:r>
      <w:r w:rsidRPr="00DC0CBE">
        <w:t>1386</w:t>
      </w:r>
      <w:r w:rsidRPr="00DC0CBE">
        <w:rPr>
          <w:rtl/>
        </w:rPr>
        <w:t xml:space="preserve"> بشأن لجنة تنسيق المصطلحات بالاتحاد، بما في ذلك اختصاصات لجنة تنسيق المصطلحات التابعة للاتحاد، والتي تتماشى مع القرار </w:t>
      </w:r>
      <w:r w:rsidRPr="00DC0CBE">
        <w:t>154</w:t>
      </w:r>
      <w:r w:rsidRPr="00DC0CBE">
        <w:rPr>
          <w:rtl/>
        </w:rPr>
        <w:t xml:space="preserve"> (المراج</w:t>
      </w:r>
      <w:r w:rsidR="000D40A9" w:rsidRPr="00DC0CBE">
        <w:rPr>
          <w:rFonts w:hint="cs"/>
          <w:rtl/>
        </w:rPr>
        <w:t>َ</w:t>
      </w:r>
      <w:r w:rsidRPr="00DC0CBE">
        <w:rPr>
          <w:rtl/>
        </w:rPr>
        <w:t xml:space="preserve">ع في بوخارست، </w:t>
      </w:r>
      <w:r w:rsidRPr="00DC0CBE">
        <w:t>2022</w:t>
      </w:r>
      <w:r w:rsidRPr="00DC0CBE">
        <w:rPr>
          <w:rtl/>
        </w:rPr>
        <w:t>) لمؤتمر المندوبين المفوضين. ومع تطور عمل لجنة تنسيق الاتصالات في الاتحاد، ستنظر اللجنة في تقديم مراجعات مقترحة للقرار</w:t>
      </w:r>
      <w:r w:rsidR="000D40A9" w:rsidRPr="00DC0CBE">
        <w:rPr>
          <w:rFonts w:hint="cs"/>
          <w:rtl/>
        </w:rPr>
        <w:t> </w:t>
      </w:r>
      <w:r w:rsidRPr="00DC0CBE">
        <w:t>154</w:t>
      </w:r>
      <w:r w:rsidRPr="00DC0CBE">
        <w:rPr>
          <w:rtl/>
        </w:rPr>
        <w:t xml:space="preserve"> إلى فريق العمل التابع للمجلس والمعني باللغات </w:t>
      </w:r>
      <w:r w:rsidRPr="00DC0CBE">
        <w:t>(</w:t>
      </w:r>
      <w:r w:rsidRPr="00DC0CBE">
        <w:rPr>
          <w:lang w:bidi="ar-EG"/>
        </w:rPr>
        <w:t>CWG-LANG</w:t>
      </w:r>
      <w:r w:rsidRPr="00DC0CBE">
        <w:t>)</w:t>
      </w:r>
      <w:r w:rsidRPr="00DC0CBE">
        <w:rPr>
          <w:rtl/>
        </w:rPr>
        <w:t xml:space="preserve"> لتعكس تركيزها الحالي بشكل أفضل.</w:t>
      </w:r>
    </w:p>
    <w:p w14:paraId="159E745F" w14:textId="58F04354" w:rsidR="009D4103" w:rsidRPr="00DC0CBE" w:rsidRDefault="009D4103" w:rsidP="009D4103">
      <w:pPr>
        <w:rPr>
          <w:lang w:val="ar-SA" w:bidi="ar-EG"/>
        </w:rPr>
      </w:pPr>
      <w:r w:rsidRPr="00DC0CBE">
        <w:rPr>
          <w:rtl/>
        </w:rPr>
        <w:t>وورد</w:t>
      </w:r>
      <w:r w:rsidR="00101B78" w:rsidRPr="00DC0CBE">
        <w:rPr>
          <w:rFonts w:hint="cs"/>
          <w:rtl/>
          <w:lang w:bidi="ar-EG"/>
        </w:rPr>
        <w:t xml:space="preserve"> رد</w:t>
      </w:r>
      <w:r w:rsidRPr="00DC0CBE">
        <w:rPr>
          <w:rtl/>
        </w:rPr>
        <w:t xml:space="preserve"> إيجابي على الرسالة المعممة </w:t>
      </w:r>
      <w:hyperlink r:id="rId28" w:history="1">
        <w:r w:rsidRPr="00DC0CBE">
          <w:rPr>
            <w:rStyle w:val="Hyperlink"/>
          </w:rPr>
          <w:t>CL-23/45</w:t>
        </w:r>
      </w:hyperlink>
      <w:r w:rsidRPr="00DC0CBE">
        <w:rPr>
          <w:rtl/>
        </w:rPr>
        <w:t xml:space="preserve"> التي تدعو جميع الدول الأعضاء إلى التوصية بالكيانات المناسبة المهتمة بالتعاون مع دائرة المؤتمرات والمنشورات بشأن المصطلحات. وبدأ التعاون مع أربع مؤسسات في يوليو </w:t>
      </w:r>
      <w:r w:rsidRPr="00DC0CBE">
        <w:t>2024</w:t>
      </w:r>
      <w:r w:rsidRPr="00DC0CBE">
        <w:rPr>
          <w:rtl/>
          <w:lang w:bidi="ar-EG"/>
        </w:rPr>
        <w:t>:</w:t>
      </w:r>
      <w:r w:rsidRPr="00DC0CBE">
        <w:rPr>
          <w:rtl/>
        </w:rPr>
        <w:t xml:space="preserve"> هيئة الاتصالات والفضاء والتقنية </w:t>
      </w:r>
      <w:r w:rsidRPr="00DC0CBE">
        <w:t>‏(CST)</w:t>
      </w:r>
      <w:r w:rsidRPr="00DC0CBE">
        <w:rPr>
          <w:rtl/>
        </w:rPr>
        <w:t xml:space="preserve">‏ في المملكة العربية السعودية، والمعهد الصيني للاتصالات </w:t>
      </w:r>
      <w:r w:rsidRPr="00DC0CBE">
        <w:rPr>
          <w:lang w:bidi="ar-EG"/>
        </w:rPr>
        <w:t>(‎CIC</w:t>
      </w:r>
      <w:r w:rsidRPr="00DC0CBE">
        <w:t>)</w:t>
      </w:r>
      <w:r w:rsidRPr="00DC0CBE">
        <w:rPr>
          <w:rtl/>
        </w:rPr>
        <w:t xml:space="preserve">، ومعهد M.I. </w:t>
      </w:r>
      <w:proofErr w:type="spellStart"/>
      <w:r w:rsidRPr="00DC0CBE">
        <w:rPr>
          <w:rtl/>
        </w:rPr>
        <w:t>Krivosheev</w:t>
      </w:r>
      <w:proofErr w:type="spellEnd"/>
      <w:r w:rsidRPr="00DC0CBE">
        <w:rPr>
          <w:rtl/>
        </w:rPr>
        <w:t xml:space="preserve"> للأبحاث والتنمية في</w:t>
      </w:r>
      <w:r w:rsidR="00517DD9" w:rsidRPr="00DC0CBE">
        <w:rPr>
          <w:rFonts w:hint="cs"/>
          <w:rtl/>
        </w:rPr>
        <w:t> </w:t>
      </w:r>
      <w:r w:rsidRPr="00DC0CBE">
        <w:rPr>
          <w:rtl/>
        </w:rPr>
        <w:t xml:space="preserve">الميدان الراديوي </w:t>
      </w:r>
      <w:r w:rsidRPr="00DC0CBE">
        <w:t>(</w:t>
      </w:r>
      <w:r w:rsidRPr="00DC0CBE">
        <w:rPr>
          <w:lang w:bidi="ar-EG"/>
        </w:rPr>
        <w:t>NIIR</w:t>
      </w:r>
      <w:r w:rsidRPr="00DC0CBE">
        <w:t>)</w:t>
      </w:r>
      <w:r w:rsidRPr="00DC0CBE">
        <w:rPr>
          <w:rtl/>
        </w:rPr>
        <w:t xml:space="preserve"> في روسيا، و</w:t>
      </w:r>
      <w:r w:rsidRPr="00DC0CBE">
        <w:rPr>
          <w:i/>
          <w:iCs/>
          <w:rtl/>
        </w:rPr>
        <w:t>الكلية الرسمية لمهندسي الاتصالات</w:t>
      </w:r>
      <w:r w:rsidRPr="00DC0CBE">
        <w:rPr>
          <w:rtl/>
        </w:rPr>
        <w:t xml:space="preserve"> </w:t>
      </w:r>
      <w:r w:rsidRPr="00DC0CBE">
        <w:t>(</w:t>
      </w:r>
      <w:r w:rsidRPr="00DC0CBE">
        <w:rPr>
          <w:lang w:bidi="ar-EG"/>
        </w:rPr>
        <w:t>COIT</w:t>
      </w:r>
      <w:r w:rsidRPr="00DC0CBE">
        <w:t>)</w:t>
      </w:r>
      <w:r w:rsidRPr="00DC0CBE">
        <w:rPr>
          <w:rtl/>
        </w:rPr>
        <w:t xml:space="preserve"> في إسبانيا. وتعمل دائرة المؤتمرات والمنشورات بشكل وثيق مع هذه المعاهد في ترجمة المصطلحات والتعاريف إلى اللغات الرسمية الأخرى. ولتوفير المزيد من المحتوى المتعدد اللغات في قاعدة بيانات الاتحاد للمصطلحات والتعاريف، تضطلع دائرة المؤتمرات والمنشورات ومكتب تقييس الاتصالات بوضع حل لإدراج ترجمات للمصطلحات والتعاريف من توصيات قطاع تقييس الاتصالات المترجمة سابقاً.</w:t>
      </w:r>
    </w:p>
    <w:p w14:paraId="7AE30ED0" w14:textId="77777777" w:rsidR="009D4103" w:rsidRPr="00DC0CBE" w:rsidRDefault="009D4103" w:rsidP="009D4103">
      <w:pPr>
        <w:rPr>
          <w:lang w:val="ar-SA" w:bidi="ar-EG"/>
        </w:rPr>
      </w:pPr>
      <w:r w:rsidRPr="00DC0CBE">
        <w:rPr>
          <w:rtl/>
        </w:rPr>
        <w:t xml:space="preserve">وتُتَرجم المصطلحات والتعاريف باللغة الإنكليزية التي صدقت عليها لجنة تنسيق المصطلحات إلى اللغات الرسمية الخمس الأخرى للاتحاد قبل إدخالها في </w:t>
      </w:r>
      <w:hyperlink r:id="rId29" w:anchor="/" w:history="1">
        <w:r w:rsidRPr="00DC0CBE">
          <w:rPr>
            <w:rStyle w:val="Hyperlink"/>
            <w:rtl/>
          </w:rPr>
          <w:t>قاعدة بيانات المصطلحات والتعاريف لدى الاتحاد</w:t>
        </w:r>
      </w:hyperlink>
      <w:r w:rsidRPr="00DC0CBE">
        <w:rPr>
          <w:rtl/>
        </w:rPr>
        <w:t>.</w:t>
      </w:r>
    </w:p>
    <w:p w14:paraId="73BC4B81" w14:textId="77777777" w:rsidR="009D4103" w:rsidRPr="00DC0CBE" w:rsidRDefault="009D4103" w:rsidP="009D4103">
      <w:pPr>
        <w:rPr>
          <w:lang w:val="ar-SA" w:bidi="ar-EG"/>
        </w:rPr>
      </w:pPr>
      <w:r w:rsidRPr="00DC0CBE">
        <w:rPr>
          <w:rtl/>
        </w:rPr>
        <w:t>وينبغي أن تواصل لجان الدراسات التابعة لقطاع الاتصالات الراديوية وقطاع تقييس الاتصالات عملها، في حدود اختصاصاتها، بشأن المصطلحات التقنية والتشغيلية وتعاريفها باللغة الإنكليزية فقط.</w:t>
      </w:r>
    </w:p>
    <w:p w14:paraId="19A97D24" w14:textId="77777777" w:rsidR="009D4103" w:rsidRPr="00DC0CBE" w:rsidRDefault="009D4103" w:rsidP="009D4103">
      <w:pPr>
        <w:rPr>
          <w:lang w:val="ar-SA" w:bidi="ar-EG"/>
        </w:rPr>
      </w:pPr>
      <w:r w:rsidRPr="00DC0CBE">
        <w:rPr>
          <w:rtl/>
        </w:rPr>
        <w:t xml:space="preserve">ومن المقرر عقد الاجتماع التالي للجنة تنسيق المصطلحات في </w:t>
      </w:r>
      <w:r w:rsidRPr="00DC0CBE">
        <w:t>11</w:t>
      </w:r>
      <w:r w:rsidRPr="00DC0CBE">
        <w:rPr>
          <w:rtl/>
        </w:rPr>
        <w:t xml:space="preserve"> مارس </w:t>
      </w:r>
      <w:r w:rsidRPr="00DC0CBE">
        <w:t>2025</w:t>
      </w:r>
      <w:r w:rsidRPr="00DC0CBE">
        <w:rPr>
          <w:rtl/>
        </w:rPr>
        <w:t>.</w:t>
      </w:r>
    </w:p>
    <w:p w14:paraId="16328980" w14:textId="77777777" w:rsidR="009D4103" w:rsidRPr="00DC0CBE" w:rsidRDefault="000D40A9" w:rsidP="000D40A9">
      <w:pPr>
        <w:pStyle w:val="Heading2"/>
        <w:rPr>
          <w:lang w:val="ar-SA"/>
        </w:rPr>
      </w:pPr>
      <w:bookmarkStart w:id="31" w:name="_Toc192766211"/>
      <w:bookmarkStart w:id="32" w:name="_Hlk140676786"/>
      <w:r w:rsidRPr="00DC0CBE">
        <w:lastRenderedPageBreak/>
        <w:t>8.5</w:t>
      </w:r>
      <w:r w:rsidR="009D4103" w:rsidRPr="00DC0CBE">
        <w:rPr>
          <w:rtl/>
        </w:rPr>
        <w:tab/>
        <w:t>تعيين نواب رؤساء لجان الدراسات ولجنة تنسيق المفردات</w:t>
      </w:r>
      <w:bookmarkEnd w:id="31"/>
    </w:p>
    <w:p w14:paraId="2BD1A88D" w14:textId="77777777" w:rsidR="009D4103" w:rsidRPr="00DC0CBE" w:rsidRDefault="009D4103" w:rsidP="009D4103">
      <w:pPr>
        <w:rPr>
          <w:lang w:val="ar-SA" w:bidi="ar-EG"/>
        </w:rPr>
      </w:pPr>
      <w:r w:rsidRPr="00DC0CBE">
        <w:rPr>
          <w:rtl/>
        </w:rPr>
        <w:t xml:space="preserve">قررت جمعية الاتصالات الراديوية لعام </w:t>
      </w:r>
      <w:r w:rsidRPr="00DC0CBE">
        <w:t>2023</w:t>
      </w:r>
      <w:r w:rsidRPr="00DC0CBE">
        <w:rPr>
          <w:rtl/>
        </w:rPr>
        <w:t xml:space="preserve"> </w:t>
      </w:r>
      <w:r w:rsidRPr="00DC0CBE">
        <w:t>(RA-23)</w:t>
      </w:r>
      <w:r w:rsidRPr="00DC0CBE">
        <w:rPr>
          <w:rtl/>
        </w:rPr>
        <w:t xml:space="preserve"> في جلستها العامة الثالثة (انظر الوثيقة </w:t>
      </w:r>
      <w:hyperlink r:id="rId30" w:history="1">
        <w:r w:rsidRPr="00DC0CBE">
          <w:rPr>
            <w:rStyle w:val="Hyperlink"/>
          </w:rPr>
          <w:t>RA23/PLEN/101(Rev.1)</w:t>
        </w:r>
      </w:hyperlink>
      <w:r w:rsidRPr="00DC0CBE">
        <w:rPr>
          <w:rtl/>
        </w:rPr>
        <w:t>) أن</w:t>
      </w:r>
      <w:r w:rsidR="00517DD9" w:rsidRPr="00DC0CBE">
        <w:rPr>
          <w:rFonts w:hint="cs"/>
          <w:rtl/>
        </w:rPr>
        <w:t> </w:t>
      </w:r>
      <w:r w:rsidRPr="00DC0CBE">
        <w:rPr>
          <w:rtl/>
        </w:rPr>
        <w:t xml:space="preserve">تفوض الأفرقة ذات الصلة (لجان الدراسات، لجنة تنسيق المفردات، الفريق الاستشاري للاتصالات الراديوية، الاجتماع التحضيري للمؤتمر) بمسؤولية تعيين نوابهم استناداً إلى الوثيقة </w:t>
      </w:r>
      <w:hyperlink r:id="rId31" w:history="1">
        <w:r w:rsidRPr="00DC0CBE">
          <w:rPr>
            <w:rStyle w:val="Hyperlink"/>
          </w:rPr>
          <w:t>RA23/PLEN/91</w:t>
        </w:r>
      </w:hyperlink>
      <w:r w:rsidRPr="00DC0CBE">
        <w:rPr>
          <w:rtl/>
        </w:rPr>
        <w:t>.</w:t>
      </w:r>
    </w:p>
    <w:p w14:paraId="253BF3C7" w14:textId="77777777" w:rsidR="009D4103" w:rsidRPr="00DC0CBE" w:rsidRDefault="009D4103" w:rsidP="009D4103">
      <w:pPr>
        <w:rPr>
          <w:lang w:val="ar-SA" w:bidi="ar-EG"/>
        </w:rPr>
      </w:pPr>
      <w:r w:rsidRPr="00DC0CBE">
        <w:rPr>
          <w:rtl/>
        </w:rPr>
        <w:t xml:space="preserve">وخلال اجتماعات عام </w:t>
      </w:r>
      <w:r w:rsidRPr="00DC0CBE">
        <w:t>2024</w:t>
      </w:r>
      <w:r w:rsidRPr="00DC0CBE">
        <w:rPr>
          <w:rtl/>
        </w:rPr>
        <w:t>، عينت كل لجنة من لجان الدراسات نواب رئيسها وفقاً لمسار العمل الموصوف في الفصل الثاني من القواعد العامة لمؤتمرات الاتحاد وجمعياته واجتماعاته للمرشحين الذين لم يتم التوصل إلى توافق في الآراء بشأنهم. وشكلت جميع لجان الدراسات فريق إدارتها وفقاً لذلك.</w:t>
      </w:r>
    </w:p>
    <w:p w14:paraId="0803E8DF" w14:textId="77777777" w:rsidR="009D4103" w:rsidRPr="00DC0CBE" w:rsidRDefault="009D4103" w:rsidP="009D4103">
      <w:pPr>
        <w:rPr>
          <w:lang w:val="ar-SA" w:bidi="ar-EG"/>
        </w:rPr>
      </w:pPr>
      <w:r w:rsidRPr="00DC0CBE">
        <w:rPr>
          <w:rtl/>
        </w:rPr>
        <w:t xml:space="preserve">وفي اجتماعها المعقود في أبريل </w:t>
      </w:r>
      <w:r w:rsidRPr="00DC0CBE">
        <w:t>2024</w:t>
      </w:r>
      <w:r w:rsidRPr="00DC0CBE">
        <w:rPr>
          <w:rtl/>
        </w:rPr>
        <w:t>، عينت لجنة تنسيق المفردات نواب رئيسها بتوافق الآراء.</w:t>
      </w:r>
    </w:p>
    <w:p w14:paraId="190962BE" w14:textId="77777777" w:rsidR="009D4103" w:rsidRPr="00DC0CBE" w:rsidRDefault="000D40A9" w:rsidP="000D40A9">
      <w:pPr>
        <w:pStyle w:val="Heading2"/>
        <w:rPr>
          <w:lang w:val="ar-SA"/>
        </w:rPr>
      </w:pPr>
      <w:bookmarkStart w:id="33" w:name="_Toc192766212"/>
      <w:r w:rsidRPr="00DC0CBE">
        <w:t>9.5</w:t>
      </w:r>
      <w:r w:rsidR="009D4103" w:rsidRPr="00DC0CBE">
        <w:rPr>
          <w:rtl/>
        </w:rPr>
        <w:tab/>
        <w:t>‏مشاركة نواب الرؤساء في أعمال الأفرقة التابعة لهم‎</w:t>
      </w:r>
      <w:bookmarkEnd w:id="33"/>
    </w:p>
    <w:p w14:paraId="181DE18D" w14:textId="37D711B1" w:rsidR="009D4103" w:rsidRPr="00DC0CBE" w:rsidRDefault="009D4103" w:rsidP="009D4103">
      <w:pPr>
        <w:rPr>
          <w:lang w:val="ar-SA" w:bidi="ar-EG"/>
        </w:rPr>
      </w:pPr>
      <w:r w:rsidRPr="00DC0CBE">
        <w:rPr>
          <w:rtl/>
        </w:rPr>
        <w:t xml:space="preserve">‏وفقاً للفقرة </w:t>
      </w:r>
      <w:r w:rsidRPr="00DC0CBE">
        <w:t>‎5.</w:t>
      </w:r>
      <w:proofErr w:type="gramStart"/>
      <w:r w:rsidRPr="00DC0CBE">
        <w:t>4.A</w:t>
      </w:r>
      <w:proofErr w:type="gramEnd"/>
      <w:r w:rsidRPr="00DC0CBE">
        <w:t>1</w:t>
      </w:r>
      <w:r w:rsidRPr="00DC0CBE">
        <w:rPr>
          <w:rtl/>
        </w:rPr>
        <w:t xml:space="preserve"> ‏من القرار </w:t>
      </w:r>
      <w:r w:rsidR="00517DD9" w:rsidRPr="00DC0CBE">
        <w:t>1-9</w:t>
      </w:r>
      <w:r w:rsidRPr="00DC0CBE">
        <w:rPr>
          <w:rtl/>
        </w:rPr>
        <w:t xml:space="preserve">‏، يعلم الفريق الاستشاري للاتصالات الراديوية عدم حضور نواب الرئيس لاجتماعات الفريق الاستشاري للاتصالات الراديوية واجتماعات لجان الدراسات. وترد فيما يلي مشاركة نواب الرؤساء في الاجتماعات المعنيين بها خلال فترة الدراسة لعام </w:t>
      </w:r>
      <w:r w:rsidRPr="00DC0CBE">
        <w:t>2024</w:t>
      </w:r>
      <w:r w:rsidRPr="00DC0CBE">
        <w:rPr>
          <w:rtl/>
        </w:rPr>
        <w:t>.</w:t>
      </w:r>
    </w:p>
    <w:p w14:paraId="4D629F7C" w14:textId="77777777" w:rsidR="009D4103" w:rsidRPr="00DC0CBE" w:rsidRDefault="000D40A9" w:rsidP="000D40A9">
      <w:pPr>
        <w:pStyle w:val="Heading3"/>
        <w:rPr>
          <w:lang w:val="ar-SA"/>
        </w:rPr>
      </w:pPr>
      <w:bookmarkStart w:id="34" w:name="_Toc192766213"/>
      <w:r w:rsidRPr="00DC0CBE">
        <w:t>1.9.5</w:t>
      </w:r>
      <w:r w:rsidR="009D4103" w:rsidRPr="00DC0CBE">
        <w:rPr>
          <w:rtl/>
        </w:rPr>
        <w:tab/>
        <w:t>‏مشاركة نواب رئيس لجنة الدراسات ‎</w:t>
      </w:r>
      <w:r w:rsidR="009D4103" w:rsidRPr="00DC0CBE">
        <w:t>1</w:t>
      </w:r>
      <w:r w:rsidR="009D4103" w:rsidRPr="00DC0CBE">
        <w:rPr>
          <w:rtl/>
        </w:rPr>
        <w:t xml:space="preserve"> ‏في أعمال لجنة الدراسات ‎</w:t>
      </w:r>
      <w:r w:rsidR="009D4103" w:rsidRPr="00DC0CBE">
        <w:t>1</w:t>
      </w:r>
      <w:bookmarkEnd w:id="34"/>
    </w:p>
    <w:p w14:paraId="5B8D39E7" w14:textId="77777777" w:rsidR="009D4103" w:rsidRPr="00DC0CBE" w:rsidRDefault="009D4103" w:rsidP="009D4103">
      <w:pPr>
        <w:rPr>
          <w:lang w:val="ar-SA" w:bidi="ar-EG"/>
        </w:rPr>
      </w:pPr>
      <w:r w:rsidRPr="00DC0CBE">
        <w:rPr>
          <w:rtl/>
        </w:rPr>
        <w:t xml:space="preserve">‏كان لدى لجنة الدراسات </w:t>
      </w:r>
      <w:r w:rsidRPr="00DC0CBE">
        <w:t>1</w:t>
      </w:r>
      <w:r w:rsidRPr="00DC0CBE">
        <w:rPr>
          <w:rtl/>
        </w:rPr>
        <w:t xml:space="preserve"> ‎خمسة عشر (</w:t>
      </w:r>
      <w:r w:rsidRPr="00DC0CBE">
        <w:t>15</w:t>
      </w:r>
      <w:r w:rsidRPr="00DC0CBE">
        <w:rPr>
          <w:rtl/>
        </w:rPr>
        <w:t xml:space="preserve">) ‏نائباً معيَّناً للرئيس لفترة الدراسة </w:t>
      </w:r>
      <w:r w:rsidR="00AA398A" w:rsidRPr="00DC0CBE">
        <w:t>2027-2023</w:t>
      </w:r>
      <w:r w:rsidRPr="00DC0CBE">
        <w:rPr>
          <w:rtl/>
        </w:rPr>
        <w:t>.</w:t>
      </w:r>
    </w:p>
    <w:p w14:paraId="53F3354C"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1</w:t>
      </w:r>
      <w:r w:rsidR="009D4103" w:rsidRPr="00DC0CBE">
        <w:rPr>
          <w:rtl/>
        </w:rPr>
        <w:t xml:space="preserve"> الذين شاركوا في اجتماع لجنة الدراسات </w:t>
      </w:r>
      <w:r w:rsidR="009D4103" w:rsidRPr="00DC0CBE">
        <w:t>1</w:t>
      </w:r>
      <w:r w:rsidR="009D4103" w:rsidRPr="00DC0CBE">
        <w:rPr>
          <w:rtl/>
        </w:rPr>
        <w:t xml:space="preserve"> في عام </w:t>
      </w:r>
      <w:r w:rsidR="009D4103" w:rsidRPr="00DC0CBE">
        <w:t>2024</w:t>
      </w:r>
      <w:r w:rsidR="009D4103" w:rsidRPr="00DC0CBE">
        <w:rPr>
          <w:rtl/>
          <w:lang w:bidi="ar-EG"/>
        </w:rPr>
        <w:t>:</w:t>
      </w:r>
      <w:r w:rsidR="00AA398A" w:rsidRPr="00DC0CBE">
        <w:rPr>
          <w:rFonts w:hint="cs"/>
          <w:rtl/>
          <w:lang w:bidi="ar-EG"/>
        </w:rPr>
        <w:t xml:space="preserve"> </w:t>
      </w:r>
      <w:r w:rsidR="00AA398A" w:rsidRPr="00DC0CBE">
        <w:rPr>
          <w:b/>
          <w:bCs/>
        </w:rPr>
        <w:t>13/15</w:t>
      </w:r>
    </w:p>
    <w:p w14:paraId="34509168" w14:textId="77777777" w:rsidR="009D4103" w:rsidRPr="00DC0CBE" w:rsidRDefault="00AA398A" w:rsidP="00AA398A">
      <w:pPr>
        <w:pStyle w:val="Heading3"/>
        <w:rPr>
          <w:rStyle w:val="Heading3Char"/>
          <w:b/>
          <w:bCs/>
        </w:rPr>
      </w:pPr>
      <w:bookmarkStart w:id="35" w:name="_Toc192766214"/>
      <w:r w:rsidRPr="00DC0CBE">
        <w:t>2.9.5</w:t>
      </w:r>
      <w:r w:rsidR="009D4103" w:rsidRPr="00DC0CBE">
        <w:rPr>
          <w:rStyle w:val="Heading3Char"/>
          <w:b/>
          <w:bCs/>
          <w:rtl/>
        </w:rPr>
        <w:tab/>
        <w:t>‏مشاركة نواب رئيس لجنة الدراسات ‎</w:t>
      </w:r>
      <w:r w:rsidR="009D4103" w:rsidRPr="00DC0CBE">
        <w:rPr>
          <w:rStyle w:val="Heading3Char"/>
          <w:b/>
          <w:bCs/>
        </w:rPr>
        <w:t>3</w:t>
      </w:r>
      <w:r w:rsidR="009D4103" w:rsidRPr="00DC0CBE">
        <w:rPr>
          <w:rStyle w:val="Heading3Char"/>
          <w:b/>
          <w:bCs/>
          <w:rtl/>
        </w:rPr>
        <w:t xml:space="preserve"> ‏في أعمال لجنة الدراسات </w:t>
      </w:r>
      <w:r w:rsidR="009D4103" w:rsidRPr="00DC0CBE">
        <w:rPr>
          <w:rStyle w:val="Heading3Char"/>
          <w:b/>
          <w:bCs/>
        </w:rPr>
        <w:t>3</w:t>
      </w:r>
      <w:bookmarkEnd w:id="35"/>
    </w:p>
    <w:p w14:paraId="11E712BC" w14:textId="77777777" w:rsidR="009D4103" w:rsidRPr="00DC0CBE" w:rsidRDefault="009D4103" w:rsidP="009D4103">
      <w:pPr>
        <w:rPr>
          <w:lang w:val="ar-SA" w:bidi="ar-EG"/>
        </w:rPr>
      </w:pPr>
      <w:r w:rsidRPr="00DC0CBE">
        <w:rPr>
          <w:rtl/>
        </w:rPr>
        <w:t xml:space="preserve">‏كان لدى لجنة الدراسات </w:t>
      </w:r>
      <w:r w:rsidRPr="00DC0CBE">
        <w:t>3</w:t>
      </w:r>
      <w:r w:rsidRPr="00DC0CBE">
        <w:rPr>
          <w:rtl/>
        </w:rPr>
        <w:t xml:space="preserve"> ‎أحد عشر (</w:t>
      </w:r>
      <w:r w:rsidRPr="00DC0CBE">
        <w:t>11</w:t>
      </w:r>
      <w:r w:rsidRPr="00DC0CBE">
        <w:rPr>
          <w:rtl/>
        </w:rPr>
        <w:t xml:space="preserve">) ‏نائباً معيَّناً للرئيس لفترة الدراسة </w:t>
      </w:r>
      <w:r w:rsidR="00AA398A" w:rsidRPr="00DC0CBE">
        <w:t>2027-2023</w:t>
      </w:r>
      <w:r w:rsidRPr="00DC0CBE">
        <w:rPr>
          <w:rtl/>
        </w:rPr>
        <w:t>.</w:t>
      </w:r>
    </w:p>
    <w:p w14:paraId="68C66281"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3 الذين شاركوا في اجتماع لجنة الدراسات </w:t>
      </w:r>
      <w:r w:rsidR="009D4103" w:rsidRPr="00DC0CBE">
        <w:t>3</w:t>
      </w:r>
      <w:r w:rsidR="009D4103" w:rsidRPr="00DC0CBE">
        <w:rPr>
          <w:rtl/>
        </w:rPr>
        <w:t xml:space="preserve"> في عام </w:t>
      </w:r>
      <w:r w:rsidR="009D4103" w:rsidRPr="00DC0CBE">
        <w:t>2024</w:t>
      </w:r>
      <w:r w:rsidR="009D4103" w:rsidRPr="00DC0CBE">
        <w:rPr>
          <w:rtl/>
          <w:lang w:bidi="ar-EG"/>
        </w:rPr>
        <w:t>:</w:t>
      </w:r>
      <w:r w:rsidR="00AA398A" w:rsidRPr="00DC0CBE">
        <w:rPr>
          <w:rFonts w:hint="cs"/>
          <w:b/>
          <w:bCs/>
          <w:rtl/>
        </w:rPr>
        <w:t xml:space="preserve"> </w:t>
      </w:r>
      <w:r w:rsidR="00AA398A" w:rsidRPr="00DC0CBE">
        <w:rPr>
          <w:b/>
          <w:bCs/>
        </w:rPr>
        <w:t>5/11</w:t>
      </w:r>
    </w:p>
    <w:p w14:paraId="1DBDCF26" w14:textId="77777777" w:rsidR="009D4103" w:rsidRPr="00DC0CBE" w:rsidRDefault="00AA398A" w:rsidP="00AA398A">
      <w:pPr>
        <w:pStyle w:val="Heading3"/>
        <w:rPr>
          <w:lang w:val="ar-SA"/>
        </w:rPr>
      </w:pPr>
      <w:bookmarkStart w:id="36" w:name="_Toc192766215"/>
      <w:r w:rsidRPr="00DC0CBE">
        <w:t>3.9.5</w:t>
      </w:r>
      <w:r w:rsidR="009D4103" w:rsidRPr="00DC0CBE">
        <w:rPr>
          <w:rtl/>
        </w:rPr>
        <w:tab/>
        <w:t>‏مشاركة نواب رئيس لجنة الدراسات ‎</w:t>
      </w:r>
      <w:r w:rsidRPr="00DC0CBE">
        <w:t>4</w:t>
      </w:r>
      <w:r w:rsidR="009D4103" w:rsidRPr="00DC0CBE">
        <w:rPr>
          <w:rtl/>
        </w:rPr>
        <w:t xml:space="preserve"> ‏في أعمال لجنة الدراسات </w:t>
      </w:r>
      <w:r w:rsidRPr="00DC0CBE">
        <w:t>4</w:t>
      </w:r>
      <w:bookmarkEnd w:id="36"/>
    </w:p>
    <w:p w14:paraId="15C0A7F1" w14:textId="77777777" w:rsidR="009D4103" w:rsidRPr="00DC0CBE" w:rsidRDefault="009D4103" w:rsidP="009D4103">
      <w:pPr>
        <w:rPr>
          <w:lang w:val="ar-SA" w:bidi="ar-EG"/>
        </w:rPr>
      </w:pPr>
      <w:r w:rsidRPr="00DC0CBE">
        <w:rPr>
          <w:rtl/>
        </w:rPr>
        <w:t xml:space="preserve">‏كان لدى لجنة الدراسات </w:t>
      </w:r>
      <w:r w:rsidRPr="00DC0CBE">
        <w:t>4</w:t>
      </w:r>
      <w:r w:rsidRPr="00DC0CBE">
        <w:rPr>
          <w:rtl/>
        </w:rPr>
        <w:t xml:space="preserve"> ‎تسعة عشر (</w:t>
      </w:r>
      <w:r w:rsidRPr="00DC0CBE">
        <w:t>19</w:t>
      </w:r>
      <w:r w:rsidRPr="00DC0CBE">
        <w:rPr>
          <w:rtl/>
        </w:rPr>
        <w:t xml:space="preserve">) ‏نائباً معيَّناً للرئيس لفترة الدراسة </w:t>
      </w:r>
      <w:r w:rsidR="00AA398A" w:rsidRPr="00DC0CBE">
        <w:t>2027-2023</w:t>
      </w:r>
      <w:r w:rsidRPr="00DC0CBE">
        <w:rPr>
          <w:rtl/>
        </w:rPr>
        <w:t>.</w:t>
      </w:r>
    </w:p>
    <w:p w14:paraId="1AF798CD" w14:textId="77777777" w:rsidR="009D4103" w:rsidRPr="00DC0CBE" w:rsidRDefault="009D4103" w:rsidP="009D4103">
      <w:pPr>
        <w:rPr>
          <w:lang w:val="ar-SA" w:bidi="ar-EG"/>
        </w:rPr>
      </w:pPr>
      <w:r w:rsidRPr="00DC0CBE">
        <w:rPr>
          <w:rtl/>
        </w:rPr>
        <w:t xml:space="preserve">وعقدت لجنة الدراسات </w:t>
      </w:r>
      <w:r w:rsidRPr="00DC0CBE">
        <w:t>4</w:t>
      </w:r>
      <w:r w:rsidRPr="00DC0CBE">
        <w:rPr>
          <w:rtl/>
        </w:rPr>
        <w:t xml:space="preserve"> </w:t>
      </w:r>
      <w:proofErr w:type="gramStart"/>
      <w:r w:rsidRPr="00DC0CBE">
        <w:rPr>
          <w:rtl/>
        </w:rPr>
        <w:t>ثلاثة</w:t>
      </w:r>
      <w:proofErr w:type="gramEnd"/>
      <w:r w:rsidRPr="00DC0CBE">
        <w:rPr>
          <w:rtl/>
        </w:rPr>
        <w:t xml:space="preserve"> اجتماعات خلال عام </w:t>
      </w:r>
      <w:r w:rsidRPr="00DC0CBE">
        <w:t>2024</w:t>
      </w:r>
      <w:r w:rsidRPr="00DC0CBE">
        <w:rPr>
          <w:rtl/>
        </w:rPr>
        <w:t>.</w:t>
      </w:r>
    </w:p>
    <w:p w14:paraId="27ADB88E" w14:textId="77777777" w:rsidR="009D4103" w:rsidRPr="00DC0CBE" w:rsidRDefault="000000EE" w:rsidP="00AA398A">
      <w:pPr>
        <w:pStyle w:val="enumlev1"/>
        <w:rPr>
          <w:spacing w:val="-4"/>
          <w:lang w:val="ar-SA" w:bidi="ar-EG"/>
        </w:rPr>
      </w:pPr>
      <w:r w:rsidRPr="00DC0CBE">
        <w:rPr>
          <w:spacing w:val="-4"/>
          <w:lang w:bidi="ar-EG"/>
        </w:rPr>
        <w:t>–</w:t>
      </w:r>
      <w:r w:rsidR="009D4103" w:rsidRPr="00DC0CBE">
        <w:rPr>
          <w:spacing w:val="-4"/>
          <w:rtl/>
        </w:rPr>
        <w:tab/>
        <w:t xml:space="preserve">عدد نواب رئيس لجنة الدراسات </w:t>
      </w:r>
      <w:r w:rsidR="009D4103" w:rsidRPr="00DC0CBE">
        <w:rPr>
          <w:spacing w:val="-4"/>
        </w:rPr>
        <w:t>4</w:t>
      </w:r>
      <w:r w:rsidR="009D4103" w:rsidRPr="00DC0CBE">
        <w:rPr>
          <w:spacing w:val="-4"/>
          <w:rtl/>
        </w:rPr>
        <w:t xml:space="preserve"> الذين شاركوا في اجتماعي لجنة الدراسات </w:t>
      </w:r>
      <w:r w:rsidR="009D4103" w:rsidRPr="00DC0CBE">
        <w:rPr>
          <w:spacing w:val="-4"/>
        </w:rPr>
        <w:t>4</w:t>
      </w:r>
      <w:r w:rsidR="009D4103" w:rsidRPr="00DC0CBE">
        <w:rPr>
          <w:spacing w:val="-4"/>
          <w:rtl/>
        </w:rPr>
        <w:t xml:space="preserve"> في </w:t>
      </w:r>
      <w:r w:rsidR="009D4103" w:rsidRPr="00DC0CBE">
        <w:rPr>
          <w:spacing w:val="-4"/>
        </w:rPr>
        <w:t>23</w:t>
      </w:r>
      <w:r w:rsidR="009D4103" w:rsidRPr="00DC0CBE">
        <w:rPr>
          <w:spacing w:val="-4"/>
          <w:rtl/>
        </w:rPr>
        <w:t xml:space="preserve"> أبريل </w:t>
      </w:r>
      <w:r w:rsidR="009D4103" w:rsidRPr="00DC0CBE">
        <w:rPr>
          <w:spacing w:val="-4"/>
        </w:rPr>
        <w:t>و10</w:t>
      </w:r>
      <w:r w:rsidR="009D4103" w:rsidRPr="00DC0CBE">
        <w:rPr>
          <w:spacing w:val="-4"/>
          <w:rtl/>
        </w:rPr>
        <w:t xml:space="preserve"> مايو </w:t>
      </w:r>
      <w:r w:rsidR="009D4103" w:rsidRPr="00DC0CBE">
        <w:rPr>
          <w:spacing w:val="-4"/>
        </w:rPr>
        <w:t>2024</w:t>
      </w:r>
      <w:r w:rsidR="009D4103" w:rsidRPr="00DC0CBE">
        <w:rPr>
          <w:spacing w:val="-4"/>
          <w:rtl/>
          <w:lang w:bidi="ar-EG"/>
        </w:rPr>
        <w:t xml:space="preserve">: </w:t>
      </w:r>
      <w:r w:rsidR="00AA398A" w:rsidRPr="00DC0CBE">
        <w:rPr>
          <w:spacing w:val="-4"/>
        </w:rPr>
        <w:t>16/19</w:t>
      </w:r>
    </w:p>
    <w:p w14:paraId="4E8DEF62"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4</w:t>
      </w:r>
      <w:r w:rsidR="009D4103" w:rsidRPr="00DC0CBE">
        <w:rPr>
          <w:rtl/>
        </w:rPr>
        <w:t xml:space="preserve"> الذين شاركوا في اجتماع لجنة الدراسات </w:t>
      </w:r>
      <w:r w:rsidR="009D4103" w:rsidRPr="00DC0CBE">
        <w:t>4</w:t>
      </w:r>
      <w:r w:rsidR="009D4103" w:rsidRPr="00DC0CBE">
        <w:rPr>
          <w:rtl/>
        </w:rPr>
        <w:t xml:space="preserve"> في </w:t>
      </w:r>
      <w:r w:rsidR="009D4103" w:rsidRPr="00DC0CBE">
        <w:t>1</w:t>
      </w:r>
      <w:r w:rsidR="009D4103" w:rsidRPr="00DC0CBE">
        <w:rPr>
          <w:rtl/>
        </w:rPr>
        <w:t xml:space="preserve"> </w:t>
      </w:r>
      <w:r w:rsidR="00AA398A" w:rsidRPr="00DC0CBE">
        <w:rPr>
          <w:rFonts w:hint="cs"/>
          <w:rtl/>
        </w:rPr>
        <w:t>نوفمب</w:t>
      </w:r>
      <w:r w:rsidR="00AA398A" w:rsidRPr="00DC0CBE">
        <w:rPr>
          <w:rFonts w:hint="eastAsia"/>
          <w:rtl/>
        </w:rPr>
        <w:t>ر</w:t>
      </w:r>
      <w:r w:rsidR="009D4103" w:rsidRPr="00DC0CBE">
        <w:rPr>
          <w:rtl/>
        </w:rPr>
        <w:t xml:space="preserve"> </w:t>
      </w:r>
      <w:r w:rsidR="009D4103" w:rsidRPr="00DC0CBE">
        <w:t>2024</w:t>
      </w:r>
      <w:r w:rsidR="009D4103" w:rsidRPr="00DC0CBE">
        <w:rPr>
          <w:rtl/>
          <w:lang w:bidi="ar-EG"/>
        </w:rPr>
        <w:t>:</w:t>
      </w:r>
      <w:r w:rsidR="009D4103" w:rsidRPr="00DC0CBE">
        <w:rPr>
          <w:b/>
          <w:bCs/>
          <w:rtl/>
        </w:rPr>
        <w:t xml:space="preserve"> </w:t>
      </w:r>
      <w:r w:rsidR="00AA398A" w:rsidRPr="00DC0CBE">
        <w:rPr>
          <w:b/>
          <w:bCs/>
        </w:rPr>
        <w:t>17/19</w:t>
      </w:r>
    </w:p>
    <w:p w14:paraId="36256D9A" w14:textId="77777777" w:rsidR="009D4103" w:rsidRPr="00DC0CBE" w:rsidRDefault="00AA398A" w:rsidP="00AA398A">
      <w:pPr>
        <w:pStyle w:val="Heading3"/>
        <w:rPr>
          <w:lang w:val="ar-SA"/>
        </w:rPr>
      </w:pPr>
      <w:bookmarkStart w:id="37" w:name="_Toc192766216"/>
      <w:r w:rsidRPr="00DC0CBE">
        <w:t>4.9.5</w:t>
      </w:r>
      <w:r w:rsidR="009D4103" w:rsidRPr="00DC0CBE">
        <w:rPr>
          <w:rtl/>
        </w:rPr>
        <w:tab/>
        <w:t>‏مشاركة نواب رئيس لجنة الدراسات ‎</w:t>
      </w:r>
      <w:r w:rsidR="009D4103" w:rsidRPr="00DC0CBE">
        <w:t>5</w:t>
      </w:r>
      <w:r w:rsidR="009D4103" w:rsidRPr="00DC0CBE">
        <w:rPr>
          <w:rtl/>
        </w:rPr>
        <w:t xml:space="preserve"> ‏في أعمال لجنة الدراسات ‎</w:t>
      </w:r>
      <w:r w:rsidR="009D4103" w:rsidRPr="00DC0CBE">
        <w:t>5</w:t>
      </w:r>
      <w:bookmarkEnd w:id="37"/>
    </w:p>
    <w:p w14:paraId="54EA6F1B" w14:textId="77777777" w:rsidR="009D4103" w:rsidRPr="00DC0CBE" w:rsidRDefault="009D4103" w:rsidP="009D4103">
      <w:pPr>
        <w:rPr>
          <w:lang w:val="ar-SA" w:bidi="ar-EG"/>
        </w:rPr>
      </w:pPr>
      <w:r w:rsidRPr="00DC0CBE">
        <w:rPr>
          <w:rtl/>
        </w:rPr>
        <w:t xml:space="preserve">‏كان لدى لجنة الدراسات </w:t>
      </w:r>
      <w:r w:rsidRPr="00DC0CBE">
        <w:t>5</w:t>
      </w:r>
      <w:r w:rsidRPr="00DC0CBE">
        <w:rPr>
          <w:rtl/>
        </w:rPr>
        <w:t xml:space="preserve"> ‎تسعة عشر (</w:t>
      </w:r>
      <w:r w:rsidRPr="00DC0CBE">
        <w:t>19</w:t>
      </w:r>
      <w:r w:rsidRPr="00DC0CBE">
        <w:rPr>
          <w:rtl/>
        </w:rPr>
        <w:t xml:space="preserve">) ‏نائباً معيَّناً للرئيس لفترة الدراسة </w:t>
      </w:r>
      <w:r w:rsidR="00AA398A" w:rsidRPr="00DC0CBE">
        <w:t>2027-2023</w:t>
      </w:r>
      <w:r w:rsidRPr="00DC0CBE">
        <w:rPr>
          <w:rtl/>
        </w:rPr>
        <w:t>.</w:t>
      </w:r>
    </w:p>
    <w:p w14:paraId="40B5478F" w14:textId="77777777" w:rsidR="006E689A" w:rsidRPr="00DC0CBE" w:rsidRDefault="009D4103" w:rsidP="009D4103">
      <w:pPr>
        <w:rPr>
          <w:rtl/>
        </w:rPr>
      </w:pPr>
      <w:r w:rsidRPr="00DC0CBE">
        <w:rPr>
          <w:rtl/>
        </w:rPr>
        <w:t xml:space="preserve">وعقدت لجنة الدراسات 4 اجتماعين خلال عام </w:t>
      </w:r>
      <w:r w:rsidRPr="00DC0CBE">
        <w:t>2024</w:t>
      </w:r>
      <w:r w:rsidRPr="00DC0CBE">
        <w:rPr>
          <w:rtl/>
        </w:rPr>
        <w:t>.</w:t>
      </w:r>
    </w:p>
    <w:p w14:paraId="0587103F"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5</w:t>
      </w:r>
      <w:r w:rsidR="009D4103" w:rsidRPr="00DC0CBE">
        <w:rPr>
          <w:rtl/>
        </w:rPr>
        <w:t xml:space="preserve"> الذين شاركوا في اجتماع لجنة الدراسات </w:t>
      </w:r>
      <w:r w:rsidR="009D4103" w:rsidRPr="00DC0CBE">
        <w:t>5</w:t>
      </w:r>
      <w:r w:rsidR="009D4103" w:rsidRPr="00DC0CBE">
        <w:rPr>
          <w:rtl/>
        </w:rPr>
        <w:t xml:space="preserve"> في </w:t>
      </w:r>
      <w:r w:rsidR="009D4103" w:rsidRPr="00DC0CBE">
        <w:t>13</w:t>
      </w:r>
      <w:r w:rsidR="009D4103" w:rsidRPr="00DC0CBE">
        <w:rPr>
          <w:rtl/>
        </w:rPr>
        <w:t xml:space="preserve"> مايو </w:t>
      </w:r>
      <w:r w:rsidR="009D4103" w:rsidRPr="00DC0CBE">
        <w:t>2024</w:t>
      </w:r>
      <w:r w:rsidR="009D4103" w:rsidRPr="00DC0CBE">
        <w:rPr>
          <w:rtl/>
        </w:rPr>
        <w:t xml:space="preserve">: </w:t>
      </w:r>
      <w:r w:rsidR="00AA398A" w:rsidRPr="00DC0CBE">
        <w:t>12/19</w:t>
      </w:r>
    </w:p>
    <w:p w14:paraId="2986E574"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5</w:t>
      </w:r>
      <w:r w:rsidR="009D4103" w:rsidRPr="00DC0CBE">
        <w:rPr>
          <w:rtl/>
        </w:rPr>
        <w:t xml:space="preserve"> الذين شاركوا في اجتماع لجنة الدراسات </w:t>
      </w:r>
      <w:r w:rsidR="009D4103" w:rsidRPr="00DC0CBE">
        <w:t>5</w:t>
      </w:r>
      <w:r w:rsidR="009D4103" w:rsidRPr="00DC0CBE">
        <w:rPr>
          <w:rtl/>
        </w:rPr>
        <w:t xml:space="preserve"> يومي </w:t>
      </w:r>
      <w:r w:rsidR="009D4103" w:rsidRPr="00DC0CBE">
        <w:t>2</w:t>
      </w:r>
      <w:r w:rsidR="009D4103" w:rsidRPr="00DC0CBE">
        <w:rPr>
          <w:rtl/>
        </w:rPr>
        <w:t xml:space="preserve"> </w:t>
      </w:r>
      <w:r w:rsidR="009D4103" w:rsidRPr="00DC0CBE">
        <w:t>و3</w:t>
      </w:r>
      <w:r w:rsidR="009D4103" w:rsidRPr="00DC0CBE">
        <w:rPr>
          <w:rtl/>
        </w:rPr>
        <w:t xml:space="preserve"> ديسمبر </w:t>
      </w:r>
      <w:r w:rsidR="009D4103" w:rsidRPr="00DC0CBE">
        <w:t>2024</w:t>
      </w:r>
      <w:r w:rsidR="00AA398A" w:rsidRPr="00DC0CBE">
        <w:rPr>
          <w:rFonts w:hint="cs"/>
          <w:rtl/>
          <w:lang w:bidi="ar-EG"/>
        </w:rPr>
        <w:t xml:space="preserve">: </w:t>
      </w:r>
      <w:r w:rsidR="00AA398A" w:rsidRPr="00DC0CBE">
        <w:rPr>
          <w:b/>
          <w:bCs/>
          <w:lang w:bidi="ar-EG"/>
        </w:rPr>
        <w:t>17/19</w:t>
      </w:r>
    </w:p>
    <w:p w14:paraId="371D5F32" w14:textId="77777777" w:rsidR="009D4103" w:rsidRPr="00DC0CBE" w:rsidRDefault="00AA398A" w:rsidP="00AA398A">
      <w:pPr>
        <w:pStyle w:val="Heading3"/>
        <w:rPr>
          <w:rStyle w:val="Heading3Char"/>
          <w:b/>
          <w:bCs/>
        </w:rPr>
      </w:pPr>
      <w:bookmarkStart w:id="38" w:name="_Toc192766217"/>
      <w:r w:rsidRPr="00DC0CBE">
        <w:t>5.9.5</w:t>
      </w:r>
      <w:r w:rsidR="009D4103" w:rsidRPr="00DC0CBE">
        <w:rPr>
          <w:rStyle w:val="Heading3Char"/>
          <w:b/>
          <w:bCs/>
          <w:rtl/>
        </w:rPr>
        <w:tab/>
        <w:t>‏مشاركة نواب رئيس لجنة الدراسات ‎</w:t>
      </w:r>
      <w:r w:rsidR="009D4103" w:rsidRPr="00DC0CBE">
        <w:rPr>
          <w:rStyle w:val="Heading3Char"/>
          <w:b/>
          <w:bCs/>
        </w:rPr>
        <w:t>6</w:t>
      </w:r>
      <w:r w:rsidR="009D4103" w:rsidRPr="00DC0CBE">
        <w:rPr>
          <w:rStyle w:val="Heading3Char"/>
          <w:b/>
          <w:bCs/>
          <w:rtl/>
        </w:rPr>
        <w:t xml:space="preserve"> ‏في أعمال لجنة الدراسات ‎</w:t>
      </w:r>
      <w:r w:rsidRPr="00DC0CBE">
        <w:rPr>
          <w:rStyle w:val="Heading3Char"/>
          <w:b/>
          <w:bCs/>
        </w:rPr>
        <w:t>6</w:t>
      </w:r>
      <w:bookmarkEnd w:id="38"/>
    </w:p>
    <w:p w14:paraId="7CD9C2A6" w14:textId="77777777" w:rsidR="009D4103" w:rsidRPr="00DC0CBE" w:rsidRDefault="009D4103" w:rsidP="009D4103">
      <w:pPr>
        <w:rPr>
          <w:lang w:val="ar-SA" w:bidi="ar-EG"/>
        </w:rPr>
      </w:pPr>
      <w:r w:rsidRPr="00DC0CBE">
        <w:rPr>
          <w:rtl/>
        </w:rPr>
        <w:t xml:space="preserve">‏كان لدى لجنة الدراسات </w:t>
      </w:r>
      <w:r w:rsidRPr="00DC0CBE">
        <w:t>6</w:t>
      </w:r>
      <w:r w:rsidRPr="00DC0CBE">
        <w:rPr>
          <w:rtl/>
        </w:rPr>
        <w:t xml:space="preserve"> ‎أربعة عشر (</w:t>
      </w:r>
      <w:r w:rsidRPr="00DC0CBE">
        <w:t>14</w:t>
      </w:r>
      <w:r w:rsidRPr="00DC0CBE">
        <w:rPr>
          <w:rtl/>
        </w:rPr>
        <w:t xml:space="preserve">) ‏نائباً معيَّناً للرئيس لفترة الدراسة </w:t>
      </w:r>
      <w:r w:rsidR="00AA398A" w:rsidRPr="00DC0CBE">
        <w:t>2023-2019</w:t>
      </w:r>
      <w:r w:rsidRPr="00DC0CBE">
        <w:rPr>
          <w:rtl/>
        </w:rPr>
        <w:t>.</w:t>
      </w:r>
    </w:p>
    <w:p w14:paraId="490D5111" w14:textId="77777777" w:rsidR="009D4103" w:rsidRPr="00DC0CBE" w:rsidRDefault="009D4103" w:rsidP="009D4103">
      <w:pPr>
        <w:rPr>
          <w:lang w:val="ar-SA" w:bidi="ar-EG"/>
        </w:rPr>
      </w:pPr>
      <w:r w:rsidRPr="00DC0CBE">
        <w:rPr>
          <w:rtl/>
        </w:rPr>
        <w:t xml:space="preserve">وعقدت لجنة الدراسات </w:t>
      </w:r>
      <w:r w:rsidRPr="00DC0CBE">
        <w:t>6</w:t>
      </w:r>
      <w:r w:rsidRPr="00DC0CBE">
        <w:rPr>
          <w:rtl/>
        </w:rPr>
        <w:t xml:space="preserve"> اجتماعين خلال عام </w:t>
      </w:r>
      <w:r w:rsidRPr="00DC0CBE">
        <w:t>2024</w:t>
      </w:r>
      <w:r w:rsidRPr="00DC0CBE">
        <w:rPr>
          <w:rtl/>
        </w:rPr>
        <w:t>.</w:t>
      </w:r>
    </w:p>
    <w:p w14:paraId="1EEBCF45"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6</w:t>
      </w:r>
      <w:r w:rsidR="009D4103" w:rsidRPr="00DC0CBE">
        <w:rPr>
          <w:rtl/>
        </w:rPr>
        <w:t xml:space="preserve"> الذين شاركوا في اجتماع لجنة الدراسات </w:t>
      </w:r>
      <w:r w:rsidR="009D4103" w:rsidRPr="00DC0CBE">
        <w:t>6</w:t>
      </w:r>
      <w:r w:rsidR="009D4103" w:rsidRPr="00DC0CBE">
        <w:rPr>
          <w:rtl/>
        </w:rPr>
        <w:t xml:space="preserve"> في </w:t>
      </w:r>
      <w:r w:rsidR="009D4103" w:rsidRPr="00DC0CBE">
        <w:t>15</w:t>
      </w:r>
      <w:r w:rsidR="009D4103" w:rsidRPr="00DC0CBE">
        <w:rPr>
          <w:rtl/>
        </w:rPr>
        <w:t xml:space="preserve"> مارس </w:t>
      </w:r>
      <w:r w:rsidR="009D4103" w:rsidRPr="00DC0CBE">
        <w:t>2024</w:t>
      </w:r>
      <w:r w:rsidR="009D4103" w:rsidRPr="00DC0CBE">
        <w:rPr>
          <w:rtl/>
        </w:rPr>
        <w:t xml:space="preserve">: </w:t>
      </w:r>
      <w:r w:rsidR="00AA398A" w:rsidRPr="00DC0CBE">
        <w:t>13/14</w:t>
      </w:r>
    </w:p>
    <w:p w14:paraId="577B5897"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6</w:t>
      </w:r>
      <w:r w:rsidR="009D4103" w:rsidRPr="00DC0CBE">
        <w:rPr>
          <w:rtl/>
        </w:rPr>
        <w:t xml:space="preserve"> الذين شاركوا في اجتماع لجنة الدراسات </w:t>
      </w:r>
      <w:r w:rsidR="009D4103" w:rsidRPr="00DC0CBE">
        <w:t>6</w:t>
      </w:r>
      <w:r w:rsidR="009D4103" w:rsidRPr="00DC0CBE">
        <w:rPr>
          <w:rtl/>
        </w:rPr>
        <w:t xml:space="preserve"> في </w:t>
      </w:r>
      <w:r w:rsidR="009D4103" w:rsidRPr="00DC0CBE">
        <w:t>15</w:t>
      </w:r>
      <w:r w:rsidR="009D4103" w:rsidRPr="00DC0CBE">
        <w:rPr>
          <w:rtl/>
        </w:rPr>
        <w:t xml:space="preserve"> </w:t>
      </w:r>
      <w:r w:rsidR="00AA398A" w:rsidRPr="00DC0CBE">
        <w:rPr>
          <w:rFonts w:hint="cs"/>
          <w:rtl/>
        </w:rPr>
        <w:t>نوفمب</w:t>
      </w:r>
      <w:r w:rsidR="00AA398A" w:rsidRPr="00DC0CBE">
        <w:rPr>
          <w:rFonts w:hint="eastAsia"/>
          <w:rtl/>
        </w:rPr>
        <w:t>ر</w:t>
      </w:r>
      <w:r w:rsidR="009D4103" w:rsidRPr="00DC0CBE">
        <w:rPr>
          <w:rtl/>
        </w:rPr>
        <w:t xml:space="preserve"> </w:t>
      </w:r>
      <w:r w:rsidR="009D4103" w:rsidRPr="00DC0CBE">
        <w:t>2024</w:t>
      </w:r>
      <w:r w:rsidR="009D4103" w:rsidRPr="00DC0CBE">
        <w:rPr>
          <w:rtl/>
          <w:lang w:bidi="ar-EG"/>
        </w:rPr>
        <w:t xml:space="preserve">: </w:t>
      </w:r>
      <w:r w:rsidR="00AA398A" w:rsidRPr="00DC0CBE">
        <w:rPr>
          <w:b/>
          <w:bCs/>
        </w:rPr>
        <w:t>13/14</w:t>
      </w:r>
    </w:p>
    <w:p w14:paraId="3202807C" w14:textId="77777777" w:rsidR="009D4103" w:rsidRPr="00DC0CBE" w:rsidRDefault="00AA398A" w:rsidP="00AA398A">
      <w:pPr>
        <w:pStyle w:val="Heading3"/>
        <w:rPr>
          <w:lang w:val="ar-SA"/>
        </w:rPr>
      </w:pPr>
      <w:bookmarkStart w:id="39" w:name="_Toc192766218"/>
      <w:r w:rsidRPr="00DC0CBE">
        <w:t>6.9.5</w:t>
      </w:r>
      <w:r w:rsidR="009D4103" w:rsidRPr="00DC0CBE">
        <w:rPr>
          <w:rtl/>
        </w:rPr>
        <w:tab/>
        <w:t>‏مشاركة نواب رئيس لجنة الدراسات ‎</w:t>
      </w:r>
      <w:r w:rsidR="009D4103" w:rsidRPr="00DC0CBE">
        <w:t>7</w:t>
      </w:r>
      <w:r w:rsidR="009D4103" w:rsidRPr="00DC0CBE">
        <w:rPr>
          <w:rtl/>
        </w:rPr>
        <w:t xml:space="preserve"> ‏في أعمال لجنة الدراسات ‎</w:t>
      </w:r>
      <w:r w:rsidR="009D4103" w:rsidRPr="00DC0CBE">
        <w:t>7</w:t>
      </w:r>
      <w:bookmarkEnd w:id="39"/>
    </w:p>
    <w:p w14:paraId="2507D08B" w14:textId="77777777" w:rsidR="009D4103" w:rsidRPr="00DC0CBE" w:rsidRDefault="009D4103" w:rsidP="009D4103">
      <w:pPr>
        <w:rPr>
          <w:lang w:val="ar-SA" w:bidi="ar-EG"/>
        </w:rPr>
      </w:pPr>
      <w:r w:rsidRPr="00DC0CBE">
        <w:rPr>
          <w:rtl/>
        </w:rPr>
        <w:t xml:space="preserve">‏كان لدى لجنة الدراسات </w:t>
      </w:r>
      <w:r w:rsidRPr="00DC0CBE">
        <w:t>7</w:t>
      </w:r>
      <w:r w:rsidRPr="00DC0CBE">
        <w:rPr>
          <w:rtl/>
        </w:rPr>
        <w:t xml:space="preserve"> عشرة (</w:t>
      </w:r>
      <w:r w:rsidRPr="00DC0CBE">
        <w:t>10</w:t>
      </w:r>
      <w:r w:rsidRPr="00DC0CBE">
        <w:rPr>
          <w:rtl/>
        </w:rPr>
        <w:t xml:space="preserve">) ‏نواب معيَّنين للرئيس لفترة الدراسة </w:t>
      </w:r>
      <w:r w:rsidR="00AA398A" w:rsidRPr="00DC0CBE">
        <w:t>2027-2023</w:t>
      </w:r>
      <w:r w:rsidRPr="00DC0CBE">
        <w:rPr>
          <w:rtl/>
        </w:rPr>
        <w:t>.</w:t>
      </w:r>
    </w:p>
    <w:p w14:paraId="37D82084"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الدراسات </w:t>
      </w:r>
      <w:r w:rsidR="009D4103" w:rsidRPr="00DC0CBE">
        <w:t>7</w:t>
      </w:r>
      <w:r w:rsidR="009D4103" w:rsidRPr="00DC0CBE">
        <w:rPr>
          <w:rtl/>
        </w:rPr>
        <w:t xml:space="preserve"> الذين شاركوا في اجتماع لجنة الدراسات </w:t>
      </w:r>
      <w:r w:rsidR="009D4103" w:rsidRPr="00DC0CBE">
        <w:t>7</w:t>
      </w:r>
      <w:r w:rsidR="009D4103" w:rsidRPr="00DC0CBE">
        <w:rPr>
          <w:rtl/>
        </w:rPr>
        <w:t xml:space="preserve"> في عام </w:t>
      </w:r>
      <w:r w:rsidR="009D4103" w:rsidRPr="00DC0CBE">
        <w:t>2024</w:t>
      </w:r>
      <w:r w:rsidR="009D4103" w:rsidRPr="00DC0CBE">
        <w:rPr>
          <w:rtl/>
          <w:lang w:bidi="ar-EG"/>
        </w:rPr>
        <w:t xml:space="preserve">: </w:t>
      </w:r>
      <w:r w:rsidR="00AA398A" w:rsidRPr="00DC0CBE">
        <w:rPr>
          <w:b/>
          <w:bCs/>
        </w:rPr>
        <w:t>9/10</w:t>
      </w:r>
    </w:p>
    <w:p w14:paraId="79642E62" w14:textId="77777777" w:rsidR="009D4103" w:rsidRPr="00DC0CBE" w:rsidRDefault="00AA398A" w:rsidP="00AA398A">
      <w:pPr>
        <w:pStyle w:val="Heading3"/>
        <w:rPr>
          <w:lang w:val="ar-SA"/>
        </w:rPr>
      </w:pPr>
      <w:bookmarkStart w:id="40" w:name="_Toc192766219"/>
      <w:r w:rsidRPr="00DC0CBE">
        <w:lastRenderedPageBreak/>
        <w:t>7.9.5</w:t>
      </w:r>
      <w:r w:rsidR="009D4103" w:rsidRPr="00DC0CBE">
        <w:rPr>
          <w:rtl/>
        </w:rPr>
        <w:tab/>
        <w:t xml:space="preserve">مشاركة نواب رئيس لجنة تنسيق المفردات في أعمال لجنة تنسيق المصطلحات </w:t>
      </w:r>
      <w:r w:rsidR="009D4103" w:rsidRPr="00DC0CBE">
        <w:t>(CCT)</w:t>
      </w:r>
      <w:r w:rsidR="009D4103" w:rsidRPr="00DC0CBE">
        <w:rPr>
          <w:rtl/>
        </w:rPr>
        <w:t xml:space="preserve"> التابعة للاتحاد</w:t>
      </w:r>
      <w:bookmarkEnd w:id="40"/>
    </w:p>
    <w:p w14:paraId="13545BEB" w14:textId="77777777" w:rsidR="009D4103" w:rsidRPr="00DC0CBE" w:rsidRDefault="009D4103" w:rsidP="009D4103">
      <w:pPr>
        <w:rPr>
          <w:lang w:val="ar-SA" w:bidi="ar-EG"/>
        </w:rPr>
      </w:pPr>
      <w:r w:rsidRPr="00DC0CBE">
        <w:rPr>
          <w:rtl/>
        </w:rPr>
        <w:t xml:space="preserve">‏كان لدى لجنة تنسيق المفردات </w:t>
      </w:r>
      <w:r w:rsidRPr="00DC0CBE">
        <w:t>6</w:t>
      </w:r>
      <w:r w:rsidRPr="00DC0CBE">
        <w:rPr>
          <w:rtl/>
        </w:rPr>
        <w:t xml:space="preserve"> نواب معيَّنين للرئيس لفترة الدراسة هذه.</w:t>
      </w:r>
    </w:p>
    <w:p w14:paraId="2656F2A8" w14:textId="77777777" w:rsidR="009D4103" w:rsidRPr="00DC0CBE" w:rsidRDefault="009D4103" w:rsidP="009D4103">
      <w:pPr>
        <w:rPr>
          <w:lang w:val="ar-SA" w:bidi="ar-EG"/>
        </w:rPr>
      </w:pPr>
      <w:r w:rsidRPr="00DC0CBE">
        <w:rPr>
          <w:rtl/>
        </w:rPr>
        <w:t xml:space="preserve">وعقدت لجنة تنسيق المصطلحات أربع مكالمات جماعية خلال عام </w:t>
      </w:r>
      <w:r w:rsidRPr="00DC0CBE">
        <w:t>2024</w:t>
      </w:r>
      <w:r w:rsidRPr="00DC0CBE">
        <w:rPr>
          <w:rtl/>
        </w:rPr>
        <w:t>.</w:t>
      </w:r>
    </w:p>
    <w:p w14:paraId="70A7D7EB"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تنسيق المفردات الذين شاركوا في مؤتمر لجنة تنسيق المفردات في </w:t>
      </w:r>
      <w:r w:rsidR="009D4103" w:rsidRPr="00DC0CBE">
        <w:t>16</w:t>
      </w:r>
      <w:r w:rsidR="009D4103" w:rsidRPr="00DC0CBE">
        <w:rPr>
          <w:rtl/>
        </w:rPr>
        <w:t xml:space="preserve"> أبريل </w:t>
      </w:r>
      <w:r w:rsidR="009D4103" w:rsidRPr="00DC0CBE">
        <w:t>2024</w:t>
      </w:r>
      <w:r w:rsidR="009D4103" w:rsidRPr="00DC0CBE">
        <w:rPr>
          <w:rtl/>
          <w:lang w:bidi="ar-EG"/>
        </w:rPr>
        <w:t xml:space="preserve">: </w:t>
      </w:r>
      <w:r w:rsidR="00AA398A" w:rsidRPr="00DC0CBE">
        <w:rPr>
          <w:b/>
          <w:bCs/>
        </w:rPr>
        <w:t>6/6</w:t>
      </w:r>
    </w:p>
    <w:p w14:paraId="721337BF"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تنسيق المفردات الذين شاركوا في مؤتمر لجنة تنسيق المفردات في </w:t>
      </w:r>
      <w:r w:rsidR="009D4103" w:rsidRPr="00DC0CBE">
        <w:t>25</w:t>
      </w:r>
      <w:r w:rsidR="009D4103" w:rsidRPr="00DC0CBE">
        <w:rPr>
          <w:rtl/>
        </w:rPr>
        <w:t xml:space="preserve"> يونيو </w:t>
      </w:r>
      <w:r w:rsidR="009D4103" w:rsidRPr="00DC0CBE">
        <w:t>2024</w:t>
      </w:r>
      <w:r w:rsidR="009D4103" w:rsidRPr="00DC0CBE">
        <w:rPr>
          <w:rtl/>
          <w:lang w:bidi="ar-EG"/>
        </w:rPr>
        <w:t xml:space="preserve">: </w:t>
      </w:r>
      <w:r w:rsidR="00AA398A" w:rsidRPr="00DC0CBE">
        <w:rPr>
          <w:b/>
          <w:bCs/>
        </w:rPr>
        <w:t>4/6</w:t>
      </w:r>
    </w:p>
    <w:p w14:paraId="664E9172" w14:textId="77777777" w:rsidR="009D4103" w:rsidRPr="00DC0CBE" w:rsidRDefault="000000EE" w:rsidP="00AA398A">
      <w:pPr>
        <w:pStyle w:val="enumlev1"/>
        <w:rPr>
          <w:lang w:val="ar-SA" w:bidi="ar-EG"/>
        </w:rPr>
      </w:pPr>
      <w:r w:rsidRPr="00DC0CBE">
        <w:rPr>
          <w:lang w:bidi="ar-EG"/>
        </w:rPr>
        <w:t>–</w:t>
      </w:r>
      <w:r w:rsidR="009D4103" w:rsidRPr="00DC0CBE">
        <w:rPr>
          <w:rtl/>
        </w:rPr>
        <w:tab/>
        <w:t xml:space="preserve">عدد نواب رئيس لجنة تنسيق المفردات الذين شاركوا في مؤتمر لجنة تنسيق المفردات في </w:t>
      </w:r>
      <w:r w:rsidR="009D4103" w:rsidRPr="00DC0CBE">
        <w:t>17</w:t>
      </w:r>
      <w:r w:rsidR="009D4103" w:rsidRPr="00DC0CBE">
        <w:rPr>
          <w:rtl/>
        </w:rPr>
        <w:t xml:space="preserve"> سبتمبر </w:t>
      </w:r>
      <w:r w:rsidR="009D4103" w:rsidRPr="00DC0CBE">
        <w:t>2024</w:t>
      </w:r>
      <w:r w:rsidR="009D4103" w:rsidRPr="00DC0CBE">
        <w:rPr>
          <w:rtl/>
          <w:lang w:bidi="ar-EG"/>
        </w:rPr>
        <w:t xml:space="preserve">: </w:t>
      </w:r>
      <w:r w:rsidR="00AA398A" w:rsidRPr="00DC0CBE">
        <w:rPr>
          <w:b/>
          <w:bCs/>
        </w:rPr>
        <w:t>4/6</w:t>
      </w:r>
    </w:p>
    <w:p w14:paraId="6F2EB461" w14:textId="77777777" w:rsidR="009D4103" w:rsidRPr="00DC0CBE" w:rsidRDefault="000000EE" w:rsidP="00AA398A">
      <w:pPr>
        <w:pStyle w:val="enumlev1"/>
        <w:rPr>
          <w:spacing w:val="-1"/>
          <w:lang w:val="ar-SA" w:bidi="ar-EG"/>
        </w:rPr>
      </w:pPr>
      <w:r w:rsidRPr="00DC0CBE">
        <w:rPr>
          <w:lang w:bidi="ar-EG"/>
        </w:rPr>
        <w:t>–</w:t>
      </w:r>
      <w:r w:rsidR="009D4103" w:rsidRPr="00DC0CBE">
        <w:rPr>
          <w:spacing w:val="-1"/>
          <w:rtl/>
        </w:rPr>
        <w:tab/>
        <w:t xml:space="preserve">عدد نواب رئيس لجنة تنسيق المفردات الذين شاركوا في مؤتمر لجنة تنسيق المفردات في </w:t>
      </w:r>
      <w:r w:rsidR="009D4103" w:rsidRPr="00DC0CBE">
        <w:rPr>
          <w:spacing w:val="-1"/>
        </w:rPr>
        <w:t>10</w:t>
      </w:r>
      <w:r w:rsidR="009D4103" w:rsidRPr="00DC0CBE">
        <w:rPr>
          <w:spacing w:val="-1"/>
          <w:rtl/>
        </w:rPr>
        <w:t xml:space="preserve"> ديسمبر </w:t>
      </w:r>
      <w:r w:rsidR="009D4103" w:rsidRPr="00DC0CBE">
        <w:rPr>
          <w:spacing w:val="-1"/>
        </w:rPr>
        <w:t>2024</w:t>
      </w:r>
      <w:r w:rsidR="009D4103" w:rsidRPr="00DC0CBE">
        <w:rPr>
          <w:spacing w:val="-1"/>
          <w:rtl/>
          <w:lang w:bidi="ar-EG"/>
        </w:rPr>
        <w:t xml:space="preserve">: </w:t>
      </w:r>
      <w:r w:rsidR="00AA398A" w:rsidRPr="00DC0CBE">
        <w:rPr>
          <w:b/>
          <w:bCs/>
          <w:spacing w:val="-1"/>
        </w:rPr>
        <w:t>3/6</w:t>
      </w:r>
    </w:p>
    <w:p w14:paraId="6DCAD1A4" w14:textId="77777777" w:rsidR="009D4103" w:rsidRPr="00DC0CBE" w:rsidRDefault="002165EC" w:rsidP="002165EC">
      <w:pPr>
        <w:pStyle w:val="Heading2"/>
        <w:rPr>
          <w:lang w:val="ar-SA"/>
        </w:rPr>
      </w:pPr>
      <w:bookmarkStart w:id="41" w:name="_Toc192766220"/>
      <w:bookmarkEnd w:id="32"/>
      <w:r w:rsidRPr="00DC0CBE">
        <w:t>10.5</w:t>
      </w:r>
      <w:r w:rsidR="009D4103" w:rsidRPr="00DC0CBE">
        <w:rPr>
          <w:rtl/>
        </w:rPr>
        <w:tab/>
        <w:t xml:space="preserve">أنشطة الاجتماع التحضيري للمؤتمر </w:t>
      </w:r>
      <w:r w:rsidR="009D4103" w:rsidRPr="00DC0CBE">
        <w:t>(CPM-27)</w:t>
      </w:r>
      <w:r w:rsidR="009D4103" w:rsidRPr="00DC0CBE">
        <w:rPr>
          <w:rtl/>
        </w:rPr>
        <w:t xml:space="preserve"> والتحضير للدورة الثانية من الاجتماع التحضيري للمؤتمر </w:t>
      </w:r>
      <w:r w:rsidR="009D4103" w:rsidRPr="00DC0CBE">
        <w:t>(CPM27-2)</w:t>
      </w:r>
      <w:bookmarkEnd w:id="41"/>
    </w:p>
    <w:p w14:paraId="18D969B5" w14:textId="77777777" w:rsidR="009D4103" w:rsidRPr="00DC0CBE" w:rsidRDefault="009D4103" w:rsidP="009D4103">
      <w:pPr>
        <w:rPr>
          <w:spacing w:val="-3"/>
          <w:lang w:val="ar-SA" w:bidi="ar-EG"/>
        </w:rPr>
      </w:pPr>
      <w:r w:rsidRPr="00DC0CBE">
        <w:rPr>
          <w:spacing w:val="-3"/>
          <w:rtl/>
        </w:rPr>
        <w:t xml:space="preserve">يرد ملخص لأنشطة الاجتماع التحضيري للمؤتمر </w:t>
      </w:r>
      <w:r w:rsidRPr="00DC0CBE">
        <w:rPr>
          <w:spacing w:val="-3"/>
        </w:rPr>
        <w:t>(CPM-27)</w:t>
      </w:r>
      <w:r w:rsidRPr="00DC0CBE">
        <w:rPr>
          <w:spacing w:val="-3"/>
          <w:rtl/>
        </w:rPr>
        <w:t xml:space="preserve"> والتحضير للدورة الثانية من الاجتماع التحضيري للمؤتمر </w:t>
      </w:r>
      <w:r w:rsidRPr="00DC0CBE">
        <w:rPr>
          <w:spacing w:val="-3"/>
        </w:rPr>
        <w:t>(CPM27-2)</w:t>
      </w:r>
      <w:r w:rsidRPr="00DC0CBE">
        <w:rPr>
          <w:spacing w:val="-3"/>
          <w:rtl/>
        </w:rPr>
        <w:t xml:space="preserve"> في القسم </w:t>
      </w:r>
      <w:r w:rsidRPr="00DC0CBE">
        <w:rPr>
          <w:spacing w:val="-3"/>
        </w:rPr>
        <w:t>4</w:t>
      </w:r>
      <w:r w:rsidRPr="00DC0CBE">
        <w:rPr>
          <w:spacing w:val="-3"/>
          <w:rtl/>
        </w:rPr>
        <w:t xml:space="preserve"> من الوثيقة </w:t>
      </w:r>
      <w:hyperlink r:id="rId32" w:history="1">
        <w:r w:rsidRPr="00DC0CBE">
          <w:rPr>
            <w:rStyle w:val="Hyperlink"/>
            <w:spacing w:val="-3"/>
            <w:lang w:bidi="ar-EG"/>
          </w:rPr>
          <w:t>RAG/30</w:t>
        </w:r>
      </w:hyperlink>
      <w:r w:rsidRPr="00DC0CBE">
        <w:rPr>
          <w:spacing w:val="-3"/>
          <w:rtl/>
        </w:rPr>
        <w:t>.</w:t>
      </w:r>
    </w:p>
    <w:p w14:paraId="67B8F23C" w14:textId="77777777" w:rsidR="009D4103" w:rsidRPr="00DC0CBE" w:rsidRDefault="002165EC" w:rsidP="002165EC">
      <w:pPr>
        <w:pStyle w:val="Heading1"/>
        <w:rPr>
          <w:lang w:val="ar-SA"/>
        </w:rPr>
      </w:pPr>
      <w:bookmarkStart w:id="42" w:name="_Toc192766221"/>
      <w:r w:rsidRPr="00DC0CBE">
        <w:t>6</w:t>
      </w:r>
      <w:r w:rsidR="009D4103" w:rsidRPr="00DC0CBE">
        <w:rPr>
          <w:rtl/>
        </w:rPr>
        <w:tab/>
        <w:t>الاتصال والتعاون مع قطاعَي تنمية الاتصالات وتقييس الاتصالات ومع منظمات أخرى</w:t>
      </w:r>
      <w:bookmarkEnd w:id="42"/>
    </w:p>
    <w:p w14:paraId="3D31CB74" w14:textId="77777777" w:rsidR="009D4103" w:rsidRPr="00DC0CBE" w:rsidRDefault="009D4103" w:rsidP="009D4103">
      <w:pPr>
        <w:rPr>
          <w:lang w:val="ar-SA" w:bidi="ar-EG"/>
        </w:rPr>
      </w:pPr>
      <w:r w:rsidRPr="00DC0CBE">
        <w:rPr>
          <w:rtl/>
        </w:rPr>
        <w:t>تواصلت الأنشطة المشتركة بين القطاعات طيلة هذه الفترة، لا سيما فيما يتعلق بمواضيع تغير المناخ واتصالات الطوارئ ونفاذ ذوي الإعاقة، وهي مواضيع تحظى بالأولوية في الاتحاد.</w:t>
      </w:r>
    </w:p>
    <w:p w14:paraId="3A56EAF2" w14:textId="77777777" w:rsidR="009D4103" w:rsidRPr="00DC0CBE" w:rsidRDefault="002165EC" w:rsidP="002165EC">
      <w:pPr>
        <w:pStyle w:val="Headingi"/>
        <w:rPr>
          <w:sz w:val="22"/>
          <w:szCs w:val="22"/>
        </w:rPr>
      </w:pPr>
      <w:r w:rsidRPr="00DC0CBE">
        <w:rPr>
          <w:sz w:val="22"/>
          <w:szCs w:val="22"/>
        </w:rPr>
        <w:sym w:font="Wingdings 2" w:char="F097"/>
      </w:r>
      <w:r w:rsidR="009D4103" w:rsidRPr="00DC0CBE">
        <w:rPr>
          <w:sz w:val="22"/>
          <w:szCs w:val="22"/>
          <w:rtl/>
        </w:rPr>
        <w:tab/>
        <w:t xml:space="preserve">قطاع تنمية الاتصالات </w:t>
      </w:r>
      <w:r w:rsidR="009D4103" w:rsidRPr="00DC0CBE">
        <w:rPr>
          <w:sz w:val="22"/>
          <w:szCs w:val="22"/>
        </w:rPr>
        <w:t>(ITU-D)</w:t>
      </w:r>
    </w:p>
    <w:p w14:paraId="33801C88" w14:textId="77777777" w:rsidR="009D4103" w:rsidRPr="00DC0CBE" w:rsidRDefault="009D4103" w:rsidP="009D4103">
      <w:pPr>
        <w:rPr>
          <w:lang w:val="ar-SA" w:bidi="ar-EG"/>
        </w:rPr>
      </w:pPr>
      <w:r w:rsidRPr="00DC0CBE">
        <w:rPr>
          <w:rtl/>
        </w:rPr>
        <w:t>يستمر مكتب الاتصالات الراديوية في المساهمة في ورش العمل والحلقات الدراسية التي ينظمها مكتب تنمية الاتصالات.</w:t>
      </w:r>
    </w:p>
    <w:p w14:paraId="54D36658" w14:textId="77777777" w:rsidR="009D4103" w:rsidRPr="00DC0CBE" w:rsidRDefault="009D4103" w:rsidP="009D4103">
      <w:pPr>
        <w:rPr>
          <w:lang w:val="ar-SA" w:bidi="ar-EG"/>
        </w:rPr>
      </w:pPr>
      <w:r w:rsidRPr="00DC0CBE">
        <w:rPr>
          <w:rtl/>
        </w:rPr>
        <w:t>وشارك مكتب الاتصالات الراديوية بنشاط في اجتماعات لجنتَي دراسات قطاع تنمية الاتصالات لتقديم أحدث التطورات في أنشطة لجان دراسات قطاع الاتصالات الراديوية، بما في ذلك التوجيه وخارطة الارتباطات بشأن توصيات قطاع الاتصالات الراديوية وتقاريره وكتيباته التي تتسم بأهمية خاصة للبلدان النامية ‏والدراسات التي أعدتها لجنتا الدراسات ‎</w:t>
      </w:r>
      <w:r w:rsidRPr="00DC0CBE">
        <w:t>1</w:t>
      </w:r>
      <w:r w:rsidRPr="00DC0CBE">
        <w:rPr>
          <w:rtl/>
        </w:rPr>
        <w:t xml:space="preserve"> ‏و</w:t>
      </w:r>
      <w:r w:rsidRPr="00DC0CBE">
        <w:t>‎2</w:t>
      </w:r>
      <w:r w:rsidRPr="00DC0CBE">
        <w:rPr>
          <w:rtl/>
        </w:rPr>
        <w:t xml:space="preserve"> ‏بقطاع تنمية الاتصالات.‎ وبالإضافة</w:t>
      </w:r>
      <w:r w:rsidR="002165EC" w:rsidRPr="00DC0CBE">
        <w:rPr>
          <w:rFonts w:hint="cs"/>
          <w:rtl/>
        </w:rPr>
        <w:t> </w:t>
      </w:r>
      <w:r w:rsidRPr="00DC0CBE">
        <w:rPr>
          <w:rtl/>
        </w:rPr>
        <w:t>إلى</w:t>
      </w:r>
      <w:r w:rsidR="002165EC" w:rsidRPr="00DC0CBE">
        <w:rPr>
          <w:rFonts w:hint="eastAsia"/>
          <w:rtl/>
          <w:lang w:bidi="ar-EG"/>
        </w:rPr>
        <w:t> </w:t>
      </w:r>
      <w:r w:rsidRPr="00DC0CBE">
        <w:rPr>
          <w:rtl/>
        </w:rPr>
        <w:t>ذلك، ردت لجان دراسات قطاع الاتصالات الراديوية أو فرق العمل التابعة لها</w:t>
      </w:r>
      <w:r w:rsidR="006E689A" w:rsidRPr="00DC0CBE">
        <w:rPr>
          <w:rtl/>
        </w:rPr>
        <w:t xml:space="preserve"> </w:t>
      </w:r>
      <w:r w:rsidRPr="00DC0CBE">
        <w:rPr>
          <w:rtl/>
        </w:rPr>
        <w:t>على عدة بيانات اتصال من لجان دراسات قطاع تنمية الاتصالات تتعلق بإعداد مشاريع تقارير قطاع تنمية الاتصالات المقدَّمة إلى المؤتمر العالمي لتنمية الاتصالات لعام</w:t>
      </w:r>
      <w:r w:rsidR="002165EC" w:rsidRPr="00DC0CBE">
        <w:rPr>
          <w:rFonts w:hint="cs"/>
          <w:rtl/>
        </w:rPr>
        <w:t> </w:t>
      </w:r>
      <w:r w:rsidRPr="00DC0CBE">
        <w:t>2025</w:t>
      </w:r>
      <w:r w:rsidRPr="00DC0CBE">
        <w:rPr>
          <w:rtl/>
        </w:rPr>
        <w:t> </w:t>
      </w:r>
      <w:r w:rsidRPr="00DC0CBE">
        <w:t>(WTDC-25)</w:t>
      </w:r>
      <w:r w:rsidRPr="00DC0CBE">
        <w:rPr>
          <w:rtl/>
        </w:rPr>
        <w:t xml:space="preserve"> استجابةً لمسائل قطاع تنمية الاتصالات المعتَمَدَة في المؤتمر العالمي لتنمية الاتصالات لعام</w:t>
      </w:r>
      <w:r w:rsidR="002165EC" w:rsidRPr="00DC0CBE">
        <w:rPr>
          <w:rFonts w:hint="cs"/>
          <w:rtl/>
        </w:rPr>
        <w:t> </w:t>
      </w:r>
      <w:r w:rsidRPr="00DC0CBE">
        <w:t>2022</w:t>
      </w:r>
      <w:r w:rsidR="002165EC" w:rsidRPr="00DC0CBE">
        <w:rPr>
          <w:rFonts w:hint="cs"/>
          <w:rtl/>
        </w:rPr>
        <w:t> </w:t>
      </w:r>
      <w:r w:rsidRPr="00DC0CBE">
        <w:t>(WTDC-22)</w:t>
      </w:r>
      <w:r w:rsidRPr="00DC0CBE">
        <w:rPr>
          <w:rtl/>
        </w:rPr>
        <w:t>.</w:t>
      </w:r>
    </w:p>
    <w:p w14:paraId="4D0A2F1C" w14:textId="77777777" w:rsidR="009D4103" w:rsidRPr="00DC0CBE" w:rsidRDefault="002165EC" w:rsidP="002165EC">
      <w:pPr>
        <w:pStyle w:val="Headingi"/>
        <w:rPr>
          <w:sz w:val="22"/>
          <w:szCs w:val="22"/>
          <w:lang w:val="ar-SA"/>
        </w:rPr>
      </w:pPr>
      <w:r w:rsidRPr="00DC0CBE">
        <w:rPr>
          <w:sz w:val="22"/>
          <w:szCs w:val="22"/>
        </w:rPr>
        <w:sym w:font="Wingdings 2" w:char="F097"/>
      </w:r>
      <w:r w:rsidR="009D4103" w:rsidRPr="00DC0CBE">
        <w:rPr>
          <w:sz w:val="22"/>
          <w:szCs w:val="22"/>
          <w:rtl/>
        </w:rPr>
        <w:tab/>
        <w:t xml:space="preserve">قطاع تقييس الاتصالات </w:t>
      </w:r>
      <w:r w:rsidR="009D4103" w:rsidRPr="00DC0CBE">
        <w:rPr>
          <w:sz w:val="22"/>
          <w:szCs w:val="22"/>
        </w:rPr>
        <w:t>(ITU-T)</w:t>
      </w:r>
    </w:p>
    <w:p w14:paraId="1ABE29A7" w14:textId="77777777" w:rsidR="009D4103" w:rsidRPr="00DC0CBE" w:rsidRDefault="009D4103" w:rsidP="009D4103">
      <w:pPr>
        <w:rPr>
          <w:lang w:val="ar-SA" w:bidi="ar-EG"/>
        </w:rPr>
      </w:pPr>
      <w:r w:rsidRPr="00DC0CBE">
        <w:rPr>
          <w:rtl/>
        </w:rPr>
        <w:t xml:space="preserve">إضافةً إلى تغير المناخ واتصالات الطوارئ، تشمل المواضيع ذات الاهتمام المشترك، بين قطاع الاتصالات الراديوية وقطاع تقييس الاتصالات، بما في ذلك الاتصالات المتنقلة الدولية </w:t>
      </w:r>
      <w:r w:rsidRPr="00DC0CBE">
        <w:rPr>
          <w:lang w:bidi="ar-EG"/>
        </w:rPr>
        <w:t>(IMT</w:t>
      </w:r>
      <w:r w:rsidRPr="00DC0CBE">
        <w:t>)</w:t>
      </w:r>
      <w:r w:rsidRPr="00DC0CBE">
        <w:rPr>
          <w:rtl/>
        </w:rPr>
        <w:t xml:space="preserve"> وآثار التعرض البشري للترددات الراديوية وأنظمة الاتصالات عبر خطوط الكهرباء والشبكة الذكية والمدن الذكية والتوافق/التداخل </w:t>
      </w:r>
      <w:proofErr w:type="spellStart"/>
      <w:r w:rsidRPr="00DC0CBE">
        <w:rPr>
          <w:rtl/>
        </w:rPr>
        <w:t>الكهرمغنطيسي</w:t>
      </w:r>
      <w:proofErr w:type="spellEnd"/>
      <w:r w:rsidRPr="00DC0CBE">
        <w:rPr>
          <w:rtl/>
        </w:rPr>
        <w:t xml:space="preserve"> </w:t>
      </w:r>
      <w:r w:rsidRPr="00DC0CBE">
        <w:t>(</w:t>
      </w:r>
      <w:r w:rsidRPr="00DC0CBE">
        <w:rPr>
          <w:lang w:bidi="ar-EG"/>
        </w:rPr>
        <w:t>EMC/EMI</w:t>
      </w:r>
      <w:r w:rsidRPr="00DC0CBE">
        <w:t>)</w:t>
      </w:r>
      <w:r w:rsidRPr="00DC0CBE">
        <w:rPr>
          <w:rtl/>
        </w:rPr>
        <w:t xml:space="preserve"> وأنظمة النقل الذكية وإمكانية النفاذ إلى</w:t>
      </w:r>
      <w:r w:rsidR="00517DD9" w:rsidRPr="00DC0CBE">
        <w:rPr>
          <w:rFonts w:hint="eastAsia"/>
          <w:rtl/>
          <w:lang w:bidi="ar-EG"/>
        </w:rPr>
        <w:t> </w:t>
      </w:r>
      <w:r w:rsidRPr="00DC0CBE">
        <w:rPr>
          <w:rtl/>
        </w:rPr>
        <w:t>الوسائط السمعية-المرئية والسياسة المشتركة لبراءات الاختراع وحقوق الملكية الفكرية.</w:t>
      </w:r>
    </w:p>
    <w:p w14:paraId="0C50B567" w14:textId="77777777" w:rsidR="009D4103" w:rsidRPr="00DC0CBE" w:rsidRDefault="002165EC" w:rsidP="002165EC">
      <w:pPr>
        <w:pStyle w:val="Headingi"/>
        <w:rPr>
          <w:sz w:val="22"/>
          <w:szCs w:val="22"/>
          <w:lang w:val="ar-SA"/>
        </w:rPr>
      </w:pPr>
      <w:r w:rsidRPr="00DC0CBE">
        <w:rPr>
          <w:sz w:val="22"/>
          <w:szCs w:val="22"/>
        </w:rPr>
        <w:sym w:font="Wingdings 2" w:char="F097"/>
      </w:r>
      <w:r w:rsidR="009D4103" w:rsidRPr="00DC0CBE">
        <w:rPr>
          <w:sz w:val="22"/>
          <w:szCs w:val="22"/>
          <w:rtl/>
        </w:rPr>
        <w:tab/>
        <w:t>المنظمات الأخرى</w:t>
      </w:r>
    </w:p>
    <w:p w14:paraId="0F4BD9B5" w14:textId="77777777" w:rsidR="006E689A" w:rsidRPr="00DC0CBE" w:rsidRDefault="009D4103" w:rsidP="009D4103">
      <w:pPr>
        <w:rPr>
          <w:rtl/>
        </w:rPr>
      </w:pPr>
      <w:r w:rsidRPr="00DC0CBE">
        <w:rPr>
          <w:rtl/>
        </w:rPr>
        <w:t xml:space="preserve">استمرت علاقات الاتصال المناسبة بين لجان دراسات قطاع الاتصالات الراديوية ومنظمات أخرى، بالرجوع إلى القرار </w:t>
      </w:r>
      <w:hyperlink r:id="rId33" w:history="1">
        <w:r w:rsidRPr="00DC0CBE">
          <w:rPr>
            <w:rStyle w:val="Hyperlink"/>
          </w:rPr>
          <w:t>ITU-R 9</w:t>
        </w:r>
      </w:hyperlink>
      <w:r w:rsidRPr="00DC0CBE">
        <w:rPr>
          <w:rtl/>
        </w:rPr>
        <w:t xml:space="preserve"> على النحو الواجب حيثما اقتضى الأمر.</w:t>
      </w:r>
    </w:p>
    <w:p w14:paraId="6BEBAB73" w14:textId="77777777" w:rsidR="009D4103" w:rsidRPr="00DC0CBE" w:rsidRDefault="009D4103" w:rsidP="009D4103">
      <w:pPr>
        <w:rPr>
          <w:lang w:val="ar-SA" w:bidi="ar-EG"/>
        </w:rPr>
      </w:pPr>
      <w:r w:rsidRPr="00DC0CBE">
        <w:rPr>
          <w:rtl/>
        </w:rPr>
        <w:t>وواصل مكتب الاتصالات الراديوية التعاون عن كثب مع عدة منظمات لتحقيق الأهداف التالية:</w:t>
      </w:r>
    </w:p>
    <w:p w14:paraId="4B1D4B8B" w14:textId="78A4E8AB" w:rsidR="009D4103" w:rsidRPr="00DC0CBE" w:rsidRDefault="002165EC" w:rsidP="002165EC">
      <w:pPr>
        <w:pStyle w:val="enumlev1"/>
        <w:rPr>
          <w:lang w:val="ar-SA" w:bidi="ar-EG"/>
        </w:rPr>
      </w:pPr>
      <w:r w:rsidRPr="00DC0CBE">
        <w:t>1</w:t>
      </w:r>
      <w:r w:rsidRPr="00DC0CBE">
        <w:tab/>
      </w:r>
      <w:r w:rsidR="009D4103" w:rsidRPr="00DC0CBE">
        <w:rPr>
          <w:rtl/>
        </w:rPr>
        <w:t xml:space="preserve">تعزيز الحوار بين الهيئات ذات المصالح </w:t>
      </w:r>
      <w:proofErr w:type="gramStart"/>
      <w:r w:rsidR="009D4103" w:rsidRPr="00DC0CBE">
        <w:rPr>
          <w:rtl/>
        </w:rPr>
        <w:t>المشتركة؛</w:t>
      </w:r>
      <w:proofErr w:type="gramEnd"/>
    </w:p>
    <w:p w14:paraId="3DE7FB92" w14:textId="697EE3AD" w:rsidR="006E689A" w:rsidRPr="00DC0CBE" w:rsidRDefault="002165EC" w:rsidP="002165EC">
      <w:pPr>
        <w:pStyle w:val="enumlev1"/>
        <w:rPr>
          <w:rtl/>
        </w:rPr>
      </w:pPr>
      <w:r w:rsidRPr="00DC0CBE">
        <w:t>2</w:t>
      </w:r>
      <w:r w:rsidRPr="00DC0CBE">
        <w:tab/>
      </w:r>
      <w:r w:rsidR="009D4103" w:rsidRPr="00DC0CBE">
        <w:rPr>
          <w:rtl/>
        </w:rPr>
        <w:t xml:space="preserve">تحسين التنسيق الذي يؤدي إلى تحضير أكثر فعالية لأحداث مثل المؤتمرات العالمية للاتصالات </w:t>
      </w:r>
      <w:proofErr w:type="gramStart"/>
      <w:r w:rsidR="009D4103" w:rsidRPr="00DC0CBE">
        <w:rPr>
          <w:rtl/>
        </w:rPr>
        <w:t>الراديوية؛</w:t>
      </w:r>
      <w:proofErr w:type="gramEnd"/>
    </w:p>
    <w:p w14:paraId="07AAF559" w14:textId="43F151EB" w:rsidR="009D4103" w:rsidRPr="00DC0CBE" w:rsidRDefault="002165EC" w:rsidP="002165EC">
      <w:pPr>
        <w:pStyle w:val="enumlev1"/>
        <w:rPr>
          <w:lang w:val="ar-SA" w:bidi="ar-EG"/>
        </w:rPr>
      </w:pPr>
      <w:r w:rsidRPr="00DC0CBE">
        <w:t>3</w:t>
      </w:r>
      <w:r w:rsidRPr="00DC0CBE">
        <w:tab/>
      </w:r>
      <w:r w:rsidR="009D4103" w:rsidRPr="00DC0CBE">
        <w:rPr>
          <w:rtl/>
        </w:rPr>
        <w:t>إبقاء قطاع الاتصالات الراديوية على اطلاع متواصل على الأنشطة ذات الصلة في المنظمات الأخرى من أجل تخطيط أكثر استراتيجية لبرامج العمل.</w:t>
      </w:r>
    </w:p>
    <w:p w14:paraId="4492FAA0" w14:textId="77777777" w:rsidR="009D4103" w:rsidRPr="00DC0CBE" w:rsidRDefault="009D4103" w:rsidP="007713BF">
      <w:pPr>
        <w:keepNext/>
        <w:rPr>
          <w:lang w:val="ar-SA" w:bidi="ar-EG"/>
        </w:rPr>
      </w:pPr>
      <w:r w:rsidRPr="00DC0CBE">
        <w:rPr>
          <w:rtl/>
        </w:rPr>
        <w:lastRenderedPageBreak/>
        <w:t>ويواصل المكتب تعاونه الوثيق مع المنظمات الدولية والإقليمية ذات الصلة، بما فيها على سبيل المثال لا الحصر:</w:t>
      </w:r>
    </w:p>
    <w:p w14:paraId="55A594CE" w14:textId="77777777" w:rsidR="009D4103" w:rsidRPr="00DC0CBE" w:rsidRDefault="000000EE" w:rsidP="002165EC">
      <w:pPr>
        <w:pStyle w:val="enumlev1"/>
        <w:rPr>
          <w:spacing w:val="-2"/>
          <w:lang w:val="ar-SA" w:bidi="ar-EG"/>
        </w:rPr>
      </w:pPr>
      <w:r w:rsidRPr="00DC0CBE">
        <w:rPr>
          <w:spacing w:val="-2"/>
          <w:lang w:bidi="ar-EG"/>
        </w:rPr>
        <w:t>–</w:t>
      </w:r>
      <w:r w:rsidR="009D4103" w:rsidRPr="00DC0CBE">
        <w:rPr>
          <w:spacing w:val="-2"/>
          <w:rtl/>
        </w:rPr>
        <w:tab/>
        <w:t xml:space="preserve">اتحاد آسيا والمحيط الهادئ للاتصالات </w:t>
      </w:r>
      <w:r w:rsidR="009D4103" w:rsidRPr="00DC0CBE">
        <w:rPr>
          <w:spacing w:val="-2"/>
          <w:lang w:bidi="ar-EG"/>
        </w:rPr>
        <w:t>(APT</w:t>
      </w:r>
      <w:r w:rsidR="009D4103" w:rsidRPr="00DC0CBE">
        <w:rPr>
          <w:spacing w:val="-2"/>
        </w:rPr>
        <w:t>)</w:t>
      </w:r>
      <w:r w:rsidR="009D4103" w:rsidRPr="00DC0CBE">
        <w:rPr>
          <w:spacing w:val="-2"/>
          <w:rtl/>
        </w:rPr>
        <w:t xml:space="preserve">، وفريق إدارة الطيف في البلدان العربية </w:t>
      </w:r>
      <w:r w:rsidR="009D4103" w:rsidRPr="00DC0CBE">
        <w:rPr>
          <w:spacing w:val="-2"/>
        </w:rPr>
        <w:t>(</w:t>
      </w:r>
      <w:r w:rsidR="009D4103" w:rsidRPr="00DC0CBE">
        <w:rPr>
          <w:spacing w:val="-2"/>
          <w:lang w:bidi="ar-EG"/>
        </w:rPr>
        <w:t>ASMG</w:t>
      </w:r>
      <w:r w:rsidR="009D4103" w:rsidRPr="00DC0CBE">
        <w:rPr>
          <w:spacing w:val="-2"/>
        </w:rPr>
        <w:t>)</w:t>
      </w:r>
      <w:r w:rsidR="009D4103" w:rsidRPr="00DC0CBE">
        <w:rPr>
          <w:spacing w:val="-2"/>
          <w:rtl/>
        </w:rPr>
        <w:t xml:space="preserve">، والاتحاد الإفريقي للاتصالات </w:t>
      </w:r>
      <w:r w:rsidR="009D4103" w:rsidRPr="00DC0CBE">
        <w:rPr>
          <w:spacing w:val="-2"/>
        </w:rPr>
        <w:t>(</w:t>
      </w:r>
      <w:r w:rsidR="009D4103" w:rsidRPr="00DC0CBE">
        <w:rPr>
          <w:spacing w:val="-2"/>
          <w:lang w:bidi="ar-EG"/>
        </w:rPr>
        <w:t>ATU</w:t>
      </w:r>
      <w:r w:rsidR="009D4103" w:rsidRPr="00DC0CBE">
        <w:rPr>
          <w:spacing w:val="-2"/>
        </w:rPr>
        <w:t>)</w:t>
      </w:r>
      <w:r w:rsidR="009D4103" w:rsidRPr="00DC0CBE">
        <w:rPr>
          <w:spacing w:val="-2"/>
          <w:rtl/>
        </w:rPr>
        <w:t xml:space="preserve">، والمؤتمر الأوروبي لإدارات البريد والاتصالات </w:t>
      </w:r>
      <w:r w:rsidR="009D4103" w:rsidRPr="00DC0CBE">
        <w:rPr>
          <w:spacing w:val="-2"/>
        </w:rPr>
        <w:t>(</w:t>
      </w:r>
      <w:r w:rsidR="009D4103" w:rsidRPr="00DC0CBE">
        <w:rPr>
          <w:spacing w:val="-2"/>
          <w:lang w:bidi="ar-EG"/>
        </w:rPr>
        <w:t>CEPT</w:t>
      </w:r>
      <w:r w:rsidR="009D4103" w:rsidRPr="00DC0CBE">
        <w:rPr>
          <w:spacing w:val="-2"/>
        </w:rPr>
        <w:t>)</w:t>
      </w:r>
      <w:r w:rsidR="009D4103" w:rsidRPr="00DC0CBE">
        <w:rPr>
          <w:spacing w:val="-2"/>
          <w:rtl/>
        </w:rPr>
        <w:t>، ولجنة البلدان الأمريكية للاتصالات</w:t>
      </w:r>
      <w:r w:rsidR="008A3D61" w:rsidRPr="00DC0CBE">
        <w:rPr>
          <w:rFonts w:hint="eastAsia"/>
          <w:spacing w:val="-2"/>
          <w:rtl/>
        </w:rPr>
        <w:t> </w:t>
      </w:r>
      <w:r w:rsidR="009D4103" w:rsidRPr="00DC0CBE">
        <w:rPr>
          <w:spacing w:val="-2"/>
        </w:rPr>
        <w:t>(</w:t>
      </w:r>
      <w:r w:rsidR="009D4103" w:rsidRPr="00DC0CBE">
        <w:rPr>
          <w:spacing w:val="-2"/>
          <w:lang w:bidi="ar-EG"/>
        </w:rPr>
        <w:t>CITEL</w:t>
      </w:r>
      <w:r w:rsidR="009D4103" w:rsidRPr="00DC0CBE">
        <w:rPr>
          <w:spacing w:val="-2"/>
        </w:rPr>
        <w:t>)</w:t>
      </w:r>
      <w:r w:rsidR="009D4103" w:rsidRPr="00DC0CBE">
        <w:rPr>
          <w:spacing w:val="-2"/>
          <w:rtl/>
        </w:rPr>
        <w:t xml:space="preserve">، والكومنولث الإقليمي في مجال الاتصالات </w:t>
      </w:r>
      <w:r w:rsidR="009D4103" w:rsidRPr="00DC0CBE">
        <w:rPr>
          <w:spacing w:val="-2"/>
        </w:rPr>
        <w:t>(</w:t>
      </w:r>
      <w:r w:rsidR="009D4103" w:rsidRPr="00DC0CBE">
        <w:rPr>
          <w:spacing w:val="-2"/>
          <w:lang w:bidi="ar-EG"/>
        </w:rPr>
        <w:t>RCC</w:t>
      </w:r>
      <w:r w:rsidR="009D4103" w:rsidRPr="00DC0CBE">
        <w:rPr>
          <w:spacing w:val="-2"/>
        </w:rPr>
        <w:t>)</w:t>
      </w:r>
      <w:r w:rsidR="009D4103" w:rsidRPr="00DC0CBE">
        <w:rPr>
          <w:spacing w:val="-2"/>
          <w:rtl/>
        </w:rPr>
        <w:t xml:space="preserve"> للتنسيق </w:t>
      </w:r>
      <w:proofErr w:type="gramStart"/>
      <w:r w:rsidR="009D4103" w:rsidRPr="00DC0CBE">
        <w:rPr>
          <w:spacing w:val="-2"/>
          <w:rtl/>
        </w:rPr>
        <w:t>الإقليمي؛</w:t>
      </w:r>
      <w:proofErr w:type="gramEnd"/>
    </w:p>
    <w:p w14:paraId="4C4A8404" w14:textId="77777777" w:rsidR="009D4103" w:rsidRPr="00DC0CBE" w:rsidRDefault="000000EE" w:rsidP="002165EC">
      <w:pPr>
        <w:pStyle w:val="enumlev1"/>
        <w:rPr>
          <w:lang w:val="ar-SA" w:bidi="ar-EG"/>
        </w:rPr>
      </w:pPr>
      <w:r w:rsidRPr="00DC0CBE">
        <w:rPr>
          <w:lang w:bidi="ar-EG"/>
        </w:rPr>
        <w:t>–</w:t>
      </w:r>
      <w:r w:rsidR="009D4103" w:rsidRPr="00DC0CBE">
        <w:rPr>
          <w:rtl/>
        </w:rPr>
        <w:tab/>
        <w:t xml:space="preserve">اتحاد إذاعات آسيا والمحيط الهادئ </w:t>
      </w:r>
      <w:r w:rsidR="009D4103" w:rsidRPr="00DC0CBE">
        <w:rPr>
          <w:lang w:bidi="ar-EG"/>
        </w:rPr>
        <w:t>(ABU</w:t>
      </w:r>
      <w:r w:rsidR="009D4103" w:rsidRPr="00DC0CBE">
        <w:t>)</w:t>
      </w:r>
      <w:r w:rsidR="009D4103" w:rsidRPr="00DC0CBE">
        <w:rPr>
          <w:rtl/>
        </w:rPr>
        <w:t xml:space="preserve"> واتحاد إذاعات الدول العربية </w:t>
      </w:r>
      <w:r w:rsidR="009D4103" w:rsidRPr="00DC0CBE">
        <w:t>(</w:t>
      </w:r>
      <w:r w:rsidR="009D4103" w:rsidRPr="00DC0CBE">
        <w:rPr>
          <w:lang w:bidi="ar-EG"/>
        </w:rPr>
        <w:t>ASBU</w:t>
      </w:r>
      <w:r w:rsidR="009D4103" w:rsidRPr="00DC0CBE">
        <w:t>)</w:t>
      </w:r>
      <w:r w:rsidR="009D4103" w:rsidRPr="00DC0CBE">
        <w:rPr>
          <w:rtl/>
        </w:rPr>
        <w:t xml:space="preserve"> واتحاد الإذاعات الأوروبي </w:t>
      </w:r>
      <w:r w:rsidR="009D4103" w:rsidRPr="00DC0CBE">
        <w:t>(</w:t>
      </w:r>
      <w:r w:rsidR="009D4103" w:rsidRPr="00DC0CBE">
        <w:rPr>
          <w:lang w:bidi="ar-EG"/>
        </w:rPr>
        <w:t>EBU</w:t>
      </w:r>
      <w:r w:rsidR="009D4103" w:rsidRPr="00DC0CBE">
        <w:t>)</w:t>
      </w:r>
      <w:r w:rsidR="009D4103" w:rsidRPr="00DC0CBE">
        <w:rPr>
          <w:rtl/>
        </w:rPr>
        <w:t xml:space="preserve"> وبرنامج التدريب على إدارة الطيف </w:t>
      </w:r>
      <w:r w:rsidR="009D4103" w:rsidRPr="00DC0CBE">
        <w:t>(</w:t>
      </w:r>
      <w:r w:rsidR="009D4103" w:rsidRPr="00DC0CBE">
        <w:rPr>
          <w:lang w:bidi="ar-EG"/>
        </w:rPr>
        <w:t>SMPT</w:t>
      </w:r>
      <w:r w:rsidR="009D4103" w:rsidRPr="00DC0CBE">
        <w:t>)</w:t>
      </w:r>
      <w:r w:rsidR="009D4103" w:rsidRPr="00DC0CBE">
        <w:rPr>
          <w:rtl/>
        </w:rPr>
        <w:t xml:space="preserve"> والمعهد الأوروبي لمعايير الاتصالات </w:t>
      </w:r>
      <w:r w:rsidR="009D4103" w:rsidRPr="00DC0CBE">
        <w:t>(</w:t>
      </w:r>
      <w:r w:rsidR="009D4103" w:rsidRPr="00DC0CBE">
        <w:rPr>
          <w:lang w:bidi="ar-EG"/>
        </w:rPr>
        <w:t>ETSI</w:t>
      </w:r>
      <w:r w:rsidR="009D4103" w:rsidRPr="00DC0CBE">
        <w:t>)</w:t>
      </w:r>
      <w:r w:rsidR="009D4103" w:rsidRPr="00DC0CBE">
        <w:rPr>
          <w:rtl/>
        </w:rPr>
        <w:t xml:space="preserve"> ومؤتمر تنسيق البث على الموجات </w:t>
      </w:r>
      <w:proofErr w:type="spellStart"/>
      <w:r w:rsidR="009D4103" w:rsidRPr="00DC0CBE">
        <w:rPr>
          <w:rtl/>
        </w:rPr>
        <w:t>الديكامترية</w:t>
      </w:r>
      <w:proofErr w:type="spellEnd"/>
      <w:r w:rsidR="009D4103" w:rsidRPr="00DC0CBE">
        <w:rPr>
          <w:rtl/>
        </w:rPr>
        <w:t xml:space="preserve"> </w:t>
      </w:r>
      <w:r w:rsidRPr="00DC0CBE">
        <w:t>(</w:t>
      </w:r>
      <w:r w:rsidR="009D4103" w:rsidRPr="00DC0CBE">
        <w:rPr>
          <w:lang w:bidi="ar-EG"/>
        </w:rPr>
        <w:t>HFCC)</w:t>
      </w:r>
      <w:r w:rsidR="009D4103" w:rsidRPr="00DC0CBE">
        <w:rPr>
          <w:rtl/>
        </w:rPr>
        <w:t xml:space="preserve"> للشؤون </w:t>
      </w:r>
      <w:proofErr w:type="gramStart"/>
      <w:r w:rsidR="009D4103" w:rsidRPr="00DC0CBE">
        <w:rPr>
          <w:rtl/>
        </w:rPr>
        <w:t>الإذاعية؛</w:t>
      </w:r>
      <w:proofErr w:type="gramEnd"/>
    </w:p>
    <w:p w14:paraId="61B77DD8" w14:textId="77777777" w:rsidR="009D4103" w:rsidRPr="00DC0CBE" w:rsidRDefault="000000EE" w:rsidP="002165EC">
      <w:pPr>
        <w:pStyle w:val="enumlev1"/>
        <w:rPr>
          <w:lang w:val="ar-SA" w:bidi="ar-EG"/>
        </w:rPr>
      </w:pPr>
      <w:r w:rsidRPr="00DC0CBE">
        <w:rPr>
          <w:lang w:bidi="ar-EG"/>
        </w:rPr>
        <w:t>–</w:t>
      </w:r>
      <w:r w:rsidR="009D4103" w:rsidRPr="00DC0CBE">
        <w:rPr>
          <w:rtl/>
        </w:rPr>
        <w:tab/>
        <w:t xml:space="preserve">المنظمة الدولية للاتصالات </w:t>
      </w:r>
      <w:proofErr w:type="spellStart"/>
      <w:r w:rsidR="009D4103" w:rsidRPr="00DC0CBE">
        <w:rPr>
          <w:rtl/>
        </w:rPr>
        <w:t>الساتلية</w:t>
      </w:r>
      <w:proofErr w:type="spellEnd"/>
      <w:r w:rsidR="009D4103" w:rsidRPr="00DC0CBE">
        <w:rPr>
          <w:rtl/>
        </w:rPr>
        <w:t xml:space="preserve"> </w:t>
      </w:r>
      <w:r w:rsidR="009D4103" w:rsidRPr="00DC0CBE">
        <w:rPr>
          <w:lang w:bidi="ar-EG"/>
        </w:rPr>
        <w:t>(ITSO</w:t>
      </w:r>
      <w:r w:rsidR="009D4103" w:rsidRPr="00DC0CBE">
        <w:t>)</w:t>
      </w:r>
      <w:r w:rsidR="009D4103" w:rsidRPr="00DC0CBE">
        <w:rPr>
          <w:rtl/>
        </w:rPr>
        <w:t xml:space="preserve">، والرابطة الأوروبية لمشغلي </w:t>
      </w:r>
      <w:proofErr w:type="spellStart"/>
      <w:r w:rsidR="009D4103" w:rsidRPr="00DC0CBE">
        <w:rPr>
          <w:rtl/>
        </w:rPr>
        <w:t>السواتل</w:t>
      </w:r>
      <w:proofErr w:type="spellEnd"/>
      <w:r w:rsidR="009D4103" w:rsidRPr="00DC0CBE">
        <w:rPr>
          <w:rtl/>
        </w:rPr>
        <w:t xml:space="preserve"> </w:t>
      </w:r>
      <w:r w:rsidR="009D4103" w:rsidRPr="00DC0CBE">
        <w:t>(</w:t>
      </w:r>
      <w:r w:rsidR="009D4103" w:rsidRPr="00DC0CBE">
        <w:rPr>
          <w:lang w:bidi="ar-EG"/>
        </w:rPr>
        <w:t>ESOA</w:t>
      </w:r>
      <w:r w:rsidR="009D4103" w:rsidRPr="00DC0CBE">
        <w:t>)</w:t>
      </w:r>
      <w:r w:rsidR="009D4103" w:rsidRPr="00DC0CBE">
        <w:rPr>
          <w:rtl/>
        </w:rPr>
        <w:t xml:space="preserve">، والمنتدى العالمي </w:t>
      </w:r>
      <w:proofErr w:type="spellStart"/>
      <w:r w:rsidR="009D4103" w:rsidRPr="00DC0CBE">
        <w:rPr>
          <w:rtl/>
        </w:rPr>
        <w:t>للمطاريف</w:t>
      </w:r>
      <w:proofErr w:type="spellEnd"/>
      <w:r w:rsidR="009D4103" w:rsidRPr="00DC0CBE">
        <w:rPr>
          <w:rtl/>
        </w:rPr>
        <w:t xml:space="preserve"> ذات الفتحات الصغيرة جداً </w:t>
      </w:r>
      <w:r w:rsidR="009D4103" w:rsidRPr="00DC0CBE">
        <w:t>(</w:t>
      </w:r>
      <w:r w:rsidR="009D4103" w:rsidRPr="00DC0CBE">
        <w:rPr>
          <w:lang w:bidi="ar-EG"/>
        </w:rPr>
        <w:t>GVF</w:t>
      </w:r>
      <w:r w:rsidR="009D4103" w:rsidRPr="00DC0CBE">
        <w:t>)</w:t>
      </w:r>
      <w:r w:rsidR="009D4103" w:rsidRPr="00DC0CBE">
        <w:rPr>
          <w:rtl/>
        </w:rPr>
        <w:t xml:space="preserve">، ورابطة النظام العالمي للاتصالات المتنقلة </w:t>
      </w:r>
      <w:r w:rsidR="009D4103" w:rsidRPr="00DC0CBE">
        <w:t>(</w:t>
      </w:r>
      <w:r w:rsidR="009D4103" w:rsidRPr="00DC0CBE">
        <w:rPr>
          <w:lang w:bidi="ar-EG"/>
        </w:rPr>
        <w:t>GSMA</w:t>
      </w:r>
      <w:r w:rsidR="009D4103" w:rsidRPr="00DC0CBE">
        <w:t>)</w:t>
      </w:r>
      <w:r w:rsidR="009D4103" w:rsidRPr="00DC0CBE">
        <w:rPr>
          <w:rtl/>
        </w:rPr>
        <w:t xml:space="preserve"> بشأن استعمال أنظمة وخدمات اتصالات راديوية </w:t>
      </w:r>
      <w:proofErr w:type="gramStart"/>
      <w:r w:rsidR="009D4103" w:rsidRPr="00DC0CBE">
        <w:rPr>
          <w:rtl/>
        </w:rPr>
        <w:t>محددة؛</w:t>
      </w:r>
      <w:proofErr w:type="gramEnd"/>
    </w:p>
    <w:p w14:paraId="5763B2FD" w14:textId="77777777" w:rsidR="009D4103" w:rsidRPr="00DC0CBE" w:rsidRDefault="000000EE" w:rsidP="002165EC">
      <w:pPr>
        <w:pStyle w:val="enumlev1"/>
        <w:rPr>
          <w:lang w:val="ar-SA" w:bidi="ar-EG"/>
        </w:rPr>
      </w:pPr>
      <w:r w:rsidRPr="00DC0CBE">
        <w:rPr>
          <w:lang w:bidi="ar-EG"/>
        </w:rPr>
        <w:t>–</w:t>
      </w:r>
      <w:r w:rsidR="009D4103" w:rsidRPr="00DC0CBE">
        <w:rPr>
          <w:rtl/>
        </w:rPr>
        <w:tab/>
        <w:t xml:space="preserve">شراكة الجيل الثالث </w:t>
      </w:r>
      <w:r w:rsidR="009D4103" w:rsidRPr="00DC0CBE">
        <w:t>3G</w:t>
      </w:r>
      <w:r w:rsidR="009D4103" w:rsidRPr="00DC0CBE">
        <w:rPr>
          <w:rtl/>
        </w:rPr>
        <w:t xml:space="preserve"> </w:t>
      </w:r>
      <w:r w:rsidR="009D4103" w:rsidRPr="00DC0CBE">
        <w:t>(3GPP)</w:t>
      </w:r>
      <w:r w:rsidR="009D4103" w:rsidRPr="00DC0CBE">
        <w:rPr>
          <w:rtl/>
        </w:rPr>
        <w:t xml:space="preserve"> ومعهد مهندسي الكهرباء والإلكترونيات </w:t>
      </w:r>
      <w:r w:rsidR="009D4103" w:rsidRPr="00DC0CBE">
        <w:rPr>
          <w:lang w:bidi="ar-EG"/>
        </w:rPr>
        <w:t>(IEEE</w:t>
      </w:r>
      <w:r w:rsidR="009D4103" w:rsidRPr="00DC0CBE">
        <w:t>)</w:t>
      </w:r>
      <w:r w:rsidR="009D4103" w:rsidRPr="00DC0CBE">
        <w:rPr>
          <w:rtl/>
        </w:rPr>
        <w:t xml:space="preserve">، وعدة منظمات إقليمية معنية بالتقييس بشأن أنشطة ذات صلة بمنتدى التعاون العالمي للتقييس </w:t>
      </w:r>
      <w:r w:rsidR="009D4103" w:rsidRPr="00DC0CBE">
        <w:t>(</w:t>
      </w:r>
      <w:r w:rsidR="009D4103" w:rsidRPr="00DC0CBE">
        <w:rPr>
          <w:lang w:bidi="ar-EG"/>
        </w:rPr>
        <w:t>GSC</w:t>
      </w:r>
      <w:proofErr w:type="gramStart"/>
      <w:r w:rsidR="009D4103" w:rsidRPr="00DC0CBE">
        <w:t>)</w:t>
      </w:r>
      <w:r w:rsidR="009D4103" w:rsidRPr="00DC0CBE">
        <w:rPr>
          <w:rtl/>
        </w:rPr>
        <w:t>؛</w:t>
      </w:r>
      <w:proofErr w:type="gramEnd"/>
    </w:p>
    <w:p w14:paraId="26D686DA" w14:textId="21B9B1DC" w:rsidR="009D4103" w:rsidRPr="00DC0CBE" w:rsidRDefault="000000EE" w:rsidP="002165EC">
      <w:pPr>
        <w:pStyle w:val="enumlev1"/>
        <w:rPr>
          <w:lang w:val="ar-SA" w:bidi="ar-EG"/>
        </w:rPr>
      </w:pPr>
      <w:r w:rsidRPr="00DC0CBE">
        <w:rPr>
          <w:lang w:bidi="ar-EG"/>
        </w:rPr>
        <w:t>–</w:t>
      </w:r>
      <w:r w:rsidR="009D4103" w:rsidRPr="00DC0CBE">
        <w:rPr>
          <w:rtl/>
        </w:rPr>
        <w:tab/>
        <w:t xml:space="preserve">المنظمة العالمية للأرصاد الجوية </w:t>
      </w:r>
      <w:r w:rsidR="009D4103" w:rsidRPr="00DC0CBE">
        <w:t>(</w:t>
      </w:r>
      <w:r w:rsidR="009D4103" w:rsidRPr="00DC0CBE">
        <w:rPr>
          <w:lang w:bidi="ar-EG"/>
        </w:rPr>
        <w:t>WMO</w:t>
      </w:r>
      <w:r w:rsidR="009D4103" w:rsidRPr="00DC0CBE">
        <w:t>)</w:t>
      </w:r>
      <w:r w:rsidR="009D4103" w:rsidRPr="00DC0CBE">
        <w:rPr>
          <w:rtl/>
        </w:rPr>
        <w:t xml:space="preserve">، ومنظمة الصحة العالمية </w:t>
      </w:r>
      <w:r w:rsidR="009D4103" w:rsidRPr="00DC0CBE">
        <w:t>(</w:t>
      </w:r>
      <w:r w:rsidR="009D4103" w:rsidRPr="00DC0CBE">
        <w:rPr>
          <w:lang w:bidi="ar-EG"/>
        </w:rPr>
        <w:t>WHO</w:t>
      </w:r>
      <w:r w:rsidR="009D4103" w:rsidRPr="00DC0CBE">
        <w:t>)</w:t>
      </w:r>
      <w:r w:rsidR="009D4103" w:rsidRPr="00DC0CBE">
        <w:rPr>
          <w:rtl/>
        </w:rPr>
        <w:t xml:space="preserve">، ومنظمة التوحيد القياسي </w:t>
      </w:r>
      <w:r w:rsidR="009D4103" w:rsidRPr="00DC0CBE">
        <w:t>(</w:t>
      </w:r>
      <w:r w:rsidR="009D4103" w:rsidRPr="00DC0CBE">
        <w:rPr>
          <w:lang w:bidi="ar-EG"/>
        </w:rPr>
        <w:t>ISO</w:t>
      </w:r>
      <w:r w:rsidR="009D4103" w:rsidRPr="00DC0CBE">
        <w:t>)</w:t>
      </w:r>
      <w:r w:rsidR="009D4103" w:rsidRPr="00DC0CBE">
        <w:rPr>
          <w:rtl/>
        </w:rPr>
        <w:t xml:space="preserve">، واللجنة </w:t>
      </w:r>
      <w:proofErr w:type="spellStart"/>
      <w:r w:rsidR="009D4103" w:rsidRPr="00DC0CBE">
        <w:rPr>
          <w:rtl/>
        </w:rPr>
        <w:t>الكهرتقنية</w:t>
      </w:r>
      <w:proofErr w:type="spellEnd"/>
      <w:r w:rsidR="009D4103" w:rsidRPr="00DC0CBE">
        <w:rPr>
          <w:rtl/>
        </w:rPr>
        <w:t xml:space="preserve"> الدولية </w:t>
      </w:r>
      <w:r w:rsidR="009D4103" w:rsidRPr="00DC0CBE">
        <w:t>(</w:t>
      </w:r>
      <w:r w:rsidR="009D4103" w:rsidRPr="00DC0CBE">
        <w:rPr>
          <w:lang w:bidi="ar-EG"/>
        </w:rPr>
        <w:t>IEC</w:t>
      </w:r>
      <w:r w:rsidR="009D4103" w:rsidRPr="00DC0CBE">
        <w:t>)</w:t>
      </w:r>
      <w:r w:rsidR="009D4103" w:rsidRPr="00DC0CBE">
        <w:rPr>
          <w:rtl/>
        </w:rPr>
        <w:t xml:space="preserve"> (بما في ذلك اللجنة الدولية الخاصة المعنية بالتداخل الراديوي </w:t>
      </w:r>
      <w:r w:rsidR="009D4103" w:rsidRPr="00DC0CBE">
        <w:t>(</w:t>
      </w:r>
      <w:r w:rsidR="009D4103" w:rsidRPr="00DC0CBE">
        <w:rPr>
          <w:lang w:bidi="ar-EG"/>
        </w:rPr>
        <w:t>CISPR</w:t>
      </w:r>
      <w:proofErr w:type="gramStart"/>
      <w:r w:rsidR="009D4103" w:rsidRPr="00DC0CBE">
        <w:t>)</w:t>
      </w:r>
      <w:r w:rsidR="009D4103" w:rsidRPr="00DC0CBE">
        <w:rPr>
          <w:rtl/>
        </w:rPr>
        <w:t>)،</w:t>
      </w:r>
      <w:proofErr w:type="gramEnd"/>
      <w:r w:rsidR="009D4103" w:rsidRPr="00DC0CBE">
        <w:rPr>
          <w:rtl/>
        </w:rPr>
        <w:t xml:space="preserve"> وفريق تنسيق الترددات الفضائية، والاتحاد الدولي لعلوم الراديو </w:t>
      </w:r>
      <w:r w:rsidR="009D4103" w:rsidRPr="00DC0CBE">
        <w:t>(</w:t>
      </w:r>
      <w:r w:rsidR="009D4103" w:rsidRPr="00DC0CBE">
        <w:rPr>
          <w:lang w:bidi="ar-EG"/>
        </w:rPr>
        <w:t>URSI</w:t>
      </w:r>
      <w:r w:rsidR="009D4103" w:rsidRPr="00DC0CBE">
        <w:t>)</w:t>
      </w:r>
      <w:r w:rsidR="009D4103" w:rsidRPr="00DC0CBE">
        <w:rPr>
          <w:rtl/>
        </w:rPr>
        <w:t>، وعدة جهات أخرى حسب الحاجة، من أجل تبادل المعلومات المفيد فيما يتعلق بأنشطة لجان الدراسات؛</w:t>
      </w:r>
    </w:p>
    <w:p w14:paraId="0F00251A" w14:textId="6BE8FF4A" w:rsidR="009D4103" w:rsidRPr="00DC0CBE" w:rsidRDefault="000000EE" w:rsidP="002165EC">
      <w:pPr>
        <w:pStyle w:val="enumlev1"/>
        <w:rPr>
          <w:spacing w:val="-4"/>
          <w:lang w:val="ar-SA" w:bidi="ar-EG"/>
        </w:rPr>
      </w:pPr>
      <w:r w:rsidRPr="00DC0CBE">
        <w:rPr>
          <w:spacing w:val="-4"/>
          <w:lang w:bidi="ar-EG"/>
        </w:rPr>
        <w:t>–</w:t>
      </w:r>
      <w:r w:rsidR="009D4103" w:rsidRPr="00DC0CBE">
        <w:rPr>
          <w:spacing w:val="-4"/>
          <w:rtl/>
        </w:rPr>
        <w:tab/>
        <w:t xml:space="preserve">لجنة الأمم المتحدة لاستخدام الفضاء الخارجي في الأغراض السلمية </w:t>
      </w:r>
      <w:r w:rsidR="009D4103" w:rsidRPr="00DC0CBE">
        <w:rPr>
          <w:spacing w:val="-4"/>
          <w:lang w:bidi="ar-EG"/>
        </w:rPr>
        <w:t>(UN-</w:t>
      </w:r>
      <w:proofErr w:type="gramStart"/>
      <w:r w:rsidR="009D4103" w:rsidRPr="00DC0CBE">
        <w:rPr>
          <w:spacing w:val="-4"/>
          <w:lang w:bidi="ar-EG"/>
        </w:rPr>
        <w:t>COPUOS</w:t>
      </w:r>
      <w:r w:rsidR="009D4103" w:rsidRPr="00DC0CBE">
        <w:rPr>
          <w:spacing w:val="-4"/>
        </w:rPr>
        <w:t>)</w:t>
      </w:r>
      <w:r w:rsidR="009D4103" w:rsidRPr="00DC0CBE">
        <w:rPr>
          <w:spacing w:val="-4"/>
          <w:rtl/>
        </w:rPr>
        <w:t>،</w:t>
      </w:r>
      <w:proofErr w:type="gramEnd"/>
      <w:r w:rsidR="009D4103" w:rsidRPr="00DC0CBE">
        <w:rPr>
          <w:spacing w:val="-4"/>
          <w:rtl/>
        </w:rPr>
        <w:t xml:space="preserve"> ولجنة الأمم المتحدة الاقتصادية لأوروبا </w:t>
      </w:r>
      <w:r w:rsidR="009D4103" w:rsidRPr="00DC0CBE">
        <w:rPr>
          <w:spacing w:val="-4"/>
        </w:rPr>
        <w:t>(</w:t>
      </w:r>
      <w:r w:rsidR="009D4103" w:rsidRPr="00DC0CBE">
        <w:rPr>
          <w:spacing w:val="-4"/>
          <w:lang w:bidi="ar-EG"/>
        </w:rPr>
        <w:t>UNECE</w:t>
      </w:r>
      <w:r w:rsidR="009D4103" w:rsidRPr="00DC0CBE">
        <w:rPr>
          <w:spacing w:val="-4"/>
        </w:rPr>
        <w:t>)</w:t>
      </w:r>
      <w:r w:rsidR="009D4103" w:rsidRPr="00DC0CBE">
        <w:rPr>
          <w:spacing w:val="-4"/>
          <w:rtl/>
        </w:rPr>
        <w:t xml:space="preserve">؛ والمنظمة البحرية الدولية </w:t>
      </w:r>
      <w:r w:rsidR="009D4103" w:rsidRPr="00DC0CBE">
        <w:rPr>
          <w:spacing w:val="-4"/>
        </w:rPr>
        <w:t>(</w:t>
      </w:r>
      <w:r w:rsidR="009D4103" w:rsidRPr="00DC0CBE">
        <w:rPr>
          <w:spacing w:val="-4"/>
          <w:lang w:bidi="ar-EG"/>
        </w:rPr>
        <w:t>IMO</w:t>
      </w:r>
      <w:r w:rsidR="009D4103" w:rsidRPr="00DC0CBE">
        <w:rPr>
          <w:spacing w:val="-4"/>
        </w:rPr>
        <w:t>)</w:t>
      </w:r>
      <w:r w:rsidR="009D4103" w:rsidRPr="00DC0CBE">
        <w:rPr>
          <w:spacing w:val="-4"/>
          <w:rtl/>
        </w:rPr>
        <w:t xml:space="preserve">، والمنظمة الدولية للاتصالات المتنقلة </w:t>
      </w:r>
      <w:proofErr w:type="spellStart"/>
      <w:r w:rsidR="009D4103" w:rsidRPr="00DC0CBE">
        <w:rPr>
          <w:spacing w:val="-4"/>
          <w:rtl/>
        </w:rPr>
        <w:t>الساتلية</w:t>
      </w:r>
      <w:proofErr w:type="spellEnd"/>
      <w:r w:rsidR="008A3D61" w:rsidRPr="00DC0CBE">
        <w:rPr>
          <w:rFonts w:hint="eastAsia"/>
          <w:spacing w:val="-4"/>
          <w:rtl/>
        </w:rPr>
        <w:t> </w:t>
      </w:r>
      <w:r w:rsidR="009D4103" w:rsidRPr="00DC0CBE">
        <w:rPr>
          <w:spacing w:val="-4"/>
        </w:rPr>
        <w:t>(</w:t>
      </w:r>
      <w:r w:rsidR="009D4103" w:rsidRPr="00DC0CBE">
        <w:rPr>
          <w:spacing w:val="-4"/>
          <w:lang w:bidi="ar-EG"/>
        </w:rPr>
        <w:t>IMSO</w:t>
      </w:r>
      <w:r w:rsidR="009D4103" w:rsidRPr="00DC0CBE">
        <w:rPr>
          <w:spacing w:val="-4"/>
        </w:rPr>
        <w:t>)</w:t>
      </w:r>
      <w:r w:rsidR="009D4103" w:rsidRPr="00DC0CBE">
        <w:rPr>
          <w:spacing w:val="-4"/>
          <w:rtl/>
        </w:rPr>
        <w:t xml:space="preserve">، والمكتب الدولي للأوزان والمقاييس </w:t>
      </w:r>
      <w:r w:rsidR="009D4103" w:rsidRPr="00DC0CBE">
        <w:rPr>
          <w:spacing w:val="-4"/>
        </w:rPr>
        <w:t>(</w:t>
      </w:r>
      <w:r w:rsidR="009D4103" w:rsidRPr="00DC0CBE">
        <w:rPr>
          <w:spacing w:val="-4"/>
          <w:lang w:bidi="ar-EG"/>
        </w:rPr>
        <w:t>BIPM</w:t>
      </w:r>
      <w:r w:rsidR="009D4103" w:rsidRPr="00DC0CBE">
        <w:rPr>
          <w:spacing w:val="-4"/>
        </w:rPr>
        <w:t>)</w:t>
      </w:r>
      <w:r w:rsidR="009D4103" w:rsidRPr="00DC0CBE">
        <w:rPr>
          <w:spacing w:val="-4"/>
          <w:rtl/>
        </w:rPr>
        <w:t xml:space="preserve"> والمنظمة الدولية للاتصالات </w:t>
      </w:r>
      <w:proofErr w:type="spellStart"/>
      <w:r w:rsidR="009D4103" w:rsidRPr="00DC0CBE">
        <w:rPr>
          <w:spacing w:val="-4"/>
          <w:rtl/>
        </w:rPr>
        <w:t>الساتلية</w:t>
      </w:r>
      <w:proofErr w:type="spellEnd"/>
      <w:r w:rsidR="009D4103" w:rsidRPr="00DC0CBE">
        <w:rPr>
          <w:spacing w:val="-4"/>
          <w:rtl/>
        </w:rPr>
        <w:t xml:space="preserve"> </w:t>
      </w:r>
      <w:r w:rsidR="009D4103" w:rsidRPr="00DC0CBE">
        <w:rPr>
          <w:spacing w:val="-4"/>
        </w:rPr>
        <w:t>(</w:t>
      </w:r>
      <w:r w:rsidR="009D4103" w:rsidRPr="00DC0CBE">
        <w:rPr>
          <w:spacing w:val="-4"/>
          <w:lang w:bidi="ar-EG"/>
        </w:rPr>
        <w:t>ITSO</w:t>
      </w:r>
      <w:r w:rsidR="009D4103" w:rsidRPr="00DC0CBE">
        <w:rPr>
          <w:spacing w:val="-4"/>
        </w:rPr>
        <w:t>)</w:t>
      </w:r>
      <w:r w:rsidR="009D4103" w:rsidRPr="00DC0CBE">
        <w:rPr>
          <w:spacing w:val="-4"/>
          <w:rtl/>
        </w:rPr>
        <w:t xml:space="preserve">، والنظام </w:t>
      </w:r>
      <w:proofErr w:type="spellStart"/>
      <w:r w:rsidR="009D4103" w:rsidRPr="00DC0CBE">
        <w:rPr>
          <w:spacing w:val="-4"/>
          <w:rtl/>
        </w:rPr>
        <w:t>الساتلي</w:t>
      </w:r>
      <w:proofErr w:type="spellEnd"/>
      <w:r w:rsidR="009D4103" w:rsidRPr="00DC0CBE">
        <w:rPr>
          <w:spacing w:val="-4"/>
          <w:rtl/>
        </w:rPr>
        <w:t xml:space="preserve"> </w:t>
      </w:r>
      <w:r w:rsidR="009D4103" w:rsidRPr="00DC0CBE">
        <w:rPr>
          <w:spacing w:val="-4"/>
          <w:lang w:bidi="ar-EG"/>
        </w:rPr>
        <w:t>COSPAS</w:t>
      </w:r>
      <w:r w:rsidR="00D847C8" w:rsidRPr="00DC0CBE">
        <w:rPr>
          <w:spacing w:val="-4"/>
          <w:lang w:bidi="ar-EG"/>
        </w:rPr>
        <w:noBreakHyphen/>
      </w:r>
      <w:r w:rsidR="009D4103" w:rsidRPr="00DC0CBE">
        <w:rPr>
          <w:spacing w:val="-4"/>
          <w:lang w:bidi="ar-EG"/>
        </w:rPr>
        <w:t>SARSAT</w:t>
      </w:r>
      <w:r w:rsidR="009D4103" w:rsidRPr="00DC0CBE">
        <w:rPr>
          <w:spacing w:val="-4"/>
          <w:rtl/>
        </w:rPr>
        <w:t xml:space="preserve">، واللجنة الدولية للصليب الأحمر </w:t>
      </w:r>
      <w:r w:rsidR="009D4103" w:rsidRPr="00DC0CBE">
        <w:rPr>
          <w:spacing w:val="-4"/>
        </w:rPr>
        <w:t>(</w:t>
      </w:r>
      <w:r w:rsidR="009D4103" w:rsidRPr="00DC0CBE">
        <w:rPr>
          <w:spacing w:val="-4"/>
          <w:lang w:bidi="ar-EG"/>
        </w:rPr>
        <w:t>CICR</w:t>
      </w:r>
      <w:r w:rsidR="009D4103" w:rsidRPr="00DC0CBE">
        <w:rPr>
          <w:spacing w:val="-4"/>
        </w:rPr>
        <w:t>)</w:t>
      </w:r>
      <w:r w:rsidR="009D4103" w:rsidRPr="00DC0CBE">
        <w:rPr>
          <w:spacing w:val="-4"/>
          <w:rtl/>
        </w:rPr>
        <w:t>، ومنظمة الطيران المدني الدولي</w:t>
      </w:r>
      <w:r w:rsidR="008A3D61" w:rsidRPr="00DC0CBE">
        <w:rPr>
          <w:rFonts w:hint="eastAsia"/>
          <w:spacing w:val="-4"/>
          <w:rtl/>
        </w:rPr>
        <w:t> </w:t>
      </w:r>
      <w:r w:rsidR="009D4103" w:rsidRPr="00DC0CBE">
        <w:rPr>
          <w:spacing w:val="-4"/>
        </w:rPr>
        <w:t>(</w:t>
      </w:r>
      <w:r w:rsidR="009D4103" w:rsidRPr="00DC0CBE">
        <w:rPr>
          <w:spacing w:val="-4"/>
          <w:lang w:bidi="ar-EG"/>
        </w:rPr>
        <w:t>ICAO</w:t>
      </w:r>
      <w:r w:rsidR="009D4103" w:rsidRPr="00DC0CBE">
        <w:rPr>
          <w:spacing w:val="-4"/>
        </w:rPr>
        <w:t>)</w:t>
      </w:r>
      <w:r w:rsidR="009D4103" w:rsidRPr="00DC0CBE">
        <w:rPr>
          <w:spacing w:val="-4"/>
          <w:rtl/>
        </w:rPr>
        <w:t xml:space="preserve">، فيما يتعلق بتطبيق النصوص </w:t>
      </w:r>
      <w:proofErr w:type="spellStart"/>
      <w:r w:rsidR="009D4103" w:rsidRPr="00DC0CBE">
        <w:rPr>
          <w:spacing w:val="-4"/>
          <w:rtl/>
        </w:rPr>
        <w:t>التعاهدية</w:t>
      </w:r>
      <w:proofErr w:type="spellEnd"/>
      <w:r w:rsidR="009D4103" w:rsidRPr="00DC0CBE">
        <w:rPr>
          <w:spacing w:val="-4"/>
          <w:rtl/>
        </w:rPr>
        <w:t xml:space="preserve"> للاتحاد.</w:t>
      </w:r>
    </w:p>
    <w:p w14:paraId="139C0A00" w14:textId="77777777" w:rsidR="009D4103" w:rsidRPr="00DC0CBE" w:rsidRDefault="000000EE" w:rsidP="000000EE">
      <w:pPr>
        <w:pStyle w:val="Heading1"/>
        <w:rPr>
          <w:lang w:val="ar-SA"/>
        </w:rPr>
      </w:pPr>
      <w:bookmarkStart w:id="43" w:name="_Toc445972800"/>
      <w:bookmarkStart w:id="44" w:name="_Toc192766222"/>
      <w:r w:rsidRPr="00DC0CBE">
        <w:t>7</w:t>
      </w:r>
      <w:r w:rsidR="009D4103" w:rsidRPr="00DC0CBE">
        <w:rPr>
          <w:rtl/>
        </w:rPr>
        <w:tab/>
        <w:t>الأنشطة الأخرى المشتركة بين القطاعات</w:t>
      </w:r>
      <w:bookmarkEnd w:id="43"/>
      <w:bookmarkEnd w:id="44"/>
    </w:p>
    <w:p w14:paraId="64385446" w14:textId="77777777" w:rsidR="009D4103" w:rsidRPr="00DC0CBE" w:rsidRDefault="009D4103" w:rsidP="009D4103">
      <w:pPr>
        <w:rPr>
          <w:lang w:val="ar-SA" w:bidi="ar-EG"/>
        </w:rPr>
      </w:pPr>
      <w:r w:rsidRPr="00DC0CBE">
        <w:rPr>
          <w:rtl/>
        </w:rPr>
        <w:t>شارك مكتب الاتصالات الراديوية بنشاط في الأنشطة الأخرى المشتركة بين القطاعات ذات الصلة بعمل لجان دراسات قطاع الاتصالات الراديوية، على النحو الموضح أدناه:</w:t>
      </w:r>
    </w:p>
    <w:p w14:paraId="6005FD0F" w14:textId="77777777" w:rsidR="009D4103" w:rsidRPr="00DC0CBE" w:rsidRDefault="009D4103" w:rsidP="000000EE">
      <w:pPr>
        <w:pStyle w:val="enumlev1"/>
        <w:rPr>
          <w:lang w:val="ar-SA" w:bidi="ar-EG"/>
        </w:rPr>
      </w:pPr>
      <w:r w:rsidRPr="00DC0CBE">
        <w:rPr>
          <w:i/>
          <w:iCs/>
          <w:lang w:bidi="ar-EG"/>
        </w:rPr>
        <w:t>–</w:t>
      </w:r>
      <w:r w:rsidRPr="00DC0CBE">
        <w:rPr>
          <w:rtl/>
        </w:rPr>
        <w:tab/>
        <w:t xml:space="preserve">تغيُّر المناخ والاتصالات في حالات الطوارئ: يشارك مكتب الاتصالات الراديوية في الأنشطة المشتركة بين القطاعات التي ينسقها فريق مهام الاتحاد المعني بتغير المناخ والاتصالات في حالات الطوارئ فيما يتعلق بتنفيذ القرار </w:t>
      </w:r>
      <w:r w:rsidRPr="00DC0CBE">
        <w:t>136</w:t>
      </w:r>
      <w:r w:rsidRPr="00DC0CBE">
        <w:rPr>
          <w:rtl/>
        </w:rPr>
        <w:t xml:space="preserve"> (المراجَع في بوخارست، </w:t>
      </w:r>
      <w:r w:rsidRPr="00DC0CBE">
        <w:t>2022</w:t>
      </w:r>
      <w:r w:rsidRPr="00DC0CBE">
        <w:rPr>
          <w:rtl/>
        </w:rPr>
        <w:t xml:space="preserve">). كما تُجرى دراسات استجابةً للقرار </w:t>
      </w:r>
      <w:hyperlink r:id="rId34" w:history="1">
        <w:r w:rsidRPr="00DC0CBE">
          <w:rPr>
            <w:rStyle w:val="Hyperlink"/>
          </w:rPr>
          <w:t>ITU-R 60-3</w:t>
        </w:r>
      </w:hyperlink>
      <w:r w:rsidRPr="00DC0CBE">
        <w:rPr>
          <w:rtl/>
        </w:rPr>
        <w:t xml:space="preserve">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p>
    <w:p w14:paraId="60CA1D69" w14:textId="4B746261" w:rsidR="009D4103" w:rsidRPr="00DC0CBE" w:rsidRDefault="009D4103" w:rsidP="000000EE">
      <w:pPr>
        <w:pStyle w:val="enumlev1"/>
        <w:rPr>
          <w:lang w:val="ar-SA" w:bidi="ar-EG"/>
        </w:rPr>
      </w:pPr>
      <w:r w:rsidRPr="00DC0CBE">
        <w:rPr>
          <w:lang w:bidi="ar-EG"/>
        </w:rPr>
        <w:t>–</w:t>
      </w:r>
      <w:r w:rsidRPr="00DC0CBE">
        <w:rPr>
          <w:rtl/>
        </w:rPr>
        <w:tab/>
        <w:t xml:space="preserve">النفاذ: يشارك قطاع الاتصالات الراديوية بنشاط في نشاط التنسيق المشترك بشأن قابلية النفاذ والعوامل البشرية </w:t>
      </w:r>
      <w:r w:rsidRPr="00DC0CBE">
        <w:t>(ITU-T JCA-AHF)</w:t>
      </w:r>
      <w:r w:rsidRPr="00DC0CBE">
        <w:rPr>
          <w:rtl/>
        </w:rPr>
        <w:t>.</w:t>
      </w:r>
    </w:p>
    <w:p w14:paraId="44D733BD" w14:textId="2121963D" w:rsidR="009D4103" w:rsidRPr="00DC0CBE" w:rsidRDefault="009D4103" w:rsidP="000000EE">
      <w:pPr>
        <w:pStyle w:val="enumlev1"/>
        <w:rPr>
          <w:lang w:val="ar-SA" w:bidi="ar-EG"/>
        </w:rPr>
      </w:pPr>
      <w:r w:rsidRPr="00DC0CBE">
        <w:rPr>
          <w:lang w:bidi="ar-EG"/>
        </w:rPr>
        <w:t>–</w:t>
      </w:r>
      <w:r w:rsidRPr="00DC0CBE">
        <w:rPr>
          <w:rtl/>
        </w:rPr>
        <w:tab/>
        <w:t xml:space="preserve">القمة العالمية لمجتمع المعلومات </w:t>
      </w:r>
      <w:r w:rsidRPr="00DC0CBE">
        <w:t>(</w:t>
      </w:r>
      <w:r w:rsidRPr="00DC0CBE">
        <w:rPr>
          <w:lang w:bidi="ar-EG"/>
        </w:rPr>
        <w:t>WSIS</w:t>
      </w:r>
      <w:r w:rsidRPr="00DC0CBE">
        <w:t>)</w:t>
      </w:r>
      <w:r w:rsidRPr="00DC0CBE">
        <w:rPr>
          <w:rtl/>
        </w:rPr>
        <w:t xml:space="preserve"> وفريق العمل المعني بالقمة العالمية لمجتمع المعلومات وأهداف التنمية المستدامة </w:t>
      </w:r>
      <w:r w:rsidRPr="00DC0CBE">
        <w:t>(</w:t>
      </w:r>
      <w:r w:rsidRPr="00DC0CBE">
        <w:rPr>
          <w:lang w:bidi="ar-EG"/>
        </w:rPr>
        <w:t>CWG-WSIS&amp;SDG</w:t>
      </w:r>
      <w:r w:rsidRPr="00DC0CBE">
        <w:t>)</w:t>
      </w:r>
      <w:r w:rsidRPr="00DC0CBE">
        <w:rPr>
          <w:rtl/>
          <w:lang w:bidi="ar-EG"/>
        </w:rPr>
        <w:t>:</w:t>
      </w:r>
      <w:r w:rsidRPr="00DC0CBE">
        <w:rPr>
          <w:rtl/>
        </w:rPr>
        <w:t xml:space="preserve"> استجابة</w:t>
      </w:r>
      <w:r w:rsidR="008A3D61" w:rsidRPr="00DC0CBE">
        <w:rPr>
          <w:rFonts w:hint="cs"/>
          <w:rtl/>
        </w:rPr>
        <w:t>ً</w:t>
      </w:r>
      <w:r w:rsidRPr="00DC0CBE">
        <w:rPr>
          <w:rtl/>
        </w:rPr>
        <w:t xml:space="preserve"> للقرار </w:t>
      </w:r>
      <w:r w:rsidRPr="00DC0CBE">
        <w:t>140</w:t>
      </w:r>
      <w:r w:rsidRPr="00DC0CBE">
        <w:rPr>
          <w:rtl/>
        </w:rPr>
        <w:t xml:space="preserve"> (المراجَع في بوخارست، </w:t>
      </w:r>
      <w:r w:rsidRPr="00DC0CBE">
        <w:t>2022</w:t>
      </w:r>
      <w:r w:rsidRPr="00DC0CBE">
        <w:rPr>
          <w:rtl/>
        </w:rPr>
        <w:t xml:space="preserve">) الصادر عن مؤتمر المندوبين المفوضين بشأن "دور الاتحاد في تنفيذ نتائج القمة العالمية لمجتمع المعلومات وخطة التنمية المستدامة لعام </w:t>
      </w:r>
      <w:r w:rsidRPr="00DC0CBE">
        <w:t>2030</w:t>
      </w:r>
      <w:r w:rsidRPr="00DC0CBE">
        <w:rPr>
          <w:rtl/>
        </w:rPr>
        <w:t xml:space="preserve"> وفي عمليات المتابعة والاستعراض ذات الصلة"، يقيم قطاع الاتصالات الراديوية علاقة مع فريق العمل </w:t>
      </w:r>
      <w:r w:rsidRPr="00DC0CBE">
        <w:rPr>
          <w:lang w:bidi="ar-EG"/>
        </w:rPr>
        <w:t>CWG-WSIS&amp;SDG</w:t>
      </w:r>
      <w:r w:rsidRPr="00DC0CBE">
        <w:rPr>
          <w:rtl/>
        </w:rPr>
        <w:t xml:space="preserve"> ويساهم في تحديث الأعمال التي تقوم بها لجان الدراسات بقطاع الاتصالات الراديوية. وقامت دائرة لجان الدراسات في مكتب الاتصالات الراديوية </w:t>
      </w:r>
      <w:r w:rsidRPr="00DC0CBE">
        <w:t>(BR SGD)</w:t>
      </w:r>
      <w:r w:rsidRPr="00DC0CBE">
        <w:rPr>
          <w:rtl/>
        </w:rPr>
        <w:t xml:space="preserve"> بإعداد وفتح موقع إلكتروني يتضمن قائمة بمنشورات قطاع الاتصالات الراديوية المتعلقة بكل هدف من أهداف التنمية المستدامة. ويمكن النفاذ إلى الموقع عن طريق الرابط التالي</w:t>
      </w:r>
      <w:r w:rsidR="00D160F7" w:rsidRPr="00DC0CBE">
        <w:rPr>
          <w:rFonts w:hint="cs"/>
          <w:rtl/>
        </w:rPr>
        <w:t>:</w:t>
      </w:r>
      <w:r w:rsidR="008A3D61" w:rsidRPr="00DC0CBE">
        <w:rPr>
          <w:rtl/>
        </w:rPr>
        <w:tab/>
      </w:r>
      <w:r w:rsidR="008A3D61" w:rsidRPr="00DC0CBE">
        <w:rPr>
          <w:rtl/>
        </w:rPr>
        <w:br/>
      </w:r>
      <w:hyperlink r:id="rId35" w:history="1">
        <w:r w:rsidR="00201444" w:rsidRPr="00DC0CBE">
          <w:rPr>
            <w:rStyle w:val="Hyperlink"/>
          </w:rPr>
          <w:t>https://www.itu.int/en/ITU-R/study-groups/Pages/Sustainable-dev-goals.aspx</w:t>
        </w:r>
      </w:hyperlink>
      <w:r w:rsidRPr="00DC0CBE">
        <w:rPr>
          <w:rtl/>
        </w:rPr>
        <w:t>.</w:t>
      </w:r>
    </w:p>
    <w:p w14:paraId="0EE8B766" w14:textId="77777777" w:rsidR="009D4103" w:rsidRPr="00DC0CBE" w:rsidRDefault="009D4103" w:rsidP="000000EE">
      <w:pPr>
        <w:pStyle w:val="enumlev1"/>
        <w:rPr>
          <w:lang w:val="ar-SA" w:bidi="ar-EG"/>
        </w:rPr>
      </w:pPr>
      <w:r w:rsidRPr="00DC0CBE">
        <w:rPr>
          <w:lang w:bidi="ar-EG"/>
        </w:rPr>
        <w:t>–</w:t>
      </w:r>
      <w:r w:rsidRPr="00DC0CBE">
        <w:rPr>
          <w:rtl/>
        </w:rPr>
        <w:tab/>
        <w:t>يواصل مكتب الاتصالات الراديوية المشاركة في الأنشطة المتصلة بفعاليات الاتحاد ومؤتمراته واجتماعاته الرئيسية. وتدعم هذه الأنشطة مؤتمر المندوبين المفوضين ومجلس الاتحاد والجمعية العالمية لتقييس الاتصالات والمؤتمر العالمي لتنمية الاتصالات.</w:t>
      </w:r>
    </w:p>
    <w:p w14:paraId="10D08073" w14:textId="77777777" w:rsidR="009D4103" w:rsidRPr="00DC0CBE" w:rsidRDefault="009D4103" w:rsidP="009D4103">
      <w:pPr>
        <w:rPr>
          <w:lang w:val="ar-SA" w:bidi="ar-EG"/>
        </w:rPr>
      </w:pPr>
      <w:r w:rsidRPr="00DC0CBE">
        <w:rPr>
          <w:rtl/>
        </w:rPr>
        <w:lastRenderedPageBreak/>
        <w:t xml:space="preserve">وتلبية لطلب القرار الجديد </w:t>
      </w:r>
      <w:hyperlink r:id="rId36" w:history="1">
        <w:r w:rsidRPr="00DC0CBE">
          <w:rPr>
            <w:rStyle w:val="Hyperlink"/>
          </w:rPr>
          <w:t>ITU-R 75</w:t>
        </w:r>
      </w:hyperlink>
      <w:r w:rsidRPr="00DC0CBE">
        <w:rPr>
          <w:rtl/>
        </w:rPr>
        <w:t xml:space="preserve"> عن "</w:t>
      </w:r>
      <w:r w:rsidR="000000EE" w:rsidRPr="00DC0CBE">
        <w:rPr>
          <w:rFonts w:hint="eastAsia"/>
          <w:rtl/>
          <w:lang w:bidi="ar-EG"/>
        </w:rPr>
        <w:t> </w:t>
      </w:r>
      <w:r w:rsidRPr="00DC0CBE">
        <w:rPr>
          <w:i/>
          <w:iCs/>
          <w:rtl/>
        </w:rPr>
        <w:t>تعزيز التنسيق والتعاون بين قطاعات الاتحاد الثلاثة بشأن المسائل ذات الاهتمام المشترك</w:t>
      </w:r>
      <w:r w:rsidRPr="00DC0CBE">
        <w:rPr>
          <w:rtl/>
        </w:rPr>
        <w:t>"، سيواصل مكتب الاتصالات الراديوية التعاون مع قطاعي تنمية الاتصالات وتقييس الاتصالات حسب الاقتضاء.</w:t>
      </w:r>
    </w:p>
    <w:p w14:paraId="29DC7EB1" w14:textId="77777777" w:rsidR="009D4103" w:rsidRPr="00DC0CBE" w:rsidRDefault="000000EE" w:rsidP="000000EE">
      <w:pPr>
        <w:pStyle w:val="Heading1"/>
        <w:rPr>
          <w:rStyle w:val="Heading1Char"/>
          <w:b/>
          <w:bCs/>
        </w:rPr>
      </w:pPr>
      <w:bookmarkStart w:id="45" w:name="_Toc192766223"/>
      <w:r w:rsidRPr="00DC0CBE">
        <w:t>8</w:t>
      </w:r>
      <w:r w:rsidR="009D4103" w:rsidRPr="00DC0CBE">
        <w:rPr>
          <w:rStyle w:val="Heading1Char"/>
          <w:b/>
          <w:bCs/>
          <w:rtl/>
        </w:rPr>
        <w:tab/>
        <w:t xml:space="preserve">إجراءات المتابعة التي طلب القيام بها الفريق الاستشاري للاتصالات الراديوية في اجتماعه عام </w:t>
      </w:r>
      <w:r w:rsidRPr="00DC0CBE">
        <w:rPr>
          <w:rStyle w:val="Heading1Char"/>
          <w:b/>
          <w:bCs/>
        </w:rPr>
        <w:t>2024</w:t>
      </w:r>
      <w:bookmarkEnd w:id="45"/>
    </w:p>
    <w:p w14:paraId="0AF507A6" w14:textId="77777777" w:rsidR="009D4103" w:rsidRPr="00DC0CBE" w:rsidRDefault="009D4103" w:rsidP="000000EE">
      <w:pPr>
        <w:rPr>
          <w:lang w:val="ar-SA" w:bidi="ar-EG"/>
        </w:rPr>
      </w:pPr>
      <w:r w:rsidRPr="00DC0CBE">
        <w:rPr>
          <w:rtl/>
        </w:rPr>
        <w:t xml:space="preserve">نفذ المكتب إجراءات المتابعة بناءً على طلب الاجتماع الأخير للفريق الاستشاري للاتصالات الراديوية في مارس </w:t>
      </w:r>
      <w:r w:rsidRPr="00DC0CBE">
        <w:t>2024</w:t>
      </w:r>
      <w:r w:rsidRPr="00DC0CBE">
        <w:rPr>
          <w:rtl/>
        </w:rPr>
        <w:t xml:space="preserve"> (كما هو وارد في ملخص الاستنتاجات - النشرة الإدارية المعممة </w:t>
      </w:r>
      <w:hyperlink r:id="rId37" w:history="1">
        <w:r w:rsidRPr="00DC0CBE">
          <w:rPr>
            <w:rStyle w:val="Hyperlink"/>
          </w:rPr>
          <w:t>CA/273</w:t>
        </w:r>
      </w:hyperlink>
      <w:r w:rsidRPr="00DC0CBE">
        <w:rPr>
          <w:rtl/>
        </w:rPr>
        <w:t>).</w:t>
      </w:r>
    </w:p>
    <w:p w14:paraId="75331962" w14:textId="77777777" w:rsidR="009D4103" w:rsidRPr="00DC0CBE" w:rsidRDefault="000000EE" w:rsidP="000000EE">
      <w:pPr>
        <w:pStyle w:val="enumlev1"/>
      </w:pPr>
      <w:r w:rsidRPr="00DC0CBE">
        <w:rPr>
          <w:lang w:bidi="ar-EG"/>
        </w:rPr>
        <w:t>–</w:t>
      </w:r>
      <w:r w:rsidR="009D4103" w:rsidRPr="00DC0CBE">
        <w:rPr>
          <w:rtl/>
        </w:rPr>
        <w:tab/>
        <w:t xml:space="preserve">وطلب الفريق الاستشاري من مدير مكتب الاتصالات الراديوية جمع معلومات عن أنشطة التحول الرقمي المستدام </w:t>
      </w:r>
      <w:r w:rsidR="009D4103" w:rsidRPr="00DC0CBE">
        <w:rPr>
          <w:lang w:bidi="ar-EG"/>
        </w:rPr>
        <w:t>(SDT</w:t>
      </w:r>
      <w:r w:rsidR="009D4103" w:rsidRPr="00DC0CBE">
        <w:t>)</w:t>
      </w:r>
      <w:r w:rsidR="009D4103" w:rsidRPr="00DC0CBE">
        <w:rPr>
          <w:rtl/>
        </w:rPr>
        <w:t xml:space="preserve"> التي تضطلع بها لجان دراسات قطاع الاتصالات الراديوية. وترد بعض هذه الأنشطة في ملحق هذه الوثيقة للعلم.</w:t>
      </w:r>
    </w:p>
    <w:p w14:paraId="4461B9A4" w14:textId="77777777" w:rsidR="002B21F6" w:rsidRPr="00DC0CBE" w:rsidRDefault="002B21F6" w:rsidP="009D4103">
      <w:pPr>
        <w:rPr>
          <w:lang w:val="ar-SA" w:bidi="ar-EG"/>
        </w:rPr>
      </w:pPr>
    </w:p>
    <w:p w14:paraId="741B97ED" w14:textId="77777777" w:rsidR="009D4103" w:rsidRPr="00DC0CBE" w:rsidRDefault="009D4103" w:rsidP="009D4103">
      <w:pPr>
        <w:rPr>
          <w:rtl/>
          <w:lang w:bidi="ar-EG"/>
        </w:rPr>
        <w:sectPr w:rsidR="009D4103" w:rsidRPr="00DC0CBE" w:rsidSect="009D4103">
          <w:headerReference w:type="default" r:id="rId38"/>
          <w:pgSz w:w="11907" w:h="16840" w:code="9"/>
          <w:pgMar w:top="1089" w:right="1089" w:bottom="1089" w:left="1089" w:header="482" w:footer="482" w:gutter="0"/>
          <w:pgNumType w:start="1"/>
          <w:cols w:space="720"/>
          <w:titlePg/>
          <w:docGrid w:linePitch="326"/>
        </w:sectPr>
      </w:pPr>
    </w:p>
    <w:p w14:paraId="61A046A6" w14:textId="77777777" w:rsidR="009D4103" w:rsidRPr="00DC0CBE" w:rsidRDefault="009D4103" w:rsidP="002B21F6">
      <w:pPr>
        <w:pStyle w:val="AnnexNotitle"/>
        <w:bidi/>
        <w:rPr>
          <w:rFonts w:hint="default"/>
          <w:lang w:val="ar-SA" w:bidi="ar-EG"/>
        </w:rPr>
      </w:pPr>
      <w:r w:rsidRPr="00DC0CBE">
        <w:rPr>
          <w:rtl/>
        </w:rPr>
        <w:lastRenderedPageBreak/>
        <w:t>الملحق</w:t>
      </w:r>
      <w:r w:rsidR="002B21F6" w:rsidRPr="00DC0CBE">
        <w:br/>
      </w:r>
      <w:r w:rsidR="002B21F6" w:rsidRPr="00DC0CBE">
        <w:br/>
      </w:r>
      <w:r w:rsidRPr="00DC0CBE">
        <w:rPr>
          <w:rtl/>
        </w:rPr>
        <w:t>الأنشطة والدراسات المتعلقة بالتحول الرقمي المستدام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549"/>
        <w:gridCol w:w="2846"/>
        <w:gridCol w:w="4252"/>
        <w:gridCol w:w="1622"/>
        <w:gridCol w:w="2909"/>
      </w:tblGrid>
      <w:tr w:rsidR="009D4103" w:rsidRPr="00DC0CBE" w14:paraId="54050654" w14:textId="77777777" w:rsidTr="00076220">
        <w:trPr>
          <w:tblHeader/>
          <w:jc w:val="center"/>
        </w:trPr>
        <w:tc>
          <w:tcPr>
            <w:tcW w:w="1944" w:type="dxa"/>
            <w:shd w:val="clear" w:color="auto" w:fill="C6D9F1" w:themeFill="text2" w:themeFillTint="33"/>
            <w:vAlign w:val="center"/>
          </w:tcPr>
          <w:p w14:paraId="5CC32957" w14:textId="77777777" w:rsidR="009D4103" w:rsidRPr="00DC0CBE" w:rsidRDefault="009D4103" w:rsidP="002B21F6">
            <w:pPr>
              <w:pStyle w:val="Tablehead"/>
              <w:rPr>
                <w:position w:val="2"/>
                <w:lang w:val="ar-SA"/>
              </w:rPr>
            </w:pPr>
            <w:r w:rsidRPr="00DC0CBE">
              <w:rPr>
                <w:position w:val="2"/>
                <w:rtl/>
              </w:rPr>
              <w:t>القطاع/المجال</w:t>
            </w:r>
          </w:p>
        </w:tc>
        <w:tc>
          <w:tcPr>
            <w:tcW w:w="1549" w:type="dxa"/>
            <w:shd w:val="clear" w:color="auto" w:fill="C6D9F1" w:themeFill="text2" w:themeFillTint="33"/>
            <w:vAlign w:val="center"/>
          </w:tcPr>
          <w:p w14:paraId="4615E30B" w14:textId="77777777" w:rsidR="009D4103" w:rsidRPr="00DC0CBE" w:rsidRDefault="009D4103" w:rsidP="002B21F6">
            <w:pPr>
              <w:pStyle w:val="Tablehead"/>
              <w:rPr>
                <w:position w:val="2"/>
                <w:lang w:val="ar-SA"/>
              </w:rPr>
            </w:pPr>
            <w:r w:rsidRPr="00DC0CBE">
              <w:rPr>
                <w:position w:val="2"/>
                <w:rtl/>
              </w:rPr>
              <w:t>لجان الدراسات أو</w:t>
            </w:r>
            <w:r w:rsidR="008A3D61" w:rsidRPr="00DC0CBE">
              <w:rPr>
                <w:rFonts w:hint="cs"/>
                <w:position w:val="2"/>
                <w:rtl/>
              </w:rPr>
              <w:t> </w:t>
            </w:r>
            <w:r w:rsidRPr="00DC0CBE">
              <w:rPr>
                <w:position w:val="2"/>
                <w:rtl/>
              </w:rPr>
              <w:t>منظمات وضع</w:t>
            </w:r>
            <w:r w:rsidR="008A3D61" w:rsidRPr="00DC0CBE">
              <w:rPr>
                <w:rFonts w:hint="cs"/>
                <w:position w:val="2"/>
                <w:rtl/>
              </w:rPr>
              <w:t> </w:t>
            </w:r>
            <w:r w:rsidRPr="00DC0CBE">
              <w:rPr>
                <w:position w:val="2"/>
                <w:rtl/>
              </w:rPr>
              <w:t>المعايير</w:t>
            </w:r>
          </w:p>
        </w:tc>
        <w:tc>
          <w:tcPr>
            <w:tcW w:w="2846" w:type="dxa"/>
            <w:shd w:val="clear" w:color="auto" w:fill="C6D9F1" w:themeFill="text2" w:themeFillTint="33"/>
            <w:vAlign w:val="center"/>
          </w:tcPr>
          <w:p w14:paraId="50B4012D" w14:textId="77777777" w:rsidR="009D4103" w:rsidRPr="00DC0CBE" w:rsidRDefault="009D4103" w:rsidP="002B21F6">
            <w:pPr>
              <w:pStyle w:val="Tablehead"/>
              <w:rPr>
                <w:position w:val="2"/>
                <w:lang w:val="ar-SA"/>
              </w:rPr>
            </w:pPr>
            <w:r w:rsidRPr="00DC0CBE">
              <w:rPr>
                <w:position w:val="2"/>
                <w:rtl/>
              </w:rPr>
              <w:t>عنوان الناتج</w:t>
            </w:r>
          </w:p>
        </w:tc>
        <w:tc>
          <w:tcPr>
            <w:tcW w:w="4252" w:type="dxa"/>
            <w:shd w:val="clear" w:color="auto" w:fill="C6D9F1" w:themeFill="text2" w:themeFillTint="33"/>
            <w:vAlign w:val="center"/>
          </w:tcPr>
          <w:p w14:paraId="249DEF92" w14:textId="77777777" w:rsidR="009D4103" w:rsidRPr="00DC0CBE" w:rsidRDefault="009D4103" w:rsidP="002B21F6">
            <w:pPr>
              <w:pStyle w:val="Tablehead"/>
              <w:rPr>
                <w:position w:val="2"/>
                <w:lang w:val="ar-SA"/>
              </w:rPr>
            </w:pPr>
            <w:r w:rsidRPr="00DC0CBE">
              <w:rPr>
                <w:position w:val="2"/>
                <w:rtl/>
              </w:rPr>
              <w:t>نطاق الناتج</w:t>
            </w:r>
          </w:p>
        </w:tc>
        <w:tc>
          <w:tcPr>
            <w:tcW w:w="1622" w:type="dxa"/>
            <w:shd w:val="clear" w:color="auto" w:fill="C6D9F1" w:themeFill="text2" w:themeFillTint="33"/>
            <w:vAlign w:val="center"/>
          </w:tcPr>
          <w:p w14:paraId="59FC6DCF" w14:textId="77777777" w:rsidR="009D4103" w:rsidRPr="00DC0CBE" w:rsidRDefault="009D4103" w:rsidP="002B21F6">
            <w:pPr>
              <w:pStyle w:val="Tablehead"/>
              <w:rPr>
                <w:position w:val="2"/>
                <w:lang w:val="ar-SA"/>
              </w:rPr>
            </w:pPr>
            <w:r w:rsidRPr="00DC0CBE">
              <w:rPr>
                <w:position w:val="2"/>
                <w:rtl/>
              </w:rPr>
              <w:t>الوضع الحالي</w:t>
            </w:r>
          </w:p>
        </w:tc>
        <w:tc>
          <w:tcPr>
            <w:tcW w:w="2909" w:type="dxa"/>
            <w:shd w:val="clear" w:color="auto" w:fill="C6D9F1" w:themeFill="text2" w:themeFillTint="33"/>
            <w:vAlign w:val="center"/>
          </w:tcPr>
          <w:p w14:paraId="440D79C3" w14:textId="77777777" w:rsidR="009D4103" w:rsidRPr="00DC0CBE" w:rsidRDefault="009D4103" w:rsidP="002B21F6">
            <w:pPr>
              <w:pStyle w:val="Tablehead"/>
              <w:rPr>
                <w:position w:val="2"/>
                <w:lang w:val="ar-SA"/>
              </w:rPr>
            </w:pPr>
            <w:r w:rsidRPr="00DC0CBE">
              <w:rPr>
                <w:position w:val="2"/>
                <w:rtl/>
              </w:rPr>
              <w:t xml:space="preserve">المرجع/عنوان </w:t>
            </w:r>
            <w:r w:rsidRPr="00DC0CBE">
              <w:rPr>
                <w:position w:val="2"/>
              </w:rPr>
              <w:t>URL</w:t>
            </w:r>
          </w:p>
        </w:tc>
      </w:tr>
      <w:tr w:rsidR="009D4103" w:rsidRPr="00DC0CBE" w14:paraId="5D4C6232" w14:textId="77777777" w:rsidTr="00076220">
        <w:trPr>
          <w:trHeight w:val="3000"/>
          <w:jc w:val="center"/>
        </w:trPr>
        <w:tc>
          <w:tcPr>
            <w:tcW w:w="1944" w:type="dxa"/>
            <w:vMerge w:val="restart"/>
          </w:tcPr>
          <w:p w14:paraId="5FD0B236" w14:textId="77777777" w:rsidR="009D4103" w:rsidRPr="00DC0CBE" w:rsidRDefault="009D4103" w:rsidP="002B21F6">
            <w:pPr>
              <w:pStyle w:val="Tabletext"/>
              <w:rPr>
                <w:position w:val="2"/>
                <w:lang w:val="ar-SA" w:bidi="ar-EG"/>
              </w:rPr>
            </w:pPr>
            <w:r w:rsidRPr="00DC0CBE">
              <w:rPr>
                <w:position w:val="2"/>
                <w:rtl/>
              </w:rPr>
              <w:t>الإذاعة المراعية للطاقة</w:t>
            </w:r>
          </w:p>
        </w:tc>
        <w:tc>
          <w:tcPr>
            <w:tcW w:w="1549" w:type="dxa"/>
            <w:vMerge w:val="restart"/>
          </w:tcPr>
          <w:p w14:paraId="64519875" w14:textId="77777777" w:rsidR="009D4103" w:rsidRPr="00DC0CBE" w:rsidRDefault="009D4103" w:rsidP="002B21F6">
            <w:pPr>
              <w:pStyle w:val="Tabletext"/>
              <w:rPr>
                <w:position w:val="2"/>
                <w:lang w:val="ar-SA" w:bidi="ar-EG"/>
              </w:rPr>
            </w:pPr>
            <w:r w:rsidRPr="00DC0CBE">
              <w:rPr>
                <w:position w:val="2"/>
                <w:rtl/>
              </w:rPr>
              <w:t xml:space="preserve">لجنة الدراسات </w:t>
            </w:r>
            <w:r w:rsidRPr="00DC0CBE">
              <w:rPr>
                <w:position w:val="2"/>
              </w:rPr>
              <w:t>6</w:t>
            </w:r>
            <w:r w:rsidRPr="00DC0CBE">
              <w:rPr>
                <w:position w:val="2"/>
                <w:rtl/>
              </w:rPr>
              <w:t xml:space="preserve"> لقطاع الاتصالات الراديوية</w:t>
            </w:r>
          </w:p>
        </w:tc>
        <w:tc>
          <w:tcPr>
            <w:tcW w:w="2846" w:type="dxa"/>
          </w:tcPr>
          <w:p w14:paraId="2952AE5A" w14:textId="208D5F74" w:rsidR="009D4103" w:rsidRPr="00DC0CBE" w:rsidRDefault="009D4103" w:rsidP="00C3415C">
            <w:pPr>
              <w:pStyle w:val="Tabletext"/>
              <w:rPr>
                <w:position w:val="2"/>
                <w:lang w:val="ar-SA" w:bidi="ar-EG"/>
              </w:rPr>
            </w:pPr>
            <w:r w:rsidRPr="00DC0CBE">
              <w:rPr>
                <w:position w:val="2"/>
                <w:rtl/>
              </w:rPr>
              <w:t xml:space="preserve">المسألة </w:t>
            </w:r>
            <w:r w:rsidR="00C3415C" w:rsidRPr="00DC0CBE">
              <w:rPr>
                <w:position w:val="2"/>
                <w:lang w:val="en-GB"/>
              </w:rPr>
              <w:t>ITU-R 147/6</w:t>
            </w:r>
            <w:r w:rsidRPr="00DC0CBE">
              <w:rPr>
                <w:position w:val="2"/>
                <w:rtl/>
              </w:rPr>
              <w:t xml:space="preserve"> "الأنظمة الإذاعية المراعية للطاقة"</w:t>
            </w:r>
          </w:p>
        </w:tc>
        <w:tc>
          <w:tcPr>
            <w:tcW w:w="4252" w:type="dxa"/>
          </w:tcPr>
          <w:p w14:paraId="63F7711C" w14:textId="77777777" w:rsidR="009D4103" w:rsidRPr="00DC0CBE" w:rsidRDefault="009D4103" w:rsidP="002B21F6">
            <w:pPr>
              <w:pStyle w:val="Tabletext"/>
              <w:rPr>
                <w:position w:val="2"/>
                <w:lang w:val="ar-SA" w:bidi="ar-EG"/>
              </w:rPr>
            </w:pPr>
            <w:r w:rsidRPr="00DC0CBE">
              <w:rPr>
                <w:i/>
                <w:iCs/>
                <w:position w:val="2"/>
                <w:rtl/>
              </w:rPr>
              <w:t>تقرر</w:t>
            </w:r>
            <w:r w:rsidRPr="00DC0CBE">
              <w:rPr>
                <w:position w:val="2"/>
                <w:rtl/>
              </w:rPr>
              <w:t xml:space="preserve"> دراسة المسائل التالية</w:t>
            </w:r>
          </w:p>
          <w:p w14:paraId="26BB24C7" w14:textId="77777777" w:rsidR="009D4103" w:rsidRPr="00DC0CBE" w:rsidRDefault="00A16305" w:rsidP="002B21F6">
            <w:pPr>
              <w:pStyle w:val="Tabletext"/>
              <w:rPr>
                <w:position w:val="2"/>
                <w:lang w:val="ar-SA" w:bidi="ar-EG"/>
              </w:rPr>
            </w:pPr>
            <w:r w:rsidRPr="00DC0CBE">
              <w:rPr>
                <w:position w:val="2"/>
              </w:rPr>
              <w:t>1</w:t>
            </w:r>
            <w:r w:rsidRPr="00DC0CBE">
              <w:rPr>
                <w:position w:val="2"/>
              </w:rPr>
              <w:tab/>
            </w:r>
            <w:r w:rsidR="009D4103" w:rsidRPr="00DC0CBE">
              <w:rPr>
                <w:position w:val="2"/>
                <w:rtl/>
              </w:rPr>
              <w:t>ما هو التأثير المباشر للتكنولوجيات والخواص المستعملة للأغراض الإذاعية على استهلاك الطاقة؟</w:t>
            </w:r>
          </w:p>
          <w:p w14:paraId="747EA574" w14:textId="77777777" w:rsidR="009D4103" w:rsidRPr="00DC0CBE" w:rsidRDefault="00A16305" w:rsidP="002B21F6">
            <w:pPr>
              <w:pStyle w:val="Tabletext"/>
              <w:rPr>
                <w:position w:val="2"/>
                <w:lang w:val="ar-SA" w:bidi="ar-EG"/>
              </w:rPr>
            </w:pPr>
            <w:r w:rsidRPr="00DC0CBE">
              <w:rPr>
                <w:position w:val="2"/>
              </w:rPr>
              <w:t>2</w:t>
            </w:r>
            <w:r w:rsidRPr="00DC0CBE">
              <w:rPr>
                <w:position w:val="2"/>
              </w:rPr>
              <w:tab/>
            </w:r>
            <w:r w:rsidR="009D4103" w:rsidRPr="00DC0CBE">
              <w:rPr>
                <w:position w:val="2"/>
                <w:rtl/>
              </w:rPr>
              <w:t>ما هو الأثر غير المباشر لاستعمال الخدمات الخارجية المستخدمة للإذاعة على إجمالي استهلاك الطاقة؟</w:t>
            </w:r>
          </w:p>
          <w:p w14:paraId="399E5810" w14:textId="77777777" w:rsidR="009D4103" w:rsidRPr="00DC0CBE" w:rsidRDefault="00A16305" w:rsidP="002B21F6">
            <w:pPr>
              <w:pStyle w:val="Tabletext"/>
              <w:rPr>
                <w:position w:val="2"/>
                <w:lang w:val="ar-SA" w:bidi="ar-EG"/>
              </w:rPr>
            </w:pPr>
            <w:r w:rsidRPr="00DC0CBE">
              <w:rPr>
                <w:position w:val="2"/>
              </w:rPr>
              <w:t>3</w:t>
            </w:r>
            <w:r w:rsidRPr="00DC0CBE">
              <w:rPr>
                <w:position w:val="2"/>
              </w:rPr>
              <w:tab/>
            </w:r>
            <w:r w:rsidR="009D4103" w:rsidRPr="00DC0CBE">
              <w:rPr>
                <w:position w:val="2"/>
                <w:rtl/>
              </w:rPr>
              <w:t>ما هي المقاييس التي ينبغي استعمالها لتحديد الأثر المباشر وغير المباشر على استهلاك الطاقة والإبلاغ عنه؟</w:t>
            </w:r>
          </w:p>
          <w:p w14:paraId="0AA540A6" w14:textId="77777777" w:rsidR="009D4103" w:rsidRPr="00DC0CBE" w:rsidRDefault="00A16305" w:rsidP="002B21F6">
            <w:pPr>
              <w:pStyle w:val="Tabletext"/>
              <w:rPr>
                <w:position w:val="2"/>
                <w:lang w:val="ar-SA" w:bidi="ar-EG"/>
              </w:rPr>
            </w:pPr>
            <w:r w:rsidRPr="00DC0CBE">
              <w:rPr>
                <w:position w:val="2"/>
              </w:rPr>
              <w:t>4</w:t>
            </w:r>
            <w:r w:rsidRPr="00DC0CBE">
              <w:rPr>
                <w:position w:val="2"/>
              </w:rPr>
              <w:tab/>
            </w:r>
            <w:r w:rsidR="009D4103" w:rsidRPr="00DC0CBE">
              <w:rPr>
                <w:position w:val="2"/>
                <w:rtl/>
              </w:rPr>
              <w:t>كيف يمكن جعل البث أكثر كفاءة في استعمال الطاقة؟</w:t>
            </w:r>
          </w:p>
        </w:tc>
        <w:tc>
          <w:tcPr>
            <w:tcW w:w="1622" w:type="dxa"/>
          </w:tcPr>
          <w:p w14:paraId="00ADC3D3" w14:textId="77777777" w:rsidR="009D4103" w:rsidRPr="00DC0CBE" w:rsidRDefault="009D4103" w:rsidP="002B21F6">
            <w:pPr>
              <w:pStyle w:val="Tabletext"/>
              <w:rPr>
                <w:position w:val="2"/>
                <w:lang w:val="ar-SA" w:bidi="ar-EG"/>
              </w:rPr>
            </w:pPr>
            <w:r w:rsidRPr="00DC0CBE">
              <w:rPr>
                <w:position w:val="2"/>
                <w:rtl/>
              </w:rPr>
              <w:t>نُشر</w:t>
            </w:r>
          </w:p>
        </w:tc>
        <w:tc>
          <w:tcPr>
            <w:tcW w:w="2909" w:type="dxa"/>
          </w:tcPr>
          <w:p w14:paraId="253E2CE0" w14:textId="435A031C" w:rsidR="002B21F6" w:rsidRPr="00DC0CBE" w:rsidRDefault="00D25C58" w:rsidP="002B21F6">
            <w:pPr>
              <w:pStyle w:val="Tabletext"/>
              <w:rPr>
                <w:position w:val="2"/>
              </w:rPr>
            </w:pPr>
            <w:hyperlink r:id="rId39" w:history="1">
              <w:r w:rsidRPr="00DC0CBE">
                <w:rPr>
                  <w:rStyle w:val="Hyperlink"/>
                  <w:position w:val="2"/>
                </w:rPr>
                <w:t>https://www.itu.int/pub/R-QUE-SG06.147/ar</w:t>
              </w:r>
            </w:hyperlink>
          </w:p>
        </w:tc>
      </w:tr>
      <w:tr w:rsidR="009D4103" w:rsidRPr="00DC0CBE" w14:paraId="4B98B53B" w14:textId="77777777" w:rsidTr="00076220">
        <w:trPr>
          <w:trHeight w:val="776"/>
          <w:jc w:val="center"/>
        </w:trPr>
        <w:tc>
          <w:tcPr>
            <w:tcW w:w="1944" w:type="dxa"/>
            <w:vMerge/>
          </w:tcPr>
          <w:p w14:paraId="565FEED1" w14:textId="77777777" w:rsidR="009D4103" w:rsidRPr="00DC0CBE" w:rsidRDefault="009D4103" w:rsidP="002B21F6">
            <w:pPr>
              <w:pStyle w:val="Tabletext"/>
              <w:rPr>
                <w:position w:val="2"/>
                <w:lang w:bidi="ar-EG"/>
              </w:rPr>
            </w:pPr>
            <w:bookmarkStart w:id="46" w:name="_Hlk192773849"/>
          </w:p>
        </w:tc>
        <w:tc>
          <w:tcPr>
            <w:tcW w:w="1549" w:type="dxa"/>
            <w:vMerge/>
          </w:tcPr>
          <w:p w14:paraId="3959B792" w14:textId="77777777" w:rsidR="009D4103" w:rsidRPr="00DC0CBE" w:rsidRDefault="009D4103" w:rsidP="002B21F6">
            <w:pPr>
              <w:pStyle w:val="Tabletext"/>
              <w:rPr>
                <w:position w:val="2"/>
                <w:lang w:bidi="ar-EG"/>
              </w:rPr>
            </w:pPr>
          </w:p>
        </w:tc>
        <w:tc>
          <w:tcPr>
            <w:tcW w:w="2846" w:type="dxa"/>
            <w:vMerge w:val="restart"/>
          </w:tcPr>
          <w:p w14:paraId="41E4283E" w14:textId="0C822967" w:rsidR="009D4103" w:rsidRPr="00DC0CBE" w:rsidRDefault="009D4103" w:rsidP="002B21F6">
            <w:pPr>
              <w:pStyle w:val="Tabletext"/>
              <w:rPr>
                <w:position w:val="2"/>
                <w:lang w:val="ar-SA" w:bidi="ar-EG"/>
              </w:rPr>
            </w:pPr>
            <w:r w:rsidRPr="00DC0CBE">
              <w:rPr>
                <w:position w:val="2"/>
                <w:rtl/>
              </w:rPr>
              <w:t xml:space="preserve">الرأي </w:t>
            </w:r>
            <w:r w:rsidRPr="00DC0CBE">
              <w:rPr>
                <w:position w:val="2"/>
              </w:rPr>
              <w:t>ITU-R 104</w:t>
            </w:r>
            <w:r w:rsidR="00A16305" w:rsidRPr="00DC0CBE">
              <w:rPr>
                <w:rFonts w:hint="cs"/>
                <w:position w:val="2"/>
                <w:rtl/>
              </w:rPr>
              <w:t xml:space="preserve"> </w:t>
            </w:r>
            <w:r w:rsidRPr="00DC0CBE">
              <w:rPr>
                <w:position w:val="2"/>
                <w:rtl/>
              </w:rPr>
              <w:t>"مشورة بشأن استراتيجيات الاستدامة التي تتضمن سياسات تعويض الكربون"</w:t>
            </w:r>
          </w:p>
        </w:tc>
        <w:tc>
          <w:tcPr>
            <w:tcW w:w="4252" w:type="dxa"/>
            <w:vMerge w:val="restart"/>
          </w:tcPr>
          <w:p w14:paraId="68E8A1F2" w14:textId="77777777" w:rsidR="009D4103" w:rsidRPr="00DC0CBE" w:rsidRDefault="009D4103" w:rsidP="002B21F6">
            <w:pPr>
              <w:pStyle w:val="Tabletext"/>
              <w:rPr>
                <w:position w:val="2"/>
                <w:lang w:val="ar-SA" w:bidi="ar-EG"/>
              </w:rPr>
            </w:pPr>
            <w:r w:rsidRPr="00DC0CBE">
              <w:rPr>
                <w:position w:val="2"/>
                <w:rtl/>
              </w:rPr>
              <w:t>أن هيئات البث والمنظمات ذات الصلة بالإذاعة في جميع أنحاء العالم ينبغي أن يكون لديها استراتيجيات استدامة قوية تتحرك نحو صافي الانبعاثات الصفرية وتشجع على تنفيذ خطط قوية لكفاءة الطاقة تقلل من استهلاك الطاقة قبل النظر في بروتوكولات تعويض الكربون باعتبارها ملاذاً أخير</w:t>
            </w:r>
            <w:r w:rsidR="00076220" w:rsidRPr="00DC0CBE">
              <w:rPr>
                <w:rFonts w:hint="cs"/>
                <w:position w:val="2"/>
                <w:rtl/>
              </w:rPr>
              <w:t>اً</w:t>
            </w:r>
          </w:p>
        </w:tc>
        <w:tc>
          <w:tcPr>
            <w:tcW w:w="1622" w:type="dxa"/>
          </w:tcPr>
          <w:p w14:paraId="3F99AF6F" w14:textId="77777777" w:rsidR="009D4103" w:rsidRPr="00DC0CBE" w:rsidRDefault="009D4103" w:rsidP="002B21F6">
            <w:pPr>
              <w:pStyle w:val="Tabletext"/>
              <w:rPr>
                <w:position w:val="2"/>
                <w:lang w:val="ar-SA" w:bidi="ar-EG"/>
              </w:rPr>
            </w:pPr>
            <w:r w:rsidRPr="00DC0CBE">
              <w:rPr>
                <w:position w:val="2"/>
                <w:rtl/>
              </w:rPr>
              <w:t>نُشر</w:t>
            </w:r>
          </w:p>
        </w:tc>
        <w:tc>
          <w:tcPr>
            <w:tcW w:w="2909" w:type="dxa"/>
          </w:tcPr>
          <w:p w14:paraId="05EC0C18" w14:textId="4BF96F3D" w:rsidR="002B21F6" w:rsidRPr="00DC0CBE" w:rsidRDefault="00667F44" w:rsidP="002B21F6">
            <w:pPr>
              <w:pStyle w:val="Tabletext"/>
              <w:rPr>
                <w:position w:val="2"/>
              </w:rPr>
            </w:pPr>
            <w:hyperlink r:id="rId40" w:history="1">
              <w:r w:rsidRPr="00DC0CBE">
                <w:rPr>
                  <w:rStyle w:val="Hyperlink"/>
                  <w:position w:val="2"/>
                </w:rPr>
                <w:t>https://www.itu.int/pub/R-OP-R.104/ar</w:t>
              </w:r>
            </w:hyperlink>
          </w:p>
        </w:tc>
      </w:tr>
      <w:bookmarkEnd w:id="46"/>
      <w:tr w:rsidR="009D4103" w:rsidRPr="00DC0CBE" w14:paraId="5D7CECD7" w14:textId="77777777" w:rsidTr="00076220">
        <w:trPr>
          <w:trHeight w:val="776"/>
          <w:jc w:val="center"/>
        </w:trPr>
        <w:tc>
          <w:tcPr>
            <w:tcW w:w="1944" w:type="dxa"/>
            <w:vMerge/>
          </w:tcPr>
          <w:p w14:paraId="3C6D8155" w14:textId="77777777" w:rsidR="009D4103" w:rsidRPr="00DC0CBE" w:rsidRDefault="009D4103" w:rsidP="002B21F6">
            <w:pPr>
              <w:pStyle w:val="Tabletext"/>
              <w:rPr>
                <w:position w:val="2"/>
                <w:lang w:bidi="ar-EG"/>
              </w:rPr>
            </w:pPr>
          </w:p>
        </w:tc>
        <w:tc>
          <w:tcPr>
            <w:tcW w:w="1549" w:type="dxa"/>
            <w:vMerge/>
          </w:tcPr>
          <w:p w14:paraId="50077F1B" w14:textId="77777777" w:rsidR="009D4103" w:rsidRPr="00DC0CBE" w:rsidRDefault="009D4103" w:rsidP="002B21F6">
            <w:pPr>
              <w:pStyle w:val="Tabletext"/>
              <w:rPr>
                <w:position w:val="2"/>
                <w:lang w:bidi="ar-EG"/>
              </w:rPr>
            </w:pPr>
          </w:p>
        </w:tc>
        <w:tc>
          <w:tcPr>
            <w:tcW w:w="2846" w:type="dxa"/>
            <w:vMerge/>
          </w:tcPr>
          <w:p w14:paraId="4AA417DC" w14:textId="77777777" w:rsidR="009D4103" w:rsidRPr="00DC0CBE" w:rsidRDefault="009D4103" w:rsidP="002B21F6">
            <w:pPr>
              <w:pStyle w:val="Tabletext"/>
              <w:rPr>
                <w:position w:val="2"/>
                <w:lang w:bidi="ar-EG"/>
              </w:rPr>
            </w:pPr>
          </w:p>
        </w:tc>
        <w:tc>
          <w:tcPr>
            <w:tcW w:w="4252" w:type="dxa"/>
            <w:vMerge/>
          </w:tcPr>
          <w:p w14:paraId="14341FBA" w14:textId="77777777" w:rsidR="009D4103" w:rsidRPr="00DC0CBE" w:rsidRDefault="009D4103" w:rsidP="002B21F6">
            <w:pPr>
              <w:pStyle w:val="Tabletext"/>
              <w:rPr>
                <w:position w:val="2"/>
                <w:lang w:bidi="ar-EG"/>
              </w:rPr>
            </w:pPr>
          </w:p>
        </w:tc>
        <w:tc>
          <w:tcPr>
            <w:tcW w:w="1622" w:type="dxa"/>
          </w:tcPr>
          <w:p w14:paraId="2EB1DD04" w14:textId="77777777" w:rsidR="009D4103" w:rsidRPr="00DC0CBE" w:rsidRDefault="009D4103" w:rsidP="002B21F6">
            <w:pPr>
              <w:pStyle w:val="Tabletext"/>
              <w:rPr>
                <w:position w:val="2"/>
                <w:lang w:val="ar-SA" w:bidi="ar-EG"/>
              </w:rPr>
            </w:pPr>
            <w:r w:rsidRPr="00DC0CBE">
              <w:rPr>
                <w:position w:val="2"/>
                <w:rtl/>
              </w:rPr>
              <w:t>قيد المراجعة</w:t>
            </w:r>
          </w:p>
        </w:tc>
        <w:tc>
          <w:tcPr>
            <w:tcW w:w="2909" w:type="dxa"/>
          </w:tcPr>
          <w:p w14:paraId="7878B000" w14:textId="77777777" w:rsidR="009D4103" w:rsidRPr="00DC0CBE" w:rsidRDefault="009D4103" w:rsidP="002B21F6">
            <w:pPr>
              <w:pStyle w:val="Tabletext"/>
              <w:rPr>
                <w:position w:val="2"/>
                <w:lang w:val="ar-SA" w:bidi="ar-EG"/>
              </w:rPr>
            </w:pPr>
            <w:r w:rsidRPr="00DC0CBE">
              <w:rPr>
                <w:position w:val="2"/>
                <w:rtl/>
              </w:rPr>
              <w:t xml:space="preserve">نسخة وثيقة العمل المتاحة مرفقة بتقرير اجتماع فرقة العمل </w:t>
            </w:r>
            <w:r w:rsidRPr="00DC0CBE">
              <w:rPr>
                <w:position w:val="2"/>
              </w:rPr>
              <w:t>6C</w:t>
            </w:r>
            <w:r w:rsidRPr="00DC0CBE">
              <w:rPr>
                <w:position w:val="2"/>
                <w:rtl/>
              </w:rPr>
              <w:t xml:space="preserve"> في</w:t>
            </w:r>
            <w:r w:rsidR="00A16305" w:rsidRPr="00DC0CBE">
              <w:rPr>
                <w:rFonts w:hint="eastAsia"/>
                <w:position w:val="2"/>
                <w:rtl/>
                <w:lang w:bidi="ar-EG"/>
              </w:rPr>
              <w:t> </w:t>
            </w:r>
            <w:r w:rsidRPr="00DC0CBE">
              <w:rPr>
                <w:position w:val="2"/>
                <w:rtl/>
              </w:rPr>
              <w:t xml:space="preserve">مارس </w:t>
            </w:r>
            <w:r w:rsidRPr="00DC0CBE">
              <w:rPr>
                <w:position w:val="2"/>
              </w:rPr>
              <w:t>2024</w:t>
            </w:r>
          </w:p>
          <w:p w14:paraId="4904F021" w14:textId="77777777" w:rsidR="009D4103" w:rsidRPr="00DC0CBE" w:rsidRDefault="009D4103" w:rsidP="002B21F6">
            <w:pPr>
              <w:pStyle w:val="Tabletext"/>
              <w:rPr>
                <w:position w:val="2"/>
                <w:lang w:val="ar-SA" w:bidi="ar-EG"/>
              </w:rPr>
            </w:pPr>
            <w:r w:rsidRPr="00DC0CBE">
              <w:rPr>
                <w:position w:val="2"/>
                <w:rtl/>
              </w:rPr>
              <w:t xml:space="preserve">الوثيقة </w:t>
            </w:r>
            <w:hyperlink r:id="rId41" w:history="1">
              <w:r w:rsidRPr="00DC0CBE">
                <w:rPr>
                  <w:rStyle w:val="Hyperlink"/>
                  <w:position w:val="2"/>
                </w:rPr>
                <w:t>6C/77</w:t>
              </w:r>
            </w:hyperlink>
            <w:r w:rsidRPr="00DC0CBE">
              <w:rPr>
                <w:position w:val="2"/>
                <w:rtl/>
              </w:rPr>
              <w:t xml:space="preserve"> (</w:t>
            </w:r>
            <w:hyperlink r:id="rId42" w:history="1">
              <w:r w:rsidRPr="00DC0CBE">
                <w:rPr>
                  <w:rStyle w:val="Hyperlink"/>
                  <w:position w:val="2"/>
                  <w:rtl/>
                </w:rPr>
                <w:t xml:space="preserve">الفصل </w:t>
              </w:r>
              <w:r w:rsidRPr="00DC0CBE">
                <w:rPr>
                  <w:rStyle w:val="Hyperlink"/>
                  <w:position w:val="2"/>
                </w:rPr>
                <w:t>4</w:t>
              </w:r>
              <w:r w:rsidRPr="00DC0CBE">
                <w:rPr>
                  <w:rStyle w:val="Hyperlink"/>
                  <w:position w:val="2"/>
                  <w:rtl/>
                </w:rPr>
                <w:t xml:space="preserve">، الملحق </w:t>
              </w:r>
              <w:r w:rsidR="00A16305" w:rsidRPr="00DC0CBE">
                <w:rPr>
                  <w:rStyle w:val="Hyperlink"/>
                  <w:position w:val="2"/>
                </w:rPr>
                <w:t>1.4</w:t>
              </w:r>
            </w:hyperlink>
            <w:r w:rsidRPr="00DC0CBE">
              <w:rPr>
                <w:position w:val="2"/>
                <w:rtl/>
              </w:rPr>
              <w:t>) (محمية بخدمة تبادل معلومات الاتصالات (</w:t>
            </w:r>
            <w:r w:rsidRPr="00DC0CBE">
              <w:rPr>
                <w:position w:val="2"/>
                <w:lang w:bidi="ar-EG"/>
              </w:rPr>
              <w:t>TIES</w:t>
            </w:r>
            <w:r w:rsidRPr="00DC0CBE">
              <w:rPr>
                <w:position w:val="2"/>
                <w:rtl/>
              </w:rPr>
              <w:t>))</w:t>
            </w:r>
          </w:p>
        </w:tc>
      </w:tr>
      <w:tr w:rsidR="009D4103" w:rsidRPr="00DC0CBE" w14:paraId="50A8292D" w14:textId="77777777" w:rsidTr="00076220">
        <w:trPr>
          <w:trHeight w:val="2483"/>
          <w:jc w:val="center"/>
        </w:trPr>
        <w:tc>
          <w:tcPr>
            <w:tcW w:w="1944" w:type="dxa"/>
            <w:vMerge/>
          </w:tcPr>
          <w:p w14:paraId="1C96DF8E" w14:textId="77777777" w:rsidR="009D4103" w:rsidRPr="00DC0CBE" w:rsidRDefault="009D4103" w:rsidP="002B21F6">
            <w:pPr>
              <w:pStyle w:val="Tabletext"/>
              <w:rPr>
                <w:position w:val="2"/>
                <w:lang w:bidi="ar-EG"/>
              </w:rPr>
            </w:pPr>
          </w:p>
        </w:tc>
        <w:tc>
          <w:tcPr>
            <w:tcW w:w="1549" w:type="dxa"/>
            <w:vMerge/>
          </w:tcPr>
          <w:p w14:paraId="630B1031" w14:textId="77777777" w:rsidR="009D4103" w:rsidRPr="00DC0CBE" w:rsidRDefault="009D4103" w:rsidP="002B21F6">
            <w:pPr>
              <w:pStyle w:val="Tabletext"/>
              <w:rPr>
                <w:position w:val="2"/>
                <w:lang w:bidi="ar-EG"/>
              </w:rPr>
            </w:pPr>
          </w:p>
        </w:tc>
        <w:tc>
          <w:tcPr>
            <w:tcW w:w="2846" w:type="dxa"/>
          </w:tcPr>
          <w:p w14:paraId="3A791E30" w14:textId="77777777" w:rsidR="009D4103" w:rsidRPr="00DC0CBE" w:rsidRDefault="009D4103" w:rsidP="002B21F6">
            <w:pPr>
              <w:pStyle w:val="Tabletext"/>
              <w:rPr>
                <w:position w:val="2"/>
                <w:lang w:val="ar-SA" w:bidi="ar-EG"/>
              </w:rPr>
            </w:pPr>
            <w:r w:rsidRPr="00DC0CBE">
              <w:rPr>
                <w:position w:val="2"/>
                <w:rtl/>
              </w:rPr>
              <w:t xml:space="preserve">التقرير </w:t>
            </w:r>
            <w:r w:rsidRPr="00DC0CBE">
              <w:rPr>
                <w:position w:val="2"/>
              </w:rPr>
              <w:t>ITU-R BT.2385-1</w:t>
            </w:r>
            <w:r w:rsidRPr="00DC0CBE">
              <w:rPr>
                <w:position w:val="2"/>
                <w:rtl/>
              </w:rPr>
              <w:t xml:space="preserve">. </w:t>
            </w:r>
            <w:r w:rsidRPr="00DC0CBE">
              <w:rPr>
                <w:position w:val="2"/>
                <w:lang w:bidi="ar-EG"/>
              </w:rPr>
              <w:t>"</w:t>
            </w:r>
            <w:r w:rsidRPr="00DC0CBE">
              <w:rPr>
                <w:position w:val="2"/>
                <w:rtl/>
              </w:rPr>
              <w:t>الحد من الأثر البيئي لأنظمة الإذاعة للأرض"</w:t>
            </w:r>
          </w:p>
        </w:tc>
        <w:tc>
          <w:tcPr>
            <w:tcW w:w="4252" w:type="dxa"/>
          </w:tcPr>
          <w:p w14:paraId="5387F0FA" w14:textId="77777777" w:rsidR="009D4103" w:rsidRPr="00DC0CBE" w:rsidRDefault="009D4103" w:rsidP="002B21F6">
            <w:pPr>
              <w:pStyle w:val="Tabletext"/>
              <w:rPr>
                <w:position w:val="2"/>
                <w:lang w:val="ar-SA" w:bidi="ar-EG"/>
              </w:rPr>
            </w:pPr>
            <w:r w:rsidRPr="00DC0CBE">
              <w:rPr>
                <w:position w:val="2"/>
                <w:rtl/>
              </w:rPr>
              <w:t xml:space="preserve">يقترح هذا التقرير منهجية تقييم دورة الحياة </w:t>
            </w:r>
            <w:r w:rsidRPr="00DC0CBE">
              <w:rPr>
                <w:position w:val="2"/>
                <w:lang w:bidi="ar-EG"/>
              </w:rPr>
              <w:t>(LCA</w:t>
            </w:r>
            <w:r w:rsidRPr="00DC0CBE">
              <w:rPr>
                <w:position w:val="2"/>
              </w:rPr>
              <w:t>)</w:t>
            </w:r>
            <w:r w:rsidRPr="00DC0CBE">
              <w:rPr>
                <w:position w:val="2"/>
                <w:rtl/>
              </w:rPr>
              <w:t xml:space="preserve"> من أجل تقييم الأثر البيئي للبث الإذاعي. ويقدم أيضاً دراسات حالة صادرة عن هيئات البث تشرح كيفية الحد من الأثر البيئي لأنشطتها التجارية.</w:t>
            </w:r>
          </w:p>
        </w:tc>
        <w:tc>
          <w:tcPr>
            <w:tcW w:w="1622" w:type="dxa"/>
          </w:tcPr>
          <w:p w14:paraId="213482FC" w14:textId="77777777" w:rsidR="009D4103" w:rsidRPr="00DC0CBE" w:rsidRDefault="009D4103" w:rsidP="002B21F6">
            <w:pPr>
              <w:pStyle w:val="Tabletext"/>
              <w:rPr>
                <w:position w:val="2"/>
                <w:lang w:val="ar-SA" w:bidi="ar-EG"/>
              </w:rPr>
            </w:pPr>
            <w:r w:rsidRPr="00DC0CBE">
              <w:rPr>
                <w:position w:val="2"/>
                <w:rtl/>
              </w:rPr>
              <w:t>نُشر</w:t>
            </w:r>
          </w:p>
        </w:tc>
        <w:tc>
          <w:tcPr>
            <w:tcW w:w="2909" w:type="dxa"/>
          </w:tcPr>
          <w:p w14:paraId="7691C10E" w14:textId="77777777" w:rsidR="002B21F6" w:rsidRPr="00DC0CBE" w:rsidRDefault="009D4103" w:rsidP="002B21F6">
            <w:pPr>
              <w:pStyle w:val="Tabletext"/>
              <w:rPr>
                <w:position w:val="2"/>
              </w:rPr>
            </w:pPr>
            <w:hyperlink r:id="rId43" w:history="1">
              <w:r w:rsidRPr="00DC0CBE">
                <w:rPr>
                  <w:rStyle w:val="Hyperlink"/>
                  <w:position w:val="2"/>
                </w:rPr>
                <w:t>https://www.itu.int/pub/R-REP-BT.2385-1-2022</w:t>
              </w:r>
            </w:hyperlink>
          </w:p>
        </w:tc>
      </w:tr>
      <w:tr w:rsidR="009D4103" w:rsidRPr="00DC0CBE" w14:paraId="13129224" w14:textId="77777777" w:rsidTr="00076220">
        <w:trPr>
          <w:trHeight w:val="2483"/>
          <w:jc w:val="center"/>
        </w:trPr>
        <w:tc>
          <w:tcPr>
            <w:tcW w:w="1944" w:type="dxa"/>
            <w:vMerge/>
          </w:tcPr>
          <w:p w14:paraId="5E407D2F" w14:textId="77777777" w:rsidR="009D4103" w:rsidRPr="00DC0CBE" w:rsidRDefault="009D4103" w:rsidP="002B21F6">
            <w:pPr>
              <w:pStyle w:val="Tabletext"/>
              <w:rPr>
                <w:position w:val="2"/>
                <w:lang w:bidi="ar-EG"/>
              </w:rPr>
            </w:pPr>
          </w:p>
        </w:tc>
        <w:tc>
          <w:tcPr>
            <w:tcW w:w="1549" w:type="dxa"/>
            <w:vMerge/>
          </w:tcPr>
          <w:p w14:paraId="6B0F6C1B" w14:textId="77777777" w:rsidR="009D4103" w:rsidRPr="00DC0CBE" w:rsidRDefault="009D4103" w:rsidP="002B21F6">
            <w:pPr>
              <w:pStyle w:val="Tabletext"/>
              <w:rPr>
                <w:position w:val="2"/>
                <w:lang w:bidi="ar-EG"/>
              </w:rPr>
            </w:pPr>
          </w:p>
        </w:tc>
        <w:tc>
          <w:tcPr>
            <w:tcW w:w="2846" w:type="dxa"/>
          </w:tcPr>
          <w:p w14:paraId="49B34790" w14:textId="00805F41" w:rsidR="009D4103" w:rsidRPr="00DC0CBE" w:rsidRDefault="009D4103" w:rsidP="002B21F6">
            <w:pPr>
              <w:pStyle w:val="Tabletext"/>
              <w:rPr>
                <w:position w:val="2"/>
                <w:lang w:val="ar-SA" w:bidi="ar-EG"/>
              </w:rPr>
            </w:pPr>
            <w:r w:rsidRPr="00DC0CBE">
              <w:rPr>
                <w:position w:val="2"/>
                <w:rtl/>
              </w:rPr>
              <w:t xml:space="preserve">التقرير </w:t>
            </w:r>
            <w:r w:rsidRPr="00DC0CBE">
              <w:rPr>
                <w:position w:val="2"/>
              </w:rPr>
              <w:t>ITU-R BT.2521</w:t>
            </w:r>
            <w:r w:rsidR="00154C9E" w:rsidRPr="00DC0CBE">
              <w:rPr>
                <w:position w:val="2"/>
              </w:rPr>
              <w:t>-1</w:t>
            </w:r>
            <w:r w:rsidRPr="00DC0CBE">
              <w:rPr>
                <w:position w:val="2"/>
                <w:rtl/>
              </w:rPr>
              <w:t xml:space="preserve"> "أمثلة عملية للإجراءات الرامية إلى تحقيق الإذاعة المراعية للطاقة"</w:t>
            </w:r>
          </w:p>
        </w:tc>
        <w:tc>
          <w:tcPr>
            <w:tcW w:w="4252" w:type="dxa"/>
          </w:tcPr>
          <w:p w14:paraId="7DCD2D9C" w14:textId="77777777" w:rsidR="009D4103" w:rsidRPr="00DC0CBE" w:rsidRDefault="009D4103" w:rsidP="002B21F6">
            <w:pPr>
              <w:pStyle w:val="Tabletext"/>
              <w:rPr>
                <w:position w:val="2"/>
                <w:lang w:val="ar-SA" w:bidi="ar-EG"/>
              </w:rPr>
            </w:pPr>
            <w:r w:rsidRPr="00DC0CBE">
              <w:rPr>
                <w:position w:val="2"/>
                <w:rtl/>
              </w:rPr>
              <w:t>يهدف هذا التقرير إلى مساعدة هيئات البث والمنظمات ذات الصلة بالإذاعة على تنفيذ استراتيجيات الاستدامة وتقييم تأثيرها على البيئة والحد منه.</w:t>
            </w:r>
          </w:p>
        </w:tc>
        <w:tc>
          <w:tcPr>
            <w:tcW w:w="1622" w:type="dxa"/>
          </w:tcPr>
          <w:p w14:paraId="435BB2C2" w14:textId="77777777" w:rsidR="009D4103" w:rsidRPr="00DC0CBE" w:rsidRDefault="009D4103" w:rsidP="002B21F6">
            <w:pPr>
              <w:pStyle w:val="Tabletext"/>
              <w:rPr>
                <w:position w:val="2"/>
                <w:lang w:val="ar-SA" w:bidi="ar-EG"/>
              </w:rPr>
            </w:pPr>
            <w:r w:rsidRPr="00DC0CBE">
              <w:rPr>
                <w:position w:val="2"/>
                <w:rtl/>
              </w:rPr>
              <w:t>نُشر</w:t>
            </w:r>
          </w:p>
        </w:tc>
        <w:tc>
          <w:tcPr>
            <w:tcW w:w="2909" w:type="dxa"/>
          </w:tcPr>
          <w:p w14:paraId="2FE58456" w14:textId="4A759FBF" w:rsidR="002B21F6" w:rsidRPr="00DC0CBE" w:rsidRDefault="00125E08" w:rsidP="002B21F6">
            <w:pPr>
              <w:pStyle w:val="Tabletext"/>
              <w:rPr>
                <w:position w:val="2"/>
              </w:rPr>
            </w:pPr>
            <w:hyperlink r:id="rId44" w:history="1">
              <w:r w:rsidRPr="00DC0CBE">
                <w:rPr>
                  <w:rStyle w:val="Hyperlink"/>
                  <w:position w:val="2"/>
                </w:rPr>
                <w:t>https://www.itu.int/pub/R-REP-BT.2521/ar</w:t>
              </w:r>
            </w:hyperlink>
          </w:p>
        </w:tc>
      </w:tr>
      <w:tr w:rsidR="009D4103" w:rsidRPr="00DC0CBE" w14:paraId="5AE109AB" w14:textId="77777777" w:rsidTr="00076220">
        <w:trPr>
          <w:trHeight w:val="2483"/>
          <w:jc w:val="center"/>
        </w:trPr>
        <w:tc>
          <w:tcPr>
            <w:tcW w:w="1944" w:type="dxa"/>
            <w:vMerge/>
          </w:tcPr>
          <w:p w14:paraId="4A7D19B6" w14:textId="77777777" w:rsidR="009D4103" w:rsidRPr="00DC0CBE" w:rsidRDefault="009D4103" w:rsidP="002B21F6">
            <w:pPr>
              <w:pStyle w:val="Tabletext"/>
              <w:rPr>
                <w:position w:val="2"/>
                <w:lang w:bidi="ar-EG"/>
              </w:rPr>
            </w:pPr>
          </w:p>
        </w:tc>
        <w:tc>
          <w:tcPr>
            <w:tcW w:w="1549" w:type="dxa"/>
            <w:vMerge/>
          </w:tcPr>
          <w:p w14:paraId="3C504285" w14:textId="77777777" w:rsidR="009D4103" w:rsidRPr="00DC0CBE" w:rsidRDefault="009D4103" w:rsidP="002B21F6">
            <w:pPr>
              <w:pStyle w:val="Tabletext"/>
              <w:rPr>
                <w:position w:val="2"/>
                <w:lang w:bidi="ar-EG"/>
              </w:rPr>
            </w:pPr>
          </w:p>
        </w:tc>
        <w:tc>
          <w:tcPr>
            <w:tcW w:w="2846" w:type="dxa"/>
          </w:tcPr>
          <w:p w14:paraId="6E14B544" w14:textId="0EB1108E" w:rsidR="009D4103" w:rsidRPr="00DC0CBE" w:rsidRDefault="009D4103" w:rsidP="002B21F6">
            <w:pPr>
              <w:pStyle w:val="Tabletext"/>
              <w:rPr>
                <w:position w:val="2"/>
                <w:lang w:val="ar-SA" w:bidi="ar-EG"/>
              </w:rPr>
            </w:pPr>
            <w:r w:rsidRPr="00DC0CBE">
              <w:rPr>
                <w:position w:val="2"/>
                <w:rtl/>
              </w:rPr>
              <w:t xml:space="preserve">التقرير </w:t>
            </w:r>
            <w:r w:rsidRPr="00DC0CBE">
              <w:rPr>
                <w:position w:val="2"/>
              </w:rPr>
              <w:t>ITU-R BT.2540-0</w:t>
            </w:r>
            <w:r w:rsidRPr="00DC0CBE">
              <w:rPr>
                <w:position w:val="2"/>
                <w:rtl/>
              </w:rPr>
              <w:t xml:space="preserve"> "تقليل الطاقة من خلال معالجة إشارة الصورة"</w:t>
            </w:r>
          </w:p>
        </w:tc>
        <w:tc>
          <w:tcPr>
            <w:tcW w:w="4252" w:type="dxa"/>
          </w:tcPr>
          <w:p w14:paraId="2B7AE073" w14:textId="77777777" w:rsidR="009D4103" w:rsidRPr="00DC0CBE" w:rsidRDefault="009D4103" w:rsidP="002B21F6">
            <w:pPr>
              <w:pStyle w:val="Tabletext"/>
              <w:rPr>
                <w:spacing w:val="-2"/>
                <w:position w:val="2"/>
                <w:lang w:val="ar-SA" w:bidi="ar-EG"/>
              </w:rPr>
            </w:pPr>
            <w:r w:rsidRPr="00DC0CBE">
              <w:rPr>
                <w:spacing w:val="-2"/>
                <w:position w:val="2"/>
                <w:rtl/>
              </w:rPr>
              <w:t>تنطوي تقنيات البث والبث على تكلفة من حيث الطاقة الموزعة على سلسلة الإرسال بأكملها، من الإنتاج إلى التوزيع/ الإرسال وما يشاهده المستهلكون في آخر المطاف. فشاشات التلفزيون، عند النظر إلى الكمية الكاملة على مستوى العالم، تستهلك جزءاً كبيراً نسبياً من هذه الطاقة. ويمكن التخفيف من استهلاك الطاقة هذا عن طريق معالجة إشارات الصور المتكيفة مع المحتوى مع تقليل التأثير على الجودة المرئية. ويصف هذا التقرير هذه التقنيات.</w:t>
            </w:r>
          </w:p>
        </w:tc>
        <w:tc>
          <w:tcPr>
            <w:tcW w:w="1622" w:type="dxa"/>
          </w:tcPr>
          <w:p w14:paraId="2401613D" w14:textId="77777777" w:rsidR="009D4103" w:rsidRPr="00DC0CBE" w:rsidRDefault="009D4103" w:rsidP="002B21F6">
            <w:pPr>
              <w:pStyle w:val="Tabletext"/>
              <w:rPr>
                <w:position w:val="2"/>
                <w:lang w:val="ar-SA" w:bidi="ar-EG"/>
              </w:rPr>
            </w:pPr>
            <w:r w:rsidRPr="00DC0CBE">
              <w:rPr>
                <w:position w:val="2"/>
                <w:rtl/>
              </w:rPr>
              <w:t>نُشر</w:t>
            </w:r>
          </w:p>
        </w:tc>
        <w:tc>
          <w:tcPr>
            <w:tcW w:w="2909" w:type="dxa"/>
          </w:tcPr>
          <w:p w14:paraId="63FC233F" w14:textId="651587BF" w:rsidR="009D4103" w:rsidRPr="00DC0CBE" w:rsidRDefault="00AB0D84" w:rsidP="002B21F6">
            <w:pPr>
              <w:pStyle w:val="Tabletext"/>
              <w:rPr>
                <w:position w:val="2"/>
                <w:lang w:val="ar-SA" w:bidi="ar-EG"/>
              </w:rPr>
            </w:pPr>
            <w:hyperlink r:id="rId45" w:history="1">
              <w:r w:rsidRPr="00DC0CBE">
                <w:rPr>
                  <w:rStyle w:val="Hyperlink"/>
                  <w:position w:val="2"/>
                </w:rPr>
                <w:t>https://www.itu.int/pub/R-REP-BT.2540/ar</w:t>
              </w:r>
            </w:hyperlink>
          </w:p>
        </w:tc>
      </w:tr>
      <w:tr w:rsidR="009D4103" w:rsidRPr="00DC0CBE" w14:paraId="2522F11F" w14:textId="77777777" w:rsidTr="00076220">
        <w:trPr>
          <w:trHeight w:val="2483"/>
          <w:jc w:val="center"/>
        </w:trPr>
        <w:tc>
          <w:tcPr>
            <w:tcW w:w="1944" w:type="dxa"/>
            <w:vMerge w:val="restart"/>
          </w:tcPr>
          <w:p w14:paraId="063CC08A" w14:textId="77777777" w:rsidR="009D4103" w:rsidRPr="00DC0CBE" w:rsidRDefault="009D4103" w:rsidP="002B21F6">
            <w:pPr>
              <w:pStyle w:val="Tabletext"/>
              <w:rPr>
                <w:position w:val="2"/>
                <w:lang w:bidi="ar-EG"/>
              </w:rPr>
            </w:pPr>
          </w:p>
        </w:tc>
        <w:tc>
          <w:tcPr>
            <w:tcW w:w="1549" w:type="dxa"/>
            <w:vMerge w:val="restart"/>
          </w:tcPr>
          <w:p w14:paraId="63B31252" w14:textId="77777777" w:rsidR="009D4103" w:rsidRPr="00DC0CBE" w:rsidRDefault="009D4103" w:rsidP="002B21F6">
            <w:pPr>
              <w:pStyle w:val="Tabletext"/>
              <w:rPr>
                <w:position w:val="2"/>
                <w:lang w:bidi="ar-EG"/>
              </w:rPr>
            </w:pPr>
          </w:p>
        </w:tc>
        <w:tc>
          <w:tcPr>
            <w:tcW w:w="2846" w:type="dxa"/>
          </w:tcPr>
          <w:p w14:paraId="67D2C9B9" w14:textId="77777777" w:rsidR="009D4103" w:rsidRPr="00DC0CBE" w:rsidRDefault="009D4103" w:rsidP="002B21F6">
            <w:pPr>
              <w:pStyle w:val="Tabletext"/>
              <w:rPr>
                <w:position w:val="2"/>
                <w:lang w:val="ar-SA" w:bidi="ar-EG"/>
              </w:rPr>
            </w:pPr>
            <w:r w:rsidRPr="00DC0CBE">
              <w:rPr>
                <w:position w:val="2"/>
                <w:rtl/>
              </w:rPr>
              <w:t xml:space="preserve">التوصية </w:t>
            </w:r>
            <w:r w:rsidRPr="00DC0CBE">
              <w:rPr>
                <w:position w:val="2"/>
              </w:rPr>
              <w:t>ITU-R BT.2167-0</w:t>
            </w:r>
            <w:r w:rsidRPr="00DC0CBE">
              <w:rPr>
                <w:position w:val="2"/>
                <w:rtl/>
              </w:rPr>
              <w:t xml:space="preserve"> "إطار للأساليب التكيفية مع المحتوى من</w:t>
            </w:r>
            <w:r w:rsidR="006E689A" w:rsidRPr="00DC0CBE">
              <w:rPr>
                <w:rFonts w:hint="cs"/>
                <w:position w:val="2"/>
                <w:rtl/>
              </w:rPr>
              <w:t> </w:t>
            </w:r>
            <w:r w:rsidRPr="00DC0CBE">
              <w:rPr>
                <w:position w:val="2"/>
                <w:rtl/>
              </w:rPr>
              <w:t>أجل خفض استهلاك الطاقة في</w:t>
            </w:r>
            <w:r w:rsidR="006E689A" w:rsidRPr="00DC0CBE">
              <w:rPr>
                <w:rFonts w:hint="cs"/>
                <w:position w:val="2"/>
                <w:rtl/>
              </w:rPr>
              <w:t> </w:t>
            </w:r>
            <w:r w:rsidRPr="00DC0CBE">
              <w:rPr>
                <w:position w:val="2"/>
                <w:rtl/>
              </w:rPr>
              <w:t>شاشات التلفزيون"</w:t>
            </w:r>
          </w:p>
        </w:tc>
        <w:tc>
          <w:tcPr>
            <w:tcW w:w="4252" w:type="dxa"/>
          </w:tcPr>
          <w:p w14:paraId="1C91BAAA" w14:textId="77777777" w:rsidR="009D4103" w:rsidRPr="00DC0CBE" w:rsidRDefault="009D4103" w:rsidP="002B21F6">
            <w:pPr>
              <w:pStyle w:val="Tabletext"/>
              <w:rPr>
                <w:spacing w:val="-2"/>
                <w:position w:val="2"/>
                <w:lang w:val="ar-SA" w:bidi="ar-EG"/>
              </w:rPr>
            </w:pPr>
            <w:r w:rsidRPr="00DC0CBE">
              <w:rPr>
                <w:spacing w:val="-2"/>
                <w:position w:val="2"/>
                <w:rtl/>
              </w:rPr>
              <w:t>‏تستهلك شاشات التلفزيون جزءاً كبيراً نسبياً من إجمالي الطاقة الشاملة المستهلكة في سلسلة الإذاعة من إنتاج البرامج إلى المشاهدة النهائية من قبل المستهلكين. ويمكن التخفيف من استهلاك شاشات التلفزيون للطاقة بأساليب تكييف المحتوى دون التأثير بشكل لا داعي له على الجودة المرئية. وتحدد هذه التوصية إطاراً لهذه التقنيات.</w:t>
            </w:r>
            <w:r w:rsidRPr="00DC0CBE">
              <w:rPr>
                <w:spacing w:val="-2"/>
                <w:position w:val="2"/>
                <w:cs/>
              </w:rPr>
              <w:t>‎</w:t>
            </w:r>
          </w:p>
          <w:p w14:paraId="1DB2DA49" w14:textId="77777777" w:rsidR="009D4103" w:rsidRPr="00DC0CBE" w:rsidRDefault="009D4103" w:rsidP="002B21F6">
            <w:pPr>
              <w:pStyle w:val="Tabletext"/>
              <w:rPr>
                <w:position w:val="2"/>
                <w:lang w:val="ar-SA" w:bidi="ar-EG"/>
              </w:rPr>
            </w:pPr>
            <w:r w:rsidRPr="00DC0CBE">
              <w:rPr>
                <w:b/>
                <w:bCs/>
                <w:position w:val="2"/>
                <w:rtl/>
              </w:rPr>
              <w:t>ملاحظة</w:t>
            </w:r>
            <w:r w:rsidRPr="00DC0CBE">
              <w:rPr>
                <w:position w:val="2"/>
                <w:rtl/>
              </w:rPr>
              <w:t xml:space="preserve"> - مرافقة للتقرير </w:t>
            </w:r>
            <w:r w:rsidRPr="00DC0CBE">
              <w:rPr>
                <w:position w:val="2"/>
              </w:rPr>
              <w:t>ITU-R BT.2540-0</w:t>
            </w:r>
            <w:r w:rsidRPr="00DC0CBE">
              <w:rPr>
                <w:position w:val="2"/>
                <w:rtl/>
              </w:rPr>
              <w:t>.</w:t>
            </w:r>
          </w:p>
        </w:tc>
        <w:tc>
          <w:tcPr>
            <w:tcW w:w="1622" w:type="dxa"/>
          </w:tcPr>
          <w:p w14:paraId="716CE3C8" w14:textId="06058F3E" w:rsidR="009D4103" w:rsidRPr="00DC0CBE" w:rsidRDefault="009D4103" w:rsidP="002B21F6">
            <w:pPr>
              <w:pStyle w:val="Tabletext"/>
              <w:rPr>
                <w:position w:val="2"/>
                <w:lang w:val="ar-SA" w:bidi="ar-EG"/>
              </w:rPr>
            </w:pPr>
            <w:r w:rsidRPr="00DC0CBE">
              <w:rPr>
                <w:position w:val="2"/>
                <w:rtl/>
              </w:rPr>
              <w:t>تمت الموافقة.</w:t>
            </w:r>
          </w:p>
        </w:tc>
        <w:tc>
          <w:tcPr>
            <w:tcW w:w="2909" w:type="dxa"/>
          </w:tcPr>
          <w:p w14:paraId="796B5182" w14:textId="77777777" w:rsidR="009D4103" w:rsidRPr="00DC0CBE" w:rsidRDefault="009D4103" w:rsidP="002B21F6">
            <w:pPr>
              <w:pStyle w:val="Tabletext"/>
              <w:rPr>
                <w:position w:val="2"/>
                <w:lang w:val="ar-SA" w:bidi="ar-EG"/>
              </w:rPr>
            </w:pPr>
            <w:hyperlink r:id="rId46" w:history="1">
              <w:r w:rsidRPr="00DC0CBE">
                <w:rPr>
                  <w:rStyle w:val="Hyperlink"/>
                  <w:position w:val="2"/>
                </w:rPr>
                <w:t>https://www.itu.int/rec/R-REC-BT.2167/en</w:t>
              </w:r>
            </w:hyperlink>
          </w:p>
        </w:tc>
      </w:tr>
      <w:tr w:rsidR="009D4103" w:rsidRPr="00DC0CBE" w14:paraId="2F5AAF55" w14:textId="77777777" w:rsidTr="00076220">
        <w:trPr>
          <w:trHeight w:val="2483"/>
          <w:jc w:val="center"/>
        </w:trPr>
        <w:tc>
          <w:tcPr>
            <w:tcW w:w="1944" w:type="dxa"/>
            <w:vMerge/>
          </w:tcPr>
          <w:p w14:paraId="488906B5" w14:textId="77777777" w:rsidR="009D4103" w:rsidRPr="00DC0CBE" w:rsidRDefault="009D4103" w:rsidP="002B21F6">
            <w:pPr>
              <w:pStyle w:val="Tabletext"/>
              <w:rPr>
                <w:position w:val="2"/>
                <w:lang w:bidi="ar-EG"/>
              </w:rPr>
            </w:pPr>
          </w:p>
        </w:tc>
        <w:tc>
          <w:tcPr>
            <w:tcW w:w="1549" w:type="dxa"/>
            <w:vMerge/>
          </w:tcPr>
          <w:p w14:paraId="4BD31C6E" w14:textId="77777777" w:rsidR="009D4103" w:rsidRPr="00DC0CBE" w:rsidRDefault="009D4103" w:rsidP="002B21F6">
            <w:pPr>
              <w:pStyle w:val="Tabletext"/>
              <w:rPr>
                <w:position w:val="2"/>
                <w:lang w:bidi="ar-EG"/>
              </w:rPr>
            </w:pPr>
          </w:p>
        </w:tc>
        <w:tc>
          <w:tcPr>
            <w:tcW w:w="2846" w:type="dxa"/>
          </w:tcPr>
          <w:p w14:paraId="7CF67728" w14:textId="77777777" w:rsidR="009D4103" w:rsidRPr="00DC0CBE" w:rsidRDefault="009D4103" w:rsidP="002B21F6">
            <w:pPr>
              <w:pStyle w:val="Tabletext"/>
              <w:rPr>
                <w:position w:val="2"/>
                <w:lang w:val="ar-SA" w:bidi="ar-EG"/>
              </w:rPr>
            </w:pPr>
            <w:r w:rsidRPr="00DC0CBE">
              <w:rPr>
                <w:position w:val="2"/>
                <w:rtl/>
              </w:rPr>
              <w:t xml:space="preserve">توصية جديدة مقترحة "إطار قياس لهيئات البث من أجل تقييم تأثيرها على النطاق </w:t>
            </w:r>
            <w:r w:rsidRPr="00DC0CBE">
              <w:rPr>
                <w:position w:val="2"/>
              </w:rPr>
              <w:t>3</w:t>
            </w:r>
            <w:r w:rsidRPr="00DC0CBE">
              <w:rPr>
                <w:position w:val="2"/>
                <w:rtl/>
              </w:rPr>
              <w:t xml:space="preserve"> للتلفزيونات التي تعرض برنامجاً تلفزيونياً"</w:t>
            </w:r>
          </w:p>
        </w:tc>
        <w:tc>
          <w:tcPr>
            <w:tcW w:w="4252" w:type="dxa"/>
          </w:tcPr>
          <w:p w14:paraId="16463983" w14:textId="2914FEF8" w:rsidR="009D4103" w:rsidRPr="00DC0CBE" w:rsidRDefault="009D4103" w:rsidP="002B21F6">
            <w:pPr>
              <w:pStyle w:val="Tabletext"/>
              <w:rPr>
                <w:position w:val="2"/>
                <w:lang w:val="ar-SA" w:bidi="ar-EG"/>
              </w:rPr>
            </w:pPr>
            <w:r w:rsidRPr="00DC0CBE">
              <w:rPr>
                <w:position w:val="2"/>
                <w:rtl/>
              </w:rPr>
              <w:t xml:space="preserve">وبالنسبة لهيئات البث، يُعتبر الأثر النهائي لبث برنامج تلفزيوني جزءاً من النطاق </w:t>
            </w:r>
            <w:r w:rsidRPr="00DC0CBE">
              <w:rPr>
                <w:position w:val="2"/>
              </w:rPr>
              <w:t>3</w:t>
            </w:r>
            <w:r w:rsidRPr="00DC0CBE">
              <w:rPr>
                <w:position w:val="2"/>
                <w:rtl/>
              </w:rPr>
              <w:t xml:space="preserve">، الفئة </w:t>
            </w:r>
            <w:r w:rsidRPr="00DC0CBE">
              <w:rPr>
                <w:position w:val="2"/>
              </w:rPr>
              <w:t>11</w:t>
            </w:r>
            <w:r w:rsidRPr="00DC0CBE">
              <w:rPr>
                <w:position w:val="2"/>
                <w:rtl/>
              </w:rPr>
              <w:t>، انبعاثات مرحلة الاستعمال غير المباشر للمنتجات المُباعة، التي تُقدَّم طوعياً بشأنها تقارير في الوقت الحالي. وتحدد هذه التوصية إطاراً لتقييم هذا التأثير، بقدر ما يتعلق الأمر بشاشات عرض المستعمل</w:t>
            </w:r>
            <w:r w:rsidR="006E689A" w:rsidRPr="00DC0CBE">
              <w:rPr>
                <w:rFonts w:hint="eastAsia"/>
                <w:position w:val="2"/>
                <w:rtl/>
                <w:lang w:bidi="ar-EG"/>
              </w:rPr>
              <w:t> </w:t>
            </w:r>
            <w:r w:rsidRPr="00DC0CBE">
              <w:rPr>
                <w:position w:val="2"/>
                <w:rtl/>
              </w:rPr>
              <w:t>النهائي.</w:t>
            </w:r>
          </w:p>
        </w:tc>
        <w:tc>
          <w:tcPr>
            <w:tcW w:w="1622" w:type="dxa"/>
          </w:tcPr>
          <w:p w14:paraId="1F19135C" w14:textId="77777777" w:rsidR="009D4103" w:rsidRPr="00DC0CBE" w:rsidRDefault="009D4103" w:rsidP="002B21F6">
            <w:pPr>
              <w:pStyle w:val="Tabletext"/>
              <w:rPr>
                <w:position w:val="2"/>
                <w:lang w:val="ar-SA" w:bidi="ar-EG"/>
              </w:rPr>
            </w:pPr>
            <w:r w:rsidRPr="00DC0CBE">
              <w:rPr>
                <w:position w:val="2"/>
                <w:rtl/>
              </w:rPr>
              <w:t>قيد الدراسة</w:t>
            </w:r>
          </w:p>
        </w:tc>
        <w:tc>
          <w:tcPr>
            <w:tcW w:w="2909" w:type="dxa"/>
          </w:tcPr>
          <w:p w14:paraId="20086FD0" w14:textId="77777777" w:rsidR="009D4103" w:rsidRPr="00DC0CBE" w:rsidRDefault="009D4103" w:rsidP="002B21F6">
            <w:pPr>
              <w:pStyle w:val="Tabletext"/>
              <w:rPr>
                <w:position w:val="2"/>
                <w:lang w:val="ar-SA" w:bidi="ar-EG"/>
              </w:rPr>
            </w:pPr>
            <w:r w:rsidRPr="00DC0CBE">
              <w:rPr>
                <w:position w:val="2"/>
                <w:rtl/>
              </w:rPr>
              <w:t xml:space="preserve">نسخة وثيقة العمل المتاحة مرفقة بتقرير اجتماع فرقة العمل </w:t>
            </w:r>
            <w:r w:rsidRPr="00DC0CBE">
              <w:rPr>
                <w:position w:val="2"/>
              </w:rPr>
              <w:t>6C</w:t>
            </w:r>
            <w:r w:rsidRPr="00DC0CBE">
              <w:rPr>
                <w:position w:val="2"/>
                <w:rtl/>
              </w:rPr>
              <w:t xml:space="preserve"> في</w:t>
            </w:r>
            <w:r w:rsidR="006E689A" w:rsidRPr="00DC0CBE">
              <w:rPr>
                <w:rFonts w:hint="cs"/>
                <w:position w:val="2"/>
                <w:rtl/>
              </w:rPr>
              <w:t> </w:t>
            </w:r>
            <w:r w:rsidRPr="00DC0CBE">
              <w:rPr>
                <w:position w:val="2"/>
                <w:rtl/>
              </w:rPr>
              <w:t xml:space="preserve">مارس </w:t>
            </w:r>
            <w:r w:rsidRPr="00DC0CBE">
              <w:rPr>
                <w:position w:val="2"/>
              </w:rPr>
              <w:t>2024</w:t>
            </w:r>
          </w:p>
          <w:p w14:paraId="7EB64BA9" w14:textId="77777777" w:rsidR="009D4103" w:rsidRPr="00DC0CBE" w:rsidRDefault="009D4103" w:rsidP="002B21F6">
            <w:pPr>
              <w:pStyle w:val="Tabletext"/>
              <w:rPr>
                <w:position w:val="2"/>
                <w:u w:val="single"/>
                <w:lang w:val="ar-SA" w:bidi="ar-EG"/>
              </w:rPr>
            </w:pPr>
            <w:hyperlink r:id="rId47" w:history="1">
              <w:r w:rsidRPr="00DC0CBE">
                <w:rPr>
                  <w:rStyle w:val="Hyperlink"/>
                  <w:position w:val="2"/>
                </w:rPr>
                <w:t>6C/37 (Annex 3.1)</w:t>
              </w:r>
            </w:hyperlink>
          </w:p>
          <w:p w14:paraId="32818F14" w14:textId="77777777" w:rsidR="009D4103" w:rsidRPr="00DC0CBE" w:rsidRDefault="009D4103" w:rsidP="00172267">
            <w:pPr>
              <w:pStyle w:val="Tabletext"/>
              <w:rPr>
                <w:position w:val="2"/>
                <w:u w:val="single"/>
                <w:lang w:val="ar-SA" w:bidi="ar-EG"/>
              </w:rPr>
            </w:pPr>
            <w:r w:rsidRPr="00DC0CBE">
              <w:rPr>
                <w:position w:val="2"/>
                <w:rtl/>
              </w:rPr>
              <w:t xml:space="preserve">(محمي بموجب خدمة تبادل معلومات الاتصالات </w:t>
            </w:r>
            <w:r w:rsidRPr="00DC0CBE">
              <w:rPr>
                <w:position w:val="2"/>
                <w:lang w:bidi="ar-EG"/>
              </w:rPr>
              <w:t>(TIES</w:t>
            </w:r>
            <w:r w:rsidRPr="00DC0CBE">
              <w:rPr>
                <w:position w:val="2"/>
              </w:rPr>
              <w:t>)</w:t>
            </w:r>
            <w:r w:rsidRPr="00DC0CBE">
              <w:rPr>
                <w:position w:val="2"/>
                <w:rtl/>
              </w:rPr>
              <w:t>)</w:t>
            </w:r>
          </w:p>
        </w:tc>
      </w:tr>
    </w:tbl>
    <w:p w14:paraId="45052B24" w14:textId="77777777" w:rsidR="0039465C" w:rsidRPr="0039465C" w:rsidRDefault="0039465C" w:rsidP="0039465C">
      <w:pPr>
        <w:spacing w:before="600"/>
        <w:jc w:val="center"/>
      </w:pPr>
      <w:r w:rsidRPr="00DC0CBE">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DC0CBE">
      <w:headerReference w:type="even" r:id="rId48"/>
      <w:headerReference w:type="default" r:id="rId49"/>
      <w:pgSz w:w="16834" w:h="11907" w:orient="landscape" w:code="9"/>
      <w:pgMar w:top="1134" w:right="851" w:bottom="851" w:left="851" w:header="567"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3CE9" w14:textId="77777777" w:rsidR="004055E6" w:rsidRDefault="004055E6" w:rsidP="002919E1">
      <w:r>
        <w:separator/>
      </w:r>
    </w:p>
    <w:p w14:paraId="526D7A87" w14:textId="77777777" w:rsidR="004055E6" w:rsidRDefault="004055E6" w:rsidP="002919E1"/>
    <w:p w14:paraId="4D027C9D" w14:textId="77777777" w:rsidR="004055E6" w:rsidRDefault="004055E6" w:rsidP="002919E1"/>
    <w:p w14:paraId="73736F45" w14:textId="77777777" w:rsidR="004055E6" w:rsidRDefault="004055E6"/>
  </w:endnote>
  <w:endnote w:type="continuationSeparator" w:id="0">
    <w:p w14:paraId="16C3A567" w14:textId="77777777" w:rsidR="004055E6" w:rsidRDefault="004055E6" w:rsidP="002919E1">
      <w:r>
        <w:continuationSeparator/>
      </w:r>
    </w:p>
    <w:p w14:paraId="6AAD2234" w14:textId="77777777" w:rsidR="004055E6" w:rsidRDefault="004055E6" w:rsidP="002919E1"/>
    <w:p w14:paraId="0F06112A" w14:textId="77777777" w:rsidR="004055E6" w:rsidRDefault="004055E6" w:rsidP="002919E1"/>
    <w:p w14:paraId="76CD3DCA" w14:textId="77777777" w:rsidR="004055E6" w:rsidRDefault="0040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implified Arabic">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ABBA" w14:textId="77777777" w:rsidR="004055E6" w:rsidRDefault="004055E6" w:rsidP="002919E1">
      <w:r>
        <w:separator/>
      </w:r>
    </w:p>
  </w:footnote>
  <w:footnote w:type="continuationSeparator" w:id="0">
    <w:p w14:paraId="5DF30AD2" w14:textId="77777777" w:rsidR="004055E6" w:rsidRDefault="004055E6" w:rsidP="002919E1">
      <w:r>
        <w:continuationSeparator/>
      </w:r>
    </w:p>
    <w:p w14:paraId="4FF2FB35" w14:textId="77777777" w:rsidR="004055E6" w:rsidRDefault="004055E6" w:rsidP="002919E1"/>
    <w:p w14:paraId="379C0B67" w14:textId="77777777" w:rsidR="004055E6" w:rsidRDefault="004055E6" w:rsidP="002919E1"/>
    <w:p w14:paraId="786E3E83" w14:textId="77777777" w:rsidR="004055E6" w:rsidRDefault="00405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5F36" w14:textId="77777777" w:rsidR="009D4103" w:rsidRPr="009D4103" w:rsidRDefault="009D4103" w:rsidP="009D4103">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Pr>
        <w:rStyle w:val="PageNumber"/>
      </w:rPr>
      <w:t>RAG/30(Add.1)-A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D100" w14:textId="77777777" w:rsidR="00281F5F" w:rsidRDefault="00281F5F" w:rsidP="002919E1"/>
  <w:p w14:paraId="26C4CEB5" w14:textId="77777777" w:rsidR="00281F5F" w:rsidRDefault="00281F5F" w:rsidP="002919E1"/>
  <w:p w14:paraId="673ACA32" w14:textId="77777777" w:rsidR="00281F5F" w:rsidRDefault="00281F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FB18" w14:textId="77777777" w:rsidR="00281F5F" w:rsidRPr="00CA2488" w:rsidRDefault="00281F5F" w:rsidP="005730DF">
    <w:pPr>
      <w:bidi w:val="0"/>
      <w:spacing w:after="240"/>
      <w:jc w:val="center"/>
      <w:rPr>
        <w:rStyle w:val="PageNumber"/>
      </w:rPr>
    </w:pPr>
    <w:r w:rsidRPr="00CA2488">
      <w:rPr>
        <w:rStyle w:val="PageNumber"/>
      </w:rPr>
      <w:fldChar w:fldCharType="begin"/>
    </w:r>
    <w:r w:rsidRPr="00CA2488">
      <w:rPr>
        <w:rStyle w:val="PageNumber"/>
      </w:rPr>
      <w:instrText xml:space="preserve"> PAGE </w:instrText>
    </w:r>
    <w:r w:rsidRPr="00CA2488">
      <w:rPr>
        <w:rStyle w:val="PageNumber"/>
      </w:rPr>
      <w:fldChar w:fldCharType="separate"/>
    </w:r>
    <w:r w:rsidR="002B12C5" w:rsidRPr="00CA2488">
      <w:rPr>
        <w:rStyle w:val="PageNumber"/>
        <w:noProof/>
      </w:rPr>
      <w:t>2</w:t>
    </w:r>
    <w:r w:rsidRPr="00CA2488">
      <w:rPr>
        <w:rStyle w:val="PageNumber"/>
      </w:rPr>
      <w:fldChar w:fldCharType="end"/>
    </w:r>
    <w:r w:rsidRPr="00CA2488">
      <w:rPr>
        <w:rStyle w:val="PageNumber"/>
        <w:rtl/>
      </w:rPr>
      <w:br/>
    </w:r>
    <w:r w:rsidR="002F3031" w:rsidRPr="00CA2488">
      <w:rPr>
        <w:rStyle w:val="PageNumber"/>
      </w:rPr>
      <w:t>R</w:t>
    </w:r>
    <w:r w:rsidR="0057610B" w:rsidRPr="00CA2488">
      <w:rPr>
        <w:rStyle w:val="PageNumber"/>
      </w:rPr>
      <w:t>AG</w:t>
    </w:r>
    <w:r w:rsidR="00A809E8" w:rsidRPr="00CA2488">
      <w:rPr>
        <w:rStyle w:val="PageNumber"/>
      </w:rPr>
      <w:t>/</w:t>
    </w:r>
    <w:r w:rsidR="00CA2488" w:rsidRPr="00CA2488">
      <w:rPr>
        <w:rStyle w:val="PageNumber"/>
      </w:rPr>
      <w:t>30(Add.1)</w:t>
    </w:r>
    <w:r w:rsidR="00A809E8" w:rsidRPr="00CA248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2"/>
  </w:num>
  <w:num w:numId="3" w16cid:durableId="676006606">
    <w:abstractNumId w:val="11"/>
  </w:num>
  <w:num w:numId="4" w16cid:durableId="903955018">
    <w:abstractNumId w:val="13"/>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930194580">
    <w:abstractNumId w:val="10"/>
    <w:lvlOverride w:ilvl="0">
      <w:lvl w:ilvl="0" w:tplc="D166D5FE">
        <w:start w:val="1"/>
        <w:numFmt w:val="decimal"/>
        <w:lvlText w:val="%1)"/>
        <w:lvlJc w:val="left"/>
        <w:pPr>
          <w:ind w:left="7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88"/>
    <w:rsid w:val="000000EE"/>
    <w:rsid w:val="00011021"/>
    <w:rsid w:val="000114EC"/>
    <w:rsid w:val="00011F8C"/>
    <w:rsid w:val="00022B74"/>
    <w:rsid w:val="0002327C"/>
    <w:rsid w:val="00034B65"/>
    <w:rsid w:val="00040C94"/>
    <w:rsid w:val="000425FC"/>
    <w:rsid w:val="00044D43"/>
    <w:rsid w:val="000515F8"/>
    <w:rsid w:val="00051907"/>
    <w:rsid w:val="00075A3F"/>
    <w:rsid w:val="00076220"/>
    <w:rsid w:val="000A1B16"/>
    <w:rsid w:val="000B3896"/>
    <w:rsid w:val="000B5404"/>
    <w:rsid w:val="000C5263"/>
    <w:rsid w:val="000C7098"/>
    <w:rsid w:val="000D1708"/>
    <w:rsid w:val="000D40A9"/>
    <w:rsid w:val="000D723D"/>
    <w:rsid w:val="000E2AFC"/>
    <w:rsid w:val="000E6D30"/>
    <w:rsid w:val="000F05F5"/>
    <w:rsid w:val="000F1E0F"/>
    <w:rsid w:val="000F518F"/>
    <w:rsid w:val="0010081C"/>
    <w:rsid w:val="001013E3"/>
    <w:rsid w:val="00101B78"/>
    <w:rsid w:val="0010363F"/>
    <w:rsid w:val="00123AA6"/>
    <w:rsid w:val="0012545F"/>
    <w:rsid w:val="00125E08"/>
    <w:rsid w:val="00136B82"/>
    <w:rsid w:val="001464F2"/>
    <w:rsid w:val="00154C9E"/>
    <w:rsid w:val="00167364"/>
    <w:rsid w:val="00172267"/>
    <w:rsid w:val="001903B2"/>
    <w:rsid w:val="001B24F1"/>
    <w:rsid w:val="001B5953"/>
    <w:rsid w:val="001D0754"/>
    <w:rsid w:val="001D746E"/>
    <w:rsid w:val="001E190C"/>
    <w:rsid w:val="001E51EE"/>
    <w:rsid w:val="001E54F6"/>
    <w:rsid w:val="001E5A8C"/>
    <w:rsid w:val="001E6923"/>
    <w:rsid w:val="001F6293"/>
    <w:rsid w:val="00201444"/>
    <w:rsid w:val="00201A0A"/>
    <w:rsid w:val="00205F48"/>
    <w:rsid w:val="002075D4"/>
    <w:rsid w:val="0021047C"/>
    <w:rsid w:val="00211B2A"/>
    <w:rsid w:val="002165EC"/>
    <w:rsid w:val="00217696"/>
    <w:rsid w:val="0022141A"/>
    <w:rsid w:val="002233CA"/>
    <w:rsid w:val="00223C6C"/>
    <w:rsid w:val="002333A0"/>
    <w:rsid w:val="00246115"/>
    <w:rsid w:val="002504CB"/>
    <w:rsid w:val="002543CF"/>
    <w:rsid w:val="0026062E"/>
    <w:rsid w:val="00260F50"/>
    <w:rsid w:val="00261EF7"/>
    <w:rsid w:val="0027069F"/>
    <w:rsid w:val="002805DE"/>
    <w:rsid w:val="00280E04"/>
    <w:rsid w:val="00281F5F"/>
    <w:rsid w:val="002843E4"/>
    <w:rsid w:val="002917AB"/>
    <w:rsid w:val="002919E1"/>
    <w:rsid w:val="00295917"/>
    <w:rsid w:val="00296071"/>
    <w:rsid w:val="002A4572"/>
    <w:rsid w:val="002A7E2E"/>
    <w:rsid w:val="002B12C5"/>
    <w:rsid w:val="002B16D8"/>
    <w:rsid w:val="002B21F6"/>
    <w:rsid w:val="002B53C5"/>
    <w:rsid w:val="002C7095"/>
    <w:rsid w:val="002C7A3C"/>
    <w:rsid w:val="002D08BC"/>
    <w:rsid w:val="002D5F64"/>
    <w:rsid w:val="002D6BB4"/>
    <w:rsid w:val="002D6FBF"/>
    <w:rsid w:val="002E48BF"/>
    <w:rsid w:val="002E61C2"/>
    <w:rsid w:val="002F3031"/>
    <w:rsid w:val="002F3E46"/>
    <w:rsid w:val="0030080E"/>
    <w:rsid w:val="0030601A"/>
    <w:rsid w:val="00311E3F"/>
    <w:rsid w:val="00314B1E"/>
    <w:rsid w:val="00317157"/>
    <w:rsid w:val="0033737F"/>
    <w:rsid w:val="00353652"/>
    <w:rsid w:val="003569E1"/>
    <w:rsid w:val="003815E2"/>
    <w:rsid w:val="00381FAD"/>
    <w:rsid w:val="00382A66"/>
    <w:rsid w:val="003847DE"/>
    <w:rsid w:val="003923B1"/>
    <w:rsid w:val="0039465C"/>
    <w:rsid w:val="003965FE"/>
    <w:rsid w:val="003B27AD"/>
    <w:rsid w:val="003B29D7"/>
    <w:rsid w:val="003B4F23"/>
    <w:rsid w:val="003C12F6"/>
    <w:rsid w:val="003C3A13"/>
    <w:rsid w:val="003C425F"/>
    <w:rsid w:val="003E02EF"/>
    <w:rsid w:val="003E1D90"/>
    <w:rsid w:val="003F723D"/>
    <w:rsid w:val="00400CD4"/>
    <w:rsid w:val="00402422"/>
    <w:rsid w:val="004055E6"/>
    <w:rsid w:val="004147B9"/>
    <w:rsid w:val="00420A70"/>
    <w:rsid w:val="00422C04"/>
    <w:rsid w:val="00423A40"/>
    <w:rsid w:val="00426144"/>
    <w:rsid w:val="004544EA"/>
    <w:rsid w:val="00462D23"/>
    <w:rsid w:val="004636E2"/>
    <w:rsid w:val="00464B03"/>
    <w:rsid w:val="0046793B"/>
    <w:rsid w:val="00470CBD"/>
    <w:rsid w:val="0047407D"/>
    <w:rsid w:val="0047410A"/>
    <w:rsid w:val="00476833"/>
    <w:rsid w:val="0047728B"/>
    <w:rsid w:val="004909DD"/>
    <w:rsid w:val="004A05E6"/>
    <w:rsid w:val="004A6230"/>
    <w:rsid w:val="004A6C66"/>
    <w:rsid w:val="004A7AA0"/>
    <w:rsid w:val="004B3933"/>
    <w:rsid w:val="004C11BC"/>
    <w:rsid w:val="004C5C04"/>
    <w:rsid w:val="004D0448"/>
    <w:rsid w:val="004D0605"/>
    <w:rsid w:val="004D4AE6"/>
    <w:rsid w:val="004F0BED"/>
    <w:rsid w:val="004F52B2"/>
    <w:rsid w:val="0050452C"/>
    <w:rsid w:val="00505FCA"/>
    <w:rsid w:val="00510C2D"/>
    <w:rsid w:val="00516042"/>
    <w:rsid w:val="005166A4"/>
    <w:rsid w:val="005169F4"/>
    <w:rsid w:val="00517DD9"/>
    <w:rsid w:val="005210D1"/>
    <w:rsid w:val="00523146"/>
    <w:rsid w:val="00523275"/>
    <w:rsid w:val="00523BA1"/>
    <w:rsid w:val="00531DC7"/>
    <w:rsid w:val="005350B0"/>
    <w:rsid w:val="005431B5"/>
    <w:rsid w:val="00546A99"/>
    <w:rsid w:val="00546DD3"/>
    <w:rsid w:val="00551C32"/>
    <w:rsid w:val="00553411"/>
    <w:rsid w:val="00553F66"/>
    <w:rsid w:val="00554AE7"/>
    <w:rsid w:val="00564746"/>
    <w:rsid w:val="0056512C"/>
    <w:rsid w:val="00567F38"/>
    <w:rsid w:val="005730DF"/>
    <w:rsid w:val="0057610B"/>
    <w:rsid w:val="00576D0A"/>
    <w:rsid w:val="00576FCC"/>
    <w:rsid w:val="00584333"/>
    <w:rsid w:val="005953EC"/>
    <w:rsid w:val="00597D8F"/>
    <w:rsid w:val="005B00A1"/>
    <w:rsid w:val="005C29C8"/>
    <w:rsid w:val="005C571E"/>
    <w:rsid w:val="005C5D25"/>
    <w:rsid w:val="005D2606"/>
    <w:rsid w:val="005D6D48"/>
    <w:rsid w:val="005D72A4"/>
    <w:rsid w:val="005D765C"/>
    <w:rsid w:val="005E7203"/>
    <w:rsid w:val="005F057F"/>
    <w:rsid w:val="005F05CC"/>
    <w:rsid w:val="005F65DE"/>
    <w:rsid w:val="005F7A27"/>
    <w:rsid w:val="00602F97"/>
    <w:rsid w:val="00603A5F"/>
    <w:rsid w:val="00613492"/>
    <w:rsid w:val="006142A7"/>
    <w:rsid w:val="00630905"/>
    <w:rsid w:val="006315B5"/>
    <w:rsid w:val="0065562F"/>
    <w:rsid w:val="006577C0"/>
    <w:rsid w:val="00666D50"/>
    <w:rsid w:val="00667F44"/>
    <w:rsid w:val="006779A4"/>
    <w:rsid w:val="00680A66"/>
    <w:rsid w:val="00681391"/>
    <w:rsid w:val="00694690"/>
    <w:rsid w:val="0069526C"/>
    <w:rsid w:val="006A093D"/>
    <w:rsid w:val="006A12AC"/>
    <w:rsid w:val="006A2162"/>
    <w:rsid w:val="006B4B90"/>
    <w:rsid w:val="006B658C"/>
    <w:rsid w:val="006D2674"/>
    <w:rsid w:val="006E38D0"/>
    <w:rsid w:val="006E465B"/>
    <w:rsid w:val="006E689A"/>
    <w:rsid w:val="006F310C"/>
    <w:rsid w:val="006F70BF"/>
    <w:rsid w:val="00716B1D"/>
    <w:rsid w:val="007248EC"/>
    <w:rsid w:val="00726744"/>
    <w:rsid w:val="00731150"/>
    <w:rsid w:val="00734E41"/>
    <w:rsid w:val="007351CE"/>
    <w:rsid w:val="00736DCC"/>
    <w:rsid w:val="00741855"/>
    <w:rsid w:val="00742B73"/>
    <w:rsid w:val="0074424E"/>
    <w:rsid w:val="00751251"/>
    <w:rsid w:val="007610E7"/>
    <w:rsid w:val="00764079"/>
    <w:rsid w:val="00770AA0"/>
    <w:rsid w:val="007713BF"/>
    <w:rsid w:val="00771F7E"/>
    <w:rsid w:val="00773E9C"/>
    <w:rsid w:val="00776F6B"/>
    <w:rsid w:val="00777694"/>
    <w:rsid w:val="00786A7E"/>
    <w:rsid w:val="007A0802"/>
    <w:rsid w:val="007B1FCA"/>
    <w:rsid w:val="007C1815"/>
    <w:rsid w:val="007C2C12"/>
    <w:rsid w:val="007C3CFA"/>
    <w:rsid w:val="007E0E8B"/>
    <w:rsid w:val="007E6847"/>
    <w:rsid w:val="007E6B0A"/>
    <w:rsid w:val="007F08CA"/>
    <w:rsid w:val="007F7FC3"/>
    <w:rsid w:val="00801238"/>
    <w:rsid w:val="00810482"/>
    <w:rsid w:val="00812C2D"/>
    <w:rsid w:val="00817568"/>
    <w:rsid w:val="008204AC"/>
    <w:rsid w:val="008261C2"/>
    <w:rsid w:val="00827482"/>
    <w:rsid w:val="00830D96"/>
    <w:rsid w:val="00831153"/>
    <w:rsid w:val="00852EBE"/>
    <w:rsid w:val="0085569D"/>
    <w:rsid w:val="00855B59"/>
    <w:rsid w:val="00857499"/>
    <w:rsid w:val="0085774F"/>
    <w:rsid w:val="008579A5"/>
    <w:rsid w:val="008614B8"/>
    <w:rsid w:val="00863B70"/>
    <w:rsid w:val="008648B7"/>
    <w:rsid w:val="008657CB"/>
    <w:rsid w:val="00873A6F"/>
    <w:rsid w:val="0088384B"/>
    <w:rsid w:val="00893E53"/>
    <w:rsid w:val="008A1137"/>
    <w:rsid w:val="008A1788"/>
    <w:rsid w:val="008A3D61"/>
    <w:rsid w:val="008A3E57"/>
    <w:rsid w:val="008A4185"/>
    <w:rsid w:val="008A6552"/>
    <w:rsid w:val="008B4E93"/>
    <w:rsid w:val="008B52B7"/>
    <w:rsid w:val="008B6CAA"/>
    <w:rsid w:val="008C3818"/>
    <w:rsid w:val="008D6ACC"/>
    <w:rsid w:val="008D7AF0"/>
    <w:rsid w:val="008E2CBE"/>
    <w:rsid w:val="008E32DD"/>
    <w:rsid w:val="008F056B"/>
    <w:rsid w:val="008F21E2"/>
    <w:rsid w:val="008F4626"/>
    <w:rsid w:val="008F6E36"/>
    <w:rsid w:val="00900119"/>
    <w:rsid w:val="009004DF"/>
    <w:rsid w:val="00904AA5"/>
    <w:rsid w:val="009133CF"/>
    <w:rsid w:val="00951718"/>
    <w:rsid w:val="00960962"/>
    <w:rsid w:val="00972CE0"/>
    <w:rsid w:val="00992792"/>
    <w:rsid w:val="00995827"/>
    <w:rsid w:val="009A24F6"/>
    <w:rsid w:val="009A3D30"/>
    <w:rsid w:val="009D4103"/>
    <w:rsid w:val="009D6348"/>
    <w:rsid w:val="009E5007"/>
    <w:rsid w:val="009E613F"/>
    <w:rsid w:val="009F042B"/>
    <w:rsid w:val="00A03F63"/>
    <w:rsid w:val="00A03FD6"/>
    <w:rsid w:val="00A04CF4"/>
    <w:rsid w:val="00A116A8"/>
    <w:rsid w:val="00A16305"/>
    <w:rsid w:val="00A17E61"/>
    <w:rsid w:val="00A22AE9"/>
    <w:rsid w:val="00A26758"/>
    <w:rsid w:val="00A26D0E"/>
    <w:rsid w:val="00A27205"/>
    <w:rsid w:val="00A278E9"/>
    <w:rsid w:val="00A3451F"/>
    <w:rsid w:val="00A3584A"/>
    <w:rsid w:val="00A35E1F"/>
    <w:rsid w:val="00A36268"/>
    <w:rsid w:val="00A375BD"/>
    <w:rsid w:val="00A40B2C"/>
    <w:rsid w:val="00A411AF"/>
    <w:rsid w:val="00A42ADC"/>
    <w:rsid w:val="00A66D2B"/>
    <w:rsid w:val="00A72ADB"/>
    <w:rsid w:val="00A809E8"/>
    <w:rsid w:val="00A83910"/>
    <w:rsid w:val="00A870AD"/>
    <w:rsid w:val="00A90843"/>
    <w:rsid w:val="00A92B31"/>
    <w:rsid w:val="00A9645C"/>
    <w:rsid w:val="00AA398A"/>
    <w:rsid w:val="00AB0D84"/>
    <w:rsid w:val="00AB2A33"/>
    <w:rsid w:val="00AC1275"/>
    <w:rsid w:val="00AC2E37"/>
    <w:rsid w:val="00AC7395"/>
    <w:rsid w:val="00AD162B"/>
    <w:rsid w:val="00AD6739"/>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3835"/>
    <w:rsid w:val="00B357E9"/>
    <w:rsid w:val="00B414B8"/>
    <w:rsid w:val="00B4164D"/>
    <w:rsid w:val="00B425C1"/>
    <w:rsid w:val="00B606BA"/>
    <w:rsid w:val="00B666A6"/>
    <w:rsid w:val="00B66817"/>
    <w:rsid w:val="00B71E3B"/>
    <w:rsid w:val="00B721D5"/>
    <w:rsid w:val="00B81CB5"/>
    <w:rsid w:val="00B8351F"/>
    <w:rsid w:val="00B86C44"/>
    <w:rsid w:val="00B9727C"/>
    <w:rsid w:val="00BA7D44"/>
    <w:rsid w:val="00BB522D"/>
    <w:rsid w:val="00BC4CF4"/>
    <w:rsid w:val="00BD6291"/>
    <w:rsid w:val="00BD6EF3"/>
    <w:rsid w:val="00BE07FA"/>
    <w:rsid w:val="00BE69C3"/>
    <w:rsid w:val="00BF014C"/>
    <w:rsid w:val="00C1165E"/>
    <w:rsid w:val="00C22074"/>
    <w:rsid w:val="00C2377B"/>
    <w:rsid w:val="00C3415C"/>
    <w:rsid w:val="00C34E09"/>
    <w:rsid w:val="00C3693C"/>
    <w:rsid w:val="00C449F7"/>
    <w:rsid w:val="00C53F6F"/>
    <w:rsid w:val="00C5489D"/>
    <w:rsid w:val="00C71759"/>
    <w:rsid w:val="00C8199C"/>
    <w:rsid w:val="00C84112"/>
    <w:rsid w:val="00C841EB"/>
    <w:rsid w:val="00C8665F"/>
    <w:rsid w:val="00C917B5"/>
    <w:rsid w:val="00C94DFA"/>
    <w:rsid w:val="00C9528B"/>
    <w:rsid w:val="00C97C5D"/>
    <w:rsid w:val="00CA2488"/>
    <w:rsid w:val="00CA298C"/>
    <w:rsid w:val="00CB2BF9"/>
    <w:rsid w:val="00CB4300"/>
    <w:rsid w:val="00CB454E"/>
    <w:rsid w:val="00CB5255"/>
    <w:rsid w:val="00CC030E"/>
    <w:rsid w:val="00CC4D37"/>
    <w:rsid w:val="00CC68C4"/>
    <w:rsid w:val="00CC6A1C"/>
    <w:rsid w:val="00CC79A4"/>
    <w:rsid w:val="00CD0FDE"/>
    <w:rsid w:val="00CD1574"/>
    <w:rsid w:val="00CD306A"/>
    <w:rsid w:val="00CE0E68"/>
    <w:rsid w:val="00CE40A1"/>
    <w:rsid w:val="00CE5BA4"/>
    <w:rsid w:val="00CF5664"/>
    <w:rsid w:val="00D160F7"/>
    <w:rsid w:val="00D25120"/>
    <w:rsid w:val="00D25C58"/>
    <w:rsid w:val="00D36C5E"/>
    <w:rsid w:val="00D419CB"/>
    <w:rsid w:val="00D44350"/>
    <w:rsid w:val="00D44E3F"/>
    <w:rsid w:val="00D462C6"/>
    <w:rsid w:val="00D51BB8"/>
    <w:rsid w:val="00D525F5"/>
    <w:rsid w:val="00D535D0"/>
    <w:rsid w:val="00D54776"/>
    <w:rsid w:val="00D577D8"/>
    <w:rsid w:val="00D62C78"/>
    <w:rsid w:val="00D81703"/>
    <w:rsid w:val="00D82929"/>
    <w:rsid w:val="00D84214"/>
    <w:rsid w:val="00D847C8"/>
    <w:rsid w:val="00D8612C"/>
    <w:rsid w:val="00D943E5"/>
    <w:rsid w:val="00DA1AE0"/>
    <w:rsid w:val="00DC0CBE"/>
    <w:rsid w:val="00DC29DD"/>
    <w:rsid w:val="00DC304D"/>
    <w:rsid w:val="00DC7C0E"/>
    <w:rsid w:val="00DD0DAB"/>
    <w:rsid w:val="00DE441A"/>
    <w:rsid w:val="00DE7387"/>
    <w:rsid w:val="00DF2A6A"/>
    <w:rsid w:val="00DF3B72"/>
    <w:rsid w:val="00E10285"/>
    <w:rsid w:val="00E10821"/>
    <w:rsid w:val="00E2489D"/>
    <w:rsid w:val="00E26520"/>
    <w:rsid w:val="00E26732"/>
    <w:rsid w:val="00E343A3"/>
    <w:rsid w:val="00E47277"/>
    <w:rsid w:val="00E51BFA"/>
    <w:rsid w:val="00E53E70"/>
    <w:rsid w:val="00E6129E"/>
    <w:rsid w:val="00E621A3"/>
    <w:rsid w:val="00E70E5C"/>
    <w:rsid w:val="00E72F57"/>
    <w:rsid w:val="00E833BC"/>
    <w:rsid w:val="00E8580E"/>
    <w:rsid w:val="00E87349"/>
    <w:rsid w:val="00E97E21"/>
    <w:rsid w:val="00EA074B"/>
    <w:rsid w:val="00EA1B76"/>
    <w:rsid w:val="00EA77D7"/>
    <w:rsid w:val="00EC09B9"/>
    <w:rsid w:val="00ED048C"/>
    <w:rsid w:val="00EE2BE4"/>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68F3"/>
    <w:rsid w:val="00F52E75"/>
    <w:rsid w:val="00F65620"/>
    <w:rsid w:val="00F84613"/>
    <w:rsid w:val="00F8654D"/>
    <w:rsid w:val="00F900C9"/>
    <w:rsid w:val="00F9256F"/>
    <w:rsid w:val="00F92C96"/>
    <w:rsid w:val="00F97D1C"/>
    <w:rsid w:val="00FA0D4E"/>
    <w:rsid w:val="00FA1E97"/>
    <w:rsid w:val="00FB0753"/>
    <w:rsid w:val="00FB0E6A"/>
    <w:rsid w:val="00FB5CC8"/>
    <w:rsid w:val="00FC2CD0"/>
    <w:rsid w:val="00FD0594"/>
    <w:rsid w:val="00FE580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EC2F7"/>
  <w15:docId w15:val="{6FC7FFC5-577B-4056-B244-BE2CAEC4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uiPriority w:val="99"/>
    <w:rsid w:val="00EE60E9"/>
    <w:pPr>
      <w:ind w:left="1698" w:right="1698"/>
    </w:pPr>
  </w:style>
  <w:style w:type="paragraph" w:styleId="Index6">
    <w:name w:val="index 6"/>
    <w:basedOn w:val="Normal"/>
    <w:next w:val="Normal"/>
    <w:uiPriority w:val="99"/>
    <w:rsid w:val="00EE60E9"/>
    <w:pPr>
      <w:ind w:left="1415" w:right="1415"/>
    </w:pPr>
  </w:style>
  <w:style w:type="paragraph" w:styleId="Index5">
    <w:name w:val="index 5"/>
    <w:basedOn w:val="Normal"/>
    <w:next w:val="Normal"/>
    <w:uiPriority w:val="99"/>
    <w:rsid w:val="00EE60E9"/>
    <w:pPr>
      <w:ind w:left="1132" w:right="1132"/>
    </w:pPr>
  </w:style>
  <w:style w:type="paragraph" w:styleId="Index4">
    <w:name w:val="index 4"/>
    <w:basedOn w:val="Normal"/>
    <w:next w:val="Normal"/>
    <w:uiPriority w:val="99"/>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uiPriority w:val="99"/>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5431B5"/>
    <w:rPr>
      <w:rFonts w:ascii="Dubai" w:hAnsi="Dubai" w:cs="Dubai"/>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462C6"/>
    <w:pPr>
      <w:tabs>
        <w:tab w:val="left" w:pos="851"/>
      </w:tabs>
    </w:pPr>
    <w:rPr>
      <w:sz w:val="20"/>
      <w:szCs w:val="20"/>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uiPriority w:val="99"/>
    <w:rsid w:val="008B52B7"/>
    <w:rPr>
      <w:rFonts w:ascii="Dubai" w:hAnsi="Dubai" w:cs="Dubai"/>
      <w:position w:val="6"/>
      <w:sz w:val="18"/>
      <w:szCs w:val="18"/>
      <w:vertAlign w:val="superscript"/>
    </w:rPr>
  </w:style>
  <w:style w:type="character" w:styleId="PageNumber">
    <w:name w:val="page number"/>
    <w:basedOn w:val="DefaultParagraphFont"/>
    <w:uiPriority w:val="99"/>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link w:val="Title1Char"/>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uiPriority w:val="99"/>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uiPriority w:val="99"/>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2165EC"/>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aliases w:val="Recommendation,List Paragraph11,O5,Para_sk,Resume Title,- Bullets"/>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uiPriority w:val="99"/>
    <w:unhideWhenUsed/>
    <w:rsid w:val="005431B5"/>
    <w:rPr>
      <w:szCs w:val="20"/>
    </w:rPr>
  </w:style>
  <w:style w:type="character" w:customStyle="1" w:styleId="EndnoteTextChar">
    <w:name w:val="Endnote Text Char"/>
    <w:basedOn w:val="DefaultParagraphFont"/>
    <w:link w:val="EndnoteText"/>
    <w:uiPriority w:val="99"/>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AnnexNotitle">
    <w:name w:val="Annex_No &amp; title"/>
    <w:basedOn w:val="Normal"/>
    <w:next w:val="Normal"/>
    <w:rsid w:val="002B21F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after="360"/>
      <w:jc w:val="center"/>
      <w:textAlignment w:val="baseline"/>
    </w:pPr>
    <w:rPr>
      <w:rFonts w:hint="cs"/>
      <w:b/>
      <w:bCs/>
      <w:sz w:val="28"/>
      <w:szCs w:val="28"/>
      <w:lang w:eastAsia="zh-CN"/>
    </w:rPr>
  </w:style>
  <w:style w:type="character" w:customStyle="1" w:styleId="Appdef">
    <w:name w:val="App_def"/>
    <w:basedOn w:val="DefaultParagraphFont"/>
    <w:rsid w:val="009D4103"/>
    <w:rPr>
      <w:rFonts w:ascii="Times New Roman" w:hAnsi="Times New Roman"/>
      <w:b/>
    </w:rPr>
  </w:style>
  <w:style w:type="character" w:customStyle="1" w:styleId="Appref">
    <w:name w:val="App_ref"/>
    <w:basedOn w:val="DefaultParagraphFont"/>
    <w:rsid w:val="009D4103"/>
  </w:style>
  <w:style w:type="paragraph" w:customStyle="1" w:styleId="AppendixNotitle">
    <w:name w:val="Appendix_No &amp; title"/>
    <w:basedOn w:val="AnnexNotitle"/>
    <w:next w:val="Normal"/>
    <w:rsid w:val="009D4103"/>
  </w:style>
  <w:style w:type="paragraph" w:customStyle="1" w:styleId="Artheading">
    <w:name w:val="Art_heading"/>
    <w:basedOn w:val="Normal"/>
    <w:next w:val="Normal"/>
    <w:rsid w:val="009D410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paragraph" w:customStyle="1" w:styleId="ChapNo0">
    <w:name w:val="Chap_No"/>
    <w:basedOn w:val="Normal"/>
    <w:next w:val="Normal"/>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paragraph" w:customStyle="1" w:styleId="Equation">
    <w:name w:val="Equation"/>
    <w:basedOn w:val="Normal"/>
    <w:rsid w:val="009D4103"/>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CG Times" w:cs="Simplified Arabic" w:hint="cs"/>
      <w:sz w:val="24"/>
      <w:szCs w:val="30"/>
      <w:lang w:eastAsia="zh-CN"/>
    </w:rPr>
  </w:style>
  <w:style w:type="paragraph" w:customStyle="1" w:styleId="Figure">
    <w:name w:val="Figure"/>
    <w:basedOn w:val="Normal"/>
    <w:next w:val="Normal"/>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lang w:eastAsia="zh-CN"/>
    </w:rPr>
  </w:style>
  <w:style w:type="paragraph" w:customStyle="1" w:styleId="Figurelegend">
    <w:name w:val="Figure_legend"/>
    <w:basedOn w:val="Normal"/>
    <w:rsid w:val="009D4103"/>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hAnsi="CG Times" w:cs="Simplified Arabic" w:hint="cs"/>
      <w:sz w:val="18"/>
      <w:szCs w:val="30"/>
      <w:lang w:eastAsia="zh-CN"/>
    </w:rPr>
  </w:style>
  <w:style w:type="paragraph" w:customStyle="1" w:styleId="FigureNotitle">
    <w:name w:val="Figure_No &amp; title"/>
    <w:basedOn w:val="Normal"/>
    <w:next w:val="Normal"/>
    <w:rsid w:val="009D4103"/>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b/>
      <w:sz w:val="24"/>
      <w:szCs w:val="30"/>
      <w:lang w:eastAsia="zh-CN"/>
    </w:rPr>
  </w:style>
  <w:style w:type="paragraph" w:customStyle="1" w:styleId="FigureNoBR">
    <w:name w:val="Figure_No_BR"/>
    <w:basedOn w:val="Normal"/>
    <w:next w:val="Normal"/>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CG Times" w:cs="Simplified Arabic" w:hint="cs"/>
      <w:sz w:val="24"/>
      <w:szCs w:val="30"/>
      <w:lang w:eastAsia="zh-CN"/>
    </w:rPr>
  </w:style>
  <w:style w:type="paragraph" w:customStyle="1" w:styleId="TabletitleBR">
    <w:name w:val="Table_title_BR"/>
    <w:basedOn w:val="Normal"/>
    <w:next w:val="Normal"/>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b/>
      <w:sz w:val="24"/>
      <w:szCs w:val="30"/>
      <w:lang w:eastAsia="zh-CN"/>
    </w:rPr>
  </w:style>
  <w:style w:type="paragraph" w:customStyle="1" w:styleId="FiguretitleBR">
    <w:name w:val="Figure_title_BR"/>
    <w:basedOn w:val="TabletitleBR"/>
    <w:next w:val="Normal"/>
    <w:rsid w:val="009D4103"/>
    <w:pPr>
      <w:keepNext w:val="0"/>
      <w:spacing w:after="480"/>
    </w:pPr>
  </w:style>
  <w:style w:type="paragraph" w:customStyle="1" w:styleId="Figurewithouttitle">
    <w:name w:val="Figure_without_title"/>
    <w:basedOn w:val="Normal"/>
    <w:next w:val="Normal"/>
    <w:rsid w:val="009D4103"/>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lang w:eastAsia="zh-CN"/>
    </w:rPr>
  </w:style>
  <w:style w:type="paragraph" w:customStyle="1" w:styleId="FirstFooter">
    <w:name w:val="FirstFooter"/>
    <w:basedOn w:val="Footer"/>
    <w:rsid w:val="009D4103"/>
    <w:pPr>
      <w:tabs>
        <w:tab w:val="clear" w:pos="1134"/>
        <w:tab w:val="clear" w:pos="1871"/>
        <w:tab w:val="clear" w:pos="2268"/>
        <w:tab w:val="clear" w:pos="5812"/>
        <w:tab w:val="clear" w:pos="9639"/>
      </w:tabs>
      <w:spacing w:before="40" w:line="240" w:lineRule="auto"/>
      <w:jc w:val="left"/>
    </w:pPr>
    <w:rPr>
      <w:rFonts w:ascii="Times New Roman" w:hAnsi="CG Times" w:cs="Simplified Arabic" w:hint="cs"/>
      <w:szCs w:val="30"/>
      <w:lang w:eastAsia="zh-CN"/>
    </w:rPr>
  </w:style>
  <w:style w:type="paragraph" w:customStyle="1" w:styleId="Formal">
    <w:name w:val="Formal"/>
    <w:basedOn w:val="Normal"/>
    <w:rsid w:val="009D410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Simplified Arabic" w:hint="cs"/>
      <w:noProof/>
      <w:sz w:val="20"/>
      <w:szCs w:val="30"/>
      <w:lang w:eastAsia="zh-CN"/>
    </w:rPr>
  </w:style>
  <w:style w:type="paragraph" w:customStyle="1" w:styleId="Normalaftertitle0">
    <w:name w:val="Normal_after_title"/>
    <w:basedOn w:val="Normal"/>
    <w:next w:val="Normal"/>
    <w:rsid w:val="009D410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hAnsi="CG Times" w:cs="Simplified Arabic" w:hint="cs"/>
      <w:sz w:val="24"/>
      <w:szCs w:val="30"/>
      <w:lang w:eastAsia="zh-CN"/>
    </w:rPr>
  </w:style>
  <w:style w:type="paragraph" w:customStyle="1" w:styleId="Partref">
    <w:name w:val="Part_ref"/>
    <w:basedOn w:val="Normal"/>
    <w:next w:val="Normal"/>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CG Times" w:cs="Simplified Arabic" w:hint="cs"/>
      <w:sz w:val="24"/>
      <w:szCs w:val="30"/>
      <w:lang w:eastAsia="zh-CN"/>
    </w:rPr>
  </w:style>
  <w:style w:type="paragraph" w:customStyle="1" w:styleId="Recdate">
    <w:name w:val="Rec_date"/>
    <w:basedOn w:val="Normal"/>
    <w:next w:val="Normalaftertitle0"/>
    <w:rsid w:val="009D4103"/>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hAnsi="CG Times" w:cs="Simplified Arabic" w:hint="cs"/>
      <w:szCs w:val="30"/>
      <w:lang w:eastAsia="zh-CN"/>
    </w:rPr>
  </w:style>
  <w:style w:type="paragraph" w:customStyle="1" w:styleId="Questiondate">
    <w:name w:val="Question_date"/>
    <w:basedOn w:val="Recdate"/>
    <w:next w:val="Normalaftertitle0"/>
    <w:rsid w:val="009D4103"/>
  </w:style>
  <w:style w:type="paragraph" w:customStyle="1" w:styleId="QuestionNo">
    <w:name w:val="Question_No"/>
    <w:basedOn w:val="RecNo"/>
    <w:next w:val="Normal"/>
    <w:rsid w:val="009D4103"/>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paragraph" w:customStyle="1" w:styleId="RecNoBR">
    <w:name w:val="Rec_No_BR"/>
    <w:basedOn w:val="Normal"/>
    <w:next w:val="Normal"/>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sz w:val="28"/>
      <w:szCs w:val="30"/>
      <w:lang w:eastAsia="zh-CN"/>
    </w:rPr>
  </w:style>
  <w:style w:type="paragraph" w:customStyle="1" w:styleId="QuestionNoBR">
    <w:name w:val="Question_No_BR"/>
    <w:basedOn w:val="RecNoBR"/>
    <w:next w:val="Normal"/>
    <w:rsid w:val="009D4103"/>
  </w:style>
  <w:style w:type="paragraph" w:customStyle="1" w:styleId="Recref">
    <w:name w:val="Rec_ref"/>
    <w:basedOn w:val="Normal"/>
    <w:next w:val="Recdate"/>
    <w:rsid w:val="009D4103"/>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hAnsi="CG Times" w:cs="Simplified Arabic" w:hint="cs"/>
      <w:sz w:val="24"/>
      <w:szCs w:val="30"/>
      <w:lang w:eastAsia="zh-CN"/>
    </w:rPr>
  </w:style>
  <w:style w:type="paragraph" w:customStyle="1" w:styleId="Questionref">
    <w:name w:val="Question_ref"/>
    <w:basedOn w:val="Recref"/>
    <w:next w:val="Questiondate"/>
    <w:rsid w:val="009D4103"/>
  </w:style>
  <w:style w:type="paragraph" w:customStyle="1" w:styleId="Questiontitle">
    <w:name w:val="Question_title"/>
    <w:basedOn w:val="Rectitle"/>
    <w:next w:val="Questionref"/>
    <w:rsid w:val="009D4103"/>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hAnsi="CG Times" w:cs="Simplified Arabic" w:hint="cs"/>
      <w:bCs w:val="0"/>
      <w:szCs w:val="30"/>
      <w:lang w:eastAsia="zh-CN"/>
    </w:rPr>
  </w:style>
  <w:style w:type="character" w:customStyle="1" w:styleId="Recdef">
    <w:name w:val="Rec_def"/>
    <w:basedOn w:val="DefaultParagraphFont"/>
    <w:rsid w:val="009D4103"/>
    <w:rPr>
      <w:b/>
    </w:rPr>
  </w:style>
  <w:style w:type="paragraph" w:customStyle="1" w:styleId="Reftitle">
    <w:name w:val="Ref_title"/>
    <w:basedOn w:val="Normal"/>
    <w:next w:val="Reftext"/>
    <w:rsid w:val="009D410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4"/>
      <w:szCs w:val="30"/>
      <w:lang w:eastAsia="zh-CN"/>
    </w:rPr>
  </w:style>
  <w:style w:type="paragraph" w:customStyle="1" w:styleId="Repdate">
    <w:name w:val="Rep_date"/>
    <w:basedOn w:val="Recdate"/>
    <w:next w:val="Normalaftertitle0"/>
    <w:rsid w:val="009D4103"/>
  </w:style>
  <w:style w:type="paragraph" w:customStyle="1" w:styleId="RepNoBR">
    <w:name w:val="Rep_No_BR"/>
    <w:basedOn w:val="RecNoBR"/>
    <w:next w:val="Normal"/>
    <w:rsid w:val="009D4103"/>
  </w:style>
  <w:style w:type="paragraph" w:customStyle="1" w:styleId="Repref">
    <w:name w:val="Rep_ref"/>
    <w:basedOn w:val="Recref"/>
    <w:next w:val="Repdate"/>
    <w:rsid w:val="009D4103"/>
  </w:style>
  <w:style w:type="paragraph" w:customStyle="1" w:styleId="Resdate">
    <w:name w:val="Res_date"/>
    <w:basedOn w:val="Recdate"/>
    <w:next w:val="Normalaftertitle0"/>
    <w:rsid w:val="009D4103"/>
  </w:style>
  <w:style w:type="character" w:customStyle="1" w:styleId="Resdef">
    <w:name w:val="Res_def"/>
    <w:basedOn w:val="DefaultParagraphFont"/>
    <w:rsid w:val="009D4103"/>
    <w:rPr>
      <w:rFonts w:ascii="Times New Roman" w:hAnsi="Times New Roman"/>
      <w:b/>
    </w:rPr>
  </w:style>
  <w:style w:type="paragraph" w:customStyle="1" w:styleId="ResNoBR">
    <w:name w:val="Res_No_BR"/>
    <w:basedOn w:val="RecNoBR"/>
    <w:next w:val="Normal"/>
    <w:rsid w:val="009D4103"/>
  </w:style>
  <w:style w:type="paragraph" w:customStyle="1" w:styleId="Resref">
    <w:name w:val="Res_ref"/>
    <w:basedOn w:val="Recref"/>
    <w:next w:val="Resdate"/>
    <w:rsid w:val="009D4103"/>
  </w:style>
  <w:style w:type="paragraph" w:customStyle="1" w:styleId="Sectiontitle">
    <w:name w:val="Section_title"/>
    <w:basedOn w:val="Normal"/>
    <w:next w:val="Normalaftertitle0"/>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CG Times" w:cs="Simplified Arabic" w:hint="cs"/>
      <w:b/>
      <w:sz w:val="28"/>
      <w:szCs w:val="30"/>
      <w:lang w:eastAsia="zh-CN"/>
    </w:rPr>
  </w:style>
  <w:style w:type="paragraph" w:customStyle="1" w:styleId="TableNotitle">
    <w:name w:val="Table_No &amp; title"/>
    <w:basedOn w:val="Normal"/>
    <w:next w:val="Tablehead"/>
    <w:rsid w:val="009D410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CG Times" w:cs="Simplified Arabic" w:hint="cs"/>
      <w:b/>
      <w:sz w:val="24"/>
      <w:szCs w:val="30"/>
      <w:lang w:eastAsia="zh-CN"/>
    </w:rPr>
  </w:style>
  <w:style w:type="paragraph" w:customStyle="1" w:styleId="TableNoBR">
    <w:name w:val="Table_No_BR"/>
    <w:basedOn w:val="Normal"/>
    <w:next w:val="TabletitleBR"/>
    <w:rsid w:val="009D4103"/>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CG Times" w:cs="Simplified Arabic" w:hint="cs"/>
      <w:sz w:val="24"/>
      <w:szCs w:val="30"/>
      <w:lang w:eastAsia="zh-CN"/>
    </w:rPr>
  </w:style>
  <w:style w:type="paragraph" w:customStyle="1" w:styleId="Tableref">
    <w:name w:val="Table_ref"/>
    <w:basedOn w:val="Normal"/>
    <w:next w:val="TabletitleBR"/>
    <w:rsid w:val="009D4103"/>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sz w:val="24"/>
      <w:szCs w:val="30"/>
      <w:lang w:eastAsia="zh-CN"/>
    </w:rPr>
  </w:style>
  <w:style w:type="paragraph" w:customStyle="1" w:styleId="Title4">
    <w:name w:val="Title 4"/>
    <w:basedOn w:val="Title3"/>
    <w:next w:val="Heading1"/>
    <w:rsid w:val="009D4103"/>
    <w:pPr>
      <w:keepNext w:val="0"/>
      <w:tabs>
        <w:tab w:val="clear" w:pos="1871"/>
      </w:tabs>
      <w:overflowPunct w:val="0"/>
      <w:autoSpaceDE w:val="0"/>
      <w:autoSpaceDN w:val="0"/>
      <w:bidi w:val="0"/>
      <w:adjustRightInd w:val="0"/>
      <w:spacing w:line="240" w:lineRule="auto"/>
      <w:textAlignment w:val="baseline"/>
    </w:pPr>
    <w:rPr>
      <w:rFonts w:ascii="Times New Roman" w:hAnsi="CG Times" w:cs="Simplified Arabic" w:hint="cs"/>
      <w:b/>
      <w:w w:val="100"/>
      <w:sz w:val="28"/>
      <w:szCs w:val="30"/>
      <w:lang w:eastAsia="zh-CN" w:bidi="ar-SA"/>
    </w:rPr>
  </w:style>
  <w:style w:type="paragraph" w:customStyle="1" w:styleId="Docnumber">
    <w:name w:val="Docnumber"/>
    <w:basedOn w:val="Normal"/>
    <w:link w:val="DocnumberChar"/>
    <w:qFormat/>
    <w:rsid w:val="009D410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CG Times" w:cs="Simplified Arabic"/>
      <w:b/>
      <w:sz w:val="32"/>
      <w:szCs w:val="30"/>
      <w:lang w:eastAsia="zh-CN"/>
    </w:rPr>
  </w:style>
  <w:style w:type="character" w:customStyle="1" w:styleId="DocnumberChar">
    <w:name w:val="Docnumber Char"/>
    <w:link w:val="Docnumber"/>
    <w:rsid w:val="009D4103"/>
    <w:rPr>
      <w:rFonts w:ascii="Times New Roman" w:eastAsia="SimSun" w:cs="Simplified Arabic"/>
      <w:b/>
      <w:sz w:val="32"/>
      <w:szCs w:val="30"/>
    </w:rPr>
  </w:style>
  <w:style w:type="paragraph" w:customStyle="1" w:styleId="LSDeadline">
    <w:name w:val="LSDeadline"/>
    <w:basedOn w:val="Normal"/>
    <w:next w:val="Normal"/>
    <w:rsid w:val="009D4103"/>
    <w:pPr>
      <w:tabs>
        <w:tab w:val="clear" w:pos="1134"/>
        <w:tab w:val="clear" w:pos="1871"/>
        <w:tab w:val="clear" w:pos="2268"/>
      </w:tabs>
      <w:bidi w:val="0"/>
      <w:spacing w:line="240" w:lineRule="auto"/>
      <w:jc w:val="left"/>
    </w:pPr>
    <w:rPr>
      <w:rFonts w:ascii="Times New Roman" w:eastAsiaTheme="minorHAnsi" w:hAnsi="CG Times" w:cs="Simplified Arabic" w:hint="cs"/>
      <w:sz w:val="24"/>
      <w:szCs w:val="24"/>
      <w:lang w:eastAsia="zh-CN"/>
    </w:rPr>
  </w:style>
  <w:style w:type="paragraph" w:customStyle="1" w:styleId="LSForAction">
    <w:name w:val="LSForAction"/>
    <w:basedOn w:val="Normal"/>
    <w:next w:val="Normal"/>
    <w:rsid w:val="009D410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CG Times" w:cs="Simplified Arabic" w:hint="cs"/>
      <w:sz w:val="24"/>
      <w:szCs w:val="30"/>
      <w:lang w:eastAsia="zh-CN"/>
    </w:rPr>
  </w:style>
  <w:style w:type="paragraph" w:customStyle="1" w:styleId="LSForInfo">
    <w:name w:val="LSForInfo"/>
    <w:basedOn w:val="Normal"/>
    <w:next w:val="Normal"/>
    <w:rsid w:val="009D4103"/>
    <w:pPr>
      <w:tabs>
        <w:tab w:val="clear" w:pos="1134"/>
        <w:tab w:val="clear" w:pos="1871"/>
        <w:tab w:val="clear" w:pos="2268"/>
      </w:tabs>
      <w:bidi w:val="0"/>
      <w:spacing w:line="240" w:lineRule="auto"/>
      <w:jc w:val="left"/>
    </w:pPr>
    <w:rPr>
      <w:rFonts w:ascii="Times New Roman" w:eastAsiaTheme="minorHAnsi" w:hAnsi="CG Times" w:cs="Simplified Arabic" w:hint="cs"/>
      <w:bCs/>
      <w:sz w:val="24"/>
      <w:szCs w:val="24"/>
      <w:lang w:eastAsia="zh-CN"/>
    </w:rPr>
  </w:style>
  <w:style w:type="paragraph" w:customStyle="1" w:styleId="VenueDate">
    <w:name w:val="VenueDate"/>
    <w:basedOn w:val="Normal"/>
    <w:qFormat/>
    <w:rsid w:val="009D4103"/>
    <w:pPr>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hAnsi="CG Times" w:cs="Simplified Arabic" w:hint="cs"/>
      <w:sz w:val="24"/>
      <w:szCs w:val="30"/>
      <w:lang w:eastAsia="zh-CN"/>
    </w:rPr>
  </w:style>
  <w:style w:type="paragraph" w:customStyle="1" w:styleId="TSBHeaderQuestion">
    <w:name w:val="TSBHeaderQuestion"/>
    <w:basedOn w:val="Normal"/>
    <w:qFormat/>
    <w:rsid w:val="009D4103"/>
    <w:pPr>
      <w:tabs>
        <w:tab w:val="clear" w:pos="1134"/>
        <w:tab w:val="clear" w:pos="1871"/>
        <w:tab w:val="clear" w:pos="2268"/>
      </w:tabs>
      <w:bidi w:val="0"/>
      <w:spacing w:line="240" w:lineRule="auto"/>
      <w:jc w:val="left"/>
    </w:pPr>
    <w:rPr>
      <w:rFonts w:ascii="Times New Roman" w:eastAsiaTheme="minorEastAsia" w:hAnsi="CG Times" w:cs="Simplified Arabic" w:hint="cs"/>
      <w:sz w:val="24"/>
      <w:szCs w:val="24"/>
      <w:lang w:eastAsia="zh-CN"/>
    </w:rPr>
  </w:style>
  <w:style w:type="paragraph" w:customStyle="1" w:styleId="TSBHeaderSource">
    <w:name w:val="TSBHeaderSource"/>
    <w:basedOn w:val="Normal"/>
    <w:qFormat/>
    <w:rsid w:val="009D4103"/>
    <w:pPr>
      <w:tabs>
        <w:tab w:val="clear" w:pos="1134"/>
        <w:tab w:val="clear" w:pos="1871"/>
        <w:tab w:val="clear" w:pos="2268"/>
      </w:tabs>
      <w:bidi w:val="0"/>
      <w:spacing w:line="240" w:lineRule="auto"/>
      <w:jc w:val="left"/>
    </w:pPr>
    <w:rPr>
      <w:rFonts w:ascii="Times New Roman" w:eastAsiaTheme="minorEastAsia" w:hAnsi="CG Times" w:cs="Simplified Arabic" w:hint="cs"/>
      <w:sz w:val="24"/>
      <w:szCs w:val="24"/>
      <w:lang w:eastAsia="zh-CN"/>
    </w:rPr>
  </w:style>
  <w:style w:type="paragraph" w:customStyle="1" w:styleId="TSBHeaderTitle">
    <w:name w:val="TSBHeaderTitle"/>
    <w:basedOn w:val="Normal"/>
    <w:qFormat/>
    <w:rsid w:val="009D4103"/>
    <w:pPr>
      <w:tabs>
        <w:tab w:val="clear" w:pos="1134"/>
        <w:tab w:val="clear" w:pos="1871"/>
        <w:tab w:val="clear" w:pos="2268"/>
      </w:tabs>
      <w:bidi w:val="0"/>
      <w:spacing w:line="240" w:lineRule="auto"/>
      <w:jc w:val="left"/>
    </w:pPr>
    <w:rPr>
      <w:rFonts w:ascii="Times New Roman" w:eastAsiaTheme="minorEastAsia" w:hAnsi="CG Times" w:cs="Simplified Arabic" w:hint="cs"/>
      <w:sz w:val="24"/>
      <w:szCs w:val="24"/>
      <w:lang w:eastAsia="zh-CN"/>
    </w:rPr>
  </w:style>
  <w:style w:type="paragraph" w:customStyle="1" w:styleId="TSBHeaderSummary">
    <w:name w:val="TSBHeaderSummary"/>
    <w:basedOn w:val="Normal"/>
    <w:rsid w:val="009D4103"/>
    <w:pPr>
      <w:tabs>
        <w:tab w:val="clear" w:pos="1134"/>
        <w:tab w:val="clear" w:pos="1871"/>
        <w:tab w:val="clear" w:pos="2268"/>
      </w:tabs>
      <w:bidi w:val="0"/>
      <w:spacing w:line="240" w:lineRule="auto"/>
      <w:jc w:val="left"/>
    </w:pPr>
    <w:rPr>
      <w:rFonts w:ascii="Times New Roman" w:eastAsiaTheme="minorEastAsia" w:hAnsi="CG Times" w:cs="Simplified Arabic" w:hint="cs"/>
      <w:sz w:val="24"/>
      <w:szCs w:val="24"/>
      <w:lang w:eastAsia="zh-CN"/>
    </w:rPr>
  </w:style>
  <w:style w:type="paragraph" w:customStyle="1" w:styleId="LSApproval">
    <w:name w:val="LSApproval"/>
    <w:basedOn w:val="Normal"/>
    <w:rsid w:val="009D4103"/>
    <w:pPr>
      <w:tabs>
        <w:tab w:val="clear" w:pos="1134"/>
        <w:tab w:val="clear" w:pos="1871"/>
        <w:tab w:val="clear" w:pos="2268"/>
      </w:tabs>
      <w:bidi w:val="0"/>
      <w:spacing w:line="240" w:lineRule="auto"/>
      <w:jc w:val="left"/>
    </w:pPr>
    <w:rPr>
      <w:rFonts w:ascii="Times New Roman" w:eastAsiaTheme="minorEastAsia" w:hAnsi="CG Times" w:cs="Simplified Arabic" w:hint="cs"/>
      <w:b/>
      <w:bCs/>
      <w:sz w:val="24"/>
      <w:szCs w:val="24"/>
      <w:lang w:eastAsia="zh-CN"/>
    </w:rPr>
  </w:style>
  <w:style w:type="paragraph" w:customStyle="1" w:styleId="TSBHeaderRight14">
    <w:name w:val="TSBHeaderRight14"/>
    <w:basedOn w:val="Normal"/>
    <w:qFormat/>
    <w:rsid w:val="009D410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hAnsi="CG Times" w:cs="Simplified Arabic" w:hint="cs"/>
      <w:b/>
      <w:bCs/>
      <w:sz w:val="28"/>
      <w:szCs w:val="28"/>
      <w:lang w:eastAsia="zh-CN"/>
    </w:rPr>
  </w:style>
  <w:style w:type="character" w:customStyle="1" w:styleId="SourceChar">
    <w:name w:val="Source Char"/>
    <w:link w:val="Source"/>
    <w:locked/>
    <w:rsid w:val="009D4103"/>
    <w:rPr>
      <w:rFonts w:ascii="Dubai" w:hAnsi="Dubai" w:cs="Dubai"/>
      <w:b/>
      <w:bCs/>
      <w:snapToGrid w:val="0"/>
      <w:sz w:val="30"/>
      <w:szCs w:val="30"/>
      <w:lang w:eastAsia="en-US" w:bidi="ar-EG"/>
    </w:rPr>
  </w:style>
  <w:style w:type="character" w:customStyle="1" w:styleId="Title1Char">
    <w:name w:val="Title 1 Char"/>
    <w:link w:val="Title1"/>
    <w:qFormat/>
    <w:locked/>
    <w:rsid w:val="009D4103"/>
    <w:rPr>
      <w:rFonts w:ascii="Dubai" w:hAnsi="Dubai" w:cs="Dubai"/>
      <w:w w:val="120"/>
      <w:sz w:val="28"/>
      <w:szCs w:val="28"/>
      <w:lang w:eastAsia="en-US" w:bidi="ar-EG"/>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9D4103"/>
    <w:rPr>
      <w:rFonts w:ascii="Dubai" w:hAnsi="Dubai" w:cs="Dubai"/>
      <w:sz w:val="22"/>
      <w:szCs w:val="22"/>
      <w:lang w:eastAsia="en-US"/>
    </w:rPr>
  </w:style>
  <w:style w:type="character" w:customStyle="1" w:styleId="Heading1Char">
    <w:name w:val="Heading 1 Char"/>
    <w:basedOn w:val="DefaultParagraphFont"/>
    <w:link w:val="Heading1"/>
    <w:rsid w:val="009D4103"/>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9D4103"/>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9D4103"/>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9D4103"/>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9D4103"/>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9D4103"/>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9D4103"/>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9D4103"/>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9D4103"/>
    <w:rPr>
      <w:rFonts w:ascii="Dubai" w:hAnsi="Dubai" w:cs="Dubai"/>
      <w:b/>
      <w:bCs/>
      <w:kern w:val="14"/>
      <w:sz w:val="22"/>
      <w:szCs w:val="22"/>
      <w:lang w:eastAsia="en-US" w:bidi="ar-EG"/>
    </w:rPr>
  </w:style>
  <w:style w:type="paragraph" w:customStyle="1" w:styleId="ASN1">
    <w:name w:val="ASN.1"/>
    <w:basedOn w:val="Normal"/>
    <w:rsid w:val="009D410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Simplified Arabic" w:hint="cs"/>
      <w:b/>
      <w:noProof/>
      <w:sz w:val="20"/>
      <w:szCs w:val="30"/>
      <w:lang w:eastAsia="zh-CN"/>
    </w:rPr>
  </w:style>
  <w:style w:type="paragraph" w:customStyle="1" w:styleId="FooterQP">
    <w:name w:val="Footer_QP"/>
    <w:basedOn w:val="Normal"/>
    <w:rsid w:val="009D4103"/>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CG Times" w:cs="Simplified Arabic" w:hint="cs"/>
      <w:b/>
      <w:szCs w:val="30"/>
      <w:lang w:eastAsia="zh-CN"/>
    </w:rPr>
  </w:style>
  <w:style w:type="paragraph" w:customStyle="1" w:styleId="x">
    <w:name w:val="x"/>
    <w:basedOn w:val="Heading3"/>
    <w:next w:val="Normal"/>
    <w:rsid w:val="001F6293"/>
    <w:pPr>
      <w:keepLines/>
      <w:tabs>
        <w:tab w:val="left" w:pos="794"/>
        <w:tab w:val="left" w:pos="2127"/>
        <w:tab w:val="left" w:pos="2410"/>
        <w:tab w:val="left" w:pos="2921"/>
        <w:tab w:val="left" w:pos="3261"/>
      </w:tabs>
      <w:overflowPunct w:val="0"/>
      <w:autoSpaceDE w:val="0"/>
      <w:autoSpaceDN w:val="0"/>
      <w:bidi w:val="0"/>
      <w:adjustRightInd w:val="0"/>
      <w:ind w:left="0" w:firstLine="0"/>
      <w:jc w:val="left"/>
      <w:outlineLvl w:val="9"/>
    </w:pPr>
    <w:rPr>
      <w:rFonts w:hint="cs"/>
      <w:kern w:val="0"/>
      <w:sz w:val="24"/>
      <w:szCs w:val="24"/>
      <w:lang w:eastAsia="zh-CN" w:bidi="ar-SA"/>
    </w:rPr>
  </w:style>
  <w:style w:type="character" w:customStyle="1" w:styleId="TabletextChar">
    <w:name w:val="Table_text Char"/>
    <w:basedOn w:val="DefaultParagraphFont"/>
    <w:link w:val="Tabletext"/>
    <w:locked/>
    <w:rsid w:val="009D4103"/>
    <w:rPr>
      <w:rFonts w:ascii="Dubai" w:hAnsi="Dubai" w:cs="Dubai"/>
    </w:rPr>
  </w:style>
  <w:style w:type="character" w:customStyle="1" w:styleId="apple-converted-space">
    <w:name w:val="apple-converted-space"/>
    <w:basedOn w:val="DefaultParagraphFont"/>
    <w:rsid w:val="009D4103"/>
  </w:style>
  <w:style w:type="table" w:customStyle="1" w:styleId="TableGrid1">
    <w:name w:val="Table Grid1"/>
    <w:basedOn w:val="TableNormal"/>
    <w:next w:val="TableGrid"/>
    <w:rsid w:val="009D410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9D4103"/>
    <w:rPr>
      <w:rFonts w:ascii="Dubai" w:hAnsi="Dubai" w:cs="Dubai"/>
      <w:b/>
      <w:bCs/>
      <w:kern w:val="14"/>
      <w:sz w:val="24"/>
      <w:szCs w:val="24"/>
      <w:lang w:eastAsia="en-US" w:bidi="ar-EG"/>
    </w:rPr>
  </w:style>
  <w:style w:type="paragraph" w:styleId="Revision">
    <w:name w:val="Revision"/>
    <w:uiPriority w:val="99"/>
    <w:semiHidden/>
    <w:rsid w:val="009D4103"/>
    <w:rPr>
      <w:rFonts w:ascii="Times New Roman" w:hAnsi="Times New Roman"/>
      <w:sz w:val="24"/>
    </w:rPr>
  </w:style>
  <w:style w:type="table" w:customStyle="1" w:styleId="GridTable1Light-Accent512">
    <w:name w:val="Grid Table 1 Light - Accent 512"/>
    <w:basedOn w:val="TableNormal"/>
    <w:uiPriority w:val="46"/>
    <w:rsid w:val="009D4103"/>
    <w:rPr>
      <w:rFonts w:ascii="Calibri" w:eastAsia="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D4103"/>
    <w:rPr>
      <w:rFonts w:ascii="Calibri" w:eastAsia="Calibri" w:hAnsi="Calibri" w:cs="Arial"/>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D4103"/>
    <w:rPr>
      <w:rFonts w:ascii="Calibri" w:eastAsia="Calibri" w:hAnsi="Calibri" w:cs="Arial"/>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9D4103"/>
    <w:pPr>
      <w:tabs>
        <w:tab w:val="clear" w:pos="1134"/>
        <w:tab w:val="clear" w:pos="1871"/>
        <w:tab w:val="clear" w:pos="2268"/>
      </w:tabs>
      <w:bidi w:val="0"/>
      <w:spacing w:before="0" w:line="259" w:lineRule="auto"/>
      <w:ind w:left="1760" w:hanging="220"/>
      <w:jc w:val="left"/>
    </w:pPr>
    <w:rPr>
      <w:rFonts w:ascii="Times New Roman" w:eastAsiaTheme="minorEastAsia" w:hAnsi="CG Times" w:cstheme="minorBidi" w:hint="cs"/>
      <w:sz w:val="18"/>
      <w:szCs w:val="18"/>
      <w:lang w:eastAsia="zh-CN"/>
    </w:rPr>
  </w:style>
  <w:style w:type="paragraph" w:styleId="Index9">
    <w:name w:val="index 9"/>
    <w:basedOn w:val="Normal"/>
    <w:next w:val="Normal"/>
    <w:autoRedefine/>
    <w:uiPriority w:val="99"/>
    <w:unhideWhenUsed/>
    <w:rsid w:val="009D4103"/>
    <w:pPr>
      <w:tabs>
        <w:tab w:val="clear" w:pos="1134"/>
        <w:tab w:val="clear" w:pos="1871"/>
        <w:tab w:val="clear" w:pos="2268"/>
      </w:tabs>
      <w:bidi w:val="0"/>
      <w:spacing w:before="0" w:line="259" w:lineRule="auto"/>
      <w:ind w:left="1980" w:hanging="220"/>
      <w:jc w:val="left"/>
    </w:pPr>
    <w:rPr>
      <w:rFonts w:ascii="Times New Roman" w:eastAsiaTheme="minorEastAsia" w:hAnsi="CG Times" w:cstheme="minorBidi" w:hint="cs"/>
      <w:sz w:val="18"/>
      <w:szCs w:val="18"/>
      <w:lang w:eastAsia="zh-CN"/>
    </w:rPr>
  </w:style>
  <w:style w:type="table" w:customStyle="1" w:styleId="TableGrid2">
    <w:name w:val="Table Grid2"/>
    <w:basedOn w:val="TableNormal"/>
    <w:next w:val="TableGrid"/>
    <w:uiPriority w:val="39"/>
    <w:rsid w:val="009D410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9D4103"/>
    <w:rPr>
      <w:rFonts w:ascii="Times New Roman" w:cs="Simplified Arabic" w:hint="c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9D4103"/>
    <w:rPr>
      <w:rFonts w:ascii="Times New Roman" w:cs="Simplified Arabic" w:hint="c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D41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D41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9D4103"/>
    <w:rPr>
      <w:rFonts w:ascii="Times New Roman" w:cs="Simplified Arabic" w:hint="c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9D4103"/>
    <w:pPr>
      <w:tabs>
        <w:tab w:val="clear" w:pos="1134"/>
        <w:tab w:val="clear" w:pos="1871"/>
        <w:tab w:val="clear" w:pos="2268"/>
      </w:tabs>
      <w:bidi w:val="0"/>
      <w:spacing w:before="100" w:beforeAutospacing="1" w:after="100" w:afterAutospacing="1" w:line="240" w:lineRule="auto"/>
      <w:jc w:val="left"/>
    </w:pPr>
    <w:rPr>
      <w:rFonts w:ascii="Times New Roman" w:hAnsi="CG Times" w:cs="Simplified Arabic" w:hint="cs"/>
      <w:sz w:val="24"/>
      <w:szCs w:val="24"/>
      <w:lang w:eastAsia="zh-CN"/>
    </w:rPr>
  </w:style>
  <w:style w:type="character" w:customStyle="1" w:styleId="normaltextrun">
    <w:name w:val="normaltextrun"/>
    <w:basedOn w:val="DefaultParagraphFont"/>
    <w:rsid w:val="009D4103"/>
  </w:style>
  <w:style w:type="character" w:customStyle="1" w:styleId="eop">
    <w:name w:val="eop"/>
    <w:basedOn w:val="DefaultParagraphFont"/>
    <w:rsid w:val="009D4103"/>
  </w:style>
  <w:style w:type="character" w:customStyle="1" w:styleId="ui-provider">
    <w:name w:val="ui-provider"/>
    <w:basedOn w:val="DefaultParagraphFont"/>
    <w:rsid w:val="009D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A-CIR-0276/en" TargetMode="External"/><Relationship Id="rId18" Type="http://schemas.openxmlformats.org/officeDocument/2006/relationships/hyperlink" Target="https://www.itu.int/md/R00-CACE-CIR-1131/en" TargetMode="External"/><Relationship Id="rId26" Type="http://schemas.openxmlformats.org/officeDocument/2006/relationships/hyperlink" Target="https://www.itu.int/en/ITU-R/seminars/sg6-tmmb-2024/Pages/default.aspx" TargetMode="External"/><Relationship Id="rId39" Type="http://schemas.openxmlformats.org/officeDocument/2006/relationships/hyperlink" Target="https://www.itu.int/pub/R-QUE-SG06.147/ar" TargetMode="External"/><Relationship Id="rId21" Type="http://schemas.openxmlformats.org/officeDocument/2006/relationships/hyperlink" Target="https://www.itu.int/oth/R0A04000095/en" TargetMode="External"/><Relationship Id="rId34" Type="http://schemas.openxmlformats.org/officeDocument/2006/relationships/hyperlink" Target="https://www.itu.int/pub/R-RES-R.60/ar" TargetMode="External"/><Relationship Id="rId42" Type="http://schemas.openxmlformats.org/officeDocument/2006/relationships/hyperlink" Target="https://www.itu.int/dms_ties/itu-r/md/23/wp6c/c/R23-WP6C-C-0077!H4-N4.01!MSW-E.docx" TargetMode="External"/><Relationship Id="rId47" Type="http://schemas.openxmlformats.org/officeDocument/2006/relationships/hyperlink" Target="https://www.itu.int/dms_ties/itu-r/md/23/wp6c/c/R23-WP6C-C-0037!H3-N3.01!MSW-E.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oth/R0A0E000097" TargetMode="External"/><Relationship Id="rId29" Type="http://schemas.openxmlformats.org/officeDocument/2006/relationships/hyperlink" Target="https://www.itu.int/br_tsb_terms/" TargetMode="External"/><Relationship Id="rId11" Type="http://schemas.openxmlformats.org/officeDocument/2006/relationships/endnotes" Target="endnotes.xml"/><Relationship Id="rId24" Type="http://schemas.openxmlformats.org/officeDocument/2006/relationships/hyperlink" Target="https://www.itu.int/en/ITU-R/seminars/Future-of-tv-europe/Pages/default.aspx" TargetMode="External"/><Relationship Id="rId32" Type="http://schemas.openxmlformats.org/officeDocument/2006/relationships/hyperlink" Target="https://www.itu.int/md/R23-RAG-C-0030/en" TargetMode="External"/><Relationship Id="rId37" Type="http://schemas.openxmlformats.org/officeDocument/2006/relationships/hyperlink" Target="https://www.itu.int/md/R00-CA-CIR-0273/en" TargetMode="External"/><Relationship Id="rId40" Type="http://schemas.openxmlformats.org/officeDocument/2006/relationships/hyperlink" Target="https://www.itu.int/pub/R-OP-R.104/ar" TargetMode="External"/><Relationship Id="rId45" Type="http://schemas.openxmlformats.org/officeDocument/2006/relationships/hyperlink" Target="https://www.itu.int/pub/R-REP-BT.2540/ar" TargetMode="External"/><Relationship Id="rId5" Type="http://schemas.openxmlformats.org/officeDocument/2006/relationships/customXml" Target="../customXml/item5.xml"/><Relationship Id="rId15" Type="http://schemas.openxmlformats.org/officeDocument/2006/relationships/hyperlink" Target="https://www.itu.int/oth/R0A01000004" TargetMode="External"/><Relationship Id="rId23" Type="http://schemas.openxmlformats.org/officeDocument/2006/relationships/hyperlink" Target="https://www.itu.int/md/R00-SG04-CIR-0140/en" TargetMode="External"/><Relationship Id="rId28" Type="http://schemas.openxmlformats.org/officeDocument/2006/relationships/hyperlink" Target="https://www.itu.int/md/S23-SG-CIR-0045/en" TargetMode="External"/><Relationship Id="rId36" Type="http://schemas.openxmlformats.org/officeDocument/2006/relationships/hyperlink" Target="https://www.itu.int/pub/R-RES-R.75/ar"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tu.int/md/R00-SG01-CIR-0113/en" TargetMode="External"/><Relationship Id="rId31" Type="http://schemas.openxmlformats.org/officeDocument/2006/relationships/hyperlink" Target="https://www.itu.int/md/R23-RA23-C-0091/en" TargetMode="External"/><Relationship Id="rId44" Type="http://schemas.openxmlformats.org/officeDocument/2006/relationships/hyperlink" Target="https://www.itu.int/pub/R-REP-BT.2521/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itu.int/md/R00-CACE-CIR-1129/en" TargetMode="External"/><Relationship Id="rId27" Type="http://schemas.openxmlformats.org/officeDocument/2006/relationships/hyperlink" Target="https://www.itu.int/en/general-secretariat/Pages/coordination-committee-for-terminology.aspx" TargetMode="External"/><Relationship Id="rId30" Type="http://schemas.openxmlformats.org/officeDocument/2006/relationships/hyperlink" Target="https://www.itu.int/md/R23-RA23-C-0101/en" TargetMode="External"/><Relationship Id="rId35" Type="http://schemas.openxmlformats.org/officeDocument/2006/relationships/hyperlink" Target="https://www.itu.int/en/ITU-R/study-groups/Pages/Sustainable-dev-goals.aspx" TargetMode="External"/><Relationship Id="rId43" Type="http://schemas.openxmlformats.org/officeDocument/2006/relationships/hyperlink" Target="https://www.itu.int/pub/R-REP-BT.2385-1-2022"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23-SG01-C-0027/en" TargetMode="External"/><Relationship Id="rId25" Type="http://schemas.openxmlformats.org/officeDocument/2006/relationships/hyperlink" Target="https://www.itu.int/dms_pub/itu-r/oth/0a/07/R0A070000470001PDFE.pdf" TargetMode="External"/><Relationship Id="rId33" Type="http://schemas.openxmlformats.org/officeDocument/2006/relationships/hyperlink" Target="https://www.itu.int/pub/R-RES-R.9/ar" TargetMode="External"/><Relationship Id="rId38" Type="http://schemas.openxmlformats.org/officeDocument/2006/relationships/header" Target="header1.xml"/><Relationship Id="rId46" Type="http://schemas.openxmlformats.org/officeDocument/2006/relationships/hyperlink" Target="https://www.itu.int/rec/R-REC-BT.2167/en" TargetMode="External"/><Relationship Id="rId20" Type="http://schemas.openxmlformats.org/officeDocument/2006/relationships/hyperlink" Target="https://www.itu.int/oth/R0A04000096/en" TargetMode="External"/><Relationship Id="rId41" Type="http://schemas.openxmlformats.org/officeDocument/2006/relationships/hyperlink" Target="https://www.itu.int/md/R23-WP6C-C-0077/e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PA_RAG25.dotx</Template>
  <TotalTime>1</TotalTime>
  <Pages>17</Pages>
  <Words>6418</Words>
  <Characters>38723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Xue, Kun</cp:lastModifiedBy>
  <cp:revision>2</cp:revision>
  <cp:lastPrinted>2019-06-26T10:10:00Z</cp:lastPrinted>
  <dcterms:created xsi:type="dcterms:W3CDTF">2025-03-14T15:50:00Z</dcterms:created>
  <dcterms:modified xsi:type="dcterms:W3CDTF">2025-03-14T15:50:00Z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